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52"/>
          <w:szCs w:val="52"/>
        </w:rPr>
        <w:drawing>
          <wp:inline distT="0" distB="0" distL="114300" distR="114300">
            <wp:extent cx="562610" cy="560070"/>
            <wp:effectExtent l="0" t="0" r="8890" b="11430"/>
            <wp:docPr id="1"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
                    <pic:cNvPicPr>
                      <a:picLocks noChangeAspect="1"/>
                    </pic:cNvPicPr>
                  </pic:nvPicPr>
                  <pic:blipFill>
                    <a:blip r:embed="rId6" cstate="print"/>
                    <a:stretch>
                      <a:fillRect/>
                    </a:stretch>
                  </pic:blipFill>
                  <pic:spPr>
                    <a:xfrm>
                      <a:off x="0" y="0"/>
                      <a:ext cx="562610" cy="560070"/>
                    </a:xfrm>
                    <a:prstGeom prst="rect">
                      <a:avLst/>
                    </a:prstGeom>
                  </pic:spPr>
                </pic:pic>
              </a:graphicData>
            </a:graphic>
          </wp:inline>
        </w:drawing>
      </w: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ascii="宋体"/>
          <w:b/>
          <w:kern w:val="0"/>
          <w:sz w:val="52"/>
          <w:szCs w:val="52"/>
        </w:rPr>
      </w:pPr>
      <w:r>
        <w:rPr>
          <w:rFonts w:hint="eastAsia" w:ascii="宋体"/>
          <w:b/>
          <w:kern w:val="0"/>
          <w:sz w:val="52"/>
          <w:szCs w:val="52"/>
        </w:rPr>
        <w:t>台州市政府采购招标文件</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b/>
          <w:kern w:val="0"/>
          <w:sz w:val="32"/>
        </w:rPr>
      </w:pPr>
      <w:r>
        <w:rPr>
          <w:rFonts w:hint="eastAsia" w:ascii="宋体"/>
          <w:b/>
          <w:kern w:val="0"/>
          <w:sz w:val="32"/>
        </w:rPr>
        <w:t>TZ</w:t>
      </w:r>
      <w:r>
        <w:rPr>
          <w:rFonts w:ascii="宋体"/>
          <w:b/>
          <w:kern w:val="0"/>
          <w:sz w:val="32"/>
        </w:rPr>
        <w:t>CG-20</w:t>
      </w:r>
      <w:r>
        <w:rPr>
          <w:rFonts w:hint="eastAsia" w:ascii="宋体"/>
          <w:b/>
          <w:kern w:val="0"/>
          <w:sz w:val="32"/>
        </w:rPr>
        <w:t>20</w:t>
      </w:r>
      <w:r>
        <w:rPr>
          <w:rFonts w:ascii="宋体"/>
          <w:b/>
          <w:kern w:val="0"/>
          <w:sz w:val="32"/>
        </w:rPr>
        <w:t>-</w:t>
      </w:r>
      <w:r>
        <w:rPr>
          <w:rFonts w:hint="eastAsia" w:ascii="宋体"/>
          <w:b/>
          <w:kern w:val="0"/>
          <w:sz w:val="32"/>
        </w:rPr>
        <w:t>GK0</w:t>
      </w:r>
      <w:r>
        <w:rPr>
          <w:rFonts w:hint="eastAsia" w:ascii="宋体"/>
          <w:b/>
          <w:kern w:val="0"/>
          <w:sz w:val="32"/>
          <w:lang w:val="en-US" w:eastAsia="zh-CN"/>
        </w:rPr>
        <w:t>25</w:t>
      </w:r>
      <w:r>
        <w:rPr>
          <w:rFonts w:hint="eastAsia" w:ascii="宋体"/>
          <w:b/>
          <w:kern w:val="0"/>
          <w:sz w:val="32"/>
        </w:rPr>
        <w:t>D号</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24"/>
        </w:rPr>
      </w:pPr>
    </w:p>
    <w:p>
      <w:pPr>
        <w:autoSpaceDE w:val="0"/>
        <w:autoSpaceDN w:val="0"/>
        <w:adjustRightInd w:val="0"/>
        <w:spacing w:line="360" w:lineRule="auto"/>
        <w:rPr>
          <w:rFonts w:ascii="宋体"/>
          <w:b/>
          <w:kern w:val="0"/>
          <w:sz w:val="52"/>
          <w:szCs w:val="52"/>
        </w:rPr>
      </w:pPr>
    </w:p>
    <w:p>
      <w:pPr>
        <w:pStyle w:val="2"/>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1797" w:firstLineChars="642"/>
        <w:jc w:val="left"/>
        <w:rPr>
          <w:rFonts w:ascii="宋体"/>
          <w:kern w:val="0"/>
          <w:sz w:val="28"/>
        </w:rPr>
      </w:pPr>
    </w:p>
    <w:p>
      <w:pPr>
        <w:autoSpaceDE w:val="0"/>
        <w:autoSpaceDN w:val="0"/>
        <w:adjustRightInd w:val="0"/>
        <w:spacing w:line="360" w:lineRule="auto"/>
        <w:ind w:firstLine="2240" w:firstLineChars="800"/>
        <w:rPr>
          <w:rFonts w:ascii="宋体"/>
          <w:kern w:val="0"/>
          <w:sz w:val="28"/>
        </w:rPr>
      </w:pPr>
      <w:r>
        <w:rPr>
          <w:rFonts w:hint="eastAsia" w:ascii="宋体"/>
          <w:kern w:val="0"/>
          <w:sz w:val="28"/>
        </w:rPr>
        <w:t>采购项目：台州市公安局智慧**项目</w:t>
      </w:r>
    </w:p>
    <w:p>
      <w:pPr>
        <w:autoSpaceDE w:val="0"/>
        <w:autoSpaceDN w:val="0"/>
        <w:adjustRightInd w:val="0"/>
        <w:spacing w:line="360" w:lineRule="auto"/>
        <w:ind w:firstLine="2240" w:firstLineChars="800"/>
        <w:rPr>
          <w:rFonts w:ascii="宋体"/>
          <w:kern w:val="0"/>
          <w:sz w:val="28"/>
        </w:rPr>
      </w:pPr>
      <w:r>
        <w:rPr>
          <w:rFonts w:hint="eastAsia" w:ascii="宋体"/>
          <w:kern w:val="0"/>
          <w:sz w:val="28"/>
        </w:rPr>
        <w:t>采购人：台州市公安局</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jc w:val="center"/>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right="1800"/>
        <w:rPr>
          <w:rFonts w:ascii="宋体"/>
          <w:kern w:val="0"/>
          <w:sz w:val="32"/>
        </w:rPr>
      </w:pP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rPr>
          <w:rFonts w:ascii="宋体" w:hAnsi="宋体" w:cs="宋体"/>
          <w:kern w:val="0"/>
          <w:sz w:val="28"/>
          <w:szCs w:val="28"/>
        </w:rPr>
      </w:pPr>
      <w:r>
        <w:rPr>
          <w:rFonts w:hint="eastAsia" w:ascii="宋体" w:hAnsi="宋体" w:cs="宋体"/>
          <w:kern w:val="0"/>
          <w:sz w:val="28"/>
          <w:szCs w:val="28"/>
        </w:rPr>
        <w:t>台州市政府采购中心</w:t>
      </w:r>
    </w:p>
    <w:p>
      <w:pPr>
        <w:tabs>
          <w:tab w:val="left" w:pos="720"/>
          <w:tab w:val="left" w:pos="1440"/>
          <w:tab w:val="left" w:pos="2160"/>
          <w:tab w:val="left" w:pos="2880"/>
          <w:tab w:val="left" w:pos="3600"/>
          <w:tab w:val="left" w:pos="4320"/>
          <w:tab w:val="left" w:pos="5040"/>
          <w:tab w:val="left" w:pos="5760"/>
        </w:tabs>
        <w:autoSpaceDE w:val="0"/>
        <w:autoSpaceDN w:val="0"/>
        <w:adjustRightInd w:val="0"/>
        <w:spacing w:line="360" w:lineRule="auto"/>
        <w:ind w:left="1440" w:right="1800" w:firstLine="560" w:firstLineChars="200"/>
        <w:jc w:val="center"/>
      </w:pPr>
      <w:r>
        <w:rPr>
          <w:rFonts w:hint="eastAsia" w:ascii="宋体" w:hAnsi="宋体" w:cs="宋体"/>
          <w:kern w:val="0"/>
          <w:sz w:val="28"/>
          <w:szCs w:val="28"/>
        </w:rPr>
        <w:t>2020年</w:t>
      </w:r>
      <w:r>
        <w:rPr>
          <w:rFonts w:hint="eastAsia" w:ascii="宋体" w:hAnsi="宋体" w:cs="宋体"/>
          <w:color w:val="FF0000"/>
          <w:kern w:val="0"/>
          <w:sz w:val="28"/>
          <w:szCs w:val="28"/>
          <w:lang w:val="en-US" w:eastAsia="zh-CN"/>
        </w:rPr>
        <w:t>11</w:t>
      </w:r>
      <w:r>
        <w:rPr>
          <w:rFonts w:hint="eastAsia" w:ascii="宋体" w:hAnsi="宋体" w:cs="宋体"/>
          <w:kern w:val="0"/>
          <w:sz w:val="28"/>
          <w:szCs w:val="28"/>
        </w:rPr>
        <w:t>月</w:t>
      </w:r>
      <w:r>
        <w:rPr>
          <w:rFonts w:hint="eastAsia" w:ascii="宋体" w:hAnsi="宋体" w:cs="宋体"/>
          <w:color w:val="FF0000"/>
          <w:kern w:val="0"/>
          <w:sz w:val="28"/>
          <w:szCs w:val="28"/>
          <w:lang w:val="en-US" w:eastAsia="zh-CN"/>
        </w:rPr>
        <w:t>5</w:t>
      </w:r>
      <w:r>
        <w:rPr>
          <w:rFonts w:hint="eastAsia" w:ascii="宋体" w:hAnsi="宋体" w:cs="宋体"/>
          <w:kern w:val="0"/>
          <w:sz w:val="28"/>
          <w:szCs w:val="28"/>
        </w:rPr>
        <w:t>日</w:t>
      </w:r>
    </w:p>
    <w:p>
      <w:pPr>
        <w:spacing w:line="360" w:lineRule="auto"/>
      </w:pPr>
    </w:p>
    <w:p>
      <w:pPr>
        <w:pStyle w:val="28"/>
      </w:pPr>
    </w:p>
    <w:p>
      <w:pPr>
        <w:pStyle w:val="28"/>
      </w:pPr>
    </w:p>
    <w:p>
      <w:pPr>
        <w:spacing w:line="360" w:lineRule="auto"/>
      </w:pPr>
    </w:p>
    <w:p>
      <w:pPr>
        <w:jc w:val="center"/>
        <w:rPr>
          <w:rFonts w:ascii="宋体" w:hAnsi="宋体" w:cs="Arial"/>
          <w:b/>
          <w:bCs/>
          <w:sz w:val="36"/>
          <w:szCs w:val="36"/>
        </w:rPr>
      </w:pPr>
    </w:p>
    <w:p>
      <w:pPr>
        <w:jc w:val="center"/>
        <w:rPr>
          <w:rFonts w:ascii="宋体" w:hAnsi="宋体" w:cs="Arial"/>
          <w:b/>
          <w:bCs/>
          <w:sz w:val="36"/>
          <w:szCs w:val="36"/>
        </w:rPr>
      </w:pPr>
    </w:p>
    <w:p>
      <w:pPr>
        <w:jc w:val="center"/>
        <w:rPr>
          <w:rFonts w:ascii="宋体" w:hAnsi="宋体" w:cs="Arial"/>
          <w:b/>
          <w:bCs/>
          <w:sz w:val="36"/>
          <w:szCs w:val="36"/>
        </w:rPr>
      </w:pPr>
      <w:r>
        <w:rPr>
          <w:rFonts w:hint="eastAsia" w:ascii="宋体" w:hAnsi="宋体" w:cs="Arial"/>
          <w:b/>
          <w:bCs/>
          <w:sz w:val="36"/>
          <w:szCs w:val="36"/>
        </w:rPr>
        <w:t>目    录</w:t>
      </w: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line="360" w:lineRule="auto"/>
        <w:ind w:left="3232" w:right="25" w:firstLine="6847"/>
        <w:jc w:val="left"/>
        <w:rPr>
          <w:rFonts w:ascii="宋体" w:hAnsi="宋体"/>
          <w:b/>
          <w:sz w:val="36"/>
        </w:rPr>
      </w:pPr>
    </w:p>
    <w:p>
      <w:pPr>
        <w:spacing w:line="360" w:lineRule="auto"/>
        <w:rPr>
          <w:rFonts w:ascii="新宋体" w:hAnsi="新宋体" w:eastAsia="新宋体"/>
          <w:sz w:val="28"/>
          <w:szCs w:val="28"/>
        </w:rPr>
      </w:pPr>
    </w:p>
    <w:p>
      <w:pPr>
        <w:numPr>
          <w:ilvl w:val="0"/>
          <w:numId w:val="3"/>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公开招标采购公告</w:t>
      </w:r>
    </w:p>
    <w:p>
      <w:pPr>
        <w:numPr>
          <w:ilvl w:val="0"/>
          <w:numId w:val="3"/>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投标人须知</w:t>
      </w:r>
    </w:p>
    <w:p>
      <w:pPr>
        <w:numPr>
          <w:ilvl w:val="0"/>
          <w:numId w:val="3"/>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评标办法及评分标准</w:t>
      </w:r>
    </w:p>
    <w:p>
      <w:pPr>
        <w:numPr>
          <w:ilvl w:val="0"/>
          <w:numId w:val="3"/>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公开招标需求</w:t>
      </w:r>
    </w:p>
    <w:p>
      <w:pPr>
        <w:numPr>
          <w:ilvl w:val="0"/>
          <w:numId w:val="3"/>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政府采购合同主要条款指引</w:t>
      </w:r>
    </w:p>
    <w:p>
      <w:pPr>
        <w:numPr>
          <w:ilvl w:val="0"/>
          <w:numId w:val="3"/>
        </w:num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电子投标文件格式附件</w:t>
      </w: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pStyle w:val="2"/>
      </w:pPr>
    </w:p>
    <w:p>
      <w:pPr>
        <w:spacing w:line="360" w:lineRule="auto"/>
      </w:pPr>
    </w:p>
    <w:p>
      <w:pPr>
        <w:spacing w:line="360" w:lineRule="auto"/>
      </w:pPr>
    </w:p>
    <w:p>
      <w:pP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br w:type="page"/>
      </w:r>
    </w:p>
    <w:p>
      <w:pPr>
        <w:numPr>
          <w:ilvl w:val="0"/>
          <w:numId w:val="4"/>
        </w:numPr>
        <w:tabs>
          <w:tab w:val="left" w:pos="180"/>
          <w:tab w:val="left" w:pos="360"/>
          <w:tab w:val="left" w:pos="540"/>
          <w:tab w:val="left" w:pos="8280"/>
        </w:tabs>
        <w:autoSpaceDE w:val="0"/>
        <w:autoSpaceDN w:val="0"/>
        <w:adjustRightInd w:val="0"/>
        <w:spacing w:line="360" w:lineRule="auto"/>
        <w:ind w:right="23"/>
        <w:jc w:val="center"/>
        <w:rPr>
          <w:rFonts w:asciiTheme="majorEastAsia" w:hAnsiTheme="majorEastAsia" w:eastAsiaTheme="majorEastAsia"/>
          <w:b/>
          <w:sz w:val="36"/>
          <w:szCs w:val="36"/>
        </w:rPr>
      </w:pPr>
      <w:r>
        <w:rPr>
          <w:rFonts w:hint="eastAsia" w:asciiTheme="majorEastAsia" w:hAnsiTheme="majorEastAsia" w:eastAsiaTheme="majorEastAsia"/>
          <w:b/>
          <w:kern w:val="0"/>
          <w:sz w:val="36"/>
          <w:szCs w:val="36"/>
        </w:rPr>
        <w:t xml:space="preserve"> 公开</w:t>
      </w:r>
      <w:r>
        <w:rPr>
          <w:rFonts w:hint="eastAsia" w:asciiTheme="majorEastAsia" w:hAnsiTheme="majorEastAsia" w:eastAsiaTheme="majorEastAsia"/>
          <w:b/>
          <w:sz w:val="36"/>
          <w:szCs w:val="36"/>
        </w:rPr>
        <w:t>招标采购公告</w:t>
      </w:r>
    </w:p>
    <w:p>
      <w:pPr>
        <w:pStyle w:val="3"/>
        <w:numPr>
          <w:ilvl w:val="0"/>
          <w:numId w:val="0"/>
        </w:numPr>
        <w:tabs>
          <w:tab w:val="left" w:pos="0"/>
          <w:tab w:val="left" w:pos="3165"/>
          <w:tab w:val="center" w:pos="4153"/>
        </w:tabs>
        <w:autoSpaceDE w:val="0"/>
        <w:autoSpaceDN w:val="0"/>
        <w:adjustRightInd w:val="0"/>
        <w:spacing w:before="0" w:after="0"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b/>
      </w:r>
      <w:r>
        <w:rPr>
          <w:rFonts w:hint="eastAsia" w:asciiTheme="minorEastAsia" w:hAnsiTheme="minorEastAsia" w:eastAsiaTheme="minorEastAsia" w:cstheme="minorEastAsia"/>
          <w:sz w:val="28"/>
          <w:szCs w:val="28"/>
        </w:rPr>
        <w:t>项目概况</w:t>
      </w:r>
    </w:p>
    <w:p>
      <w:pPr>
        <w:pBdr>
          <w:top w:val="single" w:color="auto" w:sz="4" w:space="1"/>
          <w:left w:val="single" w:color="auto" w:sz="4" w:space="4"/>
          <w:bottom w:val="single" w:color="auto" w:sz="4" w:space="1"/>
          <w:right w:val="single" w:color="auto" w:sz="4" w:space="4"/>
        </w:pBdr>
        <w:spacing w:line="360" w:lineRule="auto"/>
        <w:ind w:firstLine="482" w:firstLineChars="200"/>
        <w:rPr>
          <w:rFonts w:asciiTheme="minorEastAsia" w:hAnsiTheme="minorEastAsia" w:eastAsiaTheme="minorEastAsia" w:cstheme="minorEastAsia"/>
          <w:color w:val="auto"/>
          <w:sz w:val="24"/>
        </w:rPr>
      </w:pPr>
      <w:r>
        <w:rPr>
          <w:rFonts w:hint="eastAsia" w:ascii="宋体" w:hAnsi="宋体"/>
          <w:b/>
          <w:bCs/>
          <w:kern w:val="0"/>
          <w:sz w:val="24"/>
        </w:rPr>
        <w:t>台州市公安局智慧**项目</w:t>
      </w:r>
      <w:r>
        <w:rPr>
          <w:rFonts w:hint="eastAsia" w:asciiTheme="minorEastAsia" w:hAnsiTheme="minorEastAsia" w:eastAsiaTheme="minorEastAsia" w:cstheme="minorEastAsia"/>
          <w:sz w:val="24"/>
        </w:rPr>
        <w:t>的潜在投标人应在</w:t>
      </w:r>
      <w:r>
        <w:rPr>
          <w:rFonts w:hint="eastAsia" w:cs="Arial" w:asciiTheme="minorEastAsia" w:hAnsiTheme="minorEastAsia" w:eastAsiaTheme="minorEastAsia"/>
          <w:sz w:val="24"/>
        </w:rPr>
        <w:t xml:space="preserve">“浙江省政府采购网”（http:// www.zjzfcg.gov.cn）和“台州市公共资源交易中心”（ </w:t>
      </w:r>
      <w:r>
        <w:fldChar w:fldCharType="begin"/>
      </w:r>
      <w:r>
        <w:instrText xml:space="preserve"> HYPERLINK "http://www.xjztb.cn" </w:instrText>
      </w:r>
      <w:r>
        <w:fldChar w:fldCharType="separate"/>
      </w:r>
      <w:r>
        <w:rPr>
          <w:rFonts w:hint="eastAsia" w:cs="Arial" w:asciiTheme="minorEastAsia" w:hAnsiTheme="minorEastAsia" w:eastAsiaTheme="minorEastAsia"/>
          <w:sz w:val="24"/>
        </w:rPr>
        <w:t>http://www.tzztb.com</w:t>
      </w:r>
      <w:r>
        <w:rPr>
          <w:rFonts w:hint="eastAsia" w:cs="Arial" w:asciiTheme="minorEastAsia" w:hAnsiTheme="minorEastAsia" w:eastAsiaTheme="minorEastAsia"/>
          <w:sz w:val="24"/>
        </w:rPr>
        <w:fldChar w:fldCharType="end"/>
      </w:r>
      <w:r>
        <w:rPr>
          <w:rFonts w:hint="eastAsia" w:cs="Arial" w:asciiTheme="minorEastAsia" w:hAnsiTheme="minorEastAsia" w:eastAsiaTheme="minorEastAsia"/>
          <w:sz w:val="24"/>
        </w:rPr>
        <w:t>）</w:t>
      </w:r>
      <w:r>
        <w:rPr>
          <w:rFonts w:hint="eastAsia" w:asciiTheme="minorEastAsia" w:hAnsiTheme="minorEastAsia" w:eastAsiaTheme="minorEastAsia" w:cstheme="minorEastAsia"/>
          <w:sz w:val="24"/>
        </w:rPr>
        <w:t>获取招标文件，并于</w:t>
      </w:r>
      <w:r>
        <w:rPr>
          <w:rFonts w:hint="eastAsia" w:asciiTheme="minorEastAsia" w:hAnsiTheme="minorEastAsia" w:eastAsiaTheme="minorEastAsia" w:cstheme="minorEastAsia"/>
          <w:color w:val="auto"/>
          <w:sz w:val="24"/>
          <w:u w:val="single"/>
        </w:rPr>
        <w:t>2020</w:t>
      </w:r>
      <w:r>
        <w:rPr>
          <w:rFonts w:hint="eastAsia" w:asciiTheme="minorEastAsia" w:hAnsiTheme="minorEastAsia" w:eastAsiaTheme="minorEastAsia" w:cstheme="minorEastAsia"/>
          <w:bCs/>
          <w:color w:val="auto"/>
          <w:sz w:val="24"/>
          <w:u w:val="single"/>
        </w:rPr>
        <w:t>年</w:t>
      </w:r>
      <w:r>
        <w:rPr>
          <w:rFonts w:hint="eastAsia" w:asciiTheme="minorEastAsia" w:hAnsiTheme="minorEastAsia" w:eastAsiaTheme="minorEastAsia" w:cstheme="minorEastAsia"/>
          <w:color w:val="auto"/>
          <w:sz w:val="24"/>
          <w:u w:val="single"/>
          <w:lang w:val="en-US" w:eastAsia="zh-CN"/>
        </w:rPr>
        <w:t>11</w:t>
      </w:r>
      <w:r>
        <w:rPr>
          <w:rFonts w:hint="eastAsia" w:asciiTheme="minorEastAsia" w:hAnsiTheme="minorEastAsia" w:eastAsiaTheme="minorEastAsia" w:cstheme="minorEastAsia"/>
          <w:bCs/>
          <w:color w:val="auto"/>
          <w:sz w:val="24"/>
          <w:u w:val="single"/>
        </w:rPr>
        <w:t>月</w:t>
      </w:r>
      <w:r>
        <w:rPr>
          <w:rFonts w:hint="eastAsia" w:asciiTheme="minorEastAsia" w:hAnsiTheme="minorEastAsia" w:eastAsiaTheme="minorEastAsia" w:cstheme="minorEastAsia"/>
          <w:bCs/>
          <w:color w:val="auto"/>
          <w:sz w:val="24"/>
          <w:u w:val="single"/>
          <w:lang w:val="en-US" w:eastAsia="zh-CN"/>
        </w:rPr>
        <w:t>27</w:t>
      </w:r>
      <w:r>
        <w:rPr>
          <w:rFonts w:hint="eastAsia" w:asciiTheme="minorEastAsia" w:hAnsiTheme="minorEastAsia" w:eastAsiaTheme="minorEastAsia" w:cstheme="minorEastAsia"/>
          <w:bCs/>
          <w:color w:val="auto"/>
          <w:sz w:val="24"/>
          <w:u w:val="single"/>
        </w:rPr>
        <w:t>日 9点00分（</w:t>
      </w:r>
      <w:r>
        <w:rPr>
          <w:rFonts w:hint="eastAsia" w:asciiTheme="minorEastAsia" w:hAnsiTheme="minorEastAsia" w:eastAsiaTheme="minorEastAsia" w:cstheme="minorEastAsia"/>
          <w:bCs/>
          <w:color w:val="auto"/>
          <w:sz w:val="24"/>
        </w:rPr>
        <w:t>北京时间）前递交</w:t>
      </w:r>
      <w:r>
        <w:rPr>
          <w:rFonts w:hint="eastAsia"/>
          <w:color w:val="auto"/>
          <w:sz w:val="24"/>
        </w:rPr>
        <w:t>电子</w:t>
      </w:r>
      <w:r>
        <w:rPr>
          <w:rFonts w:hint="eastAsia" w:asciiTheme="minorEastAsia" w:hAnsiTheme="minorEastAsia" w:eastAsiaTheme="minorEastAsia" w:cstheme="minorEastAsia"/>
          <w:bCs/>
          <w:color w:val="auto"/>
          <w:sz w:val="24"/>
        </w:rPr>
        <w:t>投标文件</w:t>
      </w:r>
      <w:r>
        <w:rPr>
          <w:rFonts w:hint="eastAsia" w:asciiTheme="minorEastAsia" w:hAnsiTheme="minorEastAsia" w:eastAsiaTheme="minorEastAsia" w:cstheme="minorEastAsia"/>
          <w:color w:val="auto"/>
          <w:sz w:val="24"/>
        </w:rPr>
        <w:t>。</w:t>
      </w:r>
    </w:p>
    <w:p>
      <w:pPr>
        <w:pStyle w:val="4"/>
        <w:rPr>
          <w:rFonts w:asciiTheme="minorEastAsia" w:hAnsiTheme="minorEastAsia" w:eastAsiaTheme="minorEastAsia" w:cstheme="minorEastAsia"/>
          <w:b w:val="0"/>
          <w:color w:val="auto"/>
          <w:sz w:val="24"/>
          <w:szCs w:val="24"/>
        </w:rPr>
      </w:pPr>
      <w:bookmarkStart w:id="0" w:name="_Toc35393621"/>
      <w:bookmarkStart w:id="1" w:name="_Toc28359002"/>
      <w:bookmarkStart w:id="2" w:name="_Toc28359079"/>
      <w:bookmarkStart w:id="3" w:name="_Toc35393790"/>
      <w:bookmarkStart w:id="4" w:name="_Hlk24379207"/>
    </w:p>
    <w:p>
      <w:pPr>
        <w:pStyle w:val="4"/>
        <w:numPr>
          <w:ilvl w:val="0"/>
          <w:numId w:val="5"/>
        </w:numPr>
        <w:rPr>
          <w:rFonts w:asciiTheme="minorEastAsia" w:hAnsiTheme="minorEastAsia" w:eastAsiaTheme="minorEastAsia" w:cstheme="minorEastAsia"/>
          <w:b w:val="0"/>
          <w:color w:val="auto"/>
          <w:sz w:val="24"/>
          <w:szCs w:val="24"/>
        </w:rPr>
      </w:pPr>
      <w:r>
        <w:rPr>
          <w:rFonts w:hint="eastAsia" w:asciiTheme="minorEastAsia" w:hAnsiTheme="minorEastAsia" w:eastAsiaTheme="minorEastAsia" w:cstheme="minorEastAsia"/>
          <w:b w:val="0"/>
          <w:color w:val="auto"/>
          <w:sz w:val="24"/>
          <w:szCs w:val="24"/>
        </w:rPr>
        <w:t>项目基本情况</w:t>
      </w:r>
      <w:bookmarkEnd w:id="0"/>
      <w:bookmarkEnd w:id="1"/>
      <w:bookmarkEnd w:id="2"/>
      <w:bookmarkEnd w:id="3"/>
    </w:p>
    <w:p>
      <w:pPr>
        <w:pStyle w:val="4"/>
        <w:rPr>
          <w:color w:val="auto"/>
          <w:kern w:val="0"/>
          <w:sz w:val="24"/>
          <w:szCs w:val="24"/>
        </w:rPr>
      </w:pPr>
      <w:r>
        <w:rPr>
          <w:rFonts w:hint="eastAsia" w:asciiTheme="minorEastAsia" w:hAnsiTheme="minorEastAsia" w:eastAsiaTheme="minorEastAsia" w:cstheme="minorEastAsia"/>
          <w:color w:val="auto"/>
          <w:sz w:val="24"/>
          <w:szCs w:val="24"/>
        </w:rPr>
        <w:t>项目编号：</w:t>
      </w:r>
      <w:r>
        <w:rPr>
          <w:rFonts w:hint="eastAsia"/>
          <w:color w:val="auto"/>
          <w:kern w:val="0"/>
          <w:sz w:val="24"/>
          <w:szCs w:val="24"/>
        </w:rPr>
        <w:t>TZ</w:t>
      </w:r>
      <w:r>
        <w:rPr>
          <w:color w:val="auto"/>
          <w:kern w:val="0"/>
          <w:sz w:val="24"/>
          <w:szCs w:val="24"/>
        </w:rPr>
        <w:t>CG-20</w:t>
      </w:r>
      <w:r>
        <w:rPr>
          <w:rFonts w:hint="eastAsia"/>
          <w:color w:val="auto"/>
          <w:kern w:val="0"/>
          <w:sz w:val="24"/>
          <w:szCs w:val="24"/>
        </w:rPr>
        <w:t>20</w:t>
      </w:r>
      <w:r>
        <w:rPr>
          <w:color w:val="auto"/>
          <w:kern w:val="0"/>
          <w:sz w:val="24"/>
          <w:szCs w:val="24"/>
        </w:rPr>
        <w:t>-</w:t>
      </w:r>
      <w:r>
        <w:rPr>
          <w:rFonts w:hint="eastAsia"/>
          <w:color w:val="auto"/>
          <w:kern w:val="0"/>
          <w:sz w:val="24"/>
          <w:szCs w:val="24"/>
        </w:rPr>
        <w:t>GK0</w:t>
      </w:r>
      <w:r>
        <w:rPr>
          <w:rFonts w:hint="eastAsia"/>
          <w:color w:val="auto"/>
          <w:kern w:val="0"/>
          <w:sz w:val="24"/>
          <w:szCs w:val="24"/>
          <w:lang w:val="en-US" w:eastAsia="zh-CN"/>
        </w:rPr>
        <w:t>25</w:t>
      </w:r>
      <w:r>
        <w:rPr>
          <w:rFonts w:hint="eastAsia"/>
          <w:color w:val="auto"/>
          <w:kern w:val="0"/>
          <w:sz w:val="24"/>
          <w:szCs w:val="24"/>
        </w:rPr>
        <w:t>D号</w:t>
      </w:r>
    </w:p>
    <w:p>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项目名称：</w:t>
      </w:r>
      <w:r>
        <w:rPr>
          <w:rFonts w:hint="eastAsia" w:ascii="宋体" w:hAnsi="宋体"/>
          <w:b/>
          <w:bCs/>
          <w:kern w:val="0"/>
          <w:sz w:val="24"/>
        </w:rPr>
        <w:t>台州市公安局智慧**项目</w:t>
      </w:r>
    </w:p>
    <w:bookmarkEnd w:id="4"/>
    <w:p>
      <w:pPr>
        <w:spacing w:line="360" w:lineRule="auto"/>
        <w:rPr>
          <w:rFonts w:asciiTheme="minorEastAsia" w:hAnsiTheme="minorEastAsia" w:eastAsiaTheme="minorEastAsia" w:cstheme="minorEastAsia"/>
          <w:color w:val="auto"/>
          <w:sz w:val="24"/>
        </w:rPr>
      </w:pPr>
      <w:r>
        <w:rPr>
          <w:rFonts w:hint="eastAsia" w:asciiTheme="minorEastAsia" w:hAnsiTheme="minorEastAsia" w:eastAsiaTheme="minorEastAsia" w:cstheme="minorEastAsia"/>
          <w:color w:val="auto"/>
          <w:sz w:val="24"/>
        </w:rPr>
        <w:t>采购需求：</w:t>
      </w:r>
    </w:p>
    <w:tbl>
      <w:tblPr>
        <w:tblStyle w:val="23"/>
        <w:tblW w:w="87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383"/>
        <w:gridCol w:w="1290"/>
        <w:gridCol w:w="570"/>
        <w:gridCol w:w="585"/>
        <w:gridCol w:w="990"/>
        <w:gridCol w:w="960"/>
        <w:gridCol w:w="1200"/>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780"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标段号</w:t>
            </w:r>
          </w:p>
        </w:tc>
        <w:tc>
          <w:tcPr>
            <w:tcW w:w="1383" w:type="dxa"/>
            <w:vAlign w:val="center"/>
          </w:tcPr>
          <w:p>
            <w:pPr>
              <w:tabs>
                <w:tab w:val="left" w:pos="8280"/>
              </w:tabs>
              <w:autoSpaceDE w:val="0"/>
              <w:autoSpaceDN w:val="0"/>
              <w:adjustRightInd w:val="0"/>
              <w:spacing w:line="360" w:lineRule="auto"/>
              <w:ind w:right="25" w:firstLine="105" w:firstLineChars="50"/>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项目</w:t>
            </w:r>
          </w:p>
          <w:p>
            <w:pPr>
              <w:tabs>
                <w:tab w:val="left" w:pos="8280"/>
              </w:tabs>
              <w:autoSpaceDE w:val="0"/>
              <w:autoSpaceDN w:val="0"/>
              <w:adjustRightInd w:val="0"/>
              <w:spacing w:line="360" w:lineRule="auto"/>
              <w:ind w:right="25" w:firstLine="105" w:firstLineChars="50"/>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名称</w:t>
            </w:r>
          </w:p>
        </w:tc>
        <w:tc>
          <w:tcPr>
            <w:tcW w:w="1290"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kern w:val="0"/>
                <w:sz w:val="21"/>
                <w:szCs w:val="21"/>
              </w:rPr>
              <w:t>简要技术要求服务要求等</w:t>
            </w:r>
          </w:p>
        </w:tc>
        <w:tc>
          <w:tcPr>
            <w:tcW w:w="570"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kern w:val="0"/>
                <w:sz w:val="21"/>
                <w:szCs w:val="21"/>
              </w:rPr>
              <w:t>数量</w:t>
            </w:r>
          </w:p>
        </w:tc>
        <w:tc>
          <w:tcPr>
            <w:tcW w:w="585"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单位</w:t>
            </w:r>
          </w:p>
        </w:tc>
        <w:tc>
          <w:tcPr>
            <w:tcW w:w="990"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cstheme="minorEastAsia"/>
                <w:b/>
                <w:color w:val="auto"/>
                <w:sz w:val="21"/>
                <w:szCs w:val="21"/>
              </w:rPr>
            </w:pPr>
            <w:r>
              <w:rPr>
                <w:rFonts w:hint="eastAsia" w:asciiTheme="minorEastAsia" w:hAnsiTheme="minorEastAsia" w:eastAsiaTheme="minorEastAsia" w:cstheme="minorEastAsia"/>
                <w:b/>
                <w:color w:val="auto"/>
                <w:sz w:val="21"/>
                <w:szCs w:val="21"/>
              </w:rPr>
              <w:t>预算（万元）</w:t>
            </w:r>
          </w:p>
        </w:tc>
        <w:tc>
          <w:tcPr>
            <w:tcW w:w="960" w:type="dxa"/>
            <w:vAlign w:val="center"/>
          </w:tcPr>
          <w:p>
            <w:pPr>
              <w:tabs>
                <w:tab w:val="left" w:pos="8280"/>
              </w:tabs>
              <w:autoSpaceDE w:val="0"/>
              <w:autoSpaceDN w:val="0"/>
              <w:adjustRightInd w:val="0"/>
              <w:spacing w:line="360" w:lineRule="auto"/>
              <w:ind w:right="25"/>
              <w:rPr>
                <w:rFonts w:hint="default" w:ascii="宋体" w:hAnsi="宋体" w:eastAsia="宋体"/>
                <w:b/>
                <w:color w:val="auto"/>
                <w:sz w:val="21"/>
                <w:szCs w:val="21"/>
                <w:lang w:val="en-US" w:eastAsia="zh-CN"/>
              </w:rPr>
            </w:pPr>
            <w:r>
              <w:rPr>
                <w:rFonts w:hint="eastAsia" w:ascii="宋体" w:hAnsi="宋体"/>
                <w:b/>
                <w:color w:val="auto"/>
                <w:sz w:val="21"/>
                <w:szCs w:val="21"/>
                <w:lang w:val="en-US" w:eastAsia="zh-CN"/>
              </w:rPr>
              <w:t>最高限价（万元）</w:t>
            </w:r>
          </w:p>
        </w:tc>
        <w:tc>
          <w:tcPr>
            <w:tcW w:w="1200" w:type="dxa"/>
            <w:vAlign w:val="center"/>
          </w:tcPr>
          <w:p>
            <w:pPr>
              <w:tabs>
                <w:tab w:val="left" w:pos="8280"/>
              </w:tabs>
              <w:autoSpaceDE w:val="0"/>
              <w:autoSpaceDN w:val="0"/>
              <w:adjustRightInd w:val="0"/>
              <w:spacing w:line="360" w:lineRule="auto"/>
              <w:ind w:right="25"/>
              <w:rPr>
                <w:color w:val="auto"/>
                <w:sz w:val="21"/>
                <w:szCs w:val="21"/>
              </w:rPr>
            </w:pPr>
            <w:r>
              <w:rPr>
                <w:rFonts w:hint="eastAsia" w:ascii="宋体" w:hAnsi="宋体"/>
                <w:b/>
                <w:color w:val="auto"/>
                <w:sz w:val="21"/>
                <w:szCs w:val="21"/>
              </w:rPr>
              <w:t>交货期（合同签订后几天内）</w:t>
            </w:r>
          </w:p>
        </w:tc>
        <w:tc>
          <w:tcPr>
            <w:tcW w:w="992" w:type="dxa"/>
            <w:vAlign w:val="center"/>
          </w:tcPr>
          <w:p>
            <w:pPr>
              <w:tabs>
                <w:tab w:val="left" w:pos="8280"/>
              </w:tabs>
              <w:autoSpaceDE w:val="0"/>
              <w:autoSpaceDN w:val="0"/>
              <w:adjustRightInd w:val="0"/>
              <w:spacing w:line="360" w:lineRule="auto"/>
              <w:ind w:right="25"/>
              <w:jc w:val="center"/>
              <w:rPr>
                <w:color w:val="auto"/>
                <w:sz w:val="21"/>
                <w:szCs w:val="21"/>
              </w:rPr>
            </w:pPr>
            <w:r>
              <w:rPr>
                <w:rFonts w:hint="eastAsia" w:ascii="宋体" w:hAnsi="宋体"/>
                <w:b/>
                <w:color w:val="auto"/>
                <w:sz w:val="21"/>
                <w:szCs w:val="21"/>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780" w:type="dxa"/>
            <w:vAlign w:val="center"/>
          </w:tcPr>
          <w:p>
            <w:pPr>
              <w:tabs>
                <w:tab w:val="left" w:pos="8280"/>
              </w:tabs>
              <w:autoSpaceDE w:val="0"/>
              <w:autoSpaceDN w:val="0"/>
              <w:adjustRightInd w:val="0"/>
              <w:spacing w:line="360" w:lineRule="auto"/>
              <w:ind w:right="25" w:firstLine="240"/>
              <w:jc w:val="left"/>
              <w:rPr>
                <w:rFonts w:asciiTheme="minorEastAsia" w:hAnsiTheme="minorEastAsia" w:eastAsiaTheme="minorEastAsia" w:cstheme="minorEastAsia"/>
                <w:bCs/>
                <w:color w:val="auto"/>
                <w:sz w:val="21"/>
                <w:szCs w:val="21"/>
              </w:rPr>
            </w:pPr>
            <w:r>
              <w:rPr>
                <w:rFonts w:hint="eastAsia" w:asciiTheme="minorEastAsia" w:hAnsiTheme="minorEastAsia" w:eastAsiaTheme="minorEastAsia" w:cstheme="minorEastAsia"/>
                <w:bCs/>
                <w:color w:val="auto"/>
                <w:sz w:val="21"/>
                <w:szCs w:val="21"/>
              </w:rPr>
              <w:t>1</w:t>
            </w:r>
          </w:p>
        </w:tc>
        <w:tc>
          <w:tcPr>
            <w:tcW w:w="1383" w:type="dxa"/>
            <w:vAlign w:val="center"/>
          </w:tcPr>
          <w:p>
            <w:pPr>
              <w:widowControl/>
              <w:spacing w:line="360" w:lineRule="auto"/>
              <w:jc w:val="left"/>
              <w:rPr>
                <w:rFonts w:hint="default" w:ascii="宋体" w:hAnsi="宋体" w:eastAsia="宋体"/>
                <w:color w:val="auto"/>
                <w:sz w:val="21"/>
                <w:szCs w:val="21"/>
                <w:lang w:val="en-US" w:eastAsia="zh-CN"/>
              </w:rPr>
            </w:pPr>
            <w:r>
              <w:rPr>
                <w:rFonts w:hint="eastAsia" w:ascii="宋体" w:hAnsi="宋体"/>
                <w:color w:val="auto"/>
                <w:sz w:val="21"/>
                <w:szCs w:val="21"/>
                <w:lang w:val="en-US" w:eastAsia="zh-CN"/>
              </w:rPr>
              <w:t>智慧</w:t>
            </w:r>
            <w:bookmarkStart w:id="42" w:name="_GoBack"/>
            <w:bookmarkEnd w:id="42"/>
            <w:r>
              <w:rPr>
                <w:rFonts w:hint="eastAsia" w:ascii="宋体" w:hAnsi="宋体"/>
                <w:color w:val="auto"/>
                <w:sz w:val="21"/>
                <w:szCs w:val="21"/>
                <w:lang w:val="en-US" w:eastAsia="zh-CN"/>
              </w:rPr>
              <w:t>**-安全访问平台</w:t>
            </w:r>
          </w:p>
        </w:tc>
        <w:tc>
          <w:tcPr>
            <w:tcW w:w="1290" w:type="dxa"/>
            <w:vMerge w:val="restart"/>
            <w:vAlign w:val="center"/>
          </w:tcPr>
          <w:p>
            <w:pPr>
              <w:widowControl/>
              <w:spacing w:line="360" w:lineRule="auto"/>
              <w:jc w:val="left"/>
              <w:rPr>
                <w:rFonts w:ascii="宋体" w:hAnsi="宋体"/>
                <w:color w:val="auto"/>
                <w:sz w:val="21"/>
                <w:szCs w:val="21"/>
              </w:rPr>
            </w:pPr>
            <w:r>
              <w:rPr>
                <w:rFonts w:hint="eastAsia" w:ascii="宋体" w:hAnsi="宋体"/>
                <w:color w:val="auto"/>
                <w:sz w:val="21"/>
                <w:szCs w:val="21"/>
              </w:rPr>
              <w:t>详见技术需求</w:t>
            </w:r>
          </w:p>
        </w:tc>
        <w:tc>
          <w:tcPr>
            <w:tcW w:w="570" w:type="dxa"/>
            <w:vAlign w:val="center"/>
          </w:tcPr>
          <w:p>
            <w:pPr>
              <w:widowControl/>
              <w:spacing w:line="360" w:lineRule="auto"/>
              <w:ind w:firstLine="210" w:firstLineChars="100"/>
              <w:jc w:val="left"/>
              <w:rPr>
                <w:rFonts w:ascii="宋体" w:hAnsi="宋体"/>
                <w:color w:val="auto"/>
                <w:sz w:val="21"/>
                <w:szCs w:val="21"/>
              </w:rPr>
            </w:pPr>
            <w:r>
              <w:rPr>
                <w:rFonts w:hint="eastAsia" w:ascii="宋体" w:hAnsi="宋体"/>
                <w:color w:val="auto"/>
                <w:sz w:val="21"/>
                <w:szCs w:val="21"/>
              </w:rPr>
              <w:t>1</w:t>
            </w:r>
          </w:p>
        </w:tc>
        <w:tc>
          <w:tcPr>
            <w:tcW w:w="585" w:type="dxa"/>
            <w:vAlign w:val="center"/>
          </w:tcPr>
          <w:p>
            <w:pPr>
              <w:widowControl/>
              <w:spacing w:line="360" w:lineRule="auto"/>
              <w:jc w:val="left"/>
              <w:rPr>
                <w:rFonts w:ascii="宋体" w:hAnsi="宋体"/>
                <w:color w:val="auto"/>
                <w:sz w:val="21"/>
                <w:szCs w:val="21"/>
              </w:rPr>
            </w:pPr>
            <w:r>
              <w:rPr>
                <w:rFonts w:hint="eastAsia" w:ascii="宋体" w:hAnsi="宋体"/>
                <w:color w:val="auto"/>
                <w:sz w:val="21"/>
                <w:szCs w:val="21"/>
              </w:rPr>
              <w:t>套</w:t>
            </w:r>
          </w:p>
        </w:tc>
        <w:tc>
          <w:tcPr>
            <w:tcW w:w="990" w:type="dxa"/>
            <w:vAlign w:val="center"/>
          </w:tcPr>
          <w:p>
            <w:pPr>
              <w:widowControl/>
              <w:spacing w:line="360" w:lineRule="auto"/>
              <w:jc w:val="left"/>
              <w:rPr>
                <w:rFonts w:ascii="宋体" w:hAnsi="宋体"/>
                <w:color w:val="auto"/>
                <w:sz w:val="21"/>
                <w:szCs w:val="21"/>
              </w:rPr>
            </w:pPr>
            <w:r>
              <w:rPr>
                <w:rFonts w:hint="eastAsia" w:ascii="宋体" w:hAnsi="宋体"/>
                <w:color w:val="auto"/>
                <w:sz w:val="21"/>
                <w:szCs w:val="21"/>
                <w:lang w:val="en-US" w:eastAsia="zh-CN"/>
              </w:rPr>
              <w:t>1043.6</w:t>
            </w:r>
            <w:r>
              <w:rPr>
                <w:rFonts w:hint="eastAsia" w:ascii="宋体" w:hAnsi="宋体"/>
                <w:color w:val="auto"/>
                <w:sz w:val="21"/>
                <w:szCs w:val="21"/>
              </w:rPr>
              <w:t>万元</w:t>
            </w:r>
          </w:p>
        </w:tc>
        <w:tc>
          <w:tcPr>
            <w:tcW w:w="960" w:type="dxa"/>
          </w:tcPr>
          <w:p>
            <w:pPr>
              <w:widowControl/>
              <w:spacing w:line="360" w:lineRule="auto"/>
              <w:jc w:val="left"/>
              <w:rPr>
                <w:rFonts w:hint="eastAsia" w:ascii="宋体" w:hAnsi="宋体"/>
                <w:color w:val="auto"/>
                <w:sz w:val="21"/>
                <w:szCs w:val="21"/>
                <w:lang w:val="en-US" w:eastAsia="zh-CN"/>
              </w:rPr>
            </w:pPr>
            <w:r>
              <w:rPr>
                <w:rFonts w:hint="eastAsia" w:ascii="宋体" w:hAnsi="宋体"/>
                <w:sz w:val="21"/>
                <w:szCs w:val="21"/>
              </w:rPr>
              <w:t>1021.7096</w:t>
            </w:r>
            <w:r>
              <w:rPr>
                <w:rFonts w:hint="eastAsia" w:ascii="宋体" w:hAnsi="宋体"/>
                <w:color w:val="auto"/>
                <w:sz w:val="21"/>
                <w:szCs w:val="21"/>
              </w:rPr>
              <w:t>万元</w:t>
            </w:r>
          </w:p>
        </w:tc>
        <w:tc>
          <w:tcPr>
            <w:tcW w:w="1200" w:type="dxa"/>
            <w:vAlign w:val="center"/>
          </w:tcPr>
          <w:p>
            <w:pPr>
              <w:widowControl/>
              <w:spacing w:line="360" w:lineRule="auto"/>
              <w:jc w:val="center"/>
              <w:rPr>
                <w:rFonts w:ascii="宋体" w:hAnsi="宋体"/>
                <w:color w:val="auto"/>
                <w:sz w:val="21"/>
                <w:szCs w:val="21"/>
              </w:rPr>
            </w:pPr>
            <w:r>
              <w:rPr>
                <w:rFonts w:hint="eastAsia" w:ascii="宋体" w:hAnsi="宋体"/>
                <w:color w:val="auto"/>
                <w:sz w:val="21"/>
                <w:szCs w:val="21"/>
                <w:lang w:val="en-US" w:eastAsia="zh-CN"/>
              </w:rPr>
              <w:t>60</w:t>
            </w:r>
            <w:r>
              <w:rPr>
                <w:rFonts w:hint="eastAsia" w:ascii="宋体" w:hAnsi="宋体"/>
                <w:color w:val="auto"/>
                <w:sz w:val="21"/>
                <w:szCs w:val="21"/>
              </w:rPr>
              <w:t>天</w:t>
            </w:r>
          </w:p>
        </w:tc>
        <w:tc>
          <w:tcPr>
            <w:tcW w:w="992" w:type="dxa"/>
            <w:vMerge w:val="restart"/>
            <w:vAlign w:val="center"/>
          </w:tcPr>
          <w:p>
            <w:pPr>
              <w:tabs>
                <w:tab w:val="left" w:pos="8280"/>
              </w:tabs>
              <w:autoSpaceDE w:val="0"/>
              <w:autoSpaceDN w:val="0"/>
              <w:adjustRightInd w:val="0"/>
              <w:spacing w:line="360" w:lineRule="auto"/>
              <w:ind w:right="25"/>
              <w:jc w:val="left"/>
              <w:rPr>
                <w:rFonts w:hint="eastAsia" w:eastAsia="宋体"/>
                <w:color w:val="auto"/>
                <w:sz w:val="21"/>
                <w:szCs w:val="21"/>
                <w:lang w:eastAsia="zh-CN"/>
              </w:rPr>
            </w:pPr>
            <w:r>
              <w:rPr>
                <w:rFonts w:hint="eastAsia" w:ascii="宋体" w:hAnsi="宋体"/>
                <w:color w:val="auto"/>
                <w:kern w:val="0"/>
                <w:sz w:val="21"/>
                <w:szCs w:val="21"/>
              </w:rPr>
              <w:t>台州市</w:t>
            </w:r>
            <w:r>
              <w:rPr>
                <w:rFonts w:hint="eastAsia" w:ascii="宋体" w:hAnsi="宋体"/>
                <w:color w:val="auto"/>
                <w:kern w:val="0"/>
                <w:sz w:val="21"/>
                <w:szCs w:val="21"/>
                <w:lang w:val="en-US" w:eastAsia="zh-CN"/>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780" w:type="dxa"/>
            <w:vAlign w:val="center"/>
          </w:tcPr>
          <w:p>
            <w:pPr>
              <w:tabs>
                <w:tab w:val="left" w:pos="8280"/>
              </w:tabs>
              <w:autoSpaceDE w:val="0"/>
              <w:autoSpaceDN w:val="0"/>
              <w:adjustRightInd w:val="0"/>
              <w:spacing w:line="360" w:lineRule="auto"/>
              <w:ind w:right="25" w:firstLine="240"/>
              <w:jc w:val="left"/>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2</w:t>
            </w:r>
          </w:p>
        </w:tc>
        <w:tc>
          <w:tcPr>
            <w:tcW w:w="1383" w:type="dxa"/>
            <w:vAlign w:val="center"/>
          </w:tcPr>
          <w:p>
            <w:pPr>
              <w:widowControl/>
              <w:spacing w:line="360" w:lineRule="auto"/>
              <w:jc w:val="left"/>
              <w:rPr>
                <w:rFonts w:hint="default" w:ascii="宋体" w:hAnsi="宋体" w:eastAsia="宋体"/>
                <w:color w:val="auto"/>
                <w:kern w:val="0"/>
                <w:sz w:val="24"/>
                <w:lang w:val="en-US" w:eastAsia="zh-CN"/>
              </w:rPr>
            </w:pPr>
            <w:r>
              <w:rPr>
                <w:rFonts w:hint="eastAsia" w:ascii="宋体" w:hAnsi="宋体"/>
                <w:color w:val="auto"/>
                <w:kern w:val="0"/>
                <w:sz w:val="22"/>
                <w:szCs w:val="22"/>
                <w:lang w:val="en-US" w:eastAsia="zh-CN"/>
              </w:rPr>
              <w:t>智慧**-虚拟化平台扩容</w:t>
            </w:r>
          </w:p>
        </w:tc>
        <w:tc>
          <w:tcPr>
            <w:tcW w:w="1290" w:type="dxa"/>
            <w:vMerge w:val="continue"/>
            <w:vAlign w:val="center"/>
          </w:tcPr>
          <w:p>
            <w:pPr>
              <w:widowControl/>
              <w:spacing w:line="360" w:lineRule="auto"/>
              <w:jc w:val="left"/>
              <w:rPr>
                <w:rFonts w:ascii="宋体" w:hAnsi="宋体"/>
                <w:color w:val="auto"/>
                <w:sz w:val="24"/>
              </w:rPr>
            </w:pPr>
          </w:p>
        </w:tc>
        <w:tc>
          <w:tcPr>
            <w:tcW w:w="570" w:type="dxa"/>
            <w:vAlign w:val="center"/>
          </w:tcPr>
          <w:p>
            <w:pPr>
              <w:widowControl/>
              <w:spacing w:line="360" w:lineRule="auto"/>
              <w:ind w:firstLine="240" w:firstLineChars="100"/>
              <w:jc w:val="left"/>
              <w:rPr>
                <w:rFonts w:ascii="宋体" w:hAnsi="宋体"/>
                <w:color w:val="auto"/>
                <w:sz w:val="24"/>
              </w:rPr>
            </w:pPr>
            <w:r>
              <w:rPr>
                <w:rFonts w:hint="eastAsia" w:ascii="宋体" w:hAnsi="宋体"/>
                <w:color w:val="auto"/>
                <w:sz w:val="24"/>
              </w:rPr>
              <w:t>1</w:t>
            </w:r>
          </w:p>
        </w:tc>
        <w:tc>
          <w:tcPr>
            <w:tcW w:w="585" w:type="dxa"/>
            <w:vAlign w:val="center"/>
          </w:tcPr>
          <w:p>
            <w:pPr>
              <w:widowControl/>
              <w:spacing w:line="360" w:lineRule="auto"/>
              <w:jc w:val="left"/>
              <w:rPr>
                <w:rFonts w:ascii="宋体" w:hAnsi="宋体"/>
                <w:color w:val="auto"/>
                <w:sz w:val="24"/>
              </w:rPr>
            </w:pPr>
            <w:r>
              <w:rPr>
                <w:rFonts w:hint="eastAsia" w:ascii="宋体" w:hAnsi="宋体"/>
                <w:color w:val="auto"/>
                <w:sz w:val="24"/>
              </w:rPr>
              <w:t>批</w:t>
            </w:r>
          </w:p>
        </w:tc>
        <w:tc>
          <w:tcPr>
            <w:tcW w:w="990" w:type="dxa"/>
            <w:vAlign w:val="center"/>
          </w:tcPr>
          <w:p>
            <w:pPr>
              <w:widowControl/>
              <w:spacing w:line="360" w:lineRule="auto"/>
              <w:jc w:val="left"/>
              <w:rPr>
                <w:rFonts w:ascii="宋体" w:hAnsi="宋体"/>
                <w:color w:val="auto"/>
                <w:sz w:val="24"/>
              </w:rPr>
            </w:pPr>
            <w:r>
              <w:rPr>
                <w:rFonts w:hint="eastAsia" w:ascii="宋体" w:hAnsi="宋体"/>
                <w:color w:val="auto"/>
                <w:sz w:val="24"/>
                <w:lang w:val="en-US" w:eastAsia="zh-CN"/>
              </w:rPr>
              <w:t>636.2</w:t>
            </w:r>
            <w:r>
              <w:rPr>
                <w:rFonts w:hint="eastAsia" w:ascii="宋体" w:hAnsi="宋体"/>
                <w:color w:val="auto"/>
                <w:sz w:val="24"/>
              </w:rPr>
              <w:t>万元</w:t>
            </w:r>
          </w:p>
        </w:tc>
        <w:tc>
          <w:tcPr>
            <w:tcW w:w="960" w:type="dxa"/>
          </w:tcPr>
          <w:p>
            <w:pPr>
              <w:widowControl/>
              <w:spacing w:line="360" w:lineRule="auto"/>
              <w:jc w:val="left"/>
              <w:rPr>
                <w:rFonts w:hint="default" w:ascii="宋体" w:hAnsi="宋体"/>
                <w:color w:val="auto"/>
                <w:sz w:val="24"/>
                <w:lang w:val="en-US" w:eastAsia="zh-CN"/>
              </w:rPr>
            </w:pPr>
            <w:r>
              <w:rPr>
                <w:rFonts w:hint="eastAsia" w:ascii="宋体" w:hAnsi="宋体"/>
                <w:color w:val="auto"/>
                <w:sz w:val="24"/>
                <w:lang w:val="en-US" w:eastAsia="zh-CN"/>
              </w:rPr>
              <w:t>606.68万元</w:t>
            </w:r>
          </w:p>
        </w:tc>
        <w:tc>
          <w:tcPr>
            <w:tcW w:w="1200" w:type="dxa"/>
            <w:vAlign w:val="center"/>
          </w:tcPr>
          <w:p>
            <w:pPr>
              <w:widowControl/>
              <w:spacing w:line="360" w:lineRule="auto"/>
              <w:jc w:val="center"/>
              <w:rPr>
                <w:rFonts w:ascii="宋体" w:hAnsi="宋体"/>
                <w:color w:val="auto"/>
                <w:sz w:val="24"/>
              </w:rPr>
            </w:pPr>
            <w:r>
              <w:rPr>
                <w:rFonts w:hint="eastAsia" w:ascii="宋体" w:hAnsi="宋体"/>
                <w:color w:val="auto"/>
                <w:sz w:val="22"/>
                <w:szCs w:val="22"/>
                <w:lang w:val="en-US" w:eastAsia="zh-CN"/>
              </w:rPr>
              <w:t>30</w:t>
            </w:r>
            <w:r>
              <w:rPr>
                <w:rFonts w:hint="eastAsia" w:ascii="宋体" w:hAnsi="宋体"/>
                <w:color w:val="auto"/>
                <w:sz w:val="24"/>
              </w:rPr>
              <w:t>天</w:t>
            </w:r>
          </w:p>
        </w:tc>
        <w:tc>
          <w:tcPr>
            <w:tcW w:w="992" w:type="dxa"/>
            <w:vMerge w:val="continue"/>
            <w:vAlign w:val="center"/>
          </w:tcPr>
          <w:p>
            <w:pPr>
              <w:tabs>
                <w:tab w:val="left" w:pos="8280"/>
              </w:tabs>
              <w:autoSpaceDE w:val="0"/>
              <w:autoSpaceDN w:val="0"/>
              <w:adjustRightInd w:val="0"/>
              <w:spacing w:line="360" w:lineRule="auto"/>
              <w:ind w:right="25"/>
              <w:jc w:val="left"/>
              <w:rPr>
                <w:rFonts w:ascii="宋体" w:hAnsi="宋体"/>
                <w:color w:val="auto"/>
                <w:kern w:val="0"/>
                <w:sz w:val="24"/>
              </w:rPr>
            </w:pPr>
          </w:p>
        </w:tc>
      </w:tr>
    </w:tbl>
    <w:p>
      <w:pPr>
        <w:widowControl/>
        <w:tabs>
          <w:tab w:val="left" w:pos="0"/>
        </w:tabs>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1、本次采购产品为非进口产品。</w:t>
      </w:r>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2、本项目不接受联合体投标。</w:t>
      </w:r>
    </w:p>
    <w:p>
      <w:pPr>
        <w:pStyle w:val="4"/>
        <w:rPr>
          <w:rFonts w:asciiTheme="minorEastAsia" w:hAnsiTheme="minorEastAsia" w:eastAsiaTheme="minorEastAsia" w:cstheme="minorEastAsia"/>
          <w:b w:val="0"/>
          <w:sz w:val="24"/>
          <w:szCs w:val="24"/>
        </w:rPr>
      </w:pPr>
      <w:bookmarkStart w:id="5" w:name="_Toc28359080"/>
      <w:bookmarkStart w:id="6" w:name="_Toc28359003"/>
      <w:bookmarkStart w:id="7" w:name="_Toc35393622"/>
      <w:bookmarkStart w:id="8" w:name="_Toc35393791"/>
      <w:r>
        <w:rPr>
          <w:rFonts w:hint="eastAsia" w:asciiTheme="minorEastAsia" w:hAnsiTheme="minorEastAsia" w:eastAsiaTheme="minorEastAsia" w:cstheme="minorEastAsia"/>
          <w:b w:val="0"/>
          <w:sz w:val="24"/>
          <w:szCs w:val="24"/>
        </w:rPr>
        <w:t>二、申请人的资格要求：</w:t>
      </w:r>
      <w:bookmarkEnd w:id="5"/>
      <w:bookmarkEnd w:id="6"/>
      <w:bookmarkEnd w:id="7"/>
      <w:bookmarkEnd w:id="8"/>
    </w:p>
    <w:p>
      <w:pPr>
        <w:spacing w:line="360" w:lineRule="auto"/>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1.满足《中华人民共和国政府采购法》第二十二条规定；</w:t>
      </w:r>
    </w:p>
    <w:p>
      <w:pPr>
        <w:pStyle w:val="2"/>
        <w:rPr>
          <w:rFonts w:hint="eastAsia" w:eastAsiaTheme="minorEastAsia"/>
          <w:color w:val="FF0000"/>
          <w:lang w:val="en-US" w:eastAsia="zh-CN"/>
        </w:rPr>
      </w:pPr>
      <w:bookmarkStart w:id="9" w:name="_Toc28359081"/>
      <w:bookmarkStart w:id="10" w:name="_Toc28359004"/>
      <w:r>
        <w:rPr>
          <w:rFonts w:hint="eastAsia" w:asciiTheme="minorEastAsia" w:hAnsiTheme="minorEastAsia" w:eastAsiaTheme="minorEastAsia" w:cstheme="minorEastAsia"/>
          <w:sz w:val="24"/>
        </w:rPr>
        <w:t>2.本项目的特定资格要求：</w:t>
      </w:r>
      <w:r>
        <w:rPr>
          <w:rFonts w:hint="eastAsia" w:asciiTheme="minorEastAsia" w:hAnsiTheme="minorEastAsia" w:eastAsiaTheme="minorEastAsia" w:cstheme="minorEastAsia"/>
          <w:sz w:val="24"/>
          <w:lang w:val="en-US" w:eastAsia="zh-CN"/>
        </w:rPr>
        <w:t>无</w:t>
      </w:r>
    </w:p>
    <w:p>
      <w:pPr>
        <w:pStyle w:val="4"/>
        <w:spacing w:line="360" w:lineRule="auto"/>
        <w:rPr>
          <w:rFonts w:asciiTheme="minorEastAsia" w:hAnsiTheme="minorEastAsia" w:eastAsiaTheme="minorEastAsia" w:cstheme="minorEastAsia"/>
          <w:b w:val="0"/>
          <w:sz w:val="24"/>
          <w:szCs w:val="24"/>
        </w:rPr>
      </w:pPr>
      <w:bookmarkStart w:id="11" w:name="_Toc35393623"/>
      <w:bookmarkStart w:id="12" w:name="_Toc35393792"/>
      <w:r>
        <w:rPr>
          <w:rFonts w:hint="eastAsia" w:asciiTheme="minorEastAsia" w:hAnsiTheme="minorEastAsia" w:eastAsiaTheme="minorEastAsia" w:cstheme="minorEastAsia"/>
          <w:b w:val="0"/>
          <w:sz w:val="24"/>
          <w:szCs w:val="24"/>
        </w:rPr>
        <w:t>三、获取招标文件</w:t>
      </w:r>
      <w:bookmarkEnd w:id="9"/>
      <w:bookmarkEnd w:id="10"/>
      <w:bookmarkEnd w:id="11"/>
      <w:bookmarkEnd w:id="12"/>
    </w:p>
    <w:p>
      <w:pPr>
        <w:spacing w:line="360" w:lineRule="auto"/>
        <w:ind w:firstLine="54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时间：</w:t>
      </w:r>
      <w:r>
        <w:rPr>
          <w:rFonts w:hint="eastAsia" w:asciiTheme="minorEastAsia" w:hAnsiTheme="minorEastAsia" w:eastAsiaTheme="minorEastAsia" w:cstheme="minorEastAsia"/>
          <w:sz w:val="24"/>
          <w:u w:val="single"/>
        </w:rPr>
        <w:t>2020</w:t>
      </w:r>
      <w:r>
        <w:rPr>
          <w:rFonts w:hint="eastAsia" w:asciiTheme="minorEastAsia" w:hAnsiTheme="minorEastAsia" w:eastAsiaTheme="minorEastAsia" w:cstheme="minorEastAsia"/>
          <w:color w:val="auto"/>
          <w:sz w:val="24"/>
          <w:u w:val="single"/>
        </w:rPr>
        <w:t>年</w:t>
      </w:r>
      <w:r>
        <w:rPr>
          <w:rFonts w:hint="eastAsia" w:asciiTheme="minorEastAsia" w:hAnsiTheme="minorEastAsia" w:eastAsiaTheme="minorEastAsia" w:cstheme="minorEastAsia"/>
          <w:color w:val="auto"/>
          <w:sz w:val="24"/>
          <w:u w:val="single"/>
          <w:lang w:val="en-US" w:eastAsia="zh-CN"/>
        </w:rPr>
        <w:t>11</w:t>
      </w:r>
      <w:r>
        <w:rPr>
          <w:rFonts w:hint="eastAsia" w:asciiTheme="minorEastAsia" w:hAnsiTheme="minorEastAsia" w:eastAsiaTheme="minorEastAsia" w:cstheme="minorEastAsia"/>
          <w:color w:val="auto"/>
          <w:sz w:val="24"/>
          <w:u w:val="single"/>
        </w:rPr>
        <w:t>月</w:t>
      </w:r>
      <w:r>
        <w:rPr>
          <w:rFonts w:hint="eastAsia" w:asciiTheme="minorEastAsia" w:hAnsiTheme="minorEastAsia" w:eastAsiaTheme="minorEastAsia" w:cstheme="minorEastAsia"/>
          <w:color w:val="auto"/>
          <w:sz w:val="24"/>
          <w:u w:val="single"/>
          <w:lang w:val="en-US" w:eastAsia="zh-CN"/>
        </w:rPr>
        <w:t>9</w:t>
      </w:r>
      <w:r>
        <w:rPr>
          <w:rFonts w:hint="eastAsia" w:asciiTheme="minorEastAsia" w:hAnsiTheme="minorEastAsia" w:eastAsiaTheme="minorEastAsia" w:cstheme="minorEastAsia"/>
          <w:color w:val="auto"/>
          <w:sz w:val="24"/>
          <w:u w:val="single"/>
        </w:rPr>
        <w:t>日</w:t>
      </w:r>
      <w:r>
        <w:rPr>
          <w:rFonts w:hint="eastAsia" w:asciiTheme="minorEastAsia" w:hAnsiTheme="minorEastAsia" w:eastAsiaTheme="minorEastAsia" w:cstheme="minorEastAsia"/>
          <w:color w:val="auto"/>
          <w:sz w:val="24"/>
        </w:rPr>
        <w:t>至</w:t>
      </w:r>
      <w:r>
        <w:rPr>
          <w:rFonts w:hint="eastAsia" w:asciiTheme="minorEastAsia" w:hAnsiTheme="minorEastAsia" w:eastAsiaTheme="minorEastAsia" w:cstheme="minorEastAsia"/>
          <w:color w:val="auto"/>
          <w:sz w:val="24"/>
          <w:u w:val="single"/>
        </w:rPr>
        <w:t>2020年</w:t>
      </w:r>
      <w:r>
        <w:rPr>
          <w:rFonts w:hint="eastAsia" w:asciiTheme="minorEastAsia" w:hAnsiTheme="minorEastAsia" w:eastAsiaTheme="minorEastAsia" w:cstheme="minorEastAsia"/>
          <w:color w:val="auto"/>
          <w:sz w:val="24"/>
          <w:u w:val="single"/>
          <w:lang w:val="en-US" w:eastAsia="zh-CN"/>
        </w:rPr>
        <w:t>11</w:t>
      </w:r>
      <w:r>
        <w:rPr>
          <w:rFonts w:hint="eastAsia" w:asciiTheme="minorEastAsia" w:hAnsiTheme="minorEastAsia" w:eastAsiaTheme="minorEastAsia" w:cstheme="minorEastAsia"/>
          <w:sz w:val="24"/>
          <w:u w:val="single"/>
        </w:rPr>
        <w:t>月</w:t>
      </w:r>
      <w:r>
        <w:rPr>
          <w:rFonts w:hint="eastAsia" w:asciiTheme="minorEastAsia" w:hAnsiTheme="minorEastAsia" w:eastAsiaTheme="minorEastAsia" w:cstheme="minorEastAsia"/>
          <w:sz w:val="24"/>
          <w:u w:val="single"/>
          <w:lang w:val="en-US" w:eastAsia="zh-CN"/>
        </w:rPr>
        <w:t>13</w:t>
      </w:r>
      <w:r>
        <w:rPr>
          <w:rFonts w:hint="eastAsia" w:asciiTheme="minorEastAsia" w:hAnsiTheme="minorEastAsia" w:eastAsiaTheme="minorEastAsia" w:cstheme="minorEastAsia"/>
          <w:sz w:val="24"/>
          <w:u w:val="single"/>
        </w:rPr>
        <w:t>日</w:t>
      </w:r>
    </w:p>
    <w:p>
      <w:pPr>
        <w:snapToGrid w:val="0"/>
        <w:spacing w:line="360" w:lineRule="auto"/>
        <w:ind w:firstLine="480" w:firstLineChars="200"/>
        <w:rPr>
          <w:rFonts w:cs="Arial" w:asciiTheme="minorEastAsia" w:hAnsiTheme="minorEastAsia" w:eastAsiaTheme="minorEastAsia"/>
          <w:sz w:val="24"/>
        </w:rPr>
      </w:pPr>
      <w:r>
        <w:rPr>
          <w:rFonts w:hint="eastAsia" w:asciiTheme="minorEastAsia" w:hAnsiTheme="minorEastAsia" w:eastAsiaTheme="minorEastAsia" w:cstheme="minorEastAsia"/>
          <w:sz w:val="24"/>
        </w:rPr>
        <w:t>方式：</w:t>
      </w:r>
      <w:r>
        <w:rPr>
          <w:rFonts w:hint="eastAsia" w:cs="Arial" w:asciiTheme="minorEastAsia" w:hAnsiTheme="minorEastAsia" w:eastAsiaTheme="minorEastAsia"/>
          <w:sz w:val="24"/>
        </w:rPr>
        <w:t>投标人在浙江政府采购云平台（</w:t>
      </w:r>
      <w:r>
        <w:rPr>
          <w:rStyle w:val="26"/>
          <w:rFonts w:hint="eastAsia" w:ascii="FangSong_GB2312" w:hAnsi="新宋体" w:eastAsia="FangSong_GB2312" w:cs="Arial"/>
          <w:bCs/>
          <w:color w:val="auto"/>
          <w:sz w:val="24"/>
        </w:rPr>
        <w:t>http://www.zcygov.cn）</w:t>
      </w:r>
      <w:r>
        <w:rPr>
          <w:rFonts w:hint="eastAsia" w:cs="Arial" w:asciiTheme="minorEastAsia" w:hAnsiTheme="minorEastAsia" w:eastAsiaTheme="minorEastAsia"/>
          <w:sz w:val="24"/>
        </w:rPr>
        <w:t>进行网上报名后可免费下载。</w:t>
      </w:r>
      <w:r>
        <w:rPr>
          <w:rFonts w:hint="eastAsia" w:cs="Arial" w:asciiTheme="minorEastAsia" w:hAnsiTheme="minorEastAsia" w:eastAsiaTheme="minorEastAsia"/>
          <w:b/>
          <w:bCs/>
          <w:sz w:val="24"/>
        </w:rPr>
        <w:t>提示：采购机构将拒绝非报名供应商的电子投标文件。</w:t>
      </w:r>
    </w:p>
    <w:p>
      <w:pPr>
        <w:pStyle w:val="4"/>
        <w:rPr>
          <w:rFonts w:asciiTheme="minorEastAsia" w:hAnsiTheme="minorEastAsia" w:eastAsiaTheme="minorEastAsia" w:cstheme="minorEastAsia"/>
          <w:b w:val="0"/>
          <w:color w:val="auto"/>
          <w:sz w:val="24"/>
          <w:szCs w:val="24"/>
        </w:rPr>
      </w:pPr>
      <w:bookmarkStart w:id="13" w:name="_Toc28359005"/>
      <w:bookmarkStart w:id="14" w:name="_Toc28359082"/>
      <w:bookmarkStart w:id="15" w:name="_Toc35393793"/>
      <w:bookmarkStart w:id="16" w:name="_Toc35393624"/>
      <w:r>
        <w:rPr>
          <w:rFonts w:hint="eastAsia" w:asciiTheme="minorEastAsia" w:hAnsiTheme="minorEastAsia" w:eastAsiaTheme="minorEastAsia" w:cstheme="minorEastAsia"/>
          <w:b w:val="0"/>
          <w:sz w:val="24"/>
          <w:szCs w:val="24"/>
        </w:rPr>
        <w:t>四、</w:t>
      </w:r>
      <w:r>
        <w:rPr>
          <w:rFonts w:hint="eastAsia" w:asciiTheme="minorEastAsia" w:hAnsiTheme="minorEastAsia" w:eastAsiaTheme="minorEastAsia" w:cstheme="minorEastAsia"/>
          <w:b w:val="0"/>
          <w:color w:val="auto"/>
          <w:sz w:val="24"/>
          <w:szCs w:val="24"/>
        </w:rPr>
        <w:t>提交投标文件</w:t>
      </w:r>
      <w:bookmarkEnd w:id="13"/>
      <w:bookmarkEnd w:id="14"/>
      <w:r>
        <w:rPr>
          <w:rFonts w:hint="eastAsia" w:asciiTheme="minorEastAsia" w:hAnsiTheme="minorEastAsia" w:eastAsiaTheme="minorEastAsia" w:cstheme="minorEastAsia"/>
          <w:b w:val="0"/>
          <w:color w:val="auto"/>
          <w:sz w:val="24"/>
          <w:szCs w:val="24"/>
        </w:rPr>
        <w:t>截止时间、开标时间和地点</w:t>
      </w:r>
      <w:bookmarkEnd w:id="15"/>
      <w:bookmarkEnd w:id="16"/>
    </w:p>
    <w:p>
      <w:pPr>
        <w:spacing w:line="360" w:lineRule="auto"/>
        <w:ind w:firstLine="480" w:firstLineChars="200"/>
        <w:rPr>
          <w:rFonts w:asciiTheme="minorEastAsia" w:hAnsiTheme="minorEastAsia" w:eastAsiaTheme="minorEastAsia" w:cstheme="minorEastAsia"/>
          <w:bCs/>
          <w:iCs/>
          <w:sz w:val="24"/>
          <w:u w:val="single"/>
        </w:rPr>
      </w:pPr>
      <w:r>
        <w:rPr>
          <w:rFonts w:hint="eastAsia" w:asciiTheme="minorEastAsia" w:hAnsiTheme="minorEastAsia" w:eastAsiaTheme="minorEastAsia" w:cstheme="minorEastAsia"/>
          <w:bCs/>
          <w:color w:val="auto"/>
          <w:sz w:val="24"/>
          <w:u w:val="single"/>
        </w:rPr>
        <w:t xml:space="preserve"> 2020年</w:t>
      </w:r>
      <w:r>
        <w:rPr>
          <w:rFonts w:hint="eastAsia" w:asciiTheme="minorEastAsia" w:hAnsiTheme="minorEastAsia" w:eastAsiaTheme="minorEastAsia" w:cstheme="minorEastAsia"/>
          <w:bCs/>
          <w:color w:val="auto"/>
          <w:sz w:val="24"/>
          <w:u w:val="single"/>
          <w:lang w:val="en-US" w:eastAsia="zh-CN"/>
        </w:rPr>
        <w:t>11</w:t>
      </w:r>
      <w:r>
        <w:rPr>
          <w:rFonts w:hint="eastAsia" w:asciiTheme="minorEastAsia" w:hAnsiTheme="minorEastAsia" w:eastAsiaTheme="minorEastAsia" w:cstheme="minorEastAsia"/>
          <w:bCs/>
          <w:color w:val="auto"/>
          <w:sz w:val="24"/>
          <w:u w:val="single"/>
        </w:rPr>
        <w:t>月</w:t>
      </w:r>
      <w:r>
        <w:rPr>
          <w:rFonts w:hint="eastAsia" w:asciiTheme="minorEastAsia" w:hAnsiTheme="minorEastAsia" w:eastAsiaTheme="minorEastAsia" w:cstheme="minorEastAsia"/>
          <w:bCs/>
          <w:color w:val="auto"/>
          <w:sz w:val="24"/>
          <w:u w:val="single"/>
          <w:lang w:val="en-US" w:eastAsia="zh-CN"/>
        </w:rPr>
        <w:t>27</w:t>
      </w:r>
      <w:r>
        <w:rPr>
          <w:rFonts w:hint="eastAsia" w:asciiTheme="minorEastAsia" w:hAnsiTheme="minorEastAsia" w:eastAsiaTheme="minorEastAsia" w:cstheme="minorEastAsia"/>
          <w:bCs/>
          <w:color w:val="auto"/>
          <w:sz w:val="24"/>
          <w:u w:val="single"/>
        </w:rPr>
        <w:t>日9</w:t>
      </w:r>
      <w:r>
        <w:rPr>
          <w:rFonts w:hint="eastAsia" w:asciiTheme="minorEastAsia" w:hAnsiTheme="minorEastAsia" w:eastAsiaTheme="minorEastAsia" w:cstheme="minorEastAsia"/>
          <w:bCs/>
          <w:sz w:val="24"/>
          <w:u w:val="single"/>
        </w:rPr>
        <w:t>点00分</w:t>
      </w:r>
      <w:r>
        <w:rPr>
          <w:rFonts w:hint="eastAsia" w:asciiTheme="minorEastAsia" w:hAnsiTheme="minorEastAsia" w:eastAsiaTheme="minorEastAsia" w:cstheme="minorEastAsia"/>
          <w:bCs/>
          <w:sz w:val="24"/>
        </w:rPr>
        <w:t>（北京时间）</w:t>
      </w:r>
    </w:p>
    <w:p>
      <w:pPr>
        <w:pStyle w:val="2"/>
        <w:spacing w:line="360" w:lineRule="auto"/>
        <w:rPr>
          <w:rFonts w:asciiTheme="minorEastAsia" w:hAnsiTheme="minorEastAsia" w:eastAsiaTheme="minorEastAsia" w:cstheme="minorEastAsia"/>
          <w:sz w:val="24"/>
          <w:szCs w:val="24"/>
        </w:rPr>
      </w:pPr>
      <w:bookmarkStart w:id="17" w:name="_Toc28359007"/>
      <w:bookmarkStart w:id="18" w:name="_Toc35393625"/>
      <w:bookmarkStart w:id="19" w:name="_Toc28359084"/>
      <w:bookmarkStart w:id="20" w:name="_Toc35393794"/>
      <w:r>
        <w:rPr>
          <w:rFonts w:hint="eastAsia" w:asciiTheme="minorEastAsia" w:hAnsiTheme="minorEastAsia" w:eastAsiaTheme="minorEastAsia" w:cstheme="minorEastAsia"/>
          <w:sz w:val="24"/>
          <w:szCs w:val="24"/>
        </w:rPr>
        <w:t>本项目只接受电子投标文件，具体操作要求见前附表。请在开标当日09:00至09:30完成电子投标文件解密。</w:t>
      </w:r>
    </w:p>
    <w:p>
      <w:pPr>
        <w:pStyle w:val="4"/>
        <w:rPr>
          <w:rFonts w:asciiTheme="minorEastAsia" w:hAnsiTheme="minorEastAsia" w:eastAsiaTheme="minorEastAsia" w:cstheme="minorEastAsia"/>
          <w:b w:val="0"/>
          <w:sz w:val="24"/>
          <w:szCs w:val="24"/>
        </w:rPr>
      </w:pPr>
      <w:r>
        <w:rPr>
          <w:rFonts w:hint="eastAsia" w:asciiTheme="minorEastAsia" w:hAnsiTheme="minorEastAsia" w:eastAsiaTheme="minorEastAsia" w:cstheme="minorEastAsia"/>
          <w:b w:val="0"/>
          <w:sz w:val="24"/>
          <w:szCs w:val="24"/>
        </w:rPr>
        <w:t>五、公告期限</w:t>
      </w:r>
      <w:bookmarkEnd w:id="17"/>
      <w:bookmarkEnd w:id="18"/>
      <w:bookmarkEnd w:id="19"/>
      <w:bookmarkEnd w:id="20"/>
    </w:p>
    <w:p>
      <w:pPr>
        <w:spacing w:line="360" w:lineRule="auto"/>
        <w:ind w:firstLine="480" w:firstLineChars="20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自本公告发布之日起5个工作日。</w:t>
      </w:r>
    </w:p>
    <w:p>
      <w:pPr>
        <w:pStyle w:val="4"/>
        <w:rPr>
          <w:rFonts w:asciiTheme="minorEastAsia" w:hAnsiTheme="minorEastAsia" w:eastAsiaTheme="minorEastAsia" w:cstheme="minorEastAsia"/>
          <w:b w:val="0"/>
          <w:sz w:val="24"/>
          <w:szCs w:val="24"/>
        </w:rPr>
      </w:pPr>
      <w:bookmarkStart w:id="21" w:name="_Toc35393626"/>
      <w:bookmarkStart w:id="22" w:name="_Toc35393795"/>
      <w:r>
        <w:rPr>
          <w:rFonts w:hint="eastAsia" w:asciiTheme="minorEastAsia" w:hAnsiTheme="minorEastAsia" w:eastAsiaTheme="minorEastAsia" w:cstheme="minorEastAsia"/>
          <w:b w:val="0"/>
          <w:sz w:val="24"/>
          <w:szCs w:val="24"/>
        </w:rPr>
        <w:t>六、其他补充事宜</w:t>
      </w:r>
      <w:bookmarkEnd w:id="21"/>
      <w:bookmarkEnd w:id="22"/>
    </w:p>
    <w:p>
      <w:pPr>
        <w:snapToGrid w:val="0"/>
        <w:spacing w:line="360" w:lineRule="auto"/>
        <w:ind w:firstLine="480" w:firstLineChars="200"/>
        <w:rPr>
          <w:rFonts w:cs="Arial" w:asciiTheme="minorEastAsia" w:hAnsiTheme="minorEastAsia" w:eastAsiaTheme="minorEastAsia"/>
          <w:sz w:val="24"/>
        </w:rPr>
      </w:pPr>
      <w:r>
        <w:rPr>
          <w:rFonts w:hint="eastAsia" w:cs="Arial" w:asciiTheme="minorEastAsia" w:hAnsiTheme="minorEastAsia" w:eastAsiaTheme="minorEastAsia"/>
          <w:sz w:val="24"/>
        </w:rPr>
        <w:t>1、供应商认为采购文件使自己的权益受到损害的，可以自收到采购文件之日（获取截止日之后收到采购文件的，以获取截止日为准）起7个工作日内且应当在采购投标截止时间之前，以书面形式一次性向采购人和集中采构机构提出同一环节的质疑。否则，被质疑人可不予接受。质疑供应商对采购人、集中采构机构的答复不满意或者采购人、集中采构机构未在规定的时间内作出答复的，可以在答复期满后十五个工作日内向同级政府采购监督管理部门投诉。</w:t>
      </w:r>
    </w:p>
    <w:p>
      <w:pPr>
        <w:spacing w:line="360" w:lineRule="auto"/>
        <w:ind w:firstLine="480" w:firstLineChars="200"/>
        <w:rPr>
          <w:rFonts w:ascii="宋体" w:hAnsi="宋体" w:cs="Arial"/>
          <w:sz w:val="24"/>
        </w:rPr>
      </w:pPr>
      <w:r>
        <w:rPr>
          <w:rFonts w:hint="eastAsia" w:ascii="宋体" w:hAnsi="宋体" w:cs="Arial"/>
          <w:sz w:val="24"/>
        </w:rPr>
        <w:t>2、根据《浙江省政府采购供应商注册及诚信管理暂行办法》浙财采监【2009】28号文件，请各投标供应商及时办理浙江政府采购网“政府采购供应商注册”手续。</w:t>
      </w:r>
    </w:p>
    <w:p>
      <w:pPr>
        <w:snapToGrid w:val="0"/>
        <w:spacing w:line="360" w:lineRule="auto"/>
        <w:ind w:firstLine="480" w:firstLineChars="200"/>
        <w:rPr>
          <w:rFonts w:asciiTheme="minorEastAsia" w:hAnsiTheme="minorEastAsia" w:eastAsiaTheme="minorEastAsia" w:cstheme="minorEastAsia"/>
          <w:sz w:val="24"/>
        </w:rPr>
      </w:pPr>
      <w:r>
        <w:rPr>
          <w:rFonts w:hint="eastAsia" w:ascii="宋体" w:hAnsi="宋体" w:cs="Arial"/>
          <w:sz w:val="24"/>
        </w:rPr>
        <w:t>3、</w:t>
      </w:r>
      <w:r>
        <w:rPr>
          <w:rFonts w:cs="Arial" w:asciiTheme="minorEastAsia" w:hAnsiTheme="minorEastAsia" w:eastAsiaTheme="minorEastAsia"/>
          <w:sz w:val="24"/>
        </w:rPr>
        <w:t>参与政府采购项目的注册供应商，</w:t>
      </w:r>
      <w:r>
        <w:rPr>
          <w:rFonts w:hint="eastAsia" w:cs="Arial" w:asciiTheme="minorEastAsia" w:hAnsiTheme="minorEastAsia" w:eastAsiaTheme="minorEastAsia"/>
          <w:sz w:val="24"/>
        </w:rPr>
        <w:t>需登录浙江省政府采购网（</w:t>
      </w:r>
      <w:r>
        <w:rPr>
          <w:rFonts w:hint="eastAsia"/>
          <w:sz w:val="24"/>
        </w:rPr>
        <w:fldChar w:fldCharType="begin"/>
      </w:r>
      <w:r>
        <w:rPr>
          <w:sz w:val="24"/>
        </w:rPr>
        <w:instrText xml:space="preserve"> HYPERLINK "http://www.tzztb.com/tzcms/zfcg.jhtml" </w:instrText>
      </w:r>
      <w:r>
        <w:rPr>
          <w:rFonts w:hint="eastAsia"/>
          <w:sz w:val="24"/>
        </w:rPr>
        <w:fldChar w:fldCharType="separate"/>
      </w:r>
      <w:r>
        <w:rPr>
          <w:rFonts w:hint="eastAsia" w:cs="Arial" w:asciiTheme="minorEastAsia" w:hAnsiTheme="minorEastAsia" w:eastAsiaTheme="minorEastAsia"/>
          <w:sz w:val="24"/>
        </w:rPr>
        <w:t>http://www.zjzfcg.gov.cn</w:t>
      </w:r>
      <w:r>
        <w:rPr>
          <w:rFonts w:hint="eastAsia" w:cs="Arial" w:asciiTheme="minorEastAsia" w:hAnsiTheme="minorEastAsia" w:eastAsiaTheme="minorEastAsia"/>
          <w:sz w:val="24"/>
        </w:rPr>
        <w:fldChar w:fldCharType="end"/>
      </w:r>
      <w:r>
        <w:rPr>
          <w:rFonts w:hint="eastAsia" w:cs="Arial" w:asciiTheme="minorEastAsia" w:hAnsiTheme="minorEastAsia" w:eastAsiaTheme="minorEastAsia"/>
          <w:sz w:val="24"/>
        </w:rPr>
        <w:t>）进行网上报名；尚未注册的供应商应当先在浙江政府采购网上申请注册，注册后再进行网</w:t>
      </w:r>
      <w:r>
        <w:rPr>
          <w:rFonts w:cs="Arial" w:asciiTheme="minorEastAsia" w:hAnsiTheme="minorEastAsia" w:eastAsiaTheme="minorEastAsia"/>
          <w:sz w:val="24"/>
        </w:rPr>
        <w:t>上报名</w:t>
      </w:r>
      <w:r>
        <w:rPr>
          <w:rFonts w:hint="eastAsia" w:cs="Arial" w:asciiTheme="minorEastAsia" w:hAnsiTheme="minorEastAsia" w:eastAsiaTheme="minorEastAsia"/>
          <w:sz w:val="24"/>
        </w:rPr>
        <w:t>。</w:t>
      </w:r>
    </w:p>
    <w:p>
      <w:pPr>
        <w:pStyle w:val="4"/>
        <w:rPr>
          <w:rFonts w:asciiTheme="minorEastAsia" w:hAnsiTheme="minorEastAsia" w:eastAsiaTheme="minorEastAsia" w:cstheme="minorEastAsia"/>
          <w:b w:val="0"/>
          <w:sz w:val="24"/>
          <w:szCs w:val="24"/>
        </w:rPr>
      </w:pPr>
      <w:bookmarkStart w:id="23" w:name="_Toc28359085"/>
      <w:bookmarkStart w:id="24" w:name="_Toc28359008"/>
      <w:bookmarkStart w:id="25" w:name="_Toc35393796"/>
      <w:bookmarkStart w:id="26" w:name="_Toc35393627"/>
      <w:r>
        <w:rPr>
          <w:rFonts w:hint="eastAsia" w:asciiTheme="minorEastAsia" w:hAnsiTheme="minorEastAsia" w:eastAsiaTheme="minorEastAsia" w:cstheme="minorEastAsia"/>
          <w:b w:val="0"/>
          <w:sz w:val="24"/>
          <w:szCs w:val="24"/>
        </w:rPr>
        <w:t>七、对本次招标提出询问，请按以下方式联系。</w:t>
      </w:r>
      <w:bookmarkEnd w:id="23"/>
      <w:bookmarkEnd w:id="24"/>
      <w:bookmarkEnd w:id="25"/>
      <w:bookmarkEnd w:id="26"/>
    </w:p>
    <w:p>
      <w:pPr>
        <w:snapToGrid w:val="0"/>
        <w:spacing w:line="360" w:lineRule="auto"/>
        <w:rPr>
          <w:rFonts w:asciiTheme="minorEastAsia" w:hAnsiTheme="minorEastAsia" w:eastAsiaTheme="minorEastAsia" w:cstheme="minorEastAsia"/>
          <w:b/>
          <w:bCs/>
          <w:sz w:val="24"/>
        </w:rPr>
      </w:pPr>
      <w:r>
        <w:rPr>
          <w:rFonts w:hint="eastAsia" w:asciiTheme="minorEastAsia" w:hAnsiTheme="minorEastAsia" w:eastAsiaTheme="minorEastAsia" w:cstheme="minorEastAsia"/>
          <w:sz w:val="24"/>
        </w:rPr>
        <w:t>　　</w:t>
      </w:r>
      <w:r>
        <w:rPr>
          <w:rFonts w:hint="eastAsia" w:asciiTheme="minorEastAsia" w:hAnsiTheme="minorEastAsia" w:eastAsiaTheme="minorEastAsia" w:cstheme="minorEastAsia"/>
          <w:b/>
          <w:bCs/>
          <w:sz w:val="24"/>
        </w:rPr>
        <w:t>　1.采购人</w:t>
      </w:r>
      <w:r>
        <w:rPr>
          <w:rFonts w:hint="eastAsia" w:cs="Arial" w:asciiTheme="minorEastAsia" w:hAnsiTheme="minorEastAsia" w:eastAsiaTheme="minorEastAsia"/>
          <w:b/>
          <w:bCs/>
          <w:sz w:val="24"/>
        </w:rPr>
        <w:t xml:space="preserve">（受理采购文件相关质疑及答复） </w:t>
      </w:r>
    </w:p>
    <w:p>
      <w:pPr>
        <w:snapToGrid w:val="0"/>
        <w:spacing w:line="360" w:lineRule="auto"/>
        <w:ind w:firstLine="720" w:firstLineChars="300"/>
        <w:rPr>
          <w:rFonts w:hint="eastAsia" w:asciiTheme="minorEastAsia" w:hAnsiTheme="minorEastAsia" w:eastAsiaTheme="minorEastAsia"/>
          <w:kern w:val="0"/>
          <w:sz w:val="24"/>
          <w:lang w:eastAsia="zh-CN"/>
        </w:rPr>
      </w:pPr>
      <w:r>
        <w:rPr>
          <w:rFonts w:hint="eastAsia" w:asciiTheme="minorEastAsia" w:hAnsiTheme="minorEastAsia" w:eastAsiaTheme="minorEastAsia" w:cstheme="minorEastAsia"/>
          <w:sz w:val="24"/>
        </w:rPr>
        <w:t>名 称：</w:t>
      </w:r>
      <w:r>
        <w:rPr>
          <w:rFonts w:hint="eastAsia" w:asciiTheme="minorEastAsia" w:hAnsiTheme="minorEastAsia" w:eastAsiaTheme="minorEastAsia"/>
          <w:kern w:val="0"/>
          <w:sz w:val="24"/>
        </w:rPr>
        <w:t>台州市</w:t>
      </w:r>
      <w:r>
        <w:rPr>
          <w:rFonts w:hint="eastAsia" w:asciiTheme="minorEastAsia" w:hAnsiTheme="minorEastAsia" w:eastAsiaTheme="minorEastAsia"/>
          <w:kern w:val="0"/>
          <w:sz w:val="24"/>
          <w:lang w:val="en-US" w:eastAsia="zh-CN"/>
        </w:rPr>
        <w:t>公安局</w:t>
      </w:r>
    </w:p>
    <w:p>
      <w:pPr>
        <w:snapToGrid w:val="0"/>
        <w:spacing w:line="360" w:lineRule="auto"/>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地址：</w:t>
      </w:r>
      <w:r>
        <w:rPr>
          <w:rFonts w:hint="eastAsia" w:asciiTheme="minorEastAsia" w:hAnsiTheme="minorEastAsia" w:eastAsiaTheme="minorEastAsia"/>
          <w:kern w:val="0"/>
          <w:sz w:val="24"/>
        </w:rPr>
        <w:t>台州市椒江区</w:t>
      </w:r>
      <w:r>
        <w:rPr>
          <w:rFonts w:hint="eastAsia" w:asciiTheme="minorEastAsia" w:hAnsiTheme="minorEastAsia" w:eastAsiaTheme="minorEastAsia"/>
          <w:kern w:val="0"/>
          <w:sz w:val="24"/>
          <w:lang w:val="en-US" w:eastAsia="zh-CN"/>
        </w:rPr>
        <w:t>康平路2</w:t>
      </w:r>
      <w:r>
        <w:rPr>
          <w:rFonts w:hint="eastAsia" w:asciiTheme="minorEastAsia" w:hAnsiTheme="minorEastAsia" w:eastAsiaTheme="minorEastAsia"/>
          <w:kern w:val="0"/>
          <w:sz w:val="24"/>
        </w:rPr>
        <w:t>号</w:t>
      </w:r>
    </w:p>
    <w:p>
      <w:pPr>
        <w:snapToGrid w:val="0"/>
        <w:spacing w:line="360" w:lineRule="auto"/>
        <w:ind w:firstLine="720" w:firstLineChars="300"/>
        <w:rPr>
          <w:rFonts w:cs="Arial"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stheme="minorEastAsia"/>
          <w:sz w:val="24"/>
        </w:rPr>
        <w:t>联系人：</w:t>
      </w:r>
      <w:r>
        <w:rPr>
          <w:rFonts w:hint="eastAsia" w:asciiTheme="minorEastAsia" w:hAnsiTheme="minorEastAsia" w:eastAsiaTheme="minorEastAsia" w:cstheme="minorEastAsia"/>
          <w:sz w:val="24"/>
          <w:lang w:val="en-US" w:eastAsia="zh-CN"/>
        </w:rPr>
        <w:t>叶老师（第一标段）、赵</w:t>
      </w:r>
      <w:r>
        <w:rPr>
          <w:rFonts w:hint="eastAsia" w:ascii="Arial" w:hAnsi="Arial" w:cs="Arial"/>
          <w:color w:val="000000"/>
          <w:sz w:val="24"/>
        </w:rPr>
        <w:t>老师</w:t>
      </w:r>
      <w:r>
        <w:rPr>
          <w:rFonts w:hint="eastAsia" w:ascii="Arial" w:hAnsi="Arial" w:cs="Arial"/>
          <w:color w:val="000000"/>
          <w:sz w:val="24"/>
          <w:lang w:eastAsia="zh-CN"/>
        </w:rPr>
        <w:t>（</w:t>
      </w:r>
      <w:r>
        <w:rPr>
          <w:rFonts w:hint="eastAsia" w:ascii="Arial" w:hAnsi="Arial" w:cs="Arial"/>
          <w:color w:val="000000"/>
          <w:sz w:val="24"/>
          <w:lang w:val="en-US" w:eastAsia="zh-CN"/>
        </w:rPr>
        <w:t>第二标段）</w:t>
      </w:r>
      <w:r>
        <w:rPr>
          <w:rFonts w:hint="eastAsia" w:cs="Arial" w:asciiTheme="minorEastAsia" w:hAnsiTheme="minorEastAsia" w:eastAsiaTheme="minorEastAsia"/>
          <w:color w:val="000000" w:themeColor="text1"/>
          <w:sz w:val="24"/>
          <w14:textFill>
            <w14:solidFill>
              <w14:schemeClr w14:val="tx1"/>
            </w14:solidFill>
          </w14:textFill>
        </w:rPr>
        <w:t xml:space="preserve"> </w:t>
      </w:r>
      <w:bookmarkStart w:id="27" w:name="_Toc28359086"/>
      <w:bookmarkStart w:id="28" w:name="_Toc28359009"/>
    </w:p>
    <w:p>
      <w:pPr>
        <w:snapToGrid w:val="0"/>
        <w:spacing w:line="360" w:lineRule="auto"/>
        <w:ind w:firstLine="720" w:firstLineChars="300"/>
        <w:rPr>
          <w:rFonts w:hint="default" w:ascii="Arial" w:hAnsi="Arial" w:cs="Arial" w:eastAsiaTheme="minorEastAsia"/>
          <w:color w:val="000000"/>
          <w:sz w:val="24"/>
          <w:lang w:val="en-US" w:eastAsia="zh-CN"/>
        </w:rPr>
      </w:pPr>
      <w:r>
        <w:rPr>
          <w:rFonts w:hint="eastAsia" w:asciiTheme="minorEastAsia" w:hAnsiTheme="minorEastAsia" w:eastAsiaTheme="minorEastAsia" w:cstheme="minorEastAsia"/>
          <w:sz w:val="24"/>
        </w:rPr>
        <w:t>联系电话：</w:t>
      </w:r>
      <w:r>
        <w:rPr>
          <w:rFonts w:hint="eastAsia" w:asciiTheme="minorEastAsia" w:hAnsiTheme="minorEastAsia" w:eastAsiaTheme="minorEastAsia" w:cstheme="minorEastAsia"/>
          <w:sz w:val="24"/>
          <w:lang w:val="en-US" w:eastAsia="zh-CN"/>
        </w:rPr>
        <w:t>13706550571、</w:t>
      </w:r>
      <w:r>
        <w:rPr>
          <w:rFonts w:hint="eastAsia" w:ascii="宋体" w:hAnsi="宋体" w:eastAsiaTheme="minorEastAsia"/>
          <w:color w:val="000000" w:themeColor="text1"/>
          <w:sz w:val="24"/>
          <w:lang w:val="en-US" w:eastAsia="zh-CN"/>
          <w14:textFill>
            <w14:solidFill>
              <w14:schemeClr w14:val="tx1"/>
            </w14:solidFill>
          </w14:textFill>
        </w:rPr>
        <w:t>13857657666</w:t>
      </w:r>
    </w:p>
    <w:p>
      <w:pPr>
        <w:spacing w:line="360" w:lineRule="auto"/>
        <w:ind w:firstLine="720" w:firstLineChars="300"/>
        <w:rPr>
          <w:rFonts w:asciiTheme="minorEastAsia" w:hAnsiTheme="minorEastAsia" w:eastAsiaTheme="minorEastAsia"/>
          <w:b/>
          <w:sz w:val="24"/>
        </w:rPr>
      </w:pPr>
      <w:r>
        <w:rPr>
          <w:rFonts w:hint="eastAsia" w:asciiTheme="minorEastAsia" w:hAnsiTheme="minorEastAsia" w:eastAsiaTheme="minorEastAsia" w:cstheme="minorEastAsia"/>
          <w:sz w:val="24"/>
        </w:rPr>
        <w:t>2.</w:t>
      </w:r>
      <w:bookmarkEnd w:id="27"/>
      <w:bookmarkEnd w:id="28"/>
      <w:r>
        <w:rPr>
          <w:rFonts w:hint="eastAsia" w:asciiTheme="minorEastAsia" w:hAnsiTheme="minorEastAsia" w:eastAsiaTheme="minorEastAsia"/>
          <w:b/>
          <w:sz w:val="24"/>
        </w:rPr>
        <w:t>集中采购机构</w:t>
      </w:r>
    </w:p>
    <w:p>
      <w:pPr>
        <w:spacing w:line="360" w:lineRule="auto"/>
        <w:ind w:firstLine="720" w:firstLineChars="300"/>
        <w:rPr>
          <w:rFonts w:ascii="宋体"/>
          <w:color w:val="000000" w:themeColor="text1"/>
          <w:kern w:val="0"/>
          <w:sz w:val="24"/>
          <w14:textFill>
            <w14:solidFill>
              <w14:schemeClr w14:val="tx1"/>
            </w14:solidFill>
          </w14:textFill>
        </w:rPr>
      </w:pPr>
      <w:r>
        <w:rPr>
          <w:rFonts w:hint="eastAsia" w:asciiTheme="minorEastAsia" w:hAnsiTheme="minorEastAsia" w:eastAsiaTheme="minorEastAsia" w:cstheme="minorEastAsia"/>
          <w:sz w:val="24"/>
        </w:rPr>
        <w:t>名 称：</w:t>
      </w:r>
      <w:r>
        <w:rPr>
          <w:rFonts w:hint="eastAsia" w:ascii="Arial" w:hAnsi="Arial" w:cs="Arial"/>
          <w:color w:val="000000" w:themeColor="text1"/>
          <w:sz w:val="24"/>
          <w:shd w:val="clear" w:color="auto" w:fill="FFFFFF"/>
          <w14:textFill>
            <w14:solidFill>
              <w14:schemeClr w14:val="tx1"/>
            </w14:solidFill>
          </w14:textFill>
        </w:rPr>
        <w:t>台州市政府采购中心</w:t>
      </w:r>
      <w:r>
        <w:rPr>
          <w:rFonts w:ascii="宋体"/>
          <w:color w:val="000000" w:themeColor="text1"/>
          <w:kern w:val="0"/>
          <w:sz w:val="24"/>
          <w14:textFill>
            <w14:solidFill>
              <w14:schemeClr w14:val="tx1"/>
            </w14:solidFill>
          </w14:textFill>
        </w:rPr>
        <w:t xml:space="preserve">  </w:t>
      </w:r>
    </w:p>
    <w:p>
      <w:pPr>
        <w:snapToGrid w:val="0"/>
        <w:spacing w:line="360" w:lineRule="auto"/>
        <w:ind w:firstLine="720" w:firstLineChars="300"/>
        <w:rPr>
          <w:rFonts w:asciiTheme="minorEastAsia" w:hAnsiTheme="minorEastAsia" w:eastAsiaTheme="minorEastAsia"/>
          <w:kern w:val="0"/>
          <w:sz w:val="24"/>
        </w:rPr>
      </w:pPr>
      <w:r>
        <w:rPr>
          <w:rFonts w:hint="eastAsia" w:asciiTheme="minorEastAsia" w:hAnsiTheme="minorEastAsia" w:eastAsiaTheme="minorEastAsia" w:cstheme="minorEastAsia"/>
          <w:sz w:val="24"/>
        </w:rPr>
        <w:t>地　址：</w:t>
      </w:r>
      <w:r>
        <w:rPr>
          <w:rFonts w:hint="eastAsia" w:asciiTheme="minorEastAsia" w:hAnsiTheme="minorEastAsia" w:eastAsiaTheme="minorEastAsia"/>
          <w:kern w:val="0"/>
          <w:sz w:val="24"/>
        </w:rPr>
        <w:t>台州市公共资源交易中心</w:t>
      </w:r>
    </w:p>
    <w:p>
      <w:pPr>
        <w:snapToGrid w:val="0"/>
        <w:spacing w:line="360" w:lineRule="auto"/>
        <w:ind w:firstLine="720" w:firstLineChars="300"/>
        <w:rPr>
          <w:rFonts w:cs="Arial"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stheme="minorEastAsia"/>
          <w:sz w:val="24"/>
        </w:rPr>
        <w:t>项目联系人：</w:t>
      </w:r>
      <w:bookmarkStart w:id="29" w:name="_Toc28359087"/>
      <w:bookmarkStart w:id="30" w:name="_Toc28359010"/>
      <w:r>
        <w:rPr>
          <w:rFonts w:hint="eastAsia" w:cs="Arial" w:asciiTheme="minorEastAsia" w:hAnsiTheme="minorEastAsia" w:eastAsiaTheme="minorEastAsia"/>
          <w:color w:val="000000" w:themeColor="text1"/>
          <w:sz w:val="24"/>
          <w14:textFill>
            <w14:solidFill>
              <w14:schemeClr w14:val="tx1"/>
            </w14:solidFill>
          </w14:textFill>
        </w:rPr>
        <w:t>陶先生</w:t>
      </w:r>
    </w:p>
    <w:p>
      <w:pPr>
        <w:spacing w:line="360" w:lineRule="auto"/>
        <w:ind w:firstLine="720" w:firstLineChars="300"/>
        <w:rPr>
          <w:rFonts w:asciiTheme="minorEastAsia" w:hAnsiTheme="minorEastAsia" w:eastAsiaTheme="minorEastAsia" w:cstheme="minorEastAsia"/>
          <w:sz w:val="24"/>
          <w:u w:val="single"/>
        </w:rPr>
      </w:pPr>
      <w:r>
        <w:rPr>
          <w:rFonts w:hint="eastAsia" w:asciiTheme="minorEastAsia" w:hAnsiTheme="minorEastAsia" w:eastAsiaTheme="minorEastAsia" w:cstheme="minorEastAsia"/>
          <w:sz w:val="24"/>
        </w:rPr>
        <w:t>联系电话：</w:t>
      </w:r>
      <w:r>
        <w:rPr>
          <w:rFonts w:hint="eastAsia" w:cs="Arial" w:asciiTheme="minorEastAsia" w:hAnsiTheme="minorEastAsia" w:eastAsiaTheme="minorEastAsia"/>
          <w:color w:val="000000" w:themeColor="text1"/>
          <w:sz w:val="24"/>
          <w14:textFill>
            <w14:solidFill>
              <w14:schemeClr w14:val="tx1"/>
            </w14:solidFill>
          </w14:textFill>
        </w:rPr>
        <w:t>0576-88685172</w:t>
      </w:r>
    </w:p>
    <w:p>
      <w:pPr>
        <w:spacing w:line="360" w:lineRule="auto"/>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窗口联系人：候女士（受理供应商注册、中标结果相关质疑及答复）</w:t>
      </w:r>
    </w:p>
    <w:p>
      <w:pPr>
        <w:spacing w:line="360" w:lineRule="auto"/>
        <w:ind w:firstLine="720" w:firstLineChars="3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xml:space="preserve">联系电话：0576-88685121  </w:t>
      </w:r>
    </w:p>
    <w:p>
      <w:pPr>
        <w:pStyle w:val="2"/>
        <w:spacing w:line="360" w:lineRule="auto"/>
        <w:rPr>
          <w:rFonts w:eastAsiaTheme="minorEastAsia"/>
          <w:sz w:val="24"/>
          <w:szCs w:val="24"/>
        </w:rPr>
      </w:pPr>
    </w:p>
    <w:p>
      <w:pPr>
        <w:tabs>
          <w:tab w:val="left" w:pos="720"/>
          <w:tab w:val="left" w:pos="1260"/>
          <w:tab w:val="left" w:pos="2160"/>
          <w:tab w:val="left" w:pos="2880"/>
          <w:tab w:val="left" w:pos="3600"/>
          <w:tab w:val="left" w:pos="4320"/>
          <w:tab w:val="left" w:pos="5040"/>
          <w:tab w:val="left" w:pos="5760"/>
          <w:tab w:val="left" w:pos="8280"/>
        </w:tabs>
        <w:autoSpaceDE w:val="0"/>
        <w:autoSpaceDN w:val="0"/>
        <w:adjustRightInd w:val="0"/>
        <w:spacing w:before="100" w:line="360" w:lineRule="auto"/>
        <w:ind w:right="23" w:firstLine="539"/>
        <w:jc w:val="center"/>
        <w:rPr>
          <w:rFonts w:ascii="宋体"/>
          <w:kern w:val="0"/>
          <w:sz w:val="24"/>
        </w:rPr>
      </w:pPr>
      <w:r>
        <w:rPr>
          <w:rFonts w:hint="eastAsia" w:ascii="Arial" w:hAnsi="Arial" w:cs="Arial"/>
          <w:sz w:val="24"/>
          <w:shd w:val="clear" w:color="auto" w:fill="FFFFFF"/>
        </w:rPr>
        <w:t xml:space="preserve">                                 台州市政府采购中心</w:t>
      </w:r>
      <w:r>
        <w:rPr>
          <w:rFonts w:ascii="宋体"/>
          <w:kern w:val="0"/>
          <w:sz w:val="24"/>
        </w:rPr>
        <w:t xml:space="preserve"> </w:t>
      </w:r>
    </w:p>
    <w:p>
      <w:pPr>
        <w:widowControl/>
        <w:spacing w:line="360" w:lineRule="auto"/>
        <w:jc w:val="left"/>
        <w:rPr>
          <w:rFonts w:asciiTheme="minorEastAsia" w:hAnsiTheme="minorEastAsia" w:eastAsiaTheme="minorEastAsia" w:cstheme="minorEastAsia"/>
          <w:sz w:val="24"/>
        </w:rPr>
      </w:pPr>
      <w:r>
        <w:rPr>
          <w:rFonts w:hint="eastAsia" w:ascii="宋体"/>
          <w:kern w:val="0"/>
          <w:sz w:val="24"/>
        </w:rPr>
        <w:t xml:space="preserve">                                                 2020 年</w:t>
      </w:r>
      <w:r>
        <w:rPr>
          <w:rFonts w:hint="eastAsia" w:ascii="宋体" w:hAnsi="宋体"/>
          <w:color w:val="FF0000"/>
          <w:sz w:val="24"/>
        </w:rPr>
        <w:t xml:space="preserve"> </w:t>
      </w:r>
      <w:r>
        <w:rPr>
          <w:rFonts w:hint="eastAsia" w:ascii="宋体" w:hAnsi="宋体"/>
          <w:color w:val="FF0000"/>
          <w:sz w:val="24"/>
          <w:lang w:val="en-US" w:eastAsia="zh-CN"/>
        </w:rPr>
        <w:t>11</w:t>
      </w:r>
      <w:r>
        <w:rPr>
          <w:rFonts w:hint="eastAsia" w:ascii="宋体"/>
          <w:kern w:val="0"/>
          <w:sz w:val="24"/>
        </w:rPr>
        <w:t>月</w:t>
      </w:r>
      <w:r>
        <w:rPr>
          <w:rFonts w:hint="eastAsia" w:ascii="宋体"/>
          <w:kern w:val="0"/>
          <w:sz w:val="24"/>
          <w:lang w:val="en-US" w:eastAsia="zh-CN"/>
        </w:rPr>
        <w:t>5</w:t>
      </w:r>
      <w:r>
        <w:rPr>
          <w:rFonts w:hint="eastAsia" w:ascii="宋体"/>
          <w:kern w:val="0"/>
          <w:sz w:val="24"/>
        </w:rPr>
        <w:t>日</w:t>
      </w:r>
    </w:p>
    <w:p>
      <w:pPr>
        <w:pStyle w:val="2"/>
        <w:spacing w:line="360" w:lineRule="auto"/>
        <w:rPr>
          <w:rFonts w:eastAsiaTheme="minorEastAsia"/>
          <w:sz w:val="24"/>
          <w:szCs w:val="24"/>
        </w:rPr>
      </w:pPr>
    </w:p>
    <w:p>
      <w:pPr>
        <w:pStyle w:val="2"/>
        <w:spacing w:line="360" w:lineRule="auto"/>
        <w:rPr>
          <w:rFonts w:eastAsiaTheme="minorEastAsia"/>
          <w:sz w:val="24"/>
          <w:szCs w:val="24"/>
        </w:rPr>
      </w:pPr>
    </w:p>
    <w:p>
      <w:pPr>
        <w:pStyle w:val="2"/>
        <w:spacing w:line="360" w:lineRule="auto"/>
        <w:rPr>
          <w:rFonts w:eastAsiaTheme="minorEastAsia"/>
          <w:sz w:val="24"/>
          <w:szCs w:val="24"/>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pStyle w:val="2"/>
        <w:rPr>
          <w:rFonts w:eastAsiaTheme="minorEastAsia"/>
        </w:rPr>
      </w:pPr>
    </w:p>
    <w:p>
      <w:pPr>
        <w:pStyle w:val="2"/>
        <w:ind w:firstLine="0"/>
        <w:rPr>
          <w:rFonts w:eastAsiaTheme="minorEastAsia"/>
        </w:rPr>
      </w:pPr>
    </w:p>
    <w:bookmarkEnd w:id="29"/>
    <w:bookmarkEnd w:id="30"/>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numPr>
          <w:ilvl w:val="0"/>
          <w:numId w:val="6"/>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投标人须知</w:t>
      </w:r>
    </w:p>
    <w:p>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前附表</w:t>
      </w:r>
    </w:p>
    <w:tbl>
      <w:tblPr>
        <w:tblStyle w:val="23"/>
        <w:tblW w:w="943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1954"/>
        <w:gridCol w:w="6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2"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序号</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项    目</w:t>
            </w:r>
          </w:p>
        </w:tc>
        <w:tc>
          <w:tcPr>
            <w:tcW w:w="672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供应商特定</w:t>
            </w:r>
          </w:p>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资格要求</w:t>
            </w:r>
          </w:p>
        </w:tc>
        <w:tc>
          <w:tcPr>
            <w:tcW w:w="67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符合招标公告资格要求的供应商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2</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答疑会或</w:t>
            </w:r>
          </w:p>
          <w:p>
            <w:pPr>
              <w:spacing w:line="360" w:lineRule="auto"/>
              <w:jc w:val="center"/>
              <w:rPr>
                <w:rFonts w:asciiTheme="majorEastAsia" w:hAnsiTheme="majorEastAsia" w:eastAsiaTheme="majorEastAsia" w:cstheme="majorEastAsia"/>
                <w:sz w:val="24"/>
                <w:highlight w:val="yellow"/>
              </w:rPr>
            </w:pPr>
            <w:r>
              <w:rPr>
                <w:rFonts w:hint="eastAsia" w:asciiTheme="majorEastAsia" w:hAnsiTheme="majorEastAsia" w:eastAsiaTheme="majorEastAsia" w:cstheme="majorEastAsia"/>
                <w:sz w:val="24"/>
              </w:rPr>
              <w:t>现场踏勘</w:t>
            </w:r>
          </w:p>
        </w:tc>
        <w:tc>
          <w:tcPr>
            <w:tcW w:w="6729"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szCs w:val="21"/>
              </w:rPr>
            </w:pPr>
            <w:r>
              <w:rPr>
                <w:rFonts w:hint="eastAsia" w:ascii="宋体" w:hAnsi="宋体" w:cs="宋体"/>
                <w:color w:val="000000"/>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3</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sz w:val="24"/>
              </w:rPr>
              <w:t>电子投标要求</w:t>
            </w:r>
          </w:p>
        </w:tc>
        <w:tc>
          <w:tcPr>
            <w:tcW w:w="672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sz w:val="24"/>
              </w:rPr>
            </w:pPr>
            <w:r>
              <w:rPr>
                <w:rFonts w:hint="eastAsia" w:ascii="宋体" w:hAnsi="宋体" w:cs="宋体"/>
                <w:sz w:val="24"/>
              </w:rPr>
              <w:t>投标人须按照采购文件和电子交易平台的要求编制并加密电子投标文件。截止时间：</w:t>
            </w:r>
            <w:r>
              <w:rPr>
                <w:rFonts w:hint="eastAsia" w:ascii="宋体" w:hAnsi="宋体" w:cs="宋体"/>
                <w:sz w:val="24"/>
                <w:lang w:val="en-US" w:eastAsia="zh-CN"/>
              </w:rPr>
              <w:t>开标当日</w:t>
            </w:r>
            <w:r>
              <w:rPr>
                <w:rFonts w:hint="eastAsia" w:ascii="宋体" w:hAnsi="宋体" w:cs="Arial"/>
                <w:sz w:val="24"/>
              </w:rPr>
              <w:t>09:00</w:t>
            </w:r>
          </w:p>
          <w:p>
            <w:pPr>
              <w:pStyle w:val="22"/>
              <w:spacing w:line="360" w:lineRule="auto"/>
              <w:ind w:left="0" w:leftChars="0" w:firstLine="0"/>
              <w:jc w:val="left"/>
              <w:rPr>
                <w:rFonts w:ascii="宋体" w:hAnsi="宋体" w:cs="宋体"/>
                <w:sz w:val="24"/>
              </w:rPr>
            </w:pPr>
            <w:r>
              <w:rPr>
                <w:rFonts w:hint="eastAsia" w:ascii="宋体" w:hAnsi="宋体" w:cs="宋体"/>
                <w:sz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逾期上传的电子投标文件恕不接受。</w:t>
            </w:r>
          </w:p>
          <w:p>
            <w:pPr>
              <w:pStyle w:val="10"/>
              <w:spacing w:line="360" w:lineRule="auto"/>
              <w:rPr>
                <w:rFonts w:hint="eastAsia" w:eastAsia="宋体"/>
                <w:sz w:val="24"/>
                <w:lang w:val="en-US" w:eastAsia="zh-CN"/>
              </w:rPr>
            </w:pPr>
            <w:r>
              <w:rPr>
                <w:rFonts w:hint="eastAsia"/>
                <w:b/>
                <w:bCs/>
                <w:sz w:val="24"/>
              </w:rPr>
              <w:t>温馨提醒：供应商应提前上传，以便在上传时遇到技术问题，有充足的时间请教平台的技术人员。</w:t>
            </w:r>
            <w:r>
              <w:rPr>
                <w:rFonts w:hint="eastAsia"/>
                <w:sz w:val="24"/>
              </w:rPr>
              <w:t>平台技术人员联系人：</w:t>
            </w:r>
            <w:r>
              <w:rPr>
                <w:rFonts w:hint="eastAsia"/>
                <w:sz w:val="24"/>
                <w:lang w:val="en-US" w:eastAsia="zh-CN"/>
              </w:rPr>
              <w:t>徐女士</w:t>
            </w:r>
            <w:r>
              <w:rPr>
                <w:rFonts w:hint="eastAsia"/>
                <w:sz w:val="24"/>
              </w:rPr>
              <w:t>；联系电话：0576-88685161</w:t>
            </w:r>
            <w:r>
              <w:rPr>
                <w:rFonts w:hint="eastAsia"/>
                <w:sz w:val="24"/>
                <w:lang w:val="en-US" w:eastAsia="zh-CN"/>
              </w:rPr>
              <w:t>/</w:t>
            </w:r>
            <w:r>
              <w:rPr>
                <w:rFonts w:hint="eastAsia"/>
                <w:color w:val="auto"/>
                <w:sz w:val="24"/>
                <w:szCs w:val="24"/>
                <w:lang w:val="en-US" w:eastAsia="zh-CN"/>
              </w:rPr>
              <w:t>18806862938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4</w:t>
            </w:r>
          </w:p>
        </w:tc>
        <w:tc>
          <w:tcPr>
            <w:tcW w:w="1954"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left="0" w:leftChars="0" w:firstLine="0"/>
              <w:jc w:val="left"/>
              <w:rPr>
                <w:rFonts w:ascii="宋体" w:hAnsi="宋体" w:cs="宋体"/>
                <w:sz w:val="24"/>
              </w:rPr>
            </w:pPr>
            <w:r>
              <w:rPr>
                <w:rFonts w:hint="eastAsia" w:ascii="宋体" w:hAnsi="宋体" w:cs="宋体"/>
                <w:sz w:val="24"/>
              </w:rPr>
              <w:t>电子投标文件解密要求</w:t>
            </w:r>
          </w:p>
        </w:tc>
        <w:tc>
          <w:tcPr>
            <w:tcW w:w="6729"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left="0" w:leftChars="0" w:firstLine="0"/>
              <w:jc w:val="left"/>
              <w:rPr>
                <w:rFonts w:ascii="宋体" w:hAnsi="宋体" w:cs="宋体"/>
                <w:sz w:val="24"/>
              </w:rPr>
            </w:pPr>
            <w:r>
              <w:rPr>
                <w:rFonts w:hint="eastAsia" w:ascii="宋体" w:hAnsi="宋体" w:cs="宋体"/>
                <w:sz w:val="24"/>
              </w:rPr>
              <w:t>电子投标文件在线解密时间：</w:t>
            </w:r>
            <w:r>
              <w:rPr>
                <w:rFonts w:hint="eastAsia" w:ascii="宋体" w:hAnsi="宋体" w:cs="宋体"/>
                <w:sz w:val="24"/>
                <w:lang w:val="en-US" w:eastAsia="zh-CN"/>
              </w:rPr>
              <w:t>开标当日</w:t>
            </w:r>
            <w:r>
              <w:rPr>
                <w:rFonts w:hint="eastAsia" w:ascii="宋体" w:hAnsi="宋体" w:cs="宋体"/>
                <w:sz w:val="24"/>
              </w:rPr>
              <w:t>09:00至09:30；</w:t>
            </w:r>
          </w:p>
          <w:p>
            <w:pPr>
              <w:pStyle w:val="22"/>
              <w:spacing w:line="360" w:lineRule="auto"/>
              <w:ind w:left="0" w:leftChars="0" w:firstLine="0"/>
              <w:jc w:val="left"/>
              <w:rPr>
                <w:rFonts w:ascii="宋体" w:hAnsi="宋体" w:cs="宋体"/>
                <w:sz w:val="24"/>
              </w:rPr>
            </w:pPr>
            <w:r>
              <w:rPr>
                <w:rFonts w:hint="eastAsia" w:ascii="宋体" w:hAnsi="宋体" w:cs="宋体"/>
                <w:sz w:val="24"/>
              </w:rPr>
              <w:t>投标人应当按规定及时解密，若因技术原因导致电子投标文件未能及时解密的，应联系我中心技术人员在</w:t>
            </w:r>
            <w:r>
              <w:rPr>
                <w:rFonts w:hint="eastAsia" w:ascii="宋体" w:hAnsi="宋体" w:cs="宋体"/>
                <w:b/>
                <w:bCs/>
                <w:sz w:val="24"/>
              </w:rPr>
              <w:t>监管人员</w:t>
            </w:r>
            <w:r>
              <w:rPr>
                <w:rFonts w:hint="eastAsia" w:ascii="宋体" w:hAnsi="宋体" w:cs="宋体"/>
                <w:sz w:val="24"/>
              </w:rPr>
              <w:t>监督下远程协助其完成解密，仍无法完成解密的，应按规定及时递交备份电子投标文件，否则，视同放弃投标。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5</w:t>
            </w:r>
          </w:p>
        </w:tc>
        <w:tc>
          <w:tcPr>
            <w:tcW w:w="1954"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left="0" w:leftChars="0" w:firstLine="0"/>
              <w:jc w:val="left"/>
              <w:rPr>
                <w:rFonts w:ascii="宋体" w:hAnsi="宋体" w:cs="宋体"/>
                <w:sz w:val="24"/>
              </w:rPr>
            </w:pPr>
            <w:r>
              <w:rPr>
                <w:rFonts w:hint="eastAsia" w:ascii="宋体" w:hAnsi="宋体" w:cs="宋体"/>
                <w:sz w:val="24"/>
              </w:rPr>
              <w:t>备份电子投标</w:t>
            </w:r>
          </w:p>
          <w:p>
            <w:pPr>
              <w:pStyle w:val="22"/>
              <w:spacing w:line="360" w:lineRule="auto"/>
              <w:ind w:left="0" w:leftChars="0" w:firstLine="0"/>
              <w:jc w:val="left"/>
              <w:rPr>
                <w:rFonts w:asciiTheme="majorEastAsia" w:hAnsiTheme="majorEastAsia" w:eastAsiaTheme="majorEastAsia" w:cstheme="majorEastAsia"/>
                <w:sz w:val="24"/>
              </w:rPr>
            </w:pPr>
            <w:r>
              <w:rPr>
                <w:rFonts w:hint="eastAsia" w:ascii="宋体" w:hAnsi="宋体" w:cs="宋体"/>
                <w:sz w:val="24"/>
              </w:rPr>
              <w:t>文件制作要求</w:t>
            </w:r>
          </w:p>
        </w:tc>
        <w:tc>
          <w:tcPr>
            <w:tcW w:w="6729"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left="0" w:leftChars="0" w:firstLine="0"/>
              <w:jc w:val="left"/>
              <w:rPr>
                <w:rFonts w:asciiTheme="majorEastAsia" w:hAnsiTheme="majorEastAsia" w:eastAsiaTheme="majorEastAsia" w:cstheme="majorEastAsia"/>
                <w:b/>
                <w:bCs/>
                <w:sz w:val="24"/>
              </w:rPr>
            </w:pPr>
            <w:r>
              <w:rPr>
                <w:rFonts w:hint="eastAsia" w:ascii="宋体" w:hAnsi="宋体" w:cs="宋体"/>
                <w:sz w:val="24"/>
              </w:rPr>
              <w:t>备份电子投标文件是通过“政采云”平台电子投标工具制作电子投标文件产生的备份文件，请投标人自行妥善保管。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6</w:t>
            </w:r>
          </w:p>
        </w:tc>
        <w:tc>
          <w:tcPr>
            <w:tcW w:w="1954"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left="0" w:leftChars="0" w:firstLine="0"/>
              <w:jc w:val="left"/>
              <w:rPr>
                <w:rFonts w:asciiTheme="majorEastAsia" w:hAnsiTheme="majorEastAsia" w:eastAsiaTheme="majorEastAsia" w:cstheme="majorEastAsia"/>
                <w:sz w:val="24"/>
              </w:rPr>
            </w:pPr>
            <w:r>
              <w:rPr>
                <w:rFonts w:hint="eastAsia" w:ascii="宋体" w:hAnsi="宋体" w:cs="宋体"/>
                <w:sz w:val="24"/>
              </w:rPr>
              <w:t>备份电子投标文件使用、递交有关规定</w:t>
            </w:r>
          </w:p>
        </w:tc>
        <w:tc>
          <w:tcPr>
            <w:tcW w:w="6729" w:type="dxa"/>
            <w:tcBorders>
              <w:top w:val="single" w:color="auto" w:sz="4" w:space="0"/>
              <w:left w:val="single" w:color="auto" w:sz="4" w:space="0"/>
              <w:bottom w:val="single" w:color="auto" w:sz="4" w:space="0"/>
              <w:right w:val="single" w:color="auto" w:sz="4" w:space="0"/>
            </w:tcBorders>
            <w:vAlign w:val="center"/>
          </w:tcPr>
          <w:p>
            <w:pPr>
              <w:pStyle w:val="22"/>
              <w:spacing w:line="360" w:lineRule="auto"/>
              <w:ind w:left="0" w:leftChars="0" w:firstLine="0"/>
              <w:jc w:val="left"/>
              <w:rPr>
                <w:rFonts w:ascii="宋体" w:hAnsi="宋体" w:cs="宋体"/>
                <w:sz w:val="24"/>
              </w:rPr>
            </w:pPr>
            <w:r>
              <w:rPr>
                <w:rFonts w:hint="eastAsia" w:ascii="宋体" w:hAnsi="宋体" w:cs="宋体"/>
                <w:sz w:val="24"/>
              </w:rPr>
              <w:t>1.使用前提：投标人自行在线解密操作失败无法按时寻求技术人员帮助解密，或者投标人寻求技术人员帮助仍无法按时完成解密；</w:t>
            </w:r>
          </w:p>
          <w:p>
            <w:pPr>
              <w:pStyle w:val="22"/>
              <w:spacing w:line="360" w:lineRule="auto"/>
              <w:ind w:left="0" w:leftChars="0" w:firstLine="0"/>
              <w:jc w:val="left"/>
              <w:rPr>
                <w:rFonts w:ascii="宋体" w:hAnsi="宋体" w:cs="宋体"/>
                <w:sz w:val="24"/>
              </w:rPr>
            </w:pPr>
            <w:r>
              <w:rPr>
                <w:rFonts w:hint="eastAsia" w:ascii="宋体" w:hAnsi="宋体" w:cs="宋体"/>
                <w:sz w:val="24"/>
              </w:rPr>
              <w:t>2.递交截止时间：</w:t>
            </w:r>
            <w:r>
              <w:rPr>
                <w:rFonts w:hint="eastAsia" w:ascii="宋体" w:hAnsi="宋体" w:cs="宋体"/>
                <w:color w:val="auto"/>
                <w:sz w:val="24"/>
                <w:lang w:val="en-US" w:eastAsia="zh-CN"/>
              </w:rPr>
              <w:t>开标当日</w:t>
            </w:r>
            <w:r>
              <w:rPr>
                <w:rFonts w:hint="eastAsia" w:ascii="宋体" w:hAnsi="宋体" w:cs="宋体"/>
                <w:sz w:val="24"/>
              </w:rPr>
              <w:t>09:50；</w:t>
            </w:r>
          </w:p>
          <w:p>
            <w:pPr>
              <w:pStyle w:val="22"/>
              <w:spacing w:line="360" w:lineRule="auto"/>
              <w:ind w:left="0" w:leftChars="0" w:firstLine="0"/>
              <w:jc w:val="left"/>
              <w:rPr>
                <w:rFonts w:ascii="宋体" w:hAnsi="宋体" w:cs="宋体"/>
                <w:sz w:val="24"/>
              </w:rPr>
            </w:pPr>
            <w:r>
              <w:rPr>
                <w:rFonts w:hint="eastAsia" w:ascii="宋体" w:hAnsi="宋体" w:cs="宋体"/>
                <w:sz w:val="24"/>
              </w:rPr>
              <w:t>3.投递邮箱：开标当日钉钉直播群公布的指定邮箱；</w:t>
            </w:r>
          </w:p>
          <w:p>
            <w:pPr>
              <w:pStyle w:val="22"/>
              <w:spacing w:line="360" w:lineRule="auto"/>
              <w:ind w:left="0" w:leftChars="0" w:firstLine="0"/>
              <w:jc w:val="left"/>
              <w:rPr>
                <w:rFonts w:ascii="宋体" w:hAnsi="宋体" w:cs="宋体"/>
                <w:sz w:val="24"/>
              </w:rPr>
            </w:pPr>
            <w:r>
              <w:rPr>
                <w:rFonts w:hint="eastAsia" w:ascii="宋体" w:hAnsi="宋体" w:cs="宋体"/>
                <w:sz w:val="24"/>
              </w:rPr>
              <w:t>4.未按上述要求递交备份电子投标文件或所提供的的备份电子投标文件不符合要求的视同放弃投标。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7</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样品递交要求</w:t>
            </w:r>
          </w:p>
        </w:tc>
        <w:tc>
          <w:tcPr>
            <w:tcW w:w="6729"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hint="eastAsia" w:eastAsia="宋体"/>
                <w:sz w:val="24"/>
                <w:lang w:eastAsia="zh-CN"/>
              </w:rPr>
            </w:pPr>
            <w:r>
              <w:rPr>
                <w:rFonts w:hint="eastAsia" w:ascii="宋体" w:hAnsi="宋体" w:cs="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8</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投标有效期</w:t>
            </w:r>
          </w:p>
        </w:tc>
        <w:tc>
          <w:tcPr>
            <w:tcW w:w="67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投标有效期为开标后90天，</w:t>
            </w:r>
            <w:r>
              <w:rPr>
                <w:rFonts w:hint="eastAsia" w:asciiTheme="majorEastAsia" w:hAnsiTheme="majorEastAsia" w:eastAsiaTheme="majorEastAsia" w:cstheme="majorEastAsia"/>
                <w:kern w:val="0"/>
                <w:sz w:val="24"/>
              </w:rPr>
              <w:t>投标有效期从提交电子投标文件的截止之日起算。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9</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color w:val="auto"/>
                <w:sz w:val="24"/>
              </w:rPr>
            </w:pPr>
            <w:r>
              <w:rPr>
                <w:rFonts w:hint="eastAsia" w:asciiTheme="majorEastAsia" w:hAnsiTheme="majorEastAsia" w:eastAsiaTheme="majorEastAsia" w:cstheme="majorEastAsia"/>
                <w:color w:val="auto"/>
                <w:sz w:val="24"/>
              </w:rPr>
              <w:t>远程在线演示要求</w:t>
            </w:r>
          </w:p>
        </w:tc>
        <w:tc>
          <w:tcPr>
            <w:tcW w:w="6729"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hint="eastAsia" w:ascii="宋体" w:hAnsi="宋体" w:eastAsia="宋体" w:cs="宋体"/>
                <w:sz w:val="24"/>
                <w:lang w:eastAsia="zh-CN"/>
              </w:rPr>
            </w:pPr>
            <w:r>
              <w:rPr>
                <w:rFonts w:hint="eastAsia" w:ascii="宋体" w:hAnsi="宋体" w:cs="宋体"/>
                <w:sz w:val="24"/>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10</w:t>
            </w:r>
          </w:p>
        </w:tc>
        <w:tc>
          <w:tcPr>
            <w:tcW w:w="1954"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rPr>
                <w:rFonts w:ascii="宋体" w:hAnsi="宋体" w:cs="宋体"/>
                <w:sz w:val="24"/>
                <w:szCs w:val="24"/>
              </w:rPr>
            </w:pPr>
            <w:r>
              <w:rPr>
                <w:rFonts w:hint="eastAsia" w:ascii="宋体" w:hAnsi="宋体" w:cs="宋体"/>
                <w:sz w:val="24"/>
                <w:szCs w:val="24"/>
              </w:rPr>
              <w:t>不见面开标直播</w:t>
            </w:r>
          </w:p>
          <w:p>
            <w:pPr>
              <w:spacing w:line="360" w:lineRule="auto"/>
              <w:jc w:val="center"/>
              <w:rPr>
                <w:rFonts w:asciiTheme="majorEastAsia" w:hAnsiTheme="majorEastAsia" w:eastAsiaTheme="majorEastAsia" w:cstheme="majorEastAsia"/>
                <w:sz w:val="24"/>
              </w:rPr>
            </w:pPr>
          </w:p>
        </w:tc>
        <w:tc>
          <w:tcPr>
            <w:tcW w:w="6729" w:type="dxa"/>
            <w:tcBorders>
              <w:top w:val="single" w:color="auto" w:sz="4" w:space="0"/>
              <w:left w:val="single" w:color="auto" w:sz="4" w:space="0"/>
              <w:bottom w:val="single" w:color="auto" w:sz="4" w:space="0"/>
              <w:right w:val="single" w:color="auto" w:sz="4" w:space="0"/>
            </w:tcBorders>
            <w:vAlign w:val="center"/>
          </w:tcPr>
          <w:p>
            <w:pPr>
              <w:pStyle w:val="2"/>
              <w:spacing w:line="360" w:lineRule="auto"/>
              <w:ind w:firstLine="0"/>
              <w:rPr>
                <w:rFonts w:asciiTheme="majorEastAsia" w:hAnsiTheme="majorEastAsia" w:eastAsiaTheme="majorEastAsia" w:cstheme="majorEastAsia"/>
                <w:sz w:val="24"/>
                <w:szCs w:val="24"/>
              </w:rPr>
            </w:pPr>
            <w:r>
              <w:rPr>
                <w:rFonts w:hint="eastAsia" w:ascii="宋体" w:hAnsi="宋体" w:cs="宋体"/>
                <w:sz w:val="24"/>
                <w:szCs w:val="24"/>
              </w:rPr>
              <w:t xml:space="preserve"> 本项目开评标环节实行全流程电子化，采取不见面钉钉直播开标，投标人可自行下载“钉钉软件”观看。（钉钉直播群号为：</w:t>
            </w:r>
            <w:r>
              <w:rPr>
                <w:rFonts w:hint="eastAsia" w:ascii="宋体" w:hAnsi="宋体" w:cs="宋体"/>
                <w:color w:val="FF0000"/>
                <w:sz w:val="24"/>
                <w:szCs w:val="24"/>
                <w:lang w:val="en-US" w:eastAsia="zh-CN"/>
              </w:rPr>
              <w:t>31065255</w:t>
            </w:r>
            <w:r>
              <w:rPr>
                <w:rFonts w:hint="eastAsia" w:ascii="宋体" w:hAnsi="宋体" w:cs="宋体"/>
                <w:sz w:val="24"/>
                <w:szCs w:val="24"/>
              </w:rPr>
              <w:t>，投标人只能于开标当天</w:t>
            </w:r>
            <w:r>
              <w:rPr>
                <w:rFonts w:hint="eastAsia" w:hAnsi="宋体" w:cs="宋体"/>
                <w:sz w:val="24"/>
                <w:szCs w:val="24"/>
              </w:rPr>
              <w:t>8</w:t>
            </w:r>
            <w:r>
              <w:rPr>
                <w:rFonts w:hint="eastAsia" w:ascii="宋体" w:hAnsi="宋体" w:cs="宋体"/>
                <w:sz w:val="24"/>
                <w:szCs w:val="24"/>
              </w:rPr>
              <w:t>：</w:t>
            </w:r>
            <w:r>
              <w:rPr>
                <w:rFonts w:hint="eastAsia" w:hAnsi="宋体" w:cs="宋体"/>
                <w:sz w:val="24"/>
                <w:szCs w:val="24"/>
              </w:rPr>
              <w:t>45</w:t>
            </w:r>
            <w:r>
              <w:rPr>
                <w:rFonts w:hint="eastAsia" w:ascii="宋体" w:hAnsi="宋体" w:cs="宋体"/>
                <w:sz w:val="24"/>
                <w:szCs w:val="24"/>
              </w:rPr>
              <w:t>以后搜索到群号，并申请进群。所有供应商均应当准时在线参加。</w:t>
            </w:r>
            <w:r>
              <w:rPr>
                <w:rFonts w:hint="eastAsia" w:hAnsi="宋体" w:cs="宋体"/>
                <w:color w:val="FF0000"/>
                <w:sz w:val="24"/>
                <w:szCs w:val="24"/>
              </w:rPr>
              <w:t>如未参加，</w:t>
            </w:r>
            <w:r>
              <w:rPr>
                <w:rFonts w:hint="eastAsia" w:ascii="宋体" w:hAnsi="宋体" w:cs="宋体"/>
                <w:bCs/>
                <w:color w:val="FF0000"/>
                <w:sz w:val="24"/>
                <w:szCs w:val="24"/>
              </w:rPr>
              <w:t>造成无法投标或投标失败等后果由供应商自行承担</w:t>
            </w:r>
            <w:r>
              <w:rPr>
                <w:rFonts w:hint="eastAsia" w:hAnsi="宋体" w:cs="宋体"/>
                <w:bCs/>
                <w:color w:val="FF0000"/>
                <w:sz w:val="24"/>
                <w:szCs w:val="24"/>
              </w:rPr>
              <w:t>。</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11</w:t>
            </w:r>
          </w:p>
        </w:tc>
        <w:tc>
          <w:tcPr>
            <w:tcW w:w="19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sz w:val="24"/>
              </w:rPr>
            </w:pPr>
            <w:r>
              <w:rPr>
                <w:rFonts w:hint="eastAsia" w:cs="Arial" w:asciiTheme="minorEastAsia" w:hAnsiTheme="minorEastAsia" w:eastAsiaTheme="minorEastAsia"/>
                <w:sz w:val="24"/>
              </w:rPr>
              <w:t>投标与开标注意事项</w:t>
            </w:r>
          </w:p>
        </w:tc>
        <w:tc>
          <w:tcPr>
            <w:tcW w:w="6729" w:type="dxa"/>
            <w:tcBorders>
              <w:top w:val="single" w:color="auto" w:sz="4" w:space="0"/>
              <w:left w:val="single" w:color="auto" w:sz="4" w:space="0"/>
              <w:bottom w:val="single" w:color="auto" w:sz="4" w:space="0"/>
              <w:right w:val="single" w:color="auto" w:sz="4" w:space="0"/>
            </w:tcBorders>
            <w:vAlign w:val="center"/>
          </w:tcPr>
          <w:p>
            <w:pPr>
              <w:pStyle w:val="13"/>
              <w:adjustRightInd w:val="0"/>
              <w:snapToGrid w:val="0"/>
              <w:spacing w:line="360" w:lineRule="auto"/>
              <w:rPr>
                <w:rFonts w:hAnsi="宋体" w:cs="宋体"/>
                <w:bCs/>
                <w:sz w:val="24"/>
              </w:rPr>
            </w:pPr>
            <w:r>
              <w:rPr>
                <w:rFonts w:hint="eastAsia" w:hAnsi="宋体" w:cs="宋体"/>
                <w:bCs/>
                <w:sz w:val="24"/>
              </w:rPr>
              <w:t>1.本项目实行电子采购，采用电子投标文件。若供应商参与投标，自行承担投标一切费用。</w:t>
            </w:r>
          </w:p>
          <w:p>
            <w:pPr>
              <w:pStyle w:val="13"/>
              <w:adjustRightInd w:val="0"/>
              <w:snapToGrid w:val="0"/>
              <w:spacing w:line="360" w:lineRule="auto"/>
              <w:rPr>
                <w:rFonts w:hAnsi="宋体" w:cs="宋体"/>
                <w:bCs/>
                <w:sz w:val="24"/>
              </w:rPr>
            </w:pPr>
            <w:r>
              <w:rPr>
                <w:rFonts w:hint="eastAsia" w:hAnsi="宋体" w:cs="宋体"/>
                <w:bCs/>
                <w:sz w:val="24"/>
              </w:rPr>
              <w:t>2.标前准备：各供应商在开标前确保成为浙江省政府采购网正式注册供应商，并完成CA数字证书办理。（办理流程详见本招标公告附件：“政采云CA签章申领操作流程.pdf”）。因未注册入库、未办理CA数字证书等原因造成无法投标或投标失败等后果由供应商自行承担。</w:t>
            </w:r>
          </w:p>
          <w:p>
            <w:pPr>
              <w:spacing w:line="360" w:lineRule="auto"/>
              <w:rPr>
                <w:rFonts w:ascii="宋体" w:hAnsi="宋体" w:cs="宋体"/>
                <w:bCs/>
                <w:sz w:val="24"/>
              </w:rPr>
            </w:pPr>
            <w:r>
              <w:rPr>
                <w:rFonts w:hint="eastAsia" w:ascii="宋体" w:hAnsi="宋体" w:cs="宋体"/>
                <w:bCs/>
                <w:sz w:val="24"/>
              </w:rPr>
              <w:t>3.电子投标文件制作：</w:t>
            </w:r>
          </w:p>
          <w:p>
            <w:pPr>
              <w:spacing w:line="360" w:lineRule="auto"/>
              <w:rPr>
                <w:rFonts w:ascii="宋体" w:hAnsi="宋体" w:cs="宋体"/>
                <w:bCs/>
                <w:sz w:val="24"/>
              </w:rPr>
            </w:pPr>
            <w:r>
              <w:rPr>
                <w:rFonts w:hint="eastAsia" w:ascii="宋体" w:hAnsi="宋体" w:cs="宋体"/>
                <w:bCs/>
                <w:sz w:val="24"/>
              </w:rPr>
              <w:t>3.1应按照本项目招标文件和政采云平台的要求编制、加密并递交电子投标文件。供应商在使用系统进行投标的过程中遇到涉及平台使用的任何问题，可致电政采云平台技术支持热线咨询，联系方式：400-881-7190。</w:t>
            </w:r>
          </w:p>
          <w:p>
            <w:pPr>
              <w:spacing w:line="360" w:lineRule="auto"/>
              <w:rPr>
                <w:rFonts w:asciiTheme="majorEastAsia" w:hAnsiTheme="majorEastAsia" w:eastAsiaTheme="majorEastAsia" w:cstheme="majorEastAsia"/>
                <w:sz w:val="24"/>
              </w:rPr>
            </w:pPr>
            <w:r>
              <w:rPr>
                <w:rFonts w:hint="eastAsia" w:ascii="宋体" w:hAnsi="宋体" w:cs="宋体"/>
                <w:bCs/>
                <w:sz w:val="24"/>
              </w:rPr>
              <w:t>3.2投标人通过“政采云”平台电子投标工具制作电子投标文件，电子投标工具请供应商自行前往浙江省政府采购网下载并安装，（下载网址：http://www.zjzfcg.gov.cn/bidClientTemplate/2019-09-24/12975.html），电子投标文件制作具体流程详见本招标公告附件：“政采云供应商项目采购-电子招投标操作指南.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12</w:t>
            </w:r>
          </w:p>
        </w:tc>
        <w:tc>
          <w:tcPr>
            <w:tcW w:w="195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rPr>
                <w:rFonts w:cs="Arial" w:asciiTheme="minorEastAsia" w:hAnsiTheme="minorEastAsia" w:eastAsiaTheme="minorEastAsia"/>
                <w:bCs/>
                <w:sz w:val="24"/>
              </w:rPr>
            </w:pPr>
            <w:r>
              <w:rPr>
                <w:rFonts w:cs="Arial" w:asciiTheme="minorEastAsia" w:hAnsiTheme="minorEastAsia" w:eastAsiaTheme="minorEastAsia"/>
                <w:bCs/>
                <w:sz w:val="24"/>
              </w:rPr>
              <w:t>投标人信用信息查询渠道及截止时点、信用信息查询记录和证据留存的具体方式、信用信息的使用规则</w:t>
            </w:r>
          </w:p>
          <w:p>
            <w:pPr>
              <w:autoSpaceDE w:val="0"/>
              <w:autoSpaceDN w:val="0"/>
              <w:adjustRightInd w:val="0"/>
              <w:spacing w:line="360" w:lineRule="auto"/>
              <w:jc w:val="center"/>
              <w:rPr>
                <w:rFonts w:asciiTheme="majorEastAsia" w:hAnsiTheme="majorEastAsia" w:eastAsiaTheme="majorEastAsia" w:cstheme="majorEastAsia"/>
                <w:sz w:val="24"/>
              </w:rPr>
            </w:pPr>
          </w:p>
        </w:tc>
        <w:tc>
          <w:tcPr>
            <w:tcW w:w="67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Arial"/>
                <w:sz w:val="24"/>
              </w:rPr>
            </w:pPr>
            <w:r>
              <w:rPr>
                <w:rFonts w:hint="eastAsia" w:cs="Arial" w:asciiTheme="minorEastAsia" w:hAnsiTheme="minorEastAsia" w:eastAsiaTheme="minorEastAsia"/>
                <w:sz w:val="24"/>
              </w:rPr>
              <w:t>1、查询渠道：信用中国（网址：</w:t>
            </w:r>
            <w:r>
              <w:rPr>
                <w:sz w:val="24"/>
              </w:rPr>
              <w:fldChar w:fldCharType="begin"/>
            </w:r>
            <w:r>
              <w:rPr>
                <w:sz w:val="24"/>
              </w:rPr>
              <w:instrText xml:space="preserve"> HYPERLINK "http://www.creditchina.gov.cn" </w:instrText>
            </w:r>
            <w:r>
              <w:rPr>
                <w:sz w:val="24"/>
              </w:rPr>
              <w:fldChar w:fldCharType="separate"/>
            </w:r>
            <w:r>
              <w:rPr>
                <w:rFonts w:cs="Arial" w:asciiTheme="minorEastAsia" w:hAnsiTheme="minorEastAsia" w:eastAsiaTheme="minorEastAsia"/>
                <w:sz w:val="24"/>
              </w:rPr>
              <w:t>http://www.creditchina.gov.cn</w:t>
            </w:r>
            <w:r>
              <w:rPr>
                <w:rFonts w:cs="Arial" w:asciiTheme="minorEastAsia" w:hAnsiTheme="minorEastAsia" w:eastAsiaTheme="minorEastAsia"/>
                <w:sz w:val="24"/>
              </w:rPr>
              <w:fldChar w:fldCharType="end"/>
            </w:r>
            <w:r>
              <w:rPr>
                <w:rFonts w:hint="eastAsia" w:cs="Arial" w:asciiTheme="minorEastAsia" w:hAnsiTheme="minorEastAsia" w:eastAsiaTheme="minorEastAsia"/>
                <w:sz w:val="24"/>
              </w:rPr>
              <w:t>）、中国政府采购网(网址：</w:t>
            </w:r>
            <w:r>
              <w:rPr>
                <w:rFonts w:cs="Arial" w:asciiTheme="minorEastAsia" w:hAnsiTheme="minorEastAsia" w:eastAsiaTheme="minorEastAsia"/>
                <w:sz w:val="24"/>
              </w:rPr>
              <w:t>http://www.ccgp.gov.cn</w:t>
            </w:r>
            <w:r>
              <w:rPr>
                <w:rFonts w:hint="eastAsia" w:cs="Arial" w:asciiTheme="minorEastAsia" w:hAnsiTheme="minorEastAsia" w:eastAsiaTheme="minorEastAsia"/>
                <w:sz w:val="24"/>
              </w:rPr>
              <w:t>）、</w:t>
            </w:r>
            <w:r>
              <w:rPr>
                <w:rFonts w:hint="eastAsia" w:ascii="宋体" w:hAnsi="宋体" w:cs="Arial"/>
                <w:sz w:val="24"/>
              </w:rPr>
              <w:t>国家企业信用信息公示系统（http://www.gsxt.gov.cn/index.html）等。</w:t>
            </w:r>
          </w:p>
          <w:p>
            <w:pPr>
              <w:snapToGrid w:val="0"/>
              <w:spacing w:line="360" w:lineRule="auto"/>
              <w:rPr>
                <w:rFonts w:cs="Arial" w:asciiTheme="minorEastAsia" w:hAnsiTheme="minorEastAsia" w:eastAsiaTheme="minorEastAsia"/>
                <w:b/>
                <w:bCs/>
                <w:sz w:val="24"/>
                <w:shd w:val="clear" w:color="FFFFFF" w:fill="D9D9D9"/>
              </w:rPr>
            </w:pPr>
            <w:r>
              <w:rPr>
                <w:rFonts w:hint="eastAsia" w:cs="Arial" w:asciiTheme="minorEastAsia" w:hAnsiTheme="minorEastAsia" w:eastAsiaTheme="minorEastAsia"/>
                <w:sz w:val="24"/>
              </w:rPr>
              <w:t>2、截止时点：评审结束前。</w:t>
            </w:r>
          </w:p>
          <w:p>
            <w:pPr>
              <w:snapToGrid w:val="0"/>
              <w:spacing w:line="360" w:lineRule="auto"/>
              <w:rPr>
                <w:rFonts w:cs="Arial" w:asciiTheme="minorEastAsia" w:hAnsiTheme="minorEastAsia" w:eastAsiaTheme="minorEastAsia"/>
                <w:sz w:val="24"/>
              </w:rPr>
            </w:pPr>
            <w:r>
              <w:rPr>
                <w:rFonts w:hint="eastAsia" w:cs="Arial" w:asciiTheme="minorEastAsia" w:hAnsiTheme="minorEastAsia" w:eastAsiaTheme="minorEastAsia"/>
                <w:sz w:val="24"/>
              </w:rPr>
              <w:t>3、</w:t>
            </w:r>
            <w:r>
              <w:rPr>
                <w:rFonts w:cs="Arial" w:asciiTheme="minorEastAsia" w:hAnsiTheme="minorEastAsia" w:eastAsiaTheme="minorEastAsia"/>
                <w:sz w:val="24"/>
              </w:rPr>
              <w:t>信用信息查询记录和证据留存的具体方式</w:t>
            </w:r>
            <w:r>
              <w:rPr>
                <w:rFonts w:hint="eastAsia" w:cs="Arial" w:asciiTheme="minorEastAsia" w:hAnsiTheme="minorEastAsia" w:eastAsiaTheme="minorEastAsia"/>
                <w:sz w:val="24"/>
              </w:rPr>
              <w:t>：由采购组织机构在规定查询时间内打印信用信息查询记录并归入项目档案。</w:t>
            </w:r>
          </w:p>
          <w:p>
            <w:pPr>
              <w:snapToGrid w:val="0"/>
              <w:spacing w:line="360" w:lineRule="auto"/>
              <w:rPr>
                <w:rFonts w:asciiTheme="majorEastAsia" w:hAnsiTheme="majorEastAsia" w:cstheme="majorEastAsia"/>
                <w:sz w:val="24"/>
              </w:rPr>
            </w:pPr>
            <w:r>
              <w:rPr>
                <w:rFonts w:hint="eastAsia" w:cs="Arial" w:asciiTheme="minorEastAsia" w:hAnsiTheme="minorEastAsia" w:eastAsiaTheme="minorEastAsia"/>
                <w:sz w:val="24"/>
              </w:rPr>
              <w:t>4、使用规则：对列入失信被执行人、重大税收违法案件当事人名单、政府采购严重违法失信行为记录名单及其他不符合《中华人民共和国政府采购法》第二十二条规定条件的供应商，</w:t>
            </w:r>
            <w:r>
              <w:rPr>
                <w:rFonts w:cs="Arial" w:asciiTheme="minorEastAsia" w:hAnsiTheme="minorEastAsia" w:eastAsiaTheme="minorEastAsia"/>
                <w:sz w:val="24"/>
              </w:rPr>
              <w:t>将被</w:t>
            </w:r>
            <w:r>
              <w:rPr>
                <w:rFonts w:hint="eastAsia" w:cs="Arial" w:asciiTheme="minorEastAsia" w:hAnsiTheme="minorEastAsia" w:eastAsiaTheme="minorEastAsia"/>
                <w:sz w:val="24"/>
              </w:rPr>
              <w:t>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13</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lang w:val="zh-CN"/>
              </w:rPr>
            </w:pPr>
            <w:r>
              <w:rPr>
                <w:rFonts w:hint="eastAsia" w:asciiTheme="majorEastAsia" w:hAnsiTheme="majorEastAsia" w:eastAsiaTheme="majorEastAsia" w:cstheme="majorEastAsia"/>
                <w:sz w:val="24"/>
                <w:lang w:val="en-US" w:eastAsia="zh-CN"/>
              </w:rPr>
              <w:t>小微企业查询</w:t>
            </w:r>
          </w:p>
        </w:tc>
        <w:tc>
          <w:tcPr>
            <w:tcW w:w="67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ajorEastAsia" w:hAnsiTheme="majorEastAsia" w:eastAsiaTheme="majorEastAsia" w:cstheme="majorEastAsia"/>
                <w:kern w:val="0"/>
                <w:sz w:val="24"/>
                <w:lang w:val="zh-CN"/>
              </w:rPr>
            </w:pPr>
            <w:r>
              <w:rPr>
                <w:rFonts w:hint="eastAsia" w:asciiTheme="majorEastAsia" w:hAnsiTheme="majorEastAsia" w:eastAsiaTheme="majorEastAsia" w:cstheme="majorEastAsia"/>
                <w:sz w:val="24"/>
                <w:lang w:val="en-US" w:eastAsia="zh-CN"/>
              </w:rPr>
              <w:t>核查渠道：http://xwqy.gsxt.gov.cn/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14</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投标保证金</w:t>
            </w:r>
          </w:p>
        </w:tc>
        <w:tc>
          <w:tcPr>
            <w:tcW w:w="6729"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sz w:val="24"/>
              </w:rPr>
            </w:pPr>
            <w:r>
              <w:rPr>
                <w:rFonts w:hint="eastAsia" w:asciiTheme="majorEastAsia" w:hAnsiTheme="majorEastAsia" w:eastAsiaTheme="majorEastAsia" w:cstheme="majorEastAsia"/>
                <w:sz w:val="24"/>
              </w:rPr>
              <w:t>零元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15</w:t>
            </w:r>
          </w:p>
        </w:tc>
        <w:tc>
          <w:tcPr>
            <w:tcW w:w="195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履约保证金</w:t>
            </w:r>
          </w:p>
        </w:tc>
        <w:tc>
          <w:tcPr>
            <w:tcW w:w="6729" w:type="dxa"/>
            <w:tcBorders>
              <w:top w:val="single" w:color="auto" w:sz="4" w:space="0"/>
              <w:left w:val="single" w:color="auto" w:sz="4" w:space="0"/>
              <w:bottom w:val="single" w:color="auto" w:sz="4" w:space="0"/>
              <w:right w:val="single" w:color="auto" w:sz="4" w:space="0"/>
            </w:tcBorders>
            <w:vAlign w:val="center"/>
          </w:tcPr>
          <w:p>
            <w:pPr>
              <w:pStyle w:val="10"/>
              <w:spacing w:line="360" w:lineRule="auto"/>
              <w:rPr>
                <w:rFonts w:asciiTheme="majorEastAsia" w:hAnsiTheme="majorEastAsia" w:eastAsiaTheme="majorEastAsia" w:cstheme="majorEastAsia"/>
                <w:sz w:val="24"/>
              </w:rPr>
            </w:pPr>
            <w:r>
              <w:rPr>
                <w:rFonts w:hint="eastAsia" w:asciiTheme="majorEastAsia" w:hAnsiTheme="majorEastAsia" w:cstheme="majorEastAsia"/>
                <w:color w:val="auto"/>
                <w:sz w:val="24"/>
              </w:rPr>
              <w:t>中标后签订合同前5个工作日内，中标人需支付合同金额的5%作为履约保证金，</w:t>
            </w:r>
            <w:r>
              <w:rPr>
                <w:rFonts w:hint="eastAsia" w:ascii="宋体" w:hAnsi="宋体" w:cs="宋体"/>
                <w:color w:val="auto"/>
                <w:sz w:val="24"/>
              </w:rPr>
              <w:t>履约保证金</w:t>
            </w:r>
            <w:r>
              <w:rPr>
                <w:rFonts w:hint="eastAsia" w:ascii="宋体" w:hAnsi="宋体"/>
                <w:color w:val="auto"/>
                <w:sz w:val="24"/>
              </w:rPr>
              <w:t>在项目质保期满</w:t>
            </w:r>
            <w:r>
              <w:rPr>
                <w:rFonts w:hint="eastAsia"/>
                <w:color w:val="auto"/>
                <w:sz w:val="24"/>
                <w:u w:val="single"/>
              </w:rPr>
              <w:t>且无违约扣除情况</w:t>
            </w:r>
            <w:r>
              <w:rPr>
                <w:rFonts w:hint="eastAsia" w:ascii="宋体" w:hAnsi="宋体"/>
                <w:color w:val="auto"/>
                <w:sz w:val="24"/>
              </w:rPr>
              <w:t>后30</w:t>
            </w:r>
            <w:r>
              <w:rPr>
                <w:rFonts w:hint="eastAsia" w:ascii="宋体" w:hAnsi="宋体"/>
                <w:color w:val="auto"/>
                <w:sz w:val="24"/>
                <w:lang w:val="zh-CN"/>
              </w:rPr>
              <w:t>个工作日内无息退还。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rPr>
              <w:t>16</w:t>
            </w:r>
          </w:p>
        </w:tc>
        <w:tc>
          <w:tcPr>
            <w:tcW w:w="19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Theme="majorEastAsia" w:hAnsiTheme="majorEastAsia" w:eastAsiaTheme="majorEastAsia" w:cstheme="majorEastAsia"/>
                <w:sz w:val="24"/>
              </w:rPr>
            </w:pPr>
            <w:r>
              <w:rPr>
                <w:rFonts w:hint="eastAsia" w:asciiTheme="majorEastAsia" w:hAnsiTheme="majorEastAsia" w:eastAsiaTheme="majorEastAsia" w:cstheme="majorEastAsia"/>
                <w:sz w:val="24"/>
                <w:lang w:val="zh-CN"/>
              </w:rPr>
              <w:t>实质性条款</w:t>
            </w:r>
          </w:p>
        </w:tc>
        <w:tc>
          <w:tcPr>
            <w:tcW w:w="67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Theme="majorEastAsia" w:hAnsiTheme="majorEastAsia" w:eastAsiaTheme="majorEastAsia" w:cstheme="majorEastAsia"/>
                <w:sz w:val="24"/>
              </w:rPr>
            </w:pPr>
            <w:r>
              <w:rPr>
                <w:rFonts w:hint="eastAsia" w:asciiTheme="majorEastAsia" w:hAnsiTheme="majorEastAsia" w:eastAsiaTheme="majorEastAsia" w:cstheme="majorEastAsia"/>
                <w:kern w:val="0"/>
                <w:sz w:val="24"/>
                <w:lang w:val="zh-CN"/>
              </w:rPr>
              <w:t>带“</w:t>
            </w:r>
            <w:r>
              <w:rPr>
                <w:rFonts w:hint="eastAsia" w:asciiTheme="majorEastAsia" w:hAnsiTheme="majorEastAsia" w:eastAsiaTheme="majorEastAsia" w:cstheme="majorEastAsia"/>
                <w:bCs/>
                <w:sz w:val="24"/>
              </w:rPr>
              <w:t>▲”的条款是实质性条款，电子投标文件须作出实质性响应，否则作无效投标处理。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7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Theme="majorEastAsia" w:hAnsiTheme="majorEastAsia" w:eastAsiaTheme="majorEastAsia" w:cstheme="majorEastAsia"/>
                <w:sz w:val="24"/>
                <w:lang w:val="en-US" w:eastAsia="zh-CN"/>
              </w:rPr>
            </w:pPr>
            <w:r>
              <w:rPr>
                <w:rFonts w:hint="eastAsia" w:asciiTheme="majorEastAsia" w:hAnsiTheme="majorEastAsia" w:eastAsiaTheme="majorEastAsia" w:cstheme="majorEastAsia"/>
                <w:sz w:val="24"/>
                <w:lang w:val="en-US" w:eastAsia="zh-CN"/>
              </w:rPr>
              <w:t>17</w:t>
            </w:r>
          </w:p>
        </w:tc>
        <w:tc>
          <w:tcPr>
            <w:tcW w:w="195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解释权</w:t>
            </w:r>
          </w:p>
        </w:tc>
        <w:tc>
          <w:tcPr>
            <w:tcW w:w="672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hint="eastAsia" w:asciiTheme="majorEastAsia" w:hAnsiTheme="majorEastAsia" w:eastAsiaTheme="majorEastAsia" w:cstheme="majorEastAsia"/>
                <w:sz w:val="24"/>
              </w:rPr>
            </w:pPr>
            <w:r>
              <w:rPr>
                <w:rFonts w:hint="eastAsia" w:asciiTheme="majorEastAsia" w:hAnsiTheme="majorEastAsia" w:eastAsiaTheme="majorEastAsia" w:cstheme="majorEastAsia"/>
                <w:sz w:val="24"/>
              </w:rPr>
              <w:t>本招标文件解释权属于采购人和</w:t>
            </w:r>
            <w:r>
              <w:rPr>
                <w:rFonts w:hint="eastAsia" w:ascii="宋体" w:hAnsi="宋体" w:cs="Arial"/>
                <w:sz w:val="24"/>
              </w:rPr>
              <w:t>台州市政府采购中心</w:t>
            </w:r>
          </w:p>
        </w:tc>
      </w:tr>
    </w:tbl>
    <w:p>
      <w:pPr>
        <w:pStyle w:val="13"/>
        <w:snapToGrid w:val="0"/>
        <w:spacing w:before="120" w:after="120" w:line="360" w:lineRule="auto"/>
        <w:rPr>
          <w:rFonts w:asciiTheme="minorEastAsia" w:hAnsiTheme="minorEastAsia" w:eastAsiaTheme="minorEastAsia"/>
          <w:b/>
          <w:sz w:val="24"/>
        </w:rPr>
      </w:pPr>
    </w:p>
    <w:p>
      <w:pPr>
        <w:pStyle w:val="13"/>
        <w:snapToGrid w:val="0"/>
        <w:spacing w:before="120" w:after="120" w:line="360" w:lineRule="auto"/>
        <w:rPr>
          <w:rFonts w:asciiTheme="minorEastAsia" w:hAnsiTheme="minorEastAsia" w:eastAsiaTheme="minorEastAsia"/>
          <w:b/>
          <w:sz w:val="24"/>
        </w:rPr>
      </w:pPr>
      <w:r>
        <w:rPr>
          <w:rFonts w:hint="eastAsia" w:asciiTheme="minorEastAsia" w:hAnsiTheme="minorEastAsia" w:eastAsiaTheme="minorEastAsia"/>
          <w:b/>
          <w:sz w:val="24"/>
        </w:rPr>
        <w:t>一 、总  则</w:t>
      </w:r>
    </w:p>
    <w:p>
      <w:pPr>
        <w:snapToGrid w:val="0"/>
        <w:spacing w:line="360" w:lineRule="auto"/>
        <w:ind w:firstLine="472" w:firstLineChars="196"/>
        <w:jc w:val="left"/>
        <w:outlineLvl w:val="1"/>
        <w:rPr>
          <w:rFonts w:asciiTheme="minorEastAsia" w:hAnsiTheme="minorEastAsia" w:eastAsiaTheme="minorEastAsia"/>
          <w:b/>
          <w:sz w:val="24"/>
        </w:rPr>
      </w:pPr>
      <w:r>
        <w:rPr>
          <w:rFonts w:hint="eastAsia" w:asciiTheme="minorEastAsia" w:hAnsiTheme="minorEastAsia" w:eastAsiaTheme="minorEastAsia"/>
          <w:b/>
          <w:sz w:val="24"/>
        </w:rPr>
        <w:t>（一）</w:t>
      </w:r>
      <w:r>
        <w:rPr>
          <w:rFonts w:asciiTheme="minorEastAsia" w:hAnsiTheme="minorEastAsia" w:eastAsiaTheme="minorEastAsia"/>
          <w:b/>
          <w:sz w:val="24"/>
        </w:rPr>
        <w:t xml:space="preserve"> 适用范围</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本招标文件适用于</w:t>
      </w:r>
      <w:r>
        <w:rPr>
          <w:rFonts w:hint="eastAsia" w:asciiTheme="minorEastAsia" w:hAnsiTheme="minorEastAsia" w:eastAsiaTheme="minorEastAsia"/>
          <w:bCs/>
          <w:sz w:val="24"/>
        </w:rPr>
        <w:t>本次</w:t>
      </w:r>
      <w:r>
        <w:rPr>
          <w:rFonts w:hint="eastAsia" w:asciiTheme="minorEastAsia" w:hAnsiTheme="minorEastAsia" w:eastAsiaTheme="minorEastAsia"/>
          <w:sz w:val="24"/>
        </w:rPr>
        <w:t>项目的招标、投标、评标、定标、验收、合同履约、付款等行为（法律、法规另有规定的，从其规定）。</w:t>
      </w:r>
    </w:p>
    <w:p>
      <w:pPr>
        <w:snapToGrid w:val="0"/>
        <w:spacing w:before="120" w:beforeLines="50" w:line="360" w:lineRule="auto"/>
        <w:ind w:firstLine="354" w:firstLineChars="147"/>
        <w:jc w:val="left"/>
        <w:outlineLvl w:val="1"/>
        <w:rPr>
          <w:rFonts w:asciiTheme="minorEastAsia" w:hAnsiTheme="minorEastAsia" w:eastAsiaTheme="minorEastAsia"/>
          <w:b/>
          <w:sz w:val="24"/>
        </w:rPr>
      </w:pPr>
      <w:r>
        <w:rPr>
          <w:rFonts w:hint="eastAsia" w:asciiTheme="minorEastAsia" w:hAnsiTheme="minorEastAsia" w:eastAsiaTheme="minorEastAsia"/>
          <w:b/>
          <w:sz w:val="24"/>
        </w:rPr>
        <w:t>（二）定义</w:t>
      </w:r>
    </w:p>
    <w:p>
      <w:pPr>
        <w:pStyle w:val="5"/>
        <w:keepNext w:val="0"/>
        <w:keepLines w:val="0"/>
        <w:tabs>
          <w:tab w:val="left" w:pos="0"/>
          <w:tab w:val="left" w:pos="851"/>
        </w:tabs>
        <w:snapToGrid w:val="0"/>
        <w:spacing w:before="0" w:after="0" w:line="360" w:lineRule="auto"/>
        <w:ind w:firstLine="566" w:firstLineChars="236"/>
        <w:jc w:val="left"/>
        <w:rPr>
          <w:rFonts w:asciiTheme="minorEastAsia" w:hAnsiTheme="minorEastAsia" w:eastAsiaTheme="minorEastAsia"/>
          <w:bCs w:val="0"/>
          <w:sz w:val="24"/>
          <w:szCs w:val="24"/>
        </w:rPr>
      </w:pPr>
      <w:r>
        <w:rPr>
          <w:rFonts w:hint="eastAsia" w:asciiTheme="minorEastAsia" w:hAnsiTheme="minorEastAsia" w:eastAsiaTheme="minorEastAsia"/>
          <w:sz w:val="24"/>
          <w:szCs w:val="24"/>
        </w:rPr>
        <w:t>1、</w:t>
      </w:r>
      <w:r>
        <w:rPr>
          <w:rFonts w:hint="eastAsia"/>
          <w:bCs w:val="0"/>
          <w:sz w:val="24"/>
          <w:szCs w:val="24"/>
          <w:lang w:val="zh-CN"/>
        </w:rPr>
        <w:t>“采购组织机构”指采购人委托组织招标的集中采购机构</w:t>
      </w:r>
      <w:r>
        <w:rPr>
          <w:rFonts w:hint="eastAsia" w:cs="Arial"/>
          <w:bCs w:val="0"/>
          <w:sz w:val="24"/>
          <w:szCs w:val="24"/>
        </w:rPr>
        <w:t>/</w:t>
      </w:r>
      <w:r>
        <w:rPr>
          <w:rFonts w:hint="eastAsia"/>
          <w:bCs w:val="0"/>
          <w:sz w:val="24"/>
          <w:szCs w:val="24"/>
          <w:lang w:val="zh-CN"/>
        </w:rPr>
        <w:t>采购代理机构。</w:t>
      </w:r>
    </w:p>
    <w:p>
      <w:pPr>
        <w:snapToGrid w:val="0"/>
        <w:spacing w:line="360" w:lineRule="auto"/>
        <w:ind w:firstLine="566" w:firstLineChars="236"/>
        <w:rPr>
          <w:rFonts w:asciiTheme="minorEastAsia" w:hAnsiTheme="minorEastAsia" w:eastAsiaTheme="minorEastAsia"/>
          <w:sz w:val="24"/>
        </w:rPr>
      </w:pPr>
      <w:r>
        <w:rPr>
          <w:rFonts w:hint="eastAsia" w:asciiTheme="minorEastAsia" w:hAnsiTheme="minorEastAsia" w:eastAsiaTheme="minorEastAsia"/>
          <w:sz w:val="24"/>
        </w:rPr>
        <w:t>2、采购人：是指委托</w:t>
      </w:r>
      <w:r>
        <w:rPr>
          <w:rFonts w:hint="eastAsia" w:ascii="宋体" w:hAnsi="宋体"/>
          <w:sz w:val="24"/>
          <w:lang w:val="zh-CN"/>
        </w:rPr>
        <w:t>集中采购机构</w:t>
      </w:r>
      <w:r>
        <w:rPr>
          <w:rFonts w:hint="eastAsia" w:ascii="宋体" w:hAnsi="宋体" w:cs="Arial"/>
          <w:sz w:val="24"/>
        </w:rPr>
        <w:t>/</w:t>
      </w:r>
      <w:r>
        <w:rPr>
          <w:rFonts w:hint="eastAsia" w:asciiTheme="minorEastAsia" w:hAnsiTheme="minorEastAsia" w:eastAsiaTheme="minorEastAsia"/>
          <w:sz w:val="24"/>
        </w:rPr>
        <w:t>采购代理机构采购本次项目的国家机关、事业单位和团体组织。</w:t>
      </w:r>
    </w:p>
    <w:p>
      <w:pPr>
        <w:snapToGrid w:val="0"/>
        <w:spacing w:line="360" w:lineRule="auto"/>
        <w:ind w:left="424" w:leftChars="202" w:firstLine="141" w:firstLineChars="59"/>
        <w:jc w:val="left"/>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投标人</w:t>
      </w:r>
      <w:r>
        <w:rPr>
          <w:rFonts w:hint="eastAsia" w:asciiTheme="minorEastAsia" w:hAnsiTheme="minorEastAsia" w:eastAsiaTheme="minorEastAsia"/>
          <w:sz w:val="24"/>
        </w:rPr>
        <w:t>：是</w:t>
      </w:r>
      <w:r>
        <w:rPr>
          <w:rFonts w:asciiTheme="minorEastAsia" w:hAnsiTheme="minorEastAsia" w:eastAsiaTheme="minorEastAsia"/>
          <w:sz w:val="24"/>
        </w:rPr>
        <w:t>指向</w:t>
      </w:r>
      <w:r>
        <w:rPr>
          <w:rFonts w:hint="eastAsia" w:asciiTheme="minorEastAsia" w:hAnsiTheme="minorEastAsia" w:eastAsiaTheme="minorEastAsia"/>
          <w:sz w:val="24"/>
        </w:rPr>
        <w:t>采购</w:t>
      </w:r>
      <w:r>
        <w:rPr>
          <w:rFonts w:hint="eastAsia" w:ascii="宋体" w:hAnsi="宋体"/>
          <w:sz w:val="24"/>
          <w:lang w:val="zh-CN"/>
        </w:rPr>
        <w:t>组织</w:t>
      </w:r>
      <w:r>
        <w:rPr>
          <w:rFonts w:hint="eastAsia" w:asciiTheme="minorEastAsia" w:hAnsiTheme="minorEastAsia" w:eastAsiaTheme="minorEastAsia"/>
          <w:sz w:val="24"/>
        </w:rPr>
        <w:t>机构</w:t>
      </w:r>
      <w:r>
        <w:rPr>
          <w:rFonts w:asciiTheme="minorEastAsia" w:hAnsiTheme="minorEastAsia" w:eastAsiaTheme="minorEastAsia"/>
          <w:sz w:val="24"/>
        </w:rPr>
        <w:t>提交</w:t>
      </w:r>
      <w:r>
        <w:rPr>
          <w:rFonts w:hint="eastAsia" w:asciiTheme="minorEastAsia" w:hAnsiTheme="minorEastAsia" w:eastAsiaTheme="minorEastAsia"/>
          <w:sz w:val="24"/>
        </w:rPr>
        <w:t>电子投标文件</w:t>
      </w:r>
      <w:r>
        <w:rPr>
          <w:rFonts w:asciiTheme="minorEastAsia" w:hAnsiTheme="minorEastAsia" w:eastAsiaTheme="minorEastAsia"/>
          <w:sz w:val="24"/>
        </w:rPr>
        <w:t>的单位或个人。</w:t>
      </w:r>
    </w:p>
    <w:p>
      <w:pPr>
        <w:snapToGrid w:val="0"/>
        <w:spacing w:line="360" w:lineRule="auto"/>
        <w:ind w:left="424" w:leftChars="202" w:firstLine="143"/>
        <w:jc w:val="left"/>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货物</w:t>
      </w:r>
      <w:r>
        <w:rPr>
          <w:rFonts w:hint="eastAsia" w:asciiTheme="minorEastAsia" w:hAnsiTheme="minorEastAsia" w:eastAsiaTheme="minorEastAsia"/>
          <w:sz w:val="24"/>
        </w:rPr>
        <w:t>：</w:t>
      </w:r>
      <w:r>
        <w:rPr>
          <w:rFonts w:asciiTheme="minorEastAsia" w:hAnsiTheme="minorEastAsia" w:eastAsiaTheme="minorEastAsia"/>
          <w:sz w:val="24"/>
        </w:rPr>
        <w:t>是指各种形态和种类的物品，包括原材料、燃料、设备、产品等。</w:t>
      </w:r>
    </w:p>
    <w:p>
      <w:pPr>
        <w:snapToGrid w:val="0"/>
        <w:spacing w:line="360" w:lineRule="auto"/>
        <w:ind w:firstLine="566" w:firstLineChars="236"/>
        <w:jc w:val="left"/>
        <w:rPr>
          <w:rFonts w:asciiTheme="minorEastAsia" w:hAnsiTheme="minorEastAsia" w:eastAsiaTheme="minorEastAsia"/>
          <w:b/>
          <w:sz w:val="24"/>
        </w:rPr>
      </w:pPr>
      <w:r>
        <w:rPr>
          <w:rFonts w:hint="eastAsia" w:asciiTheme="minorEastAsia" w:hAnsiTheme="minorEastAsia" w:eastAsiaTheme="minorEastAsia"/>
          <w:sz w:val="24"/>
        </w:rPr>
        <w:t>5、</w:t>
      </w:r>
      <w:r>
        <w:rPr>
          <w:rFonts w:asciiTheme="minorEastAsia" w:hAnsiTheme="minorEastAsia" w:eastAsiaTheme="minorEastAsia"/>
          <w:sz w:val="24"/>
        </w:rPr>
        <w:t>服务</w:t>
      </w:r>
      <w:r>
        <w:rPr>
          <w:rFonts w:hint="eastAsia" w:asciiTheme="minorEastAsia" w:hAnsiTheme="minorEastAsia" w:eastAsiaTheme="minorEastAsia"/>
          <w:sz w:val="24"/>
        </w:rPr>
        <w:t>：</w:t>
      </w:r>
      <w:r>
        <w:rPr>
          <w:rFonts w:asciiTheme="minorEastAsia" w:hAnsiTheme="minorEastAsia" w:eastAsiaTheme="minorEastAsia"/>
          <w:sz w:val="24"/>
        </w:rPr>
        <w:t>是指除货物和工程以外的政府采购对象，包括各类专业服务、信息网络开发服务、金融保险服务、运输服务，以及维修与维护服务等。</w:t>
      </w:r>
    </w:p>
    <w:p>
      <w:pPr>
        <w:snapToGrid w:val="0"/>
        <w:spacing w:line="360" w:lineRule="auto"/>
        <w:ind w:firstLine="566" w:firstLineChars="236"/>
        <w:jc w:val="left"/>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“书面形式”包括信函、传真等。</w:t>
      </w:r>
    </w:p>
    <w:p>
      <w:pPr>
        <w:snapToGrid w:val="0"/>
        <w:spacing w:line="360" w:lineRule="auto"/>
        <w:ind w:firstLine="566" w:firstLineChars="236"/>
        <w:jc w:val="left"/>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“▲”系指实质性要求条款。</w:t>
      </w:r>
    </w:p>
    <w:p>
      <w:pPr>
        <w:snapToGrid w:val="0"/>
        <w:spacing w:before="120" w:beforeLines="50" w:line="360" w:lineRule="auto"/>
        <w:ind w:firstLine="472" w:firstLineChars="196"/>
        <w:jc w:val="left"/>
        <w:outlineLvl w:val="1"/>
        <w:rPr>
          <w:rFonts w:asciiTheme="minorEastAsia" w:hAnsiTheme="minorEastAsia" w:eastAsiaTheme="minorEastAsia"/>
          <w:b/>
          <w:sz w:val="24"/>
        </w:rPr>
      </w:pPr>
      <w:r>
        <w:rPr>
          <w:rFonts w:hint="eastAsia" w:asciiTheme="minorEastAsia" w:hAnsiTheme="minorEastAsia" w:eastAsiaTheme="minorEastAsia"/>
          <w:b/>
          <w:sz w:val="24"/>
        </w:rPr>
        <w:t>（三）投标费用</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不论投标结果如何，投标人均应自行承担所有与投标有关的全部费用（招标文件有相关规定除外）。</w:t>
      </w:r>
    </w:p>
    <w:p>
      <w:pPr>
        <w:pStyle w:val="13"/>
        <w:snapToGrid w:val="0"/>
        <w:spacing w:line="360" w:lineRule="auto"/>
        <w:ind w:left="2" w:leftChars="1" w:firstLine="482" w:firstLineChars="200"/>
        <w:rPr>
          <w:rFonts w:hAnsi="宋体"/>
          <w:b/>
          <w:sz w:val="24"/>
        </w:rPr>
      </w:pPr>
      <w:r>
        <w:rPr>
          <w:rFonts w:hint="eastAsia" w:hAnsi="宋体"/>
          <w:b/>
          <w:sz w:val="24"/>
        </w:rPr>
        <w:t>（四）特别说明</w:t>
      </w:r>
    </w:p>
    <w:p>
      <w:pPr>
        <w:pStyle w:val="13"/>
        <w:snapToGrid w:val="0"/>
        <w:spacing w:line="360" w:lineRule="auto"/>
        <w:ind w:left="2" w:leftChars="1" w:firstLine="480" w:firstLineChars="200"/>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投标人投标所使用的资格、信誉、荣誉、业绩与企业认证必须为本法人所拥有。投标人投标所使用的采购项目实施人员必须为本法人员工（</w:t>
      </w:r>
      <w:r>
        <w:rPr>
          <w:rFonts w:hint="eastAsia" w:asciiTheme="minorEastAsia" w:hAnsiTheme="minorEastAsia" w:eastAsiaTheme="minorEastAsia"/>
          <w:sz w:val="24"/>
        </w:rPr>
        <w:t>指</w:t>
      </w:r>
      <w:r>
        <w:rPr>
          <w:rFonts w:asciiTheme="minorEastAsia" w:hAnsiTheme="minorEastAsia" w:eastAsiaTheme="minorEastAsia"/>
          <w:sz w:val="24"/>
        </w:rPr>
        <w:t>本法人或控股公司正式员工）。</w:t>
      </w:r>
    </w:p>
    <w:p>
      <w:pPr>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2、投标供应商所投产品除招标文件中明确规定要求“提供官网截图或相应检测报告的证明材料”以外，所有技术参数描述均以电子投标文件为准。投标供应商对所投产品技术参数的真实性承担法律责任。项目招标结束后、质疑期限内，如有质疑供应商认为中标供应商所投产品、电子投标文件技术参数与招标需求存在重大偏离、错误、甚至造假的情况，应提供具体有效的证明材料。</w:t>
      </w:r>
      <w:r>
        <w:rPr>
          <w:rFonts w:hint="eastAsia" w:asciiTheme="minorEastAsia" w:hAnsiTheme="minorEastAsia" w:eastAsiaTheme="minorEastAsia" w:cstheme="minorBidi"/>
          <w:sz w:val="24"/>
        </w:rPr>
        <w:tab/>
      </w:r>
    </w:p>
    <w:p>
      <w:pPr>
        <w:pStyle w:val="31"/>
        <w:snapToGrid w:val="0"/>
        <w:spacing w:line="360" w:lineRule="auto"/>
        <w:ind w:firstLineChars="0"/>
        <w:rPr>
          <w:rFonts w:asciiTheme="minorEastAsia" w:hAnsiTheme="minorEastAsia" w:eastAsiaTheme="minorEastAsia" w:cstheme="minorBidi"/>
          <w:sz w:val="24"/>
          <w:szCs w:val="24"/>
        </w:rPr>
      </w:pPr>
      <w:r>
        <w:rPr>
          <w:rFonts w:hint="eastAsia" w:asciiTheme="minorEastAsia" w:hAnsiTheme="minorEastAsia" w:eastAsiaTheme="minorEastAsia" w:cstheme="minorBidi"/>
          <w:sz w:val="24"/>
          <w:szCs w:val="24"/>
        </w:rPr>
        <w:t>3、</w:t>
      </w:r>
      <w:r>
        <w:rPr>
          <w:rFonts w:asciiTheme="minorEastAsia" w:hAnsiTheme="minorEastAsia" w:eastAsiaTheme="minorEastAsia" w:cstheme="minorBidi"/>
          <w:sz w:val="24"/>
          <w:szCs w:val="24"/>
        </w:rPr>
        <w:t>投标人在投标活动中提供任何虚假材料,其投标无效，并报监管部门查处；中标后发现的,根据《中华人民共和国政府采购法》第七十七条第一款第一项之规定</w:t>
      </w:r>
      <w:r>
        <w:rPr>
          <w:rFonts w:hint="eastAsia" w:asciiTheme="minorEastAsia" w:hAnsiTheme="minorEastAsia" w:eastAsiaTheme="minorEastAsia" w:cstheme="minorBidi"/>
          <w:sz w:val="24"/>
          <w:szCs w:val="24"/>
        </w:rPr>
        <w:t>，</w:t>
      </w:r>
      <w:r>
        <w:rPr>
          <w:rFonts w:asciiTheme="minorEastAsia" w:hAnsiTheme="minorEastAsia" w:eastAsiaTheme="minorEastAsia" w:cstheme="minorBidi"/>
          <w:sz w:val="24"/>
          <w:szCs w:val="24"/>
        </w:rPr>
        <w:t>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r>
        <w:rPr>
          <w:rFonts w:hint="eastAsia" w:asciiTheme="minorEastAsia" w:hAnsiTheme="minorEastAsia" w:eastAsiaTheme="minorEastAsia" w:cstheme="minorBidi"/>
          <w:sz w:val="24"/>
          <w:szCs w:val="24"/>
        </w:rPr>
        <w:t>。</w:t>
      </w:r>
    </w:p>
    <w:p>
      <w:pPr>
        <w:pStyle w:val="5"/>
        <w:keepNext w:val="0"/>
        <w:keepLines w:val="0"/>
        <w:tabs>
          <w:tab w:val="left" w:pos="851"/>
        </w:tabs>
        <w:snapToGrid w:val="0"/>
        <w:spacing w:before="0" w:after="0" w:line="360" w:lineRule="auto"/>
        <w:ind w:firstLine="480" w:firstLineChars="200"/>
        <w:rPr>
          <w:rFonts w:asciiTheme="minorEastAsia" w:hAnsiTheme="minorEastAsia" w:eastAsiaTheme="minorEastAsia" w:cstheme="minorBidi"/>
          <w:sz w:val="24"/>
          <w:szCs w:val="24"/>
        </w:rPr>
      </w:pPr>
      <w:r>
        <w:rPr>
          <w:rFonts w:hint="eastAsia" w:asciiTheme="minorEastAsia" w:hAnsiTheme="minorEastAsia" w:eastAsiaTheme="minorEastAsia"/>
          <w:sz w:val="24"/>
          <w:szCs w:val="24"/>
        </w:rPr>
        <w:t>4、投标人被列入“黑名单”的，采购组织单位将根据《浙江省政府采购供应商注册及诚信管理暂行办法》第四十六条之规定，在处罚有效期内，资格审查时不予通过。</w:t>
      </w:r>
    </w:p>
    <w:p>
      <w:pPr>
        <w:pStyle w:val="5"/>
        <w:keepNext w:val="0"/>
        <w:keepLines w:val="0"/>
        <w:tabs>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bCs w:val="0"/>
          <w:sz w:val="24"/>
          <w:szCs w:val="24"/>
        </w:rPr>
        <w:t>5、投标人不得相互串通投标报价，不得妨碍其他投标人的公平竞争，不得损害采购人或其他投标人的合法权益，投标人不得以向采购人、评标委员会成员行贿或者采取其他不正当手段谋取中标。</w:t>
      </w:r>
    </w:p>
    <w:p>
      <w:pPr>
        <w:pStyle w:val="5"/>
        <w:keepNext w:val="0"/>
        <w:keepLines w:val="0"/>
        <w:tabs>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bCs w:val="0"/>
          <w:sz w:val="24"/>
          <w:szCs w:val="24"/>
        </w:rPr>
        <w:t>6、为采购项目提供整体设计、规范编制或者项目管理、监理、检测等服务的供应商，不得再参加该采购项目的其他采购活动。</w:t>
      </w:r>
    </w:p>
    <w:p>
      <w:pPr>
        <w:pStyle w:val="5"/>
        <w:keepNext w:val="0"/>
        <w:keepLines w:val="0"/>
        <w:tabs>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bCs w:val="0"/>
          <w:sz w:val="24"/>
          <w:szCs w:val="24"/>
        </w:rPr>
        <w:t>7、电子投标文件格式中的表格式样可以根据项目差别做适当调整,但应当保持表格样式基本形态不变。</w:t>
      </w:r>
    </w:p>
    <w:p>
      <w:pPr>
        <w:pStyle w:val="5"/>
        <w:keepNext w:val="0"/>
        <w:keepLines w:val="0"/>
        <w:tabs>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bCs w:val="0"/>
          <w:sz w:val="24"/>
          <w:szCs w:val="24"/>
        </w:rPr>
        <w:t>8、单位负责人为同一人或者存在直接控股、管理关系的不同供应商，不得参加同一合同项下的政府采购活动。</w:t>
      </w:r>
    </w:p>
    <w:p>
      <w:pPr>
        <w:pStyle w:val="5"/>
        <w:keepNext w:val="0"/>
        <w:keepLines w:val="0"/>
        <w:tabs>
          <w:tab w:val="left" w:pos="851"/>
        </w:tabs>
        <w:snapToGrid w:val="0"/>
        <w:spacing w:before="0" w:after="0" w:line="360" w:lineRule="auto"/>
        <w:ind w:firstLine="480" w:firstLineChars="200"/>
        <w:rPr>
          <w:rFonts w:asciiTheme="minorEastAsia" w:hAnsiTheme="minorEastAsia" w:eastAsiaTheme="minorEastAsia"/>
          <w:bCs w:val="0"/>
          <w:sz w:val="24"/>
          <w:szCs w:val="24"/>
        </w:rPr>
      </w:pPr>
      <w:r>
        <w:rPr>
          <w:rFonts w:hint="eastAsia" w:asciiTheme="minorEastAsia" w:hAnsiTheme="minorEastAsia" w:eastAsiaTheme="minorEastAsia"/>
          <w:bCs w:val="0"/>
          <w:sz w:val="24"/>
          <w:szCs w:val="24"/>
        </w:rPr>
        <w:t>9、本项目不允许分包。</w:t>
      </w:r>
    </w:p>
    <w:p>
      <w:pPr>
        <w:tabs>
          <w:tab w:val="left" w:pos="720"/>
          <w:tab w:val="left" w:pos="1260"/>
          <w:tab w:val="left" w:pos="2160"/>
          <w:tab w:val="left" w:pos="2880"/>
          <w:tab w:val="left" w:pos="3600"/>
          <w:tab w:val="left" w:pos="4320"/>
          <w:tab w:val="left" w:pos="5040"/>
          <w:tab w:val="left" w:pos="5760"/>
        </w:tabs>
        <w:autoSpaceDE w:val="0"/>
        <w:autoSpaceDN w:val="0"/>
        <w:adjustRightInd w:val="0"/>
        <w:spacing w:line="360" w:lineRule="auto"/>
        <w:ind w:right="1800"/>
        <w:jc w:val="left"/>
        <w:rPr>
          <w:rFonts w:asciiTheme="minorEastAsia" w:hAnsiTheme="minorEastAsia" w:eastAsiaTheme="minorEastAsia"/>
          <w:b/>
          <w:kern w:val="0"/>
          <w:sz w:val="24"/>
        </w:rPr>
      </w:pPr>
      <w:r>
        <w:rPr>
          <w:rFonts w:hint="eastAsia" w:asciiTheme="minorEastAsia" w:hAnsiTheme="minorEastAsia" w:eastAsiaTheme="minorEastAsia"/>
          <w:b/>
          <w:kern w:val="0"/>
          <w:sz w:val="24"/>
        </w:rPr>
        <w:t>二、招标文件</w:t>
      </w:r>
    </w:p>
    <w:p>
      <w:pPr>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   （一）招标文件由招标文件总目录所列内容组成。</w:t>
      </w:r>
    </w:p>
    <w:p>
      <w:pPr>
        <w:autoSpaceDE w:val="0"/>
        <w:autoSpaceDN w:val="0"/>
        <w:adjustRightInd w:val="0"/>
        <w:spacing w:line="360" w:lineRule="auto"/>
        <w:ind w:firstLine="360" w:firstLineChars="150"/>
        <w:rPr>
          <w:rFonts w:asciiTheme="minorEastAsia" w:hAnsiTheme="minorEastAsia" w:eastAsiaTheme="minorEastAsia"/>
          <w:kern w:val="0"/>
          <w:sz w:val="24"/>
        </w:rPr>
      </w:pPr>
      <w:r>
        <w:rPr>
          <w:rFonts w:hint="eastAsia" w:asciiTheme="minorEastAsia" w:hAnsiTheme="minorEastAsia" w:eastAsiaTheme="minorEastAsia"/>
          <w:kern w:val="0"/>
          <w:sz w:val="24"/>
        </w:rPr>
        <w:t>（二）招标文件的澄清或修改</w:t>
      </w:r>
    </w:p>
    <w:p>
      <w:pPr>
        <w:autoSpaceDE w:val="0"/>
        <w:autoSpaceDN w:val="0"/>
        <w:adjustRightInd w:val="0"/>
        <w:spacing w:line="360" w:lineRule="auto"/>
        <w:ind w:firstLine="420" w:firstLineChars="175"/>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1、采购组织机构可视采购具体情况对已发出的招标文件进行必要的澄清或者修改。澄清或者修改的内容可能影响电子投标文件编制的，采购人或者采购组织机构应当在投标截止时间至少15日前，在原公告发布媒体上发布澄清公告，澄清或者修改的内容为招标文件的组成部分；不足15日的，采购人或者采购组织机构应当顺延提交电子投标文件的截止时间。 </w:t>
      </w:r>
    </w:p>
    <w:p>
      <w:pPr>
        <w:autoSpaceDE w:val="0"/>
        <w:autoSpaceDN w:val="0"/>
        <w:adjustRightIn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2、</w:t>
      </w:r>
      <w:r>
        <w:rPr>
          <w:rFonts w:asciiTheme="minorEastAsia" w:hAnsiTheme="minorEastAsia" w:eastAsiaTheme="minorEastAsia"/>
          <w:kern w:val="0"/>
          <w:sz w:val="24"/>
        </w:rPr>
        <w:t>投标人在规定的时间内未对招标文件提出疑问、质疑或要求澄清的，将视其为无异议。对招标文件中描述有歧义或前后不一致的地方，评标委员会有权进行评判，但对同一条款的评判应适用于每个投标人</w:t>
      </w:r>
      <w:r>
        <w:rPr>
          <w:rFonts w:hint="eastAsia" w:asciiTheme="minorEastAsia" w:hAnsiTheme="minorEastAsia" w:eastAsiaTheme="minorEastAsia"/>
          <w:kern w:val="0"/>
          <w:sz w:val="24"/>
        </w:rPr>
        <w:t>。</w:t>
      </w:r>
    </w:p>
    <w:p>
      <w:pPr>
        <w:tabs>
          <w:tab w:val="left" w:pos="1418"/>
        </w:tabs>
        <w:autoSpaceDE w:val="0"/>
        <w:autoSpaceDN w:val="0"/>
        <w:adjustRightInd w:val="0"/>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 xml:space="preserve"> 三、电子投标文件</w:t>
      </w:r>
    </w:p>
    <w:p>
      <w:pPr>
        <w:autoSpaceDE w:val="0"/>
        <w:autoSpaceDN w:val="0"/>
        <w:adjustRightInd w:val="0"/>
        <w:spacing w:line="360" w:lineRule="auto"/>
        <w:ind w:firstLine="482" w:firstLineChars="200"/>
        <w:rPr>
          <w:rFonts w:asciiTheme="minorEastAsia" w:hAnsiTheme="minorEastAsia" w:eastAsiaTheme="minorEastAsia"/>
          <w:b/>
          <w:bCs/>
          <w:kern w:val="0"/>
          <w:sz w:val="24"/>
        </w:rPr>
      </w:pPr>
      <w:r>
        <w:rPr>
          <w:rFonts w:hint="eastAsia" w:ascii="宋体"/>
          <w:b/>
          <w:sz w:val="24"/>
          <w:lang w:val="zh-CN"/>
        </w:rPr>
        <w:t>（一）电子</w:t>
      </w:r>
      <w:r>
        <w:rPr>
          <w:rFonts w:hint="eastAsia" w:asciiTheme="minorEastAsia" w:hAnsiTheme="minorEastAsia" w:eastAsiaTheme="minorEastAsia"/>
          <w:b/>
          <w:bCs/>
          <w:kern w:val="0"/>
          <w:sz w:val="24"/>
        </w:rPr>
        <w:t>投标文件的组成</w:t>
      </w:r>
    </w:p>
    <w:p>
      <w:pPr>
        <w:snapToGrid w:val="0"/>
        <w:spacing w:line="360" w:lineRule="auto"/>
        <w:ind w:firstLine="480" w:firstLineChars="200"/>
        <w:rPr>
          <w:rFonts w:ascii="FangSong_GB2312" w:hAnsi="FangSong_GB2312" w:eastAsia="FangSong_GB2312" w:cs="FangSong_GB2312"/>
          <w:sz w:val="24"/>
          <w:lang w:val="zh-CN"/>
        </w:rPr>
      </w:pPr>
      <w:r>
        <w:rPr>
          <w:rFonts w:hint="eastAsia" w:asciiTheme="minorEastAsia" w:hAnsiTheme="minorEastAsia" w:eastAsiaTheme="minorEastAsia"/>
          <w:kern w:val="0"/>
          <w:sz w:val="24"/>
        </w:rPr>
        <w:t xml:space="preserve">  投标人接到招标文件后，按照采购组织机构的要求提供：资格证明电子文件、商务与技术电子文件和报价电子文件。</w:t>
      </w:r>
      <w:r>
        <w:rPr>
          <w:rFonts w:hint="eastAsia" w:asciiTheme="minorEastAsia" w:hAnsiTheme="minorEastAsia" w:eastAsiaTheme="minorEastAsia"/>
          <w:kern w:val="0"/>
          <w:sz w:val="24"/>
          <w:lang w:val="zh-CN"/>
        </w:rPr>
        <w:t>【特别提示：如在投标时有要求提供资料原件的，将原件扫描放入电子投标文件。】</w:t>
      </w:r>
    </w:p>
    <w:p>
      <w:pPr>
        <w:snapToGrid w:val="0"/>
        <w:spacing w:line="360" w:lineRule="auto"/>
        <w:ind w:firstLine="482" w:firstLineChars="200"/>
        <w:rPr>
          <w:rFonts w:asciiTheme="minorEastAsia" w:hAnsiTheme="minorEastAsia" w:eastAsiaTheme="minorEastAsia"/>
          <w:kern w:val="0"/>
          <w:sz w:val="24"/>
        </w:rPr>
      </w:pPr>
      <w:r>
        <w:rPr>
          <w:rFonts w:hint="eastAsia" w:ascii="宋体" w:hAnsi="宋体" w:cs="宋体"/>
          <w:b/>
          <w:sz w:val="24"/>
        </w:rPr>
        <w:t>▲</w:t>
      </w:r>
      <w:r>
        <w:rPr>
          <w:rFonts w:hint="eastAsia" w:asciiTheme="minorEastAsia" w:hAnsiTheme="minorEastAsia" w:eastAsiaTheme="minorEastAsia"/>
          <w:b/>
          <w:sz w:val="24"/>
        </w:rPr>
        <w:t>1、资格证明电子</w:t>
      </w:r>
      <w:r>
        <w:rPr>
          <w:rFonts w:asciiTheme="minorEastAsia" w:hAnsiTheme="minorEastAsia" w:eastAsiaTheme="minorEastAsia"/>
          <w:b/>
          <w:sz w:val="24"/>
        </w:rPr>
        <w:t>文件</w:t>
      </w:r>
      <w:r>
        <w:rPr>
          <w:rFonts w:hint="eastAsia" w:ascii="宋体" w:hAnsi="宋体"/>
          <w:b/>
          <w:sz w:val="24"/>
        </w:rPr>
        <w:t>的组成：</w:t>
      </w:r>
    </w:p>
    <w:p>
      <w:pPr>
        <w:widowControl/>
        <w:numPr>
          <w:ilvl w:val="0"/>
          <w:numId w:val="7"/>
        </w:numPr>
        <w:spacing w:line="360" w:lineRule="auto"/>
        <w:ind w:right="60" w:firstLine="472" w:firstLineChars="197"/>
        <w:jc w:val="left"/>
        <w:outlineLvl w:val="0"/>
        <w:rPr>
          <w:rFonts w:ascii="宋体" w:hAnsi="宋体" w:cs="宋体"/>
          <w:sz w:val="24"/>
        </w:rPr>
      </w:pPr>
      <w:r>
        <w:rPr>
          <w:rFonts w:hint="eastAsia" w:ascii="宋体" w:hAnsi="宋体" w:cs="宋体"/>
          <w:sz w:val="24"/>
        </w:rPr>
        <w:t>投标声明书；</w:t>
      </w:r>
    </w:p>
    <w:p>
      <w:pPr>
        <w:widowControl/>
        <w:numPr>
          <w:ilvl w:val="0"/>
          <w:numId w:val="7"/>
        </w:numPr>
        <w:spacing w:line="360" w:lineRule="auto"/>
        <w:ind w:right="60" w:firstLine="472" w:firstLineChars="197"/>
        <w:jc w:val="left"/>
        <w:outlineLvl w:val="0"/>
        <w:rPr>
          <w:rFonts w:ascii="宋体" w:hAnsi="宋体" w:cs="宋体"/>
          <w:sz w:val="24"/>
        </w:rPr>
      </w:pPr>
      <w:r>
        <w:rPr>
          <w:rFonts w:hint="eastAsia" w:ascii="宋体" w:hAnsi="宋体" w:cs="宋体"/>
          <w:sz w:val="24"/>
        </w:rPr>
        <w:t>授权委托书（法定代表人亲自办理投标事宜的，则无需提交)；</w:t>
      </w:r>
    </w:p>
    <w:p>
      <w:pPr>
        <w:widowControl/>
        <w:numPr>
          <w:ilvl w:val="0"/>
          <w:numId w:val="7"/>
        </w:numPr>
        <w:spacing w:line="360" w:lineRule="auto"/>
        <w:ind w:right="60" w:firstLine="472" w:firstLineChars="197"/>
        <w:jc w:val="left"/>
        <w:outlineLvl w:val="0"/>
        <w:rPr>
          <w:rFonts w:ascii="宋体" w:hAnsi="宋体" w:cs="宋体"/>
          <w:sz w:val="24"/>
        </w:rPr>
      </w:pPr>
      <w:r>
        <w:rPr>
          <w:rFonts w:hint="eastAsia" w:ascii="宋体" w:hAnsi="宋体" w:cs="宋体"/>
          <w:sz w:val="24"/>
        </w:rPr>
        <w:t>法人或者其他组织的营业执照等证明文件，自然人的身份证明；</w:t>
      </w:r>
    </w:p>
    <w:p>
      <w:pPr>
        <w:widowControl/>
        <w:numPr>
          <w:ilvl w:val="0"/>
          <w:numId w:val="7"/>
        </w:numPr>
        <w:spacing w:line="360" w:lineRule="auto"/>
        <w:ind w:right="60" w:firstLine="472" w:firstLineChars="197"/>
        <w:jc w:val="left"/>
        <w:outlineLvl w:val="0"/>
        <w:rPr>
          <w:rFonts w:ascii="宋体" w:hAnsi="宋体" w:cs="宋体"/>
          <w:sz w:val="24"/>
        </w:rPr>
      </w:pPr>
      <w:r>
        <w:rPr>
          <w:rFonts w:hint="eastAsia" w:ascii="宋体" w:hAnsi="宋体" w:cs="宋体"/>
          <w:sz w:val="24"/>
        </w:rPr>
        <w:t>财务状况报告，依法缴纳税收和社会保障资金的相关材料；</w:t>
      </w:r>
    </w:p>
    <w:p>
      <w:pPr>
        <w:widowControl/>
        <w:numPr>
          <w:ilvl w:val="0"/>
          <w:numId w:val="7"/>
        </w:numPr>
        <w:spacing w:line="360" w:lineRule="auto"/>
        <w:ind w:right="60" w:firstLine="472" w:firstLineChars="197"/>
        <w:jc w:val="left"/>
        <w:outlineLvl w:val="0"/>
        <w:rPr>
          <w:rFonts w:ascii="宋体" w:hAnsi="宋体" w:cs="宋体"/>
          <w:sz w:val="24"/>
        </w:rPr>
      </w:pPr>
      <w:r>
        <w:rPr>
          <w:rFonts w:hint="eastAsia" w:ascii="宋体" w:hAnsi="宋体" w:cs="宋体"/>
          <w:sz w:val="24"/>
        </w:rPr>
        <w:t>具备履行合同所必需的设备和专业技术能力的证明材料(根据项目性质提供)；</w:t>
      </w:r>
    </w:p>
    <w:p>
      <w:pPr>
        <w:widowControl/>
        <w:numPr>
          <w:ilvl w:val="0"/>
          <w:numId w:val="7"/>
        </w:numPr>
        <w:spacing w:line="360" w:lineRule="auto"/>
        <w:ind w:right="60" w:firstLine="472" w:firstLineChars="197"/>
        <w:jc w:val="left"/>
        <w:outlineLvl w:val="0"/>
        <w:rPr>
          <w:rFonts w:ascii="宋体" w:hAnsi="宋体" w:cs="宋体"/>
          <w:sz w:val="24"/>
        </w:rPr>
      </w:pPr>
      <w:r>
        <w:rPr>
          <w:rFonts w:hint="eastAsia" w:ascii="宋体" w:hAnsi="宋体" w:cs="宋体"/>
          <w:sz w:val="24"/>
        </w:rPr>
        <w:t>提供采购公告中符合供应商特定条件的有效资质证书扫描件（投标供应商特定条件中有要求的必须提供），以及需要说明的其他资料；</w:t>
      </w:r>
    </w:p>
    <w:p>
      <w:pPr>
        <w:snapToGrid w:val="0"/>
        <w:spacing w:line="360" w:lineRule="auto"/>
        <w:ind w:firstLine="482" w:firstLineChars="200"/>
        <w:rPr>
          <w:rFonts w:ascii="宋体" w:hAnsi="宋体" w:cs="宋体"/>
          <w:sz w:val="24"/>
          <w:u w:val="single"/>
        </w:rPr>
      </w:pPr>
      <w:r>
        <w:rPr>
          <w:rFonts w:hint="eastAsia" w:asciiTheme="minorEastAsia" w:hAnsiTheme="minorEastAsia" w:eastAsiaTheme="minorEastAsia"/>
          <w:b/>
          <w:sz w:val="24"/>
        </w:rPr>
        <w:t>2、</w:t>
      </w:r>
      <w:r>
        <w:rPr>
          <w:rFonts w:hint="eastAsia" w:ascii="宋体" w:hAnsi="宋体"/>
          <w:b/>
          <w:sz w:val="24"/>
        </w:rPr>
        <w:t>商务与技术电子文件的组成：</w:t>
      </w:r>
    </w:p>
    <w:p>
      <w:pPr>
        <w:pStyle w:val="2"/>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（1）投标人情况介绍（人员与技术力量、企业规模、经营业绩等）。</w:t>
      </w:r>
    </w:p>
    <w:p>
      <w:pPr>
        <w:pStyle w:val="2"/>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（2）投标方案描述：</w:t>
      </w:r>
    </w:p>
    <w:p>
      <w:pPr>
        <w:pStyle w:val="2"/>
        <w:widowControl/>
        <w:adjustRightInd w:val="0"/>
        <w:snapToGrid w:val="0"/>
        <w:spacing w:line="360" w:lineRule="auto"/>
        <w:ind w:left="218" w:leftChars="104" w:firstLine="619" w:firstLineChars="258"/>
        <w:rPr>
          <w:rFonts w:ascii="宋体" w:hAnsi="宋体" w:cs="宋体"/>
          <w:sz w:val="24"/>
          <w:szCs w:val="24"/>
        </w:rPr>
      </w:pPr>
      <w:r>
        <w:rPr>
          <w:rFonts w:hint="eastAsia" w:ascii="宋体" w:hAnsi="宋体" w:cs="宋体"/>
          <w:sz w:val="24"/>
          <w:szCs w:val="24"/>
        </w:rPr>
        <w:t>A.项目需求的理解与分析(投标人对项目现状及需求的理解情况，对项目现状和需求描述的全面性、准确性、针对性，项目功能设计完备、对系统各组成部分等功能进行准确的分析，对项目重点、难点的把握，解决方案及合理化建议)。</w:t>
      </w:r>
    </w:p>
    <w:p>
      <w:pPr>
        <w:pStyle w:val="2"/>
        <w:widowControl/>
        <w:adjustRightInd w:val="0"/>
        <w:snapToGrid w:val="0"/>
        <w:spacing w:line="360" w:lineRule="auto"/>
        <w:ind w:left="218" w:leftChars="104" w:firstLine="619" w:firstLineChars="258"/>
        <w:rPr>
          <w:rFonts w:ascii="宋体" w:hAnsi="宋体" w:cs="宋体"/>
          <w:sz w:val="24"/>
          <w:szCs w:val="24"/>
        </w:rPr>
      </w:pPr>
      <w:r>
        <w:rPr>
          <w:rFonts w:hint="eastAsia" w:ascii="宋体" w:hAnsi="宋体" w:cs="宋体"/>
          <w:sz w:val="24"/>
          <w:szCs w:val="24"/>
        </w:rPr>
        <w:t>B.项目组织实施方案（包括项目工期、确保项目供货的措施或方案、项目实施进度安排、项目实施人员及项目负责人的资质、类似经验及社保证明等）。</w:t>
      </w:r>
    </w:p>
    <w:p>
      <w:pPr>
        <w:pStyle w:val="2"/>
        <w:widowControl/>
        <w:adjustRightInd w:val="0"/>
        <w:snapToGrid w:val="0"/>
        <w:spacing w:line="360" w:lineRule="auto"/>
        <w:ind w:left="218" w:leftChars="104" w:firstLine="619" w:firstLineChars="258"/>
        <w:rPr>
          <w:rFonts w:ascii="宋体" w:hAnsi="宋体" w:cs="宋体"/>
          <w:sz w:val="24"/>
          <w:szCs w:val="24"/>
        </w:rPr>
      </w:pPr>
      <w:r>
        <w:rPr>
          <w:rFonts w:hint="eastAsia" w:ascii="宋体" w:hAnsi="宋体" w:cs="宋体"/>
          <w:sz w:val="24"/>
          <w:szCs w:val="24"/>
        </w:rPr>
        <w:t>C.</w:t>
      </w:r>
      <w:r>
        <w:rPr>
          <w:rFonts w:asciiTheme="minorEastAsia" w:hAnsiTheme="minorEastAsia" w:eastAsiaTheme="minorEastAsia"/>
          <w:kern w:val="0"/>
          <w:sz w:val="24"/>
          <w:szCs w:val="24"/>
        </w:rPr>
        <w:t>安装、调试及验收方案</w:t>
      </w:r>
      <w:r>
        <w:rPr>
          <w:rFonts w:hint="eastAsia" w:asciiTheme="minorEastAsia" w:hAnsiTheme="minorEastAsia" w:eastAsiaTheme="minorEastAsia"/>
          <w:kern w:val="0"/>
          <w:sz w:val="24"/>
          <w:szCs w:val="24"/>
        </w:rPr>
        <w:t>（包括项目验收标准和验收方法等）</w:t>
      </w:r>
      <w:r>
        <w:rPr>
          <w:rFonts w:hint="eastAsia" w:asciiTheme="minorEastAsia" w:hAnsiTheme="minorEastAsia" w:eastAsiaTheme="minorEastAsia"/>
          <w:sz w:val="24"/>
          <w:szCs w:val="24"/>
        </w:rPr>
        <w:t>和措施；</w:t>
      </w:r>
    </w:p>
    <w:p>
      <w:pPr>
        <w:pStyle w:val="2"/>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（3）投标产品描述及相关资料：</w:t>
      </w:r>
    </w:p>
    <w:p>
      <w:pPr>
        <w:pStyle w:val="2"/>
        <w:widowControl/>
        <w:adjustRightInd w:val="0"/>
        <w:snapToGrid w:val="0"/>
        <w:spacing w:line="360" w:lineRule="auto"/>
        <w:ind w:left="218" w:leftChars="104" w:firstLine="619" w:firstLineChars="258"/>
        <w:rPr>
          <w:rFonts w:ascii="宋体" w:hAnsi="宋体" w:cs="宋体"/>
          <w:sz w:val="24"/>
          <w:szCs w:val="24"/>
        </w:rPr>
      </w:pPr>
      <w:r>
        <w:rPr>
          <w:rFonts w:hint="eastAsia" w:ascii="宋体" w:hAnsi="宋体" w:cs="宋体"/>
          <w:sz w:val="24"/>
          <w:szCs w:val="24"/>
        </w:rPr>
        <w:t>A.</w:t>
      </w:r>
      <w:r>
        <w:rPr>
          <w:rFonts w:asciiTheme="minorEastAsia" w:hAnsiTheme="minorEastAsia" w:eastAsiaTheme="minorEastAsia"/>
          <w:sz w:val="24"/>
          <w:szCs w:val="24"/>
        </w:rPr>
        <w:t>设备配置</w:t>
      </w:r>
      <w:r>
        <w:rPr>
          <w:rFonts w:hint="eastAsia" w:asciiTheme="minorEastAsia" w:hAnsiTheme="minorEastAsia" w:eastAsiaTheme="minorEastAsia"/>
          <w:sz w:val="24"/>
          <w:szCs w:val="24"/>
        </w:rPr>
        <w:t>（或服务事项）</w:t>
      </w:r>
      <w:r>
        <w:rPr>
          <w:rFonts w:asciiTheme="minorEastAsia" w:hAnsiTheme="minorEastAsia" w:eastAsiaTheme="minorEastAsia"/>
          <w:sz w:val="24"/>
          <w:szCs w:val="24"/>
        </w:rPr>
        <w:t>清单（</w:t>
      </w:r>
      <w:r>
        <w:rPr>
          <w:rFonts w:hint="eastAsia" w:asciiTheme="minorEastAsia" w:hAnsiTheme="minorEastAsia" w:eastAsiaTheme="minorEastAsia"/>
          <w:sz w:val="24"/>
          <w:szCs w:val="24"/>
        </w:rPr>
        <w:t>均</w:t>
      </w:r>
      <w:r>
        <w:rPr>
          <w:rFonts w:asciiTheme="minorEastAsia" w:hAnsiTheme="minorEastAsia" w:eastAsiaTheme="minorEastAsia"/>
          <w:sz w:val="24"/>
          <w:szCs w:val="24"/>
        </w:rPr>
        <w:t>不含报价）</w:t>
      </w:r>
      <w:r>
        <w:rPr>
          <w:rFonts w:hint="eastAsia" w:asciiTheme="minorEastAsia" w:hAnsiTheme="minorEastAsia" w:eastAsiaTheme="minorEastAsia"/>
          <w:sz w:val="24"/>
          <w:szCs w:val="24"/>
        </w:rPr>
        <w:t>。</w:t>
      </w:r>
    </w:p>
    <w:p>
      <w:pPr>
        <w:pStyle w:val="2"/>
        <w:widowControl/>
        <w:adjustRightInd w:val="0"/>
        <w:snapToGrid w:val="0"/>
        <w:spacing w:line="360" w:lineRule="auto"/>
        <w:ind w:left="218" w:leftChars="104" w:firstLine="619" w:firstLineChars="258"/>
        <w:rPr>
          <w:rFonts w:ascii="宋体" w:hAnsi="宋体" w:cs="宋体"/>
          <w:sz w:val="24"/>
          <w:szCs w:val="24"/>
        </w:rPr>
      </w:pPr>
      <w:r>
        <w:rPr>
          <w:rFonts w:hint="eastAsia" w:ascii="宋体" w:hAnsi="宋体" w:cs="宋体"/>
          <w:sz w:val="24"/>
          <w:szCs w:val="24"/>
        </w:rPr>
        <w:t>B.产品品牌及型号、技术参数指标、性能特点、图片资料以及所遵循的技术规范、产品质保期、出厂标准、产品质量相关检测报告等内容。</w:t>
      </w:r>
    </w:p>
    <w:p>
      <w:pPr>
        <w:pStyle w:val="2"/>
        <w:widowControl/>
        <w:adjustRightInd w:val="0"/>
        <w:snapToGrid w:val="0"/>
        <w:spacing w:line="360" w:lineRule="auto"/>
        <w:ind w:left="218" w:leftChars="104" w:firstLine="619" w:firstLineChars="258"/>
        <w:rPr>
          <w:rFonts w:ascii="宋体" w:hAnsi="宋体" w:cs="宋体"/>
          <w:sz w:val="24"/>
          <w:szCs w:val="24"/>
        </w:rPr>
      </w:pPr>
      <w:r>
        <w:rPr>
          <w:rFonts w:hint="eastAsia" w:ascii="宋体" w:hAnsi="宋体" w:cs="宋体"/>
          <w:sz w:val="24"/>
          <w:szCs w:val="24"/>
        </w:rPr>
        <w:t>注：该项视产品或服务内容设置提供。</w:t>
      </w:r>
    </w:p>
    <w:p>
      <w:pPr>
        <w:pStyle w:val="2"/>
        <w:widowControl/>
        <w:adjustRightInd w:val="0"/>
        <w:snapToGrid w:val="0"/>
        <w:spacing w:line="360" w:lineRule="auto"/>
        <w:ind w:left="218" w:leftChars="104" w:firstLine="619" w:firstLineChars="258"/>
        <w:rPr>
          <w:rFonts w:ascii="宋体" w:hAnsi="宋体" w:cs="宋体"/>
          <w:sz w:val="24"/>
          <w:szCs w:val="24"/>
        </w:rPr>
      </w:pPr>
      <w:r>
        <w:rPr>
          <w:rFonts w:hint="eastAsia" w:ascii="宋体" w:hAnsi="宋体" w:cs="宋体"/>
          <w:sz w:val="24"/>
          <w:szCs w:val="24"/>
        </w:rPr>
        <w:t>C.商务及技术响应表。</w:t>
      </w:r>
    </w:p>
    <w:p>
      <w:pPr>
        <w:spacing w:line="360" w:lineRule="auto"/>
        <w:ind w:left="218" w:leftChars="104" w:firstLine="619" w:firstLineChars="258"/>
        <w:rPr>
          <w:rFonts w:ascii="宋体" w:hAnsi="宋体" w:cs="宋体"/>
          <w:sz w:val="24"/>
        </w:rPr>
      </w:pPr>
      <w:r>
        <w:rPr>
          <w:rFonts w:hint="eastAsia" w:ascii="宋体" w:hAnsi="宋体" w:cs="宋体"/>
          <w:sz w:val="24"/>
        </w:rPr>
        <w:t>D.投标产品中有节能产品的，应列明投标产品中有列入最新一期财政部、发展改革委公布的“节能产品政府采购清单”明细（提供所投产品在清单中所处的页码、截图，并以明显标识标注）；投标产品中有环保产品的，应列明投标产品中有列入最新一期财政部、环境保护部公布的“环境标志产品政府采购清单”明细（提供所投产品在清单中所处的页码、截图，并以明显标识标注）。</w:t>
      </w:r>
    </w:p>
    <w:p>
      <w:pPr>
        <w:spacing w:line="360" w:lineRule="auto"/>
        <w:ind w:left="218" w:leftChars="104" w:firstLine="619" w:firstLineChars="258"/>
        <w:rPr>
          <w:rFonts w:ascii="宋体" w:hAnsi="宋体" w:cs="宋体"/>
          <w:sz w:val="24"/>
        </w:rPr>
      </w:pPr>
      <w:r>
        <w:rPr>
          <w:rFonts w:hint="eastAsia" w:ascii="宋体" w:hAnsi="宋体" w:cs="宋体"/>
          <w:sz w:val="24"/>
        </w:rPr>
        <w:t>【特别提示：节能和环境标志产品最新一期政府采购清单，可在“中国政府采购网”中查看】</w:t>
      </w:r>
    </w:p>
    <w:p>
      <w:pPr>
        <w:autoSpaceDE w:val="0"/>
        <w:autoSpaceDN w:val="0"/>
        <w:adjustRightInd w:val="0"/>
        <w:spacing w:line="360" w:lineRule="auto"/>
        <w:ind w:firstLine="424" w:firstLineChars="177"/>
        <w:rPr>
          <w:rFonts w:ascii="宋体" w:hAnsi="宋体" w:cs="宋体"/>
          <w:sz w:val="24"/>
        </w:rPr>
      </w:pPr>
      <w:r>
        <w:rPr>
          <w:rFonts w:hint="eastAsia" w:asciiTheme="minorEastAsia" w:hAnsiTheme="minorEastAsia" w:eastAsiaTheme="minorEastAsia"/>
          <w:kern w:val="0"/>
          <w:sz w:val="24"/>
        </w:rPr>
        <w:t>（4）</w:t>
      </w:r>
      <w:r>
        <w:rPr>
          <w:rFonts w:asciiTheme="minorEastAsia" w:hAnsiTheme="minorEastAsia" w:eastAsiaTheme="minorEastAsia"/>
          <w:kern w:val="0"/>
          <w:sz w:val="24"/>
        </w:rPr>
        <w:t>投标人通过的</w:t>
      </w:r>
      <w:r>
        <w:rPr>
          <w:rFonts w:hint="eastAsia" w:asciiTheme="minorEastAsia" w:hAnsiTheme="minorEastAsia" w:eastAsiaTheme="minorEastAsia"/>
          <w:kern w:val="0"/>
          <w:sz w:val="24"/>
        </w:rPr>
        <w:t>质量管理和</w:t>
      </w:r>
      <w:r>
        <w:rPr>
          <w:rFonts w:asciiTheme="minorEastAsia" w:hAnsiTheme="minorEastAsia" w:eastAsiaTheme="minorEastAsia"/>
          <w:kern w:val="0"/>
          <w:sz w:val="24"/>
        </w:rPr>
        <w:t>质量</w:t>
      </w:r>
      <w:r>
        <w:rPr>
          <w:rFonts w:hint="eastAsia" w:asciiTheme="minorEastAsia" w:hAnsiTheme="minorEastAsia" w:eastAsiaTheme="minorEastAsia"/>
          <w:kern w:val="0"/>
          <w:sz w:val="24"/>
        </w:rPr>
        <w:t>保证</w:t>
      </w:r>
      <w:r>
        <w:rPr>
          <w:rFonts w:asciiTheme="minorEastAsia" w:hAnsiTheme="minorEastAsia" w:eastAsiaTheme="minorEastAsia"/>
          <w:kern w:val="0"/>
          <w:sz w:val="24"/>
        </w:rPr>
        <w:t>体系、环保体系、</w:t>
      </w:r>
      <w:r>
        <w:rPr>
          <w:rFonts w:hint="eastAsia" w:asciiTheme="minorEastAsia" w:hAnsiTheme="minorEastAsia" w:eastAsiaTheme="minorEastAsia"/>
          <w:sz w:val="24"/>
        </w:rPr>
        <w:t>自主创新相关证书、软件著作权证等等与本项目相关</w:t>
      </w:r>
      <w:r>
        <w:rPr>
          <w:rFonts w:asciiTheme="minorEastAsia" w:hAnsiTheme="minorEastAsia" w:eastAsiaTheme="minorEastAsia"/>
          <w:kern w:val="0"/>
          <w:sz w:val="24"/>
        </w:rPr>
        <w:t>的认证证书</w:t>
      </w:r>
      <w:r>
        <w:rPr>
          <w:rFonts w:hint="eastAsia" w:asciiTheme="minorEastAsia" w:hAnsiTheme="minorEastAsia" w:eastAsiaTheme="minorEastAsia"/>
          <w:kern w:val="0"/>
          <w:sz w:val="24"/>
        </w:rPr>
        <w:t>或文件；</w:t>
      </w:r>
    </w:p>
    <w:p>
      <w:pPr>
        <w:pStyle w:val="2"/>
        <w:widowControl/>
        <w:adjustRightInd w:val="0"/>
        <w:snapToGrid w:val="0"/>
        <w:spacing w:line="360" w:lineRule="auto"/>
        <w:ind w:firstLine="480" w:firstLineChars="200"/>
        <w:rPr>
          <w:rFonts w:ascii="宋体" w:hAnsi="宋体" w:cs="宋体"/>
          <w:sz w:val="24"/>
          <w:szCs w:val="24"/>
        </w:rPr>
      </w:pPr>
      <w:r>
        <w:rPr>
          <w:rFonts w:hint="eastAsia" w:asciiTheme="minorEastAsia" w:hAnsiTheme="minorEastAsia" w:eastAsiaTheme="minorEastAsia"/>
          <w:kern w:val="0"/>
          <w:sz w:val="24"/>
          <w:szCs w:val="24"/>
        </w:rPr>
        <w:t>（5）近三年来类似项目的成功案例（投标人类似项目实施情况一览表、合同复印件及其相应的发票、用户验收报告等；</w:t>
      </w:r>
    </w:p>
    <w:p>
      <w:pPr>
        <w:snapToGrid w:val="0"/>
        <w:spacing w:line="360" w:lineRule="auto"/>
        <w:ind w:firstLine="480" w:firstLineChars="200"/>
        <w:rPr>
          <w:rFonts w:ascii="宋体"/>
          <w:sz w:val="24"/>
          <w:lang w:val="zh-CN"/>
        </w:rPr>
      </w:pPr>
      <w:r>
        <w:rPr>
          <w:rFonts w:hint="eastAsia" w:ascii="宋体" w:hAnsi="宋体" w:cs="宋体"/>
          <w:sz w:val="24"/>
        </w:rPr>
        <w:t>（6）投标人认为需要提供的其他资料（包括可能影响投标人商务与技术文件评分的各类证明材料）。</w:t>
      </w:r>
    </w:p>
    <w:p>
      <w:pPr>
        <w:pStyle w:val="2"/>
        <w:widowControl/>
        <w:adjustRightInd w:val="0"/>
        <w:snapToGrid w:val="0"/>
        <w:spacing w:line="360" w:lineRule="auto"/>
        <w:ind w:firstLine="480" w:firstLineChars="200"/>
        <w:rPr>
          <w:rFonts w:ascii="宋体" w:hAnsi="宋体" w:cs="宋体"/>
          <w:sz w:val="24"/>
          <w:szCs w:val="24"/>
        </w:rPr>
      </w:pPr>
      <w:r>
        <w:rPr>
          <w:rFonts w:hint="eastAsia" w:ascii="宋体" w:hAnsi="宋体" w:cs="宋体"/>
          <w:sz w:val="24"/>
          <w:szCs w:val="24"/>
        </w:rPr>
        <w:t>（7）售后服务描述及承诺：</w:t>
      </w:r>
    </w:p>
    <w:p>
      <w:pPr>
        <w:pStyle w:val="2"/>
        <w:widowControl/>
        <w:adjustRightInd w:val="0"/>
        <w:snapToGrid w:val="0"/>
        <w:spacing w:line="360" w:lineRule="auto"/>
        <w:ind w:left="218" w:leftChars="104" w:firstLine="619" w:firstLineChars="258"/>
        <w:rPr>
          <w:rFonts w:ascii="宋体" w:hAnsi="宋体" w:cs="宋体"/>
          <w:sz w:val="24"/>
          <w:szCs w:val="24"/>
        </w:rPr>
      </w:pPr>
      <w:r>
        <w:rPr>
          <w:rFonts w:hint="eastAsia" w:ascii="宋体" w:hAnsi="宋体" w:cs="宋体"/>
          <w:sz w:val="24"/>
          <w:szCs w:val="24"/>
        </w:rPr>
        <w:t>A.距采购人最近的服务网点详细介绍（包括地理位置、资质资格、技术力量、工作业绩、服务内容及联系电话等）。</w:t>
      </w:r>
    </w:p>
    <w:p>
      <w:pPr>
        <w:pStyle w:val="2"/>
        <w:widowControl/>
        <w:adjustRightInd w:val="0"/>
        <w:snapToGrid w:val="0"/>
        <w:spacing w:line="360" w:lineRule="auto"/>
        <w:ind w:left="218" w:leftChars="104" w:firstLine="619" w:firstLineChars="258"/>
        <w:rPr>
          <w:rFonts w:ascii="宋体" w:hAnsi="宋体" w:cs="宋体"/>
          <w:sz w:val="24"/>
          <w:szCs w:val="24"/>
        </w:rPr>
      </w:pPr>
      <w:r>
        <w:rPr>
          <w:rFonts w:hint="eastAsia" w:ascii="宋体" w:hAnsi="宋体" w:cs="宋体"/>
          <w:sz w:val="24"/>
          <w:szCs w:val="24"/>
        </w:rPr>
        <w:t>B.针对本项目的售后服务措施及承诺（售后技术服务方案、人员配备、故障响应时间、技术培训方案等）。</w:t>
      </w:r>
    </w:p>
    <w:p>
      <w:pPr>
        <w:autoSpaceDE w:val="0"/>
        <w:autoSpaceDN w:val="0"/>
        <w:adjustRightInd w:val="0"/>
        <w:spacing w:line="360" w:lineRule="auto"/>
        <w:ind w:left="426" w:firstLine="65" w:firstLineChars="27"/>
        <w:rPr>
          <w:rFonts w:asciiTheme="minorEastAsia" w:hAnsiTheme="minorEastAsia" w:eastAsiaTheme="minorEastAsia"/>
          <w:b/>
          <w:kern w:val="0"/>
          <w:sz w:val="24"/>
        </w:rPr>
      </w:pPr>
      <w:r>
        <w:rPr>
          <w:rFonts w:hint="eastAsia" w:asciiTheme="minorEastAsia" w:hAnsiTheme="minorEastAsia" w:eastAsiaTheme="minorEastAsia"/>
          <w:b/>
          <w:kern w:val="0"/>
          <w:sz w:val="24"/>
        </w:rPr>
        <w:t>3、报价电子文件的组成</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（1）报价文件由开标一览表、报价明细表、小微企业等声明函、产品适用政府采购政策情况表，以及投标人认为其他需要说明的内容组成。</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（2）此报价为投标人一次性报出唯一的最终价格，包含其它一切所要涉及到的费用，有选择的报价将被拒绝。</w:t>
      </w:r>
    </w:p>
    <w:p>
      <w:pPr>
        <w:snapToGrid w:val="0"/>
        <w:spacing w:line="360" w:lineRule="auto"/>
        <w:ind w:firstLine="480" w:firstLineChars="200"/>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w:t>
      </w:r>
      <w:r>
        <w:rPr>
          <w:rFonts w:hint="eastAsia" w:asciiTheme="minorEastAsia" w:hAnsiTheme="minorEastAsia" w:eastAsiaTheme="minorEastAsia"/>
          <w:kern w:val="0"/>
          <w:sz w:val="24"/>
        </w:rPr>
        <w:t>3</w:t>
      </w:r>
      <w:r>
        <w:rPr>
          <w:rFonts w:hint="eastAsia" w:asciiTheme="minorEastAsia" w:hAnsiTheme="minorEastAsia" w:eastAsiaTheme="minorEastAsia"/>
          <w:kern w:val="0"/>
          <w:sz w:val="24"/>
          <w:lang w:val="zh-CN"/>
        </w:rPr>
        <w:t>）投标报价是包括货款、标准附件、备品备件、专用工具、包装、运输、装卸、保险、税金、货到就位以及安装、调试、培训、保修、合同包含的所有风险责任等各项费用及不可预见费等所需的全部费用，全部费用已包含在开标一览表的投标总报价中。</w:t>
      </w:r>
    </w:p>
    <w:p>
      <w:pPr>
        <w:snapToGrid w:val="0"/>
        <w:spacing w:line="360" w:lineRule="auto"/>
        <w:ind w:firstLine="480" w:firstLineChars="200"/>
        <w:rPr>
          <w:rFonts w:asciiTheme="minorEastAsia" w:hAnsiTheme="minorEastAsia" w:eastAsiaTheme="minorEastAsia"/>
          <w:kern w:val="0"/>
          <w:sz w:val="24"/>
          <w:lang w:val="zh-CN"/>
        </w:rPr>
      </w:pPr>
      <w:r>
        <w:rPr>
          <w:rFonts w:hint="eastAsia" w:asciiTheme="minorEastAsia" w:hAnsiTheme="minorEastAsia" w:eastAsiaTheme="minorEastAsia"/>
          <w:kern w:val="0"/>
          <w:sz w:val="24"/>
          <w:lang w:val="zh-CN"/>
        </w:rPr>
        <w:t>（</w:t>
      </w:r>
      <w:r>
        <w:rPr>
          <w:rFonts w:hint="eastAsia" w:asciiTheme="minorEastAsia" w:hAnsiTheme="minorEastAsia" w:eastAsiaTheme="minorEastAsia"/>
          <w:kern w:val="0"/>
          <w:sz w:val="24"/>
        </w:rPr>
        <w:t>4</w:t>
      </w:r>
      <w:r>
        <w:rPr>
          <w:rFonts w:hint="eastAsia" w:asciiTheme="minorEastAsia" w:hAnsiTheme="minorEastAsia" w:eastAsiaTheme="minorEastAsia"/>
          <w:kern w:val="0"/>
          <w:sz w:val="24"/>
          <w:lang w:val="zh-CN"/>
        </w:rPr>
        <w:t>）</w:t>
      </w:r>
      <w:r>
        <w:rPr>
          <w:rFonts w:hint="eastAsia" w:asciiTheme="minorEastAsia" w:hAnsiTheme="minorEastAsia" w:eastAsiaTheme="minorEastAsia"/>
          <w:kern w:val="0"/>
          <w:sz w:val="24"/>
        </w:rPr>
        <w:t>政府采购优惠政策相关资料、产品适用政府采购政策情况表（如有）。</w:t>
      </w:r>
    </w:p>
    <w:p>
      <w:pPr>
        <w:pStyle w:val="10"/>
        <w:spacing w:line="360" w:lineRule="auto"/>
        <w:ind w:firstLine="480" w:firstLineChars="200"/>
        <w:rPr>
          <w:sz w:val="24"/>
        </w:rPr>
      </w:pPr>
      <w:r>
        <w:rPr>
          <w:rFonts w:hint="eastAsia" w:asciiTheme="minorEastAsia" w:hAnsiTheme="minorEastAsia" w:eastAsiaTheme="minorEastAsia"/>
          <w:kern w:val="0"/>
          <w:sz w:val="24"/>
        </w:rPr>
        <w:t>（5）</w:t>
      </w:r>
      <w:r>
        <w:rPr>
          <w:rFonts w:hint="eastAsia"/>
          <w:sz w:val="24"/>
        </w:rPr>
        <w:t>投标报价单填写需清楚明了，并加盖电子印章。因</w:t>
      </w:r>
      <w:r>
        <w:rPr>
          <w:rFonts w:hint="eastAsia" w:asciiTheme="minorEastAsia" w:hAnsiTheme="minorEastAsia" w:eastAsiaTheme="minorEastAsia"/>
          <w:kern w:val="0"/>
          <w:sz w:val="24"/>
        </w:rPr>
        <w:t>表达不清引起的后果由投标人负责。</w:t>
      </w:r>
    </w:p>
    <w:p>
      <w:pPr>
        <w:autoSpaceDE w:val="0"/>
        <w:autoSpaceDN w:val="0"/>
        <w:adjustRightIn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hint="eastAsia" w:asciiTheme="minorEastAsia" w:hAnsiTheme="minorEastAsia" w:eastAsiaTheme="minorEastAsia"/>
          <w:kern w:val="0"/>
          <w:sz w:val="24"/>
        </w:rPr>
        <w:t>6</w:t>
      </w:r>
      <w:r>
        <w:rPr>
          <w:rFonts w:hint="eastAsia" w:asciiTheme="minorEastAsia" w:hAnsiTheme="minorEastAsia" w:eastAsiaTheme="minorEastAsia"/>
          <w:sz w:val="24"/>
        </w:rPr>
        <w:t>）</w:t>
      </w:r>
      <w:r>
        <w:rPr>
          <w:rFonts w:asciiTheme="minorEastAsia" w:hAnsiTheme="minorEastAsia" w:eastAsiaTheme="minorEastAsia"/>
          <w:sz w:val="24"/>
        </w:rPr>
        <w:t>投标报价应按招标文件中相关附表格式填写。</w:t>
      </w:r>
    </w:p>
    <w:p>
      <w:pPr>
        <w:numPr>
          <w:ilvl w:val="0"/>
          <w:numId w:val="8"/>
        </w:numPr>
        <w:spacing w:line="360" w:lineRule="auto"/>
        <w:rPr>
          <w:rFonts w:asciiTheme="minorEastAsia" w:hAnsiTheme="minorEastAsia" w:eastAsiaTheme="minorEastAsia"/>
          <w:b/>
          <w:bCs/>
          <w:kern w:val="0"/>
          <w:sz w:val="24"/>
        </w:rPr>
      </w:pPr>
      <w:r>
        <w:rPr>
          <w:rFonts w:hint="eastAsia" w:asciiTheme="minorEastAsia" w:hAnsiTheme="minorEastAsia" w:eastAsiaTheme="minorEastAsia"/>
          <w:b/>
          <w:bCs/>
          <w:kern w:val="0"/>
          <w:sz w:val="24"/>
        </w:rPr>
        <w:t>电子投标文件的</w:t>
      </w:r>
      <w:r>
        <w:rPr>
          <w:rFonts w:hint="eastAsia" w:asciiTheme="minorEastAsia" w:hAnsiTheme="minorEastAsia"/>
          <w:b/>
          <w:bCs/>
          <w:kern w:val="0"/>
          <w:sz w:val="24"/>
        </w:rPr>
        <w:t>制作、封装及</w:t>
      </w:r>
      <w:r>
        <w:rPr>
          <w:rFonts w:hint="eastAsia" w:asciiTheme="minorEastAsia" w:hAnsiTheme="minorEastAsia" w:eastAsiaTheme="minorEastAsia"/>
          <w:b/>
          <w:bCs/>
          <w:kern w:val="0"/>
          <w:sz w:val="24"/>
        </w:rPr>
        <w:t>递交要求</w:t>
      </w:r>
    </w:p>
    <w:p>
      <w:pPr>
        <w:autoSpaceDE w:val="0"/>
        <w:autoSpaceDN w:val="0"/>
        <w:adjustRightInd w:val="0"/>
        <w:spacing w:line="360" w:lineRule="auto"/>
        <w:ind w:firstLine="480"/>
        <w:rPr>
          <w:rFonts w:asciiTheme="minorEastAsia" w:hAnsiTheme="minorEastAsia" w:eastAsiaTheme="minorEastAsia"/>
          <w:b/>
          <w:bCs/>
          <w:sz w:val="24"/>
        </w:rPr>
      </w:pPr>
      <w:r>
        <w:rPr>
          <w:rFonts w:hint="eastAsia" w:asciiTheme="minorEastAsia" w:hAnsiTheme="minorEastAsia"/>
          <w:b/>
          <w:bCs/>
          <w:sz w:val="24"/>
        </w:rPr>
        <w:t>1、电子投标文件的制作要求</w:t>
      </w:r>
    </w:p>
    <w:p>
      <w:pPr>
        <w:spacing w:line="360" w:lineRule="auto"/>
        <w:ind w:firstLine="480" w:firstLineChars="200"/>
        <w:jc w:val="left"/>
        <w:rPr>
          <w:rFonts w:asciiTheme="minorEastAsia" w:hAnsiTheme="minorEastAsia"/>
          <w:kern w:val="0"/>
          <w:sz w:val="24"/>
        </w:rPr>
      </w:pPr>
      <w:r>
        <w:rPr>
          <w:rFonts w:hint="eastAsia" w:asciiTheme="minorEastAsia" w:hAnsiTheme="minorEastAsia"/>
          <w:sz w:val="24"/>
        </w:rPr>
        <w:t>（1）</w:t>
      </w:r>
      <w:r>
        <w:rPr>
          <w:rFonts w:hint="eastAsia" w:asciiTheme="minorEastAsia" w:hAnsiTheme="minorEastAsia" w:eastAsiaTheme="minorEastAsia"/>
          <w:sz w:val="24"/>
        </w:rPr>
        <w:t>投标人</w:t>
      </w:r>
      <w:r>
        <w:rPr>
          <w:rFonts w:hint="eastAsia" w:asciiTheme="minorEastAsia" w:hAnsiTheme="minorEastAsia"/>
          <w:sz w:val="24"/>
        </w:rPr>
        <w:t>应</w:t>
      </w:r>
      <w:r>
        <w:rPr>
          <w:rFonts w:hint="eastAsia" w:asciiTheme="minorEastAsia" w:hAnsiTheme="minorEastAsia" w:eastAsiaTheme="minorEastAsia"/>
          <w:sz w:val="24"/>
        </w:rPr>
        <w:t>按照电子投标文件</w:t>
      </w:r>
      <w:r>
        <w:rPr>
          <w:rFonts w:hint="eastAsia" w:asciiTheme="minorEastAsia" w:hAnsiTheme="minorEastAsia"/>
          <w:sz w:val="24"/>
        </w:rPr>
        <w:t>组成内容</w:t>
      </w:r>
      <w:r>
        <w:rPr>
          <w:rFonts w:hint="eastAsia" w:asciiTheme="minorEastAsia" w:hAnsiTheme="minorEastAsia" w:eastAsiaTheme="minorEastAsia"/>
          <w:sz w:val="24"/>
        </w:rPr>
        <w:t>及项目招标需求和浙江政府采购云平台要求制作电子投标文件，</w:t>
      </w:r>
      <w:r>
        <w:rPr>
          <w:rFonts w:hint="eastAsia" w:asciiTheme="minorEastAsia" w:hAnsiTheme="minorEastAsia" w:eastAsiaTheme="minorEastAsia"/>
          <w:kern w:val="0"/>
          <w:sz w:val="24"/>
        </w:rPr>
        <w:t>不按招标文件</w:t>
      </w:r>
      <w:r>
        <w:rPr>
          <w:rFonts w:hint="eastAsia" w:asciiTheme="minorEastAsia" w:hAnsiTheme="minorEastAsia" w:eastAsiaTheme="minorEastAsia"/>
          <w:sz w:val="24"/>
        </w:rPr>
        <w:t>和浙江政府采购云平台</w:t>
      </w:r>
      <w:r>
        <w:rPr>
          <w:rFonts w:hint="eastAsia" w:asciiTheme="minorEastAsia" w:hAnsiTheme="minorEastAsia" w:eastAsiaTheme="minorEastAsia"/>
          <w:kern w:val="0"/>
          <w:sz w:val="24"/>
        </w:rPr>
        <w:t>要求制作电子投标文件的将视情</w:t>
      </w:r>
      <w:r>
        <w:rPr>
          <w:rFonts w:hint="eastAsia" w:asciiTheme="minorEastAsia" w:hAnsiTheme="minorEastAsia"/>
          <w:kern w:val="0"/>
          <w:sz w:val="24"/>
        </w:rPr>
        <w:t>处理（拒收、扣分等），由此产生的责任由投标人自行承担。</w:t>
      </w:r>
    </w:p>
    <w:p>
      <w:pPr>
        <w:spacing w:line="360" w:lineRule="auto"/>
        <w:ind w:firstLine="482" w:firstLineChars="200"/>
        <w:jc w:val="left"/>
        <w:rPr>
          <w:rFonts w:ascii="FangSong_GB2312" w:hAnsi="FangSong_GB2312" w:eastAsia="FangSong_GB2312" w:cs="FangSong_GB2312"/>
          <w:b/>
          <w:sz w:val="24"/>
        </w:rPr>
      </w:pPr>
      <w:r>
        <w:rPr>
          <w:rFonts w:hint="eastAsia" w:ascii="FangSong_GB2312" w:hAnsi="FangSong_GB2312" w:eastAsia="FangSong_GB2312" w:cs="FangSong_GB2312"/>
          <w:b/>
          <w:sz w:val="24"/>
        </w:rPr>
        <w:t>电子投标文件部分：投标人应根据“政采云供应商项目采购-电子招投标操作指南”及本招标文件规定的格式和顺序编制电子投标文件并进行关联定位。</w:t>
      </w:r>
    </w:p>
    <w:p>
      <w:pPr>
        <w:spacing w:line="360" w:lineRule="auto"/>
        <w:ind w:firstLine="480" w:firstLineChars="200"/>
        <w:jc w:val="left"/>
        <w:rPr>
          <w:rFonts w:ascii="宋体" w:hAnsi="宋体" w:cs="宋体"/>
          <w:bCs/>
          <w:sz w:val="24"/>
        </w:rPr>
      </w:pPr>
      <w:r>
        <w:rPr>
          <w:rFonts w:hint="eastAsia" w:ascii="宋体" w:hAnsi="宋体"/>
          <w:kern w:val="0"/>
          <w:sz w:val="24"/>
        </w:rPr>
        <w:t>备份电子投标文件：</w:t>
      </w:r>
      <w:r>
        <w:rPr>
          <w:rFonts w:hint="eastAsia" w:ascii="宋体" w:hAnsi="宋体" w:cs="宋体"/>
          <w:bCs/>
          <w:sz w:val="24"/>
        </w:rPr>
        <w:t>通过“政采云”平台电子投标工具制作电子投标文件所产生的备份文件</w:t>
      </w:r>
    </w:p>
    <w:p>
      <w:pPr>
        <w:pStyle w:val="10"/>
        <w:spacing w:line="360" w:lineRule="auto"/>
        <w:ind w:firstLine="480" w:firstLineChars="200"/>
        <w:rPr>
          <w:sz w:val="24"/>
        </w:rPr>
      </w:pPr>
      <w:r>
        <w:rPr>
          <w:rFonts w:hint="eastAsia" w:ascii="宋体" w:hAnsi="宋体"/>
          <w:sz w:val="24"/>
        </w:rPr>
        <w:t>（2）投标人应对所提供的全部资料的真实性、有效性承担法律责任，电子投标文件中盖章之处必须加盖公章（采用CA签章）。</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kern w:val="0"/>
          <w:sz w:val="24"/>
          <w:lang w:val="zh-CN"/>
        </w:rPr>
        <w:t>（</w:t>
      </w:r>
      <w:r>
        <w:rPr>
          <w:rFonts w:hint="eastAsia" w:asciiTheme="minorEastAsia" w:hAnsiTheme="minorEastAsia"/>
          <w:kern w:val="0"/>
          <w:sz w:val="24"/>
        </w:rPr>
        <w:t>3</w:t>
      </w:r>
      <w:r>
        <w:rPr>
          <w:rFonts w:hint="eastAsia" w:asciiTheme="minorEastAsia" w:hAnsiTheme="minorEastAsia"/>
          <w:kern w:val="0"/>
          <w:sz w:val="24"/>
          <w:lang w:val="zh-CN"/>
        </w:rPr>
        <w:t>）</w:t>
      </w:r>
      <w:r>
        <w:rPr>
          <w:rFonts w:hint="eastAsia" w:asciiTheme="minorEastAsia" w:hAnsiTheme="minorEastAsia" w:eastAsiaTheme="minorEastAsia"/>
          <w:sz w:val="24"/>
        </w:rPr>
        <w:t>电子投标文件</w:t>
      </w:r>
      <w:r>
        <w:rPr>
          <w:rFonts w:asciiTheme="minorEastAsia" w:hAnsiTheme="minorEastAsia" w:eastAsiaTheme="minorEastAsia"/>
          <w:sz w:val="24"/>
        </w:rPr>
        <w:t>以及投标人与</w:t>
      </w:r>
      <w:r>
        <w:rPr>
          <w:rFonts w:hint="eastAsia" w:asciiTheme="minorEastAsia" w:hAnsiTheme="minorEastAsia" w:eastAsiaTheme="minorEastAsia"/>
          <w:sz w:val="24"/>
        </w:rPr>
        <w:t>采购组织机构</w:t>
      </w:r>
      <w:r>
        <w:rPr>
          <w:rFonts w:asciiTheme="minorEastAsia" w:hAnsiTheme="minorEastAsia" w:eastAsiaTheme="minorEastAsia"/>
          <w:sz w:val="24"/>
        </w:rPr>
        <w:t>就有关投标事宜的所有来往函电，均应以中文汉语书写。除</w:t>
      </w:r>
      <w:r>
        <w:rPr>
          <w:rFonts w:hint="eastAsia" w:asciiTheme="minorEastAsia" w:hAnsiTheme="minorEastAsia" w:eastAsiaTheme="minorEastAsia"/>
          <w:sz w:val="24"/>
        </w:rPr>
        <w:t>签字</w:t>
      </w:r>
      <w:r>
        <w:rPr>
          <w:rFonts w:asciiTheme="minorEastAsia" w:hAnsiTheme="minorEastAsia" w:eastAsiaTheme="minorEastAsia"/>
          <w:sz w:val="24"/>
        </w:rPr>
        <w:t>、盖章、专用名称等特殊情形外，以中文汉语以外的文字表述的</w:t>
      </w:r>
      <w:r>
        <w:rPr>
          <w:rFonts w:hint="eastAsia" w:asciiTheme="minorEastAsia" w:hAnsiTheme="minorEastAsia" w:eastAsiaTheme="minorEastAsia"/>
          <w:sz w:val="24"/>
        </w:rPr>
        <w:t>电子投标文件</w:t>
      </w:r>
      <w:r>
        <w:rPr>
          <w:rFonts w:asciiTheme="minorEastAsia" w:hAnsiTheme="minorEastAsia" w:eastAsiaTheme="minorEastAsia"/>
          <w:sz w:val="24"/>
        </w:rPr>
        <w:t>视同未提供。</w:t>
      </w:r>
    </w:p>
    <w:p>
      <w:pPr>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sz w:val="24"/>
        </w:rPr>
        <w:t>（4）</w:t>
      </w:r>
      <w:r>
        <w:rPr>
          <w:rFonts w:asciiTheme="minorEastAsia" w:hAnsiTheme="minorEastAsia" w:eastAsiaTheme="minorEastAsia"/>
          <w:sz w:val="24"/>
        </w:rPr>
        <w:t>投标计量单位，招标文件已有明确规定的，使用招标文件规定的计量单位；招标文件没有规定的，应采用中华人民共和国法定计量单位（货币单位：人民币元）。</w:t>
      </w:r>
    </w:p>
    <w:p>
      <w:pPr>
        <w:autoSpaceDE w:val="0"/>
        <w:autoSpaceDN w:val="0"/>
        <w:adjustRightInd w:val="0"/>
        <w:spacing w:line="360" w:lineRule="auto"/>
        <w:ind w:firstLine="480"/>
        <w:rPr>
          <w:rFonts w:asciiTheme="minorEastAsia" w:hAnsiTheme="minorEastAsia" w:eastAsiaTheme="minorEastAsia"/>
          <w:sz w:val="24"/>
        </w:rPr>
      </w:pPr>
      <w:r>
        <w:rPr>
          <w:rFonts w:hint="eastAsia" w:asciiTheme="minorEastAsia" w:hAnsiTheme="minorEastAsia"/>
          <w:sz w:val="24"/>
        </w:rPr>
        <w:t>（5）</w:t>
      </w:r>
      <w:r>
        <w:rPr>
          <w:rFonts w:asciiTheme="minorEastAsia" w:hAnsiTheme="minorEastAsia" w:eastAsiaTheme="minorEastAsia"/>
          <w:sz w:val="24"/>
        </w:rPr>
        <w:t>若投标人不按招标文件的要求提供资格审查材料，其风险由投标人自行承担。</w:t>
      </w:r>
    </w:p>
    <w:p>
      <w:pPr>
        <w:autoSpaceDE w:val="0"/>
        <w:autoSpaceDN w:val="0"/>
        <w:adjustRightInd w:val="0"/>
        <w:spacing w:line="360" w:lineRule="auto"/>
        <w:ind w:firstLine="480"/>
        <w:rPr>
          <w:rFonts w:asciiTheme="minorEastAsia" w:hAnsiTheme="minorEastAsia" w:eastAsiaTheme="minorEastAsia"/>
          <w:sz w:val="24"/>
        </w:rPr>
      </w:pPr>
      <w:r>
        <w:rPr>
          <w:rFonts w:hint="eastAsia" w:asciiTheme="minorEastAsia" w:hAnsiTheme="minorEastAsia"/>
          <w:kern w:val="0"/>
          <w:sz w:val="24"/>
        </w:rPr>
        <w:t>（6）</w:t>
      </w:r>
      <w:r>
        <w:rPr>
          <w:rFonts w:hint="eastAsia" w:asciiTheme="minorEastAsia" w:hAnsiTheme="minorEastAsia" w:eastAsiaTheme="minorEastAsia"/>
          <w:sz w:val="24"/>
        </w:rPr>
        <w:t>与本次投标无关的内容请不要制作在内，确保电子投标文件有针对性、简洁明了。</w:t>
      </w:r>
    </w:p>
    <w:p>
      <w:pPr>
        <w:autoSpaceDE w:val="0"/>
        <w:autoSpaceDN w:val="0"/>
        <w:adjustRightInd w:val="0"/>
        <w:spacing w:line="360" w:lineRule="auto"/>
        <w:ind w:firstLine="482" w:firstLineChars="200"/>
        <w:rPr>
          <w:rFonts w:asciiTheme="minorEastAsia" w:hAnsiTheme="minorEastAsia"/>
          <w:b/>
          <w:bCs/>
          <w:sz w:val="24"/>
        </w:rPr>
      </w:pPr>
      <w:r>
        <w:rPr>
          <w:rFonts w:hint="eastAsia" w:asciiTheme="minorEastAsia" w:hAnsiTheme="minorEastAsia"/>
          <w:b/>
          <w:bCs/>
          <w:sz w:val="24"/>
        </w:rPr>
        <w:t>2、</w:t>
      </w:r>
      <w:r>
        <w:rPr>
          <w:rFonts w:hint="eastAsia" w:asciiTheme="minorEastAsia" w:hAnsiTheme="minorEastAsia" w:eastAsiaTheme="minorEastAsia"/>
          <w:b/>
          <w:bCs/>
          <w:sz w:val="24"/>
        </w:rPr>
        <w:t>电子投标文件</w:t>
      </w:r>
      <w:r>
        <w:rPr>
          <w:rFonts w:hint="eastAsia" w:asciiTheme="minorEastAsia" w:hAnsiTheme="minorEastAsia"/>
          <w:b/>
          <w:bCs/>
          <w:sz w:val="24"/>
        </w:rPr>
        <w:t>的递交要求</w:t>
      </w:r>
    </w:p>
    <w:p>
      <w:pPr>
        <w:spacing w:line="360" w:lineRule="auto"/>
        <w:ind w:firstLine="480" w:firstLineChars="200"/>
        <w:rPr>
          <w:sz w:val="24"/>
        </w:rPr>
      </w:pPr>
      <w:r>
        <w:rPr>
          <w:rFonts w:hint="eastAsia" w:asciiTheme="majorEastAsia" w:hAnsiTheme="majorEastAsia" w:eastAsiaTheme="majorEastAsia" w:cstheme="majorEastAsia"/>
          <w:sz w:val="24"/>
        </w:rPr>
        <w:t>（1）投标人须按照采购文件和政采云平台的要求编制并加密电子投标文件。在电子投标文件递交截止时间以前完成电子投标文件的传输递交。</w:t>
      </w:r>
    </w:p>
    <w:p>
      <w:pPr>
        <w:tabs>
          <w:tab w:val="left" w:pos="141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（2）如有特殊情况，采购组织机构延长截止时间和开标时间，采购组织机构和投标人的权利和义务将受到新的截止时间和开标时间的约束。</w:t>
      </w:r>
    </w:p>
    <w:p>
      <w:pPr>
        <w:tabs>
          <w:tab w:val="left" w:pos="1898"/>
        </w:tabs>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3、电子投标文件的补充、修改和撤回。</w:t>
      </w:r>
    </w:p>
    <w:p>
      <w:pPr>
        <w:tabs>
          <w:tab w:val="left" w:pos="960"/>
          <w:tab w:val="left" w:pos="1418"/>
        </w:tabs>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（1）</w:t>
      </w:r>
      <w:r>
        <w:rPr>
          <w:rFonts w:hint="eastAsia" w:asciiTheme="minorEastAsia" w:hAnsiTheme="minorEastAsia" w:eastAsiaTheme="minorEastAsia"/>
          <w:kern w:val="0"/>
          <w:sz w:val="24"/>
        </w:rPr>
        <w:t>补充或者修改电子投标文件的，应当先行撤回原文件，补充、修改后重新传输递交。投标截止时间前未完成传输的，视为撤回电子投标文件。</w:t>
      </w:r>
    </w:p>
    <w:p>
      <w:pPr>
        <w:tabs>
          <w:tab w:val="left" w:pos="1898"/>
        </w:tabs>
        <w:autoSpaceDE w:val="0"/>
        <w:autoSpaceDN w:val="0"/>
        <w:adjustRightInd w:val="0"/>
        <w:spacing w:line="360" w:lineRule="auto"/>
        <w:rPr>
          <w:rFonts w:asciiTheme="minorEastAsia" w:hAnsiTheme="minorEastAsia" w:eastAsiaTheme="minorEastAsia"/>
          <w:b/>
          <w:kern w:val="0"/>
          <w:sz w:val="24"/>
        </w:rPr>
      </w:pPr>
      <w:r>
        <w:rPr>
          <w:rFonts w:hint="eastAsia" w:asciiTheme="minorEastAsia" w:hAnsiTheme="minorEastAsia" w:eastAsiaTheme="minorEastAsia"/>
          <w:b/>
          <w:kern w:val="0"/>
          <w:sz w:val="24"/>
        </w:rPr>
        <w:t>（三）电子投标文件的有效期</w:t>
      </w:r>
    </w:p>
    <w:p>
      <w:pPr>
        <w:pStyle w:val="8"/>
        <w:tabs>
          <w:tab w:val="left" w:pos="454"/>
          <w:tab w:val="left" w:pos="720"/>
          <w:tab w:val="left" w:pos="1200"/>
        </w:tabs>
        <w:snapToGrid w:val="0"/>
        <w:spacing w:line="360" w:lineRule="auto"/>
        <w:ind w:left="0" w:firstLine="480" w:firstLineChars="200"/>
        <w:rPr>
          <w:rFonts w:ascii="FangSong_GB2312" w:hAnsi="FangSong_GB2312" w:eastAsia="FangSong_GB2312" w:cs="FangSong_GB2312"/>
          <w:sz w:val="24"/>
          <w:lang w:val="en-GB"/>
        </w:rPr>
      </w:pPr>
      <w:r>
        <w:rPr>
          <w:rFonts w:hint="eastAsia" w:ascii="宋体" w:hAnsi="宋体"/>
          <w:sz w:val="24"/>
          <w:lang w:val="en-GB"/>
        </w:rPr>
        <w:t>自投标截止日起90天电子投标文件应保持有效。有效期不足的电子投标文件将被拒绝。</w:t>
      </w:r>
    </w:p>
    <w:p>
      <w:pPr>
        <w:pStyle w:val="8"/>
        <w:tabs>
          <w:tab w:val="left" w:pos="454"/>
          <w:tab w:val="left" w:pos="720"/>
          <w:tab w:val="left" w:pos="1200"/>
        </w:tabs>
        <w:snapToGrid w:val="0"/>
        <w:spacing w:line="360" w:lineRule="auto"/>
        <w:ind w:left="0" w:firstLine="480" w:firstLineChars="200"/>
        <w:rPr>
          <w:rFonts w:ascii="宋体" w:hAnsi="宋体"/>
          <w:sz w:val="24"/>
          <w:lang w:val="en-GB"/>
        </w:rPr>
      </w:pPr>
      <w:r>
        <w:rPr>
          <w:rFonts w:hint="eastAsia" w:ascii="宋体" w:hAnsi="宋体"/>
          <w:sz w:val="24"/>
          <w:lang w:val="en-GB"/>
        </w:rPr>
        <w:t>在特殊情况下，采购人可与投标人协商延长电子投标文件的有效期，这种要求和答复均以书面形式进行。</w:t>
      </w:r>
    </w:p>
    <w:p>
      <w:pPr>
        <w:snapToGrid w:val="0"/>
        <w:spacing w:line="360" w:lineRule="auto"/>
        <w:ind w:firstLine="480" w:firstLineChars="200"/>
        <w:jc w:val="left"/>
        <w:outlineLvl w:val="0"/>
        <w:rPr>
          <w:rFonts w:asciiTheme="minorEastAsia" w:hAnsiTheme="minorEastAsia" w:eastAsiaTheme="minorEastAsia"/>
          <w:b/>
          <w:sz w:val="24"/>
        </w:rPr>
      </w:pPr>
      <w:r>
        <w:rPr>
          <w:rFonts w:hint="eastAsia" w:ascii="宋体" w:hAnsi="宋体"/>
          <w:sz w:val="24"/>
        </w:rPr>
        <w:t>3.</w:t>
      </w:r>
      <w:r>
        <w:rPr>
          <w:rFonts w:asciiTheme="minorEastAsia" w:hAnsiTheme="minorEastAsia" w:eastAsiaTheme="minorEastAsia"/>
          <w:sz w:val="24"/>
        </w:rPr>
        <w:t>中标人的</w:t>
      </w:r>
      <w:r>
        <w:rPr>
          <w:rFonts w:hint="eastAsia" w:asciiTheme="minorEastAsia" w:hAnsiTheme="minorEastAsia" w:eastAsiaTheme="minorEastAsia"/>
          <w:sz w:val="24"/>
        </w:rPr>
        <w:t>电子投标文件</w:t>
      </w:r>
      <w:r>
        <w:rPr>
          <w:rFonts w:asciiTheme="minorEastAsia" w:hAnsiTheme="minorEastAsia" w:eastAsiaTheme="minorEastAsia"/>
          <w:sz w:val="24"/>
        </w:rPr>
        <w:t>自开标之日起至合同履行完毕均应保持有效。</w:t>
      </w:r>
    </w:p>
    <w:p>
      <w:pPr>
        <w:snapToGrid w:val="0"/>
        <w:spacing w:line="360" w:lineRule="auto"/>
        <w:ind w:firstLine="472" w:firstLineChars="196"/>
        <w:rPr>
          <w:rFonts w:asciiTheme="minorEastAsia" w:hAnsiTheme="minorEastAsia" w:eastAsiaTheme="minorEastAsia"/>
          <w:b/>
          <w:kern w:val="0"/>
          <w:sz w:val="24"/>
        </w:rPr>
      </w:pPr>
      <w:r>
        <w:rPr>
          <w:rFonts w:hint="eastAsia" w:asciiTheme="minorEastAsia" w:hAnsiTheme="minorEastAsia" w:eastAsiaTheme="minorEastAsia"/>
          <w:b/>
          <w:kern w:val="0"/>
          <w:sz w:val="24"/>
        </w:rPr>
        <w:t>四、开标</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（一）开标事项</w:t>
      </w:r>
    </w:p>
    <w:p>
      <w:pPr>
        <w:autoSpaceDE w:val="0"/>
        <w:autoSpaceDN w:val="0"/>
        <w:adjustRightInd w:val="0"/>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kern w:val="0"/>
          <w:sz w:val="24"/>
        </w:rPr>
        <w:t>采购组织机构在“招标公告”规定的时间和地点公开开标，</w:t>
      </w:r>
      <w:r>
        <w:rPr>
          <w:rFonts w:hint="eastAsia" w:asciiTheme="minorEastAsia" w:hAnsiTheme="minorEastAsia" w:eastAsiaTheme="minorEastAsia"/>
          <w:bCs/>
          <w:sz w:val="24"/>
        </w:rPr>
        <w:t>采购组织机构</w:t>
      </w:r>
      <w:r>
        <w:rPr>
          <w:rFonts w:asciiTheme="minorEastAsia" w:hAnsiTheme="minorEastAsia" w:eastAsiaTheme="minorEastAsia"/>
          <w:bCs/>
          <w:sz w:val="24"/>
        </w:rPr>
        <w:t>工作人员接收</w:t>
      </w:r>
      <w:r>
        <w:rPr>
          <w:rFonts w:hint="eastAsia" w:asciiTheme="minorEastAsia" w:hAnsiTheme="minorEastAsia" w:eastAsiaTheme="minorEastAsia"/>
          <w:bCs/>
          <w:sz w:val="24"/>
        </w:rPr>
        <w:t>电子投标文件</w:t>
      </w:r>
      <w:r>
        <w:rPr>
          <w:rFonts w:asciiTheme="minorEastAsia" w:hAnsiTheme="minorEastAsia" w:eastAsiaTheme="minorEastAsia"/>
          <w:bCs/>
          <w:sz w:val="24"/>
        </w:rPr>
        <w:t>并登记。</w:t>
      </w:r>
      <w:r>
        <w:rPr>
          <w:rFonts w:hint="eastAsia" w:asciiTheme="minorEastAsia" w:hAnsiTheme="minorEastAsia" w:eastAsiaTheme="minorEastAsia"/>
          <w:bCs/>
          <w:sz w:val="24"/>
        </w:rPr>
        <w:t>评标委员会成员不得参加开标活动。</w:t>
      </w:r>
      <w:r>
        <w:rPr>
          <w:rFonts w:hint="eastAsia" w:asciiTheme="minorEastAsia" w:hAnsiTheme="minorEastAsia" w:eastAsiaTheme="minorEastAsia"/>
          <w:b/>
          <w:bCs/>
          <w:kern w:val="0"/>
          <w:sz w:val="24"/>
        </w:rPr>
        <w:t>（本次招标</w:t>
      </w:r>
      <w:r>
        <w:rPr>
          <w:rFonts w:cs="Arial" w:asciiTheme="minorEastAsia" w:hAnsiTheme="minorEastAsia" w:eastAsiaTheme="minorEastAsia"/>
          <w:b/>
          <w:bCs/>
          <w:sz w:val="24"/>
        </w:rPr>
        <w:t>采用先评审商务资格</w:t>
      </w:r>
      <w:r>
        <w:rPr>
          <w:rFonts w:hint="eastAsia" w:cs="Arial" w:asciiTheme="minorEastAsia" w:hAnsiTheme="minorEastAsia" w:eastAsiaTheme="minorEastAsia"/>
          <w:b/>
          <w:bCs/>
          <w:sz w:val="24"/>
        </w:rPr>
        <w:t>和</w:t>
      </w:r>
      <w:r>
        <w:rPr>
          <w:rFonts w:cs="Arial" w:asciiTheme="minorEastAsia" w:hAnsiTheme="minorEastAsia" w:eastAsiaTheme="minorEastAsia"/>
          <w:b/>
          <w:bCs/>
          <w:sz w:val="24"/>
        </w:rPr>
        <w:t>技术服务方案</w:t>
      </w:r>
      <w:r>
        <w:rPr>
          <w:rFonts w:hint="eastAsia" w:cs="Arial" w:asciiTheme="minorEastAsia" w:hAnsiTheme="minorEastAsia" w:eastAsiaTheme="minorEastAsia"/>
          <w:b/>
          <w:bCs/>
          <w:sz w:val="24"/>
        </w:rPr>
        <w:t>，</w:t>
      </w:r>
      <w:r>
        <w:rPr>
          <w:rFonts w:cs="Arial" w:asciiTheme="minorEastAsia" w:hAnsiTheme="minorEastAsia" w:eastAsiaTheme="minorEastAsia"/>
          <w:b/>
          <w:bCs/>
          <w:sz w:val="24"/>
        </w:rPr>
        <w:t>后公开并评审商务报价的办法</w:t>
      </w:r>
      <w:r>
        <w:rPr>
          <w:rFonts w:hint="eastAsia" w:asciiTheme="minorEastAsia" w:hAnsiTheme="minorEastAsia" w:eastAsiaTheme="minorEastAsia"/>
          <w:b/>
          <w:bCs/>
          <w:kern w:val="0"/>
          <w:sz w:val="24"/>
        </w:rPr>
        <w:t>实施。各位供应商投标时必须根据菜单对应上传，切勿误传，否则一切后果自行承担）</w:t>
      </w:r>
      <w:r>
        <w:rPr>
          <w:rFonts w:hint="eastAsia" w:asciiTheme="minorEastAsia" w:hAnsiTheme="minorEastAsia" w:eastAsiaTheme="minorEastAsia"/>
          <w:kern w:val="0"/>
          <w:sz w:val="24"/>
        </w:rPr>
        <w:t>。</w:t>
      </w:r>
    </w:p>
    <w:p>
      <w:pPr>
        <w:autoSpaceDE w:val="0"/>
        <w:autoSpaceDN w:val="0"/>
        <w:adjustRightInd w:val="0"/>
        <w:spacing w:line="360" w:lineRule="auto"/>
        <w:ind w:firstLine="480" w:firstLineChars="200"/>
        <w:rPr>
          <w:rFonts w:asciiTheme="minorEastAsia" w:hAnsiTheme="minorEastAsia" w:eastAsiaTheme="minorEastAsia"/>
          <w:bCs/>
          <w:sz w:val="24"/>
        </w:rPr>
      </w:pPr>
      <w:r>
        <w:rPr>
          <w:rFonts w:asciiTheme="minorEastAsia" w:hAnsiTheme="minorEastAsia" w:eastAsiaTheme="minorEastAsia"/>
          <w:bCs/>
          <w:sz w:val="24"/>
        </w:rPr>
        <w:t>（二） 开</w:t>
      </w:r>
      <w:r>
        <w:rPr>
          <w:rFonts w:hint="eastAsia" w:asciiTheme="minorEastAsia" w:hAnsiTheme="minorEastAsia" w:eastAsiaTheme="minorEastAsia"/>
          <w:bCs/>
          <w:sz w:val="24"/>
        </w:rPr>
        <w:t>标</w:t>
      </w:r>
      <w:r>
        <w:rPr>
          <w:rFonts w:asciiTheme="minorEastAsia" w:hAnsiTheme="minorEastAsia" w:eastAsiaTheme="minorEastAsia"/>
          <w:bCs/>
          <w:sz w:val="24"/>
        </w:rPr>
        <w:t>程序：</w:t>
      </w:r>
    </w:p>
    <w:p>
      <w:pPr>
        <w:pStyle w:val="13"/>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1、开标时间到后，招标项目负责人准时组织开标；</w:t>
      </w:r>
    </w:p>
    <w:p>
      <w:pPr>
        <w:snapToGrid w:val="0"/>
        <w:spacing w:line="360" w:lineRule="auto"/>
        <w:ind w:firstLine="480" w:firstLineChars="200"/>
        <w:jc w:val="left"/>
        <w:rPr>
          <w:rFonts w:ascii="宋体" w:hAnsi="宋体" w:cs="宋体"/>
          <w:sz w:val="24"/>
        </w:rPr>
      </w:pPr>
      <w:r>
        <w:rPr>
          <w:rFonts w:hint="eastAsia" w:ascii="宋体" w:hAnsi="宋体" w:cs="宋体"/>
          <w:sz w:val="24"/>
        </w:rPr>
        <w:t>2、投标人登录政采云平台，用“项目采购-开标评标”功能对电子投标文件进行在线解密。在线解密电子投标文件时间为开标时间起半个小时内。</w:t>
      </w:r>
    </w:p>
    <w:p>
      <w:pPr>
        <w:snapToGrid w:val="0"/>
        <w:spacing w:line="360" w:lineRule="auto"/>
        <w:ind w:firstLine="480" w:firstLineChars="200"/>
        <w:jc w:val="left"/>
        <w:rPr>
          <w:rFonts w:ascii="宋体" w:hAnsi="宋体" w:cs="宋体"/>
          <w:sz w:val="24"/>
        </w:rPr>
      </w:pPr>
      <w:r>
        <w:rPr>
          <w:rFonts w:hint="eastAsia" w:ascii="宋体" w:hAnsi="宋体" w:cs="宋体"/>
          <w:sz w:val="24"/>
        </w:rPr>
        <w:t>3、公布开标结果。</w:t>
      </w:r>
    </w:p>
    <w:p>
      <w:pPr>
        <w:snapToGrid w:val="0"/>
        <w:spacing w:line="360" w:lineRule="auto"/>
        <w:ind w:firstLine="480" w:firstLineChars="200"/>
        <w:jc w:val="left"/>
        <w:rPr>
          <w:rFonts w:ascii="宋体" w:hAnsi="宋体" w:cs="宋体"/>
          <w:sz w:val="24"/>
        </w:rPr>
      </w:pPr>
      <w:r>
        <w:rPr>
          <w:rFonts w:hint="eastAsia" w:ascii="宋体" w:hAnsi="宋体" w:cs="宋体"/>
          <w:sz w:val="24"/>
        </w:rPr>
        <w:t>4、特别说明：本项目原则上采用政采云电子招投标开标及评审程序，但有下情形之一的，按以下情况处理：</w:t>
      </w:r>
    </w:p>
    <w:p>
      <w:pPr>
        <w:numPr>
          <w:ilvl w:val="0"/>
          <w:numId w:val="9"/>
        </w:numPr>
        <w:snapToGrid w:val="0"/>
        <w:spacing w:line="360" w:lineRule="auto"/>
        <w:ind w:firstLine="480" w:firstLineChars="200"/>
        <w:jc w:val="left"/>
        <w:rPr>
          <w:rFonts w:ascii="宋体" w:hAnsi="宋体" w:cs="宋体"/>
          <w:sz w:val="24"/>
        </w:rPr>
      </w:pPr>
      <w:r>
        <w:rPr>
          <w:rFonts w:hint="eastAsia" w:ascii="宋体" w:hAnsi="宋体" w:cs="宋体"/>
          <w:sz w:val="24"/>
        </w:rPr>
        <w:t>投标人应当按规定及时解密，若因技术原因导致电子投标文件未能及时解密的，应联系我中心技术人员（陈工：15167606512）在采监处的监督下远程协助其完成解密，仍无法完成解密的，应按规定及时递交备份电子投标文件，否则，视同放弃投标。</w:t>
      </w:r>
    </w:p>
    <w:p>
      <w:pPr>
        <w:snapToGrid w:val="0"/>
        <w:spacing w:line="360" w:lineRule="auto"/>
        <w:ind w:firstLine="480" w:firstLineChars="200"/>
        <w:jc w:val="left"/>
        <w:rPr>
          <w:rFonts w:ascii="FangSong_GB2312" w:hAnsi="宋体" w:eastAsia="FangSong_GB2312"/>
          <w:b/>
          <w:sz w:val="24"/>
        </w:rPr>
      </w:pPr>
      <w:r>
        <w:rPr>
          <w:rFonts w:hint="eastAsia" w:ascii="宋体" w:hAnsi="宋体" w:cs="宋体"/>
          <w:sz w:val="24"/>
        </w:rPr>
        <w:t>（2）</w:t>
      </w:r>
      <w:r>
        <w:rPr>
          <w:rFonts w:hint="eastAsia" w:asciiTheme="minorEastAsia" w:hAnsiTheme="minorEastAsia" w:eastAsiaTheme="minorEastAsia"/>
          <w:sz w:val="24"/>
        </w:rPr>
        <w:t>开评标细则按政采云电子评标流程进行。</w:t>
      </w:r>
      <w:r>
        <w:rPr>
          <w:rFonts w:hint="eastAsia" w:ascii="FangSong_GB2312" w:hAnsi="宋体" w:eastAsia="FangSong_GB2312"/>
          <w:b/>
          <w:sz w:val="24"/>
        </w:rPr>
        <w:t>特别说明：政采云公司如对电子化开标及评审程序有调整的，按调整后的程序操作。</w:t>
      </w:r>
    </w:p>
    <w:p>
      <w:pPr>
        <w:pStyle w:val="13"/>
        <w:snapToGrid w:val="0"/>
        <w:spacing w:line="360" w:lineRule="auto"/>
        <w:ind w:firstLine="480" w:firstLineChars="200"/>
        <w:rPr>
          <w:sz w:val="24"/>
        </w:rPr>
      </w:pPr>
    </w:p>
    <w:p>
      <w:pPr>
        <w:pStyle w:val="13"/>
        <w:snapToGrid w:val="0"/>
        <w:spacing w:line="360" w:lineRule="auto"/>
        <w:outlineLvl w:val="1"/>
        <w:rPr>
          <w:rFonts w:asciiTheme="minorEastAsia" w:hAnsiTheme="minorEastAsia" w:eastAsiaTheme="minorEastAsia"/>
          <w:b/>
          <w:sz w:val="24"/>
        </w:rPr>
      </w:pPr>
      <w:r>
        <w:rPr>
          <w:rFonts w:hint="eastAsia" w:asciiTheme="minorEastAsia" w:hAnsiTheme="minorEastAsia" w:eastAsiaTheme="minorEastAsia"/>
          <w:b/>
          <w:sz w:val="24"/>
        </w:rPr>
        <w:t>五、评标</w:t>
      </w:r>
    </w:p>
    <w:p>
      <w:pPr>
        <w:pStyle w:val="13"/>
        <w:snapToGrid w:val="0"/>
        <w:spacing w:line="360" w:lineRule="auto"/>
        <w:ind w:left="720" w:leftChars="228" w:hanging="241" w:hangingChars="100"/>
        <w:rPr>
          <w:rFonts w:asciiTheme="minorEastAsia" w:hAnsiTheme="minorEastAsia" w:eastAsiaTheme="minorEastAsia"/>
          <w:b/>
          <w:sz w:val="24"/>
        </w:rPr>
      </w:pPr>
      <w:r>
        <w:rPr>
          <w:rFonts w:asciiTheme="minorEastAsia" w:hAnsiTheme="minorEastAsia" w:eastAsiaTheme="minorEastAsia"/>
          <w:b/>
          <w:sz w:val="24"/>
        </w:rPr>
        <w:t>（一）组建评标委员会</w:t>
      </w:r>
    </w:p>
    <w:p>
      <w:pPr>
        <w:pStyle w:val="13"/>
        <w:snapToGrid w:val="0"/>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本项目评标委员会由政府采购评审专家</w:t>
      </w:r>
      <w:r>
        <w:rPr>
          <w:rFonts w:hint="eastAsia" w:asciiTheme="minorEastAsia" w:hAnsiTheme="minorEastAsia" w:eastAsiaTheme="minorEastAsia"/>
          <w:sz w:val="24"/>
        </w:rPr>
        <w:t>和采购单位评审代表</w:t>
      </w:r>
      <w:r>
        <w:rPr>
          <w:rFonts w:asciiTheme="minorEastAsia" w:hAnsiTheme="minorEastAsia" w:eastAsiaTheme="minorEastAsia"/>
          <w:sz w:val="24"/>
        </w:rPr>
        <w:t>组成。</w:t>
      </w:r>
    </w:p>
    <w:p>
      <w:pPr>
        <w:pStyle w:val="13"/>
        <w:snapToGrid w:val="0"/>
        <w:spacing w:line="360" w:lineRule="auto"/>
        <w:ind w:left="720" w:leftChars="228" w:hanging="241" w:hangingChars="100"/>
        <w:rPr>
          <w:rFonts w:asciiTheme="minorEastAsia" w:hAnsiTheme="minorEastAsia" w:eastAsiaTheme="minorEastAsia"/>
          <w:b/>
          <w:sz w:val="24"/>
        </w:rPr>
      </w:pPr>
      <w:r>
        <w:rPr>
          <w:rFonts w:asciiTheme="minorEastAsia" w:hAnsiTheme="minorEastAsia" w:eastAsiaTheme="minorEastAsia"/>
          <w:b/>
          <w:sz w:val="24"/>
        </w:rPr>
        <w:t>（</w:t>
      </w:r>
      <w:r>
        <w:rPr>
          <w:rFonts w:hint="eastAsia" w:asciiTheme="minorEastAsia" w:hAnsiTheme="minorEastAsia" w:eastAsiaTheme="minorEastAsia"/>
          <w:b/>
          <w:sz w:val="24"/>
        </w:rPr>
        <w:t>二</w:t>
      </w:r>
      <w:r>
        <w:rPr>
          <w:rFonts w:asciiTheme="minorEastAsia" w:hAnsiTheme="minorEastAsia" w:eastAsiaTheme="minorEastAsia"/>
          <w:b/>
          <w:sz w:val="24"/>
        </w:rPr>
        <w:t>）</w:t>
      </w:r>
      <w:r>
        <w:rPr>
          <w:rFonts w:asciiTheme="minorEastAsia" w:hAnsiTheme="minorEastAsia" w:eastAsiaTheme="minorEastAsia"/>
          <w:b/>
          <w:bCs/>
          <w:sz w:val="24"/>
        </w:rPr>
        <w:t>评标程序</w:t>
      </w:r>
    </w:p>
    <w:p>
      <w:pPr>
        <w:snapToGrid w:val="0"/>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1、资格</w:t>
      </w:r>
      <w:r>
        <w:rPr>
          <w:rFonts w:asciiTheme="minorEastAsia" w:hAnsiTheme="minorEastAsia" w:eastAsiaTheme="minorEastAsia"/>
          <w:b/>
          <w:bCs/>
          <w:sz w:val="24"/>
        </w:rPr>
        <w:t>审查</w:t>
      </w:r>
    </w:p>
    <w:p>
      <w:pPr>
        <w:pStyle w:val="10"/>
        <w:spacing w:line="360" w:lineRule="auto"/>
        <w:jc w:val="both"/>
        <w:rPr>
          <w:rFonts w:asciiTheme="minorEastAsia" w:hAnsiTheme="minorEastAsia" w:eastAsiaTheme="minorEastAsia"/>
          <w:sz w:val="24"/>
        </w:rPr>
      </w:pPr>
      <w:r>
        <w:rPr>
          <w:rFonts w:asciiTheme="minorEastAsia" w:hAnsiTheme="minorEastAsia" w:eastAsiaTheme="minorEastAsia"/>
          <w:sz w:val="24"/>
        </w:rPr>
        <w:t>公开招标采购项目开标结束后，采购人或者采购组织机构应当依法对投标人的资格进行审查，对审查发现无效的进行必要的询标，</w:t>
      </w:r>
      <w:r>
        <w:rPr>
          <w:rFonts w:hint="eastAsia"/>
          <w:sz w:val="24"/>
        </w:rPr>
        <w:t>由政采云在线公布</w:t>
      </w:r>
      <w:r>
        <w:rPr>
          <w:rFonts w:asciiTheme="minorEastAsia" w:hAnsiTheme="minorEastAsia" w:eastAsiaTheme="minorEastAsia"/>
          <w:sz w:val="24"/>
        </w:rPr>
        <w:t>无效投标的投标人名单、投标无效的原因。</w:t>
      </w:r>
      <w:r>
        <w:rPr>
          <w:rFonts w:hint="eastAsia"/>
          <w:sz w:val="24"/>
        </w:rPr>
        <w:t>（若系统原因无法公布的，将由录音电话代为公布）</w:t>
      </w:r>
    </w:p>
    <w:p>
      <w:pPr>
        <w:pStyle w:val="10"/>
        <w:numPr>
          <w:ilvl w:val="0"/>
          <w:numId w:val="10"/>
        </w:numPr>
        <w:spacing w:line="360" w:lineRule="auto"/>
        <w:rPr>
          <w:rFonts w:asciiTheme="minorEastAsia" w:hAnsiTheme="minorEastAsia" w:eastAsiaTheme="minorEastAsia"/>
          <w:b/>
          <w:bCs/>
          <w:sz w:val="24"/>
        </w:rPr>
      </w:pPr>
      <w:r>
        <w:rPr>
          <w:rFonts w:asciiTheme="minorEastAsia" w:hAnsiTheme="minorEastAsia" w:eastAsiaTheme="minorEastAsia"/>
          <w:b/>
          <w:bCs/>
          <w:sz w:val="24"/>
        </w:rPr>
        <w:t>符合性审查</w:t>
      </w:r>
    </w:p>
    <w:p>
      <w:pPr>
        <w:pStyle w:val="10"/>
        <w:spacing w:line="360" w:lineRule="auto"/>
        <w:rPr>
          <w:rFonts w:eastAsiaTheme="minorEastAsia"/>
          <w:sz w:val="24"/>
        </w:rPr>
      </w:pPr>
      <w:r>
        <w:rPr>
          <w:rFonts w:asciiTheme="minorEastAsia" w:hAnsiTheme="minorEastAsia" w:eastAsiaTheme="minorEastAsia"/>
          <w:sz w:val="24"/>
        </w:rPr>
        <w:t>评标委员会应当对符合资格的投标人的</w:t>
      </w:r>
      <w:r>
        <w:rPr>
          <w:rFonts w:hint="eastAsia" w:asciiTheme="minorEastAsia" w:hAnsiTheme="minorEastAsia" w:eastAsiaTheme="minorEastAsia"/>
          <w:sz w:val="24"/>
        </w:rPr>
        <w:t>电子</w:t>
      </w:r>
      <w:r>
        <w:rPr>
          <w:rFonts w:asciiTheme="minorEastAsia" w:hAnsiTheme="minorEastAsia" w:eastAsiaTheme="minorEastAsia"/>
          <w:sz w:val="24"/>
        </w:rPr>
        <w:t>投标文件进行符合性审查，以确定其是否满足招标文件的实质性要求，对审查发现无效的进行必要的询标，</w:t>
      </w:r>
      <w:r>
        <w:rPr>
          <w:rFonts w:hint="eastAsia"/>
          <w:sz w:val="24"/>
        </w:rPr>
        <w:t>对</w:t>
      </w:r>
      <w:r>
        <w:rPr>
          <w:rFonts w:asciiTheme="minorEastAsia" w:hAnsiTheme="minorEastAsia" w:eastAsiaTheme="minorEastAsia"/>
          <w:sz w:val="24"/>
        </w:rPr>
        <w:t>无效投标的投标人名单</w:t>
      </w:r>
      <w:r>
        <w:rPr>
          <w:rFonts w:hint="eastAsia" w:asciiTheme="minorEastAsia" w:hAnsiTheme="minorEastAsia" w:eastAsiaTheme="minorEastAsia"/>
          <w:sz w:val="24"/>
        </w:rPr>
        <w:t>及</w:t>
      </w:r>
      <w:r>
        <w:rPr>
          <w:rFonts w:asciiTheme="minorEastAsia" w:hAnsiTheme="minorEastAsia" w:eastAsiaTheme="minorEastAsia"/>
          <w:sz w:val="24"/>
        </w:rPr>
        <w:t>投标无效原因</w:t>
      </w:r>
      <w:r>
        <w:rPr>
          <w:rFonts w:hint="eastAsia" w:asciiTheme="minorEastAsia" w:hAnsiTheme="minorEastAsia" w:eastAsiaTheme="minorEastAsia"/>
          <w:sz w:val="24"/>
        </w:rPr>
        <w:t>的公布方式同上。</w:t>
      </w:r>
    </w:p>
    <w:p>
      <w:pPr>
        <w:pStyle w:val="19"/>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b/>
          <w:bCs/>
        </w:rPr>
        <w:t>3、</w:t>
      </w:r>
      <w:r>
        <w:rPr>
          <w:rFonts w:hint="default" w:ascii="Arial" w:hAnsi="Arial" w:cs="Arial"/>
          <w:b/>
          <w:bCs/>
        </w:rPr>
        <w:t>综合比较与评价</w:t>
      </w:r>
    </w:p>
    <w:p>
      <w:pPr>
        <w:pStyle w:val="19"/>
        <w:spacing w:before="0" w:beforeAutospacing="0" w:after="0" w:afterAutospacing="0" w:line="360" w:lineRule="auto"/>
        <w:ind w:firstLine="360" w:firstLineChars="150"/>
        <w:jc w:val="both"/>
        <w:rPr>
          <w:rFonts w:hint="default" w:asciiTheme="minorEastAsia" w:hAnsiTheme="minorEastAsia" w:eastAsiaTheme="minorEastAsia"/>
        </w:rPr>
      </w:pPr>
      <w:r>
        <w:rPr>
          <w:rFonts w:asciiTheme="minorEastAsia" w:hAnsiTheme="minorEastAsia" w:eastAsiaTheme="minorEastAsia"/>
        </w:rPr>
        <w:t>（1）对于电子投标文件中含义不明确、同类问题表述不一致或者有明显文字和计算错误的内容，评标委员会应当以在线询标形式要求投标人作出必要的澄清、说明或者补正。</w:t>
      </w:r>
    </w:p>
    <w:p>
      <w:pPr>
        <w:pStyle w:val="19"/>
        <w:spacing w:before="0" w:beforeAutospacing="0" w:after="0" w:afterAutospacing="0" w:line="360" w:lineRule="auto"/>
        <w:ind w:firstLine="360" w:firstLineChars="150"/>
        <w:jc w:val="both"/>
        <w:rPr>
          <w:rFonts w:hint="default" w:asciiTheme="minorEastAsia" w:hAnsiTheme="minorEastAsia" w:eastAsiaTheme="minorEastAsia"/>
        </w:rPr>
      </w:pPr>
      <w:r>
        <w:rPr>
          <w:rFonts w:asciiTheme="minorEastAsia" w:hAnsiTheme="minorEastAsia" w:eastAsiaTheme="minorEastAsia"/>
        </w:rPr>
        <w:t>（2）评标委员会应当按照招标文件中规定的评标方法和标准，对符合性审查合格的电子投标文件进行商务和技术评估，综合比较与评价。</w:t>
      </w:r>
    </w:p>
    <w:p>
      <w:pPr>
        <w:snapToGrid w:val="0"/>
        <w:spacing w:line="360" w:lineRule="auto"/>
        <w:ind w:firstLine="360" w:firstLineChars="150"/>
        <w:rPr>
          <w:rFonts w:asciiTheme="minorEastAsia" w:hAnsiTheme="minorEastAsia" w:eastAsiaTheme="minorEastAsia"/>
          <w:kern w:val="0"/>
          <w:sz w:val="24"/>
        </w:rPr>
      </w:pPr>
      <w:r>
        <w:rPr>
          <w:rFonts w:hint="eastAsia" w:asciiTheme="minorEastAsia" w:hAnsiTheme="minorEastAsia" w:eastAsiaTheme="minorEastAsia"/>
          <w:kern w:val="0"/>
          <w:sz w:val="24"/>
        </w:rPr>
        <w:t>（3）评标时，评标委员会各成员应当独立对每个投标人的电子投标文件进行评价，并汇总每个投标人的得分。</w:t>
      </w:r>
    </w:p>
    <w:p>
      <w:pPr>
        <w:numPr>
          <w:ilvl w:val="255"/>
          <w:numId w:val="0"/>
        </w:numPr>
        <w:snapToGrid w:val="0"/>
        <w:spacing w:line="360" w:lineRule="auto"/>
        <w:ind w:firstLine="482" w:firstLineChars="200"/>
        <w:rPr>
          <w:rFonts w:ascii="Arial" w:hAnsi="Arial" w:cs="Arial"/>
          <w:b/>
          <w:bCs/>
          <w:sz w:val="24"/>
        </w:rPr>
      </w:pPr>
      <w:r>
        <w:rPr>
          <w:rFonts w:hint="eastAsia" w:ascii="Arial" w:hAnsi="Arial" w:cs="Arial"/>
          <w:b/>
          <w:bCs/>
          <w:sz w:val="24"/>
        </w:rPr>
        <w:t>4、得分确认及评审报告编写</w:t>
      </w:r>
    </w:p>
    <w:p>
      <w:pPr>
        <w:pStyle w:val="13"/>
        <w:snapToGrid w:val="0"/>
        <w:spacing w:line="360" w:lineRule="auto"/>
        <w:ind w:firstLine="420" w:firstLineChars="175"/>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w:t>
      </w:r>
      <w:r>
        <w:rPr>
          <w:rFonts w:hint="eastAsia" w:asciiTheme="minorEastAsia" w:hAnsiTheme="minorEastAsia" w:eastAsiaTheme="minorEastAsia"/>
          <w:sz w:val="24"/>
        </w:rPr>
        <w:t>评标委员会对报价文件进行复核，对于系统计算出的价格分及总得分进行确认；</w:t>
      </w:r>
    </w:p>
    <w:p>
      <w:pPr>
        <w:pStyle w:val="19"/>
        <w:spacing w:before="0" w:beforeAutospacing="0" w:after="0" w:afterAutospacing="0" w:line="360" w:lineRule="auto"/>
        <w:ind w:firstLine="420" w:firstLineChars="175"/>
        <w:jc w:val="both"/>
        <w:rPr>
          <w:rFonts w:hint="default" w:asciiTheme="minorEastAsia" w:hAnsiTheme="minorEastAsia" w:eastAsiaTheme="minorEastAsia"/>
        </w:rPr>
      </w:pPr>
      <w:r>
        <w:rPr>
          <w:rFonts w:asciiTheme="minorEastAsia" w:hAnsiTheme="minorEastAsia" w:eastAsiaTheme="minorEastAsia"/>
        </w:rPr>
        <w:t>（2）评标委员会应当按照招标文件中规定的评标方法和标准，对符合性审查合格的电子投标文件进行商务和技术评估，综合比较与评价。</w:t>
      </w:r>
    </w:p>
    <w:p>
      <w:pPr>
        <w:snapToGrid w:val="0"/>
        <w:spacing w:line="360" w:lineRule="auto"/>
        <w:ind w:firstLine="480" w:firstLineChars="200"/>
        <w:rPr>
          <w:rFonts w:ascii="Arial" w:hAnsi="Arial" w:cs="Arial"/>
          <w:b/>
          <w:bCs/>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kern w:val="0"/>
          <w:sz w:val="24"/>
        </w:rPr>
        <w:t>评标委员会</w:t>
      </w:r>
      <w:r>
        <w:rPr>
          <w:rFonts w:asciiTheme="minorEastAsia" w:hAnsiTheme="minorEastAsia" w:eastAsiaTheme="minorEastAsia"/>
          <w:sz w:val="24"/>
        </w:rPr>
        <w:t>按评标原则</w:t>
      </w:r>
      <w:r>
        <w:rPr>
          <w:rFonts w:hint="eastAsia" w:asciiTheme="minorEastAsia" w:hAnsiTheme="minorEastAsia" w:eastAsiaTheme="minorEastAsia"/>
          <w:sz w:val="24"/>
        </w:rPr>
        <w:t>及得分情况编写评审报告。</w:t>
      </w:r>
    </w:p>
    <w:p>
      <w:pPr>
        <w:numPr>
          <w:ilvl w:val="255"/>
          <w:numId w:val="0"/>
        </w:numPr>
        <w:snapToGrid w:val="0"/>
        <w:spacing w:line="360" w:lineRule="auto"/>
        <w:ind w:firstLine="482" w:firstLineChars="200"/>
        <w:rPr>
          <w:rFonts w:asciiTheme="minorEastAsia" w:hAnsiTheme="minorEastAsia" w:eastAsiaTheme="minorEastAsia"/>
          <w:b/>
          <w:kern w:val="0"/>
          <w:sz w:val="24"/>
        </w:rPr>
      </w:pPr>
      <w:r>
        <w:rPr>
          <w:rFonts w:hint="eastAsia" w:asciiTheme="minorEastAsia" w:hAnsiTheme="minorEastAsia" w:eastAsiaTheme="minorEastAsia"/>
          <w:b/>
          <w:kern w:val="0"/>
          <w:sz w:val="24"/>
        </w:rPr>
        <w:t>5、评价</w:t>
      </w:r>
    </w:p>
    <w:p>
      <w:pPr>
        <w:snapToGrid w:val="0"/>
        <w:spacing w:line="360" w:lineRule="auto"/>
        <w:ind w:firstLine="480" w:firstLineChars="200"/>
        <w:rPr>
          <w:rFonts w:asciiTheme="minorEastAsia" w:hAnsiTheme="minorEastAsia" w:eastAsiaTheme="minorEastAsia"/>
          <w:b/>
          <w:kern w:val="0"/>
          <w:sz w:val="24"/>
        </w:rPr>
      </w:pPr>
      <w:r>
        <w:rPr>
          <w:rFonts w:hint="eastAsia" w:asciiTheme="minorEastAsia" w:hAnsiTheme="minorEastAsia" w:eastAsiaTheme="minorEastAsia"/>
          <w:sz w:val="24"/>
        </w:rPr>
        <w:t>采购组织机构对评标委员会评审专家进行评价。</w:t>
      </w:r>
    </w:p>
    <w:p>
      <w:pPr>
        <w:snapToGrid w:val="0"/>
        <w:spacing w:line="360" w:lineRule="auto"/>
        <w:ind w:firstLine="482" w:firstLineChars="200"/>
        <w:rPr>
          <w:rFonts w:asciiTheme="minorEastAsia" w:hAnsiTheme="minorEastAsia" w:eastAsiaTheme="minorEastAsia"/>
          <w:b/>
          <w:sz w:val="24"/>
        </w:rPr>
      </w:pPr>
      <w:r>
        <w:rPr>
          <w:rFonts w:hint="eastAsia" w:asciiTheme="minorEastAsia" w:hAnsiTheme="minorEastAsia"/>
          <w:b/>
          <w:sz w:val="24"/>
        </w:rPr>
        <w:t>（三）澄清问题的形式</w:t>
      </w:r>
    </w:p>
    <w:p>
      <w:pPr>
        <w:snapToGrid w:val="0"/>
        <w:spacing w:line="360" w:lineRule="auto"/>
        <w:ind w:firstLine="480" w:firstLineChars="200"/>
        <w:rPr>
          <w:rFonts w:asciiTheme="minorEastAsia" w:hAnsiTheme="minorEastAsia" w:eastAsiaTheme="minorEastAsia"/>
          <w:sz w:val="24"/>
        </w:rPr>
      </w:pPr>
      <w:r>
        <w:rPr>
          <w:rFonts w:hint="eastAsia" w:asciiTheme="minorEastAsia" w:hAnsiTheme="minorEastAsia"/>
          <w:sz w:val="24"/>
        </w:rPr>
        <w:t>投标人的澄清、说明或者补正应当采用电子询标形式，并加盖公章（电子印章），并不得超出电子投标文件的范围或者改变电子投标文件的实质性内容。</w:t>
      </w:r>
    </w:p>
    <w:p>
      <w:pPr>
        <w:pStyle w:val="13"/>
        <w:snapToGrid w:val="0"/>
        <w:spacing w:line="360" w:lineRule="auto"/>
        <w:ind w:left="720" w:leftChars="228" w:hanging="241" w:hangingChars="100"/>
        <w:rPr>
          <w:rFonts w:asciiTheme="minorEastAsia" w:hAnsiTheme="minorEastAsia" w:eastAsiaTheme="minorEastAsia"/>
          <w:b/>
          <w:sz w:val="24"/>
        </w:rPr>
      </w:pPr>
      <w:r>
        <w:rPr>
          <w:rFonts w:hint="eastAsia" w:asciiTheme="minorEastAsia" w:hAnsiTheme="minorEastAsia" w:eastAsiaTheme="minorEastAsia"/>
          <w:b/>
          <w:sz w:val="24"/>
        </w:rPr>
        <w:t>（四）错误修正</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电子投标文件报价出现前后不一致的，除招标文件另有规定外，按照下列规定修正：</w:t>
      </w:r>
    </w:p>
    <w:p>
      <w:pPr>
        <w:pStyle w:val="19"/>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1、电子投标文件中开标一览表（报价表）内容与电子投标文件中相应内容不一致的，以开标一览表（报价表）为准；</w:t>
      </w:r>
    </w:p>
    <w:p>
      <w:pPr>
        <w:pStyle w:val="19"/>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2、大写金额和小写金额不一致的，以大写金额为准；</w:t>
      </w:r>
    </w:p>
    <w:p>
      <w:pPr>
        <w:pStyle w:val="19"/>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3、单价金额小数点或者百分比有明显错位的，以开标一览表的总价为准，并修改单价；</w:t>
      </w:r>
    </w:p>
    <w:p>
      <w:pPr>
        <w:pStyle w:val="19"/>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4、总价金额与按单价汇总金额不一致的，以单价金额计算结果为准。</w:t>
      </w:r>
    </w:p>
    <w:p>
      <w:pPr>
        <w:pStyle w:val="19"/>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同时出现两种以上不一致的，按照前款规定的顺序修正。修正应当采用电子询标的形式，并加盖公章</w:t>
      </w:r>
      <w:r>
        <w:rPr>
          <w:rFonts w:asciiTheme="minorEastAsia" w:hAnsiTheme="minorEastAsia"/>
        </w:rPr>
        <w:t>（电子印章）</w:t>
      </w:r>
      <w:r>
        <w:rPr>
          <w:rFonts w:asciiTheme="minorEastAsia" w:hAnsiTheme="minorEastAsia" w:eastAsiaTheme="minorEastAsia"/>
        </w:rPr>
        <w:t>。</w:t>
      </w:r>
    </w:p>
    <w:p>
      <w:pPr>
        <w:pStyle w:val="19"/>
        <w:spacing w:before="0" w:beforeAutospacing="0" w:after="0" w:afterAutospacing="0" w:line="360" w:lineRule="auto"/>
        <w:ind w:firstLine="361" w:firstLineChars="150"/>
        <w:jc w:val="both"/>
        <w:rPr>
          <w:rFonts w:hint="default" w:asciiTheme="minorEastAsia" w:hAnsiTheme="minorEastAsia" w:eastAsiaTheme="minorEastAsia"/>
          <w:b/>
        </w:rPr>
      </w:pPr>
      <w:r>
        <w:rPr>
          <w:rFonts w:asciiTheme="minorEastAsia" w:hAnsiTheme="minorEastAsia" w:eastAsiaTheme="minorEastAsia"/>
          <w:b/>
          <w:bCs/>
        </w:rPr>
        <w:t>（五）</w:t>
      </w:r>
      <w:r>
        <w:rPr>
          <w:rFonts w:asciiTheme="minorEastAsia" w:hAnsiTheme="minorEastAsia" w:eastAsiaTheme="minorEastAsia"/>
          <w:b/>
        </w:rPr>
        <w:t>投标人存在下列情况之一的，投标无效</w:t>
      </w:r>
    </w:p>
    <w:p>
      <w:pPr>
        <w:adjustRightInd w:val="0"/>
        <w:snapToGrid w:val="0"/>
        <w:spacing w:line="360" w:lineRule="auto"/>
        <w:ind w:left="4" w:firstLine="470" w:firstLineChars="196"/>
        <w:jc w:val="left"/>
        <w:rPr>
          <w:rFonts w:asciiTheme="minorEastAsia" w:hAnsiTheme="minorEastAsia" w:eastAsiaTheme="minorEastAsia"/>
          <w:b/>
          <w:bCs/>
          <w:sz w:val="24"/>
        </w:rPr>
      </w:pPr>
      <w:r>
        <w:rPr>
          <w:rFonts w:asciiTheme="minorEastAsia" w:hAnsiTheme="minorEastAsia" w:eastAsiaTheme="minorEastAsia"/>
          <w:sz w:val="24"/>
        </w:rPr>
        <w:t>1、</w:t>
      </w:r>
      <w:r>
        <w:rPr>
          <w:rFonts w:hint="eastAsia" w:asciiTheme="minorEastAsia" w:hAnsiTheme="minorEastAsia" w:eastAsiaTheme="minorEastAsia"/>
          <w:b/>
          <w:bCs/>
          <w:kern w:val="0"/>
          <w:sz w:val="24"/>
        </w:rPr>
        <w:t>在资格证明模块或商务与技术模块中出现投标报价的</w:t>
      </w:r>
      <w:r>
        <w:rPr>
          <w:rFonts w:hint="eastAsia" w:asciiTheme="minorEastAsia" w:hAnsiTheme="minorEastAsia" w:eastAsiaTheme="minorEastAsia"/>
          <w:kern w:val="0"/>
          <w:sz w:val="24"/>
        </w:rPr>
        <w:t>，或者报价文件中报价的货物跟商务与技术文件中的投标货物出现重大偏差的；</w:t>
      </w:r>
    </w:p>
    <w:p>
      <w:pPr>
        <w:pStyle w:val="19"/>
        <w:tabs>
          <w:tab w:val="left" w:pos="7380"/>
        </w:tabs>
        <w:adjustRightInd w:val="0"/>
        <w:snapToGrid w:val="0"/>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2、不具备招标文件中规定的资格要求的。</w:t>
      </w:r>
      <w:r>
        <w:rPr>
          <w:rFonts w:hint="default" w:asciiTheme="minorEastAsia" w:hAnsiTheme="minorEastAsia" w:eastAsiaTheme="minorEastAsia"/>
        </w:rPr>
        <w:tab/>
      </w:r>
    </w:p>
    <w:p>
      <w:pPr>
        <w:pStyle w:val="19"/>
        <w:adjustRightInd w:val="0"/>
        <w:snapToGrid w:val="0"/>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3、电子投标文件含有采购人不能接受的附加条件的。</w:t>
      </w:r>
    </w:p>
    <w:p>
      <w:pPr>
        <w:pStyle w:val="10"/>
        <w:spacing w:line="360" w:lineRule="auto"/>
        <w:ind w:firstLine="480" w:firstLineChars="200"/>
        <w:rPr>
          <w:rFonts w:asciiTheme="minorEastAsia" w:hAnsiTheme="minorEastAsia" w:eastAsiaTheme="minorEastAsia"/>
          <w:bCs/>
          <w:kern w:val="0"/>
          <w:sz w:val="24"/>
        </w:rPr>
      </w:pPr>
      <w:r>
        <w:rPr>
          <w:rFonts w:hint="eastAsia" w:asciiTheme="minorEastAsia" w:hAnsiTheme="minorEastAsia" w:eastAsiaTheme="minorEastAsia"/>
          <w:kern w:val="0"/>
          <w:sz w:val="24"/>
        </w:rPr>
        <w:t>4</w:t>
      </w:r>
      <w:r>
        <w:rPr>
          <w:rFonts w:hint="eastAsia" w:asciiTheme="minorEastAsia" w:hAnsiTheme="minorEastAsia" w:eastAsiaTheme="minorEastAsia"/>
          <w:sz w:val="24"/>
        </w:rPr>
        <w:t>、</w:t>
      </w:r>
      <w:r>
        <w:rPr>
          <w:rFonts w:asciiTheme="minorEastAsia" w:hAnsiTheme="minorEastAsia" w:eastAsiaTheme="minorEastAsia"/>
          <w:sz w:val="24"/>
        </w:rPr>
        <w:t>评标委员会认为投标人的报价明显低于其他通过符合性审查投标人的报价，有可能影响产品质量或者不能诚信履约的，应当要求其在合理的时间内提供</w:t>
      </w:r>
      <w:r>
        <w:rPr>
          <w:rFonts w:hint="eastAsia"/>
          <w:sz w:val="24"/>
        </w:rPr>
        <w:t>进行电子答复</w:t>
      </w:r>
      <w:r>
        <w:rPr>
          <w:rFonts w:asciiTheme="minorEastAsia" w:hAnsiTheme="minorEastAsia" w:eastAsiaTheme="minorEastAsia"/>
          <w:sz w:val="24"/>
        </w:rPr>
        <w:t>，必要时提交相关证明材料；投标人不能证明其报价合理性的，评标委员会应当将其作为无效投标处理。</w:t>
      </w:r>
    </w:p>
    <w:p>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 xml:space="preserve">5、报价超过招标文件中规定的预算金额/最高限价。 </w:t>
      </w:r>
    </w:p>
    <w:p>
      <w:pPr>
        <w:pStyle w:val="19"/>
        <w:adjustRightInd w:val="0"/>
        <w:snapToGrid w:val="0"/>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6、主要性能参数指标负偏离</w:t>
      </w:r>
      <w:r>
        <w:rPr>
          <w:rFonts w:asciiTheme="minorEastAsia" w:hAnsiTheme="minorEastAsia" w:eastAsiaTheme="minorEastAsia"/>
          <w:u w:val="single"/>
        </w:rPr>
        <w:t xml:space="preserve"> </w:t>
      </w:r>
      <w:r>
        <w:rPr>
          <w:rFonts w:hint="eastAsia" w:asciiTheme="minorEastAsia" w:hAnsiTheme="minorEastAsia" w:eastAsiaTheme="minorEastAsia"/>
          <w:u w:val="single"/>
          <w:lang w:val="en-US" w:eastAsia="zh-CN"/>
        </w:rPr>
        <w:t>10</w:t>
      </w:r>
      <w:r>
        <w:rPr>
          <w:rFonts w:asciiTheme="minorEastAsia" w:hAnsiTheme="minorEastAsia" w:eastAsiaTheme="minorEastAsia"/>
          <w:u w:val="single"/>
        </w:rPr>
        <w:t xml:space="preserve"> </w:t>
      </w:r>
      <w:r>
        <w:rPr>
          <w:rFonts w:asciiTheme="minorEastAsia" w:hAnsiTheme="minorEastAsia" w:eastAsiaTheme="minorEastAsia"/>
        </w:rPr>
        <w:t>项（含）以上的。</w:t>
      </w:r>
    </w:p>
    <w:p>
      <w:pPr>
        <w:tabs>
          <w:tab w:val="left" w:pos="1898"/>
        </w:tabs>
        <w:autoSpaceDE w:val="0"/>
        <w:autoSpaceDN w:val="0"/>
        <w:adjustRightInd w:val="0"/>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7、投标参数未如实填写，完全复制粘贴招标参数的。</w:t>
      </w:r>
    </w:p>
    <w:p>
      <w:pPr>
        <w:tabs>
          <w:tab w:val="left" w:pos="1898"/>
        </w:tabs>
        <w:autoSpaceDE w:val="0"/>
        <w:autoSpaceDN w:val="0"/>
        <w:adjustRightInd w:val="0"/>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 xml:space="preserve">8、电子投标文件提供虚假材料的。 </w:t>
      </w:r>
    </w:p>
    <w:p>
      <w:pPr>
        <w:tabs>
          <w:tab w:val="left" w:pos="1898"/>
        </w:tabs>
        <w:autoSpaceDE w:val="0"/>
        <w:autoSpaceDN w:val="0"/>
        <w:adjustRightInd w:val="0"/>
        <w:snapToGri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9</w:t>
      </w:r>
      <w:r>
        <w:rPr>
          <w:rFonts w:asciiTheme="minorEastAsia" w:hAnsiTheme="minorEastAsia" w:eastAsiaTheme="minorEastAsia"/>
          <w:kern w:val="0"/>
          <w:sz w:val="24"/>
        </w:rPr>
        <w:t>、不符合中华人民共和国财政部令第87号《政府采购货物和服务招标投标管理办法》第三十七条情形之一的，视为投标人串通投标，其投标无效</w:t>
      </w:r>
      <w:r>
        <w:rPr>
          <w:rFonts w:hint="eastAsia" w:asciiTheme="minorEastAsia" w:hAnsiTheme="minorEastAsia" w:eastAsiaTheme="minorEastAsia"/>
          <w:kern w:val="0"/>
          <w:sz w:val="24"/>
        </w:rPr>
        <w:t>，并移送采购监管部门</w:t>
      </w:r>
      <w:r>
        <w:rPr>
          <w:rFonts w:asciiTheme="minorEastAsia" w:hAnsiTheme="minorEastAsia" w:eastAsiaTheme="minorEastAsia"/>
          <w:kern w:val="0"/>
          <w:sz w:val="24"/>
        </w:rPr>
        <w:t>：</w:t>
      </w:r>
    </w:p>
    <w:p>
      <w:pPr>
        <w:pStyle w:val="19"/>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（1）不同投标人的电子投标文件由同一单位或者个人编制；</w:t>
      </w:r>
    </w:p>
    <w:p>
      <w:pPr>
        <w:pStyle w:val="19"/>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（2）不同投标人委托同一单位或者个人办理投标事宜；</w:t>
      </w:r>
    </w:p>
    <w:p>
      <w:pPr>
        <w:pStyle w:val="19"/>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（3）不同投标人的电子投标文件载明的项目管理成员或者联系人员为同一人；</w:t>
      </w:r>
    </w:p>
    <w:p>
      <w:pPr>
        <w:pStyle w:val="19"/>
        <w:spacing w:before="0" w:beforeAutospacing="0" w:after="0" w:afterAutospacing="0" w:line="360" w:lineRule="auto"/>
        <w:jc w:val="both"/>
        <w:rPr>
          <w:rFonts w:hint="default" w:asciiTheme="minorEastAsia" w:hAnsiTheme="minorEastAsia" w:eastAsiaTheme="minorEastAsia"/>
        </w:rPr>
      </w:pPr>
      <w:r>
        <w:rPr>
          <w:rFonts w:asciiTheme="minorEastAsia" w:hAnsiTheme="minorEastAsia" w:eastAsiaTheme="minorEastAsia"/>
        </w:rPr>
        <w:t>　 （4）不同投标人的电子投标文件异常一致或者投标报价呈规律性差异；</w:t>
      </w:r>
    </w:p>
    <w:p>
      <w:pPr>
        <w:autoSpaceDE w:val="0"/>
        <w:autoSpaceDN w:val="0"/>
        <w:adjustRightInd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10、不符合法律、法规和招标文件中规定的其他实质性要求的（招标文件</w:t>
      </w:r>
    </w:p>
    <w:p>
      <w:pPr>
        <w:tabs>
          <w:tab w:val="right" w:pos="8306"/>
        </w:tabs>
        <w:autoSpaceDE w:val="0"/>
        <w:autoSpaceDN w:val="0"/>
        <w:adjustRightInd w:val="0"/>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中打“▲”内容及被拒绝的条款）。</w:t>
      </w:r>
    </w:p>
    <w:p>
      <w:pPr>
        <w:pStyle w:val="2"/>
        <w:spacing w:line="360" w:lineRule="auto"/>
        <w:rPr>
          <w:rFonts w:eastAsiaTheme="minorEastAsia"/>
          <w:sz w:val="24"/>
          <w:szCs w:val="24"/>
        </w:rPr>
      </w:pPr>
      <w:r>
        <w:rPr>
          <w:rFonts w:hint="eastAsia" w:asciiTheme="minorEastAsia" w:hAnsiTheme="minorEastAsia" w:eastAsiaTheme="minorEastAsia"/>
          <w:kern w:val="0"/>
          <w:sz w:val="24"/>
          <w:szCs w:val="24"/>
        </w:rPr>
        <w:t>11、商务条款不响应。</w:t>
      </w:r>
    </w:p>
    <w:p>
      <w:pPr>
        <w:numPr>
          <w:ilvl w:val="0"/>
          <w:numId w:val="11"/>
        </w:numPr>
        <w:tabs>
          <w:tab w:val="right" w:pos="8306"/>
        </w:tabs>
        <w:autoSpaceDE w:val="0"/>
        <w:autoSpaceDN w:val="0"/>
        <w:adjustRightInd w:val="0"/>
        <w:spacing w:line="360" w:lineRule="auto"/>
        <w:ind w:firstLine="480"/>
        <w:rPr>
          <w:rFonts w:asciiTheme="minorEastAsia" w:hAnsiTheme="minorEastAsia" w:eastAsiaTheme="minorEastAsia"/>
          <w:kern w:val="0"/>
          <w:sz w:val="24"/>
        </w:rPr>
      </w:pPr>
      <w:r>
        <w:rPr>
          <w:rFonts w:hint="eastAsia" w:asciiTheme="minorEastAsia" w:hAnsiTheme="minorEastAsia" w:eastAsiaTheme="minorEastAsia"/>
          <w:kern w:val="0"/>
          <w:sz w:val="24"/>
        </w:rPr>
        <w:t>供应商仅提交备份电子电子投标文件的。</w:t>
      </w:r>
    </w:p>
    <w:p>
      <w:pPr>
        <w:autoSpaceDE w:val="0"/>
        <w:autoSpaceDN w:val="0"/>
        <w:adjustRightInd w:val="0"/>
        <w:spacing w:line="360" w:lineRule="auto"/>
        <w:ind w:left="480"/>
        <w:rPr>
          <w:rFonts w:asciiTheme="minorEastAsia" w:hAnsiTheme="minorEastAsia" w:eastAsiaTheme="minorEastAsia"/>
          <w:kern w:val="0"/>
          <w:sz w:val="24"/>
        </w:rPr>
      </w:pPr>
      <w:r>
        <w:rPr>
          <w:rFonts w:hint="eastAsia" w:asciiTheme="minorEastAsia" w:hAnsiTheme="minorEastAsia" w:eastAsiaTheme="minorEastAsia"/>
          <w:b/>
          <w:kern w:val="0"/>
          <w:sz w:val="24"/>
        </w:rPr>
        <w:t>（六）有下列情况之一的，本次招标作为废标处理</w:t>
      </w:r>
    </w:p>
    <w:p>
      <w:pPr>
        <w:pStyle w:val="19"/>
        <w:spacing w:before="0" w:beforeAutospacing="0" w:after="0" w:afterAutospacing="0" w:line="360" w:lineRule="auto"/>
        <w:ind w:firstLine="600" w:firstLineChars="250"/>
        <w:jc w:val="both"/>
        <w:rPr>
          <w:rFonts w:hint="default" w:asciiTheme="minorEastAsia" w:hAnsiTheme="minorEastAsia" w:eastAsiaTheme="minorEastAsia"/>
        </w:rPr>
      </w:pPr>
      <w:r>
        <w:rPr>
          <w:rFonts w:asciiTheme="minorEastAsia" w:hAnsiTheme="minorEastAsia" w:eastAsiaTheme="minorEastAsia"/>
        </w:rPr>
        <w:t>1、出现影响采购公正的违法、违规行为的；</w:t>
      </w:r>
    </w:p>
    <w:p>
      <w:pPr>
        <w:pStyle w:val="19"/>
        <w:spacing w:before="0" w:beforeAutospacing="0" w:after="0" w:afterAutospacing="0" w:line="360" w:lineRule="auto"/>
        <w:ind w:firstLine="600" w:firstLineChars="250"/>
        <w:jc w:val="both"/>
        <w:rPr>
          <w:rFonts w:hint="default" w:asciiTheme="minorEastAsia" w:hAnsiTheme="minorEastAsia" w:eastAsiaTheme="minorEastAsia"/>
          <w:b/>
          <w:bCs/>
        </w:rPr>
      </w:pPr>
      <w:r>
        <w:rPr>
          <w:rFonts w:asciiTheme="minorEastAsia" w:hAnsiTheme="minorEastAsia" w:eastAsiaTheme="minorEastAsia"/>
        </w:rPr>
        <w:t xml:space="preserve">2、评标委员会发现招标文件存在歧义、重大缺陷导致评标工作无法进行，或者招标文件内容违反国家有关强制性规定的； </w:t>
      </w:r>
    </w:p>
    <w:p>
      <w:pPr>
        <w:pStyle w:val="19"/>
        <w:spacing w:before="0" w:beforeAutospacing="0" w:after="0" w:afterAutospacing="0" w:line="360" w:lineRule="auto"/>
        <w:ind w:firstLine="600" w:firstLineChars="250"/>
        <w:jc w:val="both"/>
        <w:rPr>
          <w:rFonts w:hint="default" w:asciiTheme="minorEastAsia" w:hAnsiTheme="minorEastAsia" w:eastAsiaTheme="minorEastAsia"/>
        </w:rPr>
      </w:pPr>
      <w:r>
        <w:rPr>
          <w:rFonts w:asciiTheme="minorEastAsia" w:hAnsiTheme="minorEastAsia" w:eastAsiaTheme="minorEastAsia"/>
        </w:rPr>
        <w:t>3、因重大变故，采购任务取消的；</w:t>
      </w:r>
    </w:p>
    <w:p>
      <w:pPr>
        <w:pStyle w:val="19"/>
        <w:spacing w:before="0" w:beforeAutospacing="0" w:after="0" w:afterAutospacing="0" w:line="360" w:lineRule="auto"/>
        <w:ind w:firstLine="600" w:firstLineChars="250"/>
        <w:jc w:val="both"/>
        <w:rPr>
          <w:rFonts w:hint="default" w:asciiTheme="minorEastAsia" w:hAnsiTheme="minorEastAsia" w:eastAsiaTheme="minorEastAsia"/>
        </w:rPr>
      </w:pPr>
      <w:r>
        <w:rPr>
          <w:rFonts w:asciiTheme="minorEastAsia" w:hAnsiTheme="minorEastAsia" w:eastAsiaTheme="minorEastAsia"/>
        </w:rPr>
        <w:t>4、法律、法规和招标文件规定的其他导致评标结果无效的。</w:t>
      </w:r>
    </w:p>
    <w:p>
      <w:pPr>
        <w:pStyle w:val="13"/>
        <w:tabs>
          <w:tab w:val="left" w:pos="630"/>
        </w:tabs>
        <w:snapToGrid w:val="0"/>
        <w:spacing w:line="360" w:lineRule="auto"/>
        <w:ind w:firstLine="472" w:firstLineChars="196"/>
        <w:rPr>
          <w:rFonts w:asciiTheme="minorEastAsia" w:hAnsiTheme="minorEastAsia" w:eastAsiaTheme="minorEastAsia"/>
          <w:b/>
          <w:sz w:val="24"/>
        </w:rPr>
      </w:pPr>
      <w:r>
        <w:rPr>
          <w:rFonts w:asciiTheme="minorEastAsia" w:hAnsiTheme="minorEastAsia" w:eastAsiaTheme="minorEastAsia"/>
          <w:b/>
          <w:sz w:val="24"/>
        </w:rPr>
        <w:t>（</w:t>
      </w:r>
      <w:r>
        <w:rPr>
          <w:rFonts w:hint="eastAsia" w:asciiTheme="minorEastAsia" w:hAnsiTheme="minorEastAsia" w:eastAsiaTheme="minorEastAsia"/>
          <w:b/>
          <w:sz w:val="24"/>
        </w:rPr>
        <w:t>七</w:t>
      </w:r>
      <w:r>
        <w:rPr>
          <w:rFonts w:asciiTheme="minorEastAsia" w:hAnsiTheme="minorEastAsia" w:eastAsiaTheme="minorEastAsia"/>
          <w:b/>
          <w:sz w:val="24"/>
        </w:rPr>
        <w:t>）评标原则和评标办法</w:t>
      </w:r>
    </w:p>
    <w:p>
      <w:pPr>
        <w:pStyle w:val="13"/>
        <w:snapToGrid w:val="0"/>
        <w:spacing w:line="360" w:lineRule="auto"/>
        <w:ind w:firstLine="600" w:firstLineChars="25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3"/>
        <w:snapToGrid w:val="0"/>
        <w:spacing w:line="360" w:lineRule="auto"/>
        <w:ind w:firstLine="600" w:firstLineChars="25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评标办法。具体评标内容及评分标准等详见《第</w:t>
      </w:r>
      <w:r>
        <w:rPr>
          <w:rFonts w:hint="eastAsia" w:asciiTheme="minorEastAsia" w:hAnsiTheme="minorEastAsia" w:eastAsiaTheme="minorEastAsia"/>
          <w:sz w:val="24"/>
        </w:rPr>
        <w:t>三章</w:t>
      </w:r>
      <w:r>
        <w:rPr>
          <w:rFonts w:asciiTheme="minorEastAsia" w:hAnsiTheme="minorEastAsia" w:eastAsiaTheme="minorEastAsia"/>
          <w:sz w:val="24"/>
        </w:rPr>
        <w:t>：评标</w:t>
      </w:r>
      <w:r>
        <w:rPr>
          <w:rFonts w:hint="eastAsia" w:asciiTheme="minorEastAsia" w:hAnsiTheme="minorEastAsia" w:eastAsiaTheme="minorEastAsia"/>
          <w:sz w:val="24"/>
        </w:rPr>
        <w:t>方</w:t>
      </w:r>
      <w:r>
        <w:rPr>
          <w:rFonts w:asciiTheme="minorEastAsia" w:hAnsiTheme="minorEastAsia" w:eastAsiaTheme="minorEastAsia"/>
          <w:sz w:val="24"/>
        </w:rPr>
        <w:t>法及评分标准》。</w:t>
      </w:r>
    </w:p>
    <w:p>
      <w:pPr>
        <w:pStyle w:val="13"/>
        <w:snapToGrid w:val="0"/>
        <w:spacing w:line="360" w:lineRule="auto"/>
        <w:ind w:firstLine="472" w:firstLineChars="196"/>
        <w:rPr>
          <w:rFonts w:asciiTheme="minorEastAsia" w:hAnsiTheme="minorEastAsia" w:eastAsiaTheme="minorEastAsia"/>
          <w:b/>
          <w:sz w:val="24"/>
        </w:rPr>
      </w:pPr>
      <w:r>
        <w:rPr>
          <w:rFonts w:asciiTheme="minorEastAsia" w:hAnsiTheme="minorEastAsia" w:eastAsiaTheme="minorEastAsia"/>
          <w:b/>
          <w:sz w:val="24"/>
        </w:rPr>
        <w:t>（</w:t>
      </w:r>
      <w:r>
        <w:rPr>
          <w:rFonts w:hint="eastAsia" w:asciiTheme="minorEastAsia" w:hAnsiTheme="minorEastAsia" w:eastAsiaTheme="minorEastAsia"/>
          <w:b/>
          <w:sz w:val="24"/>
        </w:rPr>
        <w:t>八</w:t>
      </w:r>
      <w:r>
        <w:rPr>
          <w:rFonts w:asciiTheme="minorEastAsia" w:hAnsiTheme="minorEastAsia" w:eastAsiaTheme="minorEastAsia"/>
          <w:b/>
          <w:sz w:val="24"/>
        </w:rPr>
        <w:t>）评标过程的监控</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本项目评标过程实行全程录音、录像监控，政府采购监管部门视情进行现场监督，投标人在评标过程中所进行的试图影响评标结果的不公正活动，可能导致其投标被拒绝。</w:t>
      </w:r>
    </w:p>
    <w:p>
      <w:pPr>
        <w:pStyle w:val="19"/>
        <w:spacing w:before="0" w:beforeAutospacing="0" w:after="0" w:afterAutospacing="0" w:line="360" w:lineRule="auto"/>
        <w:ind w:firstLine="361" w:firstLineChars="150"/>
        <w:jc w:val="both"/>
        <w:rPr>
          <w:rFonts w:hint="default" w:asciiTheme="minorEastAsia" w:hAnsiTheme="minorEastAsia" w:eastAsiaTheme="minorEastAsia"/>
          <w:b/>
        </w:rPr>
      </w:pPr>
      <w:r>
        <w:rPr>
          <w:rFonts w:asciiTheme="minorEastAsia" w:hAnsiTheme="minorEastAsia" w:eastAsiaTheme="minorEastAsia"/>
          <w:b/>
        </w:rPr>
        <w:t>六、定标</w:t>
      </w:r>
    </w:p>
    <w:p>
      <w:pPr>
        <w:pStyle w:val="19"/>
        <w:spacing w:before="0" w:beforeAutospacing="0" w:after="0" w:afterAutospacing="0" w:line="360" w:lineRule="auto"/>
        <w:ind w:firstLine="480" w:firstLineChars="200"/>
        <w:jc w:val="both"/>
        <w:rPr>
          <w:rFonts w:hint="default" w:asciiTheme="minorEastAsia" w:hAnsiTheme="minorEastAsia" w:eastAsiaTheme="minorEastAsia"/>
        </w:rPr>
      </w:pPr>
      <w:r>
        <w:rPr>
          <w:rFonts w:asciiTheme="minorEastAsia" w:hAnsiTheme="minorEastAsia" w:eastAsiaTheme="minorEastAsia"/>
        </w:rPr>
        <w:t>1、</w:t>
      </w:r>
      <w:r>
        <w:t>确定中标供应商。</w:t>
      </w:r>
      <w:r>
        <w:rPr>
          <w:rFonts w:asciiTheme="minorEastAsia" w:hAnsiTheme="minorEastAsia" w:eastAsiaTheme="minorEastAsia"/>
        </w:rPr>
        <w:t>评标委员会根据采购单位的</w:t>
      </w:r>
      <w:r>
        <w:t>《授权意见确认书》</w:t>
      </w:r>
      <w:r>
        <w:rPr>
          <w:rFonts w:asciiTheme="minorEastAsia" w:hAnsiTheme="minorEastAsia" w:eastAsiaTheme="minorEastAsia"/>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pPr>
        <w:spacing w:line="360" w:lineRule="auto"/>
        <w:ind w:firstLine="480" w:firstLineChars="200"/>
        <w:rPr>
          <w:rFonts w:ascii="宋体" w:hAnsi="宋体"/>
          <w:kern w:val="0"/>
          <w:sz w:val="24"/>
        </w:rPr>
      </w:pPr>
      <w:r>
        <w:rPr>
          <w:rFonts w:asciiTheme="minorEastAsia" w:hAnsiTheme="minorEastAsia" w:eastAsiaTheme="minorEastAsia"/>
          <w:sz w:val="24"/>
        </w:rPr>
        <w:t>2、</w:t>
      </w:r>
      <w:r>
        <w:rPr>
          <w:rFonts w:hint="eastAsia" w:ascii="宋体" w:hAnsi="宋体"/>
          <w:kern w:val="0"/>
          <w:sz w:val="24"/>
        </w:rPr>
        <w:t>发布</w:t>
      </w:r>
      <w:r>
        <w:rPr>
          <w:sz w:val="24"/>
        </w:rPr>
        <w:t>中标</w:t>
      </w:r>
      <w:r>
        <w:rPr>
          <w:rFonts w:hint="eastAsia" w:ascii="宋体" w:hAnsi="宋体"/>
          <w:kern w:val="0"/>
          <w:sz w:val="24"/>
        </w:rPr>
        <w:t>结果公告。采购组织机构应当自中标人</w:t>
      </w:r>
      <w:r>
        <w:rPr>
          <w:rFonts w:ascii="宋体" w:hAnsi="宋体"/>
          <w:kern w:val="0"/>
          <w:sz w:val="24"/>
        </w:rPr>
        <w:t>确定</w:t>
      </w:r>
      <w:r>
        <w:rPr>
          <w:rFonts w:hint="eastAsia" w:ascii="宋体" w:hAnsi="宋体"/>
          <w:kern w:val="0"/>
          <w:sz w:val="24"/>
        </w:rPr>
        <w:t>之日起</w:t>
      </w:r>
      <w:r>
        <w:rPr>
          <w:rFonts w:ascii="宋体" w:hAnsi="宋体"/>
          <w:kern w:val="0"/>
          <w:sz w:val="24"/>
        </w:rPr>
        <w:t>2个工作日内</w:t>
      </w:r>
      <w:r>
        <w:rPr>
          <w:rFonts w:hint="eastAsia" w:ascii="宋体" w:hAnsi="宋体"/>
          <w:kern w:val="0"/>
          <w:sz w:val="24"/>
        </w:rPr>
        <w:t>，</w:t>
      </w:r>
      <w:r>
        <w:rPr>
          <w:rFonts w:ascii="宋体" w:hAnsi="宋体"/>
          <w:kern w:val="0"/>
          <w:sz w:val="24"/>
        </w:rPr>
        <w:t>在省级以上财政部门指定的媒体及相关网站</w:t>
      </w:r>
      <w:r>
        <w:rPr>
          <w:rFonts w:hint="eastAsia" w:ascii="宋体" w:hAnsi="宋体"/>
          <w:kern w:val="0"/>
          <w:sz w:val="24"/>
        </w:rPr>
        <w:t>上</w:t>
      </w:r>
      <w:r>
        <w:rPr>
          <w:rFonts w:ascii="宋体" w:hAnsi="宋体"/>
          <w:kern w:val="0"/>
          <w:sz w:val="24"/>
        </w:rPr>
        <w:t>公告</w:t>
      </w:r>
      <w:r>
        <w:rPr>
          <w:rFonts w:hint="eastAsia" w:ascii="宋体" w:hAnsi="宋体"/>
          <w:kern w:val="0"/>
          <w:sz w:val="24"/>
        </w:rPr>
        <w:t>中标结果，招标文件应当随中标结果同时公告。</w:t>
      </w:r>
    </w:p>
    <w:p>
      <w:pPr>
        <w:pStyle w:val="10"/>
        <w:spacing w:line="360" w:lineRule="auto"/>
        <w:ind w:firstLine="480" w:firstLineChars="200"/>
        <w:rPr>
          <w:sz w:val="24"/>
        </w:rPr>
      </w:pPr>
      <w:r>
        <w:rPr>
          <w:rFonts w:hint="eastAsia" w:ascii="宋体" w:hAnsi="宋体"/>
          <w:kern w:val="0"/>
          <w:sz w:val="24"/>
        </w:rPr>
        <w:t>3、</w:t>
      </w:r>
      <w:r>
        <w:rPr>
          <w:rFonts w:hint="eastAsia"/>
          <w:sz w:val="24"/>
        </w:rPr>
        <w:t>通过政采云平台发放电子中标通知书</w:t>
      </w:r>
      <w:r>
        <w:rPr>
          <w:rFonts w:hint="eastAsia" w:ascii="宋体" w:hAnsi="宋体"/>
          <w:kern w:val="0"/>
          <w:sz w:val="24"/>
        </w:rPr>
        <w:t>。采购组织机构在发布中标结果公告的同时，向中标人发出中标通知书。</w:t>
      </w:r>
    </w:p>
    <w:p>
      <w:pPr>
        <w:spacing w:line="360" w:lineRule="auto"/>
        <w:ind w:firstLine="482" w:firstLineChars="200"/>
        <w:rPr>
          <w:rFonts w:ascii="宋体" w:hAnsi="宋体"/>
          <w:kern w:val="0"/>
          <w:sz w:val="24"/>
        </w:rPr>
      </w:pPr>
      <w:r>
        <w:rPr>
          <w:rFonts w:hint="eastAsia" w:asciiTheme="minorEastAsia" w:hAnsiTheme="minorEastAsia" w:eastAsiaTheme="minorEastAsia"/>
          <w:b/>
          <w:sz w:val="24"/>
        </w:rPr>
        <w:t>七</w:t>
      </w:r>
      <w:r>
        <w:rPr>
          <w:rFonts w:asciiTheme="minorEastAsia" w:hAnsiTheme="minorEastAsia" w:eastAsiaTheme="minorEastAsia"/>
          <w:b/>
          <w:sz w:val="24"/>
        </w:rPr>
        <w:t>、</w:t>
      </w:r>
      <w:r>
        <w:rPr>
          <w:rFonts w:hint="eastAsia" w:ascii="宋体" w:hAnsi="宋体"/>
          <w:b/>
          <w:kern w:val="0"/>
          <w:sz w:val="24"/>
        </w:rPr>
        <w:t>合同签订及公告</w:t>
      </w:r>
    </w:p>
    <w:p>
      <w:pPr>
        <w:spacing w:line="360" w:lineRule="auto"/>
        <w:ind w:firstLine="482" w:firstLineChars="200"/>
        <w:rPr>
          <w:rFonts w:ascii="宋体" w:hAnsi="宋体"/>
          <w:b/>
          <w:kern w:val="0"/>
          <w:sz w:val="24"/>
        </w:rPr>
      </w:pPr>
      <w:r>
        <w:rPr>
          <w:rFonts w:hint="eastAsia" w:ascii="宋体" w:hAnsi="宋体"/>
          <w:b/>
          <w:sz w:val="24"/>
        </w:rPr>
        <w:t>（一）签订合同</w:t>
      </w:r>
    </w:p>
    <w:p>
      <w:pPr>
        <w:pStyle w:val="19"/>
        <w:spacing w:before="0" w:beforeAutospacing="0" w:after="0" w:afterAutospacing="0" w:line="360" w:lineRule="auto"/>
        <w:ind w:firstLine="600" w:firstLineChars="250"/>
        <w:jc w:val="both"/>
        <w:rPr>
          <w:rFonts w:hint="default"/>
        </w:rPr>
      </w:pPr>
      <w:r>
        <w:t>1、采购人应当自中标通知书发出之日起10个工作日内，按照招标文件和中标人电子投标文件的规定，与中标人签订书面合同或者电子合同。所签订的合同不得对招标文件确定的事项和中标人电子投标文件作实质性修改。</w:t>
      </w:r>
    </w:p>
    <w:p>
      <w:pPr>
        <w:pStyle w:val="19"/>
        <w:spacing w:before="0" w:beforeAutospacing="0" w:after="0" w:afterAutospacing="0" w:line="360" w:lineRule="auto"/>
        <w:ind w:firstLine="600" w:firstLineChars="250"/>
        <w:jc w:val="both"/>
        <w:rPr>
          <w:rFonts w:hint="default"/>
        </w:rPr>
      </w:pPr>
      <w:r>
        <w:t>2、采购人不得向中标人提出任何不合理的要求作为签订合同的条件。</w:t>
      </w:r>
    </w:p>
    <w:p>
      <w:pPr>
        <w:pStyle w:val="19"/>
        <w:spacing w:before="0" w:beforeAutospacing="0" w:after="0" w:afterAutospacing="0" w:line="360" w:lineRule="auto"/>
        <w:ind w:firstLine="420" w:firstLineChars="175"/>
        <w:jc w:val="both"/>
        <w:rPr>
          <w:rFonts w:hint="default"/>
        </w:rPr>
      </w:pPr>
      <w:r>
        <w:t>3、中标供应商无故拖延、拒签合同的,将取消中标资格。</w:t>
      </w:r>
    </w:p>
    <w:p>
      <w:pPr>
        <w:pStyle w:val="19"/>
        <w:spacing w:before="0" w:beforeAutospacing="0" w:after="0" w:afterAutospacing="0" w:line="360" w:lineRule="auto"/>
        <w:ind w:firstLine="480" w:firstLineChars="200"/>
        <w:jc w:val="both"/>
        <w:rPr>
          <w:rFonts w:hint="default"/>
        </w:rPr>
      </w:pPr>
      <w:r>
        <w:t>4、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pStyle w:val="19"/>
        <w:spacing w:line="360" w:lineRule="auto"/>
        <w:ind w:firstLine="480" w:firstLineChars="200"/>
        <w:rPr>
          <w:rFonts w:hint="default" w:cs="FangSong_GB2312"/>
        </w:rPr>
      </w:pPr>
      <w:r>
        <w:t>5、询问或者质疑事项可能影响中标结果的，采购人应当暂停签订合同，已经签订合同的，应当中止履行合同（中标结果的质疑期为中标结果公告期限届满之日起七个工作日）。</w:t>
      </w:r>
    </w:p>
    <w:p>
      <w:pPr>
        <w:pStyle w:val="19"/>
        <w:spacing w:line="360" w:lineRule="auto"/>
        <w:ind w:firstLine="424" w:firstLineChars="176"/>
        <w:rPr>
          <w:rFonts w:hint="default" w:cs="FangSong_GB2312"/>
          <w:b/>
        </w:rPr>
      </w:pPr>
      <w:r>
        <w:rPr>
          <w:b/>
        </w:rPr>
        <w:t>（二）合同公告及备案</w:t>
      </w:r>
    </w:p>
    <w:p>
      <w:pPr>
        <w:pStyle w:val="12"/>
        <w:spacing w:line="360" w:lineRule="auto"/>
        <w:ind w:left="0" w:leftChars="0" w:firstLine="480" w:firstLineChars="200"/>
        <w:jc w:val="left"/>
        <w:rPr>
          <w:rFonts w:ascii="宋体" w:hAnsi="宋体"/>
          <w:sz w:val="24"/>
        </w:rPr>
      </w:pPr>
      <w:r>
        <w:rPr>
          <w:rFonts w:hint="eastAsia" w:ascii="宋体" w:hAnsi="宋体"/>
          <w:sz w:val="24"/>
        </w:rPr>
        <w:t>1、采购人应当自政府采购合同签订之日起2个工作日内，</w:t>
      </w:r>
      <w:r>
        <w:rPr>
          <w:rFonts w:ascii="宋体" w:hAnsi="宋体"/>
          <w:kern w:val="0"/>
          <w:sz w:val="24"/>
        </w:rPr>
        <w:t>在省级以上财政部门指定的</w:t>
      </w:r>
      <w:r>
        <w:rPr>
          <w:rFonts w:hint="eastAsia" w:ascii="宋体" w:hAnsi="宋体"/>
          <w:kern w:val="0"/>
          <w:sz w:val="24"/>
        </w:rPr>
        <w:t>政府采购信息发布</w:t>
      </w:r>
      <w:r>
        <w:rPr>
          <w:rFonts w:ascii="宋体" w:hAnsi="宋体"/>
          <w:kern w:val="0"/>
          <w:sz w:val="24"/>
        </w:rPr>
        <w:t>媒体及相关网站</w:t>
      </w:r>
      <w:r>
        <w:rPr>
          <w:rFonts w:hint="eastAsia" w:ascii="宋体" w:hAnsi="宋体"/>
          <w:kern w:val="0"/>
          <w:sz w:val="24"/>
        </w:rPr>
        <w:t>上</w:t>
      </w:r>
      <w:r>
        <w:rPr>
          <w:rFonts w:ascii="宋体" w:hAnsi="宋体"/>
          <w:kern w:val="0"/>
          <w:sz w:val="24"/>
        </w:rPr>
        <w:t>公告</w:t>
      </w:r>
      <w:r>
        <w:rPr>
          <w:rFonts w:hint="eastAsia" w:ascii="宋体" w:hAnsi="宋体"/>
          <w:sz w:val="24"/>
        </w:rPr>
        <w:t>。</w:t>
      </w:r>
    </w:p>
    <w:p>
      <w:pPr>
        <w:pStyle w:val="10"/>
        <w:spacing w:line="360" w:lineRule="auto"/>
        <w:ind w:firstLine="420" w:firstLineChars="175"/>
        <w:rPr>
          <w:rFonts w:ascii="宋体" w:hAnsi="宋体"/>
          <w:sz w:val="24"/>
        </w:rPr>
      </w:pPr>
      <w:r>
        <w:rPr>
          <w:rFonts w:hint="eastAsia" w:ascii="宋体" w:hAnsi="宋体"/>
          <w:sz w:val="24"/>
        </w:rPr>
        <w:t>2、采购人应当自政府采购合同签订之日起7个工作日内，</w:t>
      </w:r>
      <w:r>
        <w:rPr>
          <w:rFonts w:hint="eastAsia"/>
          <w:sz w:val="24"/>
        </w:rPr>
        <w:t>将政府采购合同通过政采云网站提交至</w:t>
      </w:r>
      <w:r>
        <w:rPr>
          <w:rFonts w:hint="eastAsia" w:ascii="宋体" w:hAnsi="宋体"/>
          <w:sz w:val="24"/>
        </w:rPr>
        <w:t>同级人民政府财政部门备案存档。</w:t>
      </w:r>
    </w:p>
    <w:p>
      <w:pPr>
        <w:spacing w:line="360" w:lineRule="auto"/>
        <w:rPr>
          <w:rFonts w:ascii="宋体" w:hAnsi="宋体"/>
          <w:sz w:val="24"/>
        </w:rPr>
      </w:pPr>
      <w:r>
        <w:rPr>
          <w:rFonts w:hint="eastAsia" w:ascii="宋体" w:hAnsi="宋体"/>
          <w:sz w:val="24"/>
        </w:rPr>
        <w:br w:type="page"/>
      </w:r>
    </w:p>
    <w:p>
      <w:pPr>
        <w:numPr>
          <w:ilvl w:val="0"/>
          <w:numId w:val="6"/>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评标办法及评分标准</w:t>
      </w:r>
    </w:p>
    <w:p>
      <w:pPr>
        <w:autoSpaceDE w:val="0"/>
        <w:autoSpaceDN w:val="0"/>
        <w:spacing w:line="360" w:lineRule="auto"/>
        <w:ind w:firstLine="480" w:firstLineChars="200"/>
        <w:rPr>
          <w:rFonts w:asciiTheme="minorEastAsia" w:hAnsiTheme="minorEastAsia" w:eastAsiaTheme="minorEastAsia"/>
          <w:b/>
          <w:i/>
          <w:kern w:val="0"/>
          <w:sz w:val="24"/>
        </w:rPr>
      </w:pPr>
      <w:r>
        <w:rPr>
          <w:rFonts w:hint="eastAsia" w:asciiTheme="minorEastAsia" w:hAnsiTheme="minorEastAsia" w:eastAsiaTheme="minorEastAsia"/>
          <w:kern w:val="0"/>
          <w:sz w:val="24"/>
        </w:rPr>
        <w:t>一、采购组织机构将组织评标委员会，对投标人提供的电子投标文件进行综合评审。</w:t>
      </w:r>
    </w:p>
    <w:p>
      <w:pPr>
        <w:autoSpaceDE w:val="0"/>
        <w:autoSpaceDN w:val="0"/>
        <w:spacing w:line="360" w:lineRule="auto"/>
        <w:ind w:firstLine="480" w:firstLineChars="200"/>
        <w:rPr>
          <w:rFonts w:asciiTheme="minorEastAsia" w:hAnsiTheme="minorEastAsia" w:eastAsiaTheme="minorEastAsia"/>
          <w:kern w:val="0"/>
          <w:sz w:val="24"/>
        </w:rPr>
      </w:pPr>
      <w:r>
        <w:rPr>
          <w:rFonts w:hint="eastAsia" w:asciiTheme="minorEastAsia" w:hAnsiTheme="minorEastAsia" w:eastAsiaTheme="minorEastAsia"/>
          <w:kern w:val="0"/>
          <w:sz w:val="24"/>
        </w:rPr>
        <w:t>二、本次招标项目的评标方法为综合评分法，总计100分。评标标准按以下6项内容及分值进行评审。</w:t>
      </w:r>
    </w:p>
    <w:tbl>
      <w:tblPr>
        <w:tblStyle w:val="23"/>
        <w:tblW w:w="70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1"/>
        <w:gridCol w:w="2453"/>
        <w:gridCol w:w="24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atLeast"/>
          <w:jc w:val="center"/>
        </w:trPr>
        <w:tc>
          <w:tcPr>
            <w:tcW w:w="2111" w:type="dxa"/>
            <w:tcBorders>
              <w:tl2br w:val="single" w:color="auto" w:sz="4" w:space="0"/>
            </w:tcBorders>
          </w:tcPr>
          <w:p>
            <w:pPr>
              <w:autoSpaceDE w:val="0"/>
              <w:autoSpaceDN w:val="0"/>
              <w:adjustRightInd w:val="0"/>
              <w:jc w:val="left"/>
              <w:rPr>
                <w:rFonts w:ascii="宋体" w:hAnsi="宋体" w:cs="Arial"/>
                <w:sz w:val="24"/>
              </w:rPr>
            </w:pPr>
            <w:r>
              <w:rPr>
                <w:rFonts w:hint="eastAsia" w:ascii="宋体" w:hAnsi="宋体" w:cs="Arial"/>
                <w:sz w:val="24"/>
              </w:rPr>
              <w:t xml:space="preserve">          标段</w:t>
            </w:r>
          </w:p>
          <w:p>
            <w:pPr>
              <w:autoSpaceDE w:val="0"/>
              <w:autoSpaceDN w:val="0"/>
              <w:adjustRightInd w:val="0"/>
              <w:jc w:val="left"/>
              <w:rPr>
                <w:rFonts w:ascii="宋体" w:hAnsi="宋体" w:cs="Arial"/>
                <w:sz w:val="24"/>
              </w:rPr>
            </w:pPr>
            <w:r>
              <w:rPr>
                <w:rFonts w:hint="eastAsia" w:ascii="宋体" w:hAnsi="宋体" w:cs="Arial"/>
                <w:sz w:val="24"/>
              </w:rPr>
              <w:t>类别</w:t>
            </w:r>
          </w:p>
        </w:tc>
        <w:tc>
          <w:tcPr>
            <w:tcW w:w="2453" w:type="dxa"/>
            <w:vAlign w:val="center"/>
          </w:tcPr>
          <w:p>
            <w:pPr>
              <w:autoSpaceDE w:val="0"/>
              <w:autoSpaceDN w:val="0"/>
              <w:adjustRightInd w:val="0"/>
              <w:spacing w:line="480" w:lineRule="auto"/>
              <w:jc w:val="center"/>
              <w:rPr>
                <w:rFonts w:ascii="宋体" w:hAnsi="宋体" w:cs="Arial"/>
                <w:sz w:val="24"/>
              </w:rPr>
            </w:pPr>
            <w:r>
              <w:rPr>
                <w:rFonts w:hint="eastAsia" w:ascii="宋体" w:hAnsi="宋体" w:cs="Arial"/>
                <w:sz w:val="24"/>
              </w:rPr>
              <w:t>一</w:t>
            </w:r>
          </w:p>
        </w:tc>
        <w:tc>
          <w:tcPr>
            <w:tcW w:w="2489" w:type="dxa"/>
            <w:vAlign w:val="center"/>
          </w:tcPr>
          <w:p>
            <w:pPr>
              <w:autoSpaceDE w:val="0"/>
              <w:autoSpaceDN w:val="0"/>
              <w:adjustRightInd w:val="0"/>
              <w:spacing w:line="480" w:lineRule="auto"/>
              <w:jc w:val="center"/>
              <w:rPr>
                <w:rFonts w:ascii="宋体" w:hAnsi="宋体" w:cs="Arial"/>
                <w:sz w:val="24"/>
              </w:rPr>
            </w:pPr>
            <w:r>
              <w:rPr>
                <w:rFonts w:hint="eastAsia" w:ascii="宋体" w:hAnsi="宋体" w:cs="Arial"/>
                <w:sz w:val="24"/>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2111" w:type="dxa"/>
            <w:vAlign w:val="center"/>
          </w:tcPr>
          <w:p>
            <w:pPr>
              <w:autoSpaceDE w:val="0"/>
              <w:autoSpaceDN w:val="0"/>
              <w:adjustRightInd w:val="0"/>
              <w:jc w:val="left"/>
              <w:rPr>
                <w:rFonts w:ascii="宋体" w:hAnsi="宋体" w:cs="Arial"/>
                <w:sz w:val="24"/>
              </w:rPr>
            </w:pPr>
            <w:r>
              <w:rPr>
                <w:rFonts w:hint="eastAsia" w:ascii="宋体" w:hAnsi="宋体" w:cs="Arial"/>
                <w:sz w:val="24"/>
              </w:rPr>
              <w:t>技术评分</w:t>
            </w:r>
          </w:p>
        </w:tc>
        <w:tc>
          <w:tcPr>
            <w:tcW w:w="2453" w:type="dxa"/>
            <w:vAlign w:val="center"/>
          </w:tcPr>
          <w:p>
            <w:pPr>
              <w:autoSpaceDE w:val="0"/>
              <w:autoSpaceDN w:val="0"/>
              <w:adjustRightInd w:val="0"/>
              <w:jc w:val="center"/>
              <w:rPr>
                <w:rFonts w:hint="default" w:ascii="宋体" w:hAnsi="宋体" w:eastAsia="宋体" w:cs="Arial"/>
                <w:sz w:val="24"/>
                <w:lang w:val="en-US" w:eastAsia="zh-CN"/>
              </w:rPr>
            </w:pPr>
            <w:r>
              <w:rPr>
                <w:rFonts w:hint="eastAsia" w:ascii="宋体" w:hAnsi="宋体" w:cs="Arial"/>
                <w:sz w:val="24"/>
                <w:lang w:val="en-US" w:eastAsia="zh-CN"/>
              </w:rPr>
              <w:t>40</w:t>
            </w:r>
          </w:p>
        </w:tc>
        <w:tc>
          <w:tcPr>
            <w:tcW w:w="2489" w:type="dxa"/>
            <w:vAlign w:val="center"/>
          </w:tcPr>
          <w:p>
            <w:pPr>
              <w:autoSpaceDE w:val="0"/>
              <w:autoSpaceDN w:val="0"/>
              <w:adjustRightInd w:val="0"/>
              <w:jc w:val="center"/>
              <w:rPr>
                <w:rFonts w:hint="default" w:ascii="宋体" w:hAnsi="宋体" w:eastAsia="宋体" w:cs="Arial"/>
                <w:sz w:val="24"/>
                <w:lang w:val="en-US" w:eastAsia="zh-CN"/>
              </w:rPr>
            </w:pPr>
            <w:r>
              <w:rPr>
                <w:rFonts w:hint="eastAsia" w:ascii="宋体" w:hAnsi="宋体" w:cs="Arial"/>
                <w:sz w:val="24"/>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2111" w:type="dxa"/>
            <w:vAlign w:val="center"/>
          </w:tcPr>
          <w:p>
            <w:pPr>
              <w:autoSpaceDE w:val="0"/>
              <w:autoSpaceDN w:val="0"/>
              <w:adjustRightInd w:val="0"/>
              <w:jc w:val="left"/>
              <w:rPr>
                <w:rFonts w:ascii="宋体" w:hAnsi="宋体" w:cs="Arial"/>
                <w:sz w:val="24"/>
              </w:rPr>
            </w:pPr>
            <w:r>
              <w:rPr>
                <w:rFonts w:hint="eastAsia" w:ascii="宋体" w:hAnsi="宋体" w:cs="Arial"/>
                <w:sz w:val="24"/>
              </w:rPr>
              <w:t>实力信誉及业绩评分</w:t>
            </w:r>
          </w:p>
        </w:tc>
        <w:tc>
          <w:tcPr>
            <w:tcW w:w="2453" w:type="dxa"/>
            <w:vAlign w:val="center"/>
          </w:tcPr>
          <w:p>
            <w:pPr>
              <w:autoSpaceDE w:val="0"/>
              <w:autoSpaceDN w:val="0"/>
              <w:adjustRightInd w:val="0"/>
              <w:jc w:val="center"/>
              <w:rPr>
                <w:rFonts w:hint="default" w:ascii="宋体" w:hAnsi="宋体" w:eastAsia="宋体" w:cs="Arial"/>
                <w:sz w:val="24"/>
                <w:lang w:val="en-US" w:eastAsia="zh-CN"/>
              </w:rPr>
            </w:pPr>
            <w:r>
              <w:rPr>
                <w:rFonts w:hint="eastAsia" w:ascii="宋体" w:hAnsi="宋体" w:cs="Arial"/>
                <w:sz w:val="24"/>
                <w:lang w:val="en-US" w:eastAsia="zh-CN"/>
              </w:rPr>
              <w:t>15</w:t>
            </w:r>
          </w:p>
        </w:tc>
        <w:tc>
          <w:tcPr>
            <w:tcW w:w="2489" w:type="dxa"/>
            <w:vAlign w:val="center"/>
          </w:tcPr>
          <w:p>
            <w:pPr>
              <w:autoSpaceDE w:val="0"/>
              <w:autoSpaceDN w:val="0"/>
              <w:adjustRightInd w:val="0"/>
              <w:jc w:val="center"/>
              <w:rPr>
                <w:rFonts w:hint="default" w:ascii="宋体" w:hAnsi="宋体" w:eastAsia="宋体" w:cs="Arial"/>
                <w:sz w:val="24"/>
                <w:lang w:val="en-US" w:eastAsia="zh-CN"/>
              </w:rPr>
            </w:pPr>
            <w:r>
              <w:rPr>
                <w:rFonts w:hint="eastAsia" w:ascii="宋体" w:hAnsi="宋体" w:cs="Arial"/>
                <w:sz w:val="24"/>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111" w:type="dxa"/>
            <w:vAlign w:val="center"/>
          </w:tcPr>
          <w:p>
            <w:pPr>
              <w:autoSpaceDE w:val="0"/>
              <w:autoSpaceDN w:val="0"/>
              <w:adjustRightInd w:val="0"/>
              <w:jc w:val="left"/>
              <w:rPr>
                <w:rFonts w:ascii="宋体" w:hAnsi="宋体" w:cs="Arial"/>
                <w:sz w:val="24"/>
              </w:rPr>
            </w:pPr>
            <w:r>
              <w:rPr>
                <w:rFonts w:hint="eastAsia" w:ascii="宋体" w:hAnsi="宋体" w:cs="Arial"/>
                <w:sz w:val="24"/>
              </w:rPr>
              <w:t>售后服务评分</w:t>
            </w:r>
          </w:p>
        </w:tc>
        <w:tc>
          <w:tcPr>
            <w:tcW w:w="2453" w:type="dxa"/>
            <w:vAlign w:val="center"/>
          </w:tcPr>
          <w:p>
            <w:pPr>
              <w:autoSpaceDE w:val="0"/>
              <w:autoSpaceDN w:val="0"/>
              <w:adjustRightInd w:val="0"/>
              <w:jc w:val="center"/>
              <w:rPr>
                <w:rFonts w:hint="default" w:ascii="宋体" w:hAnsi="宋体" w:eastAsia="宋体" w:cs="Arial"/>
                <w:sz w:val="24"/>
                <w:lang w:val="en-US" w:eastAsia="zh-CN"/>
              </w:rPr>
            </w:pPr>
            <w:r>
              <w:rPr>
                <w:rFonts w:hint="eastAsia" w:ascii="宋体" w:hAnsi="宋体" w:cs="Arial"/>
                <w:sz w:val="24"/>
                <w:lang w:val="en-US" w:eastAsia="zh-CN"/>
              </w:rPr>
              <w:t>13</w:t>
            </w:r>
          </w:p>
        </w:tc>
        <w:tc>
          <w:tcPr>
            <w:tcW w:w="2489" w:type="dxa"/>
            <w:vAlign w:val="center"/>
          </w:tcPr>
          <w:p>
            <w:pPr>
              <w:autoSpaceDE w:val="0"/>
              <w:autoSpaceDN w:val="0"/>
              <w:adjustRightInd w:val="0"/>
              <w:jc w:val="center"/>
              <w:rPr>
                <w:rFonts w:hint="default" w:ascii="宋体" w:hAnsi="宋体" w:eastAsia="宋体" w:cs="Arial"/>
                <w:sz w:val="24"/>
                <w:lang w:val="en-US" w:eastAsia="zh-CN"/>
              </w:rPr>
            </w:pPr>
            <w:r>
              <w:rPr>
                <w:rFonts w:hint="eastAsia" w:ascii="宋体" w:hAnsi="宋体" w:cs="Arial"/>
                <w:sz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2111" w:type="dxa"/>
            <w:vAlign w:val="center"/>
          </w:tcPr>
          <w:p>
            <w:pPr>
              <w:autoSpaceDE w:val="0"/>
              <w:autoSpaceDN w:val="0"/>
              <w:adjustRightInd w:val="0"/>
              <w:jc w:val="left"/>
              <w:rPr>
                <w:rFonts w:ascii="宋体" w:hAnsi="宋体" w:cs="Arial"/>
                <w:sz w:val="24"/>
              </w:rPr>
            </w:pPr>
            <w:r>
              <w:rPr>
                <w:rFonts w:hint="eastAsia" w:ascii="宋体" w:hAnsi="宋体" w:cs="Arial"/>
                <w:sz w:val="24"/>
              </w:rPr>
              <w:t>投标文件制作评分</w:t>
            </w:r>
          </w:p>
        </w:tc>
        <w:tc>
          <w:tcPr>
            <w:tcW w:w="2453" w:type="dxa"/>
            <w:vAlign w:val="center"/>
          </w:tcPr>
          <w:p>
            <w:pPr>
              <w:autoSpaceDE w:val="0"/>
              <w:autoSpaceDN w:val="0"/>
              <w:adjustRightInd w:val="0"/>
              <w:jc w:val="center"/>
              <w:rPr>
                <w:rFonts w:hint="eastAsia" w:ascii="宋体" w:hAnsi="宋体" w:eastAsia="宋体" w:cs="Arial"/>
                <w:sz w:val="24"/>
                <w:lang w:val="en-US" w:eastAsia="zh-CN"/>
              </w:rPr>
            </w:pPr>
            <w:r>
              <w:rPr>
                <w:rFonts w:hint="eastAsia" w:ascii="宋体" w:hAnsi="宋体" w:cs="Arial"/>
                <w:sz w:val="24"/>
                <w:lang w:val="en-US" w:eastAsia="zh-CN"/>
              </w:rPr>
              <w:t>2</w:t>
            </w:r>
          </w:p>
        </w:tc>
        <w:tc>
          <w:tcPr>
            <w:tcW w:w="2489" w:type="dxa"/>
            <w:vAlign w:val="center"/>
          </w:tcPr>
          <w:p>
            <w:pPr>
              <w:autoSpaceDE w:val="0"/>
              <w:autoSpaceDN w:val="0"/>
              <w:adjustRightInd w:val="0"/>
              <w:jc w:val="center"/>
              <w:rPr>
                <w:rFonts w:hint="eastAsia" w:ascii="宋体" w:hAnsi="宋体" w:eastAsia="宋体" w:cs="Arial"/>
                <w:sz w:val="24"/>
                <w:lang w:val="en-US" w:eastAsia="zh-CN"/>
              </w:rPr>
            </w:pPr>
            <w:r>
              <w:rPr>
                <w:rFonts w:hint="eastAsia" w:ascii="宋体" w:hAnsi="宋体" w:cs="Arial"/>
                <w:sz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jc w:val="center"/>
        </w:trPr>
        <w:tc>
          <w:tcPr>
            <w:tcW w:w="2111" w:type="dxa"/>
            <w:vAlign w:val="center"/>
          </w:tcPr>
          <w:p>
            <w:pPr>
              <w:autoSpaceDE w:val="0"/>
              <w:autoSpaceDN w:val="0"/>
              <w:adjustRightInd w:val="0"/>
              <w:jc w:val="left"/>
              <w:rPr>
                <w:rFonts w:ascii="宋体" w:hAnsi="宋体" w:cs="Arial"/>
                <w:sz w:val="24"/>
              </w:rPr>
            </w:pPr>
            <w:r>
              <w:rPr>
                <w:rFonts w:hint="eastAsia" w:ascii="宋体" w:hAnsi="宋体" w:cs="Arial"/>
                <w:sz w:val="24"/>
              </w:rPr>
              <w:t>价格分</w:t>
            </w:r>
          </w:p>
        </w:tc>
        <w:tc>
          <w:tcPr>
            <w:tcW w:w="2453" w:type="dxa"/>
            <w:vAlign w:val="center"/>
          </w:tcPr>
          <w:p>
            <w:pPr>
              <w:autoSpaceDE w:val="0"/>
              <w:autoSpaceDN w:val="0"/>
              <w:adjustRightInd w:val="0"/>
              <w:jc w:val="center"/>
              <w:rPr>
                <w:rFonts w:hint="default" w:ascii="宋体" w:hAnsi="宋体" w:eastAsia="宋体" w:cs="Arial"/>
                <w:sz w:val="24"/>
                <w:lang w:val="en-US" w:eastAsia="zh-CN"/>
              </w:rPr>
            </w:pPr>
            <w:r>
              <w:rPr>
                <w:rFonts w:hint="eastAsia" w:ascii="宋体" w:hAnsi="宋体" w:cs="Arial"/>
                <w:sz w:val="24"/>
                <w:lang w:val="en-US" w:eastAsia="zh-CN"/>
              </w:rPr>
              <w:t>30</w:t>
            </w:r>
          </w:p>
        </w:tc>
        <w:tc>
          <w:tcPr>
            <w:tcW w:w="2489" w:type="dxa"/>
            <w:vAlign w:val="center"/>
          </w:tcPr>
          <w:p>
            <w:pPr>
              <w:autoSpaceDE w:val="0"/>
              <w:autoSpaceDN w:val="0"/>
              <w:adjustRightInd w:val="0"/>
              <w:jc w:val="center"/>
              <w:rPr>
                <w:rFonts w:hint="default" w:ascii="宋体" w:hAnsi="宋体" w:eastAsia="宋体" w:cs="Arial"/>
                <w:sz w:val="24"/>
                <w:lang w:val="en-US" w:eastAsia="zh-CN"/>
              </w:rPr>
            </w:pPr>
            <w:r>
              <w:rPr>
                <w:rFonts w:hint="eastAsia" w:ascii="宋体" w:hAnsi="宋体" w:cs="Arial"/>
                <w:sz w:val="24"/>
                <w:lang w:val="en-US" w:eastAsia="zh-CN"/>
              </w:rPr>
              <w:t>30</w:t>
            </w:r>
          </w:p>
        </w:tc>
      </w:tr>
    </w:tbl>
    <w:p>
      <w:pPr>
        <w:autoSpaceDE w:val="0"/>
        <w:autoSpaceDN w:val="0"/>
        <w:adjustRightInd w:val="0"/>
        <w:spacing w:line="360" w:lineRule="auto"/>
        <w:ind w:right="84" w:firstLine="472"/>
        <w:rPr>
          <w:rFonts w:ascii="宋体"/>
          <w:bCs/>
          <w:sz w:val="24"/>
          <w:lang w:val="zh-CN"/>
        </w:rPr>
      </w:pPr>
      <w:r>
        <w:rPr>
          <w:rFonts w:hint="eastAsia" w:ascii="宋体"/>
          <w:bCs/>
          <w:sz w:val="24"/>
          <w:lang w:val="zh-CN"/>
        </w:rPr>
        <w:t>（一）商务与技术文件中的客观分由评标委员会讨论后统一打分；其余在规定的分值内单独评定打分。</w:t>
      </w:r>
    </w:p>
    <w:p>
      <w:pPr>
        <w:autoSpaceDE w:val="0"/>
        <w:autoSpaceDN w:val="0"/>
        <w:adjustRightInd w:val="0"/>
        <w:spacing w:line="360" w:lineRule="auto"/>
        <w:ind w:right="84" w:firstLine="472"/>
        <w:rPr>
          <w:rFonts w:ascii="宋体"/>
          <w:bCs/>
          <w:sz w:val="24"/>
          <w:shd w:val="clear" w:color="FFFFFF" w:fill="D9D9D9"/>
          <w:lang w:val="zh-CN"/>
        </w:rPr>
      </w:pPr>
      <w:r>
        <w:rPr>
          <w:rFonts w:hint="eastAsia" w:ascii="宋体"/>
          <w:bCs/>
          <w:sz w:val="24"/>
          <w:lang w:val="zh-CN"/>
        </w:rPr>
        <w:t>（二）各投标人商务与技术文件</w:t>
      </w:r>
      <w:r>
        <w:rPr>
          <w:rFonts w:hint="eastAsia" w:ascii="宋体"/>
          <w:kern w:val="0"/>
          <w:sz w:val="24"/>
          <w:lang w:val="zh-CN"/>
        </w:rPr>
        <w:t>得分按照评标委员会成</w:t>
      </w:r>
      <w:r>
        <w:rPr>
          <w:rFonts w:hint="eastAsia" w:ascii="宋体"/>
          <w:bCs/>
          <w:sz w:val="24"/>
          <w:lang w:val="zh-CN"/>
        </w:rPr>
        <w:t>员的独立评分结果汇总后的算术平均分计算，计算公式为：</w:t>
      </w:r>
    </w:p>
    <w:p>
      <w:pPr>
        <w:autoSpaceDE w:val="0"/>
        <w:autoSpaceDN w:val="0"/>
        <w:adjustRightInd w:val="0"/>
        <w:spacing w:line="360" w:lineRule="auto"/>
        <w:ind w:right="84" w:firstLine="472"/>
        <w:rPr>
          <w:rFonts w:ascii="宋体"/>
          <w:bCs/>
          <w:sz w:val="24"/>
          <w:shd w:val="clear" w:color="FFFFFF" w:fill="D9D9D9"/>
          <w:lang w:val="zh-CN"/>
        </w:rPr>
      </w:pPr>
      <w:r>
        <w:rPr>
          <w:rFonts w:hint="eastAsia" w:ascii="宋体" w:hAnsi="宋体"/>
          <w:sz w:val="24"/>
        </w:rPr>
        <w:t>商务与技术文件得分</w:t>
      </w:r>
      <w:r>
        <w:rPr>
          <w:rFonts w:hint="eastAsia" w:ascii="宋体"/>
          <w:bCs/>
          <w:sz w:val="24"/>
          <w:lang w:val="zh-CN"/>
        </w:rPr>
        <w:t>=评标委员会所有成员评分合计数/评标委员会组成人员数。</w:t>
      </w:r>
    </w:p>
    <w:p>
      <w:pPr>
        <w:autoSpaceDE w:val="0"/>
        <w:autoSpaceDN w:val="0"/>
        <w:adjustRightInd w:val="0"/>
        <w:spacing w:line="360" w:lineRule="auto"/>
        <w:ind w:right="85" w:firstLine="480" w:firstLineChars="200"/>
        <w:rPr>
          <w:rFonts w:ascii="宋体"/>
          <w:sz w:val="24"/>
          <w:lang w:val="zh-CN"/>
        </w:rPr>
      </w:pPr>
      <w:r>
        <w:rPr>
          <w:rFonts w:hint="eastAsia" w:ascii="宋体"/>
          <w:bCs/>
          <w:sz w:val="24"/>
          <w:lang w:val="zh-CN"/>
        </w:rPr>
        <w:t>（三）</w:t>
      </w:r>
      <w:r>
        <w:rPr>
          <w:rFonts w:hint="eastAsia" w:ascii="宋体"/>
          <w:sz w:val="24"/>
          <w:lang w:val="zh-CN"/>
        </w:rPr>
        <w:t>投标报价得分采用低价优先法计算，即满足招标文件要求且投标价格最低的投标报价为评标基准价，其报价得满分。其他投标人的投标报价得分按下列公式计算：</w:t>
      </w:r>
    </w:p>
    <w:p>
      <w:pPr>
        <w:autoSpaceDE w:val="0"/>
        <w:autoSpaceDN w:val="0"/>
        <w:adjustRightInd w:val="0"/>
        <w:spacing w:line="360" w:lineRule="auto"/>
        <w:ind w:right="85" w:firstLine="480" w:firstLineChars="200"/>
        <w:rPr>
          <w:rFonts w:ascii="宋体" w:hAnsi="宋体"/>
          <w:sz w:val="24"/>
          <w:u w:val="single"/>
        </w:rPr>
      </w:pPr>
      <w:r>
        <w:rPr>
          <w:rFonts w:hint="eastAsia"/>
          <w:sz w:val="24"/>
          <w:u w:val="single"/>
        </w:rPr>
        <w:t>投标报价得</w:t>
      </w:r>
      <w:r>
        <w:rPr>
          <w:sz w:val="24"/>
          <w:u w:val="single"/>
        </w:rPr>
        <w:t>分=(评标基准价／投</w:t>
      </w:r>
      <w:r>
        <w:rPr>
          <w:rFonts w:ascii="宋体" w:hAnsi="宋体"/>
          <w:sz w:val="24"/>
          <w:u w:val="single"/>
        </w:rPr>
        <w:t>标报价)×</w:t>
      </w:r>
      <w:r>
        <w:rPr>
          <w:rFonts w:hint="eastAsia" w:ascii="宋体" w:hAnsi="宋体"/>
          <w:sz w:val="24"/>
          <w:u w:val="single"/>
        </w:rPr>
        <w:t xml:space="preserve"> </w:t>
      </w:r>
      <w:r>
        <w:rPr>
          <w:rFonts w:hint="eastAsia" w:ascii="宋体" w:hAnsi="宋体"/>
          <w:sz w:val="24"/>
          <w:u w:val="single"/>
          <w:lang w:val="en-US" w:eastAsia="zh-CN"/>
        </w:rPr>
        <w:t>价格分</w:t>
      </w:r>
      <w:r>
        <w:rPr>
          <w:rFonts w:ascii="宋体" w:hAnsi="宋体"/>
          <w:sz w:val="24"/>
          <w:u w:val="single"/>
        </w:rPr>
        <w:t>×100</w:t>
      </w:r>
      <w:r>
        <w:rPr>
          <w:rFonts w:hint="eastAsia" w:ascii="宋体" w:hAnsi="宋体"/>
          <w:sz w:val="24"/>
          <w:u w:val="single"/>
          <w:lang w:val="en-US" w:eastAsia="zh-CN"/>
        </w:rPr>
        <w:t>%</w:t>
      </w:r>
      <w:r>
        <w:rPr>
          <w:rFonts w:hint="eastAsia" w:ascii="宋体" w:hAnsi="宋体"/>
          <w:sz w:val="24"/>
          <w:u w:val="single"/>
        </w:rPr>
        <w:t xml:space="preserve"> 。</w:t>
      </w:r>
    </w:p>
    <w:p>
      <w:pPr>
        <w:autoSpaceDE w:val="0"/>
        <w:autoSpaceDN w:val="0"/>
        <w:adjustRightInd w:val="0"/>
        <w:spacing w:line="360" w:lineRule="auto"/>
        <w:ind w:right="85" w:firstLine="480" w:firstLineChars="200"/>
        <w:rPr>
          <w:rFonts w:ascii="宋体"/>
          <w:sz w:val="24"/>
          <w:lang w:val="zh-CN"/>
        </w:rPr>
      </w:pPr>
      <w:r>
        <w:rPr>
          <w:rFonts w:hint="eastAsia" w:ascii="宋体"/>
          <w:sz w:val="24"/>
          <w:lang w:val="zh-CN"/>
        </w:rPr>
        <w:t>（四）政府采购政策及优惠：（1）关于小型、微型企业（简称小微企业）投标：小微企业投标是指符合《中小企业划型标准规定》的投标人，通过投标提供本企业制造的货物、承担的工程或者服务，或者提供其他小微企业制造的货物。本项所指货物不包括使用大、中型企业注册商标的货物。</w:t>
      </w:r>
      <w:r>
        <w:rPr>
          <w:rFonts w:hint="eastAsia" w:ascii="宋体"/>
          <w:color w:val="auto"/>
          <w:sz w:val="24"/>
          <w:szCs w:val="24"/>
          <w:lang w:val="zh-CN"/>
        </w:rPr>
        <w:t>小微企业投标应提供《产品适用政府采购政策情况表》（见附件）、《小微企业声明函》，如投标人提供其他小微企业制造的货物，应同时提供制造商的《小微企业声明函（制造商）》，</w:t>
      </w:r>
      <w:r>
        <w:rPr>
          <w:rFonts w:hint="eastAsia" w:ascii="宋体"/>
          <w:color w:val="auto"/>
          <w:sz w:val="24"/>
          <w:szCs w:val="24"/>
          <w:lang w:val="en-US" w:eastAsia="zh-CN"/>
        </w:rPr>
        <w:t>投标人未提供以上资料或者经</w:t>
      </w:r>
      <w:r>
        <w:rPr>
          <w:rFonts w:hint="eastAsia" w:ascii="宋体"/>
          <w:color w:val="auto"/>
          <w:sz w:val="24"/>
          <w:szCs w:val="24"/>
          <w:lang w:val="zh-CN"/>
        </w:rPr>
        <w:t>评标委员会核查不符的</w:t>
      </w:r>
      <w:r>
        <w:rPr>
          <w:rFonts w:hint="eastAsia" w:ascii="宋体"/>
          <w:color w:val="auto"/>
          <w:sz w:val="24"/>
          <w:szCs w:val="24"/>
          <w:lang w:val="en-US" w:eastAsia="zh-CN"/>
        </w:rPr>
        <w:t>，将不能享受</w:t>
      </w:r>
      <w:r>
        <w:rPr>
          <w:rFonts w:hint="eastAsia"/>
          <w:color w:val="auto"/>
          <w:lang w:val="en-US" w:eastAsia="zh-CN"/>
        </w:rPr>
        <w:t>相应的</w:t>
      </w:r>
      <w:r>
        <w:rPr>
          <w:rFonts w:hint="eastAsia" w:ascii="宋体"/>
          <w:color w:val="auto"/>
          <w:sz w:val="24"/>
          <w:szCs w:val="24"/>
          <w:lang w:val="en-US" w:eastAsia="zh-CN"/>
        </w:rPr>
        <w:t>小微企业优惠政策。</w:t>
      </w:r>
      <w:r>
        <w:rPr>
          <w:rFonts w:hint="eastAsia" w:ascii="宋体"/>
          <w:sz w:val="24"/>
          <w:lang w:val="zh-CN"/>
        </w:rPr>
        <w:t>（2）监狱企业参加政府采购活动时，应当提供由省级以上监狱管理局、戒毒管理局（含新疆生产建设兵团）出具的属于监狱企业的证明文件和《产品适用政府采购政策情况表》（见附件），视同小型、微型企业，享受小微企业政府采购优惠政策。（3）残疾人福利性单位在参加政府采购活动时，应提供《残疾人福利性单位声明函》（见附件）和《产品适用政府采购政策情况表》（见附件），视同小型、微型企业，享受小微企业政府采购优惠政策。</w:t>
      </w:r>
    </w:p>
    <w:p>
      <w:pPr>
        <w:autoSpaceDE w:val="0"/>
        <w:autoSpaceDN w:val="0"/>
        <w:adjustRightInd w:val="0"/>
        <w:spacing w:line="360" w:lineRule="auto"/>
        <w:ind w:right="85" w:firstLine="480" w:firstLineChars="200"/>
        <w:rPr>
          <w:rFonts w:ascii="宋体"/>
          <w:sz w:val="24"/>
          <w:lang w:val="zh-CN"/>
        </w:rPr>
      </w:pPr>
      <w:r>
        <w:rPr>
          <w:rFonts w:hint="eastAsia" w:ascii="宋体"/>
          <w:sz w:val="24"/>
          <w:lang w:val="zh-CN"/>
        </w:rPr>
        <w:t>具体优惠：对于小型微型企业产品的价格给予</w:t>
      </w:r>
      <w:r>
        <w:rPr>
          <w:rFonts w:hint="eastAsia" w:ascii="宋体"/>
          <w:sz w:val="24"/>
          <w:u w:val="single"/>
          <w:lang w:val="zh-CN"/>
        </w:rPr>
        <w:t xml:space="preserve"> </w:t>
      </w:r>
      <w:r>
        <w:rPr>
          <w:rFonts w:hint="eastAsia" w:ascii="宋体"/>
          <w:sz w:val="24"/>
          <w:u w:val="single"/>
        </w:rPr>
        <w:t>6</w:t>
      </w:r>
      <w:r>
        <w:rPr>
          <w:rFonts w:hint="eastAsia" w:ascii="宋体"/>
          <w:sz w:val="24"/>
          <w:u w:val="single"/>
          <w:lang w:val="zh-CN"/>
        </w:rPr>
        <w:t xml:space="preserve">  </w:t>
      </w:r>
      <w:r>
        <w:rPr>
          <w:rFonts w:hint="eastAsia" w:ascii="宋体"/>
          <w:sz w:val="24"/>
          <w:lang w:val="zh-CN"/>
        </w:rPr>
        <w:t>%的扣除，用扣除后的价格计算评标基准价和投标报价。同一投标人（包括联合体），小微企业、监狱企业、残疾人福利性单位价格扣除优惠只享受一次，不得重复享受。</w:t>
      </w:r>
    </w:p>
    <w:p>
      <w:pPr>
        <w:autoSpaceDE w:val="0"/>
        <w:autoSpaceDN w:val="0"/>
        <w:adjustRightInd w:val="0"/>
        <w:spacing w:line="360" w:lineRule="auto"/>
        <w:ind w:right="84" w:firstLine="472"/>
        <w:rPr>
          <w:rFonts w:ascii="宋体"/>
          <w:bCs/>
          <w:sz w:val="24"/>
          <w:shd w:val="clear" w:color="FFFFFF" w:fill="D9D9D9"/>
          <w:lang w:val="zh-CN"/>
        </w:rPr>
      </w:pPr>
      <w:r>
        <w:rPr>
          <w:rFonts w:hint="eastAsia" w:ascii="宋体"/>
          <w:sz w:val="24"/>
          <w:lang w:val="zh-CN"/>
        </w:rPr>
        <w:t>注：得分以系统计算为准，保留2位小数。</w:t>
      </w:r>
    </w:p>
    <w:p>
      <w:pPr>
        <w:autoSpaceDE w:val="0"/>
        <w:autoSpaceDN w:val="0"/>
        <w:adjustRightInd w:val="0"/>
        <w:spacing w:line="360" w:lineRule="auto"/>
        <w:ind w:right="85" w:firstLine="480" w:firstLineChars="200"/>
        <w:rPr>
          <w:rFonts w:ascii="宋体"/>
          <w:sz w:val="24"/>
          <w:lang w:val="zh-CN"/>
        </w:rPr>
      </w:pPr>
      <w:r>
        <w:rPr>
          <w:rFonts w:hint="eastAsia" w:ascii="宋体"/>
          <w:sz w:val="24"/>
          <w:lang w:val="zh-CN"/>
        </w:rPr>
        <w:t>三、在最大限度地满足招标文件实质性要求前提下，评标委员会按照招标文件中规定的各项因素进行综合评审后，以评标总得分最高的投标人为中标候选人。</w:t>
      </w:r>
    </w:p>
    <w:p>
      <w:pPr>
        <w:autoSpaceDE w:val="0"/>
        <w:autoSpaceDN w:val="0"/>
        <w:adjustRightInd w:val="0"/>
        <w:spacing w:line="360" w:lineRule="auto"/>
        <w:ind w:right="85" w:firstLine="480" w:firstLineChars="200"/>
        <w:rPr>
          <w:rFonts w:ascii="宋体"/>
          <w:sz w:val="24"/>
          <w:lang w:val="zh-CN"/>
        </w:rPr>
      </w:pPr>
      <w:r>
        <w:rPr>
          <w:rFonts w:hint="eastAsia" w:ascii="宋体"/>
          <w:sz w:val="24"/>
          <w:lang w:val="zh-CN"/>
        </w:rPr>
        <w:t>四、如综合得分相同，投标报价低者为先；如综合得分且投标报价相同的，货物类采购项目以技术性能得分较高者为先，服务类采购项目以实力信誉及业绩得分较高者为先。</w:t>
      </w:r>
    </w:p>
    <w:p>
      <w:pPr>
        <w:autoSpaceDE w:val="0"/>
        <w:autoSpaceDN w:val="0"/>
        <w:adjustRightInd w:val="0"/>
        <w:spacing w:line="360" w:lineRule="auto"/>
        <w:ind w:right="85" w:firstLine="480" w:firstLineChars="200"/>
        <w:rPr>
          <w:rFonts w:ascii="宋体"/>
          <w:sz w:val="24"/>
          <w:lang w:val="zh-CN"/>
        </w:rPr>
      </w:pPr>
      <w:r>
        <w:rPr>
          <w:rFonts w:hint="eastAsia" w:ascii="宋体"/>
          <w:sz w:val="24"/>
          <w:lang w:val="zh-CN"/>
        </w:rPr>
        <w:t>五、提供相同品牌产品的不同投标人参加同一合同项下投标的，按一家供应商认定：（1）采用最低评标价法的采购项目，以其中通过资格审查、符合性审查且报价最低的参加评标；报价相同的，由评标委员会集体确定一个投标人参加评标，其他投标无效。（2）使用综合评分法的采购项目，评审后得分最高的同品牌投标人获得中标人推荐资格；评审得分相同的，由评标委员会集体推荐一个投标人作为中标候选人，其他同品牌投标人不作为中标候选人。</w:t>
      </w:r>
    </w:p>
    <w:p>
      <w:pPr>
        <w:pStyle w:val="28"/>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六、本次评分具体分值细化条款如下表：</w:t>
      </w:r>
    </w:p>
    <w:p>
      <w:pPr>
        <w:pStyle w:val="28"/>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第一标段：</w:t>
      </w:r>
    </w:p>
    <w:p>
      <w:pPr>
        <w:pStyle w:val="28"/>
        <w:ind w:firstLine="480" w:firstLineChars="200"/>
        <w:rPr>
          <w:rFonts w:asciiTheme="minorEastAsia" w:hAnsiTheme="minorEastAsia" w:eastAsiaTheme="minorEastAsia"/>
          <w:sz w:val="24"/>
          <w:szCs w:val="24"/>
        </w:rPr>
      </w:pPr>
    </w:p>
    <w:tbl>
      <w:tblPr>
        <w:tblStyle w:val="23"/>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754"/>
        <w:gridCol w:w="5929"/>
        <w:gridCol w:w="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17" w:type="dxa"/>
            <w:tcBorders>
              <w:top w:val="single" w:color="auto" w:sz="4" w:space="0"/>
              <w:left w:val="single" w:color="auto" w:sz="4" w:space="0"/>
              <w:bottom w:val="single" w:color="auto" w:sz="4" w:space="0"/>
              <w:right w:val="single" w:color="auto" w:sz="4" w:space="0"/>
            </w:tcBorders>
            <w:shd w:val="clear" w:color="auto" w:fill="9ED3A3" w:themeFill="background1" w:themeFillShade="D8"/>
            <w:vAlign w:val="center"/>
          </w:tcPr>
          <w:p>
            <w:pPr>
              <w:jc w:val="center"/>
              <w:rPr>
                <w:b/>
                <w:sz w:val="21"/>
                <w:szCs w:val="21"/>
              </w:rPr>
            </w:pPr>
            <w:r>
              <w:rPr>
                <w:rFonts w:hint="eastAsia"/>
                <w:b/>
                <w:sz w:val="21"/>
                <w:szCs w:val="21"/>
              </w:rPr>
              <w:t>评分项目</w:t>
            </w:r>
          </w:p>
        </w:tc>
        <w:tc>
          <w:tcPr>
            <w:tcW w:w="6683" w:type="dxa"/>
            <w:gridSpan w:val="2"/>
            <w:tcBorders>
              <w:top w:val="single" w:color="auto" w:sz="4" w:space="0"/>
              <w:left w:val="single" w:color="auto" w:sz="4" w:space="0"/>
              <w:bottom w:val="single" w:color="auto" w:sz="4" w:space="0"/>
              <w:right w:val="single" w:color="auto" w:sz="4" w:space="0"/>
            </w:tcBorders>
            <w:shd w:val="clear" w:color="auto" w:fill="9ED3A3" w:themeFill="background1" w:themeFillShade="D8"/>
            <w:vAlign w:val="center"/>
          </w:tcPr>
          <w:p>
            <w:pPr>
              <w:jc w:val="center"/>
              <w:rPr>
                <w:b/>
                <w:sz w:val="21"/>
                <w:szCs w:val="21"/>
              </w:rPr>
            </w:pPr>
            <w:r>
              <w:rPr>
                <w:rFonts w:hint="eastAsia"/>
                <w:b/>
                <w:sz w:val="21"/>
                <w:szCs w:val="21"/>
              </w:rPr>
              <w:t>评分细则</w:t>
            </w:r>
          </w:p>
        </w:tc>
        <w:tc>
          <w:tcPr>
            <w:tcW w:w="628" w:type="dxa"/>
            <w:tcBorders>
              <w:top w:val="single" w:color="auto" w:sz="4" w:space="0"/>
              <w:left w:val="single" w:color="auto" w:sz="4" w:space="0"/>
              <w:bottom w:val="single" w:color="auto" w:sz="4" w:space="0"/>
              <w:right w:val="single" w:color="auto" w:sz="4" w:space="0"/>
            </w:tcBorders>
            <w:shd w:val="clear" w:color="auto" w:fill="9ED3A3" w:themeFill="background1" w:themeFillShade="D8"/>
            <w:vAlign w:val="center"/>
          </w:tcPr>
          <w:p>
            <w:pPr>
              <w:jc w:val="center"/>
              <w:rPr>
                <w:b/>
                <w:sz w:val="21"/>
                <w:szCs w:val="21"/>
              </w:rPr>
            </w:pPr>
            <w:r>
              <w:rPr>
                <w:rFonts w:hint="eastAsia"/>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217" w:type="dxa"/>
            <w:vMerge w:val="restart"/>
            <w:tcBorders>
              <w:top w:val="single" w:color="auto" w:sz="4" w:space="0"/>
              <w:left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技术性能</w:t>
            </w:r>
          </w:p>
          <w:p>
            <w:pPr>
              <w:jc w:val="center"/>
              <w:rPr>
                <w:rFonts w:ascii="宋体" w:hAnsi="宋体" w:cs="宋体"/>
                <w:b/>
                <w:bCs/>
                <w:sz w:val="21"/>
                <w:szCs w:val="21"/>
              </w:rPr>
            </w:pPr>
            <w:r>
              <w:rPr>
                <w:rFonts w:hint="eastAsia" w:ascii="宋体" w:hAnsi="宋体" w:cs="宋体"/>
                <w:b/>
                <w:bCs/>
                <w:sz w:val="21"/>
                <w:szCs w:val="21"/>
                <w:lang w:val="en-US" w:eastAsia="zh-CN"/>
              </w:rPr>
              <w:t>40</w:t>
            </w:r>
            <w:r>
              <w:rPr>
                <w:rFonts w:hint="eastAsia" w:ascii="宋体" w:hAnsi="宋体" w:cs="宋体"/>
                <w:b/>
                <w:bCs/>
                <w:sz w:val="21"/>
                <w:szCs w:val="21"/>
              </w:rPr>
              <w:t>分</w:t>
            </w: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技术方案</w:t>
            </w:r>
          </w:p>
        </w:tc>
        <w:tc>
          <w:tcPr>
            <w:tcW w:w="5929" w:type="dxa"/>
            <w:tcBorders>
              <w:top w:val="single" w:color="auto" w:sz="4" w:space="0"/>
              <w:left w:val="single" w:color="auto" w:sz="4" w:space="0"/>
              <w:bottom w:val="single" w:color="auto" w:sz="4" w:space="0"/>
              <w:right w:val="single" w:color="auto" w:sz="4" w:space="0"/>
            </w:tcBorders>
            <w:vAlign w:val="center"/>
          </w:tcPr>
          <w:p>
            <w:pPr>
              <w:rPr>
                <w:rFonts w:ascii="Tahoma" w:hAnsi="Tahoma" w:cstheme="minorBidi"/>
                <w:sz w:val="21"/>
                <w:szCs w:val="21"/>
              </w:rPr>
            </w:pPr>
            <w:r>
              <w:rPr>
                <w:rFonts w:hint="eastAsia" w:ascii="宋体" w:hAnsi="宋体" w:cs="宋体"/>
                <w:szCs w:val="21"/>
              </w:rPr>
              <w:t>根据投标人对采购</w:t>
            </w:r>
            <w:r>
              <w:rPr>
                <w:rFonts w:hint="eastAsia" w:ascii="宋体" w:hAnsi="宋体" w:cs="宋体"/>
                <w:color w:val="FF0000"/>
                <w:szCs w:val="21"/>
                <w:lang w:val="en-US" w:eastAsia="zh-CN"/>
              </w:rPr>
              <w:t>项目</w:t>
            </w:r>
            <w:r>
              <w:rPr>
                <w:rFonts w:hint="eastAsia" w:ascii="宋体" w:hAnsi="宋体" w:cs="宋体"/>
                <w:szCs w:val="21"/>
              </w:rPr>
              <w:t>现状和招标方案需求的理解、提供的项目实现思路、体系构架、功能模块、关键技术和实施计划进行评分</w:t>
            </w:r>
            <w:r>
              <w:rPr>
                <w:rFonts w:hint="eastAsia" w:ascii="宋体" w:hAnsi="宋体" w:cs="宋体"/>
                <w:sz w:val="21"/>
                <w:szCs w:val="21"/>
              </w:rPr>
              <w:t>：第一档</w:t>
            </w:r>
            <w:r>
              <w:rPr>
                <w:rFonts w:hint="eastAsia" w:ascii="宋体" w:hAnsi="宋体" w:cs="宋体"/>
                <w:sz w:val="21"/>
                <w:szCs w:val="21"/>
                <w:lang w:val="en-US" w:eastAsia="zh-CN"/>
              </w:rPr>
              <w:t>8-6.5</w:t>
            </w:r>
            <w:r>
              <w:rPr>
                <w:rFonts w:hint="eastAsia" w:ascii="宋体" w:hAnsi="宋体" w:cs="宋体"/>
                <w:sz w:val="21"/>
                <w:szCs w:val="21"/>
              </w:rPr>
              <w:t>分，第二档</w:t>
            </w:r>
            <w:r>
              <w:rPr>
                <w:rFonts w:hint="eastAsia" w:ascii="宋体" w:hAnsi="宋体" w:cs="宋体"/>
                <w:sz w:val="21"/>
                <w:szCs w:val="21"/>
                <w:lang w:val="en-US" w:eastAsia="zh-CN"/>
              </w:rPr>
              <w:t>6.4-4.9</w:t>
            </w:r>
            <w:r>
              <w:rPr>
                <w:rFonts w:hint="eastAsia" w:ascii="宋体" w:hAnsi="宋体" w:cs="宋体"/>
                <w:sz w:val="21"/>
                <w:szCs w:val="21"/>
              </w:rPr>
              <w:t>分，第三档</w:t>
            </w:r>
            <w:r>
              <w:rPr>
                <w:rFonts w:hint="eastAsia" w:ascii="宋体" w:hAnsi="宋体" w:cs="宋体"/>
                <w:sz w:val="21"/>
                <w:szCs w:val="21"/>
                <w:lang w:val="en-US" w:eastAsia="zh-CN"/>
              </w:rPr>
              <w:t>4.8-3.3</w:t>
            </w:r>
            <w:r>
              <w:rPr>
                <w:rFonts w:hint="eastAsia" w:ascii="宋体" w:hAnsi="宋体" w:cs="宋体"/>
                <w:sz w:val="21"/>
                <w:szCs w:val="21"/>
              </w:rPr>
              <w:t>分</w:t>
            </w:r>
            <w:r>
              <w:rPr>
                <w:rFonts w:hint="eastAsia" w:ascii="宋体" w:hAnsi="宋体" w:cs="宋体"/>
                <w:sz w:val="21"/>
                <w:szCs w:val="21"/>
                <w:lang w:eastAsia="zh-CN"/>
              </w:rPr>
              <w:t>，</w:t>
            </w:r>
            <w:r>
              <w:rPr>
                <w:rFonts w:hint="eastAsia" w:ascii="宋体" w:hAnsi="宋体" w:cs="宋体"/>
                <w:sz w:val="21"/>
                <w:szCs w:val="21"/>
                <w:lang w:val="en-US" w:eastAsia="zh-CN"/>
              </w:rPr>
              <w:t>第四档3.2-1.7分，第五档1.6-0分</w:t>
            </w:r>
            <w:r>
              <w:rPr>
                <w:rFonts w:hint="eastAsia" w:ascii="宋体" w:hAnsi="宋体" w:cs="宋体"/>
                <w:sz w:val="21"/>
                <w:szCs w:val="21"/>
              </w:rPr>
              <w:t>。</w:t>
            </w:r>
          </w:p>
        </w:tc>
        <w:tc>
          <w:tcPr>
            <w:tcW w:w="6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217" w:type="dxa"/>
            <w:vMerge w:val="continue"/>
            <w:tcBorders>
              <w:left w:val="single" w:color="auto" w:sz="4" w:space="0"/>
              <w:right w:val="single" w:color="auto" w:sz="4" w:space="0"/>
            </w:tcBorders>
            <w:vAlign w:val="center"/>
          </w:tcPr>
          <w:p>
            <w:pPr>
              <w:widowControl/>
              <w:jc w:val="left"/>
              <w:rPr>
                <w:rFonts w:ascii="宋体" w:hAnsi="宋体" w:cs="宋体"/>
                <w:b/>
                <w:bCs/>
                <w:sz w:val="21"/>
                <w:szCs w:val="21"/>
              </w:rPr>
            </w:pPr>
          </w:p>
        </w:tc>
        <w:tc>
          <w:tcPr>
            <w:tcW w:w="754" w:type="dxa"/>
            <w:vMerge w:val="restart"/>
            <w:tcBorders>
              <w:top w:val="single" w:color="auto" w:sz="4" w:space="0"/>
              <w:left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性能指标</w:t>
            </w:r>
          </w:p>
        </w:tc>
        <w:tc>
          <w:tcPr>
            <w:tcW w:w="5929" w:type="dxa"/>
            <w:tcBorders>
              <w:top w:val="single" w:color="auto" w:sz="4" w:space="0"/>
              <w:left w:val="single" w:color="auto" w:sz="4" w:space="0"/>
              <w:bottom w:val="single" w:color="auto" w:sz="4" w:space="0"/>
              <w:right w:val="single" w:color="auto" w:sz="4" w:space="0"/>
            </w:tcBorders>
            <w:vAlign w:val="center"/>
          </w:tcPr>
          <w:p>
            <w:pPr>
              <w:rPr>
                <w:rFonts w:hint="eastAsia" w:eastAsia="宋体"/>
                <w:color w:val="auto"/>
                <w:sz w:val="21"/>
                <w:szCs w:val="21"/>
                <w:lang w:eastAsia="zh-CN"/>
              </w:rPr>
            </w:pPr>
            <w:r>
              <w:rPr>
                <w:rFonts w:hint="eastAsia"/>
                <w:color w:val="auto"/>
                <w:sz w:val="21"/>
                <w:szCs w:val="21"/>
                <w:lang w:val="en-US" w:eastAsia="zh-CN"/>
              </w:rPr>
              <w:t>对</w:t>
            </w:r>
            <w:r>
              <w:rPr>
                <w:rFonts w:hint="eastAsia"/>
                <w:color w:val="auto"/>
                <w:sz w:val="21"/>
                <w:szCs w:val="21"/>
              </w:rPr>
              <w:t>投标产品的性能指标及技术参数满足程度进行评分：满足要求的得满分，满分1</w:t>
            </w:r>
            <w:r>
              <w:rPr>
                <w:color w:val="auto"/>
                <w:sz w:val="21"/>
                <w:szCs w:val="21"/>
              </w:rPr>
              <w:t>8</w:t>
            </w:r>
            <w:r>
              <w:rPr>
                <w:rFonts w:hint="eastAsia"/>
                <w:color w:val="auto"/>
                <w:sz w:val="21"/>
                <w:szCs w:val="21"/>
              </w:rPr>
              <w:t>分。</w:t>
            </w:r>
            <w:r>
              <w:rPr>
                <w:rFonts w:hint="eastAsia"/>
                <w:color w:val="auto"/>
                <w:sz w:val="21"/>
                <w:szCs w:val="21"/>
                <w:lang w:eastAsia="zh-CN"/>
              </w:rPr>
              <w:t>“</w:t>
            </w:r>
            <w:r>
              <w:rPr>
                <w:rFonts w:hint="eastAsia"/>
                <w:color w:val="auto"/>
                <w:sz w:val="21"/>
                <w:szCs w:val="21"/>
              </w:rPr>
              <w:t>★</w:t>
            </w:r>
            <w:r>
              <w:rPr>
                <w:rFonts w:hint="eastAsia"/>
                <w:color w:val="auto"/>
                <w:sz w:val="21"/>
                <w:szCs w:val="21"/>
                <w:lang w:eastAsia="zh-CN"/>
              </w:rPr>
              <w:t>”</w:t>
            </w:r>
            <w:r>
              <w:rPr>
                <w:rFonts w:hint="eastAsia"/>
                <w:color w:val="auto"/>
                <w:sz w:val="21"/>
                <w:szCs w:val="21"/>
              </w:rPr>
              <w:t>每负偏离</w:t>
            </w:r>
            <w:r>
              <w:rPr>
                <w:rFonts w:hint="eastAsia"/>
                <w:color w:val="auto"/>
                <w:sz w:val="21"/>
                <w:szCs w:val="21"/>
                <w:lang w:val="en-US" w:eastAsia="zh-CN"/>
              </w:rPr>
              <w:t>一</w:t>
            </w:r>
            <w:r>
              <w:rPr>
                <w:rFonts w:hint="eastAsia"/>
                <w:color w:val="auto"/>
                <w:sz w:val="21"/>
                <w:szCs w:val="21"/>
              </w:rPr>
              <w:t>项扣</w:t>
            </w:r>
            <w:r>
              <w:rPr>
                <w:color w:val="auto"/>
                <w:sz w:val="21"/>
                <w:szCs w:val="21"/>
              </w:rPr>
              <w:t>2</w:t>
            </w:r>
            <w:r>
              <w:rPr>
                <w:rFonts w:hint="eastAsia"/>
                <w:color w:val="auto"/>
                <w:sz w:val="21"/>
                <w:szCs w:val="21"/>
              </w:rPr>
              <w:t>分，</w:t>
            </w:r>
            <w:r>
              <w:rPr>
                <w:rFonts w:hint="eastAsia"/>
                <w:color w:val="auto"/>
                <w:sz w:val="21"/>
                <w:szCs w:val="21"/>
                <w:lang w:val="en-US" w:eastAsia="zh-CN"/>
              </w:rPr>
              <w:t>普通项每负偏离一项扣1分</w:t>
            </w:r>
            <w:r>
              <w:rPr>
                <w:rFonts w:hint="eastAsia"/>
                <w:color w:val="auto"/>
                <w:sz w:val="21"/>
                <w:szCs w:val="21"/>
                <w:lang w:eastAsia="zh-CN"/>
              </w:rPr>
              <w:t>，</w:t>
            </w:r>
            <w:r>
              <w:rPr>
                <w:rFonts w:hint="eastAsia"/>
                <w:color w:val="auto"/>
                <w:sz w:val="21"/>
                <w:szCs w:val="21"/>
              </w:rPr>
              <w:t>扣完为止。</w:t>
            </w:r>
          </w:p>
        </w:tc>
        <w:tc>
          <w:tcPr>
            <w:tcW w:w="628" w:type="dxa"/>
            <w:tcBorders>
              <w:top w:val="single" w:color="auto" w:sz="4" w:space="0"/>
              <w:left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1</w:t>
            </w:r>
            <w:r>
              <w:rPr>
                <w:rFonts w:ascii="宋体" w:hAnsi="宋体" w:cs="宋体"/>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jc w:val="center"/>
        </w:trPr>
        <w:tc>
          <w:tcPr>
            <w:tcW w:w="1217" w:type="dxa"/>
            <w:vMerge w:val="continue"/>
            <w:tcBorders>
              <w:left w:val="single" w:color="auto" w:sz="4" w:space="0"/>
              <w:right w:val="single" w:color="auto" w:sz="4" w:space="0"/>
            </w:tcBorders>
            <w:vAlign w:val="center"/>
          </w:tcPr>
          <w:p>
            <w:pPr>
              <w:widowControl/>
              <w:jc w:val="left"/>
              <w:rPr>
                <w:rFonts w:ascii="宋体" w:hAnsi="宋体" w:cs="宋体"/>
                <w:b/>
                <w:bCs/>
                <w:sz w:val="21"/>
                <w:szCs w:val="21"/>
              </w:rPr>
            </w:pPr>
          </w:p>
        </w:tc>
        <w:tc>
          <w:tcPr>
            <w:tcW w:w="754" w:type="dxa"/>
            <w:vMerge w:val="continue"/>
            <w:tcBorders>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c>
          <w:tcPr>
            <w:tcW w:w="5929" w:type="dxa"/>
            <w:tcBorders>
              <w:top w:val="single" w:color="auto" w:sz="4" w:space="0"/>
              <w:left w:val="single" w:color="auto" w:sz="4" w:space="0"/>
              <w:bottom w:val="single" w:color="auto" w:sz="4" w:space="0"/>
              <w:right w:val="single" w:color="auto" w:sz="4" w:space="0"/>
            </w:tcBorders>
            <w:vAlign w:val="center"/>
          </w:tcPr>
          <w:p>
            <w:pPr>
              <w:pStyle w:val="28"/>
              <w:rPr>
                <w:color w:val="auto"/>
                <w:sz w:val="21"/>
                <w:szCs w:val="21"/>
              </w:rPr>
            </w:pPr>
            <w:r>
              <w:rPr>
                <w:rFonts w:hint="eastAsia" w:ascii="Times New Roman" w:hAnsi="Times New Roman" w:eastAsia="宋体" w:cs="Times New Roman"/>
                <w:color w:val="auto"/>
                <w:kern w:val="2"/>
                <w:sz w:val="21"/>
                <w:szCs w:val="21"/>
                <w:lang w:val="en-US" w:eastAsia="zh-CN"/>
              </w:rPr>
              <w:t>根据投标产品综合性能的优良及先进</w:t>
            </w:r>
            <w:r>
              <w:rPr>
                <w:rFonts w:hint="eastAsia" w:ascii="Times New Roman" w:hAnsi="Times New Roman" w:eastAsia="宋体" w:cs="Times New Roman"/>
                <w:color w:val="auto"/>
                <w:kern w:val="2"/>
                <w:sz w:val="21"/>
                <w:szCs w:val="21"/>
              </w:rPr>
              <w:t>程度</w:t>
            </w:r>
            <w:r>
              <w:rPr>
                <w:rFonts w:hint="eastAsia" w:ascii="Times New Roman" w:hAnsi="Times New Roman" w:eastAsia="宋体" w:cs="Times New Roman"/>
                <w:color w:val="auto"/>
                <w:kern w:val="2"/>
                <w:sz w:val="21"/>
                <w:szCs w:val="21"/>
                <w:lang w:val="en-US" w:eastAsia="zh-CN"/>
              </w:rPr>
              <w:t>进行评分</w:t>
            </w:r>
            <w:r>
              <w:rPr>
                <w:rFonts w:hint="eastAsia" w:ascii="Times New Roman" w:hAnsi="Times New Roman" w:eastAsia="宋体" w:cs="Times New Roman"/>
                <w:color w:val="auto"/>
                <w:kern w:val="2"/>
                <w:sz w:val="21"/>
                <w:szCs w:val="21"/>
              </w:rPr>
              <w:t>：</w:t>
            </w:r>
            <w:r>
              <w:rPr>
                <w:rFonts w:hint="eastAsia" w:ascii="Times New Roman" w:hAnsi="Times New Roman" w:eastAsia="宋体" w:cs="Times New Roman"/>
                <w:color w:val="auto"/>
                <w:kern w:val="2"/>
                <w:sz w:val="21"/>
                <w:szCs w:val="21"/>
                <w:lang w:val="en-US" w:eastAsia="zh-CN"/>
              </w:rPr>
              <w:t>第一档9-7.3分，第二档7.2-5.5分，第三档5.4-3.7分，第四档3.6-1.9分，第五档1.8-0分。</w:t>
            </w:r>
          </w:p>
        </w:tc>
        <w:tc>
          <w:tcPr>
            <w:tcW w:w="628" w:type="dxa"/>
            <w:tcBorders>
              <w:left w:val="single" w:color="auto" w:sz="4" w:space="0"/>
              <w:bottom w:val="single" w:color="auto" w:sz="4" w:space="0"/>
              <w:right w:val="single" w:color="auto" w:sz="4" w:space="0"/>
            </w:tcBorders>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217" w:type="dxa"/>
            <w:vMerge w:val="continue"/>
            <w:tcBorders>
              <w:left w:val="single" w:color="auto" w:sz="4" w:space="0"/>
              <w:right w:val="single" w:color="auto" w:sz="4" w:space="0"/>
            </w:tcBorders>
            <w:vAlign w:val="center"/>
          </w:tcPr>
          <w:p>
            <w:pPr>
              <w:widowControl/>
              <w:jc w:val="left"/>
              <w:rPr>
                <w:rFonts w:ascii="宋体" w:hAnsi="宋体" w:cs="宋体"/>
                <w:b/>
                <w:bCs/>
                <w:sz w:val="21"/>
                <w:szCs w:val="21"/>
              </w:rPr>
            </w:pPr>
          </w:p>
        </w:tc>
        <w:tc>
          <w:tcPr>
            <w:tcW w:w="754" w:type="dxa"/>
            <w:tcBorders>
              <w:top w:val="single" w:color="auto" w:sz="4" w:space="0"/>
              <w:left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产品品牌</w:t>
            </w:r>
          </w:p>
        </w:tc>
        <w:tc>
          <w:tcPr>
            <w:tcW w:w="5929" w:type="dxa"/>
            <w:tcBorders>
              <w:top w:val="single" w:color="auto" w:sz="4" w:space="0"/>
              <w:left w:val="single" w:color="auto" w:sz="4" w:space="0"/>
              <w:right w:val="single" w:color="auto" w:sz="4" w:space="0"/>
            </w:tcBorders>
            <w:vAlign w:val="center"/>
          </w:tcPr>
          <w:p>
            <w:pPr>
              <w:jc w:val="left"/>
              <w:rPr>
                <w:rFonts w:ascii="宋体" w:hAnsi="宋体" w:cs="宋体"/>
                <w:sz w:val="21"/>
                <w:szCs w:val="21"/>
              </w:rPr>
            </w:pPr>
            <w:r>
              <w:rPr>
                <w:rFonts w:hint="eastAsia" w:ascii="宋体" w:hAnsi="宋体" w:cs="宋体"/>
                <w:bCs/>
                <w:sz w:val="21"/>
                <w:szCs w:val="21"/>
              </w:rPr>
              <w:t>根据核心产品</w:t>
            </w:r>
            <w:r>
              <w:rPr>
                <w:rFonts w:hint="eastAsia" w:ascii="宋体" w:hAnsi="宋体" w:cs="宋体"/>
                <w:sz w:val="21"/>
                <w:szCs w:val="21"/>
                <w:lang w:val="en-US" w:eastAsia="zh-CN"/>
              </w:rPr>
              <w:t>的</w:t>
            </w:r>
            <w:r>
              <w:rPr>
                <w:rFonts w:hint="eastAsia" w:ascii="宋体" w:hAnsi="宋体" w:cs="宋体"/>
                <w:sz w:val="21"/>
                <w:szCs w:val="21"/>
              </w:rPr>
              <w:t>品牌知名度、</w:t>
            </w:r>
            <w:r>
              <w:rPr>
                <w:rFonts w:hint="eastAsia" w:ascii="宋体" w:hAnsi="宋体" w:cs="宋体"/>
                <w:color w:val="auto"/>
                <w:sz w:val="21"/>
                <w:szCs w:val="21"/>
              </w:rPr>
              <w:t>市场占有率（</w:t>
            </w:r>
            <w:r>
              <w:rPr>
                <w:rFonts w:ascii="宋体" w:hAnsi="宋体" w:cs="宋体"/>
                <w:color w:val="auto"/>
                <w:sz w:val="21"/>
                <w:szCs w:val="21"/>
              </w:rPr>
              <w:t>IDC</w:t>
            </w:r>
            <w:r>
              <w:rPr>
                <w:rFonts w:hint="eastAsia" w:ascii="宋体" w:hAnsi="宋体" w:cs="宋体"/>
                <w:color w:val="auto"/>
                <w:sz w:val="21"/>
                <w:szCs w:val="21"/>
              </w:rPr>
              <w:t>报告等证明材料）</w:t>
            </w:r>
            <w:r>
              <w:rPr>
                <w:rFonts w:hint="eastAsia" w:ascii="宋体" w:hAnsi="宋体" w:cs="宋体"/>
                <w:sz w:val="21"/>
                <w:szCs w:val="21"/>
              </w:rPr>
              <w:t>及信誉度、</w:t>
            </w:r>
            <w:r>
              <w:rPr>
                <w:rFonts w:hint="eastAsia" w:ascii="宋体" w:hAnsi="宋体" w:cs="宋体"/>
                <w:bCs/>
                <w:sz w:val="21"/>
                <w:szCs w:val="21"/>
              </w:rPr>
              <w:t>厂商服务能力等情况进行评分。</w:t>
            </w:r>
            <w:r>
              <w:rPr>
                <w:rFonts w:hint="eastAsia" w:ascii="宋体" w:hAnsi="宋体" w:cs="宋体"/>
                <w:sz w:val="21"/>
                <w:szCs w:val="21"/>
              </w:rPr>
              <w:t>第一档</w:t>
            </w:r>
            <w:r>
              <w:rPr>
                <w:rFonts w:hint="eastAsia" w:ascii="宋体" w:hAnsi="宋体" w:cs="宋体"/>
                <w:sz w:val="21"/>
                <w:szCs w:val="21"/>
                <w:lang w:val="en-US" w:eastAsia="zh-CN"/>
              </w:rPr>
              <w:t>5-4.1</w:t>
            </w:r>
            <w:r>
              <w:rPr>
                <w:rFonts w:hint="eastAsia" w:ascii="宋体" w:hAnsi="宋体" w:cs="宋体"/>
                <w:sz w:val="21"/>
                <w:szCs w:val="21"/>
              </w:rPr>
              <w:t>分，第二档</w:t>
            </w:r>
            <w:r>
              <w:rPr>
                <w:rFonts w:hint="eastAsia" w:ascii="宋体" w:hAnsi="宋体" w:cs="宋体"/>
                <w:sz w:val="21"/>
                <w:szCs w:val="21"/>
                <w:lang w:val="en-US" w:eastAsia="zh-CN"/>
              </w:rPr>
              <w:t>4-3.1</w:t>
            </w:r>
            <w:r>
              <w:rPr>
                <w:rFonts w:hint="eastAsia" w:ascii="宋体" w:hAnsi="宋体" w:cs="宋体"/>
                <w:sz w:val="21"/>
                <w:szCs w:val="21"/>
              </w:rPr>
              <w:t>分，第三档</w:t>
            </w:r>
            <w:r>
              <w:rPr>
                <w:rFonts w:hint="eastAsia" w:ascii="宋体" w:hAnsi="宋体" w:cs="宋体"/>
                <w:sz w:val="21"/>
                <w:szCs w:val="21"/>
                <w:lang w:val="en-US" w:eastAsia="zh-CN"/>
              </w:rPr>
              <w:t>3-2.1</w:t>
            </w:r>
            <w:r>
              <w:rPr>
                <w:rFonts w:hint="eastAsia" w:ascii="宋体" w:hAnsi="宋体" w:cs="宋体"/>
                <w:sz w:val="21"/>
                <w:szCs w:val="21"/>
              </w:rPr>
              <w:t>分</w:t>
            </w:r>
            <w:r>
              <w:rPr>
                <w:rFonts w:hint="eastAsia" w:ascii="宋体" w:hAnsi="宋体" w:cs="宋体"/>
                <w:sz w:val="21"/>
                <w:szCs w:val="21"/>
                <w:lang w:eastAsia="zh-CN"/>
              </w:rPr>
              <w:t>，</w:t>
            </w:r>
            <w:r>
              <w:rPr>
                <w:rFonts w:hint="eastAsia" w:ascii="宋体" w:hAnsi="宋体" w:cs="宋体"/>
                <w:sz w:val="21"/>
                <w:szCs w:val="21"/>
                <w:lang w:val="en-US" w:eastAsia="zh-CN"/>
              </w:rPr>
              <w:t>第四档2-1.1分，第五档1-0分</w:t>
            </w:r>
            <w:r>
              <w:rPr>
                <w:rFonts w:hint="eastAsia" w:ascii="宋体" w:hAnsi="宋体" w:cs="宋体"/>
                <w:sz w:val="21"/>
                <w:szCs w:val="21"/>
              </w:rPr>
              <w:t>。</w:t>
            </w:r>
          </w:p>
        </w:tc>
        <w:tc>
          <w:tcPr>
            <w:tcW w:w="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ascii="宋体" w:hAnsi="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217"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b/>
                <w:bCs/>
                <w:sz w:val="21"/>
                <w:szCs w:val="21"/>
              </w:rPr>
            </w:pPr>
            <w:r>
              <w:rPr>
                <w:rFonts w:hint="eastAsia" w:ascii="宋体" w:hAnsi="宋体" w:cs="宋体"/>
                <w:b/>
                <w:bCs/>
                <w:sz w:val="21"/>
                <w:szCs w:val="21"/>
              </w:rPr>
              <w:t>实力信誉及业绩</w:t>
            </w:r>
            <w:r>
              <w:rPr>
                <w:rFonts w:hint="eastAsia" w:ascii="宋体" w:hAnsi="宋体" w:cs="宋体"/>
                <w:b/>
                <w:bCs/>
                <w:sz w:val="21"/>
                <w:szCs w:val="21"/>
                <w:lang w:val="en-US" w:eastAsia="zh-CN"/>
              </w:rPr>
              <w:t>15</w:t>
            </w:r>
            <w:r>
              <w:rPr>
                <w:rFonts w:hint="eastAsia" w:ascii="宋体" w:hAnsi="宋体" w:cs="宋体"/>
                <w:b/>
                <w:bCs/>
                <w:sz w:val="21"/>
                <w:szCs w:val="21"/>
              </w:rPr>
              <w:t>分</w:t>
            </w:r>
          </w:p>
        </w:tc>
        <w:tc>
          <w:tcPr>
            <w:tcW w:w="754" w:type="dxa"/>
            <w:tcBorders>
              <w:top w:val="single" w:color="auto" w:sz="4" w:space="0"/>
              <w:left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资质</w:t>
            </w:r>
          </w:p>
        </w:tc>
        <w:tc>
          <w:tcPr>
            <w:tcW w:w="5929" w:type="dxa"/>
            <w:tcBorders>
              <w:top w:val="single" w:color="auto" w:sz="4" w:space="0"/>
              <w:left w:val="single" w:color="auto" w:sz="4" w:space="0"/>
              <w:right w:val="single" w:color="auto" w:sz="4" w:space="0"/>
            </w:tcBorders>
            <w:vAlign w:val="center"/>
          </w:tcPr>
          <w:p>
            <w:pPr>
              <w:jc w:val="left"/>
              <w:rPr>
                <w:rFonts w:ascii="宋体" w:hAnsi="宋体" w:cs="宋体"/>
                <w:color w:val="auto"/>
                <w:sz w:val="21"/>
                <w:szCs w:val="21"/>
              </w:rPr>
            </w:pPr>
            <w:r>
              <w:rPr>
                <w:rFonts w:hint="eastAsia" w:ascii="宋体"/>
                <w:color w:val="auto"/>
                <w:sz w:val="21"/>
                <w:szCs w:val="21"/>
                <w:lang w:val="en-US" w:eastAsia="zh-CN"/>
              </w:rPr>
              <w:t>根据</w:t>
            </w:r>
            <w:r>
              <w:rPr>
                <w:rFonts w:hint="eastAsia" w:ascii="宋体"/>
                <w:color w:val="auto"/>
                <w:sz w:val="21"/>
                <w:szCs w:val="21"/>
                <w:lang w:val="zh-CN"/>
              </w:rPr>
              <w:t>投标人企业认证、资质、质量管理等</w:t>
            </w:r>
            <w:r>
              <w:rPr>
                <w:rFonts w:hint="eastAsia" w:ascii="宋体"/>
                <w:color w:val="auto"/>
                <w:sz w:val="21"/>
                <w:szCs w:val="21"/>
                <w:lang w:val="en-US" w:eastAsia="zh-CN"/>
              </w:rPr>
              <w:t>情况评分</w:t>
            </w:r>
            <w:r>
              <w:rPr>
                <w:rFonts w:hint="eastAsia"/>
                <w:color w:val="auto"/>
                <w:sz w:val="21"/>
                <w:szCs w:val="21"/>
                <w:lang w:eastAsia="zh-CN"/>
              </w:rPr>
              <w:t>：</w:t>
            </w:r>
            <w:r>
              <w:rPr>
                <w:rFonts w:hint="eastAsia" w:ascii="宋体" w:hAnsi="宋体" w:cs="宋体"/>
                <w:color w:val="auto"/>
                <w:sz w:val="21"/>
                <w:szCs w:val="21"/>
              </w:rPr>
              <w:t>第一档3-2分；第二档，2-1分；第三档1-0分。</w:t>
            </w:r>
            <w:r>
              <w:rPr>
                <w:rFonts w:hint="eastAsia" w:ascii="宋体" w:hAnsi="宋体" w:cs="宋体"/>
                <w:color w:val="auto"/>
                <w:sz w:val="21"/>
                <w:szCs w:val="21"/>
                <w:lang w:eastAsia="zh-CN"/>
              </w:rPr>
              <w:t>（提供相关证明材料。）</w:t>
            </w:r>
          </w:p>
        </w:tc>
        <w:tc>
          <w:tcPr>
            <w:tcW w:w="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highlight w:val="lightGray"/>
              </w:rPr>
            </w:pPr>
            <w:r>
              <w:rPr>
                <w:rFonts w:ascii="宋体" w:hAnsi="宋体" w:cs="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217" w:type="dxa"/>
            <w:vMerge w:val="continue"/>
            <w:tcBorders>
              <w:left w:val="single" w:color="auto" w:sz="4" w:space="0"/>
              <w:right w:val="single" w:color="auto" w:sz="4" w:space="0"/>
            </w:tcBorders>
            <w:vAlign w:val="center"/>
          </w:tcPr>
          <w:p>
            <w:pPr>
              <w:widowControl/>
              <w:jc w:val="left"/>
              <w:rPr>
                <w:rFonts w:ascii="宋体" w:hAnsi="宋体" w:cs="宋体"/>
                <w:b/>
                <w:bCs/>
                <w:sz w:val="21"/>
                <w:szCs w:val="21"/>
              </w:rPr>
            </w:pP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b/>
                <w:bCs/>
                <w:sz w:val="21"/>
                <w:szCs w:val="21"/>
              </w:rPr>
            </w:pPr>
            <w:r>
              <w:rPr>
                <w:rFonts w:hint="eastAsia"/>
                <w:b/>
                <w:bCs/>
                <w:sz w:val="21"/>
                <w:szCs w:val="21"/>
              </w:rPr>
              <w:t>经营状况</w:t>
            </w:r>
          </w:p>
        </w:tc>
        <w:tc>
          <w:tcPr>
            <w:tcW w:w="5929"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color w:val="auto"/>
                <w:sz w:val="21"/>
                <w:szCs w:val="21"/>
                <w:lang w:eastAsia="zh-CN"/>
              </w:rPr>
            </w:pPr>
            <w:r>
              <w:rPr>
                <w:rFonts w:hint="eastAsia"/>
                <w:color w:val="auto"/>
                <w:sz w:val="21"/>
                <w:szCs w:val="21"/>
                <w:lang w:val="en-US" w:eastAsia="zh-CN"/>
              </w:rPr>
              <w:t>根据</w:t>
            </w:r>
            <w:r>
              <w:rPr>
                <w:rFonts w:hint="eastAsia"/>
                <w:color w:val="auto"/>
                <w:sz w:val="21"/>
                <w:szCs w:val="21"/>
              </w:rPr>
              <w:t>投标人财务经营状况</w:t>
            </w:r>
            <w:r>
              <w:rPr>
                <w:rFonts w:hint="eastAsia"/>
                <w:color w:val="auto"/>
                <w:sz w:val="21"/>
                <w:szCs w:val="21"/>
                <w:lang w:eastAsia="zh-CN"/>
              </w:rPr>
              <w:t>、</w:t>
            </w:r>
            <w:r>
              <w:rPr>
                <w:rFonts w:hint="eastAsia" w:ascii="宋体" w:hAnsi="宋体" w:eastAsia="宋体" w:cs="Times New Roman"/>
                <w:color w:val="auto"/>
                <w:kern w:val="2"/>
                <w:sz w:val="21"/>
                <w:szCs w:val="21"/>
              </w:rPr>
              <w:t>履约能力</w:t>
            </w:r>
            <w:r>
              <w:rPr>
                <w:rFonts w:hint="eastAsia" w:ascii="宋体" w:hAnsi="宋体" w:cs="Times New Roman"/>
                <w:color w:val="auto"/>
                <w:kern w:val="2"/>
                <w:sz w:val="21"/>
                <w:szCs w:val="21"/>
                <w:lang w:val="en-US" w:eastAsia="zh-CN"/>
              </w:rPr>
              <w:t>和</w:t>
            </w:r>
            <w:r>
              <w:rPr>
                <w:rFonts w:hint="eastAsia" w:ascii="宋体"/>
                <w:color w:val="auto"/>
                <w:szCs w:val="21"/>
                <w:lang w:val="zh-CN"/>
              </w:rPr>
              <w:t>信誉评价</w:t>
            </w:r>
            <w:r>
              <w:rPr>
                <w:rFonts w:hint="eastAsia" w:ascii="宋体" w:hAnsi="宋体" w:cs="Times New Roman"/>
                <w:color w:val="auto"/>
                <w:kern w:val="2"/>
                <w:sz w:val="21"/>
                <w:szCs w:val="21"/>
                <w:lang w:val="en-US" w:eastAsia="zh-CN"/>
              </w:rPr>
              <w:t>等</w:t>
            </w:r>
            <w:r>
              <w:rPr>
                <w:rFonts w:hint="eastAsia"/>
                <w:color w:val="auto"/>
                <w:sz w:val="21"/>
                <w:szCs w:val="21"/>
              </w:rPr>
              <w:t>综合评价。</w:t>
            </w:r>
          </w:p>
        </w:tc>
        <w:tc>
          <w:tcPr>
            <w:tcW w:w="6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217" w:type="dxa"/>
            <w:vMerge w:val="continue"/>
            <w:tcBorders>
              <w:left w:val="single" w:color="auto" w:sz="4" w:space="0"/>
              <w:right w:val="single" w:color="auto" w:sz="4" w:space="0"/>
            </w:tcBorders>
            <w:vAlign w:val="center"/>
          </w:tcPr>
          <w:p>
            <w:pPr>
              <w:widowControl/>
              <w:jc w:val="left"/>
              <w:rPr>
                <w:rFonts w:ascii="宋体" w:hAnsi="宋体" w:cs="宋体"/>
                <w:b/>
                <w:bCs/>
                <w:sz w:val="21"/>
                <w:szCs w:val="21"/>
              </w:rPr>
            </w:pP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项目组情况</w:t>
            </w:r>
          </w:p>
        </w:tc>
        <w:tc>
          <w:tcPr>
            <w:tcW w:w="5929" w:type="dxa"/>
            <w:tcBorders>
              <w:top w:val="single" w:color="auto" w:sz="4" w:space="0"/>
              <w:left w:val="single" w:color="auto" w:sz="4" w:space="0"/>
              <w:bottom w:val="single" w:color="auto" w:sz="4" w:space="0"/>
              <w:right w:val="single" w:color="auto" w:sz="4" w:space="0"/>
            </w:tcBorders>
            <w:vAlign w:val="center"/>
          </w:tcPr>
          <w:p>
            <w:pPr>
              <w:rPr>
                <w:color w:val="auto"/>
                <w:sz w:val="21"/>
                <w:szCs w:val="21"/>
              </w:rPr>
            </w:pPr>
            <w:r>
              <w:rPr>
                <w:rFonts w:hint="eastAsia"/>
                <w:color w:val="auto"/>
                <w:sz w:val="21"/>
                <w:szCs w:val="21"/>
              </w:rPr>
              <w:t>根据</w:t>
            </w:r>
            <w:r>
              <w:rPr>
                <w:rFonts w:hint="eastAsia"/>
                <w:color w:val="auto"/>
                <w:sz w:val="21"/>
                <w:szCs w:val="21"/>
                <w:lang w:val="en-US" w:eastAsia="zh-CN"/>
              </w:rPr>
              <w:t>为</w:t>
            </w:r>
            <w:r>
              <w:rPr>
                <w:rFonts w:hint="eastAsia"/>
                <w:color w:val="auto"/>
                <w:sz w:val="21"/>
                <w:szCs w:val="21"/>
              </w:rPr>
              <w:t>本项目配备的专业人员的数量、资质、技术能力、工作经验、分工等的合理性，以及拟担任本项目经理和技术负责人的专业资质、技术能力等进行综合评分</w:t>
            </w:r>
            <w:r>
              <w:rPr>
                <w:rFonts w:hint="eastAsia"/>
                <w:color w:val="auto"/>
                <w:sz w:val="21"/>
                <w:szCs w:val="21"/>
                <w:lang w:eastAsia="zh-CN"/>
              </w:rPr>
              <w:t>，</w:t>
            </w:r>
            <w:r>
              <w:rPr>
                <w:rFonts w:hint="eastAsia" w:ascii="宋体" w:hAnsi="宋体" w:cs="宋体"/>
                <w:color w:val="auto"/>
                <w:sz w:val="21"/>
                <w:szCs w:val="21"/>
              </w:rPr>
              <w:t>第一档</w:t>
            </w:r>
            <w:r>
              <w:rPr>
                <w:rFonts w:hint="eastAsia" w:ascii="宋体" w:hAnsi="宋体" w:cs="宋体"/>
                <w:color w:val="auto"/>
                <w:sz w:val="21"/>
                <w:szCs w:val="21"/>
                <w:lang w:val="en-US" w:eastAsia="zh-CN"/>
              </w:rPr>
              <w:t>5-4.1</w:t>
            </w:r>
            <w:r>
              <w:rPr>
                <w:rFonts w:hint="eastAsia" w:ascii="宋体" w:hAnsi="宋体" w:cs="宋体"/>
                <w:color w:val="auto"/>
                <w:sz w:val="21"/>
                <w:szCs w:val="21"/>
              </w:rPr>
              <w:t>分，第二档</w:t>
            </w:r>
            <w:r>
              <w:rPr>
                <w:rFonts w:hint="eastAsia" w:ascii="宋体" w:hAnsi="宋体" w:cs="宋体"/>
                <w:color w:val="auto"/>
                <w:sz w:val="21"/>
                <w:szCs w:val="21"/>
                <w:lang w:val="en-US" w:eastAsia="zh-CN"/>
              </w:rPr>
              <w:t>4-3.1</w:t>
            </w:r>
            <w:r>
              <w:rPr>
                <w:rFonts w:hint="eastAsia" w:ascii="宋体" w:hAnsi="宋体" w:cs="宋体"/>
                <w:color w:val="auto"/>
                <w:sz w:val="21"/>
                <w:szCs w:val="21"/>
              </w:rPr>
              <w:t>分，第三档</w:t>
            </w:r>
            <w:r>
              <w:rPr>
                <w:rFonts w:hint="eastAsia" w:ascii="宋体" w:hAnsi="宋体" w:cs="宋体"/>
                <w:color w:val="auto"/>
                <w:sz w:val="21"/>
                <w:szCs w:val="21"/>
                <w:lang w:val="en-US" w:eastAsia="zh-CN"/>
              </w:rPr>
              <w:t>3-2.1</w:t>
            </w:r>
            <w:r>
              <w:rPr>
                <w:rFonts w:hint="eastAsia" w:ascii="宋体" w:hAnsi="宋体" w:cs="宋体"/>
                <w:color w:val="auto"/>
                <w:sz w:val="21"/>
                <w:szCs w:val="21"/>
              </w:rPr>
              <w:t>分</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第四档2-1.1分，第五档1-0分</w:t>
            </w:r>
            <w:r>
              <w:rPr>
                <w:rFonts w:hint="eastAsia" w:ascii="宋体" w:hAnsi="宋体" w:cs="宋体"/>
                <w:color w:val="auto"/>
                <w:sz w:val="21"/>
                <w:szCs w:val="21"/>
              </w:rPr>
              <w:t>。</w:t>
            </w:r>
          </w:p>
          <w:p>
            <w:pPr>
              <w:pStyle w:val="2"/>
              <w:ind w:firstLine="0" w:firstLineChars="0"/>
              <w:rPr>
                <w:rFonts w:ascii="宋体" w:hAnsi="宋体" w:cs="宋体"/>
                <w:color w:val="auto"/>
                <w:sz w:val="21"/>
                <w:szCs w:val="21"/>
              </w:rPr>
            </w:pPr>
            <w:r>
              <w:rPr>
                <w:rFonts w:hint="eastAsia" w:ascii="宋体" w:hAnsi="宋体" w:cs="宋体"/>
                <w:color w:val="auto"/>
                <w:sz w:val="21"/>
                <w:szCs w:val="21"/>
              </w:rPr>
              <w:t>注：提供项目组人员的证书</w:t>
            </w:r>
            <w:r>
              <w:rPr>
                <w:rFonts w:hint="eastAsia" w:ascii="宋体" w:hAnsi="宋体" w:cs="宋体"/>
                <w:color w:val="auto"/>
                <w:sz w:val="21"/>
                <w:szCs w:val="21"/>
                <w:lang w:val="en-US" w:eastAsia="zh-CN"/>
              </w:rPr>
              <w:t>扫描件</w:t>
            </w:r>
            <w:r>
              <w:rPr>
                <w:rFonts w:hint="eastAsia" w:ascii="宋体" w:hAnsi="宋体" w:cs="宋体"/>
                <w:strike w:val="0"/>
                <w:dstrike w:val="0"/>
                <w:color w:val="auto"/>
                <w:sz w:val="21"/>
                <w:szCs w:val="21"/>
                <w:lang w:val="en-US" w:eastAsia="zh-CN"/>
              </w:rPr>
              <w:t>及</w:t>
            </w:r>
            <w:r>
              <w:rPr>
                <w:rFonts w:hint="eastAsia" w:ascii="宋体" w:hAnsi="宋体" w:cs="宋体"/>
                <w:color w:val="auto"/>
                <w:sz w:val="21"/>
                <w:szCs w:val="21"/>
              </w:rPr>
              <w:t>对应人员近6个月的社保证明。</w:t>
            </w:r>
          </w:p>
        </w:tc>
        <w:tc>
          <w:tcPr>
            <w:tcW w:w="6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lightGray"/>
                <w:lang w:eastAsia="zh-CN"/>
              </w:rPr>
            </w:pPr>
            <w:r>
              <w:rPr>
                <w:rFonts w:hint="eastAsia" w:ascii="宋体" w:hAnsi="宋体" w:cs="宋体"/>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12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bCs/>
                <w:sz w:val="21"/>
                <w:szCs w:val="21"/>
              </w:rPr>
            </w:pPr>
          </w:p>
        </w:tc>
        <w:tc>
          <w:tcPr>
            <w:tcW w:w="754" w:type="dxa"/>
            <w:tcBorders>
              <w:top w:val="single" w:color="auto" w:sz="4" w:space="0"/>
              <w:left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项目案例</w:t>
            </w:r>
          </w:p>
        </w:tc>
        <w:tc>
          <w:tcPr>
            <w:tcW w:w="5929" w:type="dxa"/>
            <w:tcBorders>
              <w:top w:val="single" w:color="auto" w:sz="4" w:space="0"/>
              <w:left w:val="single" w:color="auto" w:sz="4" w:space="0"/>
              <w:right w:val="single" w:color="auto" w:sz="4" w:space="0"/>
            </w:tcBorders>
            <w:vAlign w:val="center"/>
          </w:tcPr>
          <w:p>
            <w:pPr>
              <w:jc w:val="left"/>
              <w:rPr>
                <w:sz w:val="21"/>
                <w:szCs w:val="21"/>
              </w:rPr>
            </w:pPr>
            <w:r>
              <w:rPr>
                <w:rFonts w:hint="eastAsia"/>
                <w:sz w:val="21"/>
                <w:szCs w:val="21"/>
              </w:rPr>
              <w:t>投标人自2017年</w:t>
            </w:r>
            <w:r>
              <w:rPr>
                <w:rFonts w:hint="eastAsia"/>
                <w:sz w:val="21"/>
                <w:szCs w:val="21"/>
                <w:lang w:val="en-US" w:eastAsia="zh-CN"/>
              </w:rPr>
              <w:t>11</w:t>
            </w:r>
            <w:r>
              <w:rPr>
                <w:rFonts w:hint="eastAsia"/>
                <w:sz w:val="21"/>
                <w:szCs w:val="21"/>
              </w:rPr>
              <w:t>月以来类似项目的成功案例，提供合同扫描件和验收报告（以签订时间为准），</w:t>
            </w:r>
            <w:r>
              <w:rPr>
                <w:rFonts w:hint="eastAsia"/>
                <w:sz w:val="21"/>
                <w:szCs w:val="21"/>
                <w:lang w:val="en-US" w:eastAsia="zh-CN"/>
              </w:rPr>
              <w:t>根据类似程度</w:t>
            </w:r>
            <w:r>
              <w:rPr>
                <w:rFonts w:hint="eastAsia"/>
                <w:sz w:val="21"/>
                <w:szCs w:val="21"/>
              </w:rPr>
              <w:t>每个得</w:t>
            </w:r>
            <w:r>
              <w:rPr>
                <w:sz w:val="21"/>
                <w:szCs w:val="21"/>
              </w:rPr>
              <w:t>1</w:t>
            </w:r>
            <w:r>
              <w:rPr>
                <w:rFonts w:hint="eastAsia"/>
                <w:sz w:val="21"/>
                <w:szCs w:val="21"/>
                <w:lang w:val="en-US" w:eastAsia="zh-CN"/>
              </w:rPr>
              <w:t>-0</w:t>
            </w:r>
            <w:r>
              <w:rPr>
                <w:rFonts w:hint="eastAsia"/>
                <w:sz w:val="21"/>
                <w:szCs w:val="21"/>
              </w:rPr>
              <w:t>分，最高</w:t>
            </w:r>
            <w:r>
              <w:rPr>
                <w:rFonts w:hint="eastAsia"/>
                <w:sz w:val="21"/>
                <w:szCs w:val="21"/>
                <w:lang w:val="en-US" w:eastAsia="zh-CN"/>
              </w:rPr>
              <w:t>5</w:t>
            </w:r>
            <w:r>
              <w:rPr>
                <w:rFonts w:hint="eastAsia"/>
                <w:sz w:val="21"/>
                <w:szCs w:val="21"/>
              </w:rPr>
              <w:t>分。</w:t>
            </w:r>
          </w:p>
        </w:tc>
        <w:tc>
          <w:tcPr>
            <w:tcW w:w="6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1217" w:type="dxa"/>
            <w:vMerge w:val="restart"/>
            <w:tcBorders>
              <w:left w:val="single" w:color="auto" w:sz="4" w:space="0"/>
              <w:right w:val="single" w:color="auto" w:sz="4" w:space="0"/>
            </w:tcBorders>
            <w:vAlign w:val="center"/>
          </w:tcPr>
          <w:p>
            <w:pPr>
              <w:widowControl/>
              <w:jc w:val="left"/>
              <w:rPr>
                <w:rFonts w:ascii="宋体" w:hAnsi="宋体" w:cs="宋体"/>
                <w:b/>
                <w:bCs/>
                <w:sz w:val="21"/>
                <w:szCs w:val="21"/>
              </w:rPr>
            </w:pPr>
            <w:r>
              <w:rPr>
                <w:rFonts w:hint="eastAsia" w:ascii="宋体" w:hAnsi="宋体" w:cs="宋体"/>
                <w:b/>
                <w:bCs/>
                <w:sz w:val="21"/>
                <w:szCs w:val="21"/>
              </w:rPr>
              <w:t>售后服务</w:t>
            </w:r>
            <w:r>
              <w:rPr>
                <w:rFonts w:hint="eastAsia" w:ascii="宋体" w:hAnsi="宋体" w:cs="宋体"/>
                <w:b/>
                <w:bCs/>
                <w:sz w:val="21"/>
                <w:szCs w:val="21"/>
                <w:lang w:val="en-US" w:eastAsia="zh-CN"/>
              </w:rPr>
              <w:t>13</w:t>
            </w:r>
            <w:r>
              <w:rPr>
                <w:rFonts w:hint="eastAsia" w:ascii="宋体" w:hAnsi="宋体" w:cs="宋体"/>
                <w:b/>
                <w:bCs/>
                <w:sz w:val="21"/>
                <w:szCs w:val="21"/>
              </w:rPr>
              <w:t>分</w:t>
            </w:r>
          </w:p>
        </w:tc>
        <w:tc>
          <w:tcPr>
            <w:tcW w:w="6683" w:type="dxa"/>
            <w:gridSpan w:val="2"/>
            <w:tcBorders>
              <w:top w:val="single" w:color="auto" w:sz="4" w:space="0"/>
              <w:left w:val="single" w:color="auto" w:sz="4" w:space="0"/>
              <w:right w:val="single" w:color="auto" w:sz="4" w:space="0"/>
            </w:tcBorders>
            <w:vAlign w:val="center"/>
          </w:tcPr>
          <w:p>
            <w:pPr>
              <w:jc w:val="left"/>
              <w:rPr>
                <w:color w:val="auto"/>
                <w:sz w:val="21"/>
                <w:szCs w:val="21"/>
              </w:rPr>
            </w:pPr>
            <w:r>
              <w:rPr>
                <w:rFonts w:hint="eastAsia" w:ascii="宋体" w:hAnsi="宋体"/>
                <w:color w:val="auto"/>
                <w:szCs w:val="21"/>
                <w:lang w:val="en-US" w:eastAsia="zh-CN"/>
              </w:rPr>
              <w:t>根据</w:t>
            </w:r>
            <w:r>
              <w:rPr>
                <w:rFonts w:hint="eastAsia" w:ascii="宋体" w:hAnsi="宋体"/>
                <w:color w:val="auto"/>
                <w:szCs w:val="21"/>
              </w:rPr>
              <w:t>售后服务方案（包括定期巡检，保修范围，服务标准，服务力量，人员配备，7*24小时服务热线，故障响应修复时间方式及保障措施等）</w:t>
            </w:r>
            <w:r>
              <w:rPr>
                <w:rFonts w:hint="eastAsia" w:ascii="宋体" w:hAnsi="宋体"/>
                <w:color w:val="auto"/>
                <w:szCs w:val="21"/>
                <w:lang w:val="en-US" w:eastAsia="zh-CN"/>
              </w:rPr>
              <w:t>进行评分</w:t>
            </w:r>
            <w:r>
              <w:rPr>
                <w:rFonts w:hint="eastAsia" w:ascii="宋体" w:hAnsi="宋体"/>
                <w:color w:val="auto"/>
                <w:szCs w:val="21"/>
                <w:lang w:eastAsia="zh-CN"/>
              </w:rPr>
              <w:t>：</w:t>
            </w:r>
            <w:r>
              <w:rPr>
                <w:rFonts w:hint="eastAsia" w:ascii="宋体" w:hAnsi="宋体" w:cs="宋体"/>
                <w:color w:val="auto"/>
                <w:sz w:val="21"/>
                <w:szCs w:val="21"/>
              </w:rPr>
              <w:t>第一档</w:t>
            </w:r>
            <w:r>
              <w:rPr>
                <w:rFonts w:hint="eastAsia" w:ascii="宋体" w:hAnsi="宋体" w:cs="宋体"/>
                <w:color w:val="auto"/>
                <w:sz w:val="21"/>
                <w:szCs w:val="21"/>
                <w:lang w:val="en-US" w:eastAsia="zh-CN"/>
              </w:rPr>
              <w:t>5-4.1</w:t>
            </w:r>
            <w:r>
              <w:rPr>
                <w:rFonts w:hint="eastAsia" w:ascii="宋体" w:hAnsi="宋体" w:cs="宋体"/>
                <w:color w:val="auto"/>
                <w:sz w:val="21"/>
                <w:szCs w:val="21"/>
              </w:rPr>
              <w:t>分，第二档</w:t>
            </w:r>
            <w:r>
              <w:rPr>
                <w:rFonts w:hint="eastAsia" w:ascii="宋体" w:hAnsi="宋体" w:cs="宋体"/>
                <w:color w:val="auto"/>
                <w:sz w:val="21"/>
                <w:szCs w:val="21"/>
                <w:lang w:val="en-US" w:eastAsia="zh-CN"/>
              </w:rPr>
              <w:t>4-3.1</w:t>
            </w:r>
            <w:r>
              <w:rPr>
                <w:rFonts w:hint="eastAsia" w:ascii="宋体" w:hAnsi="宋体" w:cs="宋体"/>
                <w:color w:val="auto"/>
                <w:sz w:val="21"/>
                <w:szCs w:val="21"/>
              </w:rPr>
              <w:t>分，第三档</w:t>
            </w:r>
            <w:r>
              <w:rPr>
                <w:rFonts w:hint="eastAsia" w:ascii="宋体" w:hAnsi="宋体" w:cs="宋体"/>
                <w:color w:val="auto"/>
                <w:sz w:val="21"/>
                <w:szCs w:val="21"/>
                <w:lang w:val="en-US" w:eastAsia="zh-CN"/>
              </w:rPr>
              <w:t>3-2.1</w:t>
            </w:r>
            <w:r>
              <w:rPr>
                <w:rFonts w:hint="eastAsia" w:ascii="宋体" w:hAnsi="宋体" w:cs="宋体"/>
                <w:color w:val="auto"/>
                <w:sz w:val="21"/>
                <w:szCs w:val="21"/>
              </w:rPr>
              <w:t>分</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第四档2-1.1分，第五档1-0分</w:t>
            </w:r>
            <w:r>
              <w:rPr>
                <w:rFonts w:hint="eastAsia" w:ascii="宋体" w:hAnsi="宋体" w:cs="宋体"/>
                <w:color w:val="auto"/>
                <w:sz w:val="21"/>
                <w:szCs w:val="21"/>
              </w:rPr>
              <w:t>。</w:t>
            </w:r>
          </w:p>
        </w:tc>
        <w:tc>
          <w:tcPr>
            <w:tcW w:w="6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217" w:type="dxa"/>
            <w:vMerge w:val="continue"/>
            <w:tcBorders>
              <w:left w:val="single" w:color="auto" w:sz="4" w:space="0"/>
              <w:right w:val="single" w:color="auto" w:sz="4" w:space="0"/>
            </w:tcBorders>
            <w:vAlign w:val="center"/>
          </w:tcPr>
          <w:p>
            <w:pPr>
              <w:widowControl/>
              <w:jc w:val="left"/>
              <w:rPr>
                <w:rFonts w:ascii="宋体" w:hAnsi="宋体" w:cs="宋体"/>
                <w:b/>
                <w:bCs/>
                <w:sz w:val="21"/>
                <w:szCs w:val="21"/>
              </w:rPr>
            </w:pPr>
          </w:p>
        </w:tc>
        <w:tc>
          <w:tcPr>
            <w:tcW w:w="6683" w:type="dxa"/>
            <w:gridSpan w:val="2"/>
            <w:tcBorders>
              <w:top w:val="single" w:color="auto" w:sz="4" w:space="0"/>
              <w:left w:val="single" w:color="auto" w:sz="4" w:space="0"/>
              <w:right w:val="single" w:color="auto" w:sz="4" w:space="0"/>
            </w:tcBorders>
            <w:vAlign w:val="center"/>
          </w:tcPr>
          <w:p>
            <w:pPr>
              <w:jc w:val="left"/>
              <w:rPr>
                <w:rFonts w:hint="eastAsia" w:eastAsia="宋体"/>
                <w:color w:val="auto"/>
                <w:sz w:val="21"/>
                <w:szCs w:val="21"/>
                <w:lang w:eastAsia="zh-CN"/>
              </w:rPr>
            </w:pPr>
            <w:r>
              <w:rPr>
                <w:rFonts w:hint="eastAsia"/>
                <w:color w:val="auto"/>
                <w:sz w:val="21"/>
                <w:szCs w:val="21"/>
              </w:rPr>
              <w:t>根据驻点运维人员</w:t>
            </w:r>
            <w:r>
              <w:rPr>
                <w:rFonts w:hint="eastAsia"/>
                <w:color w:val="auto"/>
                <w:sz w:val="21"/>
                <w:szCs w:val="21"/>
                <w:lang w:val="en-US" w:eastAsia="zh-CN"/>
              </w:rPr>
              <w:t>的</w:t>
            </w:r>
            <w:r>
              <w:rPr>
                <w:rFonts w:hint="eastAsia"/>
                <w:color w:val="auto"/>
                <w:sz w:val="21"/>
                <w:szCs w:val="21"/>
              </w:rPr>
              <w:t>数量、经验、资质等</w:t>
            </w:r>
            <w:r>
              <w:rPr>
                <w:rFonts w:hint="eastAsia"/>
                <w:color w:val="auto"/>
                <w:sz w:val="21"/>
                <w:szCs w:val="21"/>
                <w:lang w:val="en-US" w:eastAsia="zh-CN"/>
              </w:rPr>
              <w:t>情况进行</w:t>
            </w:r>
            <w:r>
              <w:rPr>
                <w:rFonts w:hint="eastAsia"/>
                <w:color w:val="auto"/>
                <w:sz w:val="21"/>
                <w:szCs w:val="21"/>
              </w:rPr>
              <w:t>综合</w:t>
            </w:r>
            <w:r>
              <w:rPr>
                <w:rFonts w:hint="eastAsia"/>
                <w:strike w:val="0"/>
                <w:dstrike w:val="0"/>
                <w:color w:val="auto"/>
                <w:sz w:val="21"/>
                <w:szCs w:val="21"/>
                <w:lang w:val="en-US" w:eastAsia="zh-CN"/>
              </w:rPr>
              <w:t>评分：</w:t>
            </w:r>
            <w:r>
              <w:rPr>
                <w:rFonts w:hint="eastAsia" w:ascii="宋体" w:hAnsi="宋体" w:cs="宋体"/>
                <w:color w:val="auto"/>
                <w:sz w:val="21"/>
                <w:szCs w:val="21"/>
              </w:rPr>
              <w:t>第一档3-2分；第二档，2-1分；第三档1-0分。</w:t>
            </w:r>
            <w:r>
              <w:rPr>
                <w:rFonts w:hint="eastAsia" w:ascii="宋体" w:hAnsi="宋体" w:cs="宋体"/>
                <w:color w:val="auto"/>
                <w:sz w:val="21"/>
                <w:szCs w:val="21"/>
                <w:lang w:eastAsia="zh-CN"/>
              </w:rPr>
              <w:t>（提供相关证明材料。）</w:t>
            </w:r>
          </w:p>
        </w:tc>
        <w:tc>
          <w:tcPr>
            <w:tcW w:w="62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jc w:val="center"/>
        </w:trPr>
        <w:tc>
          <w:tcPr>
            <w:tcW w:w="12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bCs/>
                <w:sz w:val="21"/>
                <w:szCs w:val="21"/>
              </w:rPr>
            </w:pPr>
          </w:p>
        </w:tc>
        <w:tc>
          <w:tcPr>
            <w:tcW w:w="6683" w:type="dxa"/>
            <w:gridSpan w:val="2"/>
            <w:tcBorders>
              <w:top w:val="single" w:color="auto" w:sz="4" w:space="0"/>
              <w:left w:val="single" w:color="auto" w:sz="4" w:space="0"/>
              <w:right w:val="single" w:color="auto" w:sz="4" w:space="0"/>
            </w:tcBorders>
            <w:vAlign w:val="center"/>
          </w:tcPr>
          <w:p>
            <w:pPr>
              <w:jc w:val="left"/>
              <w:rPr>
                <w:rFonts w:hint="default" w:ascii="宋体" w:hAnsi="宋体" w:cs="宋体"/>
                <w:kern w:val="0"/>
                <w:sz w:val="21"/>
                <w:szCs w:val="21"/>
                <w:lang w:val="en-US" w:eastAsia="zh-CN"/>
              </w:rPr>
            </w:pPr>
            <w:r>
              <w:rPr>
                <w:rFonts w:hint="eastAsia" w:ascii="宋体" w:hAnsi="宋体" w:cs="宋体"/>
                <w:kern w:val="0"/>
                <w:sz w:val="21"/>
                <w:szCs w:val="21"/>
                <w:lang w:val="en-US" w:eastAsia="zh-CN"/>
              </w:rPr>
              <w:t>提供完备的培训方案。</w:t>
            </w:r>
          </w:p>
        </w:tc>
        <w:tc>
          <w:tcPr>
            <w:tcW w:w="62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12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bCs/>
                <w:sz w:val="21"/>
                <w:szCs w:val="21"/>
              </w:rPr>
            </w:pPr>
          </w:p>
        </w:tc>
        <w:tc>
          <w:tcPr>
            <w:tcW w:w="6683" w:type="dxa"/>
            <w:gridSpan w:val="2"/>
            <w:tcBorders>
              <w:top w:val="single" w:color="auto" w:sz="4" w:space="0"/>
              <w:left w:val="single" w:color="auto" w:sz="4" w:space="0"/>
              <w:right w:val="single" w:color="auto" w:sz="4" w:space="0"/>
            </w:tcBorders>
            <w:vAlign w:val="center"/>
          </w:tcPr>
          <w:p>
            <w:pPr>
              <w:jc w:val="left"/>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备品备件，明确存放方式。</w:t>
            </w:r>
          </w:p>
        </w:tc>
        <w:tc>
          <w:tcPr>
            <w:tcW w:w="6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12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bCs/>
                <w:sz w:val="21"/>
                <w:szCs w:val="21"/>
              </w:rPr>
            </w:pPr>
          </w:p>
        </w:tc>
        <w:tc>
          <w:tcPr>
            <w:tcW w:w="6683" w:type="dxa"/>
            <w:gridSpan w:val="2"/>
            <w:tcBorders>
              <w:top w:val="single" w:color="auto" w:sz="4" w:space="0"/>
              <w:left w:val="single" w:color="auto" w:sz="4" w:space="0"/>
              <w:right w:val="single" w:color="auto" w:sz="4" w:space="0"/>
            </w:tcBorders>
            <w:vAlign w:val="center"/>
          </w:tcPr>
          <w:p>
            <w:pPr>
              <w:jc w:val="left"/>
              <w:rPr>
                <w:sz w:val="21"/>
                <w:szCs w:val="21"/>
              </w:rPr>
            </w:pPr>
            <w:r>
              <w:rPr>
                <w:rFonts w:hint="eastAsia" w:ascii="宋体" w:hAnsi="宋体" w:cs="宋体"/>
                <w:kern w:val="0"/>
                <w:sz w:val="21"/>
                <w:szCs w:val="21"/>
              </w:rPr>
              <w:t>根据</w:t>
            </w:r>
            <w:r>
              <w:rPr>
                <w:rFonts w:hint="eastAsia" w:ascii="宋体" w:hAnsi="宋体" w:cs="宋体"/>
                <w:sz w:val="21"/>
                <w:szCs w:val="21"/>
              </w:rPr>
              <w:t>本地化服务能力及可行性</w:t>
            </w:r>
            <w:r>
              <w:rPr>
                <w:rFonts w:hint="eastAsia" w:ascii="宋体" w:hAnsi="宋体" w:cs="宋体"/>
                <w:kern w:val="0"/>
                <w:sz w:val="21"/>
                <w:szCs w:val="21"/>
              </w:rPr>
              <w:t>进行</w:t>
            </w:r>
            <w:r>
              <w:rPr>
                <w:rFonts w:hint="eastAsia" w:ascii="宋体" w:hAnsi="宋体" w:cs="宋体"/>
                <w:color w:val="auto"/>
                <w:kern w:val="0"/>
                <w:sz w:val="21"/>
                <w:szCs w:val="21"/>
              </w:rPr>
              <w:t>打分</w:t>
            </w:r>
            <w:r>
              <w:rPr>
                <w:rFonts w:hint="eastAsia" w:ascii="宋体" w:hAnsi="宋体" w:cs="宋体"/>
                <w:color w:val="auto"/>
                <w:kern w:val="0"/>
                <w:sz w:val="21"/>
                <w:szCs w:val="21"/>
                <w:lang w:eastAsia="zh-CN"/>
              </w:rPr>
              <w:t>：</w:t>
            </w:r>
            <w:r>
              <w:rPr>
                <w:rFonts w:hint="eastAsia" w:ascii="宋体" w:hAnsi="宋体" w:cs="宋体"/>
                <w:color w:val="auto"/>
                <w:sz w:val="21"/>
                <w:szCs w:val="21"/>
              </w:rPr>
              <w:t>第一档3-2分；第二档，2-1分；第三档1-0分。</w:t>
            </w:r>
          </w:p>
        </w:tc>
        <w:tc>
          <w:tcPr>
            <w:tcW w:w="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sz w:val="21"/>
                <w:szCs w:val="21"/>
              </w:rPr>
            </w:pPr>
            <w:r>
              <w:rPr>
                <w:rFonts w:hint="eastAsia" w:ascii="宋体" w:hAnsi="宋体" w:cs="宋体"/>
                <w:b/>
                <w:bCs/>
                <w:sz w:val="21"/>
                <w:szCs w:val="21"/>
              </w:rPr>
              <w:t>对招标文件响应程度2分</w:t>
            </w:r>
          </w:p>
        </w:tc>
        <w:tc>
          <w:tcPr>
            <w:tcW w:w="6683"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1"/>
                <w:szCs w:val="21"/>
              </w:rPr>
            </w:pPr>
            <w:r>
              <w:rPr>
                <w:rFonts w:hint="eastAsia" w:ascii="宋体" w:hAnsi="宋体" w:eastAsia="宋体" w:cs="宋体"/>
                <w:color w:val="auto"/>
                <w:sz w:val="21"/>
                <w:szCs w:val="21"/>
              </w:rPr>
              <w:t>根据电子投标文件的内容、结构等情况与招标文件的要求比对，酌情打分。</w:t>
            </w:r>
          </w:p>
        </w:tc>
        <w:tc>
          <w:tcPr>
            <w:tcW w:w="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sz w:val="21"/>
                <w:szCs w:val="21"/>
              </w:rPr>
            </w:pPr>
            <w:r>
              <w:rPr>
                <w:rFonts w:hint="eastAsia" w:ascii="宋体" w:hAnsi="宋体" w:cs="宋体"/>
                <w:b/>
                <w:bCs/>
                <w:sz w:val="21"/>
                <w:szCs w:val="21"/>
              </w:rPr>
              <w:t>价格</w:t>
            </w:r>
            <w:r>
              <w:rPr>
                <w:rFonts w:ascii="宋体" w:hAnsi="宋体" w:cs="宋体"/>
                <w:b/>
                <w:bCs/>
                <w:sz w:val="21"/>
                <w:szCs w:val="21"/>
              </w:rPr>
              <w:t>3</w:t>
            </w:r>
            <w:r>
              <w:rPr>
                <w:rFonts w:hint="eastAsia" w:ascii="宋体" w:hAnsi="宋体" w:cs="宋体"/>
                <w:b/>
                <w:bCs/>
                <w:sz w:val="21"/>
                <w:szCs w:val="21"/>
              </w:rPr>
              <w:t>0分</w:t>
            </w:r>
          </w:p>
        </w:tc>
        <w:tc>
          <w:tcPr>
            <w:tcW w:w="6683"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1"/>
                <w:szCs w:val="21"/>
              </w:rPr>
            </w:pPr>
            <w:r>
              <w:rPr>
                <w:rFonts w:hint="eastAsia" w:ascii="宋体" w:hAnsi="宋体" w:cs="宋体"/>
                <w:color w:val="auto"/>
                <w:sz w:val="21"/>
                <w:szCs w:val="21"/>
              </w:rPr>
              <w:t>以投标合格供应商有效投标总报价中的最低价为基准价，基准价为</w:t>
            </w:r>
            <w:r>
              <w:rPr>
                <w:rFonts w:hint="eastAsia" w:ascii="宋体" w:hAnsi="宋体" w:cs="宋体"/>
                <w:color w:val="auto"/>
                <w:sz w:val="21"/>
                <w:szCs w:val="21"/>
                <w:lang w:val="en-US" w:eastAsia="zh-CN"/>
              </w:rPr>
              <w:t>30</w:t>
            </w:r>
            <w:r>
              <w:rPr>
                <w:rFonts w:hint="eastAsia" w:ascii="宋体" w:hAnsi="宋体" w:cs="宋体"/>
                <w:color w:val="auto"/>
                <w:sz w:val="21"/>
                <w:szCs w:val="21"/>
              </w:rPr>
              <w:t>分。投标报价得分＝（评标基准价/最终投标报价）</w:t>
            </w:r>
            <w:r>
              <w:rPr>
                <w:rFonts w:hint="eastAsia" w:ascii="宋体" w:hAnsi="宋体" w:cs="宋体"/>
                <w:bCs/>
                <w:color w:val="auto"/>
                <w:sz w:val="21"/>
                <w:szCs w:val="21"/>
              </w:rPr>
              <w:t>×</w:t>
            </w:r>
            <w:r>
              <w:rPr>
                <w:rFonts w:hint="eastAsia" w:ascii="宋体" w:hAnsi="宋体" w:cs="宋体"/>
                <w:color w:val="auto"/>
                <w:kern w:val="0"/>
                <w:sz w:val="21"/>
                <w:szCs w:val="21"/>
                <w:lang w:val="en-US" w:eastAsia="zh-CN"/>
              </w:rPr>
              <w:t>30</w:t>
            </w:r>
            <w:r>
              <w:rPr>
                <w:rFonts w:hint="eastAsia" w:ascii="宋体" w:hAnsi="宋体" w:cs="宋体"/>
                <w:color w:val="auto"/>
                <w:kern w:val="0"/>
                <w:sz w:val="21"/>
                <w:szCs w:val="21"/>
              </w:rPr>
              <w:t>%</w:t>
            </w:r>
            <w:r>
              <w:rPr>
                <w:rFonts w:hint="eastAsia" w:ascii="宋体" w:hAnsi="宋体" w:cs="宋体"/>
                <w:bCs/>
                <w:color w:val="auto"/>
                <w:sz w:val="21"/>
                <w:szCs w:val="21"/>
              </w:rPr>
              <w:t>×</w:t>
            </w:r>
            <w:r>
              <w:rPr>
                <w:rFonts w:hint="eastAsia" w:ascii="宋体" w:hAnsi="宋体" w:cs="宋体"/>
                <w:color w:val="auto"/>
                <w:kern w:val="0"/>
                <w:sz w:val="21"/>
                <w:szCs w:val="21"/>
              </w:rPr>
              <w:t>100</w:t>
            </w:r>
            <w:r>
              <w:rPr>
                <w:rFonts w:hint="eastAsia" w:asciiTheme="minorEastAsia" w:hAnsiTheme="minorEastAsia" w:eastAsiaTheme="minorEastAsia" w:cstheme="minorEastAsia"/>
                <w:color w:val="auto"/>
                <w:sz w:val="21"/>
                <w:szCs w:val="21"/>
              </w:rPr>
              <w:t>（小数点后保留2位小数）。</w:t>
            </w:r>
            <w:r>
              <w:rPr>
                <w:rFonts w:hint="eastAsia" w:asciiTheme="minorEastAsia" w:hAnsiTheme="minorEastAsia" w:eastAsiaTheme="minorEastAsia"/>
                <w:color w:val="auto"/>
                <w:sz w:val="21"/>
                <w:szCs w:val="21"/>
              </w:rPr>
              <w:t>（注：对于</w:t>
            </w:r>
            <w:r>
              <w:rPr>
                <w:rFonts w:asciiTheme="minorEastAsia" w:hAnsiTheme="minorEastAsia" w:eastAsiaTheme="minorEastAsia"/>
                <w:color w:val="auto"/>
                <w:sz w:val="21"/>
                <w:szCs w:val="21"/>
              </w:rPr>
              <w:t>小型和微型企业</w:t>
            </w:r>
            <w:r>
              <w:rPr>
                <w:rFonts w:hint="eastAsia" w:asciiTheme="minorEastAsia" w:hAnsiTheme="minorEastAsia" w:eastAsiaTheme="minorEastAsia"/>
                <w:color w:val="auto"/>
                <w:sz w:val="21"/>
                <w:szCs w:val="21"/>
              </w:rPr>
              <w:t>产品</w:t>
            </w:r>
            <w:r>
              <w:rPr>
                <w:rFonts w:asciiTheme="minorEastAsia" w:hAnsiTheme="minorEastAsia" w:eastAsiaTheme="minorEastAsia"/>
                <w:color w:val="auto"/>
                <w:sz w:val="21"/>
                <w:szCs w:val="21"/>
              </w:rPr>
              <w:t>的</w:t>
            </w:r>
            <w:r>
              <w:rPr>
                <w:rFonts w:hint="eastAsia" w:asciiTheme="minorEastAsia" w:hAnsiTheme="minorEastAsia" w:eastAsiaTheme="minorEastAsia"/>
                <w:color w:val="auto"/>
                <w:sz w:val="21"/>
                <w:szCs w:val="21"/>
              </w:rPr>
              <w:t>价格</w:t>
            </w:r>
            <w:r>
              <w:rPr>
                <w:rFonts w:asciiTheme="minorEastAsia" w:hAnsiTheme="minorEastAsia" w:eastAsiaTheme="minorEastAsia"/>
                <w:color w:val="auto"/>
                <w:sz w:val="21"/>
                <w:szCs w:val="21"/>
              </w:rPr>
              <w:t>给予6%的扣除，用扣除后的价</w:t>
            </w:r>
            <w:r>
              <w:rPr>
                <w:rFonts w:hint="eastAsia" w:asciiTheme="minorEastAsia" w:hAnsiTheme="minorEastAsia" w:eastAsiaTheme="minorEastAsia"/>
                <w:color w:val="auto"/>
                <w:sz w:val="21"/>
                <w:szCs w:val="21"/>
              </w:rPr>
              <w:t>格</w:t>
            </w:r>
            <w:r>
              <w:rPr>
                <w:rFonts w:asciiTheme="minorEastAsia" w:hAnsiTheme="minorEastAsia" w:eastAsiaTheme="minorEastAsia"/>
                <w:color w:val="auto"/>
                <w:sz w:val="21"/>
                <w:szCs w:val="21"/>
              </w:rPr>
              <w:t>参与评审</w:t>
            </w: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en-US" w:eastAsia="zh-CN"/>
              </w:rPr>
              <w:t>)</w:t>
            </w:r>
          </w:p>
        </w:tc>
        <w:tc>
          <w:tcPr>
            <w:tcW w:w="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ascii="宋体" w:hAnsi="宋体" w:cs="宋体"/>
                <w:sz w:val="21"/>
                <w:szCs w:val="21"/>
              </w:rPr>
              <w:t>3</w:t>
            </w:r>
            <w:r>
              <w:rPr>
                <w:rFonts w:hint="eastAsia" w:ascii="宋体" w:hAnsi="宋体" w:cs="宋体"/>
                <w:sz w:val="21"/>
                <w:szCs w:val="21"/>
              </w:rPr>
              <w:t>0</w:t>
            </w:r>
          </w:p>
        </w:tc>
      </w:tr>
    </w:tbl>
    <w:p>
      <w:pPr>
        <w:pStyle w:val="28"/>
        <w:ind w:firstLine="480" w:firstLineChars="200"/>
        <w:rPr>
          <w:rFonts w:asciiTheme="minorEastAsia" w:hAnsiTheme="minorEastAsia" w:eastAsiaTheme="minorEastAsia"/>
          <w:sz w:val="24"/>
          <w:szCs w:val="24"/>
        </w:rPr>
      </w:pPr>
    </w:p>
    <w:p>
      <w:pPr>
        <w:pStyle w:val="28"/>
        <w:ind w:firstLine="480" w:firstLineChars="200"/>
        <w:rPr>
          <w:rFonts w:hint="eastAsia" w:asciiTheme="minorEastAsia" w:hAnsiTheme="minorEastAsia" w:eastAsiaTheme="minorEastAsia"/>
          <w:sz w:val="24"/>
          <w:szCs w:val="24"/>
        </w:rPr>
      </w:pPr>
    </w:p>
    <w:p>
      <w:pPr>
        <w:pStyle w:val="28"/>
        <w:ind w:firstLine="480" w:firstLineChars="200"/>
        <w:rPr>
          <w:rFonts w:hint="eastAsia" w:asciiTheme="minorEastAsia" w:hAnsiTheme="minorEastAsia" w:eastAsiaTheme="minorEastAsia"/>
          <w:sz w:val="24"/>
          <w:szCs w:val="24"/>
        </w:rPr>
      </w:pPr>
    </w:p>
    <w:p>
      <w:pPr>
        <w:pStyle w:val="28"/>
        <w:ind w:firstLine="480" w:firstLineChars="200"/>
        <w:rPr>
          <w:rFonts w:hint="eastAsia" w:asciiTheme="minorEastAsia" w:hAnsiTheme="minorEastAsia" w:eastAsiaTheme="minorEastAsia"/>
          <w:sz w:val="24"/>
          <w:szCs w:val="24"/>
        </w:rPr>
      </w:pPr>
    </w:p>
    <w:p>
      <w:pPr>
        <w:pStyle w:val="28"/>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第二标段：</w:t>
      </w:r>
    </w:p>
    <w:tbl>
      <w:tblPr>
        <w:tblStyle w:val="23"/>
        <w:tblW w:w="85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754"/>
        <w:gridCol w:w="5929"/>
        <w:gridCol w:w="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17" w:type="dxa"/>
            <w:tcBorders>
              <w:top w:val="single" w:color="auto" w:sz="4" w:space="0"/>
              <w:left w:val="single" w:color="auto" w:sz="4" w:space="0"/>
              <w:bottom w:val="single" w:color="auto" w:sz="4" w:space="0"/>
              <w:right w:val="single" w:color="auto" w:sz="4" w:space="0"/>
            </w:tcBorders>
            <w:shd w:val="clear" w:color="auto" w:fill="9ED3A3" w:themeFill="background1" w:themeFillShade="D8"/>
            <w:vAlign w:val="center"/>
          </w:tcPr>
          <w:p>
            <w:pPr>
              <w:jc w:val="center"/>
              <w:rPr>
                <w:b/>
                <w:sz w:val="21"/>
                <w:szCs w:val="21"/>
              </w:rPr>
            </w:pPr>
            <w:r>
              <w:rPr>
                <w:rFonts w:hint="eastAsia"/>
                <w:b/>
                <w:sz w:val="21"/>
                <w:szCs w:val="21"/>
              </w:rPr>
              <w:t>评分项目</w:t>
            </w:r>
          </w:p>
        </w:tc>
        <w:tc>
          <w:tcPr>
            <w:tcW w:w="6683" w:type="dxa"/>
            <w:gridSpan w:val="2"/>
            <w:tcBorders>
              <w:top w:val="single" w:color="auto" w:sz="4" w:space="0"/>
              <w:left w:val="single" w:color="auto" w:sz="4" w:space="0"/>
              <w:bottom w:val="single" w:color="auto" w:sz="4" w:space="0"/>
              <w:right w:val="single" w:color="auto" w:sz="4" w:space="0"/>
            </w:tcBorders>
            <w:shd w:val="clear" w:color="auto" w:fill="9ED3A3" w:themeFill="background1" w:themeFillShade="D8"/>
            <w:vAlign w:val="center"/>
          </w:tcPr>
          <w:p>
            <w:pPr>
              <w:jc w:val="center"/>
              <w:rPr>
                <w:b/>
                <w:sz w:val="21"/>
                <w:szCs w:val="21"/>
              </w:rPr>
            </w:pPr>
            <w:r>
              <w:rPr>
                <w:rFonts w:hint="eastAsia"/>
                <w:b/>
                <w:sz w:val="21"/>
                <w:szCs w:val="21"/>
              </w:rPr>
              <w:t>评分细则</w:t>
            </w:r>
          </w:p>
        </w:tc>
        <w:tc>
          <w:tcPr>
            <w:tcW w:w="628" w:type="dxa"/>
            <w:tcBorders>
              <w:top w:val="single" w:color="auto" w:sz="4" w:space="0"/>
              <w:left w:val="single" w:color="auto" w:sz="4" w:space="0"/>
              <w:bottom w:val="single" w:color="auto" w:sz="4" w:space="0"/>
              <w:right w:val="single" w:color="auto" w:sz="4" w:space="0"/>
            </w:tcBorders>
            <w:shd w:val="clear" w:color="auto" w:fill="9ED3A3" w:themeFill="background1" w:themeFillShade="D8"/>
            <w:vAlign w:val="center"/>
          </w:tcPr>
          <w:p>
            <w:pPr>
              <w:jc w:val="center"/>
              <w:rPr>
                <w:b/>
                <w:sz w:val="21"/>
                <w:szCs w:val="21"/>
              </w:rPr>
            </w:pPr>
            <w:r>
              <w:rPr>
                <w:rFonts w:hint="eastAsia"/>
                <w:b/>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1217" w:type="dxa"/>
            <w:vMerge w:val="restart"/>
            <w:tcBorders>
              <w:top w:val="single" w:color="auto" w:sz="4" w:space="0"/>
              <w:left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技术性能</w:t>
            </w:r>
          </w:p>
          <w:p>
            <w:pPr>
              <w:jc w:val="center"/>
              <w:rPr>
                <w:rFonts w:ascii="宋体" w:hAnsi="宋体" w:cs="宋体"/>
                <w:b/>
                <w:bCs/>
                <w:sz w:val="21"/>
                <w:szCs w:val="21"/>
              </w:rPr>
            </w:pPr>
            <w:r>
              <w:rPr>
                <w:rFonts w:hint="eastAsia" w:ascii="宋体" w:hAnsi="宋体" w:cs="宋体"/>
                <w:b/>
                <w:bCs/>
                <w:sz w:val="21"/>
                <w:szCs w:val="21"/>
                <w:lang w:val="en-US" w:eastAsia="zh-CN"/>
              </w:rPr>
              <w:t>42</w:t>
            </w:r>
            <w:r>
              <w:rPr>
                <w:rFonts w:hint="eastAsia" w:ascii="宋体" w:hAnsi="宋体" w:cs="宋体"/>
                <w:b/>
                <w:bCs/>
                <w:sz w:val="21"/>
                <w:szCs w:val="21"/>
              </w:rPr>
              <w:t>分</w:t>
            </w:r>
          </w:p>
        </w:tc>
        <w:tc>
          <w:tcPr>
            <w:tcW w:w="754"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lang w:val="en-US" w:eastAsia="zh-CN"/>
              </w:rPr>
              <w:t>实施</w:t>
            </w:r>
            <w:r>
              <w:rPr>
                <w:rFonts w:hint="eastAsia" w:ascii="宋体" w:hAnsi="宋体" w:cs="宋体"/>
                <w:b/>
                <w:bCs/>
                <w:sz w:val="21"/>
                <w:szCs w:val="21"/>
              </w:rPr>
              <w:t>方案</w:t>
            </w:r>
          </w:p>
        </w:tc>
        <w:tc>
          <w:tcPr>
            <w:tcW w:w="5929" w:type="dxa"/>
            <w:tcBorders>
              <w:top w:val="single" w:color="auto" w:sz="4" w:space="0"/>
              <w:left w:val="single" w:color="auto" w:sz="4" w:space="0"/>
              <w:bottom w:val="single" w:color="auto" w:sz="4" w:space="0"/>
              <w:right w:val="single" w:color="auto" w:sz="4" w:space="0"/>
            </w:tcBorders>
            <w:vAlign w:val="center"/>
          </w:tcPr>
          <w:p>
            <w:pPr>
              <w:rPr>
                <w:rFonts w:ascii="Tahoma" w:hAnsi="Tahoma" w:cstheme="minorBidi"/>
                <w:color w:val="auto"/>
                <w:sz w:val="21"/>
                <w:szCs w:val="21"/>
              </w:rPr>
            </w:pPr>
            <w:r>
              <w:rPr>
                <w:rFonts w:hint="eastAsia" w:ascii="宋体" w:hAnsi="宋体" w:cs="宋体"/>
                <w:color w:val="auto"/>
                <w:sz w:val="21"/>
                <w:szCs w:val="21"/>
              </w:rPr>
              <w:t>根据</w:t>
            </w:r>
            <w:r>
              <w:rPr>
                <w:rFonts w:hint="eastAsia" w:ascii="宋体" w:hAnsi="宋体" w:cs="宋体"/>
                <w:color w:val="auto"/>
                <w:sz w:val="21"/>
                <w:szCs w:val="21"/>
                <w:lang w:val="en-US" w:eastAsia="zh-CN"/>
              </w:rPr>
              <w:t>投标人</w:t>
            </w:r>
            <w:r>
              <w:rPr>
                <w:rFonts w:hint="eastAsia" w:ascii="宋体" w:hAnsi="宋体" w:cs="宋体"/>
                <w:color w:val="auto"/>
                <w:sz w:val="21"/>
                <w:szCs w:val="21"/>
              </w:rPr>
              <w:t>对</w:t>
            </w:r>
            <w:r>
              <w:rPr>
                <w:rFonts w:hint="eastAsia" w:ascii="宋体" w:hAnsi="宋体" w:cs="宋体"/>
                <w:color w:val="auto"/>
                <w:sz w:val="21"/>
                <w:szCs w:val="21"/>
                <w:lang w:val="en-US" w:eastAsia="zh-CN"/>
              </w:rPr>
              <w:t>采购</w:t>
            </w:r>
            <w:r>
              <w:rPr>
                <w:rFonts w:hint="eastAsia" w:ascii="宋体" w:hAnsi="宋体" w:cs="宋体"/>
                <w:color w:val="FF0000"/>
                <w:sz w:val="21"/>
                <w:szCs w:val="21"/>
                <w:lang w:val="en-US" w:eastAsia="zh-CN"/>
              </w:rPr>
              <w:t>项目</w:t>
            </w:r>
            <w:r>
              <w:rPr>
                <w:rFonts w:hint="eastAsia" w:ascii="宋体" w:hAnsi="宋体" w:cs="宋体"/>
                <w:color w:val="auto"/>
                <w:sz w:val="21"/>
                <w:szCs w:val="21"/>
              </w:rPr>
              <w:t>现状及需求的理解、提供的项目实施计划进行评分：第一档</w:t>
            </w:r>
            <w:r>
              <w:rPr>
                <w:rFonts w:ascii="宋体" w:hAnsi="宋体" w:cs="宋体"/>
                <w:color w:val="auto"/>
                <w:sz w:val="21"/>
                <w:szCs w:val="21"/>
              </w:rPr>
              <w:t>6</w:t>
            </w:r>
            <w:r>
              <w:rPr>
                <w:rFonts w:hint="eastAsia" w:ascii="宋体" w:hAnsi="宋体" w:cs="宋体"/>
                <w:color w:val="auto"/>
                <w:sz w:val="21"/>
                <w:szCs w:val="21"/>
              </w:rPr>
              <w:t>-</w:t>
            </w:r>
            <w:r>
              <w:rPr>
                <w:rFonts w:hint="eastAsia" w:ascii="宋体" w:hAnsi="宋体" w:cs="宋体"/>
                <w:color w:val="auto"/>
                <w:sz w:val="21"/>
                <w:szCs w:val="21"/>
                <w:lang w:val="en-US" w:eastAsia="zh-CN"/>
              </w:rPr>
              <w:t>4.9</w:t>
            </w:r>
            <w:r>
              <w:rPr>
                <w:rFonts w:hint="eastAsia" w:ascii="宋体" w:hAnsi="宋体" w:cs="宋体"/>
                <w:color w:val="auto"/>
                <w:sz w:val="21"/>
                <w:szCs w:val="21"/>
              </w:rPr>
              <w:t>分，第二档</w:t>
            </w:r>
            <w:r>
              <w:rPr>
                <w:rFonts w:ascii="宋体" w:hAnsi="宋体" w:cs="宋体"/>
                <w:color w:val="auto"/>
                <w:sz w:val="21"/>
                <w:szCs w:val="21"/>
              </w:rPr>
              <w:t>4</w:t>
            </w:r>
            <w:r>
              <w:rPr>
                <w:rFonts w:hint="eastAsia" w:ascii="宋体" w:hAnsi="宋体" w:cs="宋体"/>
                <w:color w:val="auto"/>
                <w:sz w:val="21"/>
                <w:szCs w:val="21"/>
                <w:lang w:val="en-US" w:eastAsia="zh-CN"/>
              </w:rPr>
              <w:t>.8</w:t>
            </w:r>
            <w:r>
              <w:rPr>
                <w:rFonts w:hint="eastAsia" w:ascii="宋体" w:hAnsi="宋体" w:cs="宋体"/>
                <w:color w:val="auto"/>
                <w:sz w:val="21"/>
                <w:szCs w:val="21"/>
              </w:rPr>
              <w:t>-</w:t>
            </w:r>
            <w:r>
              <w:rPr>
                <w:rFonts w:ascii="宋体" w:hAnsi="宋体" w:cs="宋体"/>
                <w:color w:val="auto"/>
                <w:sz w:val="21"/>
                <w:szCs w:val="21"/>
              </w:rPr>
              <w:t>3</w:t>
            </w:r>
            <w:r>
              <w:rPr>
                <w:rFonts w:hint="eastAsia" w:ascii="宋体" w:hAnsi="宋体" w:cs="宋体"/>
                <w:color w:val="auto"/>
                <w:sz w:val="21"/>
                <w:szCs w:val="21"/>
                <w:lang w:val="en-US" w:eastAsia="zh-CN"/>
              </w:rPr>
              <w:t>.7</w:t>
            </w:r>
            <w:r>
              <w:rPr>
                <w:rFonts w:hint="eastAsia" w:ascii="宋体" w:hAnsi="宋体" w:cs="宋体"/>
                <w:color w:val="auto"/>
                <w:sz w:val="21"/>
                <w:szCs w:val="21"/>
              </w:rPr>
              <w:t>分，第三档</w:t>
            </w:r>
            <w:r>
              <w:rPr>
                <w:rFonts w:hint="eastAsia" w:ascii="宋体" w:hAnsi="宋体" w:cs="宋体"/>
                <w:color w:val="auto"/>
                <w:sz w:val="21"/>
                <w:szCs w:val="21"/>
                <w:lang w:val="en-US" w:eastAsia="zh-CN"/>
              </w:rPr>
              <w:t>3.6-2.5</w:t>
            </w:r>
            <w:r>
              <w:rPr>
                <w:rFonts w:hint="eastAsia" w:ascii="宋体" w:hAnsi="宋体" w:cs="宋体"/>
                <w:color w:val="auto"/>
                <w:sz w:val="21"/>
                <w:szCs w:val="21"/>
              </w:rPr>
              <w:t>分</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第四档2.4-1.3分，第五档1.2-0分</w:t>
            </w:r>
            <w:r>
              <w:rPr>
                <w:rFonts w:hint="eastAsia" w:ascii="宋体" w:hAnsi="宋体" w:cs="宋体"/>
                <w:color w:val="auto"/>
                <w:sz w:val="21"/>
                <w:szCs w:val="21"/>
              </w:rPr>
              <w:t>。</w:t>
            </w:r>
          </w:p>
        </w:tc>
        <w:tc>
          <w:tcPr>
            <w:tcW w:w="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ascii="宋体" w:hAnsi="宋体" w:cs="宋体"/>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1217" w:type="dxa"/>
            <w:vMerge w:val="continue"/>
            <w:tcBorders>
              <w:left w:val="single" w:color="auto" w:sz="4" w:space="0"/>
              <w:right w:val="single" w:color="auto" w:sz="4" w:space="0"/>
            </w:tcBorders>
            <w:vAlign w:val="center"/>
          </w:tcPr>
          <w:p>
            <w:pPr>
              <w:widowControl/>
              <w:jc w:val="left"/>
              <w:rPr>
                <w:rFonts w:ascii="宋体" w:hAnsi="宋体" w:cs="宋体"/>
                <w:b/>
                <w:bCs/>
                <w:sz w:val="21"/>
                <w:szCs w:val="21"/>
              </w:rPr>
            </w:pPr>
          </w:p>
        </w:tc>
        <w:tc>
          <w:tcPr>
            <w:tcW w:w="7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sz w:val="21"/>
                <w:szCs w:val="21"/>
              </w:rPr>
            </w:pPr>
          </w:p>
        </w:tc>
        <w:tc>
          <w:tcPr>
            <w:tcW w:w="592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1"/>
                <w:szCs w:val="21"/>
              </w:rPr>
            </w:pPr>
            <w:r>
              <w:rPr>
                <w:rFonts w:hint="eastAsia" w:ascii="宋体" w:hAnsi="宋体" w:cs="宋体"/>
                <w:color w:val="auto"/>
                <w:sz w:val="21"/>
                <w:szCs w:val="21"/>
              </w:rPr>
              <w:t>根据投标人提供的</w:t>
            </w:r>
            <w:r>
              <w:rPr>
                <w:rFonts w:hint="eastAsia"/>
                <w:color w:val="auto"/>
                <w:sz w:val="21"/>
                <w:szCs w:val="21"/>
              </w:rPr>
              <w:t>数据库系统改造和数据迁移实施方案等进行评</w:t>
            </w:r>
            <w:r>
              <w:rPr>
                <w:rFonts w:hint="eastAsia"/>
                <w:color w:val="auto"/>
                <w:sz w:val="21"/>
                <w:szCs w:val="21"/>
                <w:lang w:val="en-US" w:eastAsia="zh-CN"/>
              </w:rPr>
              <w:t>分</w:t>
            </w:r>
            <w:r>
              <w:rPr>
                <w:rFonts w:hint="eastAsia"/>
                <w:color w:val="auto"/>
                <w:sz w:val="21"/>
                <w:szCs w:val="21"/>
              </w:rPr>
              <w:t>：第一档</w:t>
            </w:r>
            <w:r>
              <w:rPr>
                <w:rFonts w:hint="eastAsia"/>
                <w:color w:val="auto"/>
                <w:sz w:val="21"/>
                <w:szCs w:val="21"/>
                <w:lang w:val="en-US" w:eastAsia="zh-CN"/>
              </w:rPr>
              <w:t>8-6.5</w:t>
            </w:r>
            <w:r>
              <w:rPr>
                <w:rFonts w:hint="eastAsia"/>
                <w:color w:val="auto"/>
                <w:sz w:val="21"/>
                <w:szCs w:val="21"/>
              </w:rPr>
              <w:t>分，第二档</w:t>
            </w:r>
            <w:r>
              <w:rPr>
                <w:rFonts w:hint="eastAsia"/>
                <w:color w:val="auto"/>
                <w:sz w:val="21"/>
                <w:szCs w:val="21"/>
                <w:lang w:val="en-US" w:eastAsia="zh-CN"/>
              </w:rPr>
              <w:t>6.4-4.9</w:t>
            </w:r>
            <w:r>
              <w:rPr>
                <w:rFonts w:hint="eastAsia"/>
                <w:color w:val="auto"/>
                <w:sz w:val="21"/>
                <w:szCs w:val="21"/>
              </w:rPr>
              <w:t>分，第三档</w:t>
            </w:r>
            <w:r>
              <w:rPr>
                <w:rFonts w:hint="eastAsia"/>
                <w:color w:val="auto"/>
                <w:sz w:val="21"/>
                <w:szCs w:val="21"/>
                <w:lang w:val="en-US" w:eastAsia="zh-CN"/>
              </w:rPr>
              <w:t>4.8-3.3</w:t>
            </w:r>
            <w:r>
              <w:rPr>
                <w:rFonts w:hint="eastAsia"/>
                <w:color w:val="auto"/>
                <w:sz w:val="21"/>
                <w:szCs w:val="21"/>
              </w:rPr>
              <w:t>分</w:t>
            </w:r>
            <w:r>
              <w:rPr>
                <w:rFonts w:hint="eastAsia"/>
                <w:color w:val="auto"/>
                <w:sz w:val="21"/>
                <w:szCs w:val="21"/>
                <w:lang w:eastAsia="zh-CN"/>
              </w:rPr>
              <w:t>，</w:t>
            </w:r>
            <w:r>
              <w:rPr>
                <w:rFonts w:hint="eastAsia"/>
                <w:color w:val="auto"/>
                <w:sz w:val="21"/>
                <w:szCs w:val="21"/>
                <w:lang w:val="en-US" w:eastAsia="zh-CN"/>
              </w:rPr>
              <w:t>第四档3.2-1.7分，第五档1.6-0分</w:t>
            </w:r>
            <w:r>
              <w:rPr>
                <w:rFonts w:hint="eastAsia"/>
                <w:color w:val="auto"/>
                <w:sz w:val="21"/>
                <w:szCs w:val="21"/>
              </w:rPr>
              <w:t>。</w:t>
            </w:r>
          </w:p>
        </w:tc>
        <w:tc>
          <w:tcPr>
            <w:tcW w:w="62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4" w:hRule="atLeast"/>
          <w:jc w:val="center"/>
        </w:trPr>
        <w:tc>
          <w:tcPr>
            <w:tcW w:w="1217" w:type="dxa"/>
            <w:vMerge w:val="continue"/>
            <w:tcBorders>
              <w:left w:val="single" w:color="auto" w:sz="4" w:space="0"/>
              <w:right w:val="single" w:color="auto" w:sz="4" w:space="0"/>
            </w:tcBorders>
            <w:vAlign w:val="center"/>
          </w:tcPr>
          <w:p>
            <w:pPr>
              <w:widowControl/>
              <w:jc w:val="left"/>
              <w:rPr>
                <w:rFonts w:ascii="宋体" w:hAnsi="宋体" w:cs="宋体"/>
                <w:b/>
                <w:bCs/>
                <w:sz w:val="21"/>
                <w:szCs w:val="21"/>
              </w:rPr>
            </w:pPr>
          </w:p>
        </w:tc>
        <w:tc>
          <w:tcPr>
            <w:tcW w:w="754" w:type="dxa"/>
            <w:vMerge w:val="restart"/>
            <w:tcBorders>
              <w:top w:val="single" w:color="auto" w:sz="4" w:space="0"/>
              <w:left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性能指标</w:t>
            </w:r>
          </w:p>
        </w:tc>
        <w:tc>
          <w:tcPr>
            <w:tcW w:w="5929" w:type="dxa"/>
            <w:tcBorders>
              <w:top w:val="single" w:color="auto" w:sz="4" w:space="0"/>
              <w:left w:val="single" w:color="auto" w:sz="4" w:space="0"/>
              <w:bottom w:val="single" w:color="auto" w:sz="4" w:space="0"/>
              <w:right w:val="single" w:color="auto" w:sz="4" w:space="0"/>
            </w:tcBorders>
            <w:vAlign w:val="center"/>
          </w:tcPr>
          <w:p>
            <w:pPr>
              <w:rPr>
                <w:color w:val="auto"/>
                <w:sz w:val="21"/>
                <w:szCs w:val="21"/>
              </w:rPr>
            </w:pPr>
            <w:r>
              <w:rPr>
                <w:rFonts w:hint="eastAsia"/>
                <w:color w:val="auto"/>
                <w:sz w:val="21"/>
                <w:szCs w:val="21"/>
                <w:lang w:val="en-US" w:eastAsia="zh-CN"/>
              </w:rPr>
              <w:t>对</w:t>
            </w:r>
            <w:r>
              <w:rPr>
                <w:rFonts w:hint="eastAsia"/>
                <w:color w:val="auto"/>
                <w:sz w:val="21"/>
                <w:szCs w:val="21"/>
              </w:rPr>
              <w:t>投标产品的性能指标及技术参数满足程度进行评分：满足要求的得1</w:t>
            </w:r>
            <w:r>
              <w:rPr>
                <w:color w:val="auto"/>
                <w:sz w:val="21"/>
                <w:szCs w:val="21"/>
              </w:rPr>
              <w:t>8</w:t>
            </w:r>
            <w:r>
              <w:rPr>
                <w:rFonts w:hint="eastAsia"/>
                <w:color w:val="auto"/>
                <w:sz w:val="21"/>
                <w:szCs w:val="21"/>
              </w:rPr>
              <w:t>分</w:t>
            </w:r>
            <w:r>
              <w:rPr>
                <w:rFonts w:hint="eastAsia"/>
                <w:color w:val="auto"/>
                <w:sz w:val="21"/>
                <w:szCs w:val="21"/>
                <w:lang w:eastAsia="zh-CN"/>
              </w:rPr>
              <w:t>，</w:t>
            </w:r>
            <w:r>
              <w:rPr>
                <w:rFonts w:hint="eastAsia"/>
                <w:color w:val="auto"/>
                <w:sz w:val="21"/>
                <w:szCs w:val="21"/>
              </w:rPr>
              <w:t>每项负偏离扣</w:t>
            </w:r>
            <w:r>
              <w:rPr>
                <w:color w:val="auto"/>
                <w:sz w:val="21"/>
                <w:szCs w:val="21"/>
              </w:rPr>
              <w:t>2</w:t>
            </w:r>
            <w:r>
              <w:rPr>
                <w:rFonts w:hint="eastAsia"/>
                <w:color w:val="auto"/>
                <w:sz w:val="21"/>
                <w:szCs w:val="21"/>
              </w:rPr>
              <w:t>分，扣完为止。</w:t>
            </w:r>
          </w:p>
        </w:tc>
        <w:tc>
          <w:tcPr>
            <w:tcW w:w="628" w:type="dxa"/>
            <w:tcBorders>
              <w:top w:val="single" w:color="auto" w:sz="4" w:space="0"/>
              <w:left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1</w:t>
            </w:r>
            <w:r>
              <w:rPr>
                <w:rFonts w:ascii="宋体" w:hAnsi="宋体" w:cs="宋体"/>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jc w:val="center"/>
        </w:trPr>
        <w:tc>
          <w:tcPr>
            <w:tcW w:w="1217" w:type="dxa"/>
            <w:vMerge w:val="continue"/>
            <w:tcBorders>
              <w:left w:val="single" w:color="auto" w:sz="4" w:space="0"/>
              <w:right w:val="single" w:color="auto" w:sz="4" w:space="0"/>
            </w:tcBorders>
            <w:vAlign w:val="center"/>
          </w:tcPr>
          <w:p>
            <w:pPr>
              <w:widowControl/>
              <w:jc w:val="left"/>
              <w:rPr>
                <w:rFonts w:ascii="宋体" w:hAnsi="宋体" w:cs="宋体"/>
                <w:b/>
                <w:bCs/>
                <w:sz w:val="21"/>
                <w:szCs w:val="21"/>
              </w:rPr>
            </w:pPr>
          </w:p>
        </w:tc>
        <w:tc>
          <w:tcPr>
            <w:tcW w:w="754" w:type="dxa"/>
            <w:vMerge w:val="continue"/>
            <w:tcBorders>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c>
          <w:tcPr>
            <w:tcW w:w="592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8"/>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lang w:val="en-US" w:eastAsia="zh-CN" w:bidi="ar-SA"/>
              </w:rPr>
              <w:t>通过硬件设备实现数据压缩功能得1分。</w:t>
            </w:r>
          </w:p>
        </w:tc>
        <w:tc>
          <w:tcPr>
            <w:tcW w:w="628" w:type="dxa"/>
            <w:tcBorders>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 w:hRule="atLeast"/>
          <w:jc w:val="center"/>
        </w:trPr>
        <w:tc>
          <w:tcPr>
            <w:tcW w:w="1217" w:type="dxa"/>
            <w:vMerge w:val="continue"/>
            <w:tcBorders>
              <w:left w:val="single" w:color="auto" w:sz="4" w:space="0"/>
              <w:right w:val="single" w:color="auto" w:sz="4" w:space="0"/>
            </w:tcBorders>
            <w:vAlign w:val="center"/>
          </w:tcPr>
          <w:p>
            <w:pPr>
              <w:widowControl/>
              <w:jc w:val="left"/>
              <w:rPr>
                <w:rFonts w:ascii="宋体" w:hAnsi="宋体" w:cs="宋体"/>
                <w:b/>
                <w:bCs/>
                <w:sz w:val="21"/>
                <w:szCs w:val="21"/>
              </w:rPr>
            </w:pPr>
          </w:p>
        </w:tc>
        <w:tc>
          <w:tcPr>
            <w:tcW w:w="754" w:type="dxa"/>
            <w:vMerge w:val="continue"/>
            <w:tcBorders>
              <w:left w:val="single" w:color="auto" w:sz="4" w:space="0"/>
              <w:bottom w:val="single" w:color="auto" w:sz="4" w:space="0"/>
              <w:right w:val="single" w:color="auto" w:sz="4" w:space="0"/>
            </w:tcBorders>
            <w:vAlign w:val="center"/>
          </w:tcPr>
          <w:p>
            <w:pPr>
              <w:jc w:val="center"/>
              <w:rPr>
                <w:rFonts w:ascii="宋体" w:hAnsi="宋体" w:cs="宋体"/>
                <w:b/>
                <w:bCs/>
                <w:sz w:val="21"/>
                <w:szCs w:val="21"/>
              </w:rPr>
            </w:pPr>
          </w:p>
        </w:tc>
        <w:tc>
          <w:tcPr>
            <w:tcW w:w="5929" w:type="dxa"/>
            <w:tcBorders>
              <w:top w:val="single" w:color="auto" w:sz="4" w:space="0"/>
              <w:left w:val="single" w:color="auto" w:sz="4" w:space="0"/>
              <w:bottom w:val="single" w:color="auto" w:sz="4" w:space="0"/>
              <w:right w:val="single" w:color="auto" w:sz="4" w:space="0"/>
            </w:tcBorders>
            <w:vAlign w:val="center"/>
          </w:tcPr>
          <w:p>
            <w:pPr>
              <w:pStyle w:val="28"/>
              <w:rPr>
                <w:color w:val="auto"/>
                <w:sz w:val="21"/>
                <w:szCs w:val="21"/>
              </w:rPr>
            </w:pPr>
            <w:r>
              <w:rPr>
                <w:rFonts w:hint="eastAsia" w:ascii="Times New Roman" w:hAnsi="Times New Roman" w:eastAsia="宋体" w:cs="Times New Roman"/>
                <w:color w:val="auto"/>
                <w:kern w:val="2"/>
                <w:sz w:val="21"/>
                <w:szCs w:val="21"/>
              </w:rPr>
              <w:t>根据核心产品</w:t>
            </w:r>
            <w:r>
              <w:rPr>
                <w:rFonts w:hint="eastAsia" w:ascii="Times New Roman" w:hAnsi="Times New Roman" w:eastAsia="宋体" w:cs="Times New Roman"/>
                <w:color w:val="auto"/>
                <w:kern w:val="2"/>
                <w:sz w:val="21"/>
                <w:szCs w:val="21"/>
                <w:lang w:val="en-US" w:eastAsia="zh-CN"/>
              </w:rPr>
              <w:t>的</w:t>
            </w:r>
            <w:r>
              <w:rPr>
                <w:rFonts w:hint="eastAsia" w:ascii="Times New Roman" w:hAnsi="Times New Roman" w:eastAsia="宋体" w:cs="Times New Roman"/>
                <w:color w:val="auto"/>
                <w:kern w:val="2"/>
                <w:sz w:val="21"/>
                <w:szCs w:val="21"/>
              </w:rPr>
              <w:t>存储控制器</w:t>
            </w:r>
            <w:r>
              <w:rPr>
                <w:rFonts w:ascii="Times New Roman" w:hAnsi="Times New Roman" w:eastAsia="宋体" w:cs="Times New Roman"/>
                <w:color w:val="auto"/>
                <w:kern w:val="2"/>
                <w:sz w:val="21"/>
                <w:szCs w:val="21"/>
              </w:rPr>
              <w:t>CPU</w:t>
            </w:r>
            <w:r>
              <w:rPr>
                <w:rFonts w:hint="eastAsia" w:ascii="Times New Roman" w:hAnsi="Times New Roman" w:eastAsia="宋体" w:cs="Times New Roman"/>
                <w:color w:val="auto"/>
                <w:kern w:val="2"/>
                <w:sz w:val="21"/>
                <w:szCs w:val="21"/>
              </w:rPr>
              <w:t>数量、总物理核心数、缓存、硬盘裸容量等</w:t>
            </w:r>
            <w:r>
              <w:rPr>
                <w:rFonts w:hint="eastAsia" w:ascii="Times New Roman" w:hAnsi="Times New Roman" w:eastAsia="宋体" w:cs="Times New Roman"/>
                <w:color w:val="auto"/>
                <w:kern w:val="2"/>
                <w:sz w:val="21"/>
                <w:szCs w:val="21"/>
                <w:lang w:val="en-US" w:eastAsia="zh-CN"/>
              </w:rPr>
              <w:t>性能的优良先进</w:t>
            </w:r>
            <w:r>
              <w:rPr>
                <w:rFonts w:hint="eastAsia" w:ascii="Times New Roman" w:hAnsi="Times New Roman" w:eastAsia="宋体" w:cs="Times New Roman"/>
                <w:color w:val="auto"/>
                <w:kern w:val="2"/>
                <w:sz w:val="21"/>
                <w:szCs w:val="21"/>
              </w:rPr>
              <w:t>程度</w:t>
            </w:r>
            <w:r>
              <w:rPr>
                <w:rFonts w:hint="eastAsia" w:ascii="Times New Roman" w:hAnsi="Times New Roman" w:eastAsia="宋体" w:cs="Times New Roman"/>
                <w:color w:val="auto"/>
                <w:kern w:val="2"/>
                <w:sz w:val="21"/>
                <w:szCs w:val="21"/>
                <w:lang w:val="en-US" w:eastAsia="zh-CN"/>
              </w:rPr>
              <w:t>进行评</w:t>
            </w:r>
            <w:r>
              <w:rPr>
                <w:rFonts w:hint="eastAsia" w:ascii="Times New Roman" w:hAnsi="Times New Roman" w:eastAsia="宋体" w:cs="Times New Roman"/>
                <w:color w:val="auto"/>
                <w:kern w:val="2"/>
                <w:sz w:val="21"/>
                <w:szCs w:val="21"/>
              </w:rPr>
              <w:t>分：</w:t>
            </w:r>
            <w:r>
              <w:rPr>
                <w:rFonts w:hint="eastAsia" w:ascii="Times New Roman" w:hAnsi="Times New Roman" w:eastAsia="宋体" w:cs="Times New Roman"/>
                <w:color w:val="auto"/>
                <w:kern w:val="2"/>
                <w:sz w:val="21"/>
                <w:szCs w:val="21"/>
                <w:lang w:val="en-US" w:eastAsia="zh-CN"/>
              </w:rPr>
              <w:t>第一档4分，第二档3分，第三档2分，第四档1分</w:t>
            </w:r>
            <w:r>
              <w:rPr>
                <w:rFonts w:hint="eastAsia" w:ascii="Times New Roman" w:hAnsi="Times New Roman" w:eastAsia="宋体" w:cs="Times New Roman"/>
                <w:color w:val="auto"/>
                <w:kern w:val="2"/>
                <w:sz w:val="21"/>
                <w:szCs w:val="21"/>
              </w:rPr>
              <w:t>。</w:t>
            </w:r>
          </w:p>
        </w:tc>
        <w:tc>
          <w:tcPr>
            <w:tcW w:w="628" w:type="dxa"/>
            <w:tcBorders>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ascii="宋体" w:hAnsi="宋体" w:cs="宋体"/>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217" w:type="dxa"/>
            <w:vMerge w:val="continue"/>
            <w:tcBorders>
              <w:left w:val="single" w:color="auto" w:sz="4" w:space="0"/>
              <w:right w:val="single" w:color="auto" w:sz="4" w:space="0"/>
            </w:tcBorders>
            <w:vAlign w:val="center"/>
          </w:tcPr>
          <w:p>
            <w:pPr>
              <w:widowControl/>
              <w:jc w:val="left"/>
              <w:rPr>
                <w:rFonts w:ascii="宋体" w:hAnsi="宋体" w:cs="宋体"/>
                <w:b/>
                <w:bCs/>
                <w:sz w:val="21"/>
                <w:szCs w:val="21"/>
              </w:rPr>
            </w:pPr>
          </w:p>
        </w:tc>
        <w:tc>
          <w:tcPr>
            <w:tcW w:w="754" w:type="dxa"/>
            <w:tcBorders>
              <w:top w:val="single" w:color="auto" w:sz="4" w:space="0"/>
              <w:left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产品品牌</w:t>
            </w:r>
          </w:p>
        </w:tc>
        <w:tc>
          <w:tcPr>
            <w:tcW w:w="5929" w:type="dxa"/>
            <w:tcBorders>
              <w:top w:val="single" w:color="auto" w:sz="4" w:space="0"/>
              <w:left w:val="single" w:color="auto" w:sz="4" w:space="0"/>
              <w:right w:val="single" w:color="auto" w:sz="4" w:space="0"/>
            </w:tcBorders>
            <w:vAlign w:val="center"/>
          </w:tcPr>
          <w:p>
            <w:pPr>
              <w:jc w:val="left"/>
              <w:rPr>
                <w:rFonts w:ascii="宋体" w:hAnsi="宋体" w:cs="宋体"/>
                <w:color w:val="auto"/>
                <w:sz w:val="21"/>
                <w:szCs w:val="21"/>
              </w:rPr>
            </w:pPr>
            <w:r>
              <w:rPr>
                <w:rFonts w:hint="eastAsia" w:ascii="宋体" w:hAnsi="宋体" w:cs="宋体"/>
                <w:bCs/>
                <w:color w:val="auto"/>
                <w:sz w:val="21"/>
                <w:szCs w:val="21"/>
              </w:rPr>
              <w:t>根据核心产品</w:t>
            </w:r>
            <w:r>
              <w:rPr>
                <w:rFonts w:hint="eastAsia" w:ascii="宋体" w:hAnsi="宋体" w:cs="宋体"/>
                <w:color w:val="auto"/>
                <w:sz w:val="21"/>
                <w:szCs w:val="21"/>
                <w:lang w:val="en-US" w:eastAsia="zh-CN"/>
              </w:rPr>
              <w:t>的</w:t>
            </w:r>
            <w:r>
              <w:rPr>
                <w:rFonts w:hint="eastAsia" w:ascii="宋体" w:hAnsi="宋体" w:cs="宋体"/>
                <w:color w:val="auto"/>
                <w:sz w:val="21"/>
                <w:szCs w:val="21"/>
              </w:rPr>
              <w:t>品牌知名度、市场占有率（</w:t>
            </w:r>
            <w:r>
              <w:rPr>
                <w:rFonts w:ascii="宋体" w:hAnsi="宋体" w:cs="宋体"/>
                <w:color w:val="auto"/>
                <w:sz w:val="21"/>
                <w:szCs w:val="21"/>
              </w:rPr>
              <w:t>IDC</w:t>
            </w:r>
            <w:r>
              <w:rPr>
                <w:rFonts w:hint="eastAsia" w:ascii="宋体" w:hAnsi="宋体" w:cs="宋体"/>
                <w:color w:val="auto"/>
                <w:sz w:val="21"/>
                <w:szCs w:val="21"/>
              </w:rPr>
              <w:t>报告等证明材料）及信誉度、</w:t>
            </w:r>
            <w:r>
              <w:rPr>
                <w:rFonts w:hint="eastAsia" w:ascii="宋体" w:hAnsi="宋体" w:cs="宋体"/>
                <w:bCs/>
                <w:color w:val="auto"/>
                <w:sz w:val="21"/>
                <w:szCs w:val="21"/>
              </w:rPr>
              <w:t>厂商服务能力等情况进行评分</w:t>
            </w:r>
            <w:r>
              <w:rPr>
                <w:rFonts w:hint="eastAsia" w:ascii="宋体" w:hAnsi="宋体" w:cs="宋体"/>
                <w:bCs/>
                <w:color w:val="auto"/>
                <w:sz w:val="21"/>
                <w:szCs w:val="21"/>
                <w:lang w:eastAsia="zh-CN"/>
              </w:rPr>
              <w:t>：</w:t>
            </w:r>
            <w:r>
              <w:rPr>
                <w:rFonts w:hint="eastAsia" w:ascii="宋体" w:hAnsi="宋体" w:cs="宋体"/>
                <w:color w:val="auto"/>
                <w:sz w:val="21"/>
                <w:szCs w:val="21"/>
              </w:rPr>
              <w:t>第一档</w:t>
            </w:r>
            <w:r>
              <w:rPr>
                <w:rFonts w:hint="eastAsia" w:ascii="宋体" w:hAnsi="宋体" w:cs="宋体"/>
                <w:color w:val="auto"/>
                <w:sz w:val="21"/>
                <w:szCs w:val="21"/>
                <w:lang w:val="en-US" w:eastAsia="zh-CN"/>
              </w:rPr>
              <w:t>5-4.1</w:t>
            </w:r>
            <w:r>
              <w:rPr>
                <w:rFonts w:hint="eastAsia" w:ascii="宋体" w:hAnsi="宋体" w:cs="宋体"/>
                <w:color w:val="auto"/>
                <w:sz w:val="21"/>
                <w:szCs w:val="21"/>
              </w:rPr>
              <w:t>分，第二档</w:t>
            </w:r>
            <w:r>
              <w:rPr>
                <w:rFonts w:hint="eastAsia" w:ascii="宋体" w:hAnsi="宋体" w:cs="宋体"/>
                <w:color w:val="auto"/>
                <w:sz w:val="21"/>
                <w:szCs w:val="21"/>
                <w:lang w:val="en-US" w:eastAsia="zh-CN"/>
              </w:rPr>
              <w:t>4-3.1</w:t>
            </w:r>
            <w:r>
              <w:rPr>
                <w:rFonts w:hint="eastAsia" w:ascii="宋体" w:hAnsi="宋体" w:cs="宋体"/>
                <w:color w:val="auto"/>
                <w:sz w:val="21"/>
                <w:szCs w:val="21"/>
              </w:rPr>
              <w:t>分，第三档</w:t>
            </w:r>
            <w:r>
              <w:rPr>
                <w:rFonts w:hint="eastAsia" w:ascii="宋体" w:hAnsi="宋体" w:cs="宋体"/>
                <w:color w:val="auto"/>
                <w:sz w:val="21"/>
                <w:szCs w:val="21"/>
                <w:lang w:val="en-US" w:eastAsia="zh-CN"/>
              </w:rPr>
              <w:t>3-2.1</w:t>
            </w:r>
            <w:r>
              <w:rPr>
                <w:rFonts w:hint="eastAsia" w:ascii="宋体" w:hAnsi="宋体" w:cs="宋体"/>
                <w:color w:val="auto"/>
                <w:sz w:val="21"/>
                <w:szCs w:val="21"/>
              </w:rPr>
              <w:t>分</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第四档2-1.1分，第五档1-0分</w:t>
            </w:r>
            <w:r>
              <w:rPr>
                <w:rFonts w:hint="eastAsia" w:ascii="宋体" w:hAnsi="宋体" w:cs="宋体"/>
                <w:color w:val="auto"/>
                <w:sz w:val="21"/>
                <w:szCs w:val="21"/>
              </w:rPr>
              <w:t>。</w:t>
            </w:r>
          </w:p>
        </w:tc>
        <w:tc>
          <w:tcPr>
            <w:tcW w:w="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ascii="宋体" w:hAnsi="宋体" w:cs="宋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1217" w:type="dxa"/>
            <w:vMerge w:val="restart"/>
            <w:tcBorders>
              <w:top w:val="single" w:color="auto" w:sz="4" w:space="0"/>
              <w:left w:val="single" w:color="auto" w:sz="4" w:space="0"/>
              <w:right w:val="single" w:color="auto" w:sz="4" w:space="0"/>
            </w:tcBorders>
            <w:vAlign w:val="center"/>
          </w:tcPr>
          <w:p>
            <w:pPr>
              <w:widowControl/>
              <w:jc w:val="left"/>
              <w:rPr>
                <w:rFonts w:ascii="宋体" w:hAnsi="宋体" w:cs="宋体"/>
                <w:b/>
                <w:bCs/>
                <w:sz w:val="21"/>
                <w:szCs w:val="21"/>
              </w:rPr>
            </w:pPr>
            <w:r>
              <w:rPr>
                <w:rFonts w:hint="eastAsia" w:ascii="宋体" w:hAnsi="宋体" w:cs="宋体"/>
                <w:b/>
                <w:bCs/>
                <w:sz w:val="21"/>
                <w:szCs w:val="21"/>
              </w:rPr>
              <w:t>实力信誉及业绩</w:t>
            </w:r>
            <w:r>
              <w:rPr>
                <w:rFonts w:hint="eastAsia" w:ascii="宋体" w:hAnsi="宋体" w:cs="宋体"/>
                <w:b/>
                <w:bCs/>
                <w:sz w:val="21"/>
                <w:szCs w:val="21"/>
                <w:lang w:val="en-US" w:eastAsia="zh-CN"/>
              </w:rPr>
              <w:t>16</w:t>
            </w:r>
            <w:r>
              <w:rPr>
                <w:rFonts w:hint="eastAsia" w:ascii="宋体" w:hAnsi="宋体" w:cs="宋体"/>
                <w:b/>
                <w:bCs/>
                <w:sz w:val="21"/>
                <w:szCs w:val="21"/>
              </w:rPr>
              <w:t>分</w:t>
            </w:r>
          </w:p>
        </w:tc>
        <w:tc>
          <w:tcPr>
            <w:tcW w:w="754" w:type="dxa"/>
            <w:tcBorders>
              <w:top w:val="single" w:color="auto" w:sz="4" w:space="0"/>
              <w:left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投标人资质</w:t>
            </w:r>
          </w:p>
        </w:tc>
        <w:tc>
          <w:tcPr>
            <w:tcW w:w="5929" w:type="dxa"/>
            <w:tcBorders>
              <w:top w:val="single" w:color="auto" w:sz="4" w:space="0"/>
              <w:left w:val="single" w:color="auto" w:sz="4" w:space="0"/>
              <w:right w:val="single" w:color="auto" w:sz="4" w:space="0"/>
            </w:tcBorders>
            <w:vAlign w:val="center"/>
          </w:tcPr>
          <w:p>
            <w:pPr>
              <w:rPr>
                <w:rFonts w:hint="eastAsia" w:eastAsia="宋体"/>
                <w:color w:val="auto"/>
                <w:sz w:val="21"/>
                <w:szCs w:val="21"/>
                <w:lang w:eastAsia="zh-CN"/>
              </w:rPr>
            </w:pPr>
            <w:r>
              <w:rPr>
                <w:rFonts w:hint="eastAsia"/>
                <w:color w:val="auto"/>
                <w:sz w:val="21"/>
                <w:szCs w:val="21"/>
              </w:rPr>
              <w:t>投标人具备</w:t>
            </w:r>
            <w:r>
              <w:rPr>
                <w:color w:val="auto"/>
                <w:sz w:val="21"/>
                <w:szCs w:val="21"/>
              </w:rPr>
              <w:t>ISO</w:t>
            </w:r>
            <w:r>
              <w:rPr>
                <w:rFonts w:hint="eastAsia"/>
                <w:color w:val="auto"/>
                <w:sz w:val="21"/>
                <w:szCs w:val="21"/>
              </w:rPr>
              <w:t>20000IT服务管理体系证书得</w:t>
            </w:r>
            <w:r>
              <w:rPr>
                <w:color w:val="auto"/>
                <w:sz w:val="21"/>
                <w:szCs w:val="21"/>
              </w:rPr>
              <w:t>1</w:t>
            </w:r>
            <w:r>
              <w:rPr>
                <w:rFonts w:hint="eastAsia"/>
                <w:color w:val="auto"/>
                <w:sz w:val="21"/>
                <w:szCs w:val="21"/>
              </w:rPr>
              <w:t>分</w:t>
            </w:r>
            <w:r>
              <w:rPr>
                <w:rFonts w:hint="eastAsia"/>
                <w:color w:val="auto"/>
                <w:sz w:val="21"/>
                <w:szCs w:val="21"/>
                <w:lang w:eastAsia="zh-CN"/>
              </w:rPr>
              <w:t>。</w:t>
            </w:r>
          </w:p>
          <w:p>
            <w:pPr>
              <w:rPr>
                <w:rFonts w:hint="eastAsia" w:eastAsia="宋体"/>
                <w:color w:val="auto"/>
                <w:sz w:val="21"/>
                <w:szCs w:val="21"/>
                <w:lang w:eastAsia="zh-CN"/>
              </w:rPr>
            </w:pPr>
            <w:r>
              <w:rPr>
                <w:rFonts w:hint="eastAsia"/>
                <w:color w:val="auto"/>
                <w:sz w:val="21"/>
                <w:szCs w:val="21"/>
              </w:rPr>
              <w:t>投标人具备ISO27001信息安全管理体系证书得</w:t>
            </w:r>
            <w:r>
              <w:rPr>
                <w:color w:val="auto"/>
                <w:sz w:val="21"/>
                <w:szCs w:val="21"/>
              </w:rPr>
              <w:t>1</w:t>
            </w:r>
            <w:r>
              <w:rPr>
                <w:rFonts w:hint="eastAsia"/>
                <w:color w:val="auto"/>
                <w:sz w:val="21"/>
                <w:szCs w:val="21"/>
              </w:rPr>
              <w:t>分</w:t>
            </w:r>
            <w:r>
              <w:rPr>
                <w:rFonts w:hint="eastAsia"/>
                <w:color w:val="auto"/>
                <w:sz w:val="21"/>
                <w:szCs w:val="21"/>
                <w:lang w:eastAsia="zh-CN"/>
              </w:rPr>
              <w:t>。</w:t>
            </w:r>
          </w:p>
          <w:p>
            <w:pPr>
              <w:rPr>
                <w:color w:val="auto"/>
                <w:sz w:val="21"/>
                <w:szCs w:val="21"/>
              </w:rPr>
            </w:pPr>
            <w:r>
              <w:rPr>
                <w:rFonts w:hint="eastAsia"/>
                <w:color w:val="auto"/>
                <w:sz w:val="21"/>
                <w:szCs w:val="21"/>
              </w:rPr>
              <w:t>投标人具备ITSS信息技术服务运行维护标准符合性证书得</w:t>
            </w:r>
            <w:r>
              <w:rPr>
                <w:color w:val="auto"/>
                <w:sz w:val="21"/>
                <w:szCs w:val="21"/>
              </w:rPr>
              <w:t>1</w:t>
            </w:r>
            <w:r>
              <w:rPr>
                <w:rFonts w:hint="eastAsia"/>
                <w:color w:val="auto"/>
                <w:sz w:val="21"/>
                <w:szCs w:val="21"/>
              </w:rPr>
              <w:t>分</w:t>
            </w:r>
          </w:p>
          <w:p>
            <w:pPr>
              <w:jc w:val="left"/>
              <w:rPr>
                <w:rFonts w:ascii="宋体" w:hAnsi="宋体" w:cs="宋体"/>
                <w:color w:val="auto"/>
                <w:sz w:val="21"/>
                <w:szCs w:val="21"/>
              </w:rPr>
            </w:pPr>
            <w:r>
              <w:rPr>
                <w:rFonts w:hint="eastAsia" w:ascii="宋体" w:hAnsi="宋体" w:cs="宋体"/>
                <w:color w:val="auto"/>
                <w:sz w:val="21"/>
                <w:szCs w:val="21"/>
              </w:rPr>
              <w:t>（提供证书原件扫描件）。</w:t>
            </w:r>
          </w:p>
        </w:tc>
        <w:tc>
          <w:tcPr>
            <w:tcW w:w="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highlight w:val="lightGray"/>
              </w:rPr>
            </w:pPr>
            <w:r>
              <w:rPr>
                <w:rFonts w:ascii="宋体" w:hAnsi="宋体" w:cs="宋体"/>
                <w:color w:val="FF0000"/>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217" w:type="dxa"/>
            <w:vMerge w:val="continue"/>
            <w:tcBorders>
              <w:left w:val="single" w:color="auto" w:sz="4" w:space="0"/>
              <w:right w:val="single" w:color="auto" w:sz="4" w:space="0"/>
            </w:tcBorders>
            <w:vAlign w:val="center"/>
          </w:tcPr>
          <w:p>
            <w:pPr>
              <w:widowControl/>
              <w:jc w:val="left"/>
              <w:rPr>
                <w:rFonts w:ascii="宋体" w:hAnsi="宋体" w:cs="宋体"/>
                <w:b/>
                <w:bCs/>
                <w:sz w:val="21"/>
                <w:szCs w:val="21"/>
              </w:rPr>
            </w:pPr>
          </w:p>
        </w:tc>
        <w:tc>
          <w:tcPr>
            <w:tcW w:w="75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项目组情况</w:t>
            </w:r>
          </w:p>
        </w:tc>
        <w:tc>
          <w:tcPr>
            <w:tcW w:w="592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1"/>
                <w:szCs w:val="21"/>
              </w:rPr>
            </w:pPr>
            <w:r>
              <w:rPr>
                <w:rFonts w:hint="eastAsia" w:ascii="宋体" w:hAnsi="宋体" w:cs="宋体"/>
                <w:sz w:val="21"/>
                <w:szCs w:val="21"/>
              </w:rPr>
              <w:t>项目经理具备项目管理师（高级）和DEVOPS MASTER专家认证证书，每个得1分，最高2分</w:t>
            </w:r>
            <w:r>
              <w:rPr>
                <w:rFonts w:hint="eastAsia" w:ascii="宋体" w:hAnsi="宋体" w:cs="宋体"/>
                <w:sz w:val="21"/>
                <w:szCs w:val="21"/>
                <w:lang w:eastAsia="zh-CN"/>
              </w:rPr>
              <w:t>（</w:t>
            </w:r>
            <w:r>
              <w:rPr>
                <w:rFonts w:hint="eastAsia" w:ascii="宋体" w:hAnsi="宋体" w:cs="宋体"/>
                <w:sz w:val="21"/>
                <w:szCs w:val="21"/>
              </w:rPr>
              <w:t>证书官网可核查</w:t>
            </w:r>
            <w:r>
              <w:rPr>
                <w:rFonts w:hint="eastAsia" w:ascii="宋体" w:hAnsi="宋体" w:cs="宋体"/>
                <w:sz w:val="21"/>
                <w:szCs w:val="21"/>
                <w:lang w:eastAsia="zh-CN"/>
              </w:rPr>
              <w:t>）</w:t>
            </w:r>
            <w:r>
              <w:rPr>
                <w:rFonts w:hint="eastAsia" w:ascii="宋体" w:hAnsi="宋体" w:cs="宋体"/>
                <w:sz w:val="21"/>
                <w:szCs w:val="21"/>
              </w:rPr>
              <w:t>。</w:t>
            </w:r>
          </w:p>
          <w:p>
            <w:pPr>
              <w:jc w:val="left"/>
              <w:rPr>
                <w:rFonts w:hint="eastAsia"/>
                <w:color w:val="FF0000"/>
                <w:sz w:val="21"/>
                <w:szCs w:val="21"/>
                <w:lang w:eastAsia="zh-CN"/>
              </w:rPr>
            </w:pPr>
            <w:r>
              <w:rPr>
                <w:rFonts w:hint="eastAsia" w:ascii="宋体" w:hAnsi="宋体" w:cs="宋体"/>
                <w:color w:val="FF0000"/>
                <w:sz w:val="21"/>
                <w:szCs w:val="21"/>
              </w:rPr>
              <w:t>项目组人员具有所投品牌存储认证</w:t>
            </w:r>
            <w:r>
              <w:rPr>
                <w:rFonts w:hint="eastAsia" w:ascii="宋体" w:hAnsi="宋体" w:cs="宋体"/>
                <w:color w:val="FF0000"/>
                <w:sz w:val="21"/>
                <w:szCs w:val="21"/>
                <w:lang w:val="en-US" w:eastAsia="zh-CN"/>
              </w:rPr>
              <w:t>证书、</w:t>
            </w:r>
            <w:r>
              <w:rPr>
                <w:rFonts w:ascii="宋体" w:hAnsi="宋体" w:cs="宋体"/>
                <w:color w:val="FF0000"/>
                <w:sz w:val="21"/>
                <w:szCs w:val="21"/>
              </w:rPr>
              <w:t xml:space="preserve">VMware </w:t>
            </w:r>
            <w:r>
              <w:rPr>
                <w:rFonts w:hint="eastAsia" w:ascii="宋体" w:hAnsi="宋体" w:cs="宋体"/>
                <w:color w:val="FF0000"/>
                <w:sz w:val="21"/>
                <w:szCs w:val="21"/>
              </w:rPr>
              <w:t>V</w:t>
            </w:r>
            <w:r>
              <w:rPr>
                <w:rFonts w:ascii="宋体" w:hAnsi="宋体" w:cs="宋体"/>
                <w:color w:val="FF0000"/>
                <w:sz w:val="21"/>
                <w:szCs w:val="21"/>
              </w:rPr>
              <w:t>CP</w:t>
            </w:r>
            <w:r>
              <w:rPr>
                <w:rFonts w:hint="eastAsia" w:ascii="宋体" w:hAnsi="宋体" w:cs="宋体"/>
                <w:color w:val="FF0000"/>
                <w:sz w:val="21"/>
                <w:szCs w:val="21"/>
              </w:rPr>
              <w:t>证书</w:t>
            </w:r>
            <w:r>
              <w:rPr>
                <w:rFonts w:hint="eastAsia" w:ascii="宋体" w:hAnsi="宋体" w:cs="宋体"/>
                <w:color w:val="FF0000"/>
                <w:sz w:val="21"/>
                <w:szCs w:val="21"/>
                <w:lang w:eastAsia="zh-CN"/>
              </w:rPr>
              <w:t>、</w:t>
            </w:r>
            <w:r>
              <w:rPr>
                <w:rFonts w:ascii="宋体" w:hAnsi="宋体" w:cs="宋体"/>
                <w:color w:val="FF0000"/>
                <w:sz w:val="21"/>
                <w:szCs w:val="21"/>
              </w:rPr>
              <w:t>Oracle OCP</w:t>
            </w:r>
            <w:r>
              <w:rPr>
                <w:rFonts w:hint="eastAsia" w:ascii="宋体" w:hAnsi="宋体" w:cs="宋体"/>
                <w:color w:val="FF0000"/>
                <w:sz w:val="21"/>
                <w:szCs w:val="21"/>
              </w:rPr>
              <w:t>证书</w:t>
            </w:r>
            <w:r>
              <w:rPr>
                <w:rFonts w:hint="eastAsia" w:ascii="宋体" w:hAnsi="宋体" w:cs="宋体"/>
                <w:color w:val="FF0000"/>
                <w:sz w:val="21"/>
                <w:szCs w:val="21"/>
                <w:lang w:eastAsia="zh-CN"/>
              </w:rPr>
              <w:t>、</w:t>
            </w:r>
            <w:r>
              <w:rPr>
                <w:rFonts w:ascii="宋体" w:hAnsi="宋体" w:cs="宋体"/>
                <w:color w:val="FF0000"/>
                <w:sz w:val="21"/>
                <w:szCs w:val="21"/>
              </w:rPr>
              <w:t>Oracle OCM</w:t>
            </w:r>
            <w:r>
              <w:rPr>
                <w:rFonts w:hint="eastAsia" w:ascii="宋体" w:hAnsi="宋体" w:cs="宋体"/>
                <w:color w:val="FF0000"/>
                <w:sz w:val="21"/>
                <w:szCs w:val="21"/>
              </w:rPr>
              <w:t>证书的</w:t>
            </w:r>
            <w:r>
              <w:rPr>
                <w:rFonts w:hint="eastAsia" w:ascii="宋体" w:hAnsi="宋体" w:cs="宋体"/>
                <w:color w:val="FF0000"/>
                <w:sz w:val="21"/>
                <w:szCs w:val="21"/>
                <w:lang w:eastAsia="zh-CN"/>
              </w:rPr>
              <w:t>，</w:t>
            </w:r>
            <w:r>
              <w:rPr>
                <w:rFonts w:hint="eastAsia" w:ascii="宋体" w:hAnsi="宋体" w:cs="宋体"/>
                <w:color w:val="FF0000"/>
                <w:sz w:val="21"/>
                <w:szCs w:val="21"/>
              </w:rPr>
              <w:t>每个</w:t>
            </w:r>
            <w:r>
              <w:rPr>
                <w:rFonts w:hint="eastAsia"/>
                <w:color w:val="FF0000"/>
                <w:sz w:val="21"/>
                <w:szCs w:val="21"/>
              </w:rPr>
              <w:t>得</w:t>
            </w:r>
            <w:r>
              <w:rPr>
                <w:rFonts w:hint="eastAsia"/>
                <w:color w:val="FF0000"/>
                <w:sz w:val="21"/>
                <w:szCs w:val="21"/>
                <w:lang w:val="en-US" w:eastAsia="zh-CN"/>
              </w:rPr>
              <w:t>0.5</w:t>
            </w:r>
            <w:r>
              <w:rPr>
                <w:rFonts w:hint="eastAsia"/>
                <w:color w:val="FF0000"/>
                <w:sz w:val="21"/>
                <w:szCs w:val="21"/>
              </w:rPr>
              <w:t>分，最高</w:t>
            </w:r>
            <w:r>
              <w:rPr>
                <w:rFonts w:hint="eastAsia"/>
                <w:color w:val="FF0000"/>
                <w:sz w:val="21"/>
                <w:szCs w:val="21"/>
                <w:lang w:val="en-US" w:eastAsia="zh-CN"/>
              </w:rPr>
              <w:t>3</w:t>
            </w:r>
            <w:r>
              <w:rPr>
                <w:rFonts w:hint="eastAsia"/>
                <w:color w:val="FF0000"/>
                <w:sz w:val="21"/>
                <w:szCs w:val="21"/>
              </w:rPr>
              <w:t>分</w:t>
            </w:r>
            <w:r>
              <w:rPr>
                <w:rFonts w:hint="eastAsia"/>
                <w:color w:val="FF0000"/>
                <w:sz w:val="21"/>
                <w:szCs w:val="21"/>
                <w:lang w:eastAsia="zh-CN"/>
              </w:rPr>
              <w:t>。</w:t>
            </w:r>
          </w:p>
          <w:p>
            <w:pPr>
              <w:jc w:val="left"/>
              <w:rPr>
                <w:rFonts w:ascii="宋体" w:hAnsi="宋体" w:cs="宋体"/>
                <w:sz w:val="21"/>
                <w:szCs w:val="21"/>
              </w:rPr>
            </w:pPr>
            <w:r>
              <w:rPr>
                <w:rFonts w:hint="eastAsia"/>
                <w:color w:val="auto"/>
                <w:sz w:val="21"/>
                <w:szCs w:val="21"/>
                <w:lang w:val="en-US" w:eastAsia="zh-CN"/>
              </w:rPr>
              <w:t>同一人员以上</w:t>
            </w:r>
            <w:r>
              <w:rPr>
                <w:rFonts w:hint="eastAsia"/>
                <w:color w:val="auto"/>
                <w:sz w:val="21"/>
                <w:szCs w:val="21"/>
              </w:rPr>
              <w:t>得分</w:t>
            </w:r>
            <w:r>
              <w:rPr>
                <w:rFonts w:hint="eastAsia"/>
                <w:color w:val="auto"/>
                <w:sz w:val="21"/>
                <w:szCs w:val="21"/>
                <w:lang w:val="en-US" w:eastAsia="zh-CN"/>
              </w:rPr>
              <w:t>不得</w:t>
            </w:r>
            <w:r>
              <w:rPr>
                <w:rFonts w:hint="eastAsia"/>
                <w:color w:val="auto"/>
                <w:sz w:val="21"/>
                <w:szCs w:val="21"/>
              </w:rPr>
              <w:t>累加。要求</w:t>
            </w:r>
            <w:r>
              <w:rPr>
                <w:rFonts w:hint="eastAsia" w:ascii="宋体" w:hAnsi="宋体" w:cs="宋体"/>
                <w:color w:val="auto"/>
                <w:sz w:val="21"/>
                <w:szCs w:val="21"/>
              </w:rPr>
              <w:t>提供证书原件扫描件及</w:t>
            </w:r>
            <w:r>
              <w:rPr>
                <w:rFonts w:hint="eastAsia" w:ascii="宋体" w:hAnsi="宋体" w:cs="宋体"/>
                <w:color w:val="auto"/>
                <w:sz w:val="21"/>
                <w:szCs w:val="21"/>
                <w:lang w:val="en-US" w:eastAsia="zh-CN"/>
              </w:rPr>
              <w:t>对应人员近6个月的</w:t>
            </w:r>
            <w:r>
              <w:rPr>
                <w:rFonts w:hint="eastAsia" w:ascii="宋体" w:hAnsi="宋体" w:cs="宋体"/>
                <w:color w:val="auto"/>
                <w:sz w:val="21"/>
                <w:szCs w:val="21"/>
              </w:rPr>
              <w:t>社保证明，否则不得分。数据库证书官网可核查。</w:t>
            </w:r>
          </w:p>
        </w:tc>
        <w:tc>
          <w:tcPr>
            <w:tcW w:w="6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highlight w:val="lightGray"/>
                <w:lang w:val="en-US" w:eastAsia="zh-CN"/>
              </w:rPr>
            </w:pPr>
            <w:r>
              <w:rPr>
                <w:rFonts w:hint="eastAsia" w:ascii="宋体" w:hAnsi="宋体" w:cs="宋体"/>
                <w:color w:val="FF0000"/>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12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bCs/>
                <w:sz w:val="21"/>
                <w:szCs w:val="21"/>
              </w:rPr>
            </w:pPr>
          </w:p>
        </w:tc>
        <w:tc>
          <w:tcPr>
            <w:tcW w:w="754" w:type="dxa"/>
            <w:tcBorders>
              <w:top w:val="single" w:color="auto" w:sz="4" w:space="0"/>
              <w:left w:val="single" w:color="auto" w:sz="4" w:space="0"/>
              <w:right w:val="single" w:color="auto" w:sz="4" w:space="0"/>
            </w:tcBorders>
            <w:vAlign w:val="center"/>
          </w:tcPr>
          <w:p>
            <w:pPr>
              <w:jc w:val="center"/>
              <w:rPr>
                <w:rFonts w:ascii="宋体" w:hAnsi="宋体" w:cs="宋体"/>
                <w:b/>
                <w:bCs/>
                <w:sz w:val="21"/>
                <w:szCs w:val="21"/>
              </w:rPr>
            </w:pPr>
            <w:r>
              <w:rPr>
                <w:rFonts w:hint="eastAsia" w:ascii="宋体" w:hAnsi="宋体" w:cs="宋体"/>
                <w:b/>
                <w:bCs/>
                <w:sz w:val="21"/>
                <w:szCs w:val="21"/>
              </w:rPr>
              <w:t>项目案例</w:t>
            </w:r>
          </w:p>
        </w:tc>
        <w:tc>
          <w:tcPr>
            <w:tcW w:w="5929" w:type="dxa"/>
            <w:tcBorders>
              <w:top w:val="single" w:color="auto" w:sz="4" w:space="0"/>
              <w:left w:val="single" w:color="auto" w:sz="4" w:space="0"/>
              <w:right w:val="single" w:color="auto" w:sz="4" w:space="0"/>
            </w:tcBorders>
            <w:vAlign w:val="center"/>
          </w:tcPr>
          <w:p>
            <w:pPr>
              <w:jc w:val="left"/>
              <w:rPr>
                <w:sz w:val="21"/>
                <w:szCs w:val="21"/>
              </w:rPr>
            </w:pPr>
            <w:r>
              <w:rPr>
                <w:rFonts w:hint="eastAsia"/>
                <w:sz w:val="21"/>
                <w:szCs w:val="21"/>
              </w:rPr>
              <w:t>投标人自2017年</w:t>
            </w:r>
            <w:r>
              <w:rPr>
                <w:rFonts w:hint="eastAsia"/>
                <w:sz w:val="21"/>
                <w:szCs w:val="21"/>
                <w:lang w:val="en-US" w:eastAsia="zh-CN"/>
              </w:rPr>
              <w:t>11</w:t>
            </w:r>
            <w:r>
              <w:rPr>
                <w:rFonts w:hint="eastAsia"/>
                <w:sz w:val="21"/>
                <w:szCs w:val="21"/>
              </w:rPr>
              <w:t>月以来类似软硬件集成项目的成功案例，提供合同扫描件和验收报告（以签订时间为准），</w:t>
            </w:r>
            <w:r>
              <w:rPr>
                <w:rFonts w:hint="eastAsia"/>
                <w:sz w:val="21"/>
                <w:szCs w:val="21"/>
                <w:lang w:val="en-US" w:eastAsia="zh-CN"/>
              </w:rPr>
              <w:t>根据类似程度</w:t>
            </w:r>
            <w:r>
              <w:rPr>
                <w:rFonts w:hint="eastAsia"/>
                <w:sz w:val="21"/>
                <w:szCs w:val="21"/>
              </w:rPr>
              <w:t>每个得</w:t>
            </w:r>
            <w:r>
              <w:rPr>
                <w:sz w:val="21"/>
                <w:szCs w:val="21"/>
              </w:rPr>
              <w:t>1</w:t>
            </w:r>
            <w:r>
              <w:rPr>
                <w:rFonts w:hint="eastAsia"/>
                <w:sz w:val="21"/>
                <w:szCs w:val="21"/>
                <w:lang w:val="en-US" w:eastAsia="zh-CN"/>
              </w:rPr>
              <w:t>-0</w:t>
            </w:r>
            <w:r>
              <w:rPr>
                <w:rFonts w:hint="eastAsia"/>
                <w:sz w:val="21"/>
                <w:szCs w:val="21"/>
              </w:rPr>
              <w:t>分，最高</w:t>
            </w:r>
            <w:r>
              <w:rPr>
                <w:rFonts w:hint="eastAsia"/>
                <w:sz w:val="21"/>
                <w:szCs w:val="21"/>
                <w:lang w:val="en-US" w:eastAsia="zh-CN"/>
              </w:rPr>
              <w:t>4</w:t>
            </w:r>
            <w:r>
              <w:rPr>
                <w:rFonts w:hint="eastAsia"/>
                <w:sz w:val="21"/>
                <w:szCs w:val="21"/>
              </w:rPr>
              <w:t>分。</w:t>
            </w:r>
          </w:p>
          <w:p>
            <w:pPr>
              <w:jc w:val="left"/>
              <w:rPr>
                <w:sz w:val="21"/>
                <w:szCs w:val="21"/>
              </w:rPr>
            </w:pPr>
            <w:r>
              <w:rPr>
                <w:rFonts w:hint="eastAsia"/>
                <w:sz w:val="21"/>
                <w:szCs w:val="21"/>
              </w:rPr>
              <w:t>投标人自2017年</w:t>
            </w:r>
            <w:r>
              <w:rPr>
                <w:rFonts w:hint="eastAsia"/>
                <w:sz w:val="21"/>
                <w:szCs w:val="21"/>
                <w:lang w:val="en-US" w:eastAsia="zh-CN"/>
              </w:rPr>
              <w:t>11</w:t>
            </w:r>
            <w:r>
              <w:rPr>
                <w:rFonts w:hint="eastAsia"/>
                <w:sz w:val="21"/>
                <w:szCs w:val="21"/>
              </w:rPr>
              <w:t>月以来类似数据库迁移项目的成功案例，提供合同扫描件和验收报告（以签订时间为准），</w:t>
            </w:r>
            <w:r>
              <w:rPr>
                <w:rFonts w:hint="eastAsia"/>
                <w:sz w:val="21"/>
                <w:szCs w:val="21"/>
                <w:lang w:val="en-US" w:eastAsia="zh-CN"/>
              </w:rPr>
              <w:t>根据类似程度</w:t>
            </w:r>
            <w:r>
              <w:rPr>
                <w:rFonts w:hint="eastAsia"/>
                <w:sz w:val="21"/>
                <w:szCs w:val="21"/>
              </w:rPr>
              <w:t>每个得</w:t>
            </w:r>
            <w:r>
              <w:rPr>
                <w:sz w:val="21"/>
                <w:szCs w:val="21"/>
              </w:rPr>
              <w:t>1</w:t>
            </w:r>
            <w:r>
              <w:rPr>
                <w:rFonts w:hint="eastAsia"/>
                <w:sz w:val="21"/>
                <w:szCs w:val="21"/>
                <w:lang w:val="en-US" w:eastAsia="zh-CN"/>
              </w:rPr>
              <w:t>-0</w:t>
            </w:r>
            <w:r>
              <w:rPr>
                <w:rFonts w:hint="eastAsia"/>
                <w:sz w:val="21"/>
                <w:szCs w:val="21"/>
              </w:rPr>
              <w:t>分，最高</w:t>
            </w:r>
            <w:r>
              <w:rPr>
                <w:rFonts w:hint="eastAsia"/>
                <w:sz w:val="21"/>
                <w:szCs w:val="21"/>
                <w:lang w:val="en-US" w:eastAsia="zh-CN"/>
              </w:rPr>
              <w:t>4</w:t>
            </w:r>
            <w:r>
              <w:rPr>
                <w:rFonts w:hint="eastAsia"/>
                <w:sz w:val="21"/>
                <w:szCs w:val="21"/>
              </w:rPr>
              <w:t>分。</w:t>
            </w:r>
          </w:p>
        </w:tc>
        <w:tc>
          <w:tcPr>
            <w:tcW w:w="62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1217" w:type="dxa"/>
            <w:vMerge w:val="restart"/>
            <w:tcBorders>
              <w:left w:val="single" w:color="auto" w:sz="4" w:space="0"/>
              <w:right w:val="single" w:color="auto" w:sz="4" w:space="0"/>
            </w:tcBorders>
            <w:vAlign w:val="center"/>
          </w:tcPr>
          <w:p>
            <w:pPr>
              <w:widowControl/>
              <w:jc w:val="left"/>
              <w:rPr>
                <w:rFonts w:ascii="宋体" w:hAnsi="宋体" w:cs="宋体"/>
                <w:b/>
                <w:bCs/>
                <w:sz w:val="21"/>
                <w:szCs w:val="21"/>
              </w:rPr>
            </w:pPr>
            <w:r>
              <w:rPr>
                <w:rFonts w:hint="eastAsia" w:ascii="宋体" w:hAnsi="宋体" w:cs="宋体"/>
                <w:b/>
                <w:bCs/>
                <w:sz w:val="21"/>
                <w:szCs w:val="21"/>
              </w:rPr>
              <w:t>售后服务</w:t>
            </w:r>
            <w:r>
              <w:rPr>
                <w:rFonts w:hint="eastAsia" w:ascii="宋体" w:hAnsi="宋体" w:cs="宋体"/>
                <w:b/>
                <w:bCs/>
                <w:sz w:val="21"/>
                <w:szCs w:val="21"/>
                <w:lang w:val="en-US" w:eastAsia="zh-CN"/>
              </w:rPr>
              <w:t>10</w:t>
            </w:r>
            <w:r>
              <w:rPr>
                <w:rFonts w:hint="eastAsia" w:ascii="宋体" w:hAnsi="宋体" w:cs="宋体"/>
                <w:b/>
                <w:bCs/>
                <w:sz w:val="21"/>
                <w:szCs w:val="21"/>
              </w:rPr>
              <w:t>分</w:t>
            </w:r>
          </w:p>
        </w:tc>
        <w:tc>
          <w:tcPr>
            <w:tcW w:w="6683" w:type="dxa"/>
            <w:gridSpan w:val="2"/>
            <w:tcBorders>
              <w:top w:val="single" w:color="auto" w:sz="4" w:space="0"/>
              <w:left w:val="single" w:color="auto" w:sz="4" w:space="0"/>
              <w:right w:val="single" w:color="auto" w:sz="4" w:space="0"/>
            </w:tcBorders>
            <w:vAlign w:val="center"/>
          </w:tcPr>
          <w:p>
            <w:pPr>
              <w:jc w:val="left"/>
              <w:rPr>
                <w:color w:val="auto"/>
                <w:sz w:val="21"/>
                <w:szCs w:val="21"/>
              </w:rPr>
            </w:pPr>
            <w:r>
              <w:rPr>
                <w:rFonts w:hint="eastAsia" w:ascii="宋体" w:hAnsi="宋体"/>
                <w:color w:val="auto"/>
                <w:szCs w:val="21"/>
                <w:lang w:val="en-US" w:eastAsia="zh-CN"/>
              </w:rPr>
              <w:t>根据</w:t>
            </w:r>
            <w:r>
              <w:rPr>
                <w:rFonts w:hint="eastAsia" w:ascii="宋体" w:hAnsi="宋体"/>
                <w:color w:val="auto"/>
                <w:szCs w:val="21"/>
              </w:rPr>
              <w:t>售后服务方案（包括定期巡检，保修范围，服务标准，服务力量，人员配备，7*24小时服务热线，故障响应修复时间方式及保障措施等），</w:t>
            </w:r>
            <w:r>
              <w:rPr>
                <w:rFonts w:hint="eastAsia" w:ascii="宋体" w:hAnsi="宋体"/>
                <w:color w:val="auto"/>
                <w:szCs w:val="21"/>
                <w:lang w:val="en-US" w:eastAsia="zh-CN"/>
              </w:rPr>
              <w:t>进行</w:t>
            </w:r>
            <w:r>
              <w:rPr>
                <w:rFonts w:hint="eastAsia" w:ascii="宋体" w:hAnsi="宋体"/>
                <w:color w:val="auto"/>
                <w:szCs w:val="21"/>
              </w:rPr>
              <w:t>评分</w:t>
            </w:r>
            <w:r>
              <w:rPr>
                <w:rFonts w:hint="eastAsia" w:ascii="宋体" w:hAnsi="宋体"/>
                <w:color w:val="auto"/>
                <w:szCs w:val="21"/>
                <w:lang w:eastAsia="zh-CN"/>
              </w:rPr>
              <w:t>：</w:t>
            </w:r>
            <w:r>
              <w:rPr>
                <w:rFonts w:hint="eastAsia" w:ascii="宋体" w:hAnsi="宋体" w:cs="宋体"/>
                <w:color w:val="auto"/>
                <w:sz w:val="21"/>
                <w:szCs w:val="21"/>
              </w:rPr>
              <w:t>第一档</w:t>
            </w:r>
            <w:r>
              <w:rPr>
                <w:rFonts w:hint="eastAsia" w:ascii="宋体" w:hAnsi="宋体" w:cs="宋体"/>
                <w:color w:val="auto"/>
                <w:sz w:val="21"/>
                <w:szCs w:val="21"/>
                <w:lang w:val="en-US" w:eastAsia="zh-CN"/>
              </w:rPr>
              <w:t>5-4.1</w:t>
            </w:r>
            <w:r>
              <w:rPr>
                <w:rFonts w:hint="eastAsia" w:ascii="宋体" w:hAnsi="宋体" w:cs="宋体"/>
                <w:color w:val="auto"/>
                <w:sz w:val="21"/>
                <w:szCs w:val="21"/>
              </w:rPr>
              <w:t>分，第二档</w:t>
            </w:r>
            <w:r>
              <w:rPr>
                <w:rFonts w:hint="eastAsia" w:ascii="宋体" w:hAnsi="宋体" w:cs="宋体"/>
                <w:color w:val="auto"/>
                <w:sz w:val="21"/>
                <w:szCs w:val="21"/>
                <w:lang w:val="en-US" w:eastAsia="zh-CN"/>
              </w:rPr>
              <w:t>4-3.1</w:t>
            </w:r>
            <w:r>
              <w:rPr>
                <w:rFonts w:hint="eastAsia" w:ascii="宋体" w:hAnsi="宋体" w:cs="宋体"/>
                <w:color w:val="auto"/>
                <w:sz w:val="21"/>
                <w:szCs w:val="21"/>
              </w:rPr>
              <w:t>分，第三档</w:t>
            </w:r>
            <w:r>
              <w:rPr>
                <w:rFonts w:hint="eastAsia" w:ascii="宋体" w:hAnsi="宋体" w:cs="宋体"/>
                <w:color w:val="auto"/>
                <w:sz w:val="21"/>
                <w:szCs w:val="21"/>
                <w:lang w:val="en-US" w:eastAsia="zh-CN"/>
              </w:rPr>
              <w:t>3-2.1</w:t>
            </w:r>
            <w:r>
              <w:rPr>
                <w:rFonts w:hint="eastAsia" w:ascii="宋体" w:hAnsi="宋体" w:cs="宋体"/>
                <w:color w:val="auto"/>
                <w:sz w:val="21"/>
                <w:szCs w:val="21"/>
              </w:rPr>
              <w:t>分</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第四档2-1.1分，第五档1-0分</w:t>
            </w:r>
            <w:r>
              <w:rPr>
                <w:rFonts w:hint="eastAsia" w:ascii="宋体" w:hAnsi="宋体" w:cs="宋体"/>
                <w:color w:val="auto"/>
                <w:sz w:val="21"/>
                <w:szCs w:val="21"/>
              </w:rPr>
              <w:t>。</w:t>
            </w:r>
          </w:p>
        </w:tc>
        <w:tc>
          <w:tcPr>
            <w:tcW w:w="6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 w:val="21"/>
                <w:szCs w:val="21"/>
                <w:lang w:eastAsia="zh-CN"/>
              </w:rPr>
            </w:pPr>
            <w:r>
              <w:rPr>
                <w:rFonts w:hint="eastAsia" w:ascii="宋体" w:hAnsi="宋体" w:cs="宋体"/>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217" w:type="dxa"/>
            <w:vMerge w:val="continue"/>
            <w:tcBorders>
              <w:left w:val="single" w:color="auto" w:sz="4" w:space="0"/>
              <w:right w:val="single" w:color="auto" w:sz="4" w:space="0"/>
            </w:tcBorders>
            <w:vAlign w:val="center"/>
          </w:tcPr>
          <w:p>
            <w:pPr>
              <w:widowControl/>
              <w:jc w:val="left"/>
              <w:rPr>
                <w:rFonts w:ascii="宋体" w:hAnsi="宋体" w:cs="宋体"/>
                <w:b/>
                <w:bCs/>
                <w:sz w:val="21"/>
                <w:szCs w:val="21"/>
              </w:rPr>
            </w:pPr>
          </w:p>
        </w:tc>
        <w:tc>
          <w:tcPr>
            <w:tcW w:w="6683" w:type="dxa"/>
            <w:gridSpan w:val="2"/>
            <w:tcBorders>
              <w:top w:val="single" w:color="auto" w:sz="4" w:space="0"/>
              <w:left w:val="single" w:color="auto" w:sz="4" w:space="0"/>
              <w:right w:val="single" w:color="auto" w:sz="4" w:space="0"/>
            </w:tcBorders>
            <w:vAlign w:val="center"/>
          </w:tcPr>
          <w:p>
            <w:pPr>
              <w:jc w:val="left"/>
              <w:rPr>
                <w:rFonts w:hint="eastAsia"/>
                <w:color w:val="auto"/>
                <w:sz w:val="21"/>
                <w:szCs w:val="21"/>
                <w:lang w:val="en-US" w:eastAsia="zh-CN"/>
              </w:rPr>
            </w:pPr>
            <w:r>
              <w:rPr>
                <w:rFonts w:hint="eastAsia" w:ascii="宋体" w:hAnsi="宋体" w:cs="宋体"/>
                <w:color w:val="auto"/>
                <w:kern w:val="0"/>
                <w:sz w:val="21"/>
                <w:szCs w:val="21"/>
                <w:lang w:val="en-US" w:eastAsia="zh-CN"/>
              </w:rPr>
              <w:t>提供完备的培训方案。</w:t>
            </w:r>
          </w:p>
        </w:tc>
        <w:tc>
          <w:tcPr>
            <w:tcW w:w="62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s="宋体"/>
                <w:sz w:val="21"/>
                <w:szCs w:val="21"/>
              </w:rPr>
            </w:pPr>
            <w:r>
              <w:rPr>
                <w:rFonts w:hint="eastAsia" w:ascii="宋体" w:hAnsi="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217" w:type="dxa"/>
            <w:vMerge w:val="continue"/>
            <w:tcBorders>
              <w:left w:val="single" w:color="auto" w:sz="4" w:space="0"/>
              <w:right w:val="single" w:color="auto" w:sz="4" w:space="0"/>
            </w:tcBorders>
            <w:vAlign w:val="center"/>
          </w:tcPr>
          <w:p>
            <w:pPr>
              <w:widowControl/>
              <w:jc w:val="left"/>
              <w:rPr>
                <w:rFonts w:ascii="宋体" w:hAnsi="宋体" w:cs="宋体"/>
                <w:b/>
                <w:bCs/>
                <w:sz w:val="21"/>
                <w:szCs w:val="21"/>
              </w:rPr>
            </w:pPr>
          </w:p>
        </w:tc>
        <w:tc>
          <w:tcPr>
            <w:tcW w:w="6683" w:type="dxa"/>
            <w:gridSpan w:val="2"/>
            <w:tcBorders>
              <w:top w:val="single" w:color="auto" w:sz="4" w:space="0"/>
              <w:left w:val="single" w:color="auto" w:sz="4" w:space="0"/>
              <w:right w:val="single" w:color="auto" w:sz="4" w:space="0"/>
            </w:tcBorders>
            <w:vAlign w:val="center"/>
          </w:tcPr>
          <w:p>
            <w:pPr>
              <w:jc w:val="left"/>
              <w:rPr>
                <w:rFonts w:hint="default" w:eastAsia="宋体"/>
                <w:color w:val="auto"/>
                <w:sz w:val="21"/>
                <w:szCs w:val="21"/>
                <w:lang w:val="en-US" w:eastAsia="zh-CN"/>
              </w:rPr>
            </w:pPr>
            <w:r>
              <w:rPr>
                <w:rFonts w:hint="eastAsia" w:ascii="宋体" w:hAnsi="宋体" w:cs="宋体"/>
                <w:color w:val="auto"/>
                <w:kern w:val="0"/>
                <w:sz w:val="21"/>
                <w:szCs w:val="21"/>
                <w:lang w:val="en-US" w:eastAsia="zh-CN"/>
              </w:rPr>
              <w:t>备品备件，明确存放方式。</w:t>
            </w:r>
          </w:p>
        </w:tc>
        <w:tc>
          <w:tcPr>
            <w:tcW w:w="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jc w:val="center"/>
        </w:trPr>
        <w:tc>
          <w:tcPr>
            <w:tcW w:w="121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bCs/>
                <w:sz w:val="21"/>
                <w:szCs w:val="21"/>
              </w:rPr>
            </w:pPr>
          </w:p>
        </w:tc>
        <w:tc>
          <w:tcPr>
            <w:tcW w:w="6683" w:type="dxa"/>
            <w:gridSpan w:val="2"/>
            <w:tcBorders>
              <w:top w:val="single" w:color="auto" w:sz="4" w:space="0"/>
              <w:left w:val="single" w:color="auto" w:sz="4" w:space="0"/>
              <w:right w:val="single" w:color="auto" w:sz="4" w:space="0"/>
            </w:tcBorders>
            <w:vAlign w:val="center"/>
          </w:tcPr>
          <w:p>
            <w:pPr>
              <w:jc w:val="left"/>
              <w:rPr>
                <w:color w:val="auto"/>
                <w:sz w:val="21"/>
                <w:szCs w:val="21"/>
              </w:rPr>
            </w:pPr>
            <w:r>
              <w:rPr>
                <w:rFonts w:hint="eastAsia" w:ascii="宋体" w:hAnsi="宋体" w:cs="宋体"/>
                <w:color w:val="auto"/>
                <w:kern w:val="0"/>
                <w:sz w:val="21"/>
                <w:szCs w:val="21"/>
              </w:rPr>
              <w:t>根据</w:t>
            </w:r>
            <w:r>
              <w:rPr>
                <w:rFonts w:hint="eastAsia" w:ascii="宋体" w:hAnsi="宋体" w:cs="宋体"/>
                <w:color w:val="auto"/>
                <w:sz w:val="21"/>
                <w:szCs w:val="21"/>
              </w:rPr>
              <w:t>本地化服务能力及可行性</w:t>
            </w:r>
            <w:r>
              <w:rPr>
                <w:rFonts w:hint="eastAsia" w:ascii="宋体" w:hAnsi="宋体" w:cs="宋体"/>
                <w:color w:val="auto"/>
                <w:kern w:val="0"/>
                <w:sz w:val="21"/>
                <w:szCs w:val="21"/>
              </w:rPr>
              <w:t>进行</w:t>
            </w:r>
            <w:r>
              <w:rPr>
                <w:rFonts w:hint="eastAsia" w:ascii="宋体" w:hAnsi="宋体" w:cs="宋体"/>
                <w:color w:val="auto"/>
                <w:kern w:val="0"/>
                <w:sz w:val="21"/>
                <w:szCs w:val="21"/>
                <w:lang w:val="en-US" w:eastAsia="zh-CN"/>
              </w:rPr>
              <w:t>评</w:t>
            </w:r>
            <w:r>
              <w:rPr>
                <w:rFonts w:hint="eastAsia" w:ascii="宋体" w:hAnsi="宋体" w:cs="宋体"/>
                <w:color w:val="auto"/>
                <w:kern w:val="0"/>
                <w:sz w:val="21"/>
                <w:szCs w:val="21"/>
              </w:rPr>
              <w:t>分</w:t>
            </w:r>
            <w:r>
              <w:rPr>
                <w:rFonts w:hint="eastAsia" w:ascii="宋体" w:hAnsi="宋体" w:cs="宋体"/>
                <w:color w:val="auto"/>
                <w:kern w:val="0"/>
                <w:sz w:val="21"/>
                <w:szCs w:val="21"/>
                <w:lang w:eastAsia="zh-CN"/>
              </w:rPr>
              <w:t>：</w:t>
            </w:r>
            <w:r>
              <w:rPr>
                <w:rFonts w:hint="eastAsia" w:ascii="宋体" w:hAnsi="宋体" w:cs="宋体"/>
                <w:color w:val="auto"/>
                <w:sz w:val="21"/>
                <w:szCs w:val="21"/>
              </w:rPr>
              <w:t>第一档3-2分；第二档，2-1分；第三档1-0分。</w:t>
            </w:r>
          </w:p>
        </w:tc>
        <w:tc>
          <w:tcPr>
            <w:tcW w:w="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sz w:val="21"/>
                <w:szCs w:val="21"/>
              </w:rPr>
            </w:pPr>
            <w:r>
              <w:rPr>
                <w:rFonts w:hint="eastAsia" w:ascii="宋体" w:hAnsi="宋体" w:cs="宋体"/>
                <w:b/>
                <w:bCs/>
                <w:sz w:val="21"/>
                <w:szCs w:val="21"/>
              </w:rPr>
              <w:t>对招标文件响应程度2分</w:t>
            </w:r>
          </w:p>
        </w:tc>
        <w:tc>
          <w:tcPr>
            <w:tcW w:w="6683"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1"/>
                <w:szCs w:val="21"/>
              </w:rPr>
            </w:pPr>
            <w:r>
              <w:rPr>
                <w:rFonts w:hint="eastAsia" w:ascii="宋体" w:hAnsi="宋体" w:eastAsia="宋体" w:cs="宋体"/>
                <w:color w:val="auto"/>
                <w:sz w:val="21"/>
                <w:szCs w:val="21"/>
              </w:rPr>
              <w:t>根据电子投标文件的内容、结构等情况与招标文件的要求比对，酌情打分。</w:t>
            </w:r>
          </w:p>
        </w:tc>
        <w:tc>
          <w:tcPr>
            <w:tcW w:w="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hint="eastAsia" w:ascii="宋体" w:hAnsi="宋体" w:cs="宋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sz w:val="21"/>
                <w:szCs w:val="21"/>
              </w:rPr>
            </w:pPr>
            <w:r>
              <w:rPr>
                <w:rFonts w:hint="eastAsia" w:ascii="宋体" w:hAnsi="宋体" w:cs="宋体"/>
                <w:b/>
                <w:bCs/>
                <w:sz w:val="21"/>
                <w:szCs w:val="21"/>
              </w:rPr>
              <w:t>价格</w:t>
            </w:r>
            <w:r>
              <w:rPr>
                <w:rFonts w:ascii="宋体" w:hAnsi="宋体" w:cs="宋体"/>
                <w:b/>
                <w:bCs/>
                <w:sz w:val="21"/>
                <w:szCs w:val="21"/>
              </w:rPr>
              <w:t>3</w:t>
            </w:r>
            <w:r>
              <w:rPr>
                <w:rFonts w:hint="eastAsia" w:ascii="宋体" w:hAnsi="宋体" w:cs="宋体"/>
                <w:b/>
                <w:bCs/>
                <w:sz w:val="21"/>
                <w:szCs w:val="21"/>
              </w:rPr>
              <w:t>0分</w:t>
            </w:r>
          </w:p>
        </w:tc>
        <w:tc>
          <w:tcPr>
            <w:tcW w:w="6683"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1"/>
                <w:szCs w:val="21"/>
              </w:rPr>
            </w:pPr>
            <w:r>
              <w:rPr>
                <w:rFonts w:hint="eastAsia" w:ascii="宋体" w:hAnsi="宋体" w:cs="宋体"/>
                <w:color w:val="auto"/>
                <w:sz w:val="21"/>
                <w:szCs w:val="21"/>
              </w:rPr>
              <w:t>以投标合格供应商有效投标总报价中的最低价为基准价，基准价为</w:t>
            </w:r>
            <w:r>
              <w:rPr>
                <w:rFonts w:hint="eastAsia" w:ascii="宋体" w:hAnsi="宋体" w:cs="宋体"/>
                <w:color w:val="auto"/>
                <w:sz w:val="21"/>
                <w:szCs w:val="21"/>
                <w:lang w:val="en-US" w:eastAsia="zh-CN"/>
              </w:rPr>
              <w:t>30</w:t>
            </w:r>
            <w:r>
              <w:rPr>
                <w:rFonts w:hint="eastAsia" w:ascii="宋体" w:hAnsi="宋体" w:cs="宋体"/>
                <w:color w:val="auto"/>
                <w:sz w:val="21"/>
                <w:szCs w:val="21"/>
              </w:rPr>
              <w:t>分。投标报价得分＝（评标基准价/最终投标报价）</w:t>
            </w:r>
            <w:r>
              <w:rPr>
                <w:rFonts w:hint="eastAsia" w:ascii="宋体" w:hAnsi="宋体" w:cs="宋体"/>
                <w:bCs/>
                <w:color w:val="auto"/>
                <w:sz w:val="21"/>
                <w:szCs w:val="21"/>
              </w:rPr>
              <w:t>×</w:t>
            </w:r>
            <w:r>
              <w:rPr>
                <w:rFonts w:hint="eastAsia" w:ascii="宋体" w:hAnsi="宋体" w:cs="宋体"/>
                <w:color w:val="auto"/>
                <w:kern w:val="0"/>
                <w:sz w:val="21"/>
                <w:szCs w:val="21"/>
                <w:lang w:val="en-US" w:eastAsia="zh-CN"/>
              </w:rPr>
              <w:t>30</w:t>
            </w:r>
            <w:r>
              <w:rPr>
                <w:rFonts w:hint="eastAsia" w:ascii="宋体" w:hAnsi="宋体" w:cs="宋体"/>
                <w:color w:val="auto"/>
                <w:kern w:val="0"/>
                <w:sz w:val="21"/>
                <w:szCs w:val="21"/>
              </w:rPr>
              <w:t>%</w:t>
            </w:r>
            <w:r>
              <w:rPr>
                <w:rFonts w:hint="eastAsia" w:ascii="宋体" w:hAnsi="宋体" w:cs="宋体"/>
                <w:bCs/>
                <w:color w:val="auto"/>
                <w:sz w:val="21"/>
                <w:szCs w:val="21"/>
              </w:rPr>
              <w:t>×</w:t>
            </w:r>
            <w:r>
              <w:rPr>
                <w:rFonts w:hint="eastAsia" w:ascii="宋体" w:hAnsi="宋体" w:cs="宋体"/>
                <w:color w:val="auto"/>
                <w:kern w:val="0"/>
                <w:sz w:val="21"/>
                <w:szCs w:val="21"/>
              </w:rPr>
              <w:t>100</w:t>
            </w:r>
            <w:r>
              <w:rPr>
                <w:rFonts w:hint="eastAsia" w:asciiTheme="minorEastAsia" w:hAnsiTheme="minorEastAsia" w:eastAsiaTheme="minorEastAsia" w:cstheme="minorEastAsia"/>
                <w:color w:val="auto"/>
                <w:sz w:val="21"/>
                <w:szCs w:val="21"/>
              </w:rPr>
              <w:t>（小数点后保留2位小数）。</w:t>
            </w:r>
            <w:r>
              <w:rPr>
                <w:rFonts w:hint="eastAsia" w:asciiTheme="minorEastAsia" w:hAnsiTheme="minorEastAsia" w:eastAsiaTheme="minorEastAsia"/>
                <w:color w:val="auto"/>
                <w:sz w:val="21"/>
                <w:szCs w:val="21"/>
              </w:rPr>
              <w:t>（注：对于</w:t>
            </w:r>
            <w:r>
              <w:rPr>
                <w:rFonts w:asciiTheme="minorEastAsia" w:hAnsiTheme="minorEastAsia" w:eastAsiaTheme="minorEastAsia"/>
                <w:color w:val="auto"/>
                <w:sz w:val="21"/>
                <w:szCs w:val="21"/>
              </w:rPr>
              <w:t>小型和微型企业</w:t>
            </w:r>
            <w:r>
              <w:rPr>
                <w:rFonts w:hint="eastAsia" w:asciiTheme="minorEastAsia" w:hAnsiTheme="minorEastAsia" w:eastAsiaTheme="minorEastAsia"/>
                <w:color w:val="auto"/>
                <w:sz w:val="21"/>
                <w:szCs w:val="21"/>
              </w:rPr>
              <w:t>产品</w:t>
            </w:r>
            <w:r>
              <w:rPr>
                <w:rFonts w:asciiTheme="minorEastAsia" w:hAnsiTheme="minorEastAsia" w:eastAsiaTheme="minorEastAsia"/>
                <w:color w:val="auto"/>
                <w:sz w:val="21"/>
                <w:szCs w:val="21"/>
              </w:rPr>
              <w:t>的</w:t>
            </w:r>
            <w:r>
              <w:rPr>
                <w:rFonts w:hint="eastAsia" w:asciiTheme="minorEastAsia" w:hAnsiTheme="minorEastAsia" w:eastAsiaTheme="minorEastAsia"/>
                <w:color w:val="auto"/>
                <w:sz w:val="21"/>
                <w:szCs w:val="21"/>
              </w:rPr>
              <w:t>价格</w:t>
            </w:r>
            <w:r>
              <w:rPr>
                <w:rFonts w:asciiTheme="minorEastAsia" w:hAnsiTheme="minorEastAsia" w:eastAsiaTheme="minorEastAsia"/>
                <w:color w:val="auto"/>
                <w:sz w:val="21"/>
                <w:szCs w:val="21"/>
              </w:rPr>
              <w:t>给予6%的扣除，用扣除后的价</w:t>
            </w:r>
            <w:r>
              <w:rPr>
                <w:rFonts w:hint="eastAsia" w:asciiTheme="minorEastAsia" w:hAnsiTheme="minorEastAsia" w:eastAsiaTheme="minorEastAsia"/>
                <w:color w:val="auto"/>
                <w:sz w:val="21"/>
                <w:szCs w:val="21"/>
              </w:rPr>
              <w:t>格</w:t>
            </w:r>
            <w:r>
              <w:rPr>
                <w:rFonts w:asciiTheme="minorEastAsia" w:hAnsiTheme="minorEastAsia" w:eastAsiaTheme="minorEastAsia"/>
                <w:color w:val="auto"/>
                <w:sz w:val="21"/>
                <w:szCs w:val="21"/>
              </w:rPr>
              <w:t>参与评审</w:t>
            </w:r>
            <w:r>
              <w:rPr>
                <w:rFonts w:hint="eastAsia"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lang w:val="en-US" w:eastAsia="zh-CN"/>
              </w:rPr>
              <w:t>)</w:t>
            </w:r>
          </w:p>
        </w:tc>
        <w:tc>
          <w:tcPr>
            <w:tcW w:w="62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 w:val="21"/>
                <w:szCs w:val="21"/>
              </w:rPr>
            </w:pPr>
            <w:r>
              <w:rPr>
                <w:rFonts w:ascii="宋体" w:hAnsi="宋体" w:cs="宋体"/>
                <w:sz w:val="21"/>
                <w:szCs w:val="21"/>
              </w:rPr>
              <w:t>3</w:t>
            </w:r>
            <w:r>
              <w:rPr>
                <w:rFonts w:hint="eastAsia" w:ascii="宋体" w:hAnsi="宋体" w:cs="宋体"/>
                <w:sz w:val="21"/>
                <w:szCs w:val="21"/>
              </w:rPr>
              <w:t>0</w:t>
            </w:r>
          </w:p>
        </w:tc>
      </w:tr>
    </w:tbl>
    <w:p>
      <w:pPr>
        <w:pStyle w:val="28"/>
        <w:ind w:firstLine="480" w:firstLineChars="200"/>
        <w:rPr>
          <w:rFonts w:asciiTheme="minorEastAsia" w:hAnsiTheme="minorEastAsia" w:eastAsiaTheme="minorEastAsia"/>
          <w:sz w:val="24"/>
          <w:szCs w:val="24"/>
        </w:rPr>
      </w:pPr>
    </w:p>
    <w:p>
      <w:pPr>
        <w:pStyle w:val="2"/>
        <w:ind w:firstLine="0"/>
        <w:rPr>
          <w:rFonts w:ascii="宋体" w:hAnsi="宋体" w:cs="宋体"/>
          <w:b/>
          <w:sz w:val="24"/>
        </w:rPr>
      </w:pPr>
    </w:p>
    <w:p>
      <w:pPr>
        <w:autoSpaceDE w:val="0"/>
        <w:autoSpaceDN w:val="0"/>
        <w:adjustRightInd w:val="0"/>
        <w:spacing w:line="360" w:lineRule="auto"/>
        <w:jc w:val="left"/>
        <w:rPr>
          <w:rFonts w:ascii="宋体" w:hAnsi="宋体" w:cs="宋体"/>
          <w:b/>
          <w:sz w:val="24"/>
        </w:rPr>
      </w:pPr>
      <w:r>
        <w:rPr>
          <w:rFonts w:hint="eastAsia" w:ascii="宋体" w:hAnsi="宋体" w:cs="宋体"/>
          <w:b/>
          <w:sz w:val="24"/>
        </w:rPr>
        <w:t>注：1、合同、证书、报告及其他相关证明材料，将原件扫描上传至电子投标文件，并加盖电子印章。</w:t>
      </w:r>
    </w:p>
    <w:p>
      <w:pPr>
        <w:autoSpaceDE w:val="0"/>
        <w:autoSpaceDN w:val="0"/>
        <w:adjustRightInd w:val="0"/>
        <w:spacing w:line="360" w:lineRule="auto"/>
        <w:ind w:firstLine="482" w:firstLineChars="200"/>
        <w:rPr>
          <w:rFonts w:ascii="宋体" w:hAnsi="宋体" w:cs="宋体"/>
          <w:bCs/>
          <w:color w:val="FF0000"/>
          <w:sz w:val="24"/>
        </w:rPr>
      </w:pPr>
      <w:r>
        <w:rPr>
          <w:rFonts w:hint="eastAsia" w:ascii="宋体" w:hAnsi="宋体" w:cs="宋体"/>
          <w:b/>
          <w:sz w:val="24"/>
        </w:rPr>
        <w:t>2、得分为第一档的指的是各细项指标全部满足甚至优于采购需求的；第二档指的是与采购人目标需求相比，稍有瑕疵的；第三、四、五档依次类推。</w:t>
      </w:r>
    </w:p>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numPr>
          <w:ilvl w:val="0"/>
          <w:numId w:val="6"/>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公开招标需求</w:t>
      </w:r>
    </w:p>
    <w:p>
      <w:pPr>
        <w:numPr>
          <w:ilvl w:val="0"/>
          <w:numId w:val="12"/>
        </w:numPr>
        <w:tabs>
          <w:tab w:val="left" w:pos="8280"/>
        </w:tabs>
        <w:autoSpaceDE w:val="0"/>
        <w:autoSpaceDN w:val="0"/>
        <w:adjustRightInd w:val="0"/>
        <w:spacing w:line="360" w:lineRule="auto"/>
        <w:ind w:right="25"/>
        <w:rPr>
          <w:rFonts w:asciiTheme="minorEastAsia" w:hAnsiTheme="minorEastAsia" w:eastAsiaTheme="minorEastAsia"/>
          <w:b/>
          <w:sz w:val="24"/>
        </w:rPr>
      </w:pPr>
      <w:r>
        <w:rPr>
          <w:rFonts w:hint="eastAsia" w:asciiTheme="minorEastAsia" w:hAnsiTheme="minorEastAsia" w:eastAsiaTheme="minorEastAsia"/>
          <w:b/>
          <w:sz w:val="24"/>
        </w:rPr>
        <w:t>招标项目一览表</w:t>
      </w:r>
    </w:p>
    <w:p>
      <w:pPr>
        <w:tabs>
          <w:tab w:val="left" w:pos="8280"/>
        </w:tabs>
        <w:autoSpaceDE w:val="0"/>
        <w:autoSpaceDN w:val="0"/>
        <w:adjustRightInd w:val="0"/>
        <w:spacing w:line="360" w:lineRule="auto"/>
        <w:ind w:right="25" w:firstLine="280"/>
        <w:rPr>
          <w:rFonts w:ascii="宋体" w:hAnsi="宋体"/>
          <w:color w:val="000000"/>
          <w:sz w:val="24"/>
        </w:rPr>
      </w:pPr>
      <w:r>
        <w:rPr>
          <w:rFonts w:hint="eastAsia" w:ascii="宋体" w:hAnsi="宋体"/>
          <w:color w:val="000000"/>
          <w:sz w:val="24"/>
        </w:rPr>
        <w:t>本次招标共</w:t>
      </w:r>
      <w:r>
        <w:rPr>
          <w:rFonts w:hint="eastAsia" w:ascii="宋体" w:hAnsi="宋体"/>
          <w:color w:val="000000"/>
          <w:sz w:val="24"/>
          <w:u w:val="single"/>
        </w:rPr>
        <w:t xml:space="preserve"> 2 </w:t>
      </w:r>
      <w:r>
        <w:rPr>
          <w:rFonts w:hint="eastAsia" w:ascii="宋体" w:hAnsi="宋体"/>
          <w:color w:val="000000"/>
          <w:sz w:val="24"/>
        </w:rPr>
        <w:t>个标段，具体内容如下表：</w:t>
      </w:r>
    </w:p>
    <w:tbl>
      <w:tblPr>
        <w:tblStyle w:val="23"/>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752"/>
        <w:gridCol w:w="858"/>
        <w:gridCol w:w="655"/>
        <w:gridCol w:w="548"/>
        <w:gridCol w:w="994"/>
        <w:gridCol w:w="924"/>
        <w:gridCol w:w="1167"/>
        <w:gridCol w:w="1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5" w:hRule="atLeast"/>
          <w:jc w:val="center"/>
        </w:trPr>
        <w:tc>
          <w:tcPr>
            <w:tcW w:w="550"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标段号</w:t>
            </w:r>
          </w:p>
        </w:tc>
        <w:tc>
          <w:tcPr>
            <w:tcW w:w="1752" w:type="dxa"/>
            <w:vAlign w:val="center"/>
          </w:tcPr>
          <w:p>
            <w:pPr>
              <w:tabs>
                <w:tab w:val="left" w:pos="8280"/>
              </w:tabs>
              <w:autoSpaceDE w:val="0"/>
              <w:autoSpaceDN w:val="0"/>
              <w:adjustRightInd w:val="0"/>
              <w:spacing w:line="360" w:lineRule="auto"/>
              <w:ind w:right="25" w:firstLine="120" w:firstLineChars="50"/>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项目</w:t>
            </w:r>
          </w:p>
          <w:p>
            <w:pPr>
              <w:tabs>
                <w:tab w:val="left" w:pos="8280"/>
              </w:tabs>
              <w:autoSpaceDE w:val="0"/>
              <w:autoSpaceDN w:val="0"/>
              <w:adjustRightInd w:val="0"/>
              <w:spacing w:line="360" w:lineRule="auto"/>
              <w:ind w:right="25" w:firstLine="120" w:firstLineChars="50"/>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名称</w:t>
            </w:r>
          </w:p>
        </w:tc>
        <w:tc>
          <w:tcPr>
            <w:tcW w:w="858"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kern w:val="0"/>
                <w:sz w:val="24"/>
              </w:rPr>
              <w:t>简要技术要求服务要求等</w:t>
            </w:r>
          </w:p>
        </w:tc>
        <w:tc>
          <w:tcPr>
            <w:tcW w:w="655"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kern w:val="0"/>
                <w:sz w:val="24"/>
              </w:rPr>
              <w:t>数量</w:t>
            </w:r>
          </w:p>
        </w:tc>
        <w:tc>
          <w:tcPr>
            <w:tcW w:w="548"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单位</w:t>
            </w:r>
          </w:p>
        </w:tc>
        <w:tc>
          <w:tcPr>
            <w:tcW w:w="994" w:type="dxa"/>
            <w:vAlign w:val="center"/>
          </w:tcPr>
          <w:p>
            <w:pPr>
              <w:tabs>
                <w:tab w:val="left" w:pos="8280"/>
              </w:tabs>
              <w:autoSpaceDE w:val="0"/>
              <w:autoSpaceDN w:val="0"/>
              <w:adjustRightInd w:val="0"/>
              <w:spacing w:line="360" w:lineRule="auto"/>
              <w:ind w:right="25"/>
              <w:jc w:val="center"/>
              <w:rPr>
                <w:rFonts w:asciiTheme="minorEastAsia" w:hAnsiTheme="minorEastAsia" w:eastAsiaTheme="minorEastAsia" w:cstheme="minorEastAsia"/>
                <w:b/>
                <w:color w:val="auto"/>
                <w:sz w:val="24"/>
              </w:rPr>
            </w:pPr>
            <w:r>
              <w:rPr>
                <w:rFonts w:hint="eastAsia" w:asciiTheme="minorEastAsia" w:hAnsiTheme="minorEastAsia" w:eastAsiaTheme="minorEastAsia" w:cstheme="minorEastAsia"/>
                <w:b/>
                <w:color w:val="auto"/>
                <w:sz w:val="24"/>
              </w:rPr>
              <w:t>预算（万元）</w:t>
            </w:r>
          </w:p>
        </w:tc>
        <w:tc>
          <w:tcPr>
            <w:tcW w:w="924" w:type="dxa"/>
            <w:vAlign w:val="center"/>
          </w:tcPr>
          <w:p>
            <w:pPr>
              <w:tabs>
                <w:tab w:val="left" w:pos="8280"/>
              </w:tabs>
              <w:autoSpaceDE w:val="0"/>
              <w:autoSpaceDN w:val="0"/>
              <w:adjustRightInd w:val="0"/>
              <w:spacing w:line="360" w:lineRule="auto"/>
              <w:ind w:right="25"/>
              <w:rPr>
                <w:rFonts w:hint="default" w:ascii="宋体" w:hAnsi="宋体" w:eastAsia="宋体"/>
                <w:b/>
                <w:color w:val="auto"/>
                <w:sz w:val="24"/>
                <w:lang w:val="en-US" w:eastAsia="zh-CN"/>
              </w:rPr>
            </w:pPr>
            <w:r>
              <w:rPr>
                <w:rFonts w:hint="eastAsia" w:ascii="宋体" w:hAnsi="宋体"/>
                <w:b/>
                <w:color w:val="auto"/>
                <w:sz w:val="24"/>
                <w:lang w:val="en-US" w:eastAsia="zh-CN"/>
              </w:rPr>
              <w:t>最高限价（万元）</w:t>
            </w:r>
          </w:p>
        </w:tc>
        <w:tc>
          <w:tcPr>
            <w:tcW w:w="1167" w:type="dxa"/>
            <w:vAlign w:val="center"/>
          </w:tcPr>
          <w:p>
            <w:pPr>
              <w:tabs>
                <w:tab w:val="left" w:pos="8280"/>
              </w:tabs>
              <w:autoSpaceDE w:val="0"/>
              <w:autoSpaceDN w:val="0"/>
              <w:adjustRightInd w:val="0"/>
              <w:spacing w:line="360" w:lineRule="auto"/>
              <w:ind w:right="25"/>
              <w:rPr>
                <w:color w:val="auto"/>
                <w:sz w:val="24"/>
              </w:rPr>
            </w:pPr>
            <w:r>
              <w:rPr>
                <w:rFonts w:hint="eastAsia" w:ascii="宋体" w:hAnsi="宋体"/>
                <w:b/>
                <w:color w:val="auto"/>
                <w:sz w:val="24"/>
              </w:rPr>
              <w:t>交货期（合同签订后几天内）</w:t>
            </w:r>
          </w:p>
        </w:tc>
        <w:tc>
          <w:tcPr>
            <w:tcW w:w="1072" w:type="dxa"/>
            <w:vAlign w:val="center"/>
          </w:tcPr>
          <w:p>
            <w:pPr>
              <w:tabs>
                <w:tab w:val="left" w:pos="8280"/>
              </w:tabs>
              <w:autoSpaceDE w:val="0"/>
              <w:autoSpaceDN w:val="0"/>
              <w:adjustRightInd w:val="0"/>
              <w:spacing w:line="360" w:lineRule="auto"/>
              <w:ind w:right="25"/>
              <w:jc w:val="center"/>
              <w:rPr>
                <w:color w:val="auto"/>
                <w:sz w:val="24"/>
              </w:rPr>
            </w:pPr>
            <w:r>
              <w:rPr>
                <w:rFonts w:hint="eastAsia" w:ascii="宋体" w:hAnsi="宋体"/>
                <w:b/>
                <w:color w:val="auto"/>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550" w:type="dxa"/>
            <w:vAlign w:val="center"/>
          </w:tcPr>
          <w:p>
            <w:pPr>
              <w:tabs>
                <w:tab w:val="left" w:pos="8280"/>
              </w:tabs>
              <w:autoSpaceDE w:val="0"/>
              <w:autoSpaceDN w:val="0"/>
              <w:adjustRightInd w:val="0"/>
              <w:spacing w:line="360" w:lineRule="auto"/>
              <w:ind w:right="25" w:firstLine="240"/>
              <w:jc w:val="center"/>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1</w:t>
            </w:r>
          </w:p>
        </w:tc>
        <w:tc>
          <w:tcPr>
            <w:tcW w:w="1752" w:type="dxa"/>
            <w:vAlign w:val="center"/>
          </w:tcPr>
          <w:p>
            <w:pPr>
              <w:widowControl/>
              <w:spacing w:line="360" w:lineRule="auto"/>
              <w:jc w:val="left"/>
              <w:rPr>
                <w:rFonts w:hint="default" w:ascii="宋体" w:hAnsi="宋体" w:eastAsia="宋体"/>
                <w:color w:val="auto"/>
                <w:sz w:val="24"/>
                <w:lang w:val="en-US" w:eastAsia="zh-CN"/>
              </w:rPr>
            </w:pPr>
            <w:r>
              <w:rPr>
                <w:rFonts w:hint="eastAsia" w:ascii="宋体" w:hAnsi="宋体"/>
                <w:color w:val="auto"/>
                <w:sz w:val="24"/>
                <w:lang w:val="en-US" w:eastAsia="zh-CN"/>
              </w:rPr>
              <w:t>智慧**-安全访问平台</w:t>
            </w:r>
          </w:p>
        </w:tc>
        <w:tc>
          <w:tcPr>
            <w:tcW w:w="858" w:type="dxa"/>
            <w:vMerge w:val="restart"/>
            <w:vAlign w:val="center"/>
          </w:tcPr>
          <w:p>
            <w:pPr>
              <w:widowControl/>
              <w:spacing w:line="360" w:lineRule="auto"/>
              <w:jc w:val="left"/>
              <w:rPr>
                <w:rFonts w:ascii="宋体" w:hAnsi="宋体"/>
                <w:color w:val="auto"/>
                <w:sz w:val="24"/>
              </w:rPr>
            </w:pPr>
            <w:r>
              <w:rPr>
                <w:rFonts w:hint="eastAsia" w:ascii="宋体" w:hAnsi="宋体"/>
                <w:color w:val="auto"/>
                <w:sz w:val="24"/>
              </w:rPr>
              <w:t>详见技术需求</w:t>
            </w:r>
          </w:p>
          <w:p>
            <w:pPr>
              <w:widowControl/>
              <w:spacing w:line="360" w:lineRule="auto"/>
              <w:jc w:val="left"/>
              <w:rPr>
                <w:rFonts w:ascii="宋体" w:hAnsi="宋体"/>
                <w:color w:val="auto"/>
                <w:sz w:val="24"/>
              </w:rPr>
            </w:pPr>
          </w:p>
        </w:tc>
        <w:tc>
          <w:tcPr>
            <w:tcW w:w="655" w:type="dxa"/>
            <w:vAlign w:val="center"/>
          </w:tcPr>
          <w:p>
            <w:pPr>
              <w:widowControl/>
              <w:spacing w:line="360" w:lineRule="auto"/>
              <w:ind w:firstLine="240" w:firstLineChars="100"/>
              <w:jc w:val="left"/>
              <w:rPr>
                <w:rFonts w:ascii="宋体" w:hAnsi="宋体"/>
                <w:color w:val="auto"/>
                <w:sz w:val="24"/>
              </w:rPr>
            </w:pPr>
            <w:r>
              <w:rPr>
                <w:rFonts w:hint="eastAsia" w:ascii="宋体" w:hAnsi="宋体"/>
                <w:color w:val="auto"/>
                <w:sz w:val="24"/>
              </w:rPr>
              <w:t>1</w:t>
            </w:r>
          </w:p>
        </w:tc>
        <w:tc>
          <w:tcPr>
            <w:tcW w:w="548" w:type="dxa"/>
            <w:vAlign w:val="center"/>
          </w:tcPr>
          <w:p>
            <w:pPr>
              <w:widowControl/>
              <w:spacing w:line="360" w:lineRule="auto"/>
              <w:jc w:val="left"/>
              <w:rPr>
                <w:rFonts w:ascii="宋体" w:hAnsi="宋体"/>
                <w:color w:val="auto"/>
                <w:sz w:val="24"/>
              </w:rPr>
            </w:pPr>
            <w:r>
              <w:rPr>
                <w:rFonts w:hint="eastAsia" w:ascii="宋体" w:hAnsi="宋体"/>
                <w:color w:val="auto"/>
                <w:sz w:val="24"/>
              </w:rPr>
              <w:t>套</w:t>
            </w:r>
          </w:p>
        </w:tc>
        <w:tc>
          <w:tcPr>
            <w:tcW w:w="994" w:type="dxa"/>
            <w:vAlign w:val="center"/>
          </w:tcPr>
          <w:p>
            <w:pPr>
              <w:widowControl/>
              <w:spacing w:line="360" w:lineRule="auto"/>
              <w:jc w:val="left"/>
              <w:rPr>
                <w:rFonts w:ascii="宋体" w:hAnsi="宋体"/>
                <w:color w:val="auto"/>
                <w:sz w:val="24"/>
              </w:rPr>
            </w:pPr>
            <w:r>
              <w:rPr>
                <w:rFonts w:hint="eastAsia" w:ascii="宋体" w:hAnsi="宋体"/>
                <w:color w:val="auto"/>
                <w:sz w:val="24"/>
                <w:lang w:val="en-US" w:eastAsia="zh-CN"/>
              </w:rPr>
              <w:t>1043.6</w:t>
            </w:r>
            <w:r>
              <w:rPr>
                <w:rFonts w:hint="eastAsia" w:ascii="宋体" w:hAnsi="宋体"/>
                <w:color w:val="auto"/>
                <w:sz w:val="24"/>
              </w:rPr>
              <w:t>万元</w:t>
            </w:r>
          </w:p>
        </w:tc>
        <w:tc>
          <w:tcPr>
            <w:tcW w:w="924" w:type="dxa"/>
          </w:tcPr>
          <w:p>
            <w:pPr>
              <w:widowControl/>
              <w:spacing w:line="360" w:lineRule="auto"/>
              <w:jc w:val="center"/>
              <w:rPr>
                <w:rFonts w:hint="eastAsia" w:ascii="宋体" w:hAnsi="宋体"/>
                <w:color w:val="auto"/>
                <w:sz w:val="24"/>
                <w:lang w:val="en-US" w:eastAsia="zh-CN"/>
              </w:rPr>
            </w:pPr>
            <w:r>
              <w:rPr>
                <w:rFonts w:hint="eastAsia" w:ascii="宋体" w:hAnsi="宋体"/>
                <w:sz w:val="24"/>
              </w:rPr>
              <w:t>1021.7096</w:t>
            </w:r>
            <w:r>
              <w:rPr>
                <w:rFonts w:hint="eastAsia" w:ascii="宋体" w:hAnsi="宋体"/>
                <w:color w:val="auto"/>
                <w:sz w:val="24"/>
              </w:rPr>
              <w:t>万元</w:t>
            </w:r>
          </w:p>
        </w:tc>
        <w:tc>
          <w:tcPr>
            <w:tcW w:w="1167" w:type="dxa"/>
          </w:tcPr>
          <w:p>
            <w:pPr>
              <w:widowControl/>
              <w:spacing w:line="360" w:lineRule="auto"/>
              <w:jc w:val="center"/>
              <w:rPr>
                <w:rFonts w:ascii="宋体" w:hAnsi="宋体"/>
                <w:color w:val="auto"/>
                <w:sz w:val="24"/>
              </w:rPr>
            </w:pPr>
          </w:p>
          <w:p>
            <w:pPr>
              <w:widowControl/>
              <w:spacing w:line="360" w:lineRule="auto"/>
              <w:jc w:val="center"/>
              <w:rPr>
                <w:rFonts w:ascii="宋体" w:hAnsi="宋体"/>
                <w:color w:val="auto"/>
                <w:sz w:val="24"/>
              </w:rPr>
            </w:pPr>
            <w:r>
              <w:rPr>
                <w:rFonts w:hint="eastAsia" w:ascii="宋体" w:hAnsi="宋体"/>
                <w:color w:val="auto"/>
                <w:sz w:val="24"/>
                <w:lang w:val="en-US" w:eastAsia="zh-CN"/>
              </w:rPr>
              <w:t>60</w:t>
            </w:r>
            <w:r>
              <w:rPr>
                <w:rFonts w:hint="eastAsia" w:ascii="宋体" w:hAnsi="宋体"/>
                <w:color w:val="auto"/>
                <w:sz w:val="24"/>
              </w:rPr>
              <w:t>天</w:t>
            </w:r>
          </w:p>
        </w:tc>
        <w:tc>
          <w:tcPr>
            <w:tcW w:w="1072" w:type="dxa"/>
            <w:vMerge w:val="restart"/>
            <w:vAlign w:val="center"/>
          </w:tcPr>
          <w:p>
            <w:pPr>
              <w:tabs>
                <w:tab w:val="left" w:pos="8280"/>
              </w:tabs>
              <w:autoSpaceDE w:val="0"/>
              <w:autoSpaceDN w:val="0"/>
              <w:adjustRightInd w:val="0"/>
              <w:spacing w:line="360" w:lineRule="auto"/>
              <w:ind w:right="25"/>
              <w:jc w:val="center"/>
              <w:rPr>
                <w:rFonts w:hint="eastAsia" w:eastAsia="宋体"/>
                <w:color w:val="auto"/>
                <w:sz w:val="24"/>
                <w:lang w:eastAsia="zh-CN"/>
              </w:rPr>
            </w:pPr>
            <w:r>
              <w:rPr>
                <w:rFonts w:hint="eastAsia" w:ascii="宋体" w:hAnsi="宋体"/>
                <w:color w:val="auto"/>
                <w:kern w:val="0"/>
                <w:sz w:val="24"/>
              </w:rPr>
              <w:t>台州市</w:t>
            </w:r>
            <w:r>
              <w:rPr>
                <w:rFonts w:hint="eastAsia" w:ascii="宋体" w:hAnsi="宋体"/>
                <w:color w:val="auto"/>
                <w:kern w:val="0"/>
                <w:sz w:val="24"/>
                <w:lang w:val="en-US" w:eastAsia="zh-CN"/>
              </w:rPr>
              <w:t>公安局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jc w:val="center"/>
        </w:trPr>
        <w:tc>
          <w:tcPr>
            <w:tcW w:w="550" w:type="dxa"/>
            <w:vAlign w:val="center"/>
          </w:tcPr>
          <w:p>
            <w:pPr>
              <w:tabs>
                <w:tab w:val="left" w:pos="8280"/>
              </w:tabs>
              <w:autoSpaceDE w:val="0"/>
              <w:autoSpaceDN w:val="0"/>
              <w:adjustRightInd w:val="0"/>
              <w:spacing w:line="360" w:lineRule="auto"/>
              <w:ind w:right="25" w:firstLine="240"/>
              <w:jc w:val="center"/>
              <w:rPr>
                <w:rFonts w:asciiTheme="minorEastAsia" w:hAnsiTheme="minorEastAsia" w:eastAsiaTheme="minorEastAsia" w:cstheme="minorEastAsia"/>
                <w:bCs/>
                <w:color w:val="auto"/>
                <w:sz w:val="24"/>
              </w:rPr>
            </w:pPr>
            <w:r>
              <w:rPr>
                <w:rFonts w:hint="eastAsia" w:asciiTheme="minorEastAsia" w:hAnsiTheme="minorEastAsia" w:eastAsiaTheme="minorEastAsia" w:cstheme="minorEastAsia"/>
                <w:bCs/>
                <w:color w:val="auto"/>
                <w:sz w:val="24"/>
              </w:rPr>
              <w:t>2</w:t>
            </w:r>
          </w:p>
        </w:tc>
        <w:tc>
          <w:tcPr>
            <w:tcW w:w="1752" w:type="dxa"/>
            <w:vAlign w:val="center"/>
          </w:tcPr>
          <w:p>
            <w:pPr>
              <w:widowControl/>
              <w:spacing w:line="360" w:lineRule="auto"/>
              <w:jc w:val="left"/>
              <w:rPr>
                <w:rFonts w:hint="default" w:ascii="宋体" w:hAnsi="宋体" w:eastAsia="宋体"/>
                <w:color w:val="auto"/>
                <w:kern w:val="0"/>
                <w:sz w:val="24"/>
                <w:lang w:val="en-US" w:eastAsia="zh-CN"/>
              </w:rPr>
            </w:pPr>
            <w:r>
              <w:rPr>
                <w:rFonts w:hint="eastAsia" w:ascii="宋体" w:hAnsi="宋体"/>
                <w:color w:val="auto"/>
                <w:kern w:val="0"/>
                <w:sz w:val="24"/>
                <w:lang w:val="en-US" w:eastAsia="zh-CN"/>
              </w:rPr>
              <w:t>智慧**-虚拟化平台扩容</w:t>
            </w:r>
          </w:p>
        </w:tc>
        <w:tc>
          <w:tcPr>
            <w:tcW w:w="858" w:type="dxa"/>
            <w:vMerge w:val="continue"/>
            <w:vAlign w:val="center"/>
          </w:tcPr>
          <w:p>
            <w:pPr>
              <w:widowControl/>
              <w:spacing w:line="360" w:lineRule="auto"/>
              <w:jc w:val="left"/>
              <w:rPr>
                <w:rFonts w:ascii="宋体" w:hAnsi="宋体"/>
                <w:color w:val="auto"/>
                <w:sz w:val="24"/>
              </w:rPr>
            </w:pPr>
          </w:p>
        </w:tc>
        <w:tc>
          <w:tcPr>
            <w:tcW w:w="655" w:type="dxa"/>
            <w:vAlign w:val="center"/>
          </w:tcPr>
          <w:p>
            <w:pPr>
              <w:widowControl/>
              <w:spacing w:line="360" w:lineRule="auto"/>
              <w:ind w:firstLine="240" w:firstLineChars="100"/>
              <w:jc w:val="left"/>
              <w:rPr>
                <w:rFonts w:ascii="宋体" w:hAnsi="宋体"/>
                <w:color w:val="auto"/>
                <w:sz w:val="24"/>
              </w:rPr>
            </w:pPr>
            <w:r>
              <w:rPr>
                <w:rFonts w:hint="eastAsia" w:ascii="宋体" w:hAnsi="宋体"/>
                <w:color w:val="auto"/>
                <w:sz w:val="24"/>
              </w:rPr>
              <w:t>1</w:t>
            </w:r>
          </w:p>
        </w:tc>
        <w:tc>
          <w:tcPr>
            <w:tcW w:w="548" w:type="dxa"/>
            <w:vAlign w:val="center"/>
          </w:tcPr>
          <w:p>
            <w:pPr>
              <w:widowControl/>
              <w:spacing w:line="360" w:lineRule="auto"/>
              <w:jc w:val="left"/>
              <w:rPr>
                <w:rFonts w:ascii="宋体" w:hAnsi="宋体"/>
                <w:color w:val="auto"/>
                <w:sz w:val="24"/>
              </w:rPr>
            </w:pPr>
            <w:r>
              <w:rPr>
                <w:rFonts w:hint="eastAsia" w:ascii="宋体" w:hAnsi="宋体"/>
                <w:color w:val="auto"/>
                <w:sz w:val="24"/>
              </w:rPr>
              <w:t>批</w:t>
            </w:r>
          </w:p>
        </w:tc>
        <w:tc>
          <w:tcPr>
            <w:tcW w:w="994" w:type="dxa"/>
            <w:vAlign w:val="center"/>
          </w:tcPr>
          <w:p>
            <w:pPr>
              <w:widowControl/>
              <w:spacing w:line="360" w:lineRule="auto"/>
              <w:jc w:val="left"/>
              <w:rPr>
                <w:rFonts w:ascii="宋体" w:hAnsi="宋体"/>
                <w:color w:val="auto"/>
                <w:sz w:val="24"/>
              </w:rPr>
            </w:pPr>
            <w:r>
              <w:rPr>
                <w:rFonts w:hint="eastAsia" w:ascii="宋体" w:hAnsi="宋体"/>
                <w:color w:val="auto"/>
                <w:sz w:val="24"/>
                <w:lang w:val="en-US" w:eastAsia="zh-CN"/>
              </w:rPr>
              <w:t>636.2</w:t>
            </w:r>
            <w:r>
              <w:rPr>
                <w:rFonts w:hint="eastAsia" w:ascii="宋体" w:hAnsi="宋体"/>
                <w:color w:val="auto"/>
                <w:sz w:val="24"/>
              </w:rPr>
              <w:t>万元</w:t>
            </w:r>
          </w:p>
        </w:tc>
        <w:tc>
          <w:tcPr>
            <w:tcW w:w="924" w:type="dxa"/>
          </w:tcPr>
          <w:p>
            <w:pPr>
              <w:widowControl/>
              <w:spacing w:line="360" w:lineRule="auto"/>
              <w:jc w:val="center"/>
              <w:rPr>
                <w:rFonts w:hint="default" w:ascii="宋体" w:hAnsi="宋体"/>
                <w:color w:val="auto"/>
                <w:sz w:val="24"/>
                <w:lang w:val="en-US" w:eastAsia="zh-CN"/>
              </w:rPr>
            </w:pPr>
            <w:r>
              <w:rPr>
                <w:rFonts w:hint="eastAsia" w:ascii="宋体" w:hAnsi="宋体"/>
                <w:color w:val="auto"/>
                <w:sz w:val="24"/>
                <w:lang w:val="en-US" w:eastAsia="zh-CN"/>
              </w:rPr>
              <w:t>606.68万元</w:t>
            </w:r>
          </w:p>
        </w:tc>
        <w:tc>
          <w:tcPr>
            <w:tcW w:w="1167" w:type="dxa"/>
          </w:tcPr>
          <w:p>
            <w:pPr>
              <w:widowControl/>
              <w:spacing w:line="360" w:lineRule="auto"/>
              <w:jc w:val="center"/>
              <w:rPr>
                <w:rFonts w:ascii="宋体" w:hAnsi="宋体"/>
                <w:color w:val="auto"/>
                <w:sz w:val="24"/>
              </w:rPr>
            </w:pPr>
            <w:r>
              <w:rPr>
                <w:rFonts w:hint="eastAsia" w:ascii="宋体" w:hAnsi="宋体"/>
                <w:color w:val="auto"/>
                <w:sz w:val="24"/>
                <w:lang w:val="en-US" w:eastAsia="zh-CN"/>
              </w:rPr>
              <w:t>30</w:t>
            </w:r>
            <w:r>
              <w:rPr>
                <w:rFonts w:hint="eastAsia" w:ascii="宋体" w:hAnsi="宋体"/>
                <w:color w:val="auto"/>
                <w:sz w:val="24"/>
              </w:rPr>
              <w:t>天</w:t>
            </w:r>
          </w:p>
        </w:tc>
        <w:tc>
          <w:tcPr>
            <w:tcW w:w="1072" w:type="dxa"/>
            <w:vMerge w:val="continue"/>
            <w:vAlign w:val="center"/>
          </w:tcPr>
          <w:p>
            <w:pPr>
              <w:tabs>
                <w:tab w:val="left" w:pos="8280"/>
              </w:tabs>
              <w:autoSpaceDE w:val="0"/>
              <w:autoSpaceDN w:val="0"/>
              <w:adjustRightInd w:val="0"/>
              <w:spacing w:line="360" w:lineRule="auto"/>
              <w:ind w:right="25"/>
              <w:jc w:val="center"/>
              <w:rPr>
                <w:rFonts w:ascii="宋体" w:hAnsi="宋体"/>
                <w:color w:val="auto"/>
                <w:kern w:val="0"/>
                <w:sz w:val="24"/>
              </w:rPr>
            </w:pPr>
          </w:p>
        </w:tc>
      </w:tr>
    </w:tbl>
    <w:p>
      <w:pPr>
        <w:pStyle w:val="2"/>
        <w:ind w:firstLine="0"/>
        <w:rPr>
          <w:rFonts w:ascii="宋体" w:hAnsi="宋体"/>
          <w:color w:val="000000"/>
          <w:sz w:val="24"/>
          <w:szCs w:val="24"/>
        </w:rPr>
      </w:pPr>
    </w:p>
    <w:p>
      <w:pPr>
        <w:pStyle w:val="2"/>
        <w:rPr>
          <w:rFonts w:ascii="宋体" w:hAnsi="宋体"/>
          <w:color w:val="000000"/>
          <w:sz w:val="24"/>
          <w:szCs w:val="24"/>
        </w:rPr>
      </w:pPr>
    </w:p>
    <w:p>
      <w:pPr>
        <w:numPr>
          <w:ilvl w:val="0"/>
          <w:numId w:val="12"/>
        </w:numPr>
        <w:tabs>
          <w:tab w:val="left" w:pos="8280"/>
        </w:tabs>
        <w:autoSpaceDE w:val="0"/>
        <w:autoSpaceDN w:val="0"/>
        <w:adjustRightInd w:val="0"/>
        <w:spacing w:line="360" w:lineRule="auto"/>
        <w:ind w:right="25"/>
        <w:jc w:val="left"/>
        <w:rPr>
          <w:rFonts w:ascii="宋体" w:hAnsi="宋体"/>
          <w:b/>
          <w:color w:val="000000"/>
          <w:sz w:val="24"/>
        </w:rPr>
      </w:pPr>
      <w:r>
        <w:rPr>
          <w:rFonts w:hint="eastAsia" w:ascii="宋体" w:hAnsi="宋体"/>
          <w:b/>
          <w:color w:val="000000"/>
          <w:sz w:val="24"/>
        </w:rPr>
        <w:t>技术需求</w:t>
      </w:r>
    </w:p>
    <w:p>
      <w:pPr>
        <w:tabs>
          <w:tab w:val="left" w:pos="312"/>
        </w:tabs>
        <w:spacing w:line="500" w:lineRule="exact"/>
        <w:rPr>
          <w:rFonts w:hint="eastAsia" w:ascii="宋体" w:hAnsi="宋体"/>
          <w:b/>
          <w:bCs w:val="0"/>
          <w:color w:val="auto"/>
          <w:sz w:val="24"/>
          <w:szCs w:val="24"/>
          <w:lang w:val="en-US" w:eastAsia="zh-CN"/>
        </w:rPr>
      </w:pPr>
      <w:r>
        <w:rPr>
          <w:rFonts w:hint="eastAsia" w:ascii="黑体" w:hAnsi="黑体" w:eastAsia="黑体"/>
          <w:b/>
          <w:bCs w:val="0"/>
          <w:sz w:val="24"/>
          <w:szCs w:val="24"/>
          <w:lang w:val="en-US" w:eastAsia="zh-CN"/>
        </w:rPr>
        <w:t>第一标段：</w:t>
      </w:r>
      <w:r>
        <w:rPr>
          <w:rFonts w:hint="eastAsia" w:ascii="宋体" w:hAnsi="宋体"/>
          <w:b/>
          <w:bCs w:val="0"/>
          <w:color w:val="auto"/>
          <w:sz w:val="24"/>
          <w:szCs w:val="24"/>
          <w:lang w:val="en-US" w:eastAsia="zh-CN"/>
        </w:rPr>
        <w:t>智慧**-安全访问平台</w:t>
      </w:r>
    </w:p>
    <w:p>
      <w:pPr>
        <w:jc w:val="center"/>
        <w:outlineLvl w:val="0"/>
        <w:rPr>
          <w:rFonts w:hint="eastAsia" w:ascii="宋体" w:hAnsi="宋体" w:cs="宋体"/>
          <w:b/>
          <w:bCs/>
          <w:sz w:val="24"/>
          <w:szCs w:val="24"/>
        </w:rPr>
      </w:pPr>
    </w:p>
    <w:p>
      <w:pPr>
        <w:jc w:val="center"/>
        <w:outlineLvl w:val="0"/>
        <w:rPr>
          <w:rFonts w:hint="eastAsia" w:ascii="宋体" w:hAnsi="宋体" w:cs="宋体"/>
          <w:b/>
          <w:bCs/>
          <w:sz w:val="24"/>
          <w:szCs w:val="24"/>
        </w:rPr>
      </w:pPr>
    </w:p>
    <w:p>
      <w:pPr>
        <w:numPr>
          <w:ilvl w:val="0"/>
          <w:numId w:val="13"/>
        </w:numPr>
        <w:outlineLvl w:val="0"/>
        <w:rPr>
          <w:rFonts w:hint="eastAsia" w:ascii="宋体" w:hAnsi="宋体" w:cs="宋体"/>
          <w:b/>
          <w:bCs/>
          <w:sz w:val="24"/>
          <w:szCs w:val="24"/>
        </w:rPr>
      </w:pPr>
      <w:r>
        <w:rPr>
          <w:rFonts w:hint="eastAsia" w:ascii="宋体" w:hAnsi="宋体" w:cs="宋体"/>
          <w:b/>
          <w:bCs/>
          <w:sz w:val="24"/>
          <w:szCs w:val="24"/>
        </w:rPr>
        <w:t>项目概况</w:t>
      </w:r>
    </w:p>
    <w:p>
      <w:pPr>
        <w:numPr>
          <w:ilvl w:val="0"/>
          <w:numId w:val="14"/>
        </w:numPr>
        <w:outlineLvl w:val="1"/>
        <w:rPr>
          <w:rFonts w:hint="eastAsia" w:ascii="宋体" w:hAnsi="宋体" w:cs="宋体"/>
          <w:sz w:val="24"/>
          <w:szCs w:val="24"/>
        </w:rPr>
      </w:pPr>
      <w:r>
        <w:rPr>
          <w:rFonts w:hint="eastAsia" w:ascii="宋体" w:hAnsi="宋体" w:cs="宋体"/>
          <w:sz w:val="24"/>
          <w:szCs w:val="24"/>
        </w:rPr>
        <w:t>建设目标</w:t>
      </w:r>
    </w:p>
    <w:p>
      <w:pPr>
        <w:ind w:firstLine="480" w:firstLineChars="200"/>
        <w:rPr>
          <w:rFonts w:hint="eastAsia" w:ascii="宋体" w:hAnsi="宋体" w:cs="仿宋_GB2312"/>
          <w:sz w:val="24"/>
          <w:szCs w:val="24"/>
          <w:lang w:bidi="ar"/>
        </w:rPr>
      </w:pPr>
      <w:r>
        <w:rPr>
          <w:rFonts w:hint="eastAsia" w:ascii="宋体" w:hAnsi="宋体" w:cs="仿宋_GB2312"/>
          <w:sz w:val="24"/>
          <w:szCs w:val="24"/>
          <w:lang w:bidi="ar"/>
        </w:rPr>
        <w:t>根据公安大数据智能化总体规划及大数据安全总体技术框架要求，以安全、可信、合规为目标，建设统一的安全访问平台，实现访问用户的身份可信，确保业务仅对合法用户可见；结合业务场景和使用环境进行精细化的动态授权；保护数据安全访问，具备抵御网络攻击的能力；实现访问过程中用户行为及网络风险的全面发现与审计。</w:t>
      </w:r>
    </w:p>
    <w:p>
      <w:pPr>
        <w:ind w:firstLine="480" w:firstLineChars="200"/>
        <w:rPr>
          <w:rFonts w:hint="eastAsia" w:ascii="宋体" w:hAnsi="宋体" w:cs="仿宋_GB2312"/>
          <w:sz w:val="24"/>
          <w:szCs w:val="24"/>
          <w:lang w:bidi="ar"/>
        </w:rPr>
      </w:pPr>
      <w:r>
        <w:rPr>
          <w:rFonts w:hint="eastAsia" w:ascii="宋体" w:hAnsi="宋体" w:cs="仿宋_GB2312"/>
          <w:sz w:val="24"/>
          <w:szCs w:val="24"/>
          <w:lang w:bidi="ar"/>
        </w:rPr>
        <w:t>通过态势感知、威胁预警、安全审计，把各类网络攻击活动和违规行为消灭在萌芽状态，变静态防护为动态防御，变多个单点防护为综合防控和整体防范，逐步形成事前预警、事中取证、事后查处的新型安全运行管理工作模式。</w:t>
      </w:r>
    </w:p>
    <w:p>
      <w:pPr>
        <w:numPr>
          <w:ilvl w:val="0"/>
          <w:numId w:val="14"/>
        </w:numPr>
        <w:outlineLvl w:val="1"/>
        <w:rPr>
          <w:rFonts w:ascii="宋体" w:hAnsi="宋体" w:cs="宋体"/>
          <w:sz w:val="24"/>
          <w:szCs w:val="24"/>
        </w:rPr>
      </w:pPr>
      <w:r>
        <w:rPr>
          <w:rFonts w:hint="eastAsia" w:ascii="宋体" w:hAnsi="宋体" w:cs="宋体"/>
          <w:sz w:val="24"/>
          <w:szCs w:val="24"/>
        </w:rPr>
        <w:t>建设内容</w:t>
      </w:r>
    </w:p>
    <w:p>
      <w:pPr>
        <w:spacing w:line="360" w:lineRule="auto"/>
        <w:ind w:firstLine="480" w:firstLineChars="200"/>
        <w:jc w:val="left"/>
        <w:rPr>
          <w:rFonts w:hint="eastAsia" w:ascii="宋体" w:hAnsi="宋体" w:cs="仿宋_GB2312"/>
          <w:sz w:val="24"/>
          <w:szCs w:val="24"/>
        </w:rPr>
      </w:pPr>
      <w:r>
        <w:rPr>
          <w:rFonts w:hint="eastAsia" w:ascii="宋体" w:hAnsi="宋体" w:cs="仿宋_GB2312"/>
          <w:sz w:val="24"/>
          <w:szCs w:val="24"/>
        </w:rPr>
        <w:t>通过项目建设，初步建设成符合公安部规范要求的市本级“安全访问平台”、数据汇聚节点和用户汇聚节点，实现接入网</w:t>
      </w:r>
      <w:r>
        <w:rPr>
          <w:rFonts w:ascii="宋体" w:hAnsi="宋体" w:cs="仿宋_GB2312"/>
          <w:sz w:val="24"/>
          <w:szCs w:val="24"/>
        </w:rPr>
        <w:t>计算机终端</w:t>
      </w:r>
      <w:r>
        <w:rPr>
          <w:rFonts w:hint="eastAsia" w:ascii="宋体" w:hAnsi="宋体" w:cs="仿宋_GB2312"/>
          <w:sz w:val="24"/>
          <w:szCs w:val="24"/>
        </w:rPr>
        <w:t>安全、可信地访问</w:t>
      </w:r>
      <w:r>
        <w:rPr>
          <w:rFonts w:ascii="宋体" w:hAnsi="宋体" w:cs="仿宋_GB2312"/>
          <w:sz w:val="24"/>
          <w:szCs w:val="24"/>
        </w:rPr>
        <w:t>数据中心的应用和数据</w:t>
      </w:r>
      <w:r>
        <w:rPr>
          <w:rFonts w:hint="eastAsia" w:ascii="宋体" w:hAnsi="宋体" w:cs="仿宋_GB2312"/>
          <w:sz w:val="24"/>
          <w:szCs w:val="24"/>
        </w:rPr>
        <w:t>。</w:t>
      </w:r>
    </w:p>
    <w:p>
      <w:pPr>
        <w:pStyle w:val="2"/>
        <w:rPr>
          <w:sz w:val="24"/>
          <w:szCs w:val="24"/>
        </w:rPr>
      </w:pPr>
      <w:r>
        <w:rPr>
          <w:rFonts w:hint="eastAsia" w:ascii="宋体" w:hAnsi="宋体" w:cs="宋体"/>
          <w:sz w:val="24"/>
          <w:szCs w:val="24"/>
        </w:rPr>
        <w:t>通过各类安全设备和系统整合，加强主机安全防护，采集、分析网络流量、各类日志中的威胁信息，捕捉虚拟机间横向流量，实时监测、阻断网络边界，扫描主机、应用等漏洞，及时发现、汇总各类威胁信息，并进行可视化展示。</w:t>
      </w:r>
    </w:p>
    <w:p>
      <w:pPr>
        <w:numPr>
          <w:ilvl w:val="0"/>
          <w:numId w:val="14"/>
        </w:numPr>
        <w:outlineLvl w:val="1"/>
        <w:rPr>
          <w:rFonts w:hint="eastAsia" w:ascii="宋体" w:hAnsi="宋体" w:cs="宋体"/>
          <w:sz w:val="24"/>
          <w:szCs w:val="24"/>
        </w:rPr>
      </w:pPr>
      <w:r>
        <w:rPr>
          <w:rFonts w:hint="eastAsia" w:ascii="宋体" w:hAnsi="宋体" w:cs="宋体"/>
          <w:sz w:val="24"/>
          <w:szCs w:val="24"/>
        </w:rPr>
        <w:t>建设依据</w:t>
      </w:r>
    </w:p>
    <w:p>
      <w:pPr>
        <w:pStyle w:val="2"/>
        <w:ind w:firstLine="0"/>
        <w:rPr>
          <w:rFonts w:hint="eastAsia" w:ascii="宋体" w:hAnsi="宋体" w:cs="宋体"/>
          <w:sz w:val="24"/>
          <w:szCs w:val="24"/>
        </w:rPr>
      </w:pPr>
      <w:r>
        <w:rPr>
          <w:rFonts w:hint="eastAsia" w:ascii="宋体" w:hAnsi="宋体" w:cs="宋体"/>
          <w:sz w:val="24"/>
          <w:szCs w:val="24"/>
        </w:rPr>
        <w:t>*《公安大数据安全总体技术框架》</w:t>
      </w:r>
    </w:p>
    <w:p>
      <w:pPr>
        <w:pStyle w:val="2"/>
        <w:ind w:firstLine="0"/>
        <w:rPr>
          <w:rFonts w:hint="eastAsia" w:ascii="宋体" w:hAnsi="宋体" w:cs="宋体"/>
          <w:sz w:val="24"/>
          <w:szCs w:val="24"/>
        </w:rPr>
      </w:pPr>
      <w:r>
        <w:rPr>
          <w:rFonts w:hint="eastAsia" w:ascii="宋体" w:hAnsi="宋体" w:cs="宋体"/>
          <w:sz w:val="24"/>
          <w:szCs w:val="24"/>
        </w:rPr>
        <w:t>*《公安大数据平台安全访问平台技术设计要求》</w:t>
      </w:r>
    </w:p>
    <w:p>
      <w:pPr>
        <w:pStyle w:val="2"/>
        <w:ind w:firstLine="0"/>
        <w:rPr>
          <w:rFonts w:hint="eastAsia" w:ascii="宋体" w:hAnsi="宋体" w:cs="宋体"/>
          <w:sz w:val="24"/>
          <w:szCs w:val="24"/>
        </w:rPr>
      </w:pPr>
      <w:r>
        <w:rPr>
          <w:rFonts w:hint="eastAsia" w:ascii="宋体" w:hAnsi="宋体" w:cs="宋体"/>
          <w:sz w:val="24"/>
          <w:szCs w:val="24"/>
        </w:rPr>
        <w:t>*《浙江省公安厅大数据智能化建设安全规划技术方案（2019-2021）》</w:t>
      </w:r>
    </w:p>
    <w:p>
      <w:pPr>
        <w:pStyle w:val="2"/>
        <w:rPr>
          <w:rFonts w:hint="eastAsia" w:ascii="宋体" w:hAnsi="宋体" w:cs="宋体"/>
          <w:sz w:val="24"/>
          <w:szCs w:val="24"/>
        </w:rPr>
      </w:pPr>
    </w:p>
    <w:p>
      <w:pPr>
        <w:numPr>
          <w:ilvl w:val="0"/>
          <w:numId w:val="13"/>
        </w:numPr>
        <w:outlineLvl w:val="0"/>
        <w:rPr>
          <w:rFonts w:hint="eastAsia" w:ascii="宋体" w:hAnsi="宋体" w:cs="宋体"/>
          <w:b/>
          <w:bCs/>
          <w:sz w:val="24"/>
          <w:szCs w:val="24"/>
        </w:rPr>
      </w:pPr>
      <w:r>
        <w:rPr>
          <w:rFonts w:hint="eastAsia" w:ascii="宋体" w:hAnsi="宋体" w:cs="宋体"/>
          <w:b/>
          <w:bCs/>
          <w:sz w:val="24"/>
          <w:szCs w:val="24"/>
        </w:rPr>
        <w:t>采购清单</w:t>
      </w:r>
    </w:p>
    <w:tbl>
      <w:tblPr>
        <w:tblStyle w:val="23"/>
        <w:tblW w:w="71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7"/>
        <w:gridCol w:w="615"/>
        <w:gridCol w:w="3544"/>
        <w:gridCol w:w="709"/>
        <w:gridCol w:w="709"/>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27" w:type="dxa"/>
            <w:noWrap w:val="0"/>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序号</w:t>
            </w:r>
          </w:p>
        </w:tc>
        <w:tc>
          <w:tcPr>
            <w:tcW w:w="615" w:type="dxa"/>
            <w:noWrap w:val="0"/>
            <w:vAlign w:val="top"/>
          </w:tcPr>
          <w:p>
            <w:pPr>
              <w:widowControl/>
              <w:jc w:val="center"/>
              <w:rPr>
                <w:rFonts w:hint="eastAsia" w:ascii="宋体" w:hAnsi="宋体" w:cs="宋体"/>
                <w:b/>
                <w:bCs/>
                <w:kern w:val="0"/>
                <w:sz w:val="24"/>
                <w:szCs w:val="24"/>
                <w:highlight w:val="none"/>
              </w:rPr>
            </w:pPr>
            <w:r>
              <w:rPr>
                <w:rFonts w:hint="eastAsia" w:ascii="宋体" w:hAnsi="宋体" w:cs="宋体"/>
                <w:b/>
                <w:bCs/>
                <w:kern w:val="0"/>
                <w:sz w:val="24"/>
                <w:szCs w:val="24"/>
                <w:highlight w:val="none"/>
              </w:rPr>
              <w:t>部署</w:t>
            </w:r>
          </w:p>
        </w:tc>
        <w:tc>
          <w:tcPr>
            <w:tcW w:w="3544" w:type="dxa"/>
            <w:noWrap w:val="0"/>
            <w:vAlign w:val="center"/>
          </w:tcPr>
          <w:p>
            <w:pPr>
              <w:widowControl/>
              <w:jc w:val="center"/>
              <w:rPr>
                <w:rFonts w:ascii="宋体" w:hAnsi="宋体" w:cs="宋体"/>
                <w:b/>
                <w:bCs/>
                <w:kern w:val="0"/>
                <w:sz w:val="24"/>
                <w:szCs w:val="24"/>
                <w:highlight w:val="none"/>
              </w:rPr>
            </w:pPr>
            <w:r>
              <w:rPr>
                <w:rFonts w:hint="eastAsia" w:ascii="宋体" w:hAnsi="宋体" w:cs="宋体"/>
                <w:b/>
                <w:bCs/>
                <w:kern w:val="0"/>
                <w:sz w:val="24"/>
                <w:szCs w:val="24"/>
                <w:highlight w:val="none"/>
              </w:rPr>
              <w:t>货物名称</w:t>
            </w:r>
          </w:p>
        </w:tc>
        <w:tc>
          <w:tcPr>
            <w:tcW w:w="709" w:type="dxa"/>
            <w:noWrap w:val="0"/>
            <w:vAlign w:val="center"/>
          </w:tcPr>
          <w:p>
            <w:pPr>
              <w:widowControl/>
              <w:jc w:val="center"/>
              <w:rPr>
                <w:rFonts w:ascii="宋体" w:hAnsi="宋体" w:cs="宋体"/>
                <w:b/>
                <w:bCs/>
                <w:kern w:val="0"/>
                <w:sz w:val="24"/>
                <w:szCs w:val="24"/>
                <w:highlight w:val="none"/>
              </w:rPr>
            </w:pPr>
            <w:r>
              <w:rPr>
                <w:rFonts w:hint="eastAsia" w:ascii="宋体" w:hAnsi="宋体" w:cs="宋体"/>
                <w:b/>
                <w:bCs/>
                <w:kern w:val="0"/>
                <w:sz w:val="24"/>
                <w:szCs w:val="24"/>
                <w:highlight w:val="none"/>
              </w:rPr>
              <w:t>单位</w:t>
            </w:r>
          </w:p>
        </w:tc>
        <w:tc>
          <w:tcPr>
            <w:tcW w:w="709" w:type="dxa"/>
            <w:noWrap w:val="0"/>
            <w:vAlign w:val="center"/>
          </w:tcPr>
          <w:p>
            <w:pPr>
              <w:widowControl/>
              <w:jc w:val="center"/>
              <w:rPr>
                <w:rFonts w:hint="eastAsia" w:ascii="宋体" w:hAnsi="宋体" w:cs="宋体"/>
                <w:b/>
                <w:bCs/>
                <w:kern w:val="0"/>
                <w:sz w:val="24"/>
                <w:szCs w:val="24"/>
                <w:highlight w:val="none"/>
              </w:rPr>
            </w:pPr>
            <w:r>
              <w:rPr>
                <w:rFonts w:hint="eastAsia" w:ascii="宋体" w:hAnsi="宋体" w:cs="宋体"/>
                <w:b/>
                <w:bCs/>
                <w:kern w:val="0"/>
                <w:sz w:val="24"/>
                <w:szCs w:val="24"/>
                <w:highlight w:val="none"/>
              </w:rPr>
              <w:t>数量</w:t>
            </w:r>
          </w:p>
        </w:tc>
        <w:tc>
          <w:tcPr>
            <w:tcW w:w="992" w:type="dxa"/>
            <w:noWrap w:val="0"/>
            <w:vAlign w:val="center"/>
          </w:tcPr>
          <w:p>
            <w:pPr>
              <w:widowControl/>
              <w:jc w:val="center"/>
              <w:rPr>
                <w:rFonts w:hint="eastAsia" w:ascii="宋体" w:hAnsi="宋体" w:cs="宋体"/>
                <w:b/>
                <w:bCs/>
                <w:kern w:val="0"/>
                <w:sz w:val="24"/>
                <w:szCs w:val="24"/>
                <w:highlight w:val="none"/>
              </w:rPr>
            </w:pPr>
            <w:r>
              <w:rPr>
                <w:rFonts w:hint="eastAsia" w:ascii="宋体" w:hAnsi="宋体" w:cs="宋体"/>
                <w:b/>
                <w:bCs/>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27" w:type="dxa"/>
            <w:noWrap w:val="0"/>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1</w:t>
            </w:r>
          </w:p>
        </w:tc>
        <w:tc>
          <w:tcPr>
            <w:tcW w:w="615" w:type="dxa"/>
            <w:vMerge w:val="restart"/>
            <w:noWrap w:val="0"/>
            <w:vAlign w:val="top"/>
          </w:tcPr>
          <w:p>
            <w:pPr>
              <w:widowControl/>
              <w:jc w:val="left"/>
              <w:rPr>
                <w:rFonts w:hint="eastAsia" w:ascii="宋体" w:hAnsi="宋体" w:cs="宋体"/>
                <w:kern w:val="0"/>
                <w:sz w:val="24"/>
                <w:szCs w:val="24"/>
                <w:highlight w:val="none"/>
              </w:rPr>
            </w:pPr>
          </w:p>
          <w:p>
            <w:pPr>
              <w:pStyle w:val="2"/>
              <w:rPr>
                <w:rFonts w:hint="eastAsia"/>
                <w:sz w:val="24"/>
                <w:szCs w:val="24"/>
                <w:highlight w:val="none"/>
              </w:rPr>
            </w:pPr>
          </w:p>
          <w:p>
            <w:pPr>
              <w:pStyle w:val="2"/>
              <w:rPr>
                <w:rFonts w:hint="eastAsia"/>
                <w:sz w:val="24"/>
                <w:szCs w:val="24"/>
                <w:highlight w:val="none"/>
              </w:rPr>
            </w:pPr>
          </w:p>
          <w:p>
            <w:pPr>
              <w:widowControl/>
              <w:jc w:val="left"/>
              <w:rPr>
                <w:rFonts w:hint="eastAsia"/>
                <w:sz w:val="24"/>
                <w:szCs w:val="24"/>
                <w:highlight w:val="none"/>
              </w:rPr>
            </w:pPr>
            <w:r>
              <w:rPr>
                <w:rFonts w:hint="eastAsia" w:ascii="宋体" w:hAnsi="宋体" w:cs="宋体"/>
                <w:kern w:val="0"/>
                <w:sz w:val="24"/>
                <w:szCs w:val="24"/>
                <w:highlight w:val="none"/>
              </w:rPr>
              <w:t>安全访问平台</w:t>
            </w:r>
          </w:p>
        </w:tc>
        <w:tc>
          <w:tcPr>
            <w:tcW w:w="3544" w:type="dxa"/>
            <w:noWrap w:val="0"/>
            <w:vAlign w:val="center"/>
          </w:tcPr>
          <w:p>
            <w:pPr>
              <w:widowControl/>
              <w:jc w:val="left"/>
              <w:rPr>
                <w:rFonts w:ascii="宋体" w:hAnsi="宋体" w:cs="宋体"/>
                <w:kern w:val="0"/>
                <w:sz w:val="24"/>
                <w:szCs w:val="24"/>
                <w:highlight w:val="none"/>
              </w:rPr>
            </w:pPr>
            <w:r>
              <w:rPr>
                <w:rFonts w:hint="eastAsia" w:ascii="宋体" w:hAnsi="宋体" w:cs="宋体"/>
                <w:kern w:val="0"/>
                <w:sz w:val="24"/>
                <w:szCs w:val="24"/>
                <w:highlight w:val="none"/>
              </w:rPr>
              <w:t>用户汇聚节点路由器</w:t>
            </w:r>
          </w:p>
        </w:tc>
        <w:tc>
          <w:tcPr>
            <w:tcW w:w="709" w:type="dxa"/>
            <w:noWrap w:val="0"/>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台</w:t>
            </w:r>
          </w:p>
        </w:tc>
        <w:tc>
          <w:tcPr>
            <w:tcW w:w="709"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2</w:t>
            </w:r>
          </w:p>
        </w:tc>
        <w:tc>
          <w:tcPr>
            <w:tcW w:w="992" w:type="dxa"/>
            <w:noWrap w:val="0"/>
            <w:vAlign w:val="center"/>
          </w:tcPr>
          <w:p>
            <w:pPr>
              <w:widowControl/>
              <w:jc w:val="center"/>
              <w:rPr>
                <w:rFonts w:hint="eastAsia"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27" w:type="dxa"/>
            <w:noWrap w:val="0"/>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2</w:t>
            </w:r>
          </w:p>
        </w:tc>
        <w:tc>
          <w:tcPr>
            <w:tcW w:w="615" w:type="dxa"/>
            <w:vMerge w:val="continue"/>
            <w:noWrap w:val="0"/>
            <w:vAlign w:val="top"/>
          </w:tcPr>
          <w:p>
            <w:pPr>
              <w:widowControl/>
              <w:jc w:val="left"/>
              <w:rPr>
                <w:rFonts w:hint="eastAsia" w:ascii="宋体" w:hAnsi="宋体" w:cs="宋体"/>
                <w:kern w:val="0"/>
                <w:sz w:val="24"/>
                <w:szCs w:val="24"/>
                <w:highlight w:val="none"/>
              </w:rPr>
            </w:pPr>
          </w:p>
        </w:tc>
        <w:tc>
          <w:tcPr>
            <w:tcW w:w="3544" w:type="dxa"/>
            <w:noWrap w:val="0"/>
            <w:vAlign w:val="center"/>
          </w:tcPr>
          <w:p>
            <w:pPr>
              <w:widowControl/>
              <w:jc w:val="left"/>
              <w:rPr>
                <w:rFonts w:ascii="宋体" w:hAnsi="宋体" w:cs="宋体"/>
                <w:kern w:val="0"/>
                <w:sz w:val="24"/>
                <w:szCs w:val="24"/>
                <w:highlight w:val="none"/>
              </w:rPr>
            </w:pPr>
            <w:r>
              <w:rPr>
                <w:rFonts w:hint="eastAsia" w:ascii="宋体" w:hAnsi="宋体" w:cs="宋体"/>
                <w:kern w:val="0"/>
                <w:sz w:val="24"/>
                <w:szCs w:val="24"/>
                <w:highlight w:val="none"/>
              </w:rPr>
              <w:t>数据汇聚节点路由器</w:t>
            </w:r>
          </w:p>
        </w:tc>
        <w:tc>
          <w:tcPr>
            <w:tcW w:w="709" w:type="dxa"/>
            <w:noWrap w:val="0"/>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台</w:t>
            </w:r>
          </w:p>
        </w:tc>
        <w:tc>
          <w:tcPr>
            <w:tcW w:w="709"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2</w:t>
            </w:r>
          </w:p>
        </w:tc>
        <w:tc>
          <w:tcPr>
            <w:tcW w:w="992" w:type="dxa"/>
            <w:noWrap w:val="0"/>
            <w:vAlign w:val="center"/>
          </w:tcPr>
          <w:p>
            <w:pPr>
              <w:widowControl/>
              <w:jc w:val="center"/>
              <w:rPr>
                <w:rFonts w:hint="eastAsia"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27" w:type="dxa"/>
            <w:noWrap w:val="0"/>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3</w:t>
            </w:r>
          </w:p>
        </w:tc>
        <w:tc>
          <w:tcPr>
            <w:tcW w:w="615" w:type="dxa"/>
            <w:vMerge w:val="continue"/>
            <w:noWrap w:val="0"/>
            <w:vAlign w:val="top"/>
          </w:tcPr>
          <w:p>
            <w:pPr>
              <w:widowControl/>
              <w:jc w:val="left"/>
              <w:rPr>
                <w:rFonts w:hint="eastAsia" w:ascii="宋体" w:hAnsi="宋体" w:cs="宋体"/>
                <w:kern w:val="0"/>
                <w:sz w:val="24"/>
                <w:szCs w:val="24"/>
                <w:highlight w:val="none"/>
              </w:rPr>
            </w:pPr>
          </w:p>
        </w:tc>
        <w:tc>
          <w:tcPr>
            <w:tcW w:w="3544" w:type="dxa"/>
            <w:noWrap w:val="0"/>
            <w:vAlign w:val="center"/>
          </w:tcPr>
          <w:p>
            <w:pPr>
              <w:widowControl/>
              <w:jc w:val="left"/>
              <w:rPr>
                <w:rFonts w:ascii="宋体" w:hAnsi="宋体" w:cs="宋体"/>
                <w:kern w:val="0"/>
                <w:sz w:val="24"/>
                <w:szCs w:val="24"/>
                <w:highlight w:val="none"/>
              </w:rPr>
            </w:pPr>
            <w:r>
              <w:rPr>
                <w:rFonts w:hint="eastAsia" w:ascii="宋体" w:hAnsi="宋体" w:cs="宋体"/>
                <w:kern w:val="0"/>
                <w:sz w:val="24"/>
                <w:szCs w:val="24"/>
                <w:highlight w:val="none"/>
              </w:rPr>
              <w:t>安全访问平台核心交换机</w:t>
            </w:r>
          </w:p>
        </w:tc>
        <w:tc>
          <w:tcPr>
            <w:tcW w:w="709" w:type="dxa"/>
            <w:noWrap w:val="0"/>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台</w:t>
            </w:r>
          </w:p>
        </w:tc>
        <w:tc>
          <w:tcPr>
            <w:tcW w:w="709"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2</w:t>
            </w:r>
          </w:p>
        </w:tc>
        <w:tc>
          <w:tcPr>
            <w:tcW w:w="992" w:type="dxa"/>
            <w:noWrap w:val="0"/>
            <w:vAlign w:val="center"/>
          </w:tcPr>
          <w:p>
            <w:pPr>
              <w:widowControl/>
              <w:jc w:val="center"/>
              <w:rPr>
                <w:rFonts w:hint="eastAsia"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27" w:type="dxa"/>
            <w:noWrap w:val="0"/>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4</w:t>
            </w:r>
          </w:p>
        </w:tc>
        <w:tc>
          <w:tcPr>
            <w:tcW w:w="615" w:type="dxa"/>
            <w:vMerge w:val="continue"/>
            <w:noWrap w:val="0"/>
            <w:vAlign w:val="top"/>
          </w:tcPr>
          <w:p>
            <w:pPr>
              <w:widowControl/>
              <w:jc w:val="left"/>
              <w:rPr>
                <w:rFonts w:hint="eastAsia" w:ascii="宋体" w:hAnsi="宋体" w:cs="宋体"/>
                <w:kern w:val="0"/>
                <w:sz w:val="24"/>
                <w:szCs w:val="24"/>
                <w:highlight w:val="none"/>
              </w:rPr>
            </w:pPr>
          </w:p>
        </w:tc>
        <w:tc>
          <w:tcPr>
            <w:tcW w:w="3544" w:type="dxa"/>
            <w:noWrap w:val="0"/>
            <w:vAlign w:val="center"/>
          </w:tcPr>
          <w:p>
            <w:pPr>
              <w:widowControl/>
              <w:jc w:val="left"/>
              <w:rPr>
                <w:rFonts w:ascii="宋体" w:hAnsi="宋体" w:cs="宋体"/>
                <w:kern w:val="0"/>
                <w:sz w:val="24"/>
                <w:szCs w:val="24"/>
                <w:highlight w:val="none"/>
              </w:rPr>
            </w:pPr>
            <w:r>
              <w:rPr>
                <w:rFonts w:hint="eastAsia" w:ascii="宋体" w:hAnsi="宋体" w:cs="宋体"/>
                <w:kern w:val="0"/>
                <w:sz w:val="24"/>
                <w:szCs w:val="24"/>
                <w:highlight w:val="none"/>
              </w:rPr>
              <w:t>数据中心核心交换机</w:t>
            </w:r>
          </w:p>
        </w:tc>
        <w:tc>
          <w:tcPr>
            <w:tcW w:w="709" w:type="dxa"/>
            <w:noWrap w:val="0"/>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台</w:t>
            </w:r>
          </w:p>
        </w:tc>
        <w:tc>
          <w:tcPr>
            <w:tcW w:w="709"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2</w:t>
            </w:r>
          </w:p>
        </w:tc>
        <w:tc>
          <w:tcPr>
            <w:tcW w:w="992" w:type="dxa"/>
            <w:noWrap w:val="0"/>
            <w:vAlign w:val="center"/>
          </w:tcPr>
          <w:p>
            <w:pPr>
              <w:widowControl/>
              <w:jc w:val="center"/>
              <w:rPr>
                <w:rFonts w:hint="eastAsia"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27"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5</w:t>
            </w:r>
          </w:p>
        </w:tc>
        <w:tc>
          <w:tcPr>
            <w:tcW w:w="615" w:type="dxa"/>
            <w:vMerge w:val="continue"/>
            <w:noWrap w:val="0"/>
            <w:vAlign w:val="top"/>
          </w:tcPr>
          <w:p>
            <w:pPr>
              <w:widowControl/>
              <w:jc w:val="left"/>
              <w:rPr>
                <w:rFonts w:hint="eastAsia" w:ascii="宋体" w:hAnsi="宋体" w:cs="宋体"/>
                <w:kern w:val="0"/>
                <w:sz w:val="24"/>
                <w:szCs w:val="24"/>
                <w:highlight w:val="none"/>
              </w:rPr>
            </w:pPr>
          </w:p>
        </w:tc>
        <w:tc>
          <w:tcPr>
            <w:tcW w:w="3544" w:type="dxa"/>
            <w:noWrap w:val="0"/>
            <w:vAlign w:val="center"/>
          </w:tcPr>
          <w:p>
            <w:pPr>
              <w:widowControl/>
              <w:jc w:val="left"/>
              <w:rPr>
                <w:rFonts w:hint="eastAsia" w:ascii="宋体" w:hAnsi="宋体" w:cs="宋体"/>
                <w:kern w:val="0"/>
                <w:sz w:val="24"/>
                <w:szCs w:val="24"/>
                <w:highlight w:val="none"/>
              </w:rPr>
            </w:pPr>
            <w:r>
              <w:rPr>
                <w:rFonts w:hint="eastAsia" w:ascii="宋体" w:hAnsi="宋体" w:cs="宋体"/>
                <w:kern w:val="0"/>
                <w:sz w:val="24"/>
                <w:szCs w:val="24"/>
                <w:highlight w:val="none"/>
              </w:rPr>
              <w:t>前端边界防火墙（含防病毒、IPS、DPI）</w:t>
            </w:r>
          </w:p>
        </w:tc>
        <w:tc>
          <w:tcPr>
            <w:tcW w:w="709" w:type="dxa"/>
            <w:noWrap w:val="0"/>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台</w:t>
            </w:r>
          </w:p>
        </w:tc>
        <w:tc>
          <w:tcPr>
            <w:tcW w:w="709"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2</w:t>
            </w:r>
          </w:p>
        </w:tc>
        <w:tc>
          <w:tcPr>
            <w:tcW w:w="992" w:type="dxa"/>
            <w:noWrap w:val="0"/>
            <w:vAlign w:val="center"/>
          </w:tcPr>
          <w:p>
            <w:pPr>
              <w:widowControl/>
              <w:jc w:val="left"/>
              <w:rPr>
                <w:rFonts w:ascii="宋体" w:hAnsi="宋体" w:cs="宋体"/>
                <w:kern w:val="0"/>
                <w:sz w:val="24"/>
                <w:szCs w:val="24"/>
                <w:highlight w:val="none"/>
              </w:rPr>
            </w:pPr>
            <w:r>
              <w:rPr>
                <w:rFonts w:hint="eastAsia" w:ascii="宋体" w:hAnsi="宋体" w:cs="宋体"/>
                <w:kern w:val="0"/>
                <w:sz w:val="24"/>
                <w:szCs w:val="24"/>
                <w:highlight w:val="none"/>
              </w:rPr>
              <w:t>前后端异构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27"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6</w:t>
            </w:r>
          </w:p>
        </w:tc>
        <w:tc>
          <w:tcPr>
            <w:tcW w:w="615" w:type="dxa"/>
            <w:vMerge w:val="continue"/>
            <w:noWrap w:val="0"/>
            <w:vAlign w:val="top"/>
          </w:tcPr>
          <w:p>
            <w:pPr>
              <w:widowControl/>
              <w:jc w:val="left"/>
              <w:rPr>
                <w:rFonts w:hint="eastAsia" w:ascii="宋体" w:hAnsi="宋体" w:cs="宋体"/>
                <w:kern w:val="0"/>
                <w:sz w:val="24"/>
                <w:szCs w:val="24"/>
                <w:highlight w:val="none"/>
              </w:rPr>
            </w:pPr>
          </w:p>
        </w:tc>
        <w:tc>
          <w:tcPr>
            <w:tcW w:w="3544" w:type="dxa"/>
            <w:noWrap w:val="0"/>
            <w:vAlign w:val="center"/>
          </w:tcPr>
          <w:p>
            <w:pPr>
              <w:widowControl/>
              <w:jc w:val="left"/>
              <w:rPr>
                <w:rFonts w:hint="eastAsia" w:ascii="宋体" w:hAnsi="宋体" w:cs="宋体"/>
                <w:kern w:val="0"/>
                <w:sz w:val="24"/>
                <w:szCs w:val="24"/>
                <w:highlight w:val="none"/>
              </w:rPr>
            </w:pPr>
            <w:r>
              <w:rPr>
                <w:rFonts w:hint="eastAsia" w:ascii="宋体" w:hAnsi="宋体" w:cs="宋体"/>
                <w:kern w:val="0"/>
                <w:sz w:val="24"/>
                <w:szCs w:val="24"/>
                <w:highlight w:val="none"/>
              </w:rPr>
              <w:t>后端边界防火墙（含防病毒、IPS、DPI）</w:t>
            </w:r>
          </w:p>
        </w:tc>
        <w:tc>
          <w:tcPr>
            <w:tcW w:w="709" w:type="dxa"/>
            <w:noWrap w:val="0"/>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台</w:t>
            </w:r>
          </w:p>
        </w:tc>
        <w:tc>
          <w:tcPr>
            <w:tcW w:w="709"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2</w:t>
            </w:r>
          </w:p>
        </w:tc>
        <w:tc>
          <w:tcPr>
            <w:tcW w:w="992" w:type="dxa"/>
            <w:noWrap w:val="0"/>
            <w:vAlign w:val="center"/>
          </w:tcPr>
          <w:p>
            <w:pPr>
              <w:widowControl/>
              <w:jc w:val="left"/>
              <w:rPr>
                <w:rFonts w:ascii="宋体" w:hAnsi="宋体" w:cs="宋体"/>
                <w:kern w:val="0"/>
                <w:sz w:val="24"/>
                <w:szCs w:val="24"/>
                <w:highlight w:val="none"/>
              </w:rPr>
            </w:pPr>
            <w:r>
              <w:rPr>
                <w:rFonts w:hint="eastAsia" w:ascii="宋体" w:hAnsi="宋体" w:cs="宋体"/>
                <w:kern w:val="0"/>
                <w:sz w:val="24"/>
                <w:szCs w:val="24"/>
                <w:highlight w:val="none"/>
              </w:rPr>
              <w:t>同上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27"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7</w:t>
            </w:r>
          </w:p>
        </w:tc>
        <w:tc>
          <w:tcPr>
            <w:tcW w:w="615" w:type="dxa"/>
            <w:vMerge w:val="continue"/>
            <w:noWrap w:val="0"/>
            <w:vAlign w:val="top"/>
          </w:tcPr>
          <w:p>
            <w:pPr>
              <w:widowControl/>
              <w:jc w:val="left"/>
              <w:rPr>
                <w:rFonts w:hint="eastAsia" w:ascii="宋体" w:hAnsi="宋体" w:cs="宋体"/>
                <w:kern w:val="0"/>
                <w:sz w:val="24"/>
                <w:szCs w:val="24"/>
                <w:highlight w:val="none"/>
              </w:rPr>
            </w:pPr>
          </w:p>
        </w:tc>
        <w:tc>
          <w:tcPr>
            <w:tcW w:w="3544" w:type="dxa"/>
            <w:noWrap w:val="0"/>
            <w:vAlign w:val="center"/>
          </w:tcPr>
          <w:p>
            <w:pPr>
              <w:widowControl/>
              <w:jc w:val="left"/>
              <w:rPr>
                <w:rFonts w:hint="eastAsia" w:ascii="宋体" w:hAnsi="宋体" w:cs="宋体"/>
                <w:kern w:val="0"/>
                <w:sz w:val="24"/>
                <w:szCs w:val="24"/>
                <w:highlight w:val="none"/>
              </w:rPr>
            </w:pPr>
            <w:r>
              <w:rPr>
                <w:rFonts w:hint="eastAsia" w:ascii="宋体" w:hAnsi="宋体" w:cs="宋体"/>
                <w:kern w:val="0"/>
                <w:sz w:val="24"/>
                <w:szCs w:val="24"/>
                <w:highlight w:val="none"/>
              </w:rPr>
              <w:t>云桌面超融合一体机及软件授权</w:t>
            </w:r>
          </w:p>
        </w:tc>
        <w:tc>
          <w:tcPr>
            <w:tcW w:w="709"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套</w:t>
            </w:r>
          </w:p>
        </w:tc>
        <w:tc>
          <w:tcPr>
            <w:tcW w:w="709"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1</w:t>
            </w:r>
          </w:p>
        </w:tc>
        <w:tc>
          <w:tcPr>
            <w:tcW w:w="992" w:type="dxa"/>
            <w:noWrap w:val="0"/>
            <w:vAlign w:val="center"/>
          </w:tcPr>
          <w:p>
            <w:pPr>
              <w:widowControl/>
              <w:jc w:val="left"/>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27"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8</w:t>
            </w:r>
          </w:p>
        </w:tc>
        <w:tc>
          <w:tcPr>
            <w:tcW w:w="615" w:type="dxa"/>
            <w:vMerge w:val="continue"/>
            <w:noWrap w:val="0"/>
            <w:vAlign w:val="top"/>
          </w:tcPr>
          <w:p>
            <w:pPr>
              <w:widowControl/>
              <w:jc w:val="left"/>
              <w:rPr>
                <w:rFonts w:hint="eastAsia" w:ascii="宋体" w:hAnsi="宋体" w:cs="宋体"/>
                <w:kern w:val="0"/>
                <w:sz w:val="24"/>
                <w:szCs w:val="24"/>
                <w:highlight w:val="none"/>
              </w:rPr>
            </w:pPr>
          </w:p>
        </w:tc>
        <w:tc>
          <w:tcPr>
            <w:tcW w:w="3544" w:type="dxa"/>
            <w:noWrap w:val="0"/>
            <w:vAlign w:val="center"/>
          </w:tcPr>
          <w:p>
            <w:pPr>
              <w:widowControl/>
              <w:jc w:val="left"/>
              <w:rPr>
                <w:rFonts w:ascii="宋体" w:hAnsi="宋体" w:cs="宋体"/>
                <w:kern w:val="0"/>
                <w:sz w:val="24"/>
                <w:szCs w:val="24"/>
                <w:highlight w:val="none"/>
              </w:rPr>
            </w:pPr>
            <w:r>
              <w:rPr>
                <w:rFonts w:hint="eastAsia" w:ascii="宋体" w:hAnsi="宋体" w:cs="宋体"/>
                <w:kern w:val="0"/>
                <w:sz w:val="24"/>
                <w:szCs w:val="24"/>
                <w:highlight w:val="none"/>
              </w:rPr>
              <w:t>桌面云管控系统及桌面并发用户授权</w:t>
            </w:r>
          </w:p>
        </w:tc>
        <w:tc>
          <w:tcPr>
            <w:tcW w:w="709" w:type="dxa"/>
            <w:noWrap w:val="0"/>
            <w:vAlign w:val="center"/>
          </w:tcPr>
          <w:p>
            <w:pPr>
              <w:widowControl/>
              <w:jc w:val="center"/>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eastAsia="zh-CN"/>
              </w:rPr>
              <w:t>套</w:t>
            </w:r>
          </w:p>
        </w:tc>
        <w:tc>
          <w:tcPr>
            <w:tcW w:w="709" w:type="dxa"/>
            <w:noWrap w:val="0"/>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lang w:val="en-US" w:eastAsia="zh-CN"/>
              </w:rPr>
              <w:t>1</w:t>
            </w:r>
          </w:p>
        </w:tc>
        <w:tc>
          <w:tcPr>
            <w:tcW w:w="992" w:type="dxa"/>
            <w:noWrap w:val="0"/>
            <w:vAlign w:val="center"/>
          </w:tcPr>
          <w:p>
            <w:pPr>
              <w:widowControl/>
              <w:jc w:val="left"/>
              <w:rPr>
                <w:rFonts w:hint="eastAsia"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27"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9</w:t>
            </w:r>
          </w:p>
        </w:tc>
        <w:tc>
          <w:tcPr>
            <w:tcW w:w="615" w:type="dxa"/>
            <w:vMerge w:val="continue"/>
            <w:noWrap w:val="0"/>
            <w:vAlign w:val="top"/>
          </w:tcPr>
          <w:p>
            <w:pPr>
              <w:widowControl/>
              <w:jc w:val="left"/>
              <w:rPr>
                <w:rFonts w:hint="eastAsia" w:ascii="宋体" w:hAnsi="宋体" w:cs="宋体"/>
                <w:kern w:val="0"/>
                <w:sz w:val="24"/>
                <w:szCs w:val="24"/>
                <w:highlight w:val="none"/>
              </w:rPr>
            </w:pPr>
          </w:p>
        </w:tc>
        <w:tc>
          <w:tcPr>
            <w:tcW w:w="3544" w:type="dxa"/>
            <w:noWrap w:val="0"/>
            <w:vAlign w:val="center"/>
          </w:tcPr>
          <w:p>
            <w:pPr>
              <w:widowControl/>
              <w:jc w:val="left"/>
              <w:rPr>
                <w:rFonts w:hint="eastAsia" w:ascii="宋体" w:hAnsi="宋体" w:cs="宋体"/>
                <w:kern w:val="0"/>
                <w:sz w:val="24"/>
                <w:szCs w:val="24"/>
                <w:highlight w:val="none"/>
              </w:rPr>
            </w:pPr>
            <w:r>
              <w:rPr>
                <w:rFonts w:hint="eastAsia" w:ascii="宋体" w:hAnsi="宋体" w:cs="宋体"/>
                <w:kern w:val="0"/>
                <w:sz w:val="24"/>
                <w:szCs w:val="24"/>
                <w:highlight w:val="none"/>
              </w:rPr>
              <w:t>云桌面瘦终端（含显示屏）</w:t>
            </w:r>
          </w:p>
        </w:tc>
        <w:tc>
          <w:tcPr>
            <w:tcW w:w="709" w:type="dxa"/>
            <w:noWrap w:val="0"/>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lang w:eastAsia="zh-CN"/>
              </w:rPr>
              <w:t>套</w:t>
            </w:r>
          </w:p>
        </w:tc>
        <w:tc>
          <w:tcPr>
            <w:tcW w:w="709"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100</w:t>
            </w:r>
          </w:p>
        </w:tc>
        <w:tc>
          <w:tcPr>
            <w:tcW w:w="992" w:type="dxa"/>
            <w:noWrap w:val="0"/>
            <w:vAlign w:val="center"/>
          </w:tcPr>
          <w:p>
            <w:pPr>
              <w:widowControl/>
              <w:jc w:val="left"/>
              <w:rPr>
                <w:rFonts w:hint="eastAsia"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27"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10</w:t>
            </w:r>
          </w:p>
        </w:tc>
        <w:tc>
          <w:tcPr>
            <w:tcW w:w="615" w:type="dxa"/>
            <w:vMerge w:val="continue"/>
            <w:noWrap w:val="0"/>
            <w:vAlign w:val="top"/>
          </w:tcPr>
          <w:p>
            <w:pPr>
              <w:widowControl/>
              <w:jc w:val="left"/>
              <w:rPr>
                <w:rFonts w:hint="eastAsia" w:ascii="宋体" w:hAnsi="宋体" w:cs="宋体"/>
                <w:kern w:val="0"/>
                <w:sz w:val="24"/>
                <w:szCs w:val="24"/>
                <w:highlight w:val="none"/>
              </w:rPr>
            </w:pPr>
          </w:p>
        </w:tc>
        <w:tc>
          <w:tcPr>
            <w:tcW w:w="3544" w:type="dxa"/>
            <w:noWrap w:val="0"/>
            <w:vAlign w:val="center"/>
          </w:tcPr>
          <w:p>
            <w:pPr>
              <w:widowControl/>
              <w:jc w:val="left"/>
              <w:rPr>
                <w:rFonts w:hint="eastAsia" w:ascii="宋体" w:hAnsi="宋体" w:cs="宋体"/>
                <w:kern w:val="0"/>
                <w:sz w:val="24"/>
                <w:szCs w:val="24"/>
                <w:highlight w:val="none"/>
              </w:rPr>
            </w:pPr>
            <w:r>
              <w:rPr>
                <w:rFonts w:hint="eastAsia" w:ascii="宋体" w:hAnsi="宋体" w:cs="宋体"/>
                <w:kern w:val="0"/>
                <w:sz w:val="24"/>
                <w:szCs w:val="24"/>
                <w:highlight w:val="none"/>
              </w:rPr>
              <w:t>超融合交换机</w:t>
            </w:r>
          </w:p>
        </w:tc>
        <w:tc>
          <w:tcPr>
            <w:tcW w:w="709" w:type="dxa"/>
            <w:noWrap w:val="0"/>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台</w:t>
            </w:r>
          </w:p>
        </w:tc>
        <w:tc>
          <w:tcPr>
            <w:tcW w:w="709"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2</w:t>
            </w:r>
          </w:p>
        </w:tc>
        <w:tc>
          <w:tcPr>
            <w:tcW w:w="992" w:type="dxa"/>
            <w:noWrap w:val="0"/>
            <w:vAlign w:val="center"/>
          </w:tcPr>
          <w:p>
            <w:pPr>
              <w:widowControl/>
              <w:jc w:val="left"/>
              <w:rPr>
                <w:rFonts w:hint="eastAsia"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27"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11</w:t>
            </w:r>
          </w:p>
        </w:tc>
        <w:tc>
          <w:tcPr>
            <w:tcW w:w="615" w:type="dxa"/>
            <w:vMerge w:val="continue"/>
            <w:noWrap w:val="0"/>
            <w:vAlign w:val="top"/>
          </w:tcPr>
          <w:p>
            <w:pPr>
              <w:widowControl/>
              <w:jc w:val="left"/>
              <w:rPr>
                <w:rFonts w:hint="eastAsia" w:ascii="宋体" w:hAnsi="宋体" w:cs="宋体"/>
                <w:kern w:val="0"/>
                <w:sz w:val="24"/>
                <w:szCs w:val="24"/>
                <w:highlight w:val="none"/>
              </w:rPr>
            </w:pPr>
          </w:p>
        </w:tc>
        <w:tc>
          <w:tcPr>
            <w:tcW w:w="3544" w:type="dxa"/>
            <w:noWrap w:val="0"/>
            <w:vAlign w:val="center"/>
          </w:tcPr>
          <w:p>
            <w:pPr>
              <w:widowControl/>
              <w:jc w:val="left"/>
              <w:rPr>
                <w:rFonts w:hint="eastAsia" w:ascii="宋体" w:hAnsi="宋体" w:cs="宋体"/>
                <w:color w:val="FF0000"/>
                <w:kern w:val="0"/>
                <w:sz w:val="24"/>
                <w:szCs w:val="24"/>
                <w:highlight w:val="none"/>
              </w:rPr>
            </w:pPr>
            <w:r>
              <w:rPr>
                <w:rFonts w:hint="eastAsia" w:ascii="宋体" w:hAnsi="宋体" w:cs="宋体"/>
                <w:color w:val="FF0000"/>
                <w:kern w:val="0"/>
                <w:sz w:val="24"/>
                <w:szCs w:val="24"/>
                <w:highlight w:val="none"/>
              </w:rPr>
              <w:t>可信环境感知代理</w:t>
            </w:r>
          </w:p>
        </w:tc>
        <w:tc>
          <w:tcPr>
            <w:tcW w:w="709" w:type="dxa"/>
            <w:noWrap w:val="0"/>
            <w:vAlign w:val="center"/>
          </w:tcPr>
          <w:p>
            <w:pPr>
              <w:widowControl/>
              <w:jc w:val="center"/>
              <w:rPr>
                <w:rFonts w:ascii="宋体" w:hAnsi="宋体" w:cs="宋体"/>
                <w:color w:val="FF0000"/>
                <w:kern w:val="0"/>
                <w:sz w:val="24"/>
                <w:szCs w:val="24"/>
                <w:highlight w:val="none"/>
              </w:rPr>
            </w:pPr>
            <w:r>
              <w:rPr>
                <w:rFonts w:hint="eastAsia" w:ascii="宋体" w:hAnsi="宋体" w:cs="宋体"/>
                <w:color w:val="FF0000"/>
                <w:kern w:val="0"/>
                <w:sz w:val="24"/>
                <w:szCs w:val="24"/>
                <w:highlight w:val="none"/>
                <w:lang w:eastAsia="zh-CN"/>
              </w:rPr>
              <w:t>套</w:t>
            </w:r>
          </w:p>
        </w:tc>
        <w:tc>
          <w:tcPr>
            <w:tcW w:w="709"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1</w:t>
            </w:r>
          </w:p>
        </w:tc>
        <w:tc>
          <w:tcPr>
            <w:tcW w:w="992" w:type="dxa"/>
            <w:noWrap w:val="0"/>
            <w:vAlign w:val="center"/>
          </w:tcPr>
          <w:p>
            <w:pPr>
              <w:widowControl/>
              <w:jc w:val="left"/>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27"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12</w:t>
            </w:r>
          </w:p>
        </w:tc>
        <w:tc>
          <w:tcPr>
            <w:tcW w:w="615" w:type="dxa"/>
            <w:vMerge w:val="continue"/>
            <w:noWrap w:val="0"/>
            <w:vAlign w:val="top"/>
          </w:tcPr>
          <w:p>
            <w:pPr>
              <w:widowControl/>
              <w:jc w:val="left"/>
              <w:rPr>
                <w:rFonts w:hint="eastAsia" w:ascii="宋体" w:hAnsi="宋体" w:cs="宋体"/>
                <w:kern w:val="0"/>
                <w:sz w:val="24"/>
                <w:szCs w:val="24"/>
                <w:highlight w:val="none"/>
              </w:rPr>
            </w:pPr>
          </w:p>
        </w:tc>
        <w:tc>
          <w:tcPr>
            <w:tcW w:w="3544" w:type="dxa"/>
            <w:noWrap w:val="0"/>
            <w:vAlign w:val="center"/>
          </w:tcPr>
          <w:p>
            <w:pPr>
              <w:widowControl/>
              <w:jc w:val="left"/>
              <w:rPr>
                <w:rFonts w:hint="eastAsia" w:ascii="宋体" w:hAnsi="宋体" w:cs="宋体"/>
                <w:color w:val="FF0000"/>
                <w:kern w:val="0"/>
                <w:sz w:val="24"/>
                <w:szCs w:val="24"/>
                <w:highlight w:val="none"/>
              </w:rPr>
            </w:pPr>
            <w:r>
              <w:rPr>
                <w:rFonts w:hint="eastAsia" w:ascii="宋体" w:hAnsi="宋体" w:cs="宋体"/>
                <w:color w:val="FF0000"/>
                <w:kern w:val="0"/>
                <w:sz w:val="24"/>
                <w:szCs w:val="24"/>
                <w:highlight w:val="none"/>
              </w:rPr>
              <w:t>可信接入代理</w:t>
            </w:r>
          </w:p>
        </w:tc>
        <w:tc>
          <w:tcPr>
            <w:tcW w:w="709" w:type="dxa"/>
            <w:noWrap w:val="0"/>
            <w:vAlign w:val="center"/>
          </w:tcPr>
          <w:p>
            <w:pPr>
              <w:widowControl/>
              <w:jc w:val="center"/>
              <w:rPr>
                <w:rFonts w:ascii="宋体" w:hAnsi="宋体" w:cs="宋体"/>
                <w:color w:val="FF0000"/>
                <w:kern w:val="0"/>
                <w:sz w:val="24"/>
                <w:szCs w:val="24"/>
                <w:highlight w:val="none"/>
              </w:rPr>
            </w:pPr>
            <w:r>
              <w:rPr>
                <w:rFonts w:hint="eastAsia" w:ascii="宋体" w:hAnsi="宋体" w:cs="宋体"/>
                <w:color w:val="FF0000"/>
                <w:kern w:val="0"/>
                <w:sz w:val="24"/>
                <w:szCs w:val="24"/>
                <w:highlight w:val="none"/>
                <w:lang w:eastAsia="zh-CN"/>
              </w:rPr>
              <w:t>套</w:t>
            </w:r>
          </w:p>
        </w:tc>
        <w:tc>
          <w:tcPr>
            <w:tcW w:w="709"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2</w:t>
            </w:r>
          </w:p>
        </w:tc>
        <w:tc>
          <w:tcPr>
            <w:tcW w:w="992" w:type="dxa"/>
            <w:noWrap w:val="0"/>
            <w:vAlign w:val="center"/>
          </w:tcPr>
          <w:p>
            <w:pPr>
              <w:widowControl/>
              <w:jc w:val="left"/>
              <w:rPr>
                <w:rFonts w:hint="eastAsia"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27"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13</w:t>
            </w:r>
          </w:p>
        </w:tc>
        <w:tc>
          <w:tcPr>
            <w:tcW w:w="615" w:type="dxa"/>
            <w:vMerge w:val="continue"/>
            <w:noWrap w:val="0"/>
            <w:vAlign w:val="top"/>
          </w:tcPr>
          <w:p>
            <w:pPr>
              <w:widowControl/>
              <w:jc w:val="left"/>
              <w:rPr>
                <w:rFonts w:hint="eastAsia" w:ascii="宋体" w:hAnsi="宋体" w:cs="宋体"/>
                <w:kern w:val="0"/>
                <w:sz w:val="24"/>
                <w:szCs w:val="24"/>
                <w:highlight w:val="none"/>
              </w:rPr>
            </w:pPr>
          </w:p>
        </w:tc>
        <w:tc>
          <w:tcPr>
            <w:tcW w:w="3544" w:type="dxa"/>
            <w:noWrap w:val="0"/>
            <w:vAlign w:val="center"/>
          </w:tcPr>
          <w:p>
            <w:pPr>
              <w:widowControl/>
              <w:jc w:val="left"/>
              <w:rPr>
                <w:rFonts w:hint="eastAsia" w:ascii="宋体" w:hAnsi="宋体" w:cs="宋体"/>
                <w:kern w:val="0"/>
                <w:sz w:val="24"/>
                <w:szCs w:val="24"/>
                <w:highlight w:val="none"/>
              </w:rPr>
            </w:pPr>
            <w:r>
              <w:rPr>
                <w:rFonts w:hint="eastAsia" w:ascii="宋体" w:hAnsi="宋体" w:cs="宋体"/>
                <w:kern w:val="0"/>
                <w:sz w:val="24"/>
                <w:szCs w:val="24"/>
                <w:highlight w:val="none"/>
              </w:rPr>
              <w:t>负载均衡</w:t>
            </w:r>
          </w:p>
        </w:tc>
        <w:tc>
          <w:tcPr>
            <w:tcW w:w="709" w:type="dxa"/>
            <w:noWrap w:val="0"/>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台</w:t>
            </w:r>
          </w:p>
        </w:tc>
        <w:tc>
          <w:tcPr>
            <w:tcW w:w="709"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2</w:t>
            </w:r>
          </w:p>
        </w:tc>
        <w:tc>
          <w:tcPr>
            <w:tcW w:w="992" w:type="dxa"/>
            <w:noWrap w:val="0"/>
            <w:vAlign w:val="center"/>
          </w:tcPr>
          <w:p>
            <w:pPr>
              <w:widowControl/>
              <w:jc w:val="left"/>
              <w:rPr>
                <w:rFonts w:hint="eastAsia"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27"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14</w:t>
            </w:r>
          </w:p>
        </w:tc>
        <w:tc>
          <w:tcPr>
            <w:tcW w:w="615" w:type="dxa"/>
            <w:vMerge w:val="continue"/>
            <w:noWrap w:val="0"/>
            <w:vAlign w:val="top"/>
          </w:tcPr>
          <w:p>
            <w:pPr>
              <w:widowControl/>
              <w:jc w:val="left"/>
              <w:rPr>
                <w:rFonts w:hint="eastAsia" w:ascii="宋体" w:hAnsi="宋体" w:cs="宋体"/>
                <w:kern w:val="0"/>
                <w:sz w:val="24"/>
                <w:szCs w:val="24"/>
                <w:highlight w:val="none"/>
              </w:rPr>
            </w:pPr>
          </w:p>
        </w:tc>
        <w:tc>
          <w:tcPr>
            <w:tcW w:w="3544" w:type="dxa"/>
            <w:noWrap w:val="0"/>
            <w:vAlign w:val="center"/>
          </w:tcPr>
          <w:p>
            <w:pPr>
              <w:widowControl/>
              <w:jc w:val="left"/>
              <w:rPr>
                <w:rFonts w:hint="eastAsia" w:ascii="宋体" w:hAnsi="宋体" w:cs="宋体"/>
                <w:kern w:val="0"/>
                <w:sz w:val="24"/>
                <w:szCs w:val="24"/>
                <w:highlight w:val="none"/>
              </w:rPr>
            </w:pPr>
            <w:r>
              <w:rPr>
                <w:rFonts w:hint="eastAsia" w:ascii="宋体" w:hAnsi="宋体" w:cs="宋体"/>
                <w:kern w:val="0"/>
                <w:sz w:val="24"/>
                <w:szCs w:val="24"/>
                <w:highlight w:val="none"/>
              </w:rPr>
              <w:t>Web应用防火墙</w:t>
            </w:r>
          </w:p>
        </w:tc>
        <w:tc>
          <w:tcPr>
            <w:tcW w:w="709" w:type="dxa"/>
            <w:noWrap w:val="0"/>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台</w:t>
            </w:r>
          </w:p>
        </w:tc>
        <w:tc>
          <w:tcPr>
            <w:tcW w:w="709"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2</w:t>
            </w:r>
          </w:p>
        </w:tc>
        <w:tc>
          <w:tcPr>
            <w:tcW w:w="992" w:type="dxa"/>
            <w:noWrap w:val="0"/>
            <w:vAlign w:val="center"/>
          </w:tcPr>
          <w:p>
            <w:pPr>
              <w:widowControl/>
              <w:jc w:val="left"/>
              <w:rPr>
                <w:rFonts w:hint="eastAsia"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27"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15</w:t>
            </w:r>
          </w:p>
        </w:tc>
        <w:tc>
          <w:tcPr>
            <w:tcW w:w="615" w:type="dxa"/>
            <w:vMerge w:val="continue"/>
            <w:noWrap w:val="0"/>
            <w:vAlign w:val="top"/>
          </w:tcPr>
          <w:p>
            <w:pPr>
              <w:widowControl/>
              <w:jc w:val="left"/>
              <w:rPr>
                <w:rFonts w:hint="eastAsia" w:ascii="宋体" w:hAnsi="宋体" w:cs="宋体"/>
                <w:kern w:val="0"/>
                <w:sz w:val="24"/>
                <w:szCs w:val="24"/>
                <w:highlight w:val="none"/>
              </w:rPr>
            </w:pPr>
          </w:p>
        </w:tc>
        <w:tc>
          <w:tcPr>
            <w:tcW w:w="3544" w:type="dxa"/>
            <w:noWrap w:val="0"/>
            <w:vAlign w:val="center"/>
          </w:tcPr>
          <w:p>
            <w:pPr>
              <w:widowControl/>
              <w:jc w:val="left"/>
              <w:rPr>
                <w:rFonts w:hint="eastAsia" w:ascii="宋体" w:hAnsi="宋体" w:cs="宋体"/>
                <w:kern w:val="0"/>
                <w:sz w:val="24"/>
                <w:szCs w:val="24"/>
                <w:highlight w:val="none"/>
              </w:rPr>
            </w:pPr>
            <w:r>
              <w:rPr>
                <w:rFonts w:hint="eastAsia" w:ascii="宋体" w:hAnsi="宋体" w:cs="宋体"/>
                <w:kern w:val="0"/>
                <w:sz w:val="24"/>
                <w:szCs w:val="24"/>
                <w:highlight w:val="none"/>
              </w:rPr>
              <w:t>超融合虚拟化平台</w:t>
            </w:r>
          </w:p>
        </w:tc>
        <w:tc>
          <w:tcPr>
            <w:tcW w:w="709" w:type="dxa"/>
            <w:noWrap w:val="0"/>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台</w:t>
            </w:r>
          </w:p>
        </w:tc>
        <w:tc>
          <w:tcPr>
            <w:tcW w:w="709"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5</w:t>
            </w:r>
          </w:p>
        </w:tc>
        <w:tc>
          <w:tcPr>
            <w:tcW w:w="992" w:type="dxa"/>
            <w:noWrap w:val="0"/>
            <w:vAlign w:val="center"/>
          </w:tcPr>
          <w:p>
            <w:pPr>
              <w:widowControl/>
              <w:jc w:val="left"/>
              <w:rPr>
                <w:rFonts w:hint="eastAsia"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27"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16</w:t>
            </w:r>
          </w:p>
        </w:tc>
        <w:tc>
          <w:tcPr>
            <w:tcW w:w="615" w:type="dxa"/>
            <w:vMerge w:val="continue"/>
            <w:noWrap w:val="0"/>
            <w:vAlign w:val="top"/>
          </w:tcPr>
          <w:p>
            <w:pPr>
              <w:widowControl/>
              <w:jc w:val="left"/>
              <w:rPr>
                <w:rFonts w:hint="eastAsia" w:ascii="宋体" w:hAnsi="宋体" w:cs="宋体"/>
                <w:kern w:val="0"/>
                <w:sz w:val="24"/>
                <w:szCs w:val="24"/>
                <w:highlight w:val="none"/>
              </w:rPr>
            </w:pPr>
          </w:p>
        </w:tc>
        <w:tc>
          <w:tcPr>
            <w:tcW w:w="3544" w:type="dxa"/>
            <w:noWrap w:val="0"/>
            <w:vAlign w:val="center"/>
          </w:tcPr>
          <w:p>
            <w:pPr>
              <w:widowControl/>
              <w:jc w:val="left"/>
              <w:rPr>
                <w:rFonts w:hint="eastAsia" w:ascii="宋体" w:hAnsi="宋体" w:cs="宋体"/>
                <w:kern w:val="0"/>
                <w:sz w:val="24"/>
                <w:szCs w:val="24"/>
                <w:highlight w:val="none"/>
              </w:rPr>
            </w:pPr>
            <w:r>
              <w:rPr>
                <w:rFonts w:hint="eastAsia" w:ascii="宋体" w:hAnsi="宋体" w:cs="宋体"/>
                <w:kern w:val="0"/>
                <w:sz w:val="24"/>
                <w:szCs w:val="24"/>
                <w:highlight w:val="none"/>
              </w:rPr>
              <w:t>虚拟化集群交换机</w:t>
            </w:r>
          </w:p>
        </w:tc>
        <w:tc>
          <w:tcPr>
            <w:tcW w:w="709" w:type="dxa"/>
            <w:noWrap w:val="0"/>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台</w:t>
            </w:r>
          </w:p>
        </w:tc>
        <w:tc>
          <w:tcPr>
            <w:tcW w:w="709"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2</w:t>
            </w:r>
          </w:p>
        </w:tc>
        <w:tc>
          <w:tcPr>
            <w:tcW w:w="992" w:type="dxa"/>
            <w:noWrap w:val="0"/>
            <w:vAlign w:val="center"/>
          </w:tcPr>
          <w:p>
            <w:pPr>
              <w:widowControl/>
              <w:jc w:val="left"/>
              <w:rPr>
                <w:rFonts w:hint="eastAsia"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27"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17</w:t>
            </w:r>
          </w:p>
        </w:tc>
        <w:tc>
          <w:tcPr>
            <w:tcW w:w="615" w:type="dxa"/>
            <w:vMerge w:val="continue"/>
            <w:noWrap w:val="0"/>
            <w:vAlign w:val="top"/>
          </w:tcPr>
          <w:p>
            <w:pPr>
              <w:widowControl/>
              <w:jc w:val="left"/>
              <w:rPr>
                <w:rFonts w:hint="eastAsia" w:ascii="宋体" w:hAnsi="宋体" w:cs="宋体"/>
                <w:kern w:val="0"/>
                <w:sz w:val="24"/>
                <w:szCs w:val="24"/>
                <w:highlight w:val="none"/>
              </w:rPr>
            </w:pPr>
          </w:p>
        </w:tc>
        <w:tc>
          <w:tcPr>
            <w:tcW w:w="3544" w:type="dxa"/>
            <w:noWrap w:val="0"/>
            <w:vAlign w:val="center"/>
          </w:tcPr>
          <w:p>
            <w:pPr>
              <w:widowControl/>
              <w:jc w:val="left"/>
              <w:rPr>
                <w:rFonts w:hint="eastAsia" w:ascii="宋体" w:hAnsi="宋体" w:cs="宋体"/>
                <w:kern w:val="0"/>
                <w:sz w:val="24"/>
                <w:szCs w:val="24"/>
                <w:highlight w:val="none"/>
              </w:rPr>
            </w:pPr>
            <w:r>
              <w:rPr>
                <w:rFonts w:hint="eastAsia" w:ascii="宋体" w:hAnsi="宋体" w:cs="宋体"/>
                <w:color w:val="FF0000"/>
                <w:kern w:val="0"/>
                <w:sz w:val="24"/>
                <w:szCs w:val="24"/>
                <w:highlight w:val="none"/>
              </w:rPr>
              <w:t>可信代理控制服务</w:t>
            </w:r>
          </w:p>
        </w:tc>
        <w:tc>
          <w:tcPr>
            <w:tcW w:w="709" w:type="dxa"/>
            <w:noWrap w:val="0"/>
            <w:vAlign w:val="center"/>
          </w:tcPr>
          <w:p>
            <w:pPr>
              <w:widowControl/>
              <w:jc w:val="center"/>
              <w:rPr>
                <w:rFonts w:ascii="宋体" w:hAnsi="宋体" w:cs="宋体"/>
                <w:color w:val="FF0000"/>
                <w:kern w:val="0"/>
                <w:sz w:val="24"/>
                <w:szCs w:val="24"/>
                <w:highlight w:val="none"/>
              </w:rPr>
            </w:pPr>
            <w:r>
              <w:rPr>
                <w:rFonts w:hint="eastAsia" w:ascii="宋体" w:hAnsi="宋体" w:cs="宋体"/>
                <w:color w:val="FF0000"/>
                <w:kern w:val="0"/>
                <w:sz w:val="24"/>
                <w:szCs w:val="24"/>
                <w:highlight w:val="none"/>
                <w:lang w:eastAsia="zh-CN"/>
              </w:rPr>
              <w:t>套</w:t>
            </w:r>
          </w:p>
        </w:tc>
        <w:tc>
          <w:tcPr>
            <w:tcW w:w="709"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1</w:t>
            </w:r>
          </w:p>
        </w:tc>
        <w:tc>
          <w:tcPr>
            <w:tcW w:w="992" w:type="dxa"/>
            <w:noWrap w:val="0"/>
            <w:vAlign w:val="center"/>
          </w:tcPr>
          <w:p>
            <w:pPr>
              <w:widowControl/>
              <w:jc w:val="left"/>
              <w:rPr>
                <w:rFonts w:hint="eastAsia"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27"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18</w:t>
            </w:r>
          </w:p>
        </w:tc>
        <w:tc>
          <w:tcPr>
            <w:tcW w:w="615" w:type="dxa"/>
            <w:vMerge w:val="continue"/>
            <w:noWrap w:val="0"/>
            <w:vAlign w:val="top"/>
          </w:tcPr>
          <w:p>
            <w:pPr>
              <w:widowControl/>
              <w:jc w:val="left"/>
              <w:rPr>
                <w:rFonts w:hint="eastAsia" w:ascii="宋体" w:hAnsi="宋体" w:cs="宋体"/>
                <w:kern w:val="0"/>
                <w:sz w:val="24"/>
                <w:szCs w:val="24"/>
                <w:highlight w:val="none"/>
              </w:rPr>
            </w:pPr>
          </w:p>
        </w:tc>
        <w:tc>
          <w:tcPr>
            <w:tcW w:w="3544" w:type="dxa"/>
            <w:noWrap w:val="0"/>
            <w:vAlign w:val="center"/>
          </w:tcPr>
          <w:p>
            <w:pPr>
              <w:widowControl/>
              <w:jc w:val="left"/>
              <w:rPr>
                <w:rFonts w:hint="eastAsia" w:ascii="宋体" w:hAnsi="宋体" w:cs="宋体"/>
                <w:kern w:val="0"/>
                <w:sz w:val="24"/>
                <w:szCs w:val="24"/>
                <w:highlight w:val="none"/>
              </w:rPr>
            </w:pPr>
            <w:r>
              <w:rPr>
                <w:rFonts w:hint="eastAsia" w:ascii="宋体" w:hAnsi="宋体" w:cs="宋体"/>
                <w:color w:val="FF0000"/>
                <w:kern w:val="0"/>
                <w:sz w:val="24"/>
                <w:szCs w:val="24"/>
                <w:highlight w:val="none"/>
              </w:rPr>
              <w:t>可信API代理（含软硬件）</w:t>
            </w:r>
          </w:p>
        </w:tc>
        <w:tc>
          <w:tcPr>
            <w:tcW w:w="709" w:type="dxa"/>
            <w:noWrap w:val="0"/>
            <w:vAlign w:val="center"/>
          </w:tcPr>
          <w:p>
            <w:pPr>
              <w:widowControl/>
              <w:jc w:val="center"/>
              <w:rPr>
                <w:rFonts w:ascii="宋体" w:hAnsi="宋体" w:cs="宋体"/>
                <w:color w:val="FF0000"/>
                <w:kern w:val="0"/>
                <w:sz w:val="24"/>
                <w:szCs w:val="24"/>
                <w:highlight w:val="none"/>
              </w:rPr>
            </w:pPr>
            <w:r>
              <w:rPr>
                <w:rFonts w:hint="eastAsia" w:ascii="宋体" w:hAnsi="宋体" w:cs="宋体"/>
                <w:color w:val="FF0000"/>
                <w:kern w:val="0"/>
                <w:sz w:val="24"/>
                <w:szCs w:val="24"/>
                <w:highlight w:val="none"/>
                <w:lang w:eastAsia="zh-CN"/>
              </w:rPr>
              <w:t>套</w:t>
            </w:r>
          </w:p>
        </w:tc>
        <w:tc>
          <w:tcPr>
            <w:tcW w:w="709"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2</w:t>
            </w:r>
          </w:p>
        </w:tc>
        <w:tc>
          <w:tcPr>
            <w:tcW w:w="992" w:type="dxa"/>
            <w:noWrap w:val="0"/>
            <w:vAlign w:val="center"/>
          </w:tcPr>
          <w:p>
            <w:pPr>
              <w:widowControl/>
              <w:jc w:val="left"/>
              <w:rPr>
                <w:rFonts w:hint="eastAsia"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27"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19</w:t>
            </w:r>
          </w:p>
        </w:tc>
        <w:tc>
          <w:tcPr>
            <w:tcW w:w="615" w:type="dxa"/>
            <w:vMerge w:val="continue"/>
            <w:noWrap w:val="0"/>
            <w:vAlign w:val="top"/>
          </w:tcPr>
          <w:p>
            <w:pPr>
              <w:widowControl/>
              <w:jc w:val="left"/>
              <w:rPr>
                <w:rFonts w:hint="eastAsia" w:ascii="宋体" w:hAnsi="宋体" w:cs="宋体"/>
                <w:kern w:val="0"/>
                <w:sz w:val="24"/>
                <w:szCs w:val="24"/>
                <w:highlight w:val="none"/>
              </w:rPr>
            </w:pPr>
          </w:p>
        </w:tc>
        <w:tc>
          <w:tcPr>
            <w:tcW w:w="3544" w:type="dxa"/>
            <w:noWrap w:val="0"/>
            <w:vAlign w:val="center"/>
          </w:tcPr>
          <w:p>
            <w:pPr>
              <w:widowControl/>
              <w:jc w:val="left"/>
              <w:rPr>
                <w:rFonts w:hint="eastAsia" w:ascii="宋体" w:hAnsi="宋体" w:cs="宋体"/>
                <w:kern w:val="0"/>
                <w:sz w:val="24"/>
                <w:szCs w:val="24"/>
                <w:highlight w:val="none"/>
              </w:rPr>
            </w:pPr>
            <w:r>
              <w:rPr>
                <w:rFonts w:hint="eastAsia" w:ascii="宋体" w:hAnsi="宋体" w:cs="宋体"/>
                <w:kern w:val="0"/>
                <w:sz w:val="24"/>
                <w:szCs w:val="24"/>
                <w:highlight w:val="none"/>
              </w:rPr>
              <w:t>日志审计</w:t>
            </w:r>
          </w:p>
        </w:tc>
        <w:tc>
          <w:tcPr>
            <w:tcW w:w="709" w:type="dxa"/>
            <w:noWrap w:val="0"/>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台</w:t>
            </w:r>
          </w:p>
        </w:tc>
        <w:tc>
          <w:tcPr>
            <w:tcW w:w="709"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1</w:t>
            </w:r>
          </w:p>
        </w:tc>
        <w:tc>
          <w:tcPr>
            <w:tcW w:w="992" w:type="dxa"/>
            <w:noWrap w:val="0"/>
            <w:vAlign w:val="center"/>
          </w:tcPr>
          <w:p>
            <w:pPr>
              <w:widowControl/>
              <w:jc w:val="left"/>
              <w:rPr>
                <w:rFonts w:hint="eastAsia"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27"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20</w:t>
            </w:r>
          </w:p>
        </w:tc>
        <w:tc>
          <w:tcPr>
            <w:tcW w:w="615" w:type="dxa"/>
            <w:vMerge w:val="continue"/>
            <w:noWrap w:val="0"/>
            <w:vAlign w:val="top"/>
          </w:tcPr>
          <w:p>
            <w:pPr>
              <w:widowControl/>
              <w:jc w:val="left"/>
              <w:rPr>
                <w:rFonts w:hint="eastAsia" w:ascii="宋体" w:hAnsi="宋体" w:cs="宋体"/>
                <w:kern w:val="0"/>
                <w:sz w:val="24"/>
                <w:szCs w:val="24"/>
                <w:highlight w:val="none"/>
              </w:rPr>
            </w:pPr>
          </w:p>
        </w:tc>
        <w:tc>
          <w:tcPr>
            <w:tcW w:w="3544" w:type="dxa"/>
            <w:noWrap w:val="0"/>
            <w:vAlign w:val="center"/>
          </w:tcPr>
          <w:p>
            <w:pPr>
              <w:widowControl/>
              <w:jc w:val="left"/>
              <w:rPr>
                <w:rFonts w:hint="eastAsia" w:ascii="宋体" w:hAnsi="宋体" w:cs="宋体"/>
                <w:kern w:val="0"/>
                <w:sz w:val="24"/>
                <w:szCs w:val="24"/>
                <w:highlight w:val="none"/>
              </w:rPr>
            </w:pPr>
            <w:r>
              <w:rPr>
                <w:rFonts w:hint="eastAsia" w:ascii="宋体" w:hAnsi="宋体" w:cs="宋体"/>
                <w:kern w:val="0"/>
                <w:sz w:val="24"/>
                <w:szCs w:val="24"/>
                <w:highlight w:val="none"/>
              </w:rPr>
              <w:t>堡垒机</w:t>
            </w:r>
          </w:p>
        </w:tc>
        <w:tc>
          <w:tcPr>
            <w:tcW w:w="709" w:type="dxa"/>
            <w:noWrap w:val="0"/>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台</w:t>
            </w:r>
          </w:p>
        </w:tc>
        <w:tc>
          <w:tcPr>
            <w:tcW w:w="709"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1</w:t>
            </w:r>
          </w:p>
        </w:tc>
        <w:tc>
          <w:tcPr>
            <w:tcW w:w="992" w:type="dxa"/>
            <w:noWrap w:val="0"/>
            <w:vAlign w:val="center"/>
          </w:tcPr>
          <w:p>
            <w:pPr>
              <w:widowControl/>
              <w:jc w:val="left"/>
              <w:rPr>
                <w:rFonts w:hint="eastAsia"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27"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21</w:t>
            </w:r>
          </w:p>
        </w:tc>
        <w:tc>
          <w:tcPr>
            <w:tcW w:w="615" w:type="dxa"/>
            <w:vMerge w:val="restart"/>
            <w:noWrap w:val="0"/>
            <w:vAlign w:val="top"/>
          </w:tcPr>
          <w:p>
            <w:pPr>
              <w:widowControl/>
              <w:jc w:val="left"/>
              <w:rPr>
                <w:rFonts w:hint="eastAsia" w:ascii="宋体" w:hAnsi="宋体" w:cs="宋体"/>
                <w:kern w:val="0"/>
                <w:sz w:val="24"/>
                <w:szCs w:val="24"/>
                <w:highlight w:val="none"/>
              </w:rPr>
            </w:pPr>
          </w:p>
          <w:p>
            <w:pPr>
              <w:widowControl/>
              <w:jc w:val="left"/>
              <w:rPr>
                <w:rFonts w:hint="eastAsia" w:ascii="宋体" w:hAnsi="宋体" w:cs="宋体"/>
                <w:kern w:val="0"/>
                <w:sz w:val="24"/>
                <w:szCs w:val="24"/>
                <w:highlight w:val="none"/>
              </w:rPr>
            </w:pPr>
            <w:r>
              <w:rPr>
                <w:rFonts w:hint="eastAsia" w:ascii="宋体" w:hAnsi="宋体" w:cs="宋体"/>
                <w:kern w:val="0"/>
                <w:sz w:val="24"/>
                <w:szCs w:val="24"/>
                <w:highlight w:val="none"/>
              </w:rPr>
              <w:t>安全管理中心</w:t>
            </w:r>
          </w:p>
        </w:tc>
        <w:tc>
          <w:tcPr>
            <w:tcW w:w="3544" w:type="dxa"/>
            <w:noWrap w:val="0"/>
            <w:vAlign w:val="center"/>
          </w:tcPr>
          <w:p>
            <w:pPr>
              <w:widowControl/>
              <w:jc w:val="left"/>
              <w:rPr>
                <w:rFonts w:ascii="宋体" w:hAnsi="宋体" w:cs="宋体"/>
                <w:kern w:val="0"/>
                <w:sz w:val="24"/>
                <w:szCs w:val="24"/>
                <w:highlight w:val="none"/>
              </w:rPr>
            </w:pPr>
            <w:r>
              <w:rPr>
                <w:rFonts w:hint="eastAsia" w:ascii="宋体" w:hAnsi="宋体"/>
                <w:color w:val="000000"/>
                <w:sz w:val="24"/>
                <w:szCs w:val="24"/>
                <w:highlight w:val="none"/>
              </w:rPr>
              <w:t>防火墙</w:t>
            </w:r>
          </w:p>
        </w:tc>
        <w:tc>
          <w:tcPr>
            <w:tcW w:w="709" w:type="dxa"/>
            <w:noWrap w:val="0"/>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台</w:t>
            </w:r>
          </w:p>
        </w:tc>
        <w:tc>
          <w:tcPr>
            <w:tcW w:w="709" w:type="dxa"/>
            <w:noWrap w:val="0"/>
            <w:vAlign w:val="center"/>
          </w:tcPr>
          <w:p>
            <w:pPr>
              <w:widowControl/>
              <w:jc w:val="center"/>
              <w:rPr>
                <w:rFonts w:ascii="宋体" w:hAnsi="宋体" w:cs="宋体"/>
                <w:kern w:val="0"/>
                <w:sz w:val="24"/>
                <w:szCs w:val="24"/>
                <w:highlight w:val="none"/>
              </w:rPr>
            </w:pPr>
            <w:r>
              <w:rPr>
                <w:rFonts w:hint="eastAsia" w:ascii="宋体" w:hAnsi="宋体"/>
                <w:color w:val="000000"/>
                <w:sz w:val="24"/>
                <w:szCs w:val="24"/>
                <w:highlight w:val="none"/>
              </w:rPr>
              <w:t>3</w:t>
            </w:r>
          </w:p>
        </w:tc>
        <w:tc>
          <w:tcPr>
            <w:tcW w:w="992" w:type="dxa"/>
            <w:noWrap w:val="0"/>
            <w:vAlign w:val="center"/>
          </w:tcPr>
          <w:p>
            <w:pPr>
              <w:widowControl/>
              <w:jc w:val="center"/>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27"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22</w:t>
            </w:r>
          </w:p>
        </w:tc>
        <w:tc>
          <w:tcPr>
            <w:tcW w:w="615" w:type="dxa"/>
            <w:vMerge w:val="continue"/>
            <w:noWrap w:val="0"/>
            <w:vAlign w:val="top"/>
          </w:tcPr>
          <w:p>
            <w:pPr>
              <w:widowControl/>
              <w:jc w:val="left"/>
              <w:rPr>
                <w:rFonts w:hint="eastAsia" w:ascii="宋体" w:hAnsi="宋体" w:cs="宋体"/>
                <w:kern w:val="0"/>
                <w:sz w:val="24"/>
                <w:szCs w:val="24"/>
                <w:highlight w:val="none"/>
              </w:rPr>
            </w:pPr>
          </w:p>
        </w:tc>
        <w:tc>
          <w:tcPr>
            <w:tcW w:w="3544" w:type="dxa"/>
            <w:noWrap w:val="0"/>
            <w:vAlign w:val="center"/>
          </w:tcPr>
          <w:p>
            <w:pPr>
              <w:widowControl/>
              <w:jc w:val="left"/>
              <w:rPr>
                <w:rFonts w:ascii="宋体" w:hAnsi="宋体" w:cs="宋体"/>
                <w:kern w:val="0"/>
                <w:sz w:val="24"/>
                <w:szCs w:val="24"/>
                <w:highlight w:val="none"/>
              </w:rPr>
            </w:pPr>
            <w:r>
              <w:rPr>
                <w:rFonts w:hint="eastAsia" w:ascii="宋体" w:hAnsi="宋体"/>
                <w:color w:val="000000"/>
                <w:sz w:val="24"/>
                <w:szCs w:val="24"/>
                <w:highlight w:val="none"/>
              </w:rPr>
              <w:t>APT检测探针</w:t>
            </w:r>
          </w:p>
        </w:tc>
        <w:tc>
          <w:tcPr>
            <w:tcW w:w="709" w:type="dxa"/>
            <w:noWrap w:val="0"/>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台</w:t>
            </w:r>
          </w:p>
        </w:tc>
        <w:tc>
          <w:tcPr>
            <w:tcW w:w="709" w:type="dxa"/>
            <w:noWrap w:val="0"/>
            <w:vAlign w:val="center"/>
          </w:tcPr>
          <w:p>
            <w:pPr>
              <w:widowControl/>
              <w:jc w:val="center"/>
              <w:rPr>
                <w:rFonts w:ascii="宋体" w:hAnsi="宋体" w:cs="宋体"/>
                <w:kern w:val="0"/>
                <w:sz w:val="24"/>
                <w:szCs w:val="24"/>
                <w:highlight w:val="none"/>
              </w:rPr>
            </w:pPr>
            <w:r>
              <w:rPr>
                <w:rFonts w:hint="eastAsia" w:ascii="宋体" w:hAnsi="宋体"/>
                <w:color w:val="000000"/>
                <w:sz w:val="24"/>
                <w:szCs w:val="24"/>
                <w:highlight w:val="none"/>
              </w:rPr>
              <w:t>1</w:t>
            </w:r>
          </w:p>
        </w:tc>
        <w:tc>
          <w:tcPr>
            <w:tcW w:w="992" w:type="dxa"/>
            <w:noWrap w:val="0"/>
            <w:vAlign w:val="center"/>
          </w:tcPr>
          <w:p>
            <w:pPr>
              <w:widowControl/>
              <w:jc w:val="center"/>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27"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23</w:t>
            </w:r>
          </w:p>
        </w:tc>
        <w:tc>
          <w:tcPr>
            <w:tcW w:w="615" w:type="dxa"/>
            <w:vMerge w:val="continue"/>
            <w:noWrap w:val="0"/>
            <w:vAlign w:val="top"/>
          </w:tcPr>
          <w:p>
            <w:pPr>
              <w:widowControl/>
              <w:jc w:val="left"/>
              <w:rPr>
                <w:rFonts w:hint="eastAsia" w:ascii="宋体" w:hAnsi="宋体" w:cs="宋体"/>
                <w:kern w:val="0"/>
                <w:sz w:val="24"/>
                <w:szCs w:val="24"/>
                <w:highlight w:val="none"/>
              </w:rPr>
            </w:pPr>
          </w:p>
        </w:tc>
        <w:tc>
          <w:tcPr>
            <w:tcW w:w="3544" w:type="dxa"/>
            <w:noWrap w:val="0"/>
            <w:vAlign w:val="center"/>
          </w:tcPr>
          <w:p>
            <w:pPr>
              <w:widowControl/>
              <w:jc w:val="left"/>
              <w:rPr>
                <w:rFonts w:hint="eastAsia" w:ascii="宋体" w:hAnsi="宋体" w:cs="宋体"/>
                <w:color w:val="FF0000"/>
                <w:kern w:val="0"/>
                <w:sz w:val="24"/>
                <w:szCs w:val="24"/>
                <w:highlight w:val="none"/>
              </w:rPr>
            </w:pPr>
            <w:r>
              <w:rPr>
                <w:rFonts w:ascii="宋体" w:hAnsi="宋体" w:cs="宋体"/>
                <w:color w:val="FF0000"/>
                <w:kern w:val="0"/>
                <w:sz w:val="24"/>
              </w:rPr>
              <w:t>云网安全分析系统</w:t>
            </w:r>
          </w:p>
        </w:tc>
        <w:tc>
          <w:tcPr>
            <w:tcW w:w="709" w:type="dxa"/>
            <w:noWrap w:val="0"/>
            <w:vAlign w:val="center"/>
          </w:tcPr>
          <w:p>
            <w:pPr>
              <w:widowControl/>
              <w:jc w:val="center"/>
              <w:rPr>
                <w:rFonts w:ascii="宋体" w:hAnsi="宋体" w:cs="宋体"/>
                <w:kern w:val="0"/>
                <w:sz w:val="24"/>
                <w:szCs w:val="24"/>
                <w:highlight w:val="none"/>
              </w:rPr>
            </w:pPr>
            <w:r>
              <w:rPr>
                <w:rFonts w:hint="eastAsia" w:ascii="宋体" w:hAnsi="宋体" w:cs="宋体"/>
                <w:color w:val="FF0000"/>
                <w:kern w:val="0"/>
                <w:sz w:val="24"/>
                <w:szCs w:val="24"/>
                <w:highlight w:val="none"/>
                <w:lang w:eastAsia="zh-CN"/>
              </w:rPr>
              <w:t>套</w:t>
            </w:r>
          </w:p>
        </w:tc>
        <w:tc>
          <w:tcPr>
            <w:tcW w:w="709" w:type="dxa"/>
            <w:noWrap w:val="0"/>
            <w:vAlign w:val="center"/>
          </w:tcPr>
          <w:p>
            <w:pPr>
              <w:widowControl/>
              <w:jc w:val="center"/>
              <w:rPr>
                <w:rFonts w:ascii="宋体" w:hAnsi="宋体" w:cs="宋体"/>
                <w:kern w:val="0"/>
                <w:sz w:val="24"/>
                <w:szCs w:val="24"/>
                <w:highlight w:val="none"/>
              </w:rPr>
            </w:pPr>
            <w:r>
              <w:rPr>
                <w:rFonts w:hint="eastAsia" w:ascii="宋体" w:hAnsi="宋体"/>
                <w:color w:val="000000"/>
                <w:sz w:val="24"/>
                <w:szCs w:val="24"/>
                <w:highlight w:val="none"/>
              </w:rPr>
              <w:t>1</w:t>
            </w:r>
          </w:p>
        </w:tc>
        <w:tc>
          <w:tcPr>
            <w:tcW w:w="992" w:type="dxa"/>
            <w:noWrap w:val="0"/>
            <w:vAlign w:val="center"/>
          </w:tcPr>
          <w:p>
            <w:pPr>
              <w:widowControl/>
              <w:jc w:val="center"/>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27"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24</w:t>
            </w:r>
          </w:p>
        </w:tc>
        <w:tc>
          <w:tcPr>
            <w:tcW w:w="615" w:type="dxa"/>
            <w:vMerge w:val="continue"/>
            <w:noWrap w:val="0"/>
            <w:vAlign w:val="top"/>
          </w:tcPr>
          <w:p>
            <w:pPr>
              <w:widowControl/>
              <w:jc w:val="left"/>
              <w:rPr>
                <w:rFonts w:hint="eastAsia" w:ascii="宋体" w:hAnsi="宋体" w:cs="宋体"/>
                <w:kern w:val="0"/>
                <w:sz w:val="24"/>
                <w:szCs w:val="24"/>
                <w:highlight w:val="none"/>
              </w:rPr>
            </w:pPr>
          </w:p>
        </w:tc>
        <w:tc>
          <w:tcPr>
            <w:tcW w:w="3544" w:type="dxa"/>
            <w:noWrap w:val="0"/>
            <w:vAlign w:val="center"/>
          </w:tcPr>
          <w:p>
            <w:pPr>
              <w:widowControl/>
              <w:jc w:val="left"/>
              <w:rPr>
                <w:rFonts w:ascii="宋体" w:hAnsi="宋体" w:cs="宋体"/>
                <w:kern w:val="0"/>
                <w:sz w:val="24"/>
                <w:szCs w:val="24"/>
                <w:highlight w:val="none"/>
              </w:rPr>
            </w:pPr>
            <w:r>
              <w:rPr>
                <w:rFonts w:hint="eastAsia" w:ascii="宋体" w:hAnsi="宋体"/>
                <w:color w:val="000000"/>
                <w:sz w:val="24"/>
                <w:szCs w:val="24"/>
                <w:highlight w:val="none"/>
              </w:rPr>
              <w:t>堡垒机</w:t>
            </w:r>
          </w:p>
        </w:tc>
        <w:tc>
          <w:tcPr>
            <w:tcW w:w="709" w:type="dxa"/>
            <w:noWrap w:val="0"/>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台</w:t>
            </w:r>
          </w:p>
        </w:tc>
        <w:tc>
          <w:tcPr>
            <w:tcW w:w="709" w:type="dxa"/>
            <w:noWrap w:val="0"/>
            <w:vAlign w:val="center"/>
          </w:tcPr>
          <w:p>
            <w:pPr>
              <w:widowControl/>
              <w:jc w:val="center"/>
              <w:rPr>
                <w:rFonts w:ascii="宋体" w:hAnsi="宋体" w:cs="宋体"/>
                <w:kern w:val="0"/>
                <w:sz w:val="24"/>
                <w:szCs w:val="24"/>
                <w:highlight w:val="none"/>
              </w:rPr>
            </w:pPr>
            <w:r>
              <w:rPr>
                <w:rFonts w:hint="eastAsia" w:ascii="宋体" w:hAnsi="宋体"/>
                <w:color w:val="000000"/>
                <w:sz w:val="24"/>
                <w:szCs w:val="24"/>
                <w:highlight w:val="none"/>
              </w:rPr>
              <w:t>1</w:t>
            </w:r>
          </w:p>
        </w:tc>
        <w:tc>
          <w:tcPr>
            <w:tcW w:w="992" w:type="dxa"/>
            <w:noWrap w:val="0"/>
            <w:vAlign w:val="center"/>
          </w:tcPr>
          <w:p>
            <w:pPr>
              <w:widowControl/>
              <w:jc w:val="center"/>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27"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25</w:t>
            </w:r>
          </w:p>
        </w:tc>
        <w:tc>
          <w:tcPr>
            <w:tcW w:w="615" w:type="dxa"/>
            <w:vMerge w:val="continue"/>
            <w:noWrap w:val="0"/>
            <w:vAlign w:val="top"/>
          </w:tcPr>
          <w:p>
            <w:pPr>
              <w:widowControl/>
              <w:jc w:val="left"/>
              <w:rPr>
                <w:rFonts w:hint="eastAsia" w:ascii="宋体" w:hAnsi="宋体" w:cs="宋体"/>
                <w:kern w:val="0"/>
                <w:sz w:val="24"/>
                <w:szCs w:val="24"/>
                <w:highlight w:val="none"/>
              </w:rPr>
            </w:pPr>
          </w:p>
        </w:tc>
        <w:tc>
          <w:tcPr>
            <w:tcW w:w="3544" w:type="dxa"/>
            <w:noWrap w:val="0"/>
            <w:vAlign w:val="center"/>
          </w:tcPr>
          <w:p>
            <w:pPr>
              <w:widowControl/>
              <w:jc w:val="left"/>
              <w:rPr>
                <w:rFonts w:hint="eastAsia" w:ascii="宋体" w:hAnsi="宋体"/>
                <w:color w:val="000000"/>
                <w:sz w:val="24"/>
                <w:szCs w:val="24"/>
                <w:highlight w:val="none"/>
              </w:rPr>
            </w:pPr>
            <w:r>
              <w:rPr>
                <w:rFonts w:hint="eastAsia" w:ascii="宋体" w:hAnsi="宋体"/>
                <w:color w:val="000000"/>
                <w:sz w:val="24"/>
                <w:szCs w:val="24"/>
                <w:highlight w:val="none"/>
              </w:rPr>
              <w:t>日志审计</w:t>
            </w:r>
          </w:p>
        </w:tc>
        <w:tc>
          <w:tcPr>
            <w:tcW w:w="709" w:type="dxa"/>
            <w:noWrap w:val="0"/>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台</w:t>
            </w:r>
          </w:p>
        </w:tc>
        <w:tc>
          <w:tcPr>
            <w:tcW w:w="709" w:type="dxa"/>
            <w:noWrap w:val="0"/>
            <w:vAlign w:val="center"/>
          </w:tcPr>
          <w:p>
            <w:pPr>
              <w:widowControl/>
              <w:jc w:val="center"/>
              <w:rPr>
                <w:rFonts w:ascii="宋体" w:hAnsi="宋体" w:cs="宋体"/>
                <w:kern w:val="0"/>
                <w:sz w:val="24"/>
                <w:szCs w:val="24"/>
                <w:highlight w:val="none"/>
              </w:rPr>
            </w:pPr>
            <w:r>
              <w:rPr>
                <w:rFonts w:hint="eastAsia" w:ascii="宋体" w:hAnsi="宋体"/>
                <w:color w:val="000000"/>
                <w:sz w:val="24"/>
                <w:szCs w:val="24"/>
                <w:highlight w:val="none"/>
              </w:rPr>
              <w:t>1</w:t>
            </w:r>
          </w:p>
        </w:tc>
        <w:tc>
          <w:tcPr>
            <w:tcW w:w="992" w:type="dxa"/>
            <w:noWrap w:val="0"/>
            <w:vAlign w:val="center"/>
          </w:tcPr>
          <w:p>
            <w:pPr>
              <w:widowControl/>
              <w:jc w:val="center"/>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27"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26</w:t>
            </w:r>
          </w:p>
        </w:tc>
        <w:tc>
          <w:tcPr>
            <w:tcW w:w="615" w:type="dxa"/>
            <w:vMerge w:val="continue"/>
            <w:noWrap w:val="0"/>
            <w:vAlign w:val="top"/>
          </w:tcPr>
          <w:p>
            <w:pPr>
              <w:widowControl/>
              <w:jc w:val="left"/>
              <w:rPr>
                <w:rFonts w:hint="eastAsia" w:ascii="宋体" w:hAnsi="宋体" w:cs="宋体"/>
                <w:kern w:val="0"/>
                <w:sz w:val="24"/>
                <w:szCs w:val="24"/>
                <w:highlight w:val="none"/>
              </w:rPr>
            </w:pPr>
          </w:p>
        </w:tc>
        <w:tc>
          <w:tcPr>
            <w:tcW w:w="3544" w:type="dxa"/>
            <w:noWrap w:val="0"/>
            <w:vAlign w:val="center"/>
          </w:tcPr>
          <w:p>
            <w:pPr>
              <w:widowControl/>
              <w:jc w:val="left"/>
              <w:rPr>
                <w:rFonts w:hint="eastAsia" w:ascii="宋体" w:hAnsi="宋体"/>
                <w:color w:val="000000"/>
                <w:sz w:val="24"/>
                <w:szCs w:val="24"/>
                <w:highlight w:val="none"/>
              </w:rPr>
            </w:pPr>
            <w:r>
              <w:rPr>
                <w:rFonts w:hint="eastAsia" w:ascii="宋体" w:hAnsi="宋体"/>
                <w:color w:val="000000"/>
                <w:sz w:val="24"/>
                <w:szCs w:val="24"/>
                <w:highlight w:val="none"/>
              </w:rPr>
              <w:t>数据库审计</w:t>
            </w:r>
          </w:p>
        </w:tc>
        <w:tc>
          <w:tcPr>
            <w:tcW w:w="709" w:type="dxa"/>
            <w:noWrap w:val="0"/>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台</w:t>
            </w:r>
          </w:p>
        </w:tc>
        <w:tc>
          <w:tcPr>
            <w:tcW w:w="709" w:type="dxa"/>
            <w:noWrap w:val="0"/>
            <w:vAlign w:val="center"/>
          </w:tcPr>
          <w:p>
            <w:pPr>
              <w:widowControl/>
              <w:jc w:val="center"/>
              <w:rPr>
                <w:rFonts w:ascii="宋体" w:hAnsi="宋体" w:cs="宋体"/>
                <w:kern w:val="0"/>
                <w:sz w:val="24"/>
                <w:szCs w:val="24"/>
                <w:highlight w:val="none"/>
              </w:rPr>
            </w:pPr>
            <w:r>
              <w:rPr>
                <w:rFonts w:hint="eastAsia" w:ascii="宋体" w:hAnsi="宋体"/>
                <w:color w:val="000000"/>
                <w:sz w:val="24"/>
                <w:szCs w:val="24"/>
                <w:highlight w:val="none"/>
              </w:rPr>
              <w:t>1</w:t>
            </w:r>
          </w:p>
        </w:tc>
        <w:tc>
          <w:tcPr>
            <w:tcW w:w="992" w:type="dxa"/>
            <w:noWrap w:val="0"/>
            <w:vAlign w:val="center"/>
          </w:tcPr>
          <w:p>
            <w:pPr>
              <w:widowControl/>
              <w:jc w:val="center"/>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27"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27</w:t>
            </w:r>
          </w:p>
        </w:tc>
        <w:tc>
          <w:tcPr>
            <w:tcW w:w="615" w:type="dxa"/>
            <w:vMerge w:val="continue"/>
            <w:noWrap w:val="0"/>
            <w:vAlign w:val="top"/>
          </w:tcPr>
          <w:p>
            <w:pPr>
              <w:widowControl/>
              <w:jc w:val="left"/>
              <w:rPr>
                <w:rFonts w:hint="eastAsia" w:ascii="宋体" w:hAnsi="宋体" w:cs="宋体"/>
                <w:kern w:val="0"/>
                <w:sz w:val="24"/>
                <w:szCs w:val="24"/>
                <w:highlight w:val="none"/>
              </w:rPr>
            </w:pPr>
          </w:p>
        </w:tc>
        <w:tc>
          <w:tcPr>
            <w:tcW w:w="3544" w:type="dxa"/>
            <w:noWrap w:val="0"/>
            <w:vAlign w:val="center"/>
          </w:tcPr>
          <w:p>
            <w:pPr>
              <w:widowControl/>
              <w:jc w:val="left"/>
              <w:rPr>
                <w:rFonts w:hint="eastAsia" w:ascii="宋体" w:hAnsi="宋体"/>
                <w:color w:val="000000"/>
                <w:sz w:val="24"/>
                <w:szCs w:val="24"/>
                <w:highlight w:val="none"/>
              </w:rPr>
            </w:pPr>
            <w:r>
              <w:rPr>
                <w:rFonts w:hint="eastAsia" w:ascii="宋体" w:hAnsi="宋体"/>
                <w:color w:val="000000"/>
                <w:sz w:val="24"/>
                <w:szCs w:val="24"/>
                <w:highlight w:val="none"/>
              </w:rPr>
              <w:t>漏洞扫描</w:t>
            </w:r>
          </w:p>
        </w:tc>
        <w:tc>
          <w:tcPr>
            <w:tcW w:w="709" w:type="dxa"/>
            <w:noWrap w:val="0"/>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台</w:t>
            </w:r>
          </w:p>
        </w:tc>
        <w:tc>
          <w:tcPr>
            <w:tcW w:w="709" w:type="dxa"/>
            <w:noWrap w:val="0"/>
            <w:vAlign w:val="center"/>
          </w:tcPr>
          <w:p>
            <w:pPr>
              <w:widowControl/>
              <w:jc w:val="center"/>
              <w:rPr>
                <w:rFonts w:ascii="宋体" w:hAnsi="宋体" w:cs="宋体"/>
                <w:kern w:val="0"/>
                <w:sz w:val="24"/>
                <w:szCs w:val="24"/>
                <w:highlight w:val="none"/>
              </w:rPr>
            </w:pPr>
            <w:r>
              <w:rPr>
                <w:rFonts w:hint="eastAsia" w:ascii="宋体" w:hAnsi="宋体"/>
                <w:color w:val="000000"/>
                <w:sz w:val="24"/>
                <w:szCs w:val="24"/>
                <w:highlight w:val="none"/>
              </w:rPr>
              <w:t>1</w:t>
            </w:r>
          </w:p>
        </w:tc>
        <w:tc>
          <w:tcPr>
            <w:tcW w:w="992" w:type="dxa"/>
            <w:noWrap w:val="0"/>
            <w:vAlign w:val="center"/>
          </w:tcPr>
          <w:p>
            <w:pPr>
              <w:widowControl/>
              <w:jc w:val="center"/>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27"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28</w:t>
            </w:r>
          </w:p>
        </w:tc>
        <w:tc>
          <w:tcPr>
            <w:tcW w:w="615" w:type="dxa"/>
            <w:vMerge w:val="continue"/>
            <w:noWrap w:val="0"/>
            <w:vAlign w:val="top"/>
          </w:tcPr>
          <w:p>
            <w:pPr>
              <w:widowControl/>
              <w:jc w:val="left"/>
              <w:rPr>
                <w:rFonts w:hint="eastAsia" w:ascii="宋体" w:hAnsi="宋体" w:cs="宋体"/>
                <w:kern w:val="0"/>
                <w:sz w:val="24"/>
                <w:szCs w:val="24"/>
                <w:highlight w:val="none"/>
              </w:rPr>
            </w:pPr>
          </w:p>
        </w:tc>
        <w:tc>
          <w:tcPr>
            <w:tcW w:w="3544" w:type="dxa"/>
            <w:noWrap w:val="0"/>
            <w:vAlign w:val="center"/>
          </w:tcPr>
          <w:p>
            <w:pPr>
              <w:widowControl/>
              <w:jc w:val="left"/>
              <w:rPr>
                <w:rFonts w:hint="eastAsia" w:ascii="宋体" w:hAnsi="宋体"/>
                <w:color w:val="000000"/>
                <w:sz w:val="24"/>
                <w:szCs w:val="24"/>
                <w:highlight w:val="none"/>
              </w:rPr>
            </w:pPr>
            <w:r>
              <w:rPr>
                <w:rFonts w:hint="eastAsia" w:ascii="宋体" w:hAnsi="宋体"/>
                <w:color w:val="000000"/>
                <w:sz w:val="24"/>
                <w:szCs w:val="24"/>
                <w:highlight w:val="none"/>
              </w:rPr>
              <w:t>态势感知</w:t>
            </w:r>
          </w:p>
        </w:tc>
        <w:tc>
          <w:tcPr>
            <w:tcW w:w="709" w:type="dxa"/>
            <w:noWrap w:val="0"/>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套</w:t>
            </w:r>
          </w:p>
        </w:tc>
        <w:tc>
          <w:tcPr>
            <w:tcW w:w="709" w:type="dxa"/>
            <w:noWrap w:val="0"/>
            <w:vAlign w:val="center"/>
          </w:tcPr>
          <w:p>
            <w:pPr>
              <w:widowControl/>
              <w:jc w:val="center"/>
              <w:rPr>
                <w:rFonts w:ascii="宋体" w:hAnsi="宋体" w:cs="宋体"/>
                <w:kern w:val="0"/>
                <w:sz w:val="24"/>
                <w:szCs w:val="24"/>
                <w:highlight w:val="none"/>
              </w:rPr>
            </w:pPr>
            <w:r>
              <w:rPr>
                <w:rFonts w:hint="eastAsia" w:ascii="宋体" w:hAnsi="宋体"/>
                <w:color w:val="000000"/>
                <w:sz w:val="24"/>
                <w:szCs w:val="24"/>
                <w:highlight w:val="none"/>
              </w:rPr>
              <w:t>1</w:t>
            </w:r>
          </w:p>
        </w:tc>
        <w:tc>
          <w:tcPr>
            <w:tcW w:w="992" w:type="dxa"/>
            <w:noWrap w:val="0"/>
            <w:vAlign w:val="center"/>
          </w:tcPr>
          <w:p>
            <w:pPr>
              <w:widowControl/>
              <w:jc w:val="center"/>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27"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29</w:t>
            </w:r>
          </w:p>
        </w:tc>
        <w:tc>
          <w:tcPr>
            <w:tcW w:w="615" w:type="dxa"/>
            <w:vMerge w:val="continue"/>
            <w:noWrap w:val="0"/>
            <w:vAlign w:val="top"/>
          </w:tcPr>
          <w:p>
            <w:pPr>
              <w:widowControl/>
              <w:jc w:val="left"/>
              <w:rPr>
                <w:rFonts w:hint="eastAsia" w:ascii="宋体" w:hAnsi="宋体" w:cs="宋体"/>
                <w:kern w:val="0"/>
                <w:sz w:val="24"/>
                <w:szCs w:val="24"/>
                <w:highlight w:val="none"/>
              </w:rPr>
            </w:pPr>
          </w:p>
        </w:tc>
        <w:tc>
          <w:tcPr>
            <w:tcW w:w="3544" w:type="dxa"/>
            <w:noWrap w:val="0"/>
            <w:vAlign w:val="center"/>
          </w:tcPr>
          <w:p>
            <w:pPr>
              <w:widowControl/>
              <w:jc w:val="left"/>
              <w:rPr>
                <w:rFonts w:hint="eastAsia" w:ascii="宋体" w:hAnsi="宋体"/>
                <w:color w:val="000000"/>
                <w:sz w:val="24"/>
                <w:szCs w:val="24"/>
                <w:highlight w:val="none"/>
              </w:rPr>
            </w:pPr>
            <w:r>
              <w:rPr>
                <w:rFonts w:hint="eastAsia" w:ascii="宋体" w:hAnsi="宋体"/>
                <w:color w:val="000000"/>
                <w:sz w:val="24"/>
                <w:szCs w:val="24"/>
                <w:highlight w:val="none"/>
              </w:rPr>
              <w:t>网络管理平台</w:t>
            </w:r>
          </w:p>
        </w:tc>
        <w:tc>
          <w:tcPr>
            <w:tcW w:w="709" w:type="dxa"/>
            <w:noWrap w:val="0"/>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套</w:t>
            </w:r>
          </w:p>
        </w:tc>
        <w:tc>
          <w:tcPr>
            <w:tcW w:w="709" w:type="dxa"/>
            <w:noWrap w:val="0"/>
            <w:vAlign w:val="center"/>
          </w:tcPr>
          <w:p>
            <w:pPr>
              <w:widowControl/>
              <w:jc w:val="center"/>
              <w:rPr>
                <w:rFonts w:ascii="宋体" w:hAnsi="宋体" w:cs="宋体"/>
                <w:kern w:val="0"/>
                <w:sz w:val="24"/>
                <w:szCs w:val="24"/>
                <w:highlight w:val="none"/>
              </w:rPr>
            </w:pPr>
            <w:r>
              <w:rPr>
                <w:rFonts w:hint="eastAsia" w:ascii="宋体" w:hAnsi="宋体"/>
                <w:color w:val="000000"/>
                <w:sz w:val="24"/>
                <w:szCs w:val="24"/>
                <w:highlight w:val="none"/>
              </w:rPr>
              <w:t>1</w:t>
            </w:r>
          </w:p>
        </w:tc>
        <w:tc>
          <w:tcPr>
            <w:tcW w:w="992" w:type="dxa"/>
            <w:noWrap w:val="0"/>
            <w:vAlign w:val="center"/>
          </w:tcPr>
          <w:p>
            <w:pPr>
              <w:widowControl/>
              <w:jc w:val="center"/>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27"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30</w:t>
            </w:r>
          </w:p>
        </w:tc>
        <w:tc>
          <w:tcPr>
            <w:tcW w:w="615" w:type="dxa"/>
            <w:vMerge w:val="continue"/>
            <w:noWrap w:val="0"/>
            <w:vAlign w:val="top"/>
          </w:tcPr>
          <w:p>
            <w:pPr>
              <w:widowControl/>
              <w:jc w:val="left"/>
              <w:rPr>
                <w:rFonts w:hint="eastAsia" w:ascii="宋体" w:hAnsi="宋体" w:cs="宋体"/>
                <w:kern w:val="0"/>
                <w:sz w:val="24"/>
                <w:szCs w:val="24"/>
                <w:highlight w:val="none"/>
              </w:rPr>
            </w:pPr>
          </w:p>
        </w:tc>
        <w:tc>
          <w:tcPr>
            <w:tcW w:w="3544" w:type="dxa"/>
            <w:noWrap w:val="0"/>
            <w:vAlign w:val="center"/>
          </w:tcPr>
          <w:p>
            <w:pPr>
              <w:widowControl/>
              <w:jc w:val="left"/>
              <w:rPr>
                <w:rFonts w:hint="eastAsia" w:ascii="宋体" w:hAnsi="宋体"/>
                <w:b/>
                <w:bCs/>
                <w:color w:val="000000"/>
                <w:sz w:val="24"/>
                <w:szCs w:val="24"/>
                <w:highlight w:val="none"/>
              </w:rPr>
            </w:pPr>
            <w:r>
              <w:rPr>
                <w:rFonts w:hint="eastAsia" w:ascii="宋体" w:hAnsi="宋体"/>
                <w:color w:val="000000"/>
                <w:sz w:val="24"/>
                <w:szCs w:val="24"/>
                <w:highlight w:val="none"/>
              </w:rPr>
              <w:t>终端安全管理平台</w:t>
            </w:r>
          </w:p>
        </w:tc>
        <w:tc>
          <w:tcPr>
            <w:tcW w:w="709" w:type="dxa"/>
            <w:noWrap w:val="0"/>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套</w:t>
            </w:r>
          </w:p>
        </w:tc>
        <w:tc>
          <w:tcPr>
            <w:tcW w:w="709" w:type="dxa"/>
            <w:noWrap w:val="0"/>
            <w:vAlign w:val="center"/>
          </w:tcPr>
          <w:p>
            <w:pPr>
              <w:widowControl/>
              <w:jc w:val="center"/>
              <w:rPr>
                <w:rFonts w:ascii="宋体" w:hAnsi="宋体" w:cs="宋体"/>
                <w:kern w:val="0"/>
                <w:sz w:val="24"/>
                <w:szCs w:val="24"/>
                <w:highlight w:val="none"/>
              </w:rPr>
            </w:pPr>
            <w:r>
              <w:rPr>
                <w:rFonts w:hint="eastAsia" w:ascii="宋体" w:hAnsi="宋体"/>
                <w:color w:val="000000"/>
                <w:sz w:val="24"/>
                <w:szCs w:val="24"/>
                <w:highlight w:val="none"/>
              </w:rPr>
              <w:t>1</w:t>
            </w:r>
          </w:p>
        </w:tc>
        <w:tc>
          <w:tcPr>
            <w:tcW w:w="992" w:type="dxa"/>
            <w:noWrap w:val="0"/>
            <w:vAlign w:val="center"/>
          </w:tcPr>
          <w:p>
            <w:pPr>
              <w:widowControl/>
              <w:jc w:val="center"/>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27"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31</w:t>
            </w:r>
          </w:p>
        </w:tc>
        <w:tc>
          <w:tcPr>
            <w:tcW w:w="615" w:type="dxa"/>
            <w:vMerge w:val="continue"/>
            <w:noWrap w:val="0"/>
            <w:vAlign w:val="top"/>
          </w:tcPr>
          <w:p>
            <w:pPr>
              <w:widowControl/>
              <w:jc w:val="left"/>
              <w:rPr>
                <w:rFonts w:hint="eastAsia" w:ascii="宋体" w:hAnsi="宋体" w:cs="宋体"/>
                <w:kern w:val="0"/>
                <w:sz w:val="24"/>
                <w:szCs w:val="24"/>
                <w:highlight w:val="none"/>
              </w:rPr>
            </w:pPr>
          </w:p>
        </w:tc>
        <w:tc>
          <w:tcPr>
            <w:tcW w:w="3544" w:type="dxa"/>
            <w:noWrap w:val="0"/>
            <w:vAlign w:val="center"/>
          </w:tcPr>
          <w:p>
            <w:pPr>
              <w:widowControl/>
              <w:jc w:val="left"/>
              <w:rPr>
                <w:rFonts w:hint="eastAsia" w:ascii="宋体" w:hAnsi="宋体"/>
                <w:color w:val="FF0000"/>
                <w:sz w:val="24"/>
                <w:szCs w:val="24"/>
                <w:highlight w:val="none"/>
              </w:rPr>
            </w:pPr>
            <w:r>
              <w:rPr>
                <w:rFonts w:hint="eastAsia" w:ascii="宋体" w:hAnsi="宋体"/>
                <w:color w:val="FF0000"/>
                <w:sz w:val="24"/>
                <w:szCs w:val="24"/>
                <w:highlight w:val="none"/>
              </w:rPr>
              <w:t>杀毒软件</w:t>
            </w:r>
          </w:p>
        </w:tc>
        <w:tc>
          <w:tcPr>
            <w:tcW w:w="709" w:type="dxa"/>
            <w:noWrap w:val="0"/>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套</w:t>
            </w:r>
          </w:p>
        </w:tc>
        <w:tc>
          <w:tcPr>
            <w:tcW w:w="709" w:type="dxa"/>
            <w:noWrap w:val="0"/>
            <w:vAlign w:val="center"/>
          </w:tcPr>
          <w:p>
            <w:pPr>
              <w:widowControl/>
              <w:jc w:val="center"/>
              <w:rPr>
                <w:rFonts w:ascii="宋体" w:hAnsi="宋体" w:cs="宋体"/>
                <w:kern w:val="0"/>
                <w:sz w:val="24"/>
                <w:szCs w:val="24"/>
                <w:highlight w:val="none"/>
              </w:rPr>
            </w:pPr>
            <w:r>
              <w:rPr>
                <w:rFonts w:hint="eastAsia" w:ascii="宋体" w:hAnsi="宋体"/>
                <w:color w:val="000000"/>
                <w:sz w:val="24"/>
                <w:szCs w:val="24"/>
                <w:highlight w:val="none"/>
              </w:rPr>
              <w:t>1</w:t>
            </w:r>
          </w:p>
        </w:tc>
        <w:tc>
          <w:tcPr>
            <w:tcW w:w="992" w:type="dxa"/>
            <w:noWrap w:val="0"/>
            <w:vAlign w:val="center"/>
          </w:tcPr>
          <w:p>
            <w:pPr>
              <w:widowControl/>
              <w:jc w:val="center"/>
              <w:rPr>
                <w:rFonts w:hint="eastAsia"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27"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32</w:t>
            </w:r>
          </w:p>
        </w:tc>
        <w:tc>
          <w:tcPr>
            <w:tcW w:w="615" w:type="dxa"/>
            <w:vMerge w:val="continue"/>
            <w:noWrap w:val="0"/>
            <w:vAlign w:val="top"/>
          </w:tcPr>
          <w:p>
            <w:pPr>
              <w:widowControl/>
              <w:jc w:val="left"/>
              <w:rPr>
                <w:rFonts w:hint="eastAsia" w:ascii="宋体" w:hAnsi="宋体" w:cs="宋体"/>
                <w:kern w:val="0"/>
                <w:sz w:val="24"/>
                <w:szCs w:val="24"/>
                <w:highlight w:val="none"/>
              </w:rPr>
            </w:pPr>
          </w:p>
        </w:tc>
        <w:tc>
          <w:tcPr>
            <w:tcW w:w="3544" w:type="dxa"/>
            <w:noWrap w:val="0"/>
            <w:vAlign w:val="center"/>
          </w:tcPr>
          <w:p>
            <w:pPr>
              <w:widowControl/>
              <w:jc w:val="left"/>
              <w:rPr>
                <w:rFonts w:hint="eastAsia" w:ascii="宋体" w:hAnsi="宋体"/>
                <w:color w:val="000000"/>
                <w:sz w:val="24"/>
                <w:szCs w:val="24"/>
                <w:highlight w:val="none"/>
              </w:rPr>
            </w:pPr>
            <w:r>
              <w:rPr>
                <w:rFonts w:hint="eastAsia" w:ascii="宋体" w:hAnsi="宋体"/>
                <w:color w:val="000000"/>
                <w:sz w:val="24"/>
                <w:szCs w:val="24"/>
                <w:highlight w:val="none"/>
              </w:rPr>
              <w:t>PKI/PMI系统</w:t>
            </w:r>
          </w:p>
        </w:tc>
        <w:tc>
          <w:tcPr>
            <w:tcW w:w="709" w:type="dxa"/>
            <w:noWrap w:val="0"/>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套</w:t>
            </w:r>
          </w:p>
        </w:tc>
        <w:tc>
          <w:tcPr>
            <w:tcW w:w="709" w:type="dxa"/>
            <w:noWrap w:val="0"/>
            <w:vAlign w:val="center"/>
          </w:tcPr>
          <w:p>
            <w:pPr>
              <w:widowControl/>
              <w:jc w:val="center"/>
              <w:rPr>
                <w:rFonts w:ascii="宋体" w:hAnsi="宋体" w:cs="宋体"/>
                <w:kern w:val="0"/>
                <w:sz w:val="24"/>
                <w:szCs w:val="24"/>
                <w:highlight w:val="none"/>
              </w:rPr>
            </w:pPr>
            <w:r>
              <w:rPr>
                <w:rFonts w:hint="eastAsia" w:ascii="宋体" w:hAnsi="宋体"/>
                <w:color w:val="000000"/>
                <w:sz w:val="24"/>
                <w:szCs w:val="24"/>
                <w:highlight w:val="none"/>
              </w:rPr>
              <w:t>1</w:t>
            </w:r>
          </w:p>
        </w:tc>
        <w:tc>
          <w:tcPr>
            <w:tcW w:w="992" w:type="dxa"/>
            <w:noWrap w:val="0"/>
            <w:vAlign w:val="center"/>
          </w:tcPr>
          <w:p>
            <w:pPr>
              <w:widowControl/>
              <w:jc w:val="center"/>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27"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33</w:t>
            </w:r>
          </w:p>
        </w:tc>
        <w:tc>
          <w:tcPr>
            <w:tcW w:w="615" w:type="dxa"/>
            <w:vMerge w:val="continue"/>
            <w:noWrap w:val="0"/>
            <w:vAlign w:val="top"/>
          </w:tcPr>
          <w:p>
            <w:pPr>
              <w:widowControl/>
              <w:jc w:val="center"/>
              <w:rPr>
                <w:rFonts w:hint="eastAsia" w:ascii="宋体" w:hAnsi="宋体" w:cs="宋体"/>
                <w:kern w:val="0"/>
                <w:sz w:val="24"/>
                <w:szCs w:val="24"/>
                <w:highlight w:val="none"/>
              </w:rPr>
            </w:pPr>
          </w:p>
        </w:tc>
        <w:tc>
          <w:tcPr>
            <w:tcW w:w="3544" w:type="dxa"/>
            <w:noWrap w:val="0"/>
            <w:vAlign w:val="top"/>
          </w:tcPr>
          <w:p>
            <w:pPr>
              <w:jc w:val="left"/>
              <w:rPr>
                <w:rFonts w:hint="eastAsia" w:ascii="宋体" w:hAnsi="宋体"/>
                <w:sz w:val="24"/>
                <w:szCs w:val="24"/>
                <w:highlight w:val="none"/>
              </w:rPr>
            </w:pPr>
            <w:r>
              <w:rPr>
                <w:rFonts w:hint="eastAsia" w:ascii="宋体" w:hAnsi="宋体"/>
                <w:sz w:val="24"/>
                <w:szCs w:val="24"/>
                <w:highlight w:val="none"/>
              </w:rPr>
              <w:t>显示器</w:t>
            </w:r>
          </w:p>
        </w:tc>
        <w:tc>
          <w:tcPr>
            <w:tcW w:w="709" w:type="dxa"/>
            <w:noWrap w:val="0"/>
            <w:vAlign w:val="top"/>
          </w:tcPr>
          <w:p>
            <w:pPr>
              <w:jc w:val="center"/>
              <w:rPr>
                <w:sz w:val="24"/>
                <w:szCs w:val="24"/>
                <w:highlight w:val="none"/>
              </w:rPr>
            </w:pPr>
            <w:r>
              <w:rPr>
                <w:rFonts w:hint="eastAsia"/>
                <w:sz w:val="24"/>
                <w:szCs w:val="24"/>
                <w:highlight w:val="none"/>
              </w:rPr>
              <w:t>台</w:t>
            </w:r>
          </w:p>
        </w:tc>
        <w:tc>
          <w:tcPr>
            <w:tcW w:w="709" w:type="dxa"/>
            <w:noWrap w:val="0"/>
            <w:vAlign w:val="top"/>
          </w:tcPr>
          <w:p>
            <w:pPr>
              <w:jc w:val="center"/>
              <w:rPr>
                <w:rFonts w:hint="eastAsia"/>
                <w:sz w:val="24"/>
                <w:szCs w:val="24"/>
                <w:highlight w:val="none"/>
              </w:rPr>
            </w:pPr>
            <w:r>
              <w:rPr>
                <w:rFonts w:hint="eastAsia"/>
                <w:sz w:val="24"/>
                <w:szCs w:val="24"/>
                <w:highlight w:val="none"/>
              </w:rPr>
              <w:t>2</w:t>
            </w:r>
          </w:p>
        </w:tc>
        <w:tc>
          <w:tcPr>
            <w:tcW w:w="992" w:type="dxa"/>
            <w:noWrap w:val="0"/>
            <w:vAlign w:val="center"/>
          </w:tcPr>
          <w:p>
            <w:pPr>
              <w:widowControl/>
              <w:jc w:val="center"/>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27"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34</w:t>
            </w:r>
          </w:p>
        </w:tc>
        <w:tc>
          <w:tcPr>
            <w:tcW w:w="615" w:type="dxa"/>
            <w:noWrap w:val="0"/>
            <w:vAlign w:val="top"/>
          </w:tcPr>
          <w:p>
            <w:pPr>
              <w:widowControl/>
              <w:jc w:val="center"/>
              <w:rPr>
                <w:rFonts w:hint="eastAsia" w:ascii="宋体" w:hAnsi="宋体" w:cs="宋体"/>
                <w:kern w:val="0"/>
                <w:sz w:val="24"/>
                <w:szCs w:val="24"/>
                <w:highlight w:val="none"/>
              </w:rPr>
            </w:pPr>
          </w:p>
        </w:tc>
        <w:tc>
          <w:tcPr>
            <w:tcW w:w="3544" w:type="dxa"/>
            <w:noWrap w:val="0"/>
            <w:vAlign w:val="top"/>
          </w:tcPr>
          <w:p>
            <w:pPr>
              <w:widowControl/>
              <w:jc w:val="left"/>
              <w:rPr>
                <w:rFonts w:hint="eastAsia" w:ascii="宋体" w:hAnsi="宋体" w:cs="宋体"/>
                <w:kern w:val="0"/>
                <w:sz w:val="24"/>
                <w:szCs w:val="24"/>
                <w:highlight w:val="none"/>
              </w:rPr>
            </w:pPr>
            <w:r>
              <w:rPr>
                <w:rFonts w:hint="eastAsia" w:ascii="宋体" w:hAnsi="宋体" w:cs="宋体"/>
                <w:kern w:val="0"/>
                <w:sz w:val="24"/>
                <w:szCs w:val="24"/>
                <w:highlight w:val="none"/>
              </w:rPr>
              <w:t>集成服务</w:t>
            </w:r>
          </w:p>
        </w:tc>
        <w:tc>
          <w:tcPr>
            <w:tcW w:w="709" w:type="dxa"/>
            <w:noWrap w:val="0"/>
            <w:vAlign w:val="top"/>
          </w:tcPr>
          <w:p>
            <w:pPr>
              <w:jc w:val="center"/>
              <w:rPr>
                <w:rFonts w:hint="eastAsia"/>
                <w:sz w:val="24"/>
                <w:szCs w:val="24"/>
                <w:highlight w:val="none"/>
              </w:rPr>
            </w:pPr>
          </w:p>
        </w:tc>
        <w:tc>
          <w:tcPr>
            <w:tcW w:w="709" w:type="dxa"/>
            <w:noWrap w:val="0"/>
            <w:vAlign w:val="top"/>
          </w:tcPr>
          <w:p>
            <w:pPr>
              <w:jc w:val="center"/>
              <w:rPr>
                <w:rFonts w:hint="eastAsia"/>
                <w:sz w:val="24"/>
                <w:szCs w:val="24"/>
                <w:highlight w:val="none"/>
              </w:rPr>
            </w:pPr>
          </w:p>
        </w:tc>
        <w:tc>
          <w:tcPr>
            <w:tcW w:w="992" w:type="dxa"/>
            <w:noWrap w:val="0"/>
            <w:vAlign w:val="center"/>
          </w:tcPr>
          <w:p>
            <w:pPr>
              <w:widowControl/>
              <w:jc w:val="center"/>
              <w:rPr>
                <w:rFonts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27"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35</w:t>
            </w:r>
          </w:p>
        </w:tc>
        <w:tc>
          <w:tcPr>
            <w:tcW w:w="615" w:type="dxa"/>
            <w:noWrap w:val="0"/>
            <w:vAlign w:val="top"/>
          </w:tcPr>
          <w:p>
            <w:pPr>
              <w:widowControl/>
              <w:jc w:val="left"/>
              <w:rPr>
                <w:rFonts w:hint="eastAsia" w:ascii="宋体" w:hAnsi="宋体" w:cs="宋体"/>
                <w:kern w:val="0"/>
                <w:sz w:val="24"/>
                <w:szCs w:val="24"/>
                <w:highlight w:val="none"/>
              </w:rPr>
            </w:pPr>
          </w:p>
        </w:tc>
        <w:tc>
          <w:tcPr>
            <w:tcW w:w="3544" w:type="dxa"/>
            <w:noWrap w:val="0"/>
            <w:vAlign w:val="center"/>
          </w:tcPr>
          <w:p>
            <w:pPr>
              <w:widowControl/>
              <w:jc w:val="left"/>
              <w:rPr>
                <w:rFonts w:hint="eastAsia" w:ascii="宋体" w:hAnsi="宋体" w:cs="宋体"/>
                <w:kern w:val="0"/>
                <w:sz w:val="24"/>
                <w:szCs w:val="24"/>
                <w:highlight w:val="none"/>
              </w:rPr>
            </w:pPr>
            <w:r>
              <w:rPr>
                <w:rFonts w:hint="eastAsia" w:ascii="宋体" w:hAnsi="宋体" w:cs="宋体"/>
                <w:kern w:val="0"/>
                <w:sz w:val="24"/>
                <w:szCs w:val="24"/>
                <w:highlight w:val="none"/>
              </w:rPr>
              <w:t>三级等保测评服务1次（2.0标准）</w:t>
            </w:r>
          </w:p>
        </w:tc>
        <w:tc>
          <w:tcPr>
            <w:tcW w:w="709" w:type="dxa"/>
            <w:noWrap w:val="0"/>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次</w:t>
            </w:r>
          </w:p>
        </w:tc>
        <w:tc>
          <w:tcPr>
            <w:tcW w:w="709"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1</w:t>
            </w:r>
          </w:p>
        </w:tc>
        <w:tc>
          <w:tcPr>
            <w:tcW w:w="992" w:type="dxa"/>
            <w:noWrap w:val="0"/>
            <w:vAlign w:val="center"/>
          </w:tcPr>
          <w:p>
            <w:pPr>
              <w:widowControl/>
              <w:jc w:val="left"/>
              <w:rPr>
                <w:rFonts w:hint="eastAsia" w:ascii="宋体" w:hAnsi="宋体" w:cs="宋体"/>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627"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36</w:t>
            </w:r>
          </w:p>
        </w:tc>
        <w:tc>
          <w:tcPr>
            <w:tcW w:w="615" w:type="dxa"/>
            <w:noWrap w:val="0"/>
            <w:vAlign w:val="top"/>
          </w:tcPr>
          <w:p>
            <w:pPr>
              <w:widowControl/>
              <w:jc w:val="left"/>
              <w:rPr>
                <w:rFonts w:hint="eastAsia" w:ascii="宋体" w:hAnsi="宋体" w:cs="宋体"/>
                <w:kern w:val="0"/>
                <w:sz w:val="24"/>
                <w:szCs w:val="24"/>
                <w:highlight w:val="none"/>
              </w:rPr>
            </w:pPr>
          </w:p>
        </w:tc>
        <w:tc>
          <w:tcPr>
            <w:tcW w:w="3544" w:type="dxa"/>
            <w:noWrap w:val="0"/>
            <w:vAlign w:val="center"/>
          </w:tcPr>
          <w:p>
            <w:pPr>
              <w:widowControl/>
              <w:jc w:val="left"/>
              <w:rPr>
                <w:rFonts w:ascii="宋体" w:hAnsi="宋体" w:cs="宋体"/>
                <w:kern w:val="0"/>
                <w:sz w:val="24"/>
                <w:szCs w:val="24"/>
                <w:highlight w:val="none"/>
              </w:rPr>
            </w:pPr>
            <w:r>
              <w:rPr>
                <w:rFonts w:hint="eastAsia" w:ascii="宋体" w:hAnsi="宋体" w:cs="宋体"/>
                <w:kern w:val="0"/>
                <w:sz w:val="24"/>
              </w:rPr>
              <w:t>售后驻点运维</w:t>
            </w:r>
            <w:r>
              <w:rPr>
                <w:rFonts w:hint="eastAsia" w:ascii="宋体" w:hAnsi="宋体" w:cs="宋体"/>
                <w:kern w:val="0"/>
                <w:sz w:val="24"/>
                <w:szCs w:val="24"/>
                <w:highlight w:val="none"/>
              </w:rPr>
              <w:t>（2人驻点服务3年）</w:t>
            </w:r>
          </w:p>
        </w:tc>
        <w:tc>
          <w:tcPr>
            <w:tcW w:w="709" w:type="dxa"/>
            <w:noWrap w:val="0"/>
            <w:vAlign w:val="center"/>
          </w:tcPr>
          <w:p>
            <w:pPr>
              <w:widowControl/>
              <w:jc w:val="center"/>
              <w:rPr>
                <w:rFonts w:ascii="宋体" w:hAnsi="宋体" w:cs="宋体"/>
                <w:kern w:val="0"/>
                <w:sz w:val="24"/>
                <w:szCs w:val="24"/>
                <w:highlight w:val="none"/>
              </w:rPr>
            </w:pPr>
            <w:r>
              <w:rPr>
                <w:rFonts w:hint="eastAsia" w:ascii="宋体" w:hAnsi="宋体" w:cs="宋体"/>
                <w:kern w:val="0"/>
                <w:sz w:val="24"/>
                <w:szCs w:val="24"/>
                <w:highlight w:val="none"/>
              </w:rPr>
              <w:t>年</w:t>
            </w:r>
          </w:p>
        </w:tc>
        <w:tc>
          <w:tcPr>
            <w:tcW w:w="709" w:type="dxa"/>
            <w:noWrap w:val="0"/>
            <w:vAlign w:val="center"/>
          </w:tcPr>
          <w:p>
            <w:pPr>
              <w:widowControl/>
              <w:jc w:val="center"/>
              <w:rPr>
                <w:rFonts w:hint="eastAsia" w:ascii="宋体" w:hAnsi="宋体" w:cs="宋体"/>
                <w:kern w:val="0"/>
                <w:sz w:val="24"/>
                <w:szCs w:val="24"/>
                <w:highlight w:val="none"/>
              </w:rPr>
            </w:pPr>
            <w:r>
              <w:rPr>
                <w:rFonts w:hint="eastAsia" w:ascii="宋体" w:hAnsi="宋体" w:cs="宋体"/>
                <w:kern w:val="0"/>
                <w:sz w:val="24"/>
                <w:szCs w:val="24"/>
                <w:highlight w:val="none"/>
              </w:rPr>
              <w:t>3</w:t>
            </w:r>
          </w:p>
        </w:tc>
        <w:tc>
          <w:tcPr>
            <w:tcW w:w="992" w:type="dxa"/>
            <w:noWrap w:val="0"/>
            <w:vAlign w:val="center"/>
          </w:tcPr>
          <w:p>
            <w:pPr>
              <w:widowControl/>
              <w:jc w:val="left"/>
              <w:rPr>
                <w:rFonts w:hint="eastAsia" w:ascii="宋体" w:hAnsi="宋体" w:cs="宋体"/>
                <w:kern w:val="0"/>
                <w:sz w:val="24"/>
                <w:szCs w:val="24"/>
                <w:highlight w:val="none"/>
              </w:rPr>
            </w:pPr>
          </w:p>
        </w:tc>
      </w:tr>
    </w:tbl>
    <w:p>
      <w:pPr>
        <w:pStyle w:val="2"/>
        <w:ind w:firstLine="0"/>
        <w:rPr>
          <w:rFonts w:ascii="宋体" w:hAnsi="宋体" w:cs="宋体"/>
          <w:sz w:val="24"/>
          <w:szCs w:val="24"/>
        </w:rPr>
      </w:pPr>
    </w:p>
    <w:p>
      <w:pPr>
        <w:numPr>
          <w:ilvl w:val="0"/>
          <w:numId w:val="13"/>
        </w:numPr>
        <w:outlineLvl w:val="0"/>
        <w:rPr>
          <w:rFonts w:hint="eastAsia" w:ascii="宋体" w:hAnsi="宋体" w:cs="宋体"/>
          <w:b/>
          <w:bCs/>
          <w:sz w:val="24"/>
          <w:szCs w:val="24"/>
        </w:rPr>
      </w:pPr>
      <w:bookmarkStart w:id="31" w:name="_Toc12000694"/>
      <w:r>
        <w:rPr>
          <w:rFonts w:hint="eastAsia" w:ascii="宋体" w:hAnsi="宋体" w:cs="宋体"/>
          <w:b/>
          <w:bCs/>
          <w:sz w:val="24"/>
          <w:szCs w:val="24"/>
        </w:rPr>
        <w:t>技术参数需求</w:t>
      </w:r>
      <w:bookmarkEnd w:id="31"/>
    </w:p>
    <w:p>
      <w:pPr>
        <w:pStyle w:val="31"/>
        <w:ind w:firstLine="0" w:firstLineChars="0"/>
        <w:outlineLvl w:val="1"/>
        <w:rPr>
          <w:rFonts w:hint="eastAsia" w:ascii="宋体" w:hAnsi="宋体"/>
          <w:b/>
          <w:color w:val="000000"/>
          <w:sz w:val="24"/>
          <w:szCs w:val="24"/>
        </w:rPr>
      </w:pPr>
      <w:bookmarkStart w:id="32" w:name="_Toc12000695"/>
      <w:r>
        <w:rPr>
          <w:rFonts w:hint="eastAsia" w:ascii="宋体" w:hAnsi="宋体"/>
          <w:b/>
          <w:color w:val="000000"/>
          <w:sz w:val="24"/>
          <w:szCs w:val="24"/>
        </w:rPr>
        <w:t>1、用户汇聚</w:t>
      </w:r>
      <w:r>
        <w:rPr>
          <w:rFonts w:ascii="宋体" w:hAnsi="宋体"/>
          <w:b/>
          <w:color w:val="000000"/>
          <w:sz w:val="24"/>
          <w:szCs w:val="24"/>
        </w:rPr>
        <w:t>节点路由器</w:t>
      </w:r>
      <w:bookmarkEnd w:id="32"/>
    </w:p>
    <w:tbl>
      <w:tblPr>
        <w:tblStyle w:val="23"/>
        <w:tblW w:w="8354" w:type="dxa"/>
        <w:jc w:val="center"/>
        <w:tblInd w:w="0" w:type="dxa"/>
        <w:tblLayout w:type="fixed"/>
        <w:tblCellMar>
          <w:top w:w="0" w:type="dxa"/>
          <w:left w:w="108" w:type="dxa"/>
          <w:bottom w:w="0" w:type="dxa"/>
          <w:right w:w="108" w:type="dxa"/>
        </w:tblCellMar>
      </w:tblPr>
      <w:tblGrid>
        <w:gridCol w:w="1261"/>
        <w:gridCol w:w="7093"/>
      </w:tblGrid>
      <w:tr>
        <w:tblPrEx>
          <w:tblLayout w:type="fixed"/>
          <w:tblCellMar>
            <w:top w:w="0" w:type="dxa"/>
            <w:left w:w="108" w:type="dxa"/>
            <w:bottom w:w="0" w:type="dxa"/>
            <w:right w:w="108" w:type="dxa"/>
          </w:tblCellMar>
        </w:tblPrEx>
        <w:trPr>
          <w:trHeight w:val="355" w:hRule="atLeast"/>
          <w:jc w:val="center"/>
        </w:trPr>
        <w:tc>
          <w:tcPr>
            <w:tcW w:w="1261" w:type="dxa"/>
            <w:tcBorders>
              <w:top w:val="single" w:color="auto" w:sz="8" w:space="0"/>
              <w:left w:val="single" w:color="auto" w:sz="8" w:space="0"/>
              <w:bottom w:val="single" w:color="auto" w:sz="8" w:space="0"/>
              <w:right w:val="single" w:color="auto" w:sz="8" w:space="0"/>
            </w:tcBorders>
            <w:noWrap w:val="0"/>
            <w:vAlign w:val="center"/>
          </w:tcPr>
          <w:p>
            <w:pPr>
              <w:rPr>
                <w:rFonts w:ascii="宋体" w:hAnsi="宋体"/>
                <w:b/>
                <w:bCs/>
                <w:sz w:val="24"/>
                <w:szCs w:val="24"/>
              </w:rPr>
            </w:pPr>
            <w:r>
              <w:rPr>
                <w:rFonts w:hint="eastAsia" w:ascii="宋体" w:hAnsi="宋体"/>
                <w:b/>
                <w:bCs/>
                <w:sz w:val="24"/>
                <w:szCs w:val="24"/>
              </w:rPr>
              <w:t>指标项</w:t>
            </w:r>
          </w:p>
        </w:tc>
        <w:tc>
          <w:tcPr>
            <w:tcW w:w="7093" w:type="dxa"/>
            <w:tcBorders>
              <w:top w:val="single" w:color="auto" w:sz="8" w:space="0"/>
              <w:left w:val="nil"/>
              <w:bottom w:val="single" w:color="auto" w:sz="8" w:space="0"/>
              <w:right w:val="single" w:color="auto" w:sz="8" w:space="0"/>
            </w:tcBorders>
            <w:noWrap w:val="0"/>
            <w:vAlign w:val="center"/>
          </w:tcPr>
          <w:p>
            <w:pPr>
              <w:jc w:val="center"/>
              <w:rPr>
                <w:rFonts w:ascii="宋体" w:hAnsi="宋体"/>
                <w:b/>
                <w:bCs/>
                <w:sz w:val="24"/>
                <w:szCs w:val="24"/>
              </w:rPr>
            </w:pPr>
            <w:r>
              <w:rPr>
                <w:rFonts w:hint="eastAsia" w:ascii="宋体" w:hAnsi="宋体"/>
                <w:b/>
                <w:bCs/>
                <w:sz w:val="24"/>
                <w:szCs w:val="24"/>
              </w:rPr>
              <w:t>指标要求</w:t>
            </w:r>
          </w:p>
        </w:tc>
      </w:tr>
      <w:tr>
        <w:tblPrEx>
          <w:tblLayout w:type="fixed"/>
          <w:tblCellMar>
            <w:top w:w="0" w:type="dxa"/>
            <w:left w:w="108" w:type="dxa"/>
            <w:bottom w:w="0" w:type="dxa"/>
            <w:right w:w="108" w:type="dxa"/>
          </w:tblCellMar>
        </w:tblPrEx>
        <w:trPr>
          <w:trHeight w:val="476" w:hRule="atLeast"/>
          <w:jc w:val="center"/>
        </w:trPr>
        <w:tc>
          <w:tcPr>
            <w:tcW w:w="1261" w:type="dxa"/>
            <w:tcBorders>
              <w:top w:val="nil"/>
              <w:left w:val="single" w:color="auto" w:sz="8" w:space="0"/>
              <w:bottom w:val="single" w:color="auto" w:sz="8" w:space="0"/>
              <w:right w:val="single" w:color="auto" w:sz="8" w:space="0"/>
            </w:tcBorders>
            <w:noWrap w:val="0"/>
            <w:vAlign w:val="center"/>
          </w:tcPr>
          <w:p>
            <w:pPr>
              <w:rPr>
                <w:rFonts w:ascii="宋体" w:hAnsi="宋体" w:cs="宋体"/>
                <w:sz w:val="24"/>
                <w:szCs w:val="24"/>
              </w:rPr>
            </w:pPr>
            <w:r>
              <w:rPr>
                <w:rFonts w:hint="eastAsia" w:ascii="宋体" w:hAnsi="宋体" w:cs="宋体"/>
                <w:sz w:val="24"/>
                <w:szCs w:val="24"/>
              </w:rPr>
              <w:t>★ 性能</w:t>
            </w:r>
          </w:p>
        </w:tc>
        <w:tc>
          <w:tcPr>
            <w:tcW w:w="7093" w:type="dxa"/>
            <w:tcBorders>
              <w:top w:val="nil"/>
              <w:left w:val="nil"/>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交换容量≥100Tbps，包转发率≥14000Mpps；</w:t>
            </w:r>
          </w:p>
        </w:tc>
      </w:tr>
      <w:tr>
        <w:tblPrEx>
          <w:tblLayout w:type="fixed"/>
          <w:tblCellMar>
            <w:top w:w="0" w:type="dxa"/>
            <w:left w:w="108" w:type="dxa"/>
            <w:bottom w:w="0" w:type="dxa"/>
            <w:right w:w="108" w:type="dxa"/>
          </w:tblCellMar>
        </w:tblPrEx>
        <w:trPr>
          <w:trHeight w:val="465" w:hRule="atLeast"/>
          <w:jc w:val="center"/>
        </w:trPr>
        <w:tc>
          <w:tcPr>
            <w:tcW w:w="1261" w:type="dxa"/>
            <w:tcBorders>
              <w:top w:val="nil"/>
              <w:left w:val="single" w:color="auto" w:sz="8" w:space="0"/>
              <w:bottom w:val="single" w:color="auto" w:sz="8" w:space="0"/>
              <w:right w:val="single" w:color="auto" w:sz="8" w:space="0"/>
            </w:tcBorders>
            <w:noWrap w:val="0"/>
            <w:vAlign w:val="center"/>
          </w:tcPr>
          <w:p>
            <w:pPr>
              <w:rPr>
                <w:rFonts w:ascii="宋体" w:hAnsi="宋体" w:cs="宋体"/>
                <w:sz w:val="24"/>
                <w:szCs w:val="24"/>
              </w:rPr>
            </w:pPr>
            <w:r>
              <w:rPr>
                <w:rFonts w:hint="eastAsia" w:ascii="宋体" w:hAnsi="宋体" w:cs="宋体"/>
                <w:sz w:val="24"/>
                <w:szCs w:val="24"/>
              </w:rPr>
              <w:t>可靠性设计</w:t>
            </w:r>
          </w:p>
        </w:tc>
        <w:tc>
          <w:tcPr>
            <w:tcW w:w="7093" w:type="dxa"/>
            <w:tcBorders>
              <w:top w:val="nil"/>
              <w:left w:val="nil"/>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rPr>
              <w:t>支持主控板、业务板完全物理分离，主控板、业务板分布在不同的物理槽位，需提供设备面板图并指出对应的主控板和业务板槽位；</w:t>
            </w:r>
          </w:p>
        </w:tc>
      </w:tr>
      <w:tr>
        <w:tblPrEx>
          <w:tblLayout w:type="fixed"/>
          <w:tblCellMar>
            <w:top w:w="0" w:type="dxa"/>
            <w:left w:w="108" w:type="dxa"/>
            <w:bottom w:w="0" w:type="dxa"/>
            <w:right w:w="108" w:type="dxa"/>
          </w:tblCellMar>
        </w:tblPrEx>
        <w:trPr>
          <w:trHeight w:val="465" w:hRule="atLeast"/>
          <w:jc w:val="center"/>
        </w:trPr>
        <w:tc>
          <w:tcPr>
            <w:tcW w:w="1261" w:type="dxa"/>
            <w:tcBorders>
              <w:left w:val="single" w:color="auto" w:sz="8" w:space="0"/>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业务</w:t>
            </w:r>
            <w:r>
              <w:rPr>
                <w:rFonts w:ascii="宋体" w:hAnsi="宋体" w:cs="宋体"/>
                <w:sz w:val="24"/>
                <w:szCs w:val="24"/>
              </w:rPr>
              <w:t>槽</w:t>
            </w:r>
            <w:r>
              <w:rPr>
                <w:rFonts w:hint="eastAsia" w:ascii="宋体" w:hAnsi="宋体" w:cs="宋体"/>
                <w:sz w:val="24"/>
                <w:szCs w:val="24"/>
              </w:rPr>
              <w:t>扩展性</w:t>
            </w:r>
          </w:p>
        </w:tc>
        <w:tc>
          <w:tcPr>
            <w:tcW w:w="7093" w:type="dxa"/>
            <w:tcBorders>
              <w:top w:val="nil"/>
              <w:left w:val="nil"/>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有足够的后向扩展性，业务插槽数≥8；</w:t>
            </w:r>
          </w:p>
        </w:tc>
      </w:tr>
      <w:tr>
        <w:tblPrEx>
          <w:tblLayout w:type="fixed"/>
          <w:tblCellMar>
            <w:top w:w="0" w:type="dxa"/>
            <w:left w:w="108" w:type="dxa"/>
            <w:bottom w:w="0" w:type="dxa"/>
            <w:right w:w="108" w:type="dxa"/>
          </w:tblCellMar>
        </w:tblPrEx>
        <w:trPr>
          <w:trHeight w:val="420" w:hRule="atLeast"/>
          <w:jc w:val="center"/>
        </w:trPr>
        <w:tc>
          <w:tcPr>
            <w:tcW w:w="1261" w:type="dxa"/>
            <w:tcBorders>
              <w:top w:val="nil"/>
              <w:left w:val="single" w:color="auto" w:sz="8" w:space="0"/>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支持</w:t>
            </w:r>
            <w:r>
              <w:rPr>
                <w:rFonts w:ascii="宋体" w:hAnsi="宋体" w:cs="宋体"/>
                <w:sz w:val="24"/>
                <w:szCs w:val="24"/>
              </w:rPr>
              <w:t>交流电源</w:t>
            </w:r>
          </w:p>
        </w:tc>
        <w:tc>
          <w:tcPr>
            <w:tcW w:w="7093" w:type="dxa"/>
            <w:tcBorders>
              <w:top w:val="nil"/>
              <w:left w:val="nil"/>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支持内置交流电源，不能配置外置交流电源（单点故障风险高），也不额外占用业务槽位，提供第三方测试报告；</w:t>
            </w:r>
          </w:p>
        </w:tc>
      </w:tr>
      <w:tr>
        <w:tblPrEx>
          <w:tblLayout w:type="fixed"/>
          <w:tblCellMar>
            <w:top w:w="0" w:type="dxa"/>
            <w:left w:w="108" w:type="dxa"/>
            <w:bottom w:w="0" w:type="dxa"/>
            <w:right w:w="108" w:type="dxa"/>
          </w:tblCellMar>
        </w:tblPrEx>
        <w:trPr>
          <w:trHeight w:val="420" w:hRule="atLeast"/>
          <w:jc w:val="center"/>
        </w:trPr>
        <w:tc>
          <w:tcPr>
            <w:tcW w:w="1261" w:type="dxa"/>
            <w:tcBorders>
              <w:top w:val="nil"/>
              <w:left w:val="single" w:color="auto" w:sz="8" w:space="0"/>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电源</w:t>
            </w:r>
            <w:r>
              <w:rPr>
                <w:rFonts w:ascii="宋体" w:hAnsi="宋体" w:cs="宋体"/>
                <w:sz w:val="24"/>
                <w:szCs w:val="24"/>
              </w:rPr>
              <w:t>冗余</w:t>
            </w:r>
          </w:p>
        </w:tc>
        <w:tc>
          <w:tcPr>
            <w:tcW w:w="7093" w:type="dxa"/>
            <w:tcBorders>
              <w:top w:val="nil"/>
              <w:left w:val="nil"/>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电源个数≥4个，电源系统支持N+M冗余，支持一体化供电方式，任意拔掉两个电源，设备能够正常运行，并提供第三方测试报告；</w:t>
            </w:r>
          </w:p>
        </w:tc>
      </w:tr>
      <w:tr>
        <w:tblPrEx>
          <w:tblLayout w:type="fixed"/>
          <w:tblCellMar>
            <w:top w:w="0" w:type="dxa"/>
            <w:left w:w="108" w:type="dxa"/>
            <w:bottom w:w="0" w:type="dxa"/>
            <w:right w:w="108" w:type="dxa"/>
          </w:tblCellMar>
        </w:tblPrEx>
        <w:trPr>
          <w:trHeight w:val="300" w:hRule="atLeast"/>
          <w:jc w:val="center"/>
        </w:trPr>
        <w:tc>
          <w:tcPr>
            <w:tcW w:w="1261" w:type="dxa"/>
            <w:tcBorders>
              <w:top w:val="nil"/>
              <w:left w:val="single" w:color="auto" w:sz="8" w:space="0"/>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堆叠特性</w:t>
            </w:r>
          </w:p>
        </w:tc>
        <w:tc>
          <w:tcPr>
            <w:tcW w:w="7093" w:type="dxa"/>
            <w:tcBorders>
              <w:top w:val="nil"/>
              <w:left w:val="nil"/>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支持将≥两台物理设备虚拟化为一台逻辑设备，虚拟组内可以实现一致的转发表项，统一的管理，跨物理设备的链路聚合；</w:t>
            </w:r>
          </w:p>
        </w:tc>
      </w:tr>
      <w:tr>
        <w:tblPrEx>
          <w:tblLayout w:type="fixed"/>
          <w:tblCellMar>
            <w:top w:w="0" w:type="dxa"/>
            <w:left w:w="108" w:type="dxa"/>
            <w:bottom w:w="0" w:type="dxa"/>
            <w:right w:w="108" w:type="dxa"/>
          </w:tblCellMar>
        </w:tblPrEx>
        <w:trPr>
          <w:trHeight w:val="90" w:hRule="atLeast"/>
          <w:jc w:val="center"/>
        </w:trPr>
        <w:tc>
          <w:tcPr>
            <w:tcW w:w="1261" w:type="dxa"/>
            <w:tcBorders>
              <w:top w:val="nil"/>
              <w:left w:val="single" w:color="auto" w:sz="8" w:space="0"/>
              <w:bottom w:val="single" w:color="auto" w:sz="8" w:space="0"/>
              <w:right w:val="single" w:color="auto" w:sz="8" w:space="0"/>
            </w:tcBorders>
            <w:noWrap w:val="0"/>
            <w:vAlign w:val="center"/>
          </w:tcPr>
          <w:p>
            <w:pPr>
              <w:rPr>
                <w:rFonts w:ascii="宋体" w:hAnsi="宋体" w:cs="宋体"/>
                <w:sz w:val="24"/>
                <w:szCs w:val="24"/>
              </w:rPr>
            </w:pPr>
            <w:r>
              <w:rPr>
                <w:rFonts w:hint="eastAsia" w:ascii="宋体" w:hAnsi="宋体" w:cs="宋体"/>
                <w:sz w:val="24"/>
                <w:szCs w:val="24"/>
              </w:rPr>
              <w:t>产品成熟度</w:t>
            </w:r>
          </w:p>
        </w:tc>
        <w:tc>
          <w:tcPr>
            <w:tcW w:w="7093" w:type="dxa"/>
            <w:tcBorders>
              <w:top w:val="nil"/>
              <w:left w:val="nil"/>
              <w:bottom w:val="single" w:color="auto" w:sz="8" w:space="0"/>
              <w:right w:val="single" w:color="auto" w:sz="8" w:space="0"/>
            </w:tcBorders>
            <w:noWrap w:val="0"/>
            <w:vAlign w:val="center"/>
          </w:tcPr>
          <w:p>
            <w:pPr>
              <w:widowControl/>
              <w:rPr>
                <w:rFonts w:hint="eastAsia" w:ascii="宋体" w:hAnsi="宋体" w:cs="宋体"/>
                <w:sz w:val="24"/>
                <w:szCs w:val="24"/>
              </w:rPr>
            </w:pPr>
            <w:r>
              <w:rPr>
                <w:rFonts w:hint="eastAsia" w:ascii="宋体" w:hAnsi="宋体" w:cs="宋体"/>
                <w:sz w:val="24"/>
                <w:szCs w:val="24"/>
              </w:rPr>
              <w:t xml:space="preserve">所投产品是成熟稳定的产品，要求设备入网时间≥半年，提供工信部入网许可证复印件； </w:t>
            </w:r>
          </w:p>
        </w:tc>
      </w:tr>
      <w:tr>
        <w:tblPrEx>
          <w:tblLayout w:type="fixed"/>
          <w:tblCellMar>
            <w:top w:w="0" w:type="dxa"/>
            <w:left w:w="108" w:type="dxa"/>
            <w:bottom w:w="0" w:type="dxa"/>
            <w:right w:w="108" w:type="dxa"/>
          </w:tblCellMar>
        </w:tblPrEx>
        <w:trPr>
          <w:trHeight w:val="300" w:hRule="atLeast"/>
          <w:jc w:val="center"/>
        </w:trPr>
        <w:tc>
          <w:tcPr>
            <w:tcW w:w="1261" w:type="dxa"/>
            <w:tcBorders>
              <w:top w:val="single" w:color="auto" w:sz="8" w:space="0"/>
              <w:left w:val="single" w:color="auto" w:sz="8" w:space="0"/>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产品实配</w:t>
            </w:r>
          </w:p>
        </w:tc>
        <w:tc>
          <w:tcPr>
            <w:tcW w:w="7093" w:type="dxa"/>
            <w:tcBorders>
              <w:top w:val="single" w:color="auto" w:sz="8" w:space="0"/>
              <w:left w:val="nil"/>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实配双主控，不少于</w:t>
            </w:r>
            <w:r>
              <w:rPr>
                <w:rFonts w:hint="eastAsia" w:ascii="宋体" w:hAnsi="宋体" w:cs="宋体"/>
                <w:sz w:val="24"/>
                <w:szCs w:val="24"/>
                <w:lang w:val="en-US" w:eastAsia="zh-CN"/>
              </w:rPr>
              <w:t>12</w:t>
            </w:r>
            <w:r>
              <w:rPr>
                <w:rFonts w:hint="eastAsia" w:ascii="宋体" w:hAnsi="宋体" w:cs="宋体"/>
                <w:color w:val="FF0000"/>
                <w:sz w:val="24"/>
                <w:szCs w:val="24"/>
              </w:rPr>
              <w:t>00W</w:t>
            </w:r>
            <w:r>
              <w:rPr>
                <w:rFonts w:hint="eastAsia" w:ascii="宋体" w:hAnsi="宋体" w:cs="宋体"/>
                <w:sz w:val="24"/>
                <w:szCs w:val="24"/>
              </w:rPr>
              <w:t>交流电源模块≥4个，单台实配≥40G口不少于4个，分别位于2块业务处理单元卡；单台实配10个万兆光口，分别位于2块业务处理单元卡；实配主机软件。单台实配8个多模40G光模块，8个万兆单模光模块（10KM）。</w:t>
            </w:r>
          </w:p>
        </w:tc>
      </w:tr>
      <w:tr>
        <w:tblPrEx>
          <w:tblLayout w:type="fixed"/>
          <w:tblCellMar>
            <w:top w:w="0" w:type="dxa"/>
            <w:left w:w="108" w:type="dxa"/>
            <w:bottom w:w="0" w:type="dxa"/>
            <w:right w:w="108" w:type="dxa"/>
          </w:tblCellMar>
        </w:tblPrEx>
        <w:trPr>
          <w:trHeight w:val="457" w:hRule="atLeast"/>
          <w:jc w:val="center"/>
        </w:trPr>
        <w:tc>
          <w:tcPr>
            <w:tcW w:w="1261" w:type="dxa"/>
            <w:tcBorders>
              <w:top w:val="nil"/>
              <w:left w:val="single" w:color="auto" w:sz="8" w:space="0"/>
              <w:bottom w:val="single" w:color="auto" w:sz="8" w:space="0"/>
              <w:right w:val="single" w:color="auto" w:sz="8" w:space="0"/>
            </w:tcBorders>
            <w:noWrap w:val="0"/>
            <w:vAlign w:val="center"/>
          </w:tcPr>
          <w:p>
            <w:pPr>
              <w:rPr>
                <w:rFonts w:ascii="宋体" w:hAnsi="宋体" w:cs="宋体"/>
                <w:sz w:val="24"/>
                <w:szCs w:val="24"/>
              </w:rPr>
            </w:pPr>
            <w:r>
              <w:rPr>
                <w:rFonts w:hint="eastAsia" w:ascii="宋体" w:hAnsi="宋体" w:cs="宋体"/>
                <w:sz w:val="24"/>
                <w:szCs w:val="24"/>
              </w:rPr>
              <w:t>质保</w:t>
            </w:r>
          </w:p>
        </w:tc>
        <w:tc>
          <w:tcPr>
            <w:tcW w:w="7093" w:type="dxa"/>
            <w:tcBorders>
              <w:top w:val="nil"/>
              <w:left w:val="nil"/>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原厂五年质保，中标后签订合同前提供原厂商质保承诺函。</w:t>
            </w:r>
          </w:p>
        </w:tc>
      </w:tr>
    </w:tbl>
    <w:p>
      <w:pPr>
        <w:rPr>
          <w:rFonts w:ascii="宋体" w:hAnsi="宋体"/>
          <w:sz w:val="24"/>
          <w:szCs w:val="24"/>
        </w:rPr>
      </w:pPr>
    </w:p>
    <w:p>
      <w:pPr>
        <w:pStyle w:val="31"/>
        <w:ind w:firstLine="0" w:firstLineChars="0"/>
        <w:outlineLvl w:val="1"/>
        <w:rPr>
          <w:rFonts w:hint="eastAsia" w:ascii="宋体" w:hAnsi="宋体"/>
          <w:b/>
          <w:color w:val="000000"/>
          <w:sz w:val="24"/>
          <w:szCs w:val="24"/>
        </w:rPr>
      </w:pPr>
      <w:r>
        <w:rPr>
          <w:rFonts w:hint="eastAsia" w:ascii="宋体" w:hAnsi="宋体"/>
          <w:b/>
          <w:color w:val="000000"/>
          <w:sz w:val="24"/>
          <w:szCs w:val="24"/>
        </w:rPr>
        <w:t>2、数据汇聚</w:t>
      </w:r>
      <w:r>
        <w:rPr>
          <w:rFonts w:ascii="宋体" w:hAnsi="宋体"/>
          <w:b/>
          <w:color w:val="000000"/>
          <w:sz w:val="24"/>
          <w:szCs w:val="24"/>
        </w:rPr>
        <w:t>节点路由器</w:t>
      </w:r>
    </w:p>
    <w:tbl>
      <w:tblPr>
        <w:tblStyle w:val="23"/>
        <w:tblW w:w="8354" w:type="dxa"/>
        <w:jc w:val="center"/>
        <w:tblInd w:w="0" w:type="dxa"/>
        <w:tblLayout w:type="fixed"/>
        <w:tblCellMar>
          <w:top w:w="0" w:type="dxa"/>
          <w:left w:w="108" w:type="dxa"/>
          <w:bottom w:w="0" w:type="dxa"/>
          <w:right w:w="108" w:type="dxa"/>
        </w:tblCellMar>
      </w:tblPr>
      <w:tblGrid>
        <w:gridCol w:w="1261"/>
        <w:gridCol w:w="7093"/>
      </w:tblGrid>
      <w:tr>
        <w:tblPrEx>
          <w:tblLayout w:type="fixed"/>
          <w:tblCellMar>
            <w:top w:w="0" w:type="dxa"/>
            <w:left w:w="108" w:type="dxa"/>
            <w:bottom w:w="0" w:type="dxa"/>
            <w:right w:w="108" w:type="dxa"/>
          </w:tblCellMar>
        </w:tblPrEx>
        <w:trPr>
          <w:trHeight w:val="355" w:hRule="atLeast"/>
          <w:jc w:val="center"/>
        </w:trPr>
        <w:tc>
          <w:tcPr>
            <w:tcW w:w="1261" w:type="dxa"/>
            <w:tcBorders>
              <w:top w:val="single" w:color="auto" w:sz="8" w:space="0"/>
              <w:left w:val="single" w:color="auto" w:sz="8" w:space="0"/>
              <w:bottom w:val="single" w:color="auto" w:sz="8" w:space="0"/>
              <w:right w:val="single" w:color="auto" w:sz="8" w:space="0"/>
            </w:tcBorders>
            <w:noWrap w:val="0"/>
            <w:vAlign w:val="center"/>
          </w:tcPr>
          <w:p>
            <w:pPr>
              <w:rPr>
                <w:rFonts w:ascii="宋体" w:hAnsi="宋体"/>
                <w:b/>
                <w:bCs/>
                <w:sz w:val="24"/>
                <w:szCs w:val="24"/>
              </w:rPr>
            </w:pPr>
            <w:r>
              <w:rPr>
                <w:rFonts w:hint="eastAsia" w:ascii="宋体" w:hAnsi="宋体"/>
                <w:b/>
                <w:bCs/>
                <w:sz w:val="24"/>
                <w:szCs w:val="24"/>
              </w:rPr>
              <w:t>指标项</w:t>
            </w:r>
          </w:p>
        </w:tc>
        <w:tc>
          <w:tcPr>
            <w:tcW w:w="7093" w:type="dxa"/>
            <w:tcBorders>
              <w:top w:val="single" w:color="auto" w:sz="8" w:space="0"/>
              <w:left w:val="nil"/>
              <w:bottom w:val="single" w:color="auto" w:sz="8" w:space="0"/>
              <w:right w:val="single" w:color="auto" w:sz="8" w:space="0"/>
            </w:tcBorders>
            <w:noWrap w:val="0"/>
            <w:vAlign w:val="center"/>
          </w:tcPr>
          <w:p>
            <w:pPr>
              <w:jc w:val="center"/>
              <w:rPr>
                <w:rFonts w:ascii="宋体" w:hAnsi="宋体"/>
                <w:b/>
                <w:bCs/>
                <w:sz w:val="24"/>
                <w:szCs w:val="24"/>
              </w:rPr>
            </w:pPr>
            <w:r>
              <w:rPr>
                <w:rFonts w:hint="eastAsia" w:ascii="宋体" w:hAnsi="宋体"/>
                <w:b/>
                <w:bCs/>
                <w:sz w:val="24"/>
                <w:szCs w:val="24"/>
              </w:rPr>
              <w:t>指标要求</w:t>
            </w:r>
          </w:p>
        </w:tc>
      </w:tr>
      <w:tr>
        <w:tblPrEx>
          <w:tblLayout w:type="fixed"/>
          <w:tblCellMar>
            <w:top w:w="0" w:type="dxa"/>
            <w:left w:w="108" w:type="dxa"/>
            <w:bottom w:w="0" w:type="dxa"/>
            <w:right w:w="108" w:type="dxa"/>
          </w:tblCellMar>
        </w:tblPrEx>
        <w:trPr>
          <w:trHeight w:val="476" w:hRule="atLeast"/>
          <w:jc w:val="center"/>
        </w:trPr>
        <w:tc>
          <w:tcPr>
            <w:tcW w:w="1261" w:type="dxa"/>
            <w:tcBorders>
              <w:top w:val="nil"/>
              <w:left w:val="single" w:color="auto" w:sz="8" w:space="0"/>
              <w:bottom w:val="single" w:color="auto" w:sz="8" w:space="0"/>
              <w:right w:val="single" w:color="auto" w:sz="8" w:space="0"/>
            </w:tcBorders>
            <w:noWrap w:val="0"/>
            <w:vAlign w:val="center"/>
          </w:tcPr>
          <w:p>
            <w:pPr>
              <w:rPr>
                <w:rFonts w:ascii="宋体" w:hAnsi="宋体" w:cs="宋体"/>
                <w:sz w:val="24"/>
                <w:szCs w:val="24"/>
              </w:rPr>
            </w:pPr>
            <w:r>
              <w:rPr>
                <w:rFonts w:hint="eastAsia" w:ascii="宋体" w:hAnsi="宋体" w:cs="宋体"/>
                <w:sz w:val="24"/>
                <w:szCs w:val="24"/>
              </w:rPr>
              <w:t>★性能</w:t>
            </w:r>
          </w:p>
        </w:tc>
        <w:tc>
          <w:tcPr>
            <w:tcW w:w="7093" w:type="dxa"/>
            <w:tcBorders>
              <w:top w:val="nil"/>
              <w:left w:val="nil"/>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交换容量≥100Tbps，包转发率≥14000Mpps；</w:t>
            </w:r>
          </w:p>
        </w:tc>
      </w:tr>
      <w:tr>
        <w:tblPrEx>
          <w:tblLayout w:type="fixed"/>
          <w:tblCellMar>
            <w:top w:w="0" w:type="dxa"/>
            <w:left w:w="108" w:type="dxa"/>
            <w:bottom w:w="0" w:type="dxa"/>
            <w:right w:w="108" w:type="dxa"/>
          </w:tblCellMar>
        </w:tblPrEx>
        <w:trPr>
          <w:trHeight w:val="465" w:hRule="atLeast"/>
          <w:jc w:val="center"/>
        </w:trPr>
        <w:tc>
          <w:tcPr>
            <w:tcW w:w="1261" w:type="dxa"/>
            <w:tcBorders>
              <w:top w:val="nil"/>
              <w:left w:val="single" w:color="auto" w:sz="8" w:space="0"/>
              <w:bottom w:val="single" w:color="auto" w:sz="8" w:space="0"/>
              <w:right w:val="single" w:color="auto" w:sz="8" w:space="0"/>
            </w:tcBorders>
            <w:noWrap w:val="0"/>
            <w:vAlign w:val="center"/>
          </w:tcPr>
          <w:p>
            <w:pPr>
              <w:rPr>
                <w:rFonts w:ascii="宋体" w:hAnsi="宋体" w:cs="宋体"/>
                <w:sz w:val="24"/>
                <w:szCs w:val="24"/>
              </w:rPr>
            </w:pPr>
            <w:r>
              <w:rPr>
                <w:rFonts w:hint="eastAsia" w:ascii="宋体" w:hAnsi="宋体" w:cs="宋体"/>
                <w:sz w:val="24"/>
                <w:szCs w:val="24"/>
              </w:rPr>
              <w:t>可靠性设计</w:t>
            </w:r>
          </w:p>
        </w:tc>
        <w:tc>
          <w:tcPr>
            <w:tcW w:w="7093" w:type="dxa"/>
            <w:tcBorders>
              <w:top w:val="nil"/>
              <w:left w:val="nil"/>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rPr>
              <w:t>支持主控板、业务板完全物理分离，主控板、业务板分布在不同的物理槽位，需提供设备面板图并指出对应的主控板和业务板槽位；</w:t>
            </w:r>
          </w:p>
        </w:tc>
      </w:tr>
      <w:tr>
        <w:tblPrEx>
          <w:tblLayout w:type="fixed"/>
          <w:tblCellMar>
            <w:top w:w="0" w:type="dxa"/>
            <w:left w:w="108" w:type="dxa"/>
            <w:bottom w:w="0" w:type="dxa"/>
            <w:right w:w="108" w:type="dxa"/>
          </w:tblCellMar>
        </w:tblPrEx>
        <w:trPr>
          <w:trHeight w:val="465" w:hRule="atLeast"/>
          <w:jc w:val="center"/>
        </w:trPr>
        <w:tc>
          <w:tcPr>
            <w:tcW w:w="1261" w:type="dxa"/>
            <w:tcBorders>
              <w:left w:val="single" w:color="auto" w:sz="8" w:space="0"/>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业务</w:t>
            </w:r>
            <w:r>
              <w:rPr>
                <w:rFonts w:ascii="宋体" w:hAnsi="宋体" w:cs="宋体"/>
                <w:sz w:val="24"/>
                <w:szCs w:val="24"/>
              </w:rPr>
              <w:t>槽</w:t>
            </w:r>
            <w:r>
              <w:rPr>
                <w:rFonts w:hint="eastAsia" w:ascii="宋体" w:hAnsi="宋体" w:cs="宋体"/>
                <w:sz w:val="24"/>
                <w:szCs w:val="24"/>
              </w:rPr>
              <w:t>扩展性</w:t>
            </w:r>
          </w:p>
        </w:tc>
        <w:tc>
          <w:tcPr>
            <w:tcW w:w="7093" w:type="dxa"/>
            <w:tcBorders>
              <w:top w:val="nil"/>
              <w:left w:val="nil"/>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有足够的后向扩展性，业务插槽数≥8；</w:t>
            </w:r>
          </w:p>
        </w:tc>
      </w:tr>
      <w:tr>
        <w:tblPrEx>
          <w:tblLayout w:type="fixed"/>
          <w:tblCellMar>
            <w:top w:w="0" w:type="dxa"/>
            <w:left w:w="108" w:type="dxa"/>
            <w:bottom w:w="0" w:type="dxa"/>
            <w:right w:w="108" w:type="dxa"/>
          </w:tblCellMar>
        </w:tblPrEx>
        <w:trPr>
          <w:trHeight w:val="420" w:hRule="atLeast"/>
          <w:jc w:val="center"/>
        </w:trPr>
        <w:tc>
          <w:tcPr>
            <w:tcW w:w="1261" w:type="dxa"/>
            <w:tcBorders>
              <w:top w:val="nil"/>
              <w:left w:val="single" w:color="auto" w:sz="8" w:space="0"/>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支持</w:t>
            </w:r>
            <w:r>
              <w:rPr>
                <w:rFonts w:ascii="宋体" w:hAnsi="宋体" w:cs="宋体"/>
                <w:sz w:val="24"/>
                <w:szCs w:val="24"/>
              </w:rPr>
              <w:t>交流电源</w:t>
            </w:r>
          </w:p>
        </w:tc>
        <w:tc>
          <w:tcPr>
            <w:tcW w:w="7093" w:type="dxa"/>
            <w:tcBorders>
              <w:top w:val="nil"/>
              <w:left w:val="nil"/>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支持内置交流电源，不能配置外置交流电源（单点故障风险高），也不额外占用业务槽位，提供第三方测试报告；</w:t>
            </w:r>
          </w:p>
        </w:tc>
      </w:tr>
      <w:tr>
        <w:tblPrEx>
          <w:tblLayout w:type="fixed"/>
          <w:tblCellMar>
            <w:top w:w="0" w:type="dxa"/>
            <w:left w:w="108" w:type="dxa"/>
            <w:bottom w:w="0" w:type="dxa"/>
            <w:right w:w="108" w:type="dxa"/>
          </w:tblCellMar>
        </w:tblPrEx>
        <w:trPr>
          <w:trHeight w:val="420" w:hRule="atLeast"/>
          <w:jc w:val="center"/>
        </w:trPr>
        <w:tc>
          <w:tcPr>
            <w:tcW w:w="1261" w:type="dxa"/>
            <w:tcBorders>
              <w:top w:val="nil"/>
              <w:left w:val="single" w:color="auto" w:sz="8" w:space="0"/>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电源</w:t>
            </w:r>
            <w:r>
              <w:rPr>
                <w:rFonts w:ascii="宋体" w:hAnsi="宋体" w:cs="宋体"/>
                <w:sz w:val="24"/>
                <w:szCs w:val="24"/>
              </w:rPr>
              <w:t>冗余</w:t>
            </w:r>
          </w:p>
        </w:tc>
        <w:tc>
          <w:tcPr>
            <w:tcW w:w="7093" w:type="dxa"/>
            <w:tcBorders>
              <w:top w:val="nil"/>
              <w:left w:val="nil"/>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电源个数≥4个，电源系统支持N+M冗余，支持一体化供电方式，任意拔掉两个电源，设备能够正常运行，并提供第三方测试报告；</w:t>
            </w:r>
          </w:p>
        </w:tc>
      </w:tr>
      <w:tr>
        <w:tblPrEx>
          <w:tblLayout w:type="fixed"/>
          <w:tblCellMar>
            <w:top w:w="0" w:type="dxa"/>
            <w:left w:w="108" w:type="dxa"/>
            <w:bottom w:w="0" w:type="dxa"/>
            <w:right w:w="108" w:type="dxa"/>
          </w:tblCellMar>
        </w:tblPrEx>
        <w:trPr>
          <w:trHeight w:val="300" w:hRule="atLeast"/>
          <w:jc w:val="center"/>
        </w:trPr>
        <w:tc>
          <w:tcPr>
            <w:tcW w:w="1261" w:type="dxa"/>
            <w:tcBorders>
              <w:top w:val="nil"/>
              <w:left w:val="single" w:color="auto" w:sz="8" w:space="0"/>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堆叠特性</w:t>
            </w:r>
          </w:p>
        </w:tc>
        <w:tc>
          <w:tcPr>
            <w:tcW w:w="7093" w:type="dxa"/>
            <w:tcBorders>
              <w:top w:val="nil"/>
              <w:left w:val="nil"/>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支持将≥两台物理设备虚拟化为一台逻辑设备，虚拟组内可以实现一致的转发表项，统一的管理，跨物理设备的链路聚合；</w:t>
            </w:r>
          </w:p>
        </w:tc>
      </w:tr>
      <w:tr>
        <w:tblPrEx>
          <w:tblLayout w:type="fixed"/>
          <w:tblCellMar>
            <w:top w:w="0" w:type="dxa"/>
            <w:left w:w="108" w:type="dxa"/>
            <w:bottom w:w="0" w:type="dxa"/>
            <w:right w:w="108" w:type="dxa"/>
          </w:tblCellMar>
        </w:tblPrEx>
        <w:trPr>
          <w:trHeight w:val="90" w:hRule="atLeast"/>
          <w:jc w:val="center"/>
        </w:trPr>
        <w:tc>
          <w:tcPr>
            <w:tcW w:w="1261" w:type="dxa"/>
            <w:tcBorders>
              <w:top w:val="nil"/>
              <w:left w:val="single" w:color="auto" w:sz="8" w:space="0"/>
              <w:bottom w:val="single" w:color="auto" w:sz="8" w:space="0"/>
              <w:right w:val="single" w:color="auto" w:sz="8" w:space="0"/>
            </w:tcBorders>
            <w:noWrap w:val="0"/>
            <w:vAlign w:val="center"/>
          </w:tcPr>
          <w:p>
            <w:pPr>
              <w:rPr>
                <w:rFonts w:ascii="宋体" w:hAnsi="宋体" w:cs="宋体"/>
                <w:sz w:val="24"/>
                <w:szCs w:val="24"/>
              </w:rPr>
            </w:pPr>
            <w:r>
              <w:rPr>
                <w:rFonts w:hint="eastAsia" w:ascii="宋体" w:hAnsi="宋体" w:cs="宋体"/>
                <w:sz w:val="24"/>
                <w:szCs w:val="24"/>
              </w:rPr>
              <w:t>产品成熟度</w:t>
            </w:r>
          </w:p>
        </w:tc>
        <w:tc>
          <w:tcPr>
            <w:tcW w:w="7093" w:type="dxa"/>
            <w:tcBorders>
              <w:top w:val="nil"/>
              <w:left w:val="nil"/>
              <w:bottom w:val="single" w:color="auto" w:sz="8" w:space="0"/>
              <w:right w:val="single" w:color="auto" w:sz="8" w:space="0"/>
            </w:tcBorders>
            <w:noWrap w:val="0"/>
            <w:vAlign w:val="center"/>
          </w:tcPr>
          <w:p>
            <w:pPr>
              <w:widowControl/>
              <w:rPr>
                <w:rFonts w:hint="eastAsia" w:ascii="宋体" w:hAnsi="宋体" w:cs="宋体"/>
                <w:sz w:val="24"/>
                <w:szCs w:val="24"/>
              </w:rPr>
            </w:pPr>
            <w:r>
              <w:rPr>
                <w:rFonts w:hint="eastAsia" w:ascii="宋体" w:hAnsi="宋体" w:cs="宋体"/>
                <w:sz w:val="24"/>
                <w:szCs w:val="24"/>
              </w:rPr>
              <w:t>所投产品是成熟稳定的产品，要求设备入网时间≥半年，提供工信部入网许可证复印件；</w:t>
            </w:r>
          </w:p>
        </w:tc>
      </w:tr>
      <w:tr>
        <w:tblPrEx>
          <w:tblLayout w:type="fixed"/>
          <w:tblCellMar>
            <w:top w:w="0" w:type="dxa"/>
            <w:left w:w="108" w:type="dxa"/>
            <w:bottom w:w="0" w:type="dxa"/>
            <w:right w:w="108" w:type="dxa"/>
          </w:tblCellMar>
        </w:tblPrEx>
        <w:trPr>
          <w:trHeight w:val="300" w:hRule="atLeast"/>
          <w:jc w:val="center"/>
        </w:trPr>
        <w:tc>
          <w:tcPr>
            <w:tcW w:w="1261" w:type="dxa"/>
            <w:tcBorders>
              <w:top w:val="single" w:color="auto" w:sz="8" w:space="0"/>
              <w:left w:val="single" w:color="auto" w:sz="8" w:space="0"/>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产品实配</w:t>
            </w:r>
          </w:p>
        </w:tc>
        <w:tc>
          <w:tcPr>
            <w:tcW w:w="7093" w:type="dxa"/>
            <w:tcBorders>
              <w:top w:val="single" w:color="auto" w:sz="8" w:space="0"/>
              <w:left w:val="nil"/>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实配双主控，不少于</w:t>
            </w:r>
            <w:r>
              <w:rPr>
                <w:rFonts w:hint="eastAsia" w:ascii="宋体" w:hAnsi="宋体" w:cs="宋体"/>
                <w:color w:val="FF0000"/>
                <w:sz w:val="24"/>
                <w:szCs w:val="24"/>
                <w:lang w:val="en-US" w:eastAsia="zh-CN"/>
              </w:rPr>
              <w:t>1200</w:t>
            </w:r>
            <w:r>
              <w:rPr>
                <w:rFonts w:hint="eastAsia" w:ascii="宋体" w:hAnsi="宋体" w:cs="宋体"/>
                <w:color w:val="FF0000"/>
                <w:sz w:val="24"/>
                <w:szCs w:val="24"/>
              </w:rPr>
              <w:t>W</w:t>
            </w:r>
            <w:r>
              <w:rPr>
                <w:rFonts w:hint="eastAsia" w:ascii="宋体" w:hAnsi="宋体" w:cs="宋体"/>
                <w:sz w:val="24"/>
                <w:szCs w:val="24"/>
              </w:rPr>
              <w:t>交流电源模块≥4个，单台实配≥40G口不少于6个，分别位于2块业务处理单元卡；单台实配10个万兆光口，分别位于2块业务处理单元卡；实配主机软件。单台实配8个多模40G光模块，2个单模40G光模块（10KM），10个万兆多模光模块。</w:t>
            </w:r>
          </w:p>
        </w:tc>
      </w:tr>
      <w:tr>
        <w:tblPrEx>
          <w:tblLayout w:type="fixed"/>
          <w:tblCellMar>
            <w:top w:w="0" w:type="dxa"/>
            <w:left w:w="108" w:type="dxa"/>
            <w:bottom w:w="0" w:type="dxa"/>
            <w:right w:w="108" w:type="dxa"/>
          </w:tblCellMar>
        </w:tblPrEx>
        <w:trPr>
          <w:trHeight w:val="690" w:hRule="atLeast"/>
          <w:jc w:val="center"/>
        </w:trPr>
        <w:tc>
          <w:tcPr>
            <w:tcW w:w="1261" w:type="dxa"/>
            <w:tcBorders>
              <w:top w:val="nil"/>
              <w:left w:val="single" w:color="auto" w:sz="8" w:space="0"/>
              <w:bottom w:val="single" w:color="auto" w:sz="8" w:space="0"/>
              <w:right w:val="single" w:color="auto" w:sz="8" w:space="0"/>
            </w:tcBorders>
            <w:noWrap w:val="0"/>
            <w:vAlign w:val="center"/>
          </w:tcPr>
          <w:p>
            <w:pPr>
              <w:rPr>
                <w:rFonts w:ascii="宋体" w:hAnsi="宋体" w:cs="宋体"/>
                <w:sz w:val="24"/>
                <w:szCs w:val="24"/>
              </w:rPr>
            </w:pPr>
            <w:r>
              <w:rPr>
                <w:rFonts w:hint="eastAsia" w:ascii="宋体" w:hAnsi="宋体" w:cs="宋体"/>
                <w:sz w:val="24"/>
                <w:szCs w:val="24"/>
              </w:rPr>
              <w:t>质保</w:t>
            </w:r>
          </w:p>
        </w:tc>
        <w:tc>
          <w:tcPr>
            <w:tcW w:w="7093" w:type="dxa"/>
            <w:tcBorders>
              <w:top w:val="nil"/>
              <w:left w:val="nil"/>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原厂五年质保，中标后签订合同前提供原厂商质保承诺函。</w:t>
            </w:r>
          </w:p>
        </w:tc>
      </w:tr>
    </w:tbl>
    <w:p>
      <w:pPr>
        <w:pStyle w:val="2"/>
        <w:rPr>
          <w:sz w:val="24"/>
          <w:szCs w:val="24"/>
        </w:rPr>
      </w:pPr>
    </w:p>
    <w:p>
      <w:pPr>
        <w:pStyle w:val="31"/>
        <w:ind w:firstLine="0" w:firstLineChars="0"/>
        <w:outlineLvl w:val="1"/>
        <w:rPr>
          <w:rFonts w:hint="eastAsia" w:ascii="宋体" w:hAnsi="宋体"/>
          <w:b/>
          <w:color w:val="000000"/>
          <w:sz w:val="24"/>
          <w:szCs w:val="24"/>
        </w:rPr>
      </w:pPr>
      <w:r>
        <w:rPr>
          <w:rFonts w:hint="eastAsia" w:ascii="宋体" w:hAnsi="宋体"/>
          <w:b/>
          <w:color w:val="000000"/>
          <w:sz w:val="24"/>
          <w:szCs w:val="24"/>
        </w:rPr>
        <w:t>3、安全</w:t>
      </w:r>
      <w:r>
        <w:rPr>
          <w:rFonts w:ascii="宋体" w:hAnsi="宋体"/>
          <w:b/>
          <w:color w:val="000000"/>
          <w:sz w:val="24"/>
          <w:szCs w:val="24"/>
        </w:rPr>
        <w:t>访问平台</w:t>
      </w:r>
      <w:r>
        <w:rPr>
          <w:rFonts w:hint="eastAsia" w:ascii="宋体" w:hAnsi="宋体"/>
          <w:b/>
          <w:color w:val="000000"/>
          <w:sz w:val="24"/>
          <w:szCs w:val="24"/>
        </w:rPr>
        <w:t>核心</w:t>
      </w:r>
      <w:r>
        <w:rPr>
          <w:rFonts w:ascii="宋体" w:hAnsi="宋体"/>
          <w:b/>
          <w:color w:val="000000"/>
          <w:sz w:val="24"/>
          <w:szCs w:val="24"/>
        </w:rPr>
        <w:t>交换机</w:t>
      </w:r>
    </w:p>
    <w:tbl>
      <w:tblPr>
        <w:tblStyle w:val="23"/>
        <w:tblW w:w="8354" w:type="dxa"/>
        <w:jc w:val="center"/>
        <w:tblInd w:w="0" w:type="dxa"/>
        <w:tblLayout w:type="fixed"/>
        <w:tblCellMar>
          <w:top w:w="0" w:type="dxa"/>
          <w:left w:w="108" w:type="dxa"/>
          <w:bottom w:w="0" w:type="dxa"/>
          <w:right w:w="108" w:type="dxa"/>
        </w:tblCellMar>
      </w:tblPr>
      <w:tblGrid>
        <w:gridCol w:w="1261"/>
        <w:gridCol w:w="7093"/>
      </w:tblGrid>
      <w:tr>
        <w:tblPrEx>
          <w:tblLayout w:type="fixed"/>
          <w:tblCellMar>
            <w:top w:w="0" w:type="dxa"/>
            <w:left w:w="108" w:type="dxa"/>
            <w:bottom w:w="0" w:type="dxa"/>
            <w:right w:w="108" w:type="dxa"/>
          </w:tblCellMar>
        </w:tblPrEx>
        <w:trPr>
          <w:trHeight w:val="355" w:hRule="atLeast"/>
          <w:jc w:val="center"/>
        </w:trPr>
        <w:tc>
          <w:tcPr>
            <w:tcW w:w="1261" w:type="dxa"/>
            <w:tcBorders>
              <w:top w:val="single" w:color="auto" w:sz="8" w:space="0"/>
              <w:left w:val="single" w:color="auto" w:sz="8" w:space="0"/>
              <w:bottom w:val="single" w:color="auto" w:sz="8" w:space="0"/>
              <w:right w:val="single" w:color="auto" w:sz="8" w:space="0"/>
            </w:tcBorders>
            <w:noWrap w:val="0"/>
            <w:vAlign w:val="center"/>
          </w:tcPr>
          <w:p>
            <w:pPr>
              <w:rPr>
                <w:rFonts w:ascii="宋体" w:hAnsi="宋体"/>
                <w:b/>
                <w:bCs/>
                <w:sz w:val="24"/>
                <w:szCs w:val="24"/>
              </w:rPr>
            </w:pPr>
            <w:r>
              <w:rPr>
                <w:rFonts w:hint="eastAsia" w:ascii="宋体" w:hAnsi="宋体"/>
                <w:b/>
                <w:bCs/>
                <w:sz w:val="24"/>
                <w:szCs w:val="24"/>
              </w:rPr>
              <w:t>指标项</w:t>
            </w:r>
          </w:p>
        </w:tc>
        <w:tc>
          <w:tcPr>
            <w:tcW w:w="7093" w:type="dxa"/>
            <w:tcBorders>
              <w:top w:val="single" w:color="auto" w:sz="8" w:space="0"/>
              <w:left w:val="nil"/>
              <w:bottom w:val="single" w:color="auto" w:sz="8" w:space="0"/>
              <w:right w:val="single" w:color="auto" w:sz="8" w:space="0"/>
            </w:tcBorders>
            <w:noWrap w:val="0"/>
            <w:vAlign w:val="center"/>
          </w:tcPr>
          <w:p>
            <w:pPr>
              <w:jc w:val="center"/>
              <w:rPr>
                <w:rFonts w:ascii="宋体" w:hAnsi="宋体"/>
                <w:b/>
                <w:bCs/>
                <w:sz w:val="24"/>
                <w:szCs w:val="24"/>
              </w:rPr>
            </w:pPr>
            <w:r>
              <w:rPr>
                <w:rFonts w:hint="eastAsia" w:ascii="宋体" w:hAnsi="宋体"/>
                <w:b/>
                <w:bCs/>
                <w:sz w:val="24"/>
                <w:szCs w:val="24"/>
              </w:rPr>
              <w:t>指标要求</w:t>
            </w:r>
          </w:p>
        </w:tc>
      </w:tr>
      <w:tr>
        <w:tblPrEx>
          <w:tblLayout w:type="fixed"/>
          <w:tblCellMar>
            <w:top w:w="0" w:type="dxa"/>
            <w:left w:w="108" w:type="dxa"/>
            <w:bottom w:w="0" w:type="dxa"/>
            <w:right w:w="108" w:type="dxa"/>
          </w:tblCellMar>
        </w:tblPrEx>
        <w:trPr>
          <w:trHeight w:val="300" w:hRule="atLeast"/>
          <w:jc w:val="center"/>
        </w:trPr>
        <w:tc>
          <w:tcPr>
            <w:tcW w:w="1261" w:type="dxa"/>
            <w:tcBorders>
              <w:top w:val="nil"/>
              <w:left w:val="single" w:color="auto" w:sz="8" w:space="0"/>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★交换</w:t>
            </w:r>
            <w:r>
              <w:rPr>
                <w:rFonts w:ascii="宋体" w:hAnsi="宋体" w:cs="宋体"/>
                <w:sz w:val="24"/>
                <w:szCs w:val="24"/>
              </w:rPr>
              <w:t>性能</w:t>
            </w:r>
          </w:p>
        </w:tc>
        <w:tc>
          <w:tcPr>
            <w:tcW w:w="7093" w:type="dxa"/>
            <w:tcBorders>
              <w:top w:val="nil"/>
              <w:left w:val="nil"/>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交换容量≥400T，包转发率≥85000Mpps；</w:t>
            </w:r>
          </w:p>
        </w:tc>
      </w:tr>
      <w:tr>
        <w:tblPrEx>
          <w:tblLayout w:type="fixed"/>
          <w:tblCellMar>
            <w:top w:w="0" w:type="dxa"/>
            <w:left w:w="108" w:type="dxa"/>
            <w:bottom w:w="0" w:type="dxa"/>
            <w:right w:w="108" w:type="dxa"/>
          </w:tblCellMar>
        </w:tblPrEx>
        <w:trPr>
          <w:trHeight w:val="465" w:hRule="atLeast"/>
          <w:jc w:val="center"/>
        </w:trPr>
        <w:tc>
          <w:tcPr>
            <w:tcW w:w="1261" w:type="dxa"/>
            <w:tcBorders>
              <w:top w:val="nil"/>
              <w:left w:val="single" w:color="auto" w:sz="8" w:space="0"/>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产品架构</w:t>
            </w:r>
          </w:p>
        </w:tc>
        <w:tc>
          <w:tcPr>
            <w:tcW w:w="7093" w:type="dxa"/>
            <w:tcBorders>
              <w:top w:val="nil"/>
              <w:left w:val="nil"/>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支持多级交换架构，能够配置独立的交换网板与独立的主控板</w:t>
            </w:r>
          </w:p>
        </w:tc>
      </w:tr>
      <w:tr>
        <w:tblPrEx>
          <w:tblLayout w:type="fixed"/>
          <w:tblCellMar>
            <w:top w:w="0" w:type="dxa"/>
            <w:left w:w="108" w:type="dxa"/>
            <w:bottom w:w="0" w:type="dxa"/>
            <w:right w:w="108" w:type="dxa"/>
          </w:tblCellMar>
        </w:tblPrEx>
        <w:trPr>
          <w:trHeight w:val="465" w:hRule="atLeast"/>
          <w:jc w:val="center"/>
        </w:trPr>
        <w:tc>
          <w:tcPr>
            <w:tcW w:w="1261" w:type="dxa"/>
            <w:tcBorders>
              <w:top w:val="nil"/>
              <w:left w:val="single" w:color="auto" w:sz="8" w:space="0"/>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设备</w:t>
            </w:r>
            <w:r>
              <w:rPr>
                <w:rFonts w:ascii="宋体" w:hAnsi="宋体" w:cs="宋体"/>
                <w:sz w:val="24"/>
                <w:szCs w:val="24"/>
              </w:rPr>
              <w:t>槽位</w:t>
            </w:r>
          </w:p>
        </w:tc>
        <w:tc>
          <w:tcPr>
            <w:tcW w:w="7093" w:type="dxa"/>
            <w:tcBorders>
              <w:top w:val="nil"/>
              <w:left w:val="nil"/>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主控引擎≥2；独立交换网板≥4；主控槽位与交换网板槽位宽度相同的全宽槽位；整机业务板槽位数≥6；提供产品截图证明,并标注业务槽位和交换网槽位，确保数量满足要求；</w:t>
            </w:r>
          </w:p>
        </w:tc>
      </w:tr>
      <w:tr>
        <w:tblPrEx>
          <w:tblLayout w:type="fixed"/>
          <w:tblCellMar>
            <w:top w:w="0" w:type="dxa"/>
            <w:left w:w="108" w:type="dxa"/>
            <w:bottom w:w="0" w:type="dxa"/>
            <w:right w:w="108" w:type="dxa"/>
          </w:tblCellMar>
        </w:tblPrEx>
        <w:trPr>
          <w:trHeight w:val="465" w:hRule="atLeast"/>
          <w:jc w:val="center"/>
        </w:trPr>
        <w:tc>
          <w:tcPr>
            <w:tcW w:w="1261" w:type="dxa"/>
            <w:tcBorders>
              <w:top w:val="nil"/>
              <w:left w:val="single" w:color="auto" w:sz="8" w:space="0"/>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堆叠</w:t>
            </w:r>
            <w:r>
              <w:rPr>
                <w:rFonts w:ascii="宋体" w:hAnsi="宋体" w:cs="宋体"/>
                <w:sz w:val="24"/>
                <w:szCs w:val="24"/>
              </w:rPr>
              <w:t>特性</w:t>
            </w:r>
          </w:p>
        </w:tc>
        <w:tc>
          <w:tcPr>
            <w:tcW w:w="7093" w:type="dxa"/>
            <w:tcBorders>
              <w:top w:val="nil"/>
              <w:left w:val="nil"/>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支持虚拟化堆叠技术，热备冗余提升可靠性；支持横向虚拟化技术，提供工信部权威第三方测试报告；</w:t>
            </w:r>
          </w:p>
        </w:tc>
      </w:tr>
      <w:tr>
        <w:tblPrEx>
          <w:tblLayout w:type="fixed"/>
          <w:tblCellMar>
            <w:top w:w="0" w:type="dxa"/>
            <w:left w:w="108" w:type="dxa"/>
            <w:bottom w:w="0" w:type="dxa"/>
            <w:right w:w="108" w:type="dxa"/>
          </w:tblCellMar>
        </w:tblPrEx>
        <w:trPr>
          <w:trHeight w:val="420" w:hRule="atLeast"/>
          <w:jc w:val="center"/>
        </w:trPr>
        <w:tc>
          <w:tcPr>
            <w:tcW w:w="1261" w:type="dxa"/>
            <w:tcBorders>
              <w:top w:val="nil"/>
              <w:left w:val="single" w:color="auto" w:sz="8" w:space="0"/>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IP路由</w:t>
            </w:r>
          </w:p>
        </w:tc>
        <w:tc>
          <w:tcPr>
            <w:tcW w:w="7093" w:type="dxa"/>
            <w:tcBorders>
              <w:top w:val="nil"/>
              <w:left w:val="nil"/>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支持静态路由、RIP、RIPng、OSPF、BGP、BGP4+、ISIS</w:t>
            </w:r>
          </w:p>
        </w:tc>
      </w:tr>
      <w:tr>
        <w:tblPrEx>
          <w:tblLayout w:type="fixed"/>
          <w:tblCellMar>
            <w:top w:w="0" w:type="dxa"/>
            <w:left w:w="108" w:type="dxa"/>
            <w:bottom w:w="0" w:type="dxa"/>
            <w:right w:w="108" w:type="dxa"/>
          </w:tblCellMar>
        </w:tblPrEx>
        <w:trPr>
          <w:trHeight w:val="420" w:hRule="atLeast"/>
          <w:jc w:val="center"/>
        </w:trPr>
        <w:tc>
          <w:tcPr>
            <w:tcW w:w="1261" w:type="dxa"/>
            <w:tcBorders>
              <w:top w:val="nil"/>
              <w:left w:val="single" w:color="auto" w:sz="8" w:space="0"/>
              <w:bottom w:val="single" w:color="auto" w:sz="8" w:space="0"/>
              <w:right w:val="single" w:color="auto" w:sz="8" w:space="0"/>
            </w:tcBorders>
            <w:noWrap w:val="0"/>
            <w:vAlign w:val="center"/>
          </w:tcPr>
          <w:p>
            <w:pPr>
              <w:rPr>
                <w:rFonts w:ascii="宋体" w:hAnsi="宋体" w:cs="宋体"/>
                <w:sz w:val="24"/>
                <w:szCs w:val="24"/>
              </w:rPr>
            </w:pPr>
            <w:r>
              <w:rPr>
                <w:rFonts w:hint="eastAsia" w:ascii="宋体" w:hAnsi="宋体" w:cs="宋体"/>
                <w:sz w:val="24"/>
                <w:szCs w:val="24"/>
              </w:rPr>
              <w:t>风扇冗余</w:t>
            </w:r>
          </w:p>
        </w:tc>
        <w:tc>
          <w:tcPr>
            <w:tcW w:w="7093" w:type="dxa"/>
            <w:tcBorders>
              <w:top w:val="nil"/>
              <w:left w:val="nil"/>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 xml:space="preserve">为保证设备散热效果和可靠性，要求设备支持模块化风扇框，可热插拔，当单个风扇框发生故障时，有其他风扇正常运行，保证设备散热，独立风扇框数≥2 </w:t>
            </w:r>
          </w:p>
        </w:tc>
      </w:tr>
      <w:tr>
        <w:tblPrEx>
          <w:tblLayout w:type="fixed"/>
          <w:tblCellMar>
            <w:top w:w="0" w:type="dxa"/>
            <w:left w:w="108" w:type="dxa"/>
            <w:bottom w:w="0" w:type="dxa"/>
            <w:right w:w="108" w:type="dxa"/>
          </w:tblCellMar>
        </w:tblPrEx>
        <w:trPr>
          <w:trHeight w:val="300" w:hRule="atLeast"/>
          <w:jc w:val="center"/>
        </w:trPr>
        <w:tc>
          <w:tcPr>
            <w:tcW w:w="1261" w:type="dxa"/>
            <w:tcBorders>
              <w:top w:val="nil"/>
              <w:left w:val="single" w:color="auto" w:sz="8" w:space="0"/>
              <w:bottom w:val="single" w:color="auto" w:sz="4"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产品</w:t>
            </w:r>
            <w:r>
              <w:rPr>
                <w:rFonts w:ascii="宋体" w:hAnsi="宋体" w:cs="宋体"/>
                <w:sz w:val="24"/>
                <w:szCs w:val="24"/>
              </w:rPr>
              <w:t>成熟度</w:t>
            </w:r>
          </w:p>
        </w:tc>
        <w:tc>
          <w:tcPr>
            <w:tcW w:w="7093" w:type="dxa"/>
            <w:tcBorders>
              <w:top w:val="nil"/>
              <w:left w:val="nil"/>
              <w:bottom w:val="single" w:color="auto" w:sz="4"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本次提供产品为市场成熟产品，具有半年以上的入网时间，要求提供工信部入网证截图证明；</w:t>
            </w:r>
          </w:p>
        </w:tc>
      </w:tr>
      <w:tr>
        <w:tblPrEx>
          <w:tblLayout w:type="fixed"/>
          <w:tblCellMar>
            <w:top w:w="0" w:type="dxa"/>
            <w:left w:w="108" w:type="dxa"/>
            <w:bottom w:w="0" w:type="dxa"/>
            <w:right w:w="108" w:type="dxa"/>
          </w:tblCellMar>
        </w:tblPrEx>
        <w:trPr>
          <w:trHeight w:val="90"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产品</w:t>
            </w:r>
            <w:r>
              <w:rPr>
                <w:rFonts w:ascii="宋体" w:hAnsi="宋体" w:cs="宋体"/>
                <w:sz w:val="24"/>
                <w:szCs w:val="24"/>
              </w:rPr>
              <w:t>实配</w:t>
            </w:r>
          </w:p>
        </w:tc>
        <w:tc>
          <w:tcPr>
            <w:tcW w:w="70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实配双主控，四交换网板，业务板槽位≥6，实配万兆光口≥36个，千兆光口≥20个，千兆电口≥24个，40G接口≥</w:t>
            </w:r>
            <w:r>
              <w:rPr>
                <w:rFonts w:hint="eastAsia" w:ascii="宋体" w:hAnsi="宋体" w:cs="宋体"/>
                <w:color w:val="FF0000"/>
                <w:sz w:val="24"/>
                <w:szCs w:val="24"/>
                <w:lang w:val="en-US" w:eastAsia="zh-CN"/>
              </w:rPr>
              <w:t>4</w:t>
            </w:r>
            <w:r>
              <w:rPr>
                <w:rFonts w:hint="eastAsia" w:ascii="宋体" w:hAnsi="宋体" w:cs="宋体"/>
                <w:sz w:val="24"/>
                <w:szCs w:val="24"/>
              </w:rPr>
              <w:t>个，实配2根40G堆叠电缆，交流电源模块≥4。</w:t>
            </w:r>
          </w:p>
        </w:tc>
      </w:tr>
      <w:tr>
        <w:tblPrEx>
          <w:tblLayout w:type="fixed"/>
          <w:tblCellMar>
            <w:top w:w="0" w:type="dxa"/>
            <w:left w:w="108" w:type="dxa"/>
            <w:bottom w:w="0" w:type="dxa"/>
            <w:right w:w="108" w:type="dxa"/>
          </w:tblCellMar>
        </w:tblPrEx>
        <w:trPr>
          <w:trHeight w:val="90"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cs="宋体"/>
                <w:sz w:val="24"/>
                <w:szCs w:val="24"/>
              </w:rPr>
              <w:t>质保</w:t>
            </w:r>
          </w:p>
        </w:tc>
        <w:tc>
          <w:tcPr>
            <w:tcW w:w="70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原厂五年质保，中标后签订合同前提供原厂商质保承诺函。</w:t>
            </w:r>
          </w:p>
        </w:tc>
      </w:tr>
    </w:tbl>
    <w:p>
      <w:pPr>
        <w:pStyle w:val="31"/>
        <w:numPr>
          <w:ilvl w:val="0"/>
          <w:numId w:val="14"/>
        </w:numPr>
        <w:ind w:firstLine="0" w:firstLineChars="0"/>
        <w:outlineLvl w:val="1"/>
        <w:rPr>
          <w:rFonts w:ascii="宋体" w:hAnsi="宋体"/>
          <w:b/>
          <w:color w:val="000000"/>
          <w:sz w:val="24"/>
          <w:szCs w:val="24"/>
        </w:rPr>
      </w:pPr>
      <w:r>
        <w:rPr>
          <w:rFonts w:hint="eastAsia" w:ascii="宋体" w:hAnsi="宋体"/>
          <w:b/>
          <w:color w:val="000000"/>
          <w:sz w:val="24"/>
          <w:szCs w:val="24"/>
        </w:rPr>
        <w:t>数据</w:t>
      </w:r>
      <w:r>
        <w:rPr>
          <w:rFonts w:ascii="宋体" w:hAnsi="宋体"/>
          <w:b/>
          <w:color w:val="000000"/>
          <w:sz w:val="24"/>
          <w:szCs w:val="24"/>
        </w:rPr>
        <w:t>中心</w:t>
      </w:r>
      <w:r>
        <w:rPr>
          <w:rFonts w:hint="eastAsia" w:ascii="宋体" w:hAnsi="宋体"/>
          <w:b/>
          <w:color w:val="000000"/>
          <w:sz w:val="24"/>
          <w:szCs w:val="24"/>
        </w:rPr>
        <w:t>核心</w:t>
      </w:r>
      <w:r>
        <w:rPr>
          <w:rFonts w:ascii="宋体" w:hAnsi="宋体"/>
          <w:b/>
          <w:color w:val="000000"/>
          <w:sz w:val="24"/>
          <w:szCs w:val="24"/>
        </w:rPr>
        <w:t>交换机</w:t>
      </w:r>
    </w:p>
    <w:tbl>
      <w:tblPr>
        <w:tblStyle w:val="23"/>
        <w:tblW w:w="8354" w:type="dxa"/>
        <w:jc w:val="center"/>
        <w:tblInd w:w="0" w:type="dxa"/>
        <w:tblLayout w:type="fixed"/>
        <w:tblCellMar>
          <w:top w:w="0" w:type="dxa"/>
          <w:left w:w="108" w:type="dxa"/>
          <w:bottom w:w="0" w:type="dxa"/>
          <w:right w:w="108" w:type="dxa"/>
        </w:tblCellMar>
      </w:tblPr>
      <w:tblGrid>
        <w:gridCol w:w="1261"/>
        <w:gridCol w:w="7093"/>
      </w:tblGrid>
      <w:tr>
        <w:tblPrEx>
          <w:tblLayout w:type="fixed"/>
          <w:tblCellMar>
            <w:top w:w="0" w:type="dxa"/>
            <w:left w:w="108" w:type="dxa"/>
            <w:bottom w:w="0" w:type="dxa"/>
            <w:right w:w="108" w:type="dxa"/>
          </w:tblCellMar>
        </w:tblPrEx>
        <w:trPr>
          <w:trHeight w:val="355" w:hRule="atLeast"/>
          <w:jc w:val="center"/>
        </w:trPr>
        <w:tc>
          <w:tcPr>
            <w:tcW w:w="1261" w:type="dxa"/>
            <w:tcBorders>
              <w:top w:val="single" w:color="auto" w:sz="8" w:space="0"/>
              <w:left w:val="single" w:color="auto" w:sz="8" w:space="0"/>
              <w:bottom w:val="single" w:color="auto" w:sz="4" w:space="0"/>
              <w:right w:val="single" w:color="auto" w:sz="8" w:space="0"/>
            </w:tcBorders>
            <w:noWrap w:val="0"/>
            <w:vAlign w:val="center"/>
          </w:tcPr>
          <w:p>
            <w:pPr>
              <w:rPr>
                <w:rFonts w:ascii="宋体" w:hAnsi="宋体"/>
                <w:b/>
                <w:bCs/>
                <w:sz w:val="24"/>
                <w:szCs w:val="24"/>
              </w:rPr>
            </w:pPr>
            <w:r>
              <w:rPr>
                <w:rFonts w:hint="eastAsia" w:ascii="宋体" w:hAnsi="宋体"/>
                <w:b/>
                <w:bCs/>
                <w:sz w:val="24"/>
                <w:szCs w:val="24"/>
              </w:rPr>
              <w:t>指标项</w:t>
            </w:r>
          </w:p>
        </w:tc>
        <w:tc>
          <w:tcPr>
            <w:tcW w:w="7093" w:type="dxa"/>
            <w:tcBorders>
              <w:top w:val="single" w:color="auto" w:sz="8" w:space="0"/>
              <w:left w:val="nil"/>
              <w:bottom w:val="single" w:color="auto" w:sz="4" w:space="0"/>
              <w:right w:val="single" w:color="auto" w:sz="8" w:space="0"/>
            </w:tcBorders>
            <w:noWrap w:val="0"/>
            <w:vAlign w:val="center"/>
          </w:tcPr>
          <w:p>
            <w:pPr>
              <w:ind w:firstLine="2409" w:firstLineChars="1000"/>
              <w:rPr>
                <w:rFonts w:ascii="宋体" w:hAnsi="宋体"/>
                <w:b/>
                <w:bCs/>
                <w:sz w:val="24"/>
                <w:szCs w:val="24"/>
              </w:rPr>
            </w:pPr>
            <w:r>
              <w:rPr>
                <w:rFonts w:hint="eastAsia" w:ascii="宋体" w:hAnsi="宋体"/>
                <w:b/>
                <w:bCs/>
                <w:sz w:val="24"/>
                <w:szCs w:val="24"/>
              </w:rPr>
              <w:t>指标要求</w:t>
            </w:r>
          </w:p>
        </w:tc>
      </w:tr>
      <w:tr>
        <w:tblPrEx>
          <w:tblLayout w:type="fixed"/>
          <w:tblCellMar>
            <w:top w:w="0" w:type="dxa"/>
            <w:left w:w="108" w:type="dxa"/>
            <w:bottom w:w="0" w:type="dxa"/>
            <w:right w:w="108" w:type="dxa"/>
          </w:tblCellMar>
        </w:tblPrEx>
        <w:trPr>
          <w:trHeight w:val="797"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cs="宋体"/>
                <w:sz w:val="24"/>
                <w:szCs w:val="24"/>
              </w:rPr>
              <w:t>★产品架构</w:t>
            </w:r>
          </w:p>
        </w:tc>
        <w:tc>
          <w:tcPr>
            <w:tcW w:w="70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能够配置独立的交换网板，控制引擎和交换网板硬件相互独立，主控板故障或者更换不影响整机转发性能。</w:t>
            </w:r>
          </w:p>
        </w:tc>
      </w:tr>
      <w:tr>
        <w:tblPrEx>
          <w:tblLayout w:type="fixed"/>
          <w:tblCellMar>
            <w:top w:w="0" w:type="dxa"/>
            <w:left w:w="108" w:type="dxa"/>
            <w:bottom w:w="0" w:type="dxa"/>
            <w:right w:w="108" w:type="dxa"/>
          </w:tblCellMar>
        </w:tblPrEx>
        <w:trPr>
          <w:trHeight w:val="797"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▲交换性能</w:t>
            </w:r>
          </w:p>
        </w:tc>
        <w:tc>
          <w:tcPr>
            <w:tcW w:w="70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交换容量≥360T，包转发率≥230000Mpps；</w:t>
            </w:r>
          </w:p>
        </w:tc>
      </w:tr>
      <w:tr>
        <w:tblPrEx>
          <w:tblLayout w:type="fixed"/>
          <w:tblCellMar>
            <w:top w:w="0" w:type="dxa"/>
            <w:left w:w="108" w:type="dxa"/>
            <w:bottom w:w="0" w:type="dxa"/>
            <w:right w:w="108" w:type="dxa"/>
          </w:tblCellMar>
        </w:tblPrEx>
        <w:trPr>
          <w:trHeight w:val="465" w:hRule="atLeast"/>
          <w:jc w:val="center"/>
        </w:trPr>
        <w:tc>
          <w:tcPr>
            <w:tcW w:w="1261" w:type="dxa"/>
            <w:tcBorders>
              <w:top w:val="single" w:color="auto" w:sz="4" w:space="0"/>
              <w:left w:val="single" w:color="auto" w:sz="8" w:space="0"/>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产品槽位</w:t>
            </w:r>
          </w:p>
        </w:tc>
        <w:tc>
          <w:tcPr>
            <w:tcW w:w="7093" w:type="dxa"/>
            <w:tcBorders>
              <w:top w:val="single" w:color="auto" w:sz="4" w:space="0"/>
              <w:left w:val="nil"/>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设备支持双主控、六交换网板（交换网板5+1冗余）、业务槽位≥8,风扇框≥2，电源模块≥8；</w:t>
            </w:r>
          </w:p>
        </w:tc>
      </w:tr>
      <w:tr>
        <w:tblPrEx>
          <w:tblLayout w:type="fixed"/>
          <w:tblCellMar>
            <w:top w:w="0" w:type="dxa"/>
            <w:left w:w="108" w:type="dxa"/>
            <w:bottom w:w="0" w:type="dxa"/>
            <w:right w:w="108" w:type="dxa"/>
          </w:tblCellMar>
        </w:tblPrEx>
        <w:trPr>
          <w:trHeight w:val="420" w:hRule="atLeast"/>
          <w:jc w:val="center"/>
        </w:trPr>
        <w:tc>
          <w:tcPr>
            <w:tcW w:w="1261" w:type="dxa"/>
            <w:tcBorders>
              <w:top w:val="nil"/>
              <w:left w:val="single" w:color="auto" w:sz="8" w:space="0"/>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设备散热</w:t>
            </w:r>
          </w:p>
        </w:tc>
        <w:tc>
          <w:tcPr>
            <w:tcW w:w="7093" w:type="dxa"/>
            <w:tcBorders>
              <w:top w:val="nil"/>
              <w:left w:val="nil"/>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设备采用严格的前后风道设计，气流在机框内部始终处于由前向后的流向，业务线卡和网板均使用前面板打孔/前后风道设计，大大提升散热性能；</w:t>
            </w:r>
          </w:p>
        </w:tc>
      </w:tr>
      <w:tr>
        <w:tblPrEx>
          <w:tblLayout w:type="fixed"/>
          <w:tblCellMar>
            <w:top w:w="0" w:type="dxa"/>
            <w:left w:w="108" w:type="dxa"/>
            <w:bottom w:w="0" w:type="dxa"/>
            <w:right w:w="108" w:type="dxa"/>
          </w:tblCellMar>
        </w:tblPrEx>
        <w:trPr>
          <w:trHeight w:val="300" w:hRule="atLeast"/>
          <w:jc w:val="center"/>
        </w:trPr>
        <w:tc>
          <w:tcPr>
            <w:tcW w:w="1261" w:type="dxa"/>
            <w:tcBorders>
              <w:top w:val="nil"/>
              <w:left w:val="single" w:color="auto" w:sz="8" w:space="0"/>
              <w:bottom w:val="single" w:color="auto" w:sz="4"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虚拟化特性</w:t>
            </w:r>
          </w:p>
        </w:tc>
        <w:tc>
          <w:tcPr>
            <w:tcW w:w="7093" w:type="dxa"/>
            <w:tcBorders>
              <w:top w:val="nil"/>
              <w:left w:val="nil"/>
              <w:bottom w:val="single" w:color="auto" w:sz="4"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虚拟化支持将≥2台设备虚拟化为一台逻辑设备，虚拟组内可以实现一致的转发表项，统一的管理，跨物理设备的链路聚合；提供三方权威机构检测报告；</w:t>
            </w:r>
          </w:p>
        </w:tc>
      </w:tr>
      <w:tr>
        <w:tblPrEx>
          <w:tblLayout w:type="fixed"/>
          <w:tblCellMar>
            <w:top w:w="0" w:type="dxa"/>
            <w:left w:w="108" w:type="dxa"/>
            <w:bottom w:w="0" w:type="dxa"/>
            <w:right w:w="108" w:type="dxa"/>
          </w:tblCellMar>
        </w:tblPrEx>
        <w:trPr>
          <w:trHeight w:val="90"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电源冗余</w:t>
            </w:r>
          </w:p>
        </w:tc>
        <w:tc>
          <w:tcPr>
            <w:tcW w:w="70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最多支持8块电源模块，支持4+4冗余；</w:t>
            </w:r>
          </w:p>
        </w:tc>
      </w:tr>
      <w:tr>
        <w:tblPrEx>
          <w:tblLayout w:type="fixed"/>
          <w:tblCellMar>
            <w:top w:w="0" w:type="dxa"/>
            <w:left w:w="108" w:type="dxa"/>
            <w:bottom w:w="0" w:type="dxa"/>
            <w:right w:w="108" w:type="dxa"/>
          </w:tblCellMar>
        </w:tblPrEx>
        <w:trPr>
          <w:trHeight w:val="600"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风扇</w:t>
            </w:r>
            <w:r>
              <w:rPr>
                <w:rFonts w:ascii="宋体" w:hAnsi="宋体" w:cs="宋体"/>
                <w:sz w:val="24"/>
                <w:szCs w:val="24"/>
              </w:rPr>
              <w:t>冗余</w:t>
            </w:r>
          </w:p>
        </w:tc>
        <w:tc>
          <w:tcPr>
            <w:tcW w:w="70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机箱支持双风扇框互为冗余，在拔出一个风扇框的情况下，设备可正常运行72小时，无丢包；提供权威第三方检测报告；</w:t>
            </w:r>
          </w:p>
        </w:tc>
      </w:tr>
      <w:tr>
        <w:tblPrEx>
          <w:tblLayout w:type="fixed"/>
          <w:tblCellMar>
            <w:top w:w="0" w:type="dxa"/>
            <w:left w:w="108" w:type="dxa"/>
            <w:bottom w:w="0" w:type="dxa"/>
            <w:right w:w="108" w:type="dxa"/>
          </w:tblCellMar>
        </w:tblPrEx>
        <w:trPr>
          <w:trHeight w:val="90"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业务</w:t>
            </w:r>
            <w:r>
              <w:rPr>
                <w:rFonts w:ascii="宋体" w:hAnsi="宋体" w:cs="宋体"/>
                <w:sz w:val="24"/>
                <w:szCs w:val="24"/>
              </w:rPr>
              <w:t>板卡</w:t>
            </w:r>
            <w:r>
              <w:rPr>
                <w:rFonts w:hint="eastAsia" w:ascii="宋体" w:hAnsi="宋体" w:cs="宋体"/>
                <w:sz w:val="24"/>
                <w:szCs w:val="24"/>
              </w:rPr>
              <w:t>扩展</w:t>
            </w:r>
          </w:p>
        </w:tc>
        <w:tc>
          <w:tcPr>
            <w:tcW w:w="70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单板最大支持</w:t>
            </w:r>
            <w:r>
              <w:rPr>
                <w:rFonts w:hint="eastAsia" w:ascii="宋体" w:hAnsi="宋体" w:cs="宋体"/>
                <w:color w:val="FF0000"/>
                <w:sz w:val="24"/>
                <w:szCs w:val="24"/>
                <w:lang w:val="en-US" w:eastAsia="zh-CN"/>
              </w:rPr>
              <w:t>36</w:t>
            </w:r>
            <w:r>
              <w:rPr>
                <w:rFonts w:hint="eastAsia" w:ascii="宋体" w:hAnsi="宋体" w:cs="宋体"/>
                <w:sz w:val="24"/>
                <w:szCs w:val="24"/>
              </w:rPr>
              <w:t>口40G板卡，最大支持</w:t>
            </w:r>
            <w:r>
              <w:rPr>
                <w:rFonts w:hint="eastAsia" w:ascii="宋体" w:hAnsi="宋体" w:cs="宋体"/>
                <w:color w:val="FF0000"/>
                <w:sz w:val="24"/>
                <w:szCs w:val="24"/>
                <w:lang w:val="en-US" w:eastAsia="zh-CN"/>
              </w:rPr>
              <w:t>36</w:t>
            </w:r>
            <w:r>
              <w:rPr>
                <w:rFonts w:hint="eastAsia" w:ascii="宋体" w:hAnsi="宋体" w:cs="宋体"/>
                <w:sz w:val="24"/>
                <w:szCs w:val="24"/>
              </w:rPr>
              <w:t>口100G业务单板；提供官网链接及截图证明；</w:t>
            </w:r>
          </w:p>
        </w:tc>
      </w:tr>
      <w:tr>
        <w:tblPrEx>
          <w:tblLayout w:type="fixed"/>
          <w:tblCellMar>
            <w:top w:w="0" w:type="dxa"/>
            <w:left w:w="108" w:type="dxa"/>
            <w:bottom w:w="0" w:type="dxa"/>
            <w:right w:w="108" w:type="dxa"/>
          </w:tblCellMar>
        </w:tblPrEx>
        <w:trPr>
          <w:trHeight w:val="90"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产品</w:t>
            </w:r>
            <w:r>
              <w:rPr>
                <w:rFonts w:ascii="宋体" w:hAnsi="宋体" w:cs="宋体"/>
                <w:sz w:val="24"/>
                <w:szCs w:val="24"/>
              </w:rPr>
              <w:t>成熟度</w:t>
            </w:r>
          </w:p>
        </w:tc>
        <w:tc>
          <w:tcPr>
            <w:tcW w:w="70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本次提供产品为市场成熟产品，具有半年以上的入网时间，要求提供工信部入网证截图证明；</w:t>
            </w:r>
          </w:p>
        </w:tc>
      </w:tr>
      <w:tr>
        <w:tblPrEx>
          <w:tblLayout w:type="fixed"/>
          <w:tblCellMar>
            <w:top w:w="0" w:type="dxa"/>
            <w:left w:w="108" w:type="dxa"/>
            <w:bottom w:w="0" w:type="dxa"/>
            <w:right w:w="108" w:type="dxa"/>
          </w:tblCellMar>
        </w:tblPrEx>
        <w:trPr>
          <w:trHeight w:val="90"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产品</w:t>
            </w:r>
            <w:r>
              <w:rPr>
                <w:rFonts w:ascii="宋体" w:hAnsi="宋体" w:cs="宋体"/>
                <w:sz w:val="24"/>
                <w:szCs w:val="24"/>
              </w:rPr>
              <w:t>实配</w:t>
            </w:r>
          </w:p>
        </w:tc>
        <w:tc>
          <w:tcPr>
            <w:tcW w:w="70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实配主控≥2，交换网板≥3，</w:t>
            </w:r>
            <w:r>
              <w:rPr>
                <w:rFonts w:hint="eastAsia" w:ascii="宋体" w:hAnsi="宋体" w:cs="宋体"/>
                <w:color w:val="FF0000"/>
                <w:sz w:val="24"/>
              </w:rPr>
              <w:t>实配光口≥120个（万兆光口不少于72个</w:t>
            </w:r>
            <w:r>
              <w:rPr>
                <w:rFonts w:hint="eastAsia" w:ascii="宋体" w:hAnsi="宋体" w:cs="宋体"/>
                <w:sz w:val="24"/>
              </w:rPr>
              <w:t>）</w:t>
            </w:r>
            <w:r>
              <w:rPr>
                <w:rFonts w:hint="eastAsia" w:ascii="宋体" w:hAnsi="宋体" w:cs="宋体"/>
                <w:sz w:val="24"/>
                <w:szCs w:val="24"/>
              </w:rPr>
              <w:t>，40G光口≥10个，不少于6块交流电源模块功率≥2000W。单台实配7米40G堆叠电缆</w:t>
            </w:r>
            <w:r>
              <w:rPr>
                <w:rFonts w:hint="eastAsia" w:ascii="宋体" w:hAnsi="宋体" w:cs="宋体"/>
                <w:color w:val="FF0000"/>
                <w:sz w:val="24"/>
                <w:szCs w:val="24"/>
                <w:lang w:val="en-US" w:eastAsia="zh-CN"/>
              </w:rPr>
              <w:t>2</w:t>
            </w:r>
            <w:r>
              <w:rPr>
                <w:rFonts w:hint="eastAsia" w:ascii="宋体" w:hAnsi="宋体" w:cs="宋体"/>
                <w:sz w:val="24"/>
                <w:szCs w:val="24"/>
              </w:rPr>
              <w:t>根,QSFP+模块3个。</w:t>
            </w:r>
          </w:p>
        </w:tc>
      </w:tr>
      <w:tr>
        <w:tblPrEx>
          <w:tblLayout w:type="fixed"/>
          <w:tblCellMar>
            <w:top w:w="0" w:type="dxa"/>
            <w:left w:w="108" w:type="dxa"/>
            <w:bottom w:w="0" w:type="dxa"/>
            <w:right w:w="108" w:type="dxa"/>
          </w:tblCellMar>
        </w:tblPrEx>
        <w:trPr>
          <w:trHeight w:val="90"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cs="宋体"/>
                <w:sz w:val="24"/>
                <w:szCs w:val="24"/>
              </w:rPr>
              <w:t>质保</w:t>
            </w:r>
          </w:p>
        </w:tc>
        <w:tc>
          <w:tcPr>
            <w:tcW w:w="70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原厂五年质保，中标后签订合同前提供原厂商质保承诺函。</w:t>
            </w:r>
          </w:p>
        </w:tc>
      </w:tr>
    </w:tbl>
    <w:p>
      <w:pPr>
        <w:pStyle w:val="31"/>
        <w:ind w:firstLine="0" w:firstLineChars="0"/>
        <w:rPr>
          <w:rFonts w:hint="eastAsia" w:ascii="宋体" w:hAnsi="宋体"/>
          <w:b/>
          <w:color w:val="000000"/>
          <w:sz w:val="24"/>
          <w:szCs w:val="24"/>
        </w:rPr>
      </w:pPr>
    </w:p>
    <w:p>
      <w:pPr>
        <w:pStyle w:val="31"/>
        <w:numPr>
          <w:ilvl w:val="0"/>
          <w:numId w:val="14"/>
        </w:numPr>
        <w:ind w:firstLine="0" w:firstLineChars="0"/>
        <w:outlineLvl w:val="1"/>
        <w:rPr>
          <w:rFonts w:hint="eastAsia" w:ascii="宋体" w:hAnsi="宋体"/>
          <w:b/>
          <w:color w:val="000000"/>
          <w:sz w:val="24"/>
          <w:szCs w:val="24"/>
        </w:rPr>
      </w:pPr>
      <w:r>
        <w:rPr>
          <w:rFonts w:hint="eastAsia" w:ascii="宋体" w:hAnsi="宋体"/>
          <w:b/>
          <w:color w:val="000000"/>
          <w:sz w:val="24"/>
          <w:szCs w:val="24"/>
        </w:rPr>
        <w:t>前端边界防火墙（含防病毒、DPI）</w:t>
      </w:r>
    </w:p>
    <w:p>
      <w:pPr>
        <w:rPr>
          <w:vanish/>
          <w:sz w:val="24"/>
          <w:szCs w:val="24"/>
        </w:rPr>
      </w:pPr>
    </w:p>
    <w:tbl>
      <w:tblPr>
        <w:tblStyle w:val="23"/>
        <w:tblW w:w="837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6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noWrap w:val="0"/>
            <w:vAlign w:val="center"/>
          </w:tcPr>
          <w:p>
            <w:pPr>
              <w:spacing w:before="100" w:beforeAutospacing="1" w:after="100" w:afterAutospacing="1" w:line="315" w:lineRule="atLeast"/>
              <w:jc w:val="center"/>
              <w:rPr>
                <w:rFonts w:hint="eastAsia" w:ascii="宋体" w:hAnsi="宋体"/>
                <w:color w:val="000000"/>
                <w:sz w:val="24"/>
                <w:szCs w:val="24"/>
              </w:rPr>
            </w:pPr>
            <w:r>
              <w:rPr>
                <w:rFonts w:hint="eastAsia" w:ascii="宋体" w:hAnsi="宋体" w:cs="宋体"/>
                <w:color w:val="000000"/>
                <w:sz w:val="24"/>
                <w:szCs w:val="24"/>
              </w:rPr>
              <w:t>技术指标</w:t>
            </w:r>
          </w:p>
        </w:tc>
        <w:tc>
          <w:tcPr>
            <w:tcW w:w="6669" w:type="dxa"/>
            <w:noWrap w:val="0"/>
            <w:vAlign w:val="center"/>
          </w:tcPr>
          <w:p>
            <w:pPr>
              <w:spacing w:before="100" w:beforeAutospacing="1" w:after="100" w:afterAutospacing="1" w:line="315" w:lineRule="atLeast"/>
              <w:jc w:val="center"/>
              <w:rPr>
                <w:rFonts w:hint="eastAsia" w:ascii="宋体" w:hAnsi="宋体" w:cs="宋体"/>
                <w:kern w:val="0"/>
                <w:sz w:val="24"/>
                <w:szCs w:val="24"/>
              </w:rPr>
            </w:pPr>
            <w:r>
              <w:rPr>
                <w:rFonts w:hint="eastAsia" w:ascii="宋体" w:hAnsi="宋体" w:cs="宋体"/>
                <w:color w:val="000000"/>
                <w:sz w:val="24"/>
                <w:szCs w:val="24"/>
              </w:rPr>
              <w:t>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noWrap w:val="0"/>
            <w:vAlign w:val="center"/>
          </w:tcPr>
          <w:p>
            <w:pPr>
              <w:rPr>
                <w:rFonts w:hint="eastAsia" w:ascii="宋体" w:hAnsi="宋体" w:eastAsia="宋体" w:cs="宋体"/>
                <w:color w:val="000000"/>
                <w:sz w:val="24"/>
                <w:szCs w:val="24"/>
              </w:rPr>
            </w:pPr>
            <w:r>
              <w:rPr>
                <w:rFonts w:hint="eastAsia" w:ascii="宋体" w:hAnsi="宋体" w:eastAsia="宋体" w:cs="宋体"/>
                <w:b/>
                <w:bCs/>
                <w:sz w:val="24"/>
                <w:szCs w:val="24"/>
              </w:rPr>
              <w:t>品牌型号</w:t>
            </w:r>
          </w:p>
        </w:tc>
        <w:tc>
          <w:tcPr>
            <w:tcW w:w="6669" w:type="dxa"/>
            <w:noWrap w:val="0"/>
            <w:vAlign w:val="center"/>
          </w:tcPr>
          <w:p>
            <w:pPr>
              <w:jc w:val="left"/>
              <w:rPr>
                <w:rFonts w:hint="eastAsia" w:ascii="宋体" w:hAnsi="宋体" w:eastAsia="宋体" w:cs="宋体"/>
                <w:kern w:val="0"/>
                <w:sz w:val="24"/>
                <w:szCs w:val="24"/>
              </w:rPr>
            </w:pPr>
            <w:r>
              <w:rPr>
                <w:rFonts w:hint="eastAsia" w:ascii="宋体" w:hAnsi="宋体" w:eastAsia="宋体" w:cs="宋体"/>
                <w:sz w:val="24"/>
                <w:szCs w:val="24"/>
              </w:rPr>
              <w:t>▲要求与后端边界防火墙设备为不同</w:t>
            </w:r>
            <w:r>
              <w:rPr>
                <w:rFonts w:hint="eastAsia" w:ascii="宋体" w:hAnsi="宋体" w:cs="宋体"/>
                <w:sz w:val="24"/>
                <w:szCs w:val="24"/>
                <w:lang w:eastAsia="zh-CN"/>
              </w:rPr>
              <w:t>架构</w:t>
            </w:r>
            <w:r>
              <w:rPr>
                <w:rFonts w:hint="eastAsia" w:ascii="宋体" w:hAnsi="宋体" w:eastAsia="宋体" w:cs="宋体"/>
                <w:sz w:val="24"/>
                <w:szCs w:val="24"/>
              </w:rPr>
              <w:t>和品牌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Merge w:val="restart"/>
            <w:noWrap w:val="0"/>
            <w:vAlign w:val="center"/>
          </w:tcPr>
          <w:p>
            <w:pPr>
              <w:spacing w:line="276" w:lineRule="auto"/>
              <w:rPr>
                <w:rFonts w:hint="eastAsia" w:ascii="宋体" w:hAnsi="宋体" w:eastAsia="宋体" w:cs="宋体"/>
                <w:color w:val="000000"/>
                <w:sz w:val="24"/>
                <w:szCs w:val="24"/>
              </w:rPr>
            </w:pPr>
            <w:r>
              <w:rPr>
                <w:rFonts w:hint="eastAsia" w:ascii="宋体" w:hAnsi="宋体" w:eastAsia="宋体" w:cs="宋体"/>
                <w:color w:val="000000"/>
                <w:sz w:val="24"/>
                <w:szCs w:val="24"/>
              </w:rPr>
              <w:t>★架构及性能要求</w:t>
            </w:r>
          </w:p>
        </w:tc>
        <w:tc>
          <w:tcPr>
            <w:tcW w:w="6669" w:type="dxa"/>
            <w:noWrap w:val="0"/>
            <w:vAlign w:val="center"/>
          </w:tcPr>
          <w:p>
            <w:pPr>
              <w:widowControl/>
              <w:spacing w:line="276" w:lineRule="auto"/>
              <w:rPr>
                <w:rFonts w:hint="eastAsia" w:ascii="宋体" w:hAnsi="宋体" w:eastAsia="宋体" w:cs="宋体"/>
                <w:kern w:val="0"/>
                <w:sz w:val="24"/>
                <w:szCs w:val="24"/>
              </w:rPr>
            </w:pPr>
            <w:r>
              <w:rPr>
                <w:rFonts w:hint="eastAsia" w:ascii="宋体" w:hAnsi="宋体" w:cs="宋体"/>
                <w:kern w:val="0"/>
                <w:sz w:val="24"/>
                <w:szCs w:val="24"/>
              </w:rPr>
              <w:t>系统采用多核AMP+架构架构，硬件设计采用高性能一体化智能安全处理引擎，要求提供计算机软件著作权登记证书</w:t>
            </w:r>
            <w:r>
              <w:rPr>
                <w:rFonts w:hint="eastAsia" w:ascii="宋体" w:hAnsi="宋体" w:cs="宋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Merge w:val="continue"/>
            <w:noWrap w:val="0"/>
            <w:vAlign w:val="center"/>
          </w:tcPr>
          <w:p>
            <w:pPr>
              <w:spacing w:line="276" w:lineRule="auto"/>
              <w:ind w:firstLine="442"/>
              <w:jc w:val="center"/>
              <w:rPr>
                <w:rFonts w:ascii="宋体" w:hAnsi="宋体"/>
                <w:color w:val="000000"/>
                <w:sz w:val="24"/>
                <w:szCs w:val="24"/>
              </w:rPr>
            </w:pPr>
          </w:p>
        </w:tc>
        <w:tc>
          <w:tcPr>
            <w:tcW w:w="6669" w:type="dxa"/>
            <w:noWrap w:val="0"/>
            <w:vAlign w:val="center"/>
          </w:tcPr>
          <w:p>
            <w:pPr>
              <w:widowControl/>
              <w:spacing w:line="276" w:lineRule="auto"/>
              <w:rPr>
                <w:rFonts w:hint="eastAsia" w:ascii="宋体" w:hAnsi="宋体" w:eastAsia="宋体" w:cs="宋体"/>
                <w:kern w:val="0"/>
                <w:sz w:val="24"/>
                <w:szCs w:val="24"/>
                <w:lang w:eastAsia="zh-CN"/>
              </w:rPr>
            </w:pPr>
            <w:r>
              <w:rPr>
                <w:rFonts w:ascii="宋体" w:hAnsi="宋体" w:cs="宋体"/>
                <w:kern w:val="0"/>
                <w:sz w:val="24"/>
                <w:szCs w:val="24"/>
              </w:rPr>
              <w:t>网络处理能力为80G，并发连接≥900万，每秒新建连接100万/秒，</w:t>
            </w:r>
            <w:r>
              <w:rPr>
                <w:rFonts w:hint="eastAsia" w:ascii="宋体" w:hAnsi="宋体" w:cs="宋体"/>
                <w:kern w:val="0"/>
                <w:sz w:val="24"/>
                <w:szCs w:val="24"/>
              </w:rPr>
              <w:t>冗余电源。</w:t>
            </w:r>
            <w:r>
              <w:rPr>
                <w:rFonts w:ascii="宋体" w:hAnsi="宋体" w:cs="宋体"/>
                <w:kern w:val="0"/>
                <w:sz w:val="24"/>
                <w:szCs w:val="24"/>
              </w:rPr>
              <w:t>配置≥8个10/100/1000M自适应电口</w:t>
            </w:r>
            <w:r>
              <w:rPr>
                <w:rFonts w:hint="eastAsia" w:ascii="宋体" w:hAnsi="宋体" w:cs="宋体"/>
                <w:kern w:val="0"/>
                <w:sz w:val="24"/>
                <w:szCs w:val="24"/>
              </w:rPr>
              <w:t>，</w:t>
            </w:r>
            <w:r>
              <w:rPr>
                <w:rFonts w:ascii="宋体" w:hAnsi="宋体" w:cs="宋体"/>
                <w:kern w:val="0"/>
                <w:sz w:val="24"/>
                <w:szCs w:val="24"/>
              </w:rPr>
              <w:t>≥8个</w:t>
            </w:r>
            <w:r>
              <w:rPr>
                <w:rFonts w:hint="eastAsia" w:ascii="宋体" w:hAnsi="宋体" w:cs="宋体"/>
                <w:kern w:val="0"/>
                <w:sz w:val="24"/>
                <w:szCs w:val="24"/>
              </w:rPr>
              <w:t>万兆</w:t>
            </w:r>
            <w:r>
              <w:rPr>
                <w:rFonts w:ascii="宋体" w:hAnsi="宋体" w:cs="宋体"/>
                <w:kern w:val="0"/>
                <w:sz w:val="24"/>
                <w:szCs w:val="24"/>
              </w:rPr>
              <w:t>SFP</w:t>
            </w:r>
            <w:r>
              <w:rPr>
                <w:rFonts w:hint="eastAsia" w:ascii="宋体" w:hAnsi="宋体" w:cs="宋体"/>
                <w:kern w:val="0"/>
                <w:sz w:val="24"/>
                <w:szCs w:val="24"/>
              </w:rPr>
              <w:t>+光口</w:t>
            </w:r>
            <w:r>
              <w:rPr>
                <w:rFonts w:ascii="宋体" w:hAnsi="宋体" w:cs="宋体"/>
                <w:kern w:val="0"/>
                <w:sz w:val="24"/>
                <w:szCs w:val="24"/>
              </w:rPr>
              <w:t>插槽，≥</w:t>
            </w:r>
            <w:r>
              <w:rPr>
                <w:rFonts w:hint="eastAsia" w:ascii="宋体" w:hAnsi="宋体" w:cs="宋体"/>
                <w:kern w:val="0"/>
                <w:sz w:val="24"/>
                <w:szCs w:val="24"/>
              </w:rPr>
              <w:t>2个40G QSFP插槽。</w:t>
            </w:r>
            <w:r>
              <w:rPr>
                <w:rFonts w:ascii="宋体" w:hAnsi="宋体" w:cs="宋体"/>
                <w:kern w:val="0"/>
                <w:sz w:val="24"/>
                <w:szCs w:val="24"/>
              </w:rPr>
              <w:t>支持</w:t>
            </w:r>
            <w:r>
              <w:rPr>
                <w:rFonts w:hint="eastAsia" w:ascii="宋体" w:hAnsi="宋体" w:cs="宋体"/>
                <w:color w:val="FF0000"/>
                <w:kern w:val="0"/>
                <w:sz w:val="24"/>
                <w:szCs w:val="24"/>
                <w:lang w:val="en-US" w:eastAsia="zh-CN"/>
              </w:rPr>
              <w:t>2</w:t>
            </w:r>
            <w:r>
              <w:rPr>
                <w:rFonts w:ascii="宋体" w:hAnsi="宋体" w:cs="宋体"/>
                <w:kern w:val="0"/>
                <w:sz w:val="24"/>
                <w:szCs w:val="24"/>
              </w:rPr>
              <w:t>个扩展槽，1个Console口，支持液晶屏</w:t>
            </w:r>
            <w:r>
              <w:rPr>
                <w:rFonts w:hint="eastAsia" w:ascii="宋体" w:hAnsi="宋体" w:cs="宋体"/>
                <w:kern w:val="0"/>
                <w:sz w:val="24"/>
                <w:szCs w:val="24"/>
              </w:rPr>
              <w:t>。需配置入侵防御及网络防病毒模块，提供五年硬件维保及规则库升级服务。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部署模式</w:t>
            </w:r>
          </w:p>
        </w:tc>
        <w:tc>
          <w:tcPr>
            <w:tcW w:w="6669" w:type="dxa"/>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支持路由、透明、交换以及混合模式接入，满足复杂应用环境的接入需求。支持旁路模式；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路由协议</w:t>
            </w:r>
          </w:p>
        </w:tc>
        <w:tc>
          <w:tcPr>
            <w:tcW w:w="6669" w:type="dxa"/>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支持支持静态路由、策略路由及动态路由。策略路由支持用户自定义其优先级，动态路由应至少支持</w:t>
            </w:r>
            <w:r>
              <w:rPr>
                <w:rFonts w:ascii="宋体" w:hAnsi="宋体" w:cs="宋体"/>
                <w:kern w:val="0"/>
                <w:sz w:val="24"/>
                <w:szCs w:val="24"/>
              </w:rPr>
              <w:t>RIP v1/v2/ng， OSPFv2/v3，BGP4/4+协议；必须支持静态和动态多播路由，动态多播路由必须支持PIM-SM（稀疏模式）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地址转换</w:t>
            </w:r>
          </w:p>
        </w:tc>
        <w:tc>
          <w:tcPr>
            <w:tcW w:w="6669" w:type="dxa"/>
            <w:noWrap w:val="0"/>
            <w:vAlign w:val="center"/>
          </w:tcPr>
          <w:p>
            <w:pPr>
              <w:spacing w:line="276" w:lineRule="auto"/>
              <w:rPr>
                <w:rFonts w:ascii="宋体" w:hAnsi="宋体" w:cs="宋体"/>
                <w:kern w:val="0"/>
                <w:sz w:val="24"/>
                <w:szCs w:val="24"/>
              </w:rPr>
            </w:pPr>
            <w:r>
              <w:rPr>
                <w:rFonts w:hint="eastAsia" w:ascii="宋体" w:hAnsi="宋体" w:cs="宋体"/>
                <w:kern w:val="0"/>
                <w:sz w:val="24"/>
                <w:szCs w:val="24"/>
              </w:rPr>
              <w:t>支持全面的</w:t>
            </w:r>
            <w:r>
              <w:rPr>
                <w:rFonts w:ascii="宋体" w:hAnsi="宋体" w:cs="宋体"/>
                <w:kern w:val="0"/>
                <w:sz w:val="24"/>
                <w:szCs w:val="24"/>
              </w:rPr>
              <w:t>NAT转换配置，包括一对一，一对多，多对一的源、目的地址转换，并至少支持FULL_CONE模式和SYMMETRIC模式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I</w:t>
            </w:r>
            <w:r>
              <w:rPr>
                <w:rFonts w:ascii="宋体" w:hAnsi="宋体" w:cs="宋体"/>
                <w:kern w:val="0"/>
                <w:sz w:val="24"/>
                <w:szCs w:val="24"/>
              </w:rPr>
              <w:t>PV6</w:t>
            </w:r>
            <w:r>
              <w:rPr>
                <w:rFonts w:hint="eastAsia" w:ascii="宋体" w:hAnsi="宋体" w:cs="宋体"/>
                <w:kern w:val="0"/>
                <w:sz w:val="24"/>
                <w:szCs w:val="24"/>
              </w:rPr>
              <w:t>支持</w:t>
            </w:r>
          </w:p>
        </w:tc>
        <w:tc>
          <w:tcPr>
            <w:tcW w:w="6669" w:type="dxa"/>
            <w:noWrap w:val="0"/>
            <w:vAlign w:val="center"/>
          </w:tcPr>
          <w:p>
            <w:pPr>
              <w:spacing w:line="276" w:lineRule="auto"/>
              <w:rPr>
                <w:rFonts w:ascii="宋体" w:hAnsi="宋体" w:cs="宋体"/>
                <w:kern w:val="0"/>
                <w:sz w:val="24"/>
                <w:szCs w:val="24"/>
              </w:rPr>
            </w:pPr>
            <w:r>
              <w:rPr>
                <w:rFonts w:hint="eastAsia" w:ascii="宋体" w:hAnsi="宋体" w:cs="宋体"/>
                <w:kern w:val="0"/>
                <w:sz w:val="24"/>
                <w:szCs w:val="24"/>
              </w:rPr>
              <w:t>支持</w:t>
            </w:r>
            <w:r>
              <w:rPr>
                <w:rFonts w:ascii="宋体" w:hAnsi="宋体" w:cs="宋体"/>
                <w:kern w:val="0"/>
                <w:sz w:val="24"/>
                <w:szCs w:val="24"/>
              </w:rPr>
              <w:t>IPv6下静态路由及策略路由、动态路由，动态路由应包括RIPng、OSPFv3、BGP4+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高可靠性</w:t>
            </w:r>
          </w:p>
        </w:tc>
        <w:tc>
          <w:tcPr>
            <w:tcW w:w="6669" w:type="dxa"/>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支持路由模式、透明模式的</w:t>
            </w:r>
            <w:r>
              <w:rPr>
                <w:rFonts w:ascii="宋体" w:hAnsi="宋体" w:cs="宋体"/>
                <w:kern w:val="0"/>
                <w:sz w:val="24"/>
                <w:szCs w:val="24"/>
              </w:rPr>
              <w:t>HA高可靠性部署，可工作于主备、主主模式，会话、用户、配置可实时同步；</w:t>
            </w:r>
            <w:r>
              <w:rPr>
                <w:rFonts w:hint="eastAsia" w:ascii="宋体" w:hAnsi="宋体" w:cs="Arial"/>
                <w:sz w:val="24"/>
                <w:szCs w:val="24"/>
              </w:rPr>
              <w:t>设备支持一种多防火墙的负载均衡方法及装置的技术，必须提供自主知识产权证明复印件。</w:t>
            </w:r>
            <w:r>
              <w:rPr>
                <w:rFonts w:ascii="宋体" w:hAnsi="宋体" w:cs="宋体"/>
                <w:kern w:val="0"/>
                <w:sz w:val="24"/>
                <w:szCs w:val="24"/>
              </w:rPr>
              <w:t xml:space="preserve">HA高可靠性部署支持接口联动，某个端口失效（DOWN），属于同一接口组中其他端口都会进入失效状态（DOWN）；HA高可靠性部署支持配置接口权重；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访问控制</w:t>
            </w:r>
          </w:p>
        </w:tc>
        <w:tc>
          <w:tcPr>
            <w:tcW w:w="6669" w:type="dxa"/>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支持基于源安全域、目的安全域、源用户、源地址、源地区、目的地址、目的地区、服务、应用、隧道、时间、</w:t>
            </w:r>
            <w:r>
              <w:rPr>
                <w:rFonts w:ascii="宋体" w:hAnsi="宋体" w:cs="宋体"/>
                <w:kern w:val="0"/>
                <w:sz w:val="24"/>
                <w:szCs w:val="24"/>
              </w:rPr>
              <w:t>VLAN等多种方式进行访问控制，并支持地理区域对象的导入以及重复策略的检查（投标时需要提供上述功能截图）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Merge w:val="restart"/>
            <w:noWrap w:val="0"/>
            <w:vAlign w:val="center"/>
          </w:tcPr>
          <w:p>
            <w:pPr>
              <w:widowControl/>
              <w:spacing w:line="276" w:lineRule="auto"/>
              <w:rPr>
                <w:rFonts w:hint="eastAsia" w:ascii="宋体" w:hAnsi="宋体" w:cs="宋体"/>
                <w:kern w:val="0"/>
                <w:sz w:val="24"/>
                <w:szCs w:val="24"/>
              </w:rPr>
            </w:pPr>
            <w:r>
              <w:rPr>
                <w:rFonts w:hint="eastAsia" w:ascii="宋体" w:hAnsi="宋体" w:cs="宋体"/>
                <w:kern w:val="0"/>
                <w:sz w:val="24"/>
                <w:szCs w:val="24"/>
              </w:rPr>
              <w:t>入侵防御</w:t>
            </w:r>
          </w:p>
        </w:tc>
        <w:tc>
          <w:tcPr>
            <w:tcW w:w="6669" w:type="dxa"/>
            <w:noWrap w:val="0"/>
            <w:vAlign w:val="center"/>
          </w:tcPr>
          <w:p>
            <w:pPr>
              <w:widowControl/>
              <w:spacing w:line="276" w:lineRule="auto"/>
              <w:rPr>
                <w:rFonts w:hint="eastAsia" w:ascii="宋体" w:hAnsi="宋体" w:eastAsia="宋体" w:cs="宋体"/>
                <w:kern w:val="0"/>
                <w:sz w:val="24"/>
                <w:szCs w:val="24"/>
                <w:lang w:eastAsia="zh-CN"/>
              </w:rPr>
            </w:pPr>
            <w:r>
              <w:rPr>
                <w:rFonts w:hint="eastAsia" w:ascii="宋体" w:hAnsi="宋体" w:cs="宋体"/>
                <w:kern w:val="0"/>
                <w:sz w:val="24"/>
                <w:szCs w:val="24"/>
              </w:rPr>
              <w:t>支持漏洞防护功能，同时将漏洞防护特征库分类，至少包括缓冲区溢出、跨站脚本、拒绝服务、恶意扫描、</w:t>
            </w:r>
            <w:r>
              <w:rPr>
                <w:rFonts w:ascii="宋体" w:hAnsi="宋体" w:cs="宋体"/>
                <w:kern w:val="0"/>
                <w:sz w:val="24"/>
                <w:szCs w:val="24"/>
              </w:rPr>
              <w:t>SQL注入、WEB攻击等六种分类；漏洞防护支持日志、阻断、放行、重置等执行动作,可批量设置针对某一分类或全部攻击签名的执行动作；支持基于FTP、HTTP、IMAP、OTHER_APP、POP3、SMB、SMTP等应用协议的漏洞防护</w:t>
            </w:r>
            <w:r>
              <w:rPr>
                <w:rFonts w:hint="eastAsia" w:ascii="宋体" w:hAnsi="宋体" w:cs="宋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Merge w:val="continue"/>
            <w:noWrap w:val="0"/>
            <w:vAlign w:val="center"/>
          </w:tcPr>
          <w:p>
            <w:pPr>
              <w:widowControl/>
              <w:spacing w:line="276" w:lineRule="auto"/>
              <w:rPr>
                <w:rFonts w:hint="eastAsia" w:ascii="宋体" w:hAnsi="宋体" w:cs="宋体"/>
                <w:kern w:val="0"/>
                <w:sz w:val="24"/>
                <w:szCs w:val="24"/>
              </w:rPr>
            </w:pPr>
          </w:p>
        </w:tc>
        <w:tc>
          <w:tcPr>
            <w:tcW w:w="6669" w:type="dxa"/>
            <w:noWrap w:val="0"/>
            <w:vAlign w:val="center"/>
          </w:tcPr>
          <w:p>
            <w:pPr>
              <w:widowControl/>
              <w:spacing w:line="276" w:lineRule="auto"/>
              <w:rPr>
                <w:rFonts w:hint="eastAsia" w:ascii="宋体" w:hAnsi="宋体" w:cs="宋体"/>
                <w:kern w:val="0"/>
                <w:sz w:val="24"/>
                <w:szCs w:val="24"/>
              </w:rPr>
            </w:pPr>
            <w:r>
              <w:rPr>
                <w:rFonts w:hint="eastAsia" w:ascii="宋体" w:hAnsi="宋体" w:cs="宋体"/>
                <w:kern w:val="0"/>
                <w:sz w:val="24"/>
                <w:szCs w:val="24"/>
              </w:rPr>
              <w:t>支持在设备漏洞防护特征库直接查阅攻击的名称、</w:t>
            </w:r>
            <w:r>
              <w:rPr>
                <w:rFonts w:ascii="宋体" w:hAnsi="宋体" w:cs="宋体"/>
                <w:kern w:val="0"/>
                <w:sz w:val="24"/>
                <w:szCs w:val="24"/>
              </w:rPr>
              <w:t>CVEID、CNNVDID、严重性、影响的平台、类型、描述等详细信息；</w:t>
            </w:r>
            <w:r>
              <w:rPr>
                <w:rFonts w:hint="eastAsia" w:ascii="宋体" w:hAnsi="宋体" w:cs="宋体"/>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Merge w:val="continue"/>
            <w:noWrap w:val="0"/>
            <w:vAlign w:val="center"/>
          </w:tcPr>
          <w:p>
            <w:pPr>
              <w:widowControl/>
              <w:spacing w:line="276" w:lineRule="auto"/>
              <w:rPr>
                <w:rFonts w:hint="eastAsia" w:ascii="宋体" w:hAnsi="宋体" w:cs="宋体"/>
                <w:kern w:val="0"/>
                <w:sz w:val="24"/>
                <w:szCs w:val="24"/>
              </w:rPr>
            </w:pPr>
          </w:p>
        </w:tc>
        <w:tc>
          <w:tcPr>
            <w:tcW w:w="6669" w:type="dxa"/>
            <w:noWrap w:val="0"/>
            <w:vAlign w:val="center"/>
          </w:tcPr>
          <w:p>
            <w:pPr>
              <w:widowControl/>
              <w:spacing w:line="276" w:lineRule="auto"/>
              <w:rPr>
                <w:rFonts w:hint="eastAsia" w:ascii="宋体" w:hAnsi="宋体" w:cs="宋体"/>
                <w:kern w:val="0"/>
                <w:sz w:val="24"/>
                <w:szCs w:val="24"/>
              </w:rPr>
            </w:pPr>
            <w:r>
              <w:rPr>
                <w:rFonts w:hint="eastAsia" w:ascii="宋体" w:hAnsi="宋体" w:cs="宋体"/>
                <w:kern w:val="0"/>
                <w:sz w:val="24"/>
                <w:szCs w:val="24"/>
              </w:rPr>
              <w:t>漏洞防护特征库包含高危漏洞攻击特征，至少包括“永恒之蓝”、“震网三代”、“暗云</w:t>
            </w:r>
            <w:r>
              <w:rPr>
                <w:rFonts w:ascii="宋体" w:hAnsi="宋体" w:cs="宋体"/>
                <w:kern w:val="0"/>
                <w:sz w:val="24"/>
                <w:szCs w:val="24"/>
              </w:rPr>
              <w:t>3”、“Struts”、“Struts2”、“Xshell后门代码”以及对应的攻击的名称、CVEID、CNNVDID、严重性、影响的平台、类型、描述等详细信息；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Merge w:val="restart"/>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病毒防护</w:t>
            </w:r>
          </w:p>
        </w:tc>
        <w:tc>
          <w:tcPr>
            <w:tcW w:w="6669" w:type="dxa"/>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能够对</w:t>
            </w:r>
            <w:r>
              <w:rPr>
                <w:rFonts w:ascii="宋体" w:hAnsi="宋体" w:cs="宋体"/>
                <w:kern w:val="0"/>
                <w:sz w:val="24"/>
                <w:szCs w:val="24"/>
              </w:rPr>
              <w:t>HTTP/FTP/POP3/SMTP/IMAP/SMB六种协议进行病毒查杀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Merge w:val="continue"/>
            <w:noWrap w:val="0"/>
            <w:vAlign w:val="center"/>
          </w:tcPr>
          <w:p>
            <w:pPr>
              <w:widowControl/>
              <w:spacing w:line="276" w:lineRule="auto"/>
              <w:ind w:firstLine="442"/>
              <w:jc w:val="center"/>
              <w:rPr>
                <w:rFonts w:ascii="宋体" w:hAnsi="宋体" w:cs="宋体"/>
                <w:kern w:val="0"/>
                <w:sz w:val="24"/>
                <w:szCs w:val="24"/>
              </w:rPr>
            </w:pPr>
          </w:p>
        </w:tc>
        <w:tc>
          <w:tcPr>
            <w:tcW w:w="6669" w:type="dxa"/>
            <w:noWrap w:val="0"/>
            <w:vAlign w:val="center"/>
          </w:tcPr>
          <w:p>
            <w:pPr>
              <w:widowControl/>
              <w:spacing w:line="276" w:lineRule="auto"/>
              <w:rPr>
                <w:rFonts w:ascii="宋体" w:hAnsi="宋体" w:cs="宋体"/>
                <w:kern w:val="0"/>
                <w:sz w:val="24"/>
                <w:szCs w:val="24"/>
              </w:rPr>
            </w:pPr>
            <w:r>
              <w:rPr>
                <w:rFonts w:ascii="宋体" w:hAnsi="宋体" w:cs="宋体"/>
                <w:kern w:val="0"/>
                <w:sz w:val="24"/>
                <w:szCs w:val="24"/>
              </w:rPr>
              <w:t>本地病毒库规模大于3000万</w:t>
            </w:r>
            <w:r>
              <w:rPr>
                <w:rFonts w:hint="eastAsia" w:ascii="宋体" w:hAnsi="宋体" w:cs="宋体"/>
                <w:kern w:val="0"/>
                <w:sz w:val="24"/>
                <w:szCs w:val="24"/>
              </w:rPr>
              <w:t>，必须支持对最多</w:t>
            </w:r>
            <w:r>
              <w:rPr>
                <w:rFonts w:ascii="宋体" w:hAnsi="宋体" w:cs="宋体"/>
                <w:kern w:val="0"/>
                <w:sz w:val="24"/>
                <w:szCs w:val="24"/>
              </w:rPr>
              <w:t>6级的压缩文件进行解压查杀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Merge w:val="continue"/>
            <w:noWrap w:val="0"/>
            <w:vAlign w:val="center"/>
          </w:tcPr>
          <w:p>
            <w:pPr>
              <w:widowControl/>
              <w:spacing w:line="276" w:lineRule="auto"/>
              <w:ind w:firstLine="442"/>
              <w:jc w:val="center"/>
              <w:rPr>
                <w:rFonts w:ascii="宋体" w:hAnsi="宋体" w:cs="宋体"/>
                <w:kern w:val="0"/>
                <w:sz w:val="24"/>
                <w:szCs w:val="24"/>
              </w:rPr>
            </w:pPr>
          </w:p>
        </w:tc>
        <w:tc>
          <w:tcPr>
            <w:tcW w:w="6669" w:type="dxa"/>
            <w:noWrap w:val="0"/>
            <w:vAlign w:val="center"/>
          </w:tcPr>
          <w:p>
            <w:pPr>
              <w:rPr>
                <w:rFonts w:ascii="宋体" w:hAnsi="宋体" w:cs="宋体"/>
                <w:kern w:val="0"/>
                <w:sz w:val="24"/>
                <w:szCs w:val="24"/>
              </w:rPr>
            </w:pPr>
            <w:r>
              <w:rPr>
                <w:rFonts w:hint="eastAsia" w:ascii="宋体" w:hAnsi="宋体" w:cs="宋体"/>
                <w:kern w:val="0"/>
                <w:sz w:val="24"/>
                <w:szCs w:val="24"/>
              </w:rPr>
              <w:t>支持基于</w:t>
            </w:r>
            <w:r>
              <w:rPr>
                <w:rFonts w:ascii="宋体" w:hAnsi="宋体" w:cs="宋体"/>
                <w:kern w:val="0"/>
                <w:sz w:val="24"/>
                <w:szCs w:val="24"/>
              </w:rPr>
              <w:t>MD5的自定义病毒签名；支持设置例外特征，对特定的病毒特征不进行查杀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noWrap w:val="0"/>
            <w:vAlign w:val="center"/>
          </w:tcPr>
          <w:p>
            <w:pPr>
              <w:spacing w:line="276" w:lineRule="auto"/>
              <w:rPr>
                <w:rFonts w:ascii="宋体" w:hAnsi="宋体" w:cs="宋体"/>
                <w:kern w:val="0"/>
                <w:sz w:val="24"/>
                <w:szCs w:val="24"/>
              </w:rPr>
            </w:pPr>
            <w:r>
              <w:rPr>
                <w:rFonts w:ascii="宋体" w:hAnsi="宋体" w:cs="宋体"/>
                <w:kern w:val="0"/>
                <w:sz w:val="24"/>
                <w:szCs w:val="24"/>
              </w:rPr>
              <w:t>VPN</w:t>
            </w:r>
            <w:r>
              <w:rPr>
                <w:rFonts w:hint="eastAsia" w:ascii="宋体" w:hAnsi="宋体" w:cs="宋体"/>
                <w:kern w:val="0"/>
                <w:sz w:val="24"/>
                <w:szCs w:val="24"/>
              </w:rPr>
              <w:t>功能</w:t>
            </w:r>
          </w:p>
        </w:tc>
        <w:tc>
          <w:tcPr>
            <w:tcW w:w="6669" w:type="dxa"/>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支持支持</w:t>
            </w:r>
            <w:r>
              <w:rPr>
                <w:rFonts w:ascii="宋体" w:hAnsi="宋体" w:cs="宋体"/>
                <w:kern w:val="0"/>
                <w:sz w:val="24"/>
                <w:szCs w:val="24"/>
              </w:rPr>
              <w:t>IPSec VPN功能，支持基于主模式（Main Mode）、积极模式（Aggressive Mode）、国密三种协商模式建立的网关-网关加密隧道；支持本地CA并可为参与IPSec VPN隧道建立的设备颁发用于身份认证的证书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Merge w:val="restart"/>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网络异常感知</w:t>
            </w:r>
          </w:p>
        </w:tc>
        <w:tc>
          <w:tcPr>
            <w:tcW w:w="6669" w:type="dxa"/>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支持基于主机或威胁情报视图，统计网络中确认被入侵、攻破的主机数量，至少可查看被入侵、攻破的时间、威胁类别、情报来源、威胁简介、被入侵、攻破的主机</w:t>
            </w:r>
            <w:r>
              <w:rPr>
                <w:rFonts w:ascii="宋体" w:hAnsi="宋体" w:cs="宋体"/>
                <w:kern w:val="0"/>
                <w:sz w:val="24"/>
                <w:szCs w:val="24"/>
              </w:rPr>
              <w:t>IP、用户名、资产等信息；并对威胁情报发现的恶意主机执行自动阻断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Merge w:val="continue"/>
            <w:noWrap w:val="0"/>
            <w:vAlign w:val="center"/>
          </w:tcPr>
          <w:p>
            <w:pPr>
              <w:widowControl/>
              <w:spacing w:line="276" w:lineRule="auto"/>
              <w:ind w:firstLine="442"/>
              <w:jc w:val="center"/>
              <w:rPr>
                <w:rFonts w:ascii="宋体" w:hAnsi="宋体" w:cs="宋体"/>
                <w:kern w:val="0"/>
                <w:sz w:val="24"/>
                <w:szCs w:val="24"/>
              </w:rPr>
            </w:pPr>
          </w:p>
        </w:tc>
        <w:tc>
          <w:tcPr>
            <w:tcW w:w="6669" w:type="dxa"/>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支持统计网络内威胁事件的数量及对应的风险等级；支持一键跳转查看详情并自动显示关联日志；可基于网络连接、应用名称、威胁事件处置威胁事件；</w:t>
            </w:r>
            <w:r>
              <w:rPr>
                <w:rFonts w:ascii="宋体" w:hAnsi="宋体" w:cs="宋体"/>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Merge w:val="restart"/>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安全事件分析</w:t>
            </w:r>
          </w:p>
        </w:tc>
        <w:tc>
          <w:tcPr>
            <w:tcW w:w="6669" w:type="dxa"/>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提供关联分析面板，可将</w:t>
            </w:r>
            <w:r>
              <w:rPr>
                <w:rFonts w:ascii="宋体" w:hAnsi="宋体" w:cs="宋体"/>
                <w:kern w:val="0"/>
                <w:sz w:val="24"/>
                <w:szCs w:val="24"/>
              </w:rPr>
              <w:t>Top应用、Top威胁、Top URL分类、Top源地址、Top目的地址等信息关联，并支持以任意元素于为过滤条件且不少于35个维度进行数据钻取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Merge w:val="continue"/>
            <w:noWrap w:val="0"/>
            <w:vAlign w:val="center"/>
          </w:tcPr>
          <w:p>
            <w:pPr>
              <w:widowControl/>
              <w:spacing w:line="276" w:lineRule="auto"/>
              <w:ind w:firstLine="442"/>
              <w:jc w:val="center"/>
              <w:rPr>
                <w:rFonts w:ascii="宋体" w:hAnsi="宋体" w:cs="宋体"/>
                <w:kern w:val="0"/>
                <w:sz w:val="24"/>
                <w:szCs w:val="24"/>
              </w:rPr>
            </w:pPr>
          </w:p>
        </w:tc>
        <w:tc>
          <w:tcPr>
            <w:tcW w:w="6669" w:type="dxa"/>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支持基于网络活动，威胁活动、阻止活动等多维关联统计及分析，发现异常行为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Merge w:val="restart"/>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策略与处置</w:t>
            </w:r>
          </w:p>
        </w:tc>
        <w:tc>
          <w:tcPr>
            <w:tcW w:w="6669" w:type="dxa"/>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可在单条策略中启用病毒防护、入侵防御、网址过滤、文件过滤、文件内容过滤、终端过滤等安全功能选项。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Merge w:val="continue"/>
            <w:noWrap w:val="0"/>
            <w:vAlign w:val="center"/>
          </w:tcPr>
          <w:p>
            <w:pPr>
              <w:widowControl/>
              <w:spacing w:line="276" w:lineRule="auto"/>
              <w:ind w:firstLine="442"/>
              <w:jc w:val="center"/>
              <w:rPr>
                <w:rFonts w:ascii="宋体" w:hAnsi="宋体" w:cs="宋体"/>
                <w:kern w:val="0"/>
                <w:sz w:val="24"/>
                <w:szCs w:val="24"/>
              </w:rPr>
            </w:pPr>
          </w:p>
        </w:tc>
        <w:tc>
          <w:tcPr>
            <w:tcW w:w="6669" w:type="dxa"/>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支持接收针对突发重大安全事件的“应急响应消息”，并至少在界面显示安全事件名称、类型、当前防护状态、处置状态以及相应的操作等信息；并可根据设备安全配置的变化动态显示应急响应的处理结果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Merge w:val="continue"/>
            <w:noWrap w:val="0"/>
            <w:vAlign w:val="center"/>
          </w:tcPr>
          <w:p>
            <w:pPr>
              <w:widowControl/>
              <w:spacing w:line="276" w:lineRule="auto"/>
              <w:ind w:firstLine="442"/>
              <w:jc w:val="center"/>
              <w:rPr>
                <w:rFonts w:ascii="宋体" w:hAnsi="宋体" w:cs="宋体"/>
                <w:kern w:val="0"/>
                <w:sz w:val="24"/>
                <w:szCs w:val="24"/>
              </w:rPr>
            </w:pPr>
          </w:p>
        </w:tc>
        <w:tc>
          <w:tcPr>
            <w:tcW w:w="6669" w:type="dxa"/>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支持针对“应急响应消息”的手动或自动处置，处置方法至少包括基于漏洞的处置和基于威胁情报的处置（投标时需要提供上述功能截图）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Merge w:val="restart"/>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运维管理</w:t>
            </w:r>
          </w:p>
        </w:tc>
        <w:tc>
          <w:tcPr>
            <w:tcW w:w="6669" w:type="dxa"/>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支持双系统备份，且在系统切换中可实现配置的自动迁移；可记录不同时间点的历史配置文件。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Merge w:val="continue"/>
            <w:noWrap w:val="0"/>
            <w:vAlign w:val="center"/>
          </w:tcPr>
          <w:p>
            <w:pPr>
              <w:widowControl/>
              <w:spacing w:line="276" w:lineRule="auto"/>
              <w:ind w:firstLine="442"/>
              <w:jc w:val="center"/>
              <w:rPr>
                <w:rFonts w:ascii="宋体" w:hAnsi="宋体" w:cs="宋体"/>
                <w:kern w:val="0"/>
                <w:sz w:val="24"/>
                <w:szCs w:val="24"/>
              </w:rPr>
            </w:pPr>
          </w:p>
        </w:tc>
        <w:tc>
          <w:tcPr>
            <w:tcW w:w="6669" w:type="dxa"/>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支持将告警信息以</w:t>
            </w:r>
            <w:r>
              <w:rPr>
                <w:rFonts w:ascii="宋体" w:hAnsi="宋体" w:cs="宋体"/>
                <w:kern w:val="0"/>
                <w:sz w:val="24"/>
                <w:szCs w:val="24"/>
              </w:rPr>
              <w:t xml:space="preserve">SNMP Trap、邮件、声音、短信等形式通知管理员，告警信息的范围至少包括配置变更、病毒事件、攻击事件、异常事件、CPU利用率、内存利用率、硬盘利用率、接口带宽利用率、NAT利用率等；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Merge w:val="continue"/>
            <w:noWrap w:val="0"/>
            <w:vAlign w:val="center"/>
          </w:tcPr>
          <w:p>
            <w:pPr>
              <w:widowControl/>
              <w:spacing w:line="276" w:lineRule="auto"/>
              <w:ind w:firstLine="442"/>
              <w:jc w:val="center"/>
              <w:rPr>
                <w:rFonts w:ascii="宋体" w:hAnsi="宋体" w:cs="宋体"/>
                <w:kern w:val="0"/>
                <w:sz w:val="24"/>
                <w:szCs w:val="24"/>
              </w:rPr>
            </w:pPr>
          </w:p>
        </w:tc>
        <w:tc>
          <w:tcPr>
            <w:tcW w:w="6669" w:type="dxa"/>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支持三权分立管理，具有独立审计用户，支持标准Syslog日志审计方式，支持Syslog端口自定义（支持内外端机主机名更改，强化日志审计及集中管理功能，能够对功能访问模块拒绝访问进行日志记录，支持对日志的高性能处理和存储，提供高性能Syslog日志处理和存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701" w:type="dxa"/>
            <w:noWrap w:val="0"/>
            <w:vAlign w:val="center"/>
          </w:tcPr>
          <w:p>
            <w:pPr>
              <w:spacing w:line="276" w:lineRule="auto"/>
              <w:rPr>
                <w:rFonts w:ascii="宋体" w:hAnsi="宋体" w:cs="宋体"/>
                <w:kern w:val="0"/>
                <w:sz w:val="24"/>
                <w:szCs w:val="24"/>
              </w:rPr>
            </w:pPr>
            <w:r>
              <w:rPr>
                <w:rFonts w:hint="eastAsia" w:ascii="宋体" w:hAnsi="宋体"/>
                <w:color w:val="000000"/>
                <w:sz w:val="24"/>
                <w:szCs w:val="24"/>
              </w:rPr>
              <w:t>★</w:t>
            </w:r>
            <w:r>
              <w:rPr>
                <w:rFonts w:hint="eastAsia" w:ascii="宋体" w:hAnsi="宋体" w:cs="宋体"/>
                <w:kern w:val="0"/>
                <w:sz w:val="24"/>
                <w:szCs w:val="24"/>
              </w:rPr>
              <w:t>协同联动</w:t>
            </w:r>
          </w:p>
        </w:tc>
        <w:tc>
          <w:tcPr>
            <w:tcW w:w="6669" w:type="dxa"/>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支持与云端联动，至少实现病毒云查杀、</w:t>
            </w:r>
            <w:r>
              <w:rPr>
                <w:rFonts w:ascii="宋体" w:hAnsi="宋体" w:cs="宋体"/>
                <w:kern w:val="0"/>
                <w:sz w:val="24"/>
                <w:szCs w:val="24"/>
              </w:rPr>
              <w:t>URL云识别、应用云识别、云沙箱、威胁情报云检测等功能（投标文件需提供能够体现上述功能及配置选项截图）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Merge w:val="restart"/>
            <w:noWrap w:val="0"/>
            <w:vAlign w:val="center"/>
          </w:tcPr>
          <w:p>
            <w:pPr>
              <w:widowControl/>
              <w:spacing w:line="276" w:lineRule="auto"/>
              <w:rPr>
                <w:rFonts w:ascii="宋体" w:hAnsi="宋体"/>
                <w:color w:val="000000"/>
                <w:sz w:val="24"/>
                <w:szCs w:val="24"/>
              </w:rPr>
            </w:pPr>
            <w:r>
              <w:rPr>
                <w:rFonts w:hint="eastAsia" w:ascii="宋体" w:hAnsi="宋体"/>
                <w:color w:val="000000"/>
                <w:sz w:val="24"/>
                <w:szCs w:val="24"/>
              </w:rPr>
              <w:t>资质要求（需提供相关</w:t>
            </w:r>
            <w:r>
              <w:rPr>
                <w:rFonts w:hint="eastAsia" w:ascii="宋体" w:hAnsi="宋体"/>
                <w:color w:val="000000"/>
                <w:sz w:val="24"/>
                <w:szCs w:val="24"/>
                <w:lang w:val="en-US" w:eastAsia="zh-CN"/>
              </w:rPr>
              <w:t>扫描件</w:t>
            </w:r>
            <w:r>
              <w:rPr>
                <w:rFonts w:hint="eastAsia" w:ascii="宋体" w:hAnsi="宋体"/>
                <w:color w:val="000000"/>
                <w:sz w:val="24"/>
                <w:szCs w:val="24"/>
              </w:rPr>
              <w:t>）</w:t>
            </w:r>
          </w:p>
        </w:tc>
        <w:tc>
          <w:tcPr>
            <w:tcW w:w="6669" w:type="dxa"/>
            <w:noWrap w:val="0"/>
            <w:vAlign w:val="center"/>
          </w:tcPr>
          <w:p>
            <w:pPr>
              <w:spacing w:line="276" w:lineRule="auto"/>
              <w:rPr>
                <w:rFonts w:ascii="宋体" w:hAnsi="宋体"/>
                <w:color w:val="FF0000"/>
                <w:sz w:val="24"/>
                <w:szCs w:val="24"/>
              </w:rPr>
            </w:pPr>
            <w:r>
              <w:rPr>
                <w:rFonts w:hint="eastAsia" w:ascii="宋体" w:hAnsi="宋体"/>
                <w:color w:val="FF0000"/>
                <w:sz w:val="24"/>
                <w:szCs w:val="24"/>
              </w:rPr>
              <w:t>设备需具备计算机信息系统安全专用产品销售许可证(增强级)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vMerge w:val="continue"/>
            <w:noWrap w:val="0"/>
            <w:vAlign w:val="center"/>
          </w:tcPr>
          <w:p>
            <w:pPr>
              <w:widowControl/>
              <w:spacing w:line="276" w:lineRule="auto"/>
              <w:ind w:firstLine="442"/>
              <w:jc w:val="center"/>
              <w:rPr>
                <w:rFonts w:ascii="宋体" w:hAnsi="宋体"/>
                <w:color w:val="000000"/>
                <w:sz w:val="24"/>
                <w:szCs w:val="24"/>
              </w:rPr>
            </w:pPr>
          </w:p>
        </w:tc>
        <w:tc>
          <w:tcPr>
            <w:tcW w:w="6669" w:type="dxa"/>
            <w:noWrap w:val="0"/>
            <w:vAlign w:val="center"/>
          </w:tcPr>
          <w:p>
            <w:pPr>
              <w:spacing w:line="276" w:lineRule="auto"/>
              <w:rPr>
                <w:rFonts w:ascii="宋体" w:hAnsi="宋体"/>
                <w:color w:val="FF0000"/>
                <w:sz w:val="24"/>
                <w:szCs w:val="24"/>
              </w:rPr>
            </w:pPr>
            <w:r>
              <w:rPr>
                <w:rFonts w:hint="eastAsia" w:ascii="宋体" w:hAnsi="宋体"/>
                <w:color w:val="FF0000"/>
                <w:sz w:val="24"/>
                <w:szCs w:val="24"/>
              </w:rPr>
              <w:t>设备需具备中国国家信息安全认证产品型号证书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1701" w:type="dxa"/>
            <w:vMerge w:val="continue"/>
            <w:noWrap w:val="0"/>
            <w:vAlign w:val="center"/>
          </w:tcPr>
          <w:p>
            <w:pPr>
              <w:widowControl/>
              <w:spacing w:line="276" w:lineRule="auto"/>
              <w:ind w:firstLine="442"/>
              <w:jc w:val="center"/>
              <w:rPr>
                <w:rFonts w:ascii="宋体" w:hAnsi="宋体"/>
                <w:color w:val="000000"/>
                <w:sz w:val="24"/>
                <w:szCs w:val="24"/>
              </w:rPr>
            </w:pPr>
          </w:p>
        </w:tc>
        <w:tc>
          <w:tcPr>
            <w:tcW w:w="6669" w:type="dxa"/>
            <w:noWrap w:val="0"/>
            <w:vAlign w:val="center"/>
          </w:tcPr>
          <w:p>
            <w:pPr>
              <w:spacing w:line="276" w:lineRule="auto"/>
              <w:rPr>
                <w:rFonts w:ascii="宋体" w:hAnsi="宋体"/>
                <w:color w:val="FF0000"/>
                <w:sz w:val="24"/>
                <w:szCs w:val="24"/>
              </w:rPr>
            </w:pPr>
            <w:r>
              <w:rPr>
                <w:rFonts w:hint="eastAsia" w:ascii="宋体" w:hAnsi="宋体"/>
                <w:color w:val="FF0000"/>
                <w:sz w:val="24"/>
                <w:szCs w:val="24"/>
              </w:rPr>
              <w:t>设备需具备国家信息安全测评信息技术产品安全测评证书（EAL4+级）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701" w:type="dxa"/>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服务</w:t>
            </w:r>
          </w:p>
        </w:tc>
        <w:tc>
          <w:tcPr>
            <w:tcW w:w="6669" w:type="dxa"/>
            <w:noWrap w:val="0"/>
            <w:vAlign w:val="center"/>
          </w:tcPr>
          <w:p>
            <w:pPr>
              <w:spacing w:line="276" w:lineRule="auto"/>
              <w:rPr>
                <w:rFonts w:ascii="宋体" w:hAnsi="宋体" w:cs="宋体"/>
                <w:kern w:val="0"/>
                <w:sz w:val="24"/>
                <w:szCs w:val="24"/>
              </w:rPr>
            </w:pPr>
            <w:r>
              <w:rPr>
                <w:rFonts w:hint="eastAsia" w:ascii="等线" w:hAnsi="等线" w:cs="宋体"/>
                <w:sz w:val="24"/>
              </w:rPr>
              <w:t>原厂五年质保，中标后签订合同前提供原厂商质保承诺函。</w:t>
            </w:r>
          </w:p>
        </w:tc>
      </w:tr>
    </w:tbl>
    <w:p>
      <w:pPr>
        <w:pStyle w:val="31"/>
        <w:ind w:firstLine="0" w:firstLineChars="0"/>
        <w:outlineLvl w:val="1"/>
        <w:rPr>
          <w:rFonts w:hint="eastAsia" w:ascii="宋体" w:hAnsi="宋体"/>
          <w:b/>
          <w:color w:val="000000"/>
          <w:sz w:val="24"/>
          <w:szCs w:val="24"/>
        </w:rPr>
      </w:pPr>
    </w:p>
    <w:p>
      <w:pPr>
        <w:pStyle w:val="31"/>
        <w:ind w:firstLine="0" w:firstLineChars="0"/>
        <w:outlineLvl w:val="1"/>
        <w:rPr>
          <w:rFonts w:hint="eastAsia"/>
          <w:sz w:val="24"/>
          <w:szCs w:val="24"/>
        </w:rPr>
      </w:pPr>
      <w:r>
        <w:rPr>
          <w:rFonts w:hint="eastAsia" w:ascii="宋体" w:hAnsi="宋体"/>
          <w:b/>
          <w:color w:val="000000"/>
          <w:sz w:val="24"/>
          <w:szCs w:val="24"/>
        </w:rPr>
        <w:t>6、后端边界防火墙（含防病毒、DPI）</w:t>
      </w:r>
    </w:p>
    <w:tbl>
      <w:tblPr>
        <w:tblStyle w:val="23"/>
        <w:tblW w:w="8413" w:type="dxa"/>
        <w:tblInd w:w="108" w:type="dxa"/>
        <w:tblLayout w:type="fixed"/>
        <w:tblCellMar>
          <w:top w:w="0" w:type="dxa"/>
          <w:left w:w="108" w:type="dxa"/>
          <w:bottom w:w="0" w:type="dxa"/>
          <w:right w:w="108" w:type="dxa"/>
        </w:tblCellMar>
      </w:tblPr>
      <w:tblGrid>
        <w:gridCol w:w="1275"/>
        <w:gridCol w:w="7138"/>
      </w:tblGrid>
      <w:tr>
        <w:tblPrEx>
          <w:tblLayout w:type="fixed"/>
          <w:tblCellMar>
            <w:top w:w="0" w:type="dxa"/>
            <w:left w:w="108" w:type="dxa"/>
            <w:bottom w:w="0" w:type="dxa"/>
            <w:right w:w="108" w:type="dxa"/>
          </w:tblCellMar>
        </w:tblPrEx>
        <w:trPr>
          <w:trHeight w:val="558" w:hRule="atLeast"/>
        </w:trPr>
        <w:tc>
          <w:tcPr>
            <w:tcW w:w="1275" w:type="dxa"/>
            <w:tcBorders>
              <w:top w:val="single" w:color="auto" w:sz="4" w:space="0"/>
              <w:left w:val="single" w:color="auto" w:sz="4" w:space="0"/>
              <w:bottom w:val="single" w:color="auto" w:sz="4" w:space="0"/>
              <w:right w:val="single" w:color="auto" w:sz="4" w:space="0"/>
            </w:tcBorders>
            <w:noWrap w:val="0"/>
            <w:vAlign w:val="center"/>
          </w:tcPr>
          <w:p>
            <w:pPr>
              <w:pStyle w:val="2"/>
              <w:ind w:firstLine="0"/>
              <w:rPr>
                <w:b/>
                <w:bCs/>
                <w:sz w:val="24"/>
                <w:szCs w:val="24"/>
              </w:rPr>
            </w:pPr>
            <w:r>
              <w:rPr>
                <w:rFonts w:hint="eastAsia"/>
                <w:b/>
                <w:bCs/>
                <w:sz w:val="24"/>
                <w:szCs w:val="24"/>
              </w:rPr>
              <w:t>指标项</w:t>
            </w:r>
          </w:p>
        </w:tc>
        <w:tc>
          <w:tcPr>
            <w:tcW w:w="7138" w:type="dxa"/>
            <w:tcBorders>
              <w:top w:val="single" w:color="auto" w:sz="4" w:space="0"/>
              <w:left w:val="nil"/>
              <w:bottom w:val="single" w:color="auto" w:sz="4" w:space="0"/>
              <w:right w:val="single" w:color="auto" w:sz="4" w:space="0"/>
            </w:tcBorders>
            <w:noWrap w:val="0"/>
            <w:vAlign w:val="center"/>
          </w:tcPr>
          <w:p>
            <w:pPr>
              <w:pStyle w:val="2"/>
              <w:rPr>
                <w:rFonts w:hint="eastAsia"/>
                <w:b/>
                <w:bCs/>
                <w:sz w:val="24"/>
                <w:szCs w:val="24"/>
              </w:rPr>
            </w:pPr>
            <w:r>
              <w:rPr>
                <w:rFonts w:hint="eastAsia"/>
                <w:b/>
                <w:bCs/>
                <w:sz w:val="24"/>
                <w:szCs w:val="24"/>
              </w:rPr>
              <w:t xml:space="preserve">  要求</w:t>
            </w:r>
          </w:p>
        </w:tc>
      </w:tr>
      <w:tr>
        <w:tblPrEx>
          <w:tblLayout w:type="fixed"/>
          <w:tblCellMar>
            <w:top w:w="0" w:type="dxa"/>
            <w:left w:w="108" w:type="dxa"/>
            <w:bottom w:w="0" w:type="dxa"/>
            <w:right w:w="108" w:type="dxa"/>
          </w:tblCellMar>
        </w:tblPrEx>
        <w:trPr>
          <w:trHeight w:val="558" w:hRule="atLeast"/>
        </w:trPr>
        <w:tc>
          <w:tcPr>
            <w:tcW w:w="1275" w:type="dxa"/>
            <w:tcBorders>
              <w:top w:val="single" w:color="auto" w:sz="4" w:space="0"/>
              <w:left w:val="single" w:color="auto" w:sz="4" w:space="0"/>
              <w:bottom w:val="single" w:color="auto" w:sz="4" w:space="0"/>
              <w:right w:val="single" w:color="auto" w:sz="4" w:space="0"/>
            </w:tcBorders>
            <w:noWrap w:val="0"/>
            <w:vAlign w:val="center"/>
          </w:tcPr>
          <w:p>
            <w:pPr>
              <w:pStyle w:val="2"/>
              <w:ind w:firstLine="0"/>
              <w:rPr>
                <w:rFonts w:ascii="仿宋" w:hAnsi="仿宋" w:eastAsia="仿宋" w:cs="宋体"/>
                <w:b/>
                <w:bCs/>
                <w:sz w:val="24"/>
                <w:szCs w:val="24"/>
              </w:rPr>
            </w:pPr>
            <w:r>
              <w:rPr>
                <w:rFonts w:hint="eastAsia"/>
                <w:sz w:val="24"/>
                <w:szCs w:val="24"/>
              </w:rPr>
              <w:t>品牌要求</w:t>
            </w:r>
          </w:p>
        </w:tc>
        <w:tc>
          <w:tcPr>
            <w:tcW w:w="7138" w:type="dxa"/>
            <w:tcBorders>
              <w:top w:val="single" w:color="auto" w:sz="4" w:space="0"/>
              <w:left w:val="nil"/>
              <w:bottom w:val="single" w:color="auto" w:sz="4" w:space="0"/>
              <w:right w:val="single" w:color="auto" w:sz="4" w:space="0"/>
            </w:tcBorders>
            <w:noWrap w:val="0"/>
            <w:vAlign w:val="center"/>
          </w:tcPr>
          <w:p>
            <w:pPr>
              <w:jc w:val="left"/>
              <w:rPr>
                <w:rFonts w:hint="eastAsia" w:ascii="宋体" w:hAnsi="宋体" w:cs="宋体"/>
                <w:b/>
                <w:sz w:val="24"/>
                <w:szCs w:val="24"/>
              </w:rPr>
            </w:pPr>
            <w:r>
              <w:rPr>
                <w:rFonts w:hint="eastAsia" w:ascii="宋体" w:hAnsi="宋体" w:cs="宋体"/>
                <w:sz w:val="24"/>
                <w:szCs w:val="24"/>
              </w:rPr>
              <w:t>▲与前端边界防火墙设备为不同</w:t>
            </w:r>
            <w:r>
              <w:rPr>
                <w:rFonts w:hint="eastAsia" w:ascii="宋体" w:hAnsi="宋体" w:cs="宋体"/>
                <w:color w:val="auto"/>
                <w:sz w:val="24"/>
                <w:szCs w:val="24"/>
                <w:lang w:val="en-US" w:eastAsia="zh-CN"/>
              </w:rPr>
              <w:t>架构</w:t>
            </w:r>
            <w:r>
              <w:rPr>
                <w:rFonts w:hint="eastAsia" w:ascii="宋体" w:hAnsi="宋体" w:cs="宋体"/>
                <w:sz w:val="24"/>
                <w:szCs w:val="24"/>
              </w:rPr>
              <w:t>和品牌</w:t>
            </w:r>
          </w:p>
        </w:tc>
      </w:tr>
      <w:tr>
        <w:tblPrEx>
          <w:tblLayout w:type="fixed"/>
          <w:tblCellMar>
            <w:top w:w="0" w:type="dxa"/>
            <w:left w:w="108" w:type="dxa"/>
            <w:bottom w:w="0" w:type="dxa"/>
            <w:right w:w="108" w:type="dxa"/>
          </w:tblCellMar>
        </w:tblPrEx>
        <w:trPr>
          <w:trHeight w:val="699" w:hRule="atLeast"/>
        </w:trPr>
        <w:tc>
          <w:tcPr>
            <w:tcW w:w="1275" w:type="dxa"/>
            <w:tcBorders>
              <w:top w:val="nil"/>
              <w:left w:val="single" w:color="auto" w:sz="4" w:space="0"/>
              <w:bottom w:val="single" w:color="auto" w:sz="4" w:space="0"/>
              <w:right w:val="single" w:color="auto" w:sz="4" w:space="0"/>
            </w:tcBorders>
            <w:noWrap w:val="0"/>
            <w:vAlign w:val="center"/>
          </w:tcPr>
          <w:p>
            <w:pPr>
              <w:pStyle w:val="2"/>
              <w:ind w:firstLine="0"/>
              <w:rPr>
                <w:rFonts w:hint="eastAsia"/>
                <w:sz w:val="24"/>
                <w:szCs w:val="24"/>
              </w:rPr>
            </w:pPr>
            <w:r>
              <w:rPr>
                <w:rFonts w:hint="eastAsia"/>
                <w:sz w:val="24"/>
                <w:szCs w:val="24"/>
              </w:rPr>
              <w:t>配置要求</w:t>
            </w:r>
          </w:p>
        </w:tc>
        <w:tc>
          <w:tcPr>
            <w:tcW w:w="7138" w:type="dxa"/>
            <w:tcBorders>
              <w:top w:val="nil"/>
              <w:left w:val="nil"/>
              <w:bottom w:val="single" w:color="auto" w:sz="4" w:space="0"/>
              <w:right w:val="single" w:color="auto" w:sz="4" w:space="0"/>
            </w:tcBorders>
            <w:noWrap w:val="0"/>
            <w:vAlign w:val="center"/>
          </w:tcPr>
          <w:p>
            <w:pPr>
              <w:rPr>
                <w:rFonts w:hint="eastAsia"/>
                <w:color w:val="FF0000"/>
                <w:sz w:val="24"/>
                <w:szCs w:val="24"/>
              </w:rPr>
            </w:pPr>
            <w:r>
              <w:rPr>
                <w:rFonts w:hint="eastAsia"/>
                <w:color w:val="FF0000"/>
                <w:sz w:val="24"/>
                <w:szCs w:val="24"/>
              </w:rPr>
              <w:t xml:space="preserve">★配置双主控，双电源；配置应用层协议识别及流量控制功能，5年应用协议特征库升级；配置负载均衡功能，配置IPS、防病毒、URL过滤功能，及5年IPS特征库、网络病毒特征库、URL特征库升级； </w:t>
            </w:r>
          </w:p>
        </w:tc>
      </w:tr>
      <w:tr>
        <w:tblPrEx>
          <w:tblLayout w:type="fixed"/>
          <w:tblCellMar>
            <w:top w:w="0" w:type="dxa"/>
            <w:left w:w="108" w:type="dxa"/>
            <w:bottom w:w="0" w:type="dxa"/>
            <w:right w:w="108" w:type="dxa"/>
          </w:tblCellMar>
        </w:tblPrEx>
        <w:trPr>
          <w:trHeight w:val="432" w:hRule="atLeast"/>
        </w:trPr>
        <w:tc>
          <w:tcPr>
            <w:tcW w:w="1275" w:type="dxa"/>
            <w:vMerge w:val="restart"/>
            <w:tcBorders>
              <w:top w:val="nil"/>
              <w:left w:val="single" w:color="auto" w:sz="4" w:space="0"/>
              <w:bottom w:val="single" w:color="auto" w:sz="4" w:space="0"/>
              <w:right w:val="single" w:color="auto" w:sz="4" w:space="0"/>
            </w:tcBorders>
            <w:noWrap w:val="0"/>
            <w:vAlign w:val="center"/>
          </w:tcPr>
          <w:p>
            <w:pPr>
              <w:pStyle w:val="2"/>
              <w:ind w:firstLine="0"/>
              <w:rPr>
                <w:rFonts w:hint="eastAsia"/>
                <w:sz w:val="24"/>
                <w:szCs w:val="24"/>
              </w:rPr>
            </w:pPr>
            <w:r>
              <w:rPr>
                <w:rFonts w:hint="eastAsia"/>
                <w:sz w:val="24"/>
                <w:szCs w:val="24"/>
              </w:rPr>
              <w:t>硬件架构</w:t>
            </w:r>
          </w:p>
        </w:tc>
        <w:tc>
          <w:tcPr>
            <w:tcW w:w="7138" w:type="dxa"/>
            <w:tcBorders>
              <w:top w:val="nil"/>
              <w:left w:val="nil"/>
              <w:bottom w:val="single" w:color="auto" w:sz="4" w:space="0"/>
              <w:right w:val="single" w:color="auto" w:sz="4" w:space="0"/>
            </w:tcBorders>
            <w:noWrap w:val="0"/>
            <w:vAlign w:val="center"/>
          </w:tcPr>
          <w:p>
            <w:pPr>
              <w:pStyle w:val="2"/>
              <w:ind w:firstLine="0"/>
              <w:rPr>
                <w:rFonts w:hint="eastAsia"/>
                <w:sz w:val="24"/>
                <w:szCs w:val="24"/>
              </w:rPr>
            </w:pPr>
            <w:r>
              <w:rPr>
                <w:rFonts w:hint="eastAsia"/>
                <w:sz w:val="24"/>
                <w:szCs w:val="24"/>
              </w:rPr>
              <w:t>采用多核路由器架构，双主控，双电源；除两个主控板外，整机扩展插槽≥6</w:t>
            </w:r>
          </w:p>
        </w:tc>
      </w:tr>
      <w:tr>
        <w:tblPrEx>
          <w:tblLayout w:type="fixed"/>
          <w:tblCellMar>
            <w:top w:w="0" w:type="dxa"/>
            <w:left w:w="108" w:type="dxa"/>
            <w:bottom w:w="0" w:type="dxa"/>
            <w:right w:w="108" w:type="dxa"/>
          </w:tblCellMar>
        </w:tblPrEx>
        <w:trPr>
          <w:trHeight w:val="276" w:hRule="atLeast"/>
        </w:trPr>
        <w:tc>
          <w:tcPr>
            <w:tcW w:w="1275" w:type="dxa"/>
            <w:vMerge w:val="continue"/>
            <w:tcBorders>
              <w:top w:val="nil"/>
              <w:left w:val="single" w:color="auto" w:sz="4" w:space="0"/>
              <w:bottom w:val="single" w:color="auto" w:sz="4" w:space="0"/>
              <w:right w:val="single" w:color="auto" w:sz="4" w:space="0"/>
            </w:tcBorders>
            <w:noWrap w:val="0"/>
            <w:vAlign w:val="center"/>
          </w:tcPr>
          <w:p>
            <w:pPr>
              <w:pStyle w:val="2"/>
              <w:rPr>
                <w:sz w:val="24"/>
                <w:szCs w:val="24"/>
              </w:rPr>
            </w:pPr>
          </w:p>
        </w:tc>
        <w:tc>
          <w:tcPr>
            <w:tcW w:w="7138" w:type="dxa"/>
            <w:tcBorders>
              <w:top w:val="nil"/>
              <w:left w:val="nil"/>
              <w:bottom w:val="single" w:color="auto" w:sz="4" w:space="0"/>
              <w:right w:val="single" w:color="auto" w:sz="4" w:space="0"/>
            </w:tcBorders>
            <w:noWrap w:val="0"/>
            <w:vAlign w:val="center"/>
          </w:tcPr>
          <w:p>
            <w:pPr>
              <w:pStyle w:val="2"/>
              <w:ind w:firstLine="0"/>
              <w:rPr>
                <w:rFonts w:hint="eastAsia"/>
                <w:sz w:val="24"/>
                <w:szCs w:val="24"/>
              </w:rPr>
            </w:pPr>
            <w:r>
              <w:rPr>
                <w:rFonts w:hint="eastAsia"/>
                <w:sz w:val="24"/>
                <w:szCs w:val="24"/>
              </w:rPr>
              <w:t>接口板和业务板分离，电源、主控板、接口板、业务板支持热插拔</w:t>
            </w:r>
          </w:p>
        </w:tc>
      </w:tr>
      <w:tr>
        <w:tblPrEx>
          <w:tblLayout w:type="fixed"/>
          <w:tblCellMar>
            <w:top w:w="0" w:type="dxa"/>
            <w:left w:w="108" w:type="dxa"/>
            <w:bottom w:w="0" w:type="dxa"/>
            <w:right w:w="108" w:type="dxa"/>
          </w:tblCellMar>
        </w:tblPrEx>
        <w:trPr>
          <w:trHeight w:val="432" w:hRule="atLeast"/>
        </w:trPr>
        <w:tc>
          <w:tcPr>
            <w:tcW w:w="1275" w:type="dxa"/>
            <w:vMerge w:val="restart"/>
            <w:tcBorders>
              <w:top w:val="nil"/>
              <w:left w:val="single" w:color="auto" w:sz="4" w:space="0"/>
              <w:bottom w:val="single" w:color="auto" w:sz="4" w:space="0"/>
              <w:right w:val="single" w:color="auto" w:sz="4" w:space="0"/>
            </w:tcBorders>
            <w:noWrap w:val="0"/>
            <w:vAlign w:val="center"/>
          </w:tcPr>
          <w:p>
            <w:pPr>
              <w:pStyle w:val="2"/>
              <w:ind w:firstLine="0"/>
              <w:rPr>
                <w:rFonts w:hint="eastAsia"/>
                <w:sz w:val="24"/>
                <w:szCs w:val="24"/>
              </w:rPr>
            </w:pPr>
            <w:r>
              <w:rPr>
                <w:rFonts w:hint="eastAsia"/>
                <w:sz w:val="24"/>
                <w:szCs w:val="24"/>
              </w:rPr>
              <w:t>接口要求</w:t>
            </w:r>
          </w:p>
        </w:tc>
        <w:tc>
          <w:tcPr>
            <w:tcW w:w="7138" w:type="dxa"/>
            <w:tcBorders>
              <w:top w:val="nil"/>
              <w:left w:val="nil"/>
              <w:bottom w:val="single" w:color="auto" w:sz="4" w:space="0"/>
              <w:right w:val="single" w:color="auto" w:sz="4" w:space="0"/>
            </w:tcBorders>
            <w:noWrap w:val="0"/>
            <w:vAlign w:val="center"/>
          </w:tcPr>
          <w:p>
            <w:pPr>
              <w:pStyle w:val="2"/>
              <w:ind w:firstLine="0"/>
              <w:rPr>
                <w:rFonts w:hint="eastAsia"/>
                <w:color w:val="FF0000"/>
                <w:sz w:val="24"/>
                <w:szCs w:val="24"/>
              </w:rPr>
            </w:pPr>
            <w:r>
              <w:rPr>
                <w:rFonts w:hint="eastAsia"/>
                <w:color w:val="auto"/>
                <w:sz w:val="24"/>
                <w:szCs w:val="24"/>
              </w:rPr>
              <w:t>★</w:t>
            </w:r>
            <w:r>
              <w:rPr>
                <w:rFonts w:hint="eastAsia"/>
                <w:color w:val="auto"/>
                <w:sz w:val="24"/>
              </w:rPr>
              <w:t>单台配置≥40个光口（万兆光口不少于24个），≥</w:t>
            </w:r>
            <w:r>
              <w:rPr>
                <w:rFonts w:hint="eastAsia"/>
                <w:color w:val="FF0000"/>
                <w:sz w:val="24"/>
                <w:lang w:val="en-US" w:eastAsia="zh-CN"/>
              </w:rPr>
              <w:t>4</w:t>
            </w:r>
            <w:r>
              <w:rPr>
                <w:rFonts w:hint="eastAsia"/>
                <w:color w:val="auto"/>
                <w:sz w:val="24"/>
              </w:rPr>
              <w:t>个40G口，≥2个2500W电源，实配≥</w:t>
            </w:r>
            <w:r>
              <w:rPr>
                <w:rFonts w:hint="eastAsia"/>
                <w:color w:val="FF0000"/>
                <w:sz w:val="24"/>
                <w:lang w:val="en-US" w:eastAsia="zh-CN"/>
              </w:rPr>
              <w:t>4</w:t>
            </w:r>
            <w:r>
              <w:rPr>
                <w:rFonts w:hint="eastAsia"/>
                <w:color w:val="auto"/>
                <w:sz w:val="24"/>
              </w:rPr>
              <w:t>个40G多模模块</w:t>
            </w:r>
            <w:r>
              <w:rPr>
                <w:rStyle w:val="27"/>
                <w:rFonts w:hint="eastAsia"/>
                <w:color w:val="auto"/>
              </w:rPr>
              <w:t>。</w:t>
            </w:r>
          </w:p>
        </w:tc>
      </w:tr>
      <w:tr>
        <w:tblPrEx>
          <w:tblLayout w:type="fixed"/>
          <w:tblCellMar>
            <w:top w:w="0" w:type="dxa"/>
            <w:left w:w="108" w:type="dxa"/>
            <w:bottom w:w="0" w:type="dxa"/>
            <w:right w:w="108" w:type="dxa"/>
          </w:tblCellMar>
        </w:tblPrEx>
        <w:trPr>
          <w:trHeight w:val="432" w:hRule="atLeast"/>
        </w:trPr>
        <w:tc>
          <w:tcPr>
            <w:tcW w:w="1275" w:type="dxa"/>
            <w:vMerge w:val="continue"/>
            <w:tcBorders>
              <w:top w:val="nil"/>
              <w:left w:val="single" w:color="auto" w:sz="4" w:space="0"/>
              <w:bottom w:val="single" w:color="auto" w:sz="4" w:space="0"/>
              <w:right w:val="single" w:color="auto" w:sz="4" w:space="0"/>
            </w:tcBorders>
            <w:noWrap w:val="0"/>
            <w:vAlign w:val="center"/>
          </w:tcPr>
          <w:p>
            <w:pPr>
              <w:pStyle w:val="2"/>
              <w:rPr>
                <w:sz w:val="24"/>
                <w:szCs w:val="24"/>
              </w:rPr>
            </w:pPr>
          </w:p>
        </w:tc>
        <w:tc>
          <w:tcPr>
            <w:tcW w:w="7138" w:type="dxa"/>
            <w:tcBorders>
              <w:top w:val="nil"/>
              <w:left w:val="nil"/>
              <w:bottom w:val="single" w:color="auto" w:sz="4" w:space="0"/>
              <w:right w:val="single" w:color="auto" w:sz="4" w:space="0"/>
            </w:tcBorders>
            <w:noWrap w:val="0"/>
            <w:vAlign w:val="center"/>
          </w:tcPr>
          <w:p>
            <w:pPr>
              <w:pStyle w:val="2"/>
              <w:ind w:firstLine="0"/>
              <w:rPr>
                <w:rFonts w:hint="eastAsia"/>
                <w:sz w:val="24"/>
                <w:szCs w:val="24"/>
              </w:rPr>
            </w:pPr>
            <w:r>
              <w:rPr>
                <w:rFonts w:hint="eastAsia"/>
                <w:sz w:val="24"/>
                <w:szCs w:val="24"/>
              </w:rPr>
              <w:t>支持40GE，100GE接口，便于平滑扩展需要（提供产品厂商官网上相关规格描述截图与网址链接）</w:t>
            </w:r>
          </w:p>
        </w:tc>
      </w:tr>
      <w:tr>
        <w:tblPrEx>
          <w:tblLayout w:type="fixed"/>
          <w:tblCellMar>
            <w:top w:w="0" w:type="dxa"/>
            <w:left w:w="108" w:type="dxa"/>
            <w:bottom w:w="0" w:type="dxa"/>
            <w:right w:w="108" w:type="dxa"/>
          </w:tblCellMar>
        </w:tblPrEx>
        <w:trPr>
          <w:trHeight w:val="276" w:hRule="atLeast"/>
        </w:trPr>
        <w:tc>
          <w:tcPr>
            <w:tcW w:w="1275" w:type="dxa"/>
            <w:vMerge w:val="restart"/>
            <w:tcBorders>
              <w:top w:val="nil"/>
              <w:left w:val="single" w:color="auto" w:sz="4" w:space="0"/>
              <w:bottom w:val="single" w:color="auto" w:sz="4" w:space="0"/>
              <w:right w:val="single" w:color="auto" w:sz="4" w:space="0"/>
            </w:tcBorders>
            <w:noWrap w:val="0"/>
            <w:vAlign w:val="center"/>
          </w:tcPr>
          <w:p>
            <w:pPr>
              <w:pStyle w:val="2"/>
              <w:ind w:firstLine="0"/>
              <w:rPr>
                <w:rFonts w:hint="eastAsia"/>
                <w:sz w:val="24"/>
                <w:szCs w:val="24"/>
              </w:rPr>
            </w:pPr>
            <w:r>
              <w:rPr>
                <w:rFonts w:hint="eastAsia"/>
                <w:sz w:val="24"/>
                <w:szCs w:val="24"/>
              </w:rPr>
              <w:t>性能要求</w:t>
            </w:r>
          </w:p>
        </w:tc>
        <w:tc>
          <w:tcPr>
            <w:tcW w:w="7138" w:type="dxa"/>
            <w:tcBorders>
              <w:top w:val="nil"/>
              <w:left w:val="nil"/>
              <w:bottom w:val="single" w:color="auto" w:sz="4" w:space="0"/>
              <w:right w:val="single" w:color="auto" w:sz="4" w:space="0"/>
            </w:tcBorders>
            <w:noWrap w:val="0"/>
            <w:vAlign w:val="center"/>
          </w:tcPr>
          <w:p>
            <w:pPr>
              <w:pStyle w:val="2"/>
              <w:ind w:firstLine="0"/>
              <w:rPr>
                <w:rFonts w:hint="eastAsia"/>
                <w:color w:val="FF0000"/>
                <w:sz w:val="24"/>
                <w:szCs w:val="24"/>
              </w:rPr>
            </w:pPr>
            <w:r>
              <w:rPr>
                <w:rFonts w:hint="eastAsia"/>
                <w:color w:val="FF0000"/>
                <w:sz w:val="24"/>
                <w:szCs w:val="24"/>
              </w:rPr>
              <w:t>★IPSec VPN隧道≥95K；吞吐量≥100Gbps，最大并发连接≥3900万，整机可平滑扩展到≥600Gbps。</w:t>
            </w:r>
          </w:p>
        </w:tc>
      </w:tr>
      <w:tr>
        <w:tblPrEx>
          <w:tblLayout w:type="fixed"/>
          <w:tblCellMar>
            <w:top w:w="0" w:type="dxa"/>
            <w:left w:w="108" w:type="dxa"/>
            <w:bottom w:w="0" w:type="dxa"/>
            <w:right w:w="108" w:type="dxa"/>
          </w:tblCellMar>
        </w:tblPrEx>
        <w:trPr>
          <w:trHeight w:val="432" w:hRule="atLeast"/>
        </w:trPr>
        <w:tc>
          <w:tcPr>
            <w:tcW w:w="1275" w:type="dxa"/>
            <w:vMerge w:val="continue"/>
            <w:tcBorders>
              <w:top w:val="nil"/>
              <w:left w:val="single" w:color="auto" w:sz="4" w:space="0"/>
              <w:bottom w:val="single" w:color="auto" w:sz="4" w:space="0"/>
              <w:right w:val="single" w:color="auto" w:sz="4" w:space="0"/>
            </w:tcBorders>
            <w:noWrap w:val="0"/>
            <w:vAlign w:val="center"/>
          </w:tcPr>
          <w:p>
            <w:pPr>
              <w:pStyle w:val="2"/>
              <w:rPr>
                <w:sz w:val="24"/>
                <w:szCs w:val="24"/>
              </w:rPr>
            </w:pPr>
          </w:p>
        </w:tc>
        <w:tc>
          <w:tcPr>
            <w:tcW w:w="7138" w:type="dxa"/>
            <w:tcBorders>
              <w:top w:val="nil"/>
              <w:left w:val="nil"/>
              <w:bottom w:val="single" w:color="auto" w:sz="4" w:space="0"/>
              <w:right w:val="single" w:color="auto" w:sz="4" w:space="0"/>
            </w:tcBorders>
            <w:noWrap w:val="0"/>
            <w:vAlign w:val="center"/>
          </w:tcPr>
          <w:p>
            <w:pPr>
              <w:pStyle w:val="2"/>
              <w:ind w:firstLine="0"/>
              <w:rPr>
                <w:rFonts w:hint="eastAsia"/>
                <w:sz w:val="24"/>
                <w:szCs w:val="24"/>
              </w:rPr>
            </w:pPr>
            <w:r>
              <w:rPr>
                <w:rFonts w:hint="eastAsia"/>
                <w:sz w:val="24"/>
                <w:szCs w:val="24"/>
              </w:rPr>
              <w:t>开启IPS，防病毒策略后吞吐量≥40Gbps</w:t>
            </w:r>
          </w:p>
        </w:tc>
      </w:tr>
      <w:tr>
        <w:tblPrEx>
          <w:tblLayout w:type="fixed"/>
          <w:tblCellMar>
            <w:top w:w="0" w:type="dxa"/>
            <w:left w:w="108" w:type="dxa"/>
            <w:bottom w:w="0" w:type="dxa"/>
            <w:right w:w="108" w:type="dxa"/>
          </w:tblCellMar>
        </w:tblPrEx>
        <w:trPr>
          <w:trHeight w:val="276" w:hRule="atLeast"/>
        </w:trPr>
        <w:tc>
          <w:tcPr>
            <w:tcW w:w="1275" w:type="dxa"/>
            <w:tcBorders>
              <w:top w:val="nil"/>
              <w:left w:val="single" w:color="auto" w:sz="4" w:space="0"/>
              <w:bottom w:val="single" w:color="auto" w:sz="4" w:space="0"/>
              <w:right w:val="single" w:color="auto" w:sz="4" w:space="0"/>
            </w:tcBorders>
            <w:noWrap w:val="0"/>
            <w:vAlign w:val="center"/>
          </w:tcPr>
          <w:p>
            <w:pPr>
              <w:pStyle w:val="2"/>
              <w:ind w:firstLine="0"/>
              <w:rPr>
                <w:rFonts w:hint="eastAsia"/>
                <w:sz w:val="24"/>
                <w:szCs w:val="24"/>
              </w:rPr>
            </w:pPr>
            <w:r>
              <w:rPr>
                <w:rFonts w:hint="eastAsia"/>
                <w:sz w:val="24"/>
                <w:szCs w:val="24"/>
              </w:rPr>
              <w:t>路由功能</w:t>
            </w:r>
          </w:p>
        </w:tc>
        <w:tc>
          <w:tcPr>
            <w:tcW w:w="7138" w:type="dxa"/>
            <w:tcBorders>
              <w:top w:val="nil"/>
              <w:left w:val="nil"/>
              <w:bottom w:val="single" w:color="auto" w:sz="4" w:space="0"/>
              <w:right w:val="single" w:color="auto" w:sz="4" w:space="0"/>
            </w:tcBorders>
            <w:noWrap w:val="0"/>
            <w:vAlign w:val="center"/>
          </w:tcPr>
          <w:p>
            <w:pPr>
              <w:pStyle w:val="2"/>
              <w:ind w:firstLine="0"/>
              <w:rPr>
                <w:rFonts w:hint="eastAsia"/>
                <w:sz w:val="24"/>
                <w:szCs w:val="24"/>
              </w:rPr>
            </w:pPr>
            <w:r>
              <w:rPr>
                <w:rFonts w:hint="eastAsia"/>
                <w:sz w:val="24"/>
                <w:szCs w:val="24"/>
              </w:rPr>
              <w:t>支持静态路由、策略路由、RIP、OSPF、BGP、ISIS等路由协议</w:t>
            </w:r>
          </w:p>
        </w:tc>
      </w:tr>
      <w:tr>
        <w:tblPrEx>
          <w:tblLayout w:type="fixed"/>
          <w:tblCellMar>
            <w:top w:w="0" w:type="dxa"/>
            <w:left w:w="108" w:type="dxa"/>
            <w:bottom w:w="0" w:type="dxa"/>
            <w:right w:w="108" w:type="dxa"/>
          </w:tblCellMar>
        </w:tblPrEx>
        <w:trPr>
          <w:trHeight w:val="432" w:hRule="atLeast"/>
        </w:trPr>
        <w:tc>
          <w:tcPr>
            <w:tcW w:w="1275" w:type="dxa"/>
            <w:tcBorders>
              <w:top w:val="nil"/>
              <w:left w:val="single" w:color="auto" w:sz="4" w:space="0"/>
              <w:bottom w:val="single" w:color="auto" w:sz="4" w:space="0"/>
              <w:right w:val="single" w:color="auto" w:sz="4" w:space="0"/>
            </w:tcBorders>
            <w:noWrap w:val="0"/>
            <w:vAlign w:val="center"/>
          </w:tcPr>
          <w:p>
            <w:pPr>
              <w:pStyle w:val="2"/>
              <w:ind w:firstLine="0"/>
              <w:rPr>
                <w:rFonts w:hint="eastAsia"/>
                <w:sz w:val="24"/>
                <w:szCs w:val="24"/>
              </w:rPr>
            </w:pPr>
            <w:r>
              <w:rPr>
                <w:rFonts w:hint="eastAsia"/>
                <w:sz w:val="24"/>
                <w:szCs w:val="24"/>
              </w:rPr>
              <w:t>IPV6</w:t>
            </w:r>
          </w:p>
        </w:tc>
        <w:tc>
          <w:tcPr>
            <w:tcW w:w="7138" w:type="dxa"/>
            <w:tcBorders>
              <w:top w:val="nil"/>
              <w:left w:val="nil"/>
              <w:bottom w:val="single" w:color="auto" w:sz="4" w:space="0"/>
              <w:right w:val="single" w:color="auto" w:sz="4" w:space="0"/>
            </w:tcBorders>
            <w:noWrap w:val="0"/>
            <w:vAlign w:val="center"/>
          </w:tcPr>
          <w:p>
            <w:pPr>
              <w:pStyle w:val="2"/>
              <w:ind w:firstLine="0"/>
              <w:rPr>
                <w:rFonts w:hint="eastAsia"/>
                <w:sz w:val="24"/>
                <w:szCs w:val="24"/>
              </w:rPr>
            </w:pPr>
            <w:r>
              <w:rPr>
                <w:rFonts w:hint="eastAsia"/>
                <w:sz w:val="24"/>
                <w:szCs w:val="24"/>
              </w:rPr>
              <w:t>支持IPv6协议栈、IPV6穿越技术、IPV6路由协议（提供“IPV6 Ready Phase-2”认证证书复印件）</w:t>
            </w:r>
          </w:p>
        </w:tc>
      </w:tr>
      <w:tr>
        <w:tblPrEx>
          <w:tblLayout w:type="fixed"/>
          <w:tblCellMar>
            <w:top w:w="0" w:type="dxa"/>
            <w:left w:w="108" w:type="dxa"/>
            <w:bottom w:w="0" w:type="dxa"/>
            <w:right w:w="108" w:type="dxa"/>
          </w:tblCellMar>
        </w:tblPrEx>
        <w:trPr>
          <w:trHeight w:val="276" w:hRule="atLeast"/>
        </w:trPr>
        <w:tc>
          <w:tcPr>
            <w:tcW w:w="1275" w:type="dxa"/>
            <w:tcBorders>
              <w:top w:val="nil"/>
              <w:left w:val="single" w:color="auto" w:sz="4" w:space="0"/>
              <w:bottom w:val="single" w:color="auto" w:sz="4" w:space="0"/>
              <w:right w:val="single" w:color="auto" w:sz="4" w:space="0"/>
            </w:tcBorders>
            <w:noWrap w:val="0"/>
            <w:vAlign w:val="center"/>
          </w:tcPr>
          <w:p>
            <w:pPr>
              <w:pStyle w:val="2"/>
              <w:ind w:firstLine="0"/>
              <w:rPr>
                <w:rFonts w:hint="eastAsia"/>
                <w:sz w:val="24"/>
                <w:szCs w:val="24"/>
              </w:rPr>
            </w:pPr>
            <w:r>
              <w:rPr>
                <w:rFonts w:hint="eastAsia"/>
                <w:sz w:val="24"/>
                <w:szCs w:val="24"/>
              </w:rPr>
              <w:t>策略管理</w:t>
            </w:r>
          </w:p>
        </w:tc>
        <w:tc>
          <w:tcPr>
            <w:tcW w:w="7138" w:type="dxa"/>
            <w:tcBorders>
              <w:top w:val="nil"/>
              <w:left w:val="nil"/>
              <w:bottom w:val="single" w:color="auto" w:sz="4" w:space="0"/>
              <w:right w:val="single" w:color="auto" w:sz="4" w:space="0"/>
            </w:tcBorders>
            <w:noWrap w:val="0"/>
            <w:vAlign w:val="center"/>
          </w:tcPr>
          <w:p>
            <w:pPr>
              <w:pStyle w:val="2"/>
              <w:ind w:firstLine="0"/>
              <w:rPr>
                <w:rFonts w:hint="eastAsia"/>
                <w:sz w:val="24"/>
                <w:szCs w:val="24"/>
              </w:rPr>
            </w:pPr>
            <w:r>
              <w:rPr>
                <w:rFonts w:hint="eastAsia"/>
                <w:sz w:val="24"/>
                <w:szCs w:val="24"/>
              </w:rPr>
              <w:t>支持策略的模糊查询，策略组，策略规则标签，方便策略的管理及运维。</w:t>
            </w:r>
          </w:p>
        </w:tc>
      </w:tr>
      <w:tr>
        <w:tblPrEx>
          <w:tblLayout w:type="fixed"/>
          <w:tblCellMar>
            <w:top w:w="0" w:type="dxa"/>
            <w:left w:w="108" w:type="dxa"/>
            <w:bottom w:w="0" w:type="dxa"/>
            <w:right w:w="108" w:type="dxa"/>
          </w:tblCellMar>
        </w:tblPrEx>
        <w:trPr>
          <w:trHeight w:val="276" w:hRule="atLeast"/>
        </w:trPr>
        <w:tc>
          <w:tcPr>
            <w:tcW w:w="1275" w:type="dxa"/>
            <w:vMerge w:val="restart"/>
            <w:tcBorders>
              <w:top w:val="nil"/>
              <w:left w:val="single" w:color="auto" w:sz="4" w:space="0"/>
              <w:bottom w:val="single" w:color="auto" w:sz="4" w:space="0"/>
              <w:right w:val="single" w:color="auto" w:sz="4" w:space="0"/>
            </w:tcBorders>
            <w:noWrap w:val="0"/>
            <w:vAlign w:val="center"/>
          </w:tcPr>
          <w:p>
            <w:pPr>
              <w:pStyle w:val="2"/>
              <w:ind w:firstLine="0"/>
              <w:rPr>
                <w:rFonts w:hint="eastAsia"/>
                <w:sz w:val="24"/>
                <w:szCs w:val="24"/>
              </w:rPr>
            </w:pPr>
            <w:r>
              <w:rPr>
                <w:rFonts w:hint="eastAsia"/>
                <w:sz w:val="24"/>
                <w:szCs w:val="24"/>
              </w:rPr>
              <w:t>入侵防御及病毒防护</w:t>
            </w:r>
          </w:p>
        </w:tc>
        <w:tc>
          <w:tcPr>
            <w:tcW w:w="7138" w:type="dxa"/>
            <w:tcBorders>
              <w:top w:val="nil"/>
              <w:left w:val="nil"/>
              <w:bottom w:val="single" w:color="auto" w:sz="4" w:space="0"/>
              <w:right w:val="single" w:color="auto" w:sz="4" w:space="0"/>
            </w:tcBorders>
            <w:noWrap w:val="0"/>
            <w:vAlign w:val="center"/>
          </w:tcPr>
          <w:p>
            <w:pPr>
              <w:pStyle w:val="2"/>
              <w:ind w:firstLine="0"/>
              <w:rPr>
                <w:rFonts w:hint="eastAsia"/>
                <w:sz w:val="24"/>
                <w:szCs w:val="24"/>
              </w:rPr>
            </w:pPr>
            <w:r>
              <w:rPr>
                <w:rFonts w:hint="eastAsia"/>
                <w:sz w:val="24"/>
                <w:szCs w:val="24"/>
              </w:rPr>
              <w:t>基于特征检测，支持超过</w:t>
            </w:r>
            <w:r>
              <w:rPr>
                <w:sz w:val="24"/>
                <w:szCs w:val="24"/>
              </w:rPr>
              <w:t>12000</w:t>
            </w:r>
            <w:r>
              <w:rPr>
                <w:rFonts w:hint="eastAsia"/>
                <w:sz w:val="24"/>
                <w:szCs w:val="24"/>
              </w:rPr>
              <w:t>种特征的攻击检测和防御</w:t>
            </w:r>
          </w:p>
        </w:tc>
      </w:tr>
      <w:tr>
        <w:tblPrEx>
          <w:tblLayout w:type="fixed"/>
          <w:tblCellMar>
            <w:top w:w="0" w:type="dxa"/>
            <w:left w:w="108" w:type="dxa"/>
            <w:bottom w:w="0" w:type="dxa"/>
            <w:right w:w="108" w:type="dxa"/>
          </w:tblCellMar>
        </w:tblPrEx>
        <w:trPr>
          <w:trHeight w:val="276" w:hRule="atLeast"/>
        </w:trPr>
        <w:tc>
          <w:tcPr>
            <w:tcW w:w="1275" w:type="dxa"/>
            <w:vMerge w:val="continue"/>
            <w:tcBorders>
              <w:top w:val="nil"/>
              <w:left w:val="single" w:color="auto" w:sz="4" w:space="0"/>
              <w:bottom w:val="single" w:color="auto" w:sz="4" w:space="0"/>
              <w:right w:val="single" w:color="auto" w:sz="4" w:space="0"/>
            </w:tcBorders>
            <w:noWrap w:val="0"/>
            <w:vAlign w:val="center"/>
          </w:tcPr>
          <w:p>
            <w:pPr>
              <w:pStyle w:val="2"/>
              <w:rPr>
                <w:sz w:val="24"/>
                <w:szCs w:val="24"/>
              </w:rPr>
            </w:pPr>
          </w:p>
        </w:tc>
        <w:tc>
          <w:tcPr>
            <w:tcW w:w="7138" w:type="dxa"/>
            <w:tcBorders>
              <w:top w:val="nil"/>
              <w:left w:val="nil"/>
              <w:bottom w:val="single" w:color="auto" w:sz="4" w:space="0"/>
              <w:right w:val="single" w:color="auto" w:sz="4" w:space="0"/>
            </w:tcBorders>
            <w:noWrap w:val="0"/>
            <w:vAlign w:val="center"/>
          </w:tcPr>
          <w:p>
            <w:pPr>
              <w:pStyle w:val="2"/>
              <w:ind w:firstLine="0"/>
              <w:rPr>
                <w:rFonts w:hint="eastAsia"/>
                <w:sz w:val="24"/>
                <w:szCs w:val="24"/>
              </w:rPr>
            </w:pPr>
            <w:r>
              <w:rPr>
                <w:rFonts w:hint="eastAsia"/>
                <w:sz w:val="24"/>
                <w:szCs w:val="24"/>
              </w:rPr>
              <w:t>支持基于场景进行策略入侵防御的模板定制。</w:t>
            </w:r>
          </w:p>
        </w:tc>
      </w:tr>
      <w:tr>
        <w:tblPrEx>
          <w:tblLayout w:type="fixed"/>
          <w:tblCellMar>
            <w:top w:w="0" w:type="dxa"/>
            <w:left w:w="108" w:type="dxa"/>
            <w:bottom w:w="0" w:type="dxa"/>
            <w:right w:w="108" w:type="dxa"/>
          </w:tblCellMar>
        </w:tblPrEx>
        <w:trPr>
          <w:trHeight w:val="432" w:hRule="atLeast"/>
        </w:trPr>
        <w:tc>
          <w:tcPr>
            <w:tcW w:w="1275" w:type="dxa"/>
            <w:vMerge w:val="continue"/>
            <w:tcBorders>
              <w:top w:val="nil"/>
              <w:left w:val="single" w:color="auto" w:sz="4" w:space="0"/>
              <w:bottom w:val="single" w:color="auto" w:sz="4" w:space="0"/>
              <w:right w:val="single" w:color="auto" w:sz="4" w:space="0"/>
            </w:tcBorders>
            <w:noWrap w:val="0"/>
            <w:vAlign w:val="center"/>
          </w:tcPr>
          <w:p>
            <w:pPr>
              <w:pStyle w:val="2"/>
              <w:rPr>
                <w:sz w:val="24"/>
                <w:szCs w:val="24"/>
              </w:rPr>
            </w:pPr>
          </w:p>
        </w:tc>
        <w:tc>
          <w:tcPr>
            <w:tcW w:w="7138" w:type="dxa"/>
            <w:tcBorders>
              <w:top w:val="nil"/>
              <w:left w:val="nil"/>
              <w:bottom w:val="single" w:color="auto" w:sz="4" w:space="0"/>
              <w:right w:val="single" w:color="auto" w:sz="4" w:space="0"/>
            </w:tcBorders>
            <w:noWrap w:val="0"/>
            <w:vAlign w:val="center"/>
          </w:tcPr>
          <w:p>
            <w:pPr>
              <w:pStyle w:val="2"/>
              <w:ind w:firstLine="0"/>
              <w:rPr>
                <w:rFonts w:hint="eastAsia"/>
                <w:sz w:val="24"/>
                <w:szCs w:val="24"/>
              </w:rPr>
            </w:pPr>
            <w:r>
              <w:rPr>
                <w:rFonts w:hint="eastAsia"/>
                <w:sz w:val="24"/>
                <w:szCs w:val="24"/>
              </w:rPr>
              <w:t>支持对常见应用服务（HTTP、FTP、SSH、SMTP、IMAP）和数据库软件（MySQL、Oracle、MSSQL）的口令暴力破解防护功能。（提供功能截图）</w:t>
            </w:r>
          </w:p>
        </w:tc>
      </w:tr>
      <w:tr>
        <w:tblPrEx>
          <w:tblLayout w:type="fixed"/>
          <w:tblCellMar>
            <w:top w:w="0" w:type="dxa"/>
            <w:left w:w="108" w:type="dxa"/>
            <w:bottom w:w="0" w:type="dxa"/>
            <w:right w:w="108" w:type="dxa"/>
          </w:tblCellMar>
        </w:tblPrEx>
        <w:trPr>
          <w:trHeight w:val="276" w:hRule="atLeast"/>
        </w:trPr>
        <w:tc>
          <w:tcPr>
            <w:tcW w:w="1275" w:type="dxa"/>
            <w:vMerge w:val="continue"/>
            <w:tcBorders>
              <w:top w:val="nil"/>
              <w:left w:val="single" w:color="auto" w:sz="4" w:space="0"/>
              <w:bottom w:val="single" w:color="auto" w:sz="4" w:space="0"/>
              <w:right w:val="single" w:color="auto" w:sz="4" w:space="0"/>
            </w:tcBorders>
            <w:noWrap w:val="0"/>
            <w:vAlign w:val="center"/>
          </w:tcPr>
          <w:p>
            <w:pPr>
              <w:pStyle w:val="2"/>
              <w:rPr>
                <w:sz w:val="24"/>
                <w:szCs w:val="24"/>
              </w:rPr>
            </w:pPr>
          </w:p>
        </w:tc>
        <w:tc>
          <w:tcPr>
            <w:tcW w:w="7138" w:type="dxa"/>
            <w:tcBorders>
              <w:top w:val="nil"/>
              <w:left w:val="nil"/>
              <w:bottom w:val="single" w:color="auto" w:sz="4" w:space="0"/>
              <w:right w:val="single" w:color="auto" w:sz="4" w:space="0"/>
            </w:tcBorders>
            <w:noWrap w:val="0"/>
            <w:vAlign w:val="center"/>
          </w:tcPr>
          <w:p>
            <w:pPr>
              <w:pStyle w:val="2"/>
              <w:ind w:firstLine="0"/>
              <w:rPr>
                <w:rFonts w:hint="eastAsia"/>
                <w:sz w:val="24"/>
                <w:szCs w:val="24"/>
              </w:rPr>
            </w:pPr>
            <w:r>
              <w:rPr>
                <w:rFonts w:hint="eastAsia"/>
                <w:sz w:val="24"/>
                <w:szCs w:val="24"/>
              </w:rPr>
              <w:t>可以支持</w:t>
            </w:r>
            <w:r>
              <w:rPr>
                <w:sz w:val="24"/>
                <w:szCs w:val="24"/>
              </w:rPr>
              <w:t>HTTP</w:t>
            </w:r>
            <w:r>
              <w:rPr>
                <w:rFonts w:hint="eastAsia"/>
                <w:sz w:val="24"/>
                <w:szCs w:val="24"/>
              </w:rPr>
              <w:t>、</w:t>
            </w:r>
            <w:r>
              <w:rPr>
                <w:sz w:val="24"/>
                <w:szCs w:val="24"/>
              </w:rPr>
              <w:t>FTP</w:t>
            </w:r>
            <w:r>
              <w:rPr>
                <w:rFonts w:hint="eastAsia"/>
                <w:sz w:val="24"/>
                <w:szCs w:val="24"/>
              </w:rPr>
              <w:t>、</w:t>
            </w:r>
            <w:r>
              <w:rPr>
                <w:sz w:val="24"/>
                <w:szCs w:val="24"/>
              </w:rPr>
              <w:t>SMTP</w:t>
            </w:r>
            <w:r>
              <w:rPr>
                <w:rFonts w:hint="eastAsia"/>
                <w:sz w:val="24"/>
                <w:szCs w:val="24"/>
              </w:rPr>
              <w:t>、</w:t>
            </w:r>
            <w:r>
              <w:rPr>
                <w:sz w:val="24"/>
                <w:szCs w:val="24"/>
              </w:rPr>
              <w:t>POP3</w:t>
            </w:r>
            <w:r>
              <w:rPr>
                <w:rFonts w:hint="eastAsia"/>
                <w:sz w:val="24"/>
                <w:szCs w:val="24"/>
              </w:rPr>
              <w:t>、</w:t>
            </w:r>
            <w:r>
              <w:rPr>
                <w:sz w:val="24"/>
                <w:szCs w:val="24"/>
              </w:rPr>
              <w:t>IMAP</w:t>
            </w:r>
            <w:r>
              <w:rPr>
                <w:rFonts w:hint="eastAsia"/>
                <w:sz w:val="24"/>
                <w:szCs w:val="24"/>
              </w:rPr>
              <w:t>、</w:t>
            </w:r>
            <w:r>
              <w:rPr>
                <w:sz w:val="24"/>
                <w:szCs w:val="24"/>
              </w:rPr>
              <w:t>NFS</w:t>
            </w:r>
            <w:r>
              <w:rPr>
                <w:rFonts w:hint="eastAsia"/>
                <w:sz w:val="24"/>
                <w:szCs w:val="24"/>
              </w:rPr>
              <w:t>等协议的病毒防护</w:t>
            </w:r>
          </w:p>
        </w:tc>
      </w:tr>
      <w:tr>
        <w:tblPrEx>
          <w:tblLayout w:type="fixed"/>
          <w:tblCellMar>
            <w:top w:w="0" w:type="dxa"/>
            <w:left w:w="108" w:type="dxa"/>
            <w:bottom w:w="0" w:type="dxa"/>
            <w:right w:w="108" w:type="dxa"/>
          </w:tblCellMar>
        </w:tblPrEx>
        <w:trPr>
          <w:trHeight w:val="432" w:hRule="atLeast"/>
        </w:trPr>
        <w:tc>
          <w:tcPr>
            <w:tcW w:w="1275" w:type="dxa"/>
            <w:vMerge w:val="restart"/>
            <w:tcBorders>
              <w:top w:val="nil"/>
              <w:left w:val="single" w:color="auto" w:sz="4" w:space="0"/>
              <w:bottom w:val="single" w:color="auto" w:sz="4" w:space="0"/>
              <w:right w:val="single" w:color="auto" w:sz="4" w:space="0"/>
            </w:tcBorders>
            <w:noWrap w:val="0"/>
            <w:vAlign w:val="center"/>
          </w:tcPr>
          <w:p>
            <w:pPr>
              <w:pStyle w:val="2"/>
              <w:ind w:firstLine="0"/>
              <w:rPr>
                <w:rFonts w:hint="eastAsia"/>
                <w:sz w:val="24"/>
                <w:szCs w:val="24"/>
              </w:rPr>
            </w:pPr>
            <w:r>
              <w:rPr>
                <w:rFonts w:hint="eastAsia"/>
                <w:sz w:val="24"/>
                <w:szCs w:val="24"/>
              </w:rPr>
              <w:t>加密流量安全防护</w:t>
            </w:r>
          </w:p>
        </w:tc>
        <w:tc>
          <w:tcPr>
            <w:tcW w:w="7138" w:type="dxa"/>
            <w:tcBorders>
              <w:top w:val="nil"/>
              <w:left w:val="nil"/>
              <w:bottom w:val="single" w:color="auto" w:sz="4" w:space="0"/>
              <w:right w:val="single" w:color="auto" w:sz="4" w:space="0"/>
            </w:tcBorders>
            <w:noWrap w:val="0"/>
            <w:vAlign w:val="center"/>
          </w:tcPr>
          <w:p>
            <w:pPr>
              <w:pStyle w:val="2"/>
              <w:ind w:firstLine="0"/>
              <w:rPr>
                <w:rFonts w:hint="eastAsia"/>
                <w:sz w:val="24"/>
                <w:szCs w:val="24"/>
              </w:rPr>
            </w:pPr>
            <w:r>
              <w:rPr>
                <w:rFonts w:hint="eastAsia"/>
                <w:sz w:val="24"/>
                <w:szCs w:val="24"/>
              </w:rPr>
              <w:t>支持对HTTPS，POP3S，SMTPS,IMAPS加密流量代理解密后，并进行内容过滤，审计，安全防护。（提供功能截图）</w:t>
            </w:r>
          </w:p>
        </w:tc>
      </w:tr>
      <w:tr>
        <w:tblPrEx>
          <w:tblLayout w:type="fixed"/>
          <w:tblCellMar>
            <w:top w:w="0" w:type="dxa"/>
            <w:left w:w="108" w:type="dxa"/>
            <w:bottom w:w="0" w:type="dxa"/>
            <w:right w:w="108" w:type="dxa"/>
          </w:tblCellMar>
        </w:tblPrEx>
        <w:trPr>
          <w:trHeight w:val="276" w:hRule="atLeast"/>
        </w:trPr>
        <w:tc>
          <w:tcPr>
            <w:tcW w:w="1275" w:type="dxa"/>
            <w:vMerge w:val="continue"/>
            <w:tcBorders>
              <w:top w:val="nil"/>
              <w:left w:val="single" w:color="auto" w:sz="4" w:space="0"/>
              <w:bottom w:val="single" w:color="auto" w:sz="4" w:space="0"/>
              <w:right w:val="single" w:color="auto" w:sz="4" w:space="0"/>
            </w:tcBorders>
            <w:noWrap w:val="0"/>
            <w:vAlign w:val="center"/>
          </w:tcPr>
          <w:p>
            <w:pPr>
              <w:pStyle w:val="2"/>
              <w:rPr>
                <w:sz w:val="24"/>
                <w:szCs w:val="24"/>
              </w:rPr>
            </w:pPr>
          </w:p>
        </w:tc>
        <w:tc>
          <w:tcPr>
            <w:tcW w:w="7138" w:type="dxa"/>
            <w:tcBorders>
              <w:top w:val="nil"/>
              <w:left w:val="nil"/>
              <w:bottom w:val="single" w:color="auto" w:sz="4" w:space="0"/>
              <w:right w:val="single" w:color="auto" w:sz="4" w:space="0"/>
            </w:tcBorders>
            <w:noWrap w:val="0"/>
            <w:vAlign w:val="center"/>
          </w:tcPr>
          <w:p>
            <w:pPr>
              <w:pStyle w:val="2"/>
              <w:ind w:firstLine="0"/>
              <w:rPr>
                <w:rFonts w:hint="eastAsia"/>
                <w:sz w:val="24"/>
                <w:szCs w:val="24"/>
              </w:rPr>
            </w:pPr>
            <w:r>
              <w:rPr>
                <w:rFonts w:hint="eastAsia"/>
                <w:sz w:val="24"/>
                <w:szCs w:val="24"/>
              </w:rPr>
              <w:t>支持基于URL分类的精细化解密，提高解密性能。（提供功能截图）</w:t>
            </w:r>
          </w:p>
        </w:tc>
      </w:tr>
      <w:tr>
        <w:tblPrEx>
          <w:tblLayout w:type="fixed"/>
          <w:tblCellMar>
            <w:top w:w="0" w:type="dxa"/>
            <w:left w:w="108" w:type="dxa"/>
            <w:bottom w:w="0" w:type="dxa"/>
            <w:right w:w="108" w:type="dxa"/>
          </w:tblCellMar>
        </w:tblPrEx>
        <w:trPr>
          <w:trHeight w:val="648" w:hRule="atLeast"/>
        </w:trPr>
        <w:tc>
          <w:tcPr>
            <w:tcW w:w="1275" w:type="dxa"/>
            <w:tcBorders>
              <w:top w:val="nil"/>
              <w:left w:val="single" w:color="auto" w:sz="4" w:space="0"/>
              <w:bottom w:val="single" w:color="auto" w:sz="4" w:space="0"/>
              <w:right w:val="single" w:color="auto" w:sz="4" w:space="0"/>
            </w:tcBorders>
            <w:noWrap w:val="0"/>
            <w:vAlign w:val="center"/>
          </w:tcPr>
          <w:p>
            <w:pPr>
              <w:pStyle w:val="2"/>
              <w:ind w:firstLine="0"/>
              <w:rPr>
                <w:rFonts w:hint="eastAsia"/>
                <w:sz w:val="24"/>
                <w:szCs w:val="24"/>
              </w:rPr>
            </w:pPr>
            <w:r>
              <w:rPr>
                <w:rFonts w:hint="eastAsia"/>
                <w:sz w:val="24"/>
                <w:szCs w:val="24"/>
              </w:rPr>
              <w:t>负载均衡</w:t>
            </w:r>
          </w:p>
        </w:tc>
        <w:tc>
          <w:tcPr>
            <w:tcW w:w="7138" w:type="dxa"/>
            <w:tcBorders>
              <w:top w:val="nil"/>
              <w:left w:val="nil"/>
              <w:bottom w:val="single" w:color="auto" w:sz="4" w:space="0"/>
              <w:right w:val="single" w:color="auto" w:sz="4" w:space="0"/>
            </w:tcBorders>
            <w:noWrap w:val="0"/>
            <w:vAlign w:val="center"/>
          </w:tcPr>
          <w:p>
            <w:pPr>
              <w:pStyle w:val="2"/>
              <w:ind w:firstLine="0"/>
              <w:rPr>
                <w:rFonts w:hint="eastAsia"/>
                <w:sz w:val="24"/>
                <w:szCs w:val="24"/>
              </w:rPr>
            </w:pPr>
            <w:r>
              <w:rPr>
                <w:rFonts w:hint="eastAsia"/>
                <w:sz w:val="24"/>
                <w:szCs w:val="24"/>
              </w:rPr>
              <w:t>支持并配置负载均衡功能，包括链路智能选路负载均衡、服务器负载均衡等功能，负载均衡算法包括但不限于简单轮询、加权轮询、最小连接、加权最小连接等</w:t>
            </w:r>
          </w:p>
        </w:tc>
      </w:tr>
      <w:tr>
        <w:tblPrEx>
          <w:tblLayout w:type="fixed"/>
          <w:tblCellMar>
            <w:top w:w="0" w:type="dxa"/>
            <w:left w:w="108" w:type="dxa"/>
            <w:bottom w:w="0" w:type="dxa"/>
            <w:right w:w="108" w:type="dxa"/>
          </w:tblCellMar>
        </w:tblPrEx>
        <w:trPr>
          <w:trHeight w:val="726" w:hRule="atLeast"/>
        </w:trPr>
        <w:tc>
          <w:tcPr>
            <w:tcW w:w="1275" w:type="dxa"/>
            <w:tcBorders>
              <w:top w:val="nil"/>
              <w:left w:val="single" w:color="auto" w:sz="4" w:space="0"/>
              <w:bottom w:val="single" w:color="000000" w:sz="4" w:space="0"/>
              <w:right w:val="single" w:color="auto" w:sz="4" w:space="0"/>
            </w:tcBorders>
            <w:noWrap w:val="0"/>
            <w:vAlign w:val="center"/>
          </w:tcPr>
          <w:p>
            <w:pPr>
              <w:pStyle w:val="2"/>
              <w:ind w:firstLine="0"/>
              <w:rPr>
                <w:rFonts w:hint="eastAsia"/>
                <w:sz w:val="24"/>
                <w:szCs w:val="24"/>
              </w:rPr>
            </w:pPr>
            <w:r>
              <w:rPr>
                <w:rFonts w:hint="eastAsia"/>
                <w:sz w:val="24"/>
                <w:szCs w:val="24"/>
              </w:rPr>
              <w:t>可靠性</w:t>
            </w:r>
          </w:p>
        </w:tc>
        <w:tc>
          <w:tcPr>
            <w:tcW w:w="7138" w:type="dxa"/>
            <w:tcBorders>
              <w:top w:val="nil"/>
              <w:left w:val="nil"/>
              <w:bottom w:val="single" w:color="auto" w:sz="4" w:space="0"/>
              <w:right w:val="single" w:color="auto" w:sz="4" w:space="0"/>
            </w:tcBorders>
            <w:noWrap w:val="0"/>
            <w:vAlign w:val="center"/>
          </w:tcPr>
          <w:p>
            <w:pPr>
              <w:pStyle w:val="2"/>
              <w:ind w:firstLine="0"/>
              <w:rPr>
                <w:rFonts w:hint="eastAsia"/>
                <w:color w:val="FF0000"/>
                <w:sz w:val="24"/>
                <w:szCs w:val="24"/>
              </w:rPr>
            </w:pPr>
            <w:r>
              <w:rPr>
                <w:rFonts w:hint="eastAsia"/>
                <w:color w:val="FF0000"/>
                <w:sz w:val="24"/>
                <w:szCs w:val="24"/>
              </w:rPr>
              <w:t>支持跨数据中心集群，实现双机快速切换，满足数据中心双活，多活场景；</w:t>
            </w:r>
          </w:p>
        </w:tc>
      </w:tr>
      <w:tr>
        <w:tblPrEx>
          <w:tblLayout w:type="fixed"/>
          <w:tblCellMar>
            <w:top w:w="0" w:type="dxa"/>
            <w:left w:w="108" w:type="dxa"/>
            <w:bottom w:w="0" w:type="dxa"/>
            <w:right w:w="108" w:type="dxa"/>
          </w:tblCellMar>
        </w:tblPrEx>
        <w:trPr>
          <w:trHeight w:val="432" w:hRule="atLeast"/>
        </w:trPr>
        <w:tc>
          <w:tcPr>
            <w:tcW w:w="1275" w:type="dxa"/>
            <w:tcBorders>
              <w:top w:val="nil"/>
              <w:left w:val="single" w:color="auto" w:sz="4" w:space="0"/>
              <w:bottom w:val="single" w:color="auto" w:sz="4" w:space="0"/>
              <w:right w:val="single" w:color="auto" w:sz="4" w:space="0"/>
            </w:tcBorders>
            <w:noWrap w:val="0"/>
            <w:vAlign w:val="center"/>
          </w:tcPr>
          <w:p>
            <w:pPr>
              <w:pStyle w:val="2"/>
              <w:ind w:firstLine="0"/>
              <w:rPr>
                <w:rFonts w:hint="eastAsia"/>
                <w:sz w:val="24"/>
                <w:szCs w:val="24"/>
              </w:rPr>
            </w:pPr>
            <w:r>
              <w:rPr>
                <w:rFonts w:hint="eastAsia"/>
                <w:sz w:val="24"/>
                <w:szCs w:val="24"/>
              </w:rPr>
              <w:t>系统日志</w:t>
            </w:r>
          </w:p>
        </w:tc>
        <w:tc>
          <w:tcPr>
            <w:tcW w:w="7138" w:type="dxa"/>
            <w:tcBorders>
              <w:top w:val="nil"/>
              <w:left w:val="nil"/>
              <w:bottom w:val="single" w:color="auto" w:sz="4" w:space="0"/>
              <w:right w:val="single" w:color="auto" w:sz="4" w:space="0"/>
            </w:tcBorders>
            <w:noWrap w:val="0"/>
            <w:vAlign w:val="center"/>
          </w:tcPr>
          <w:p>
            <w:pPr>
              <w:pStyle w:val="2"/>
              <w:ind w:firstLine="0"/>
              <w:rPr>
                <w:rFonts w:hint="eastAsia"/>
                <w:sz w:val="24"/>
                <w:szCs w:val="24"/>
              </w:rPr>
            </w:pPr>
            <w:r>
              <w:rPr>
                <w:rFonts w:hint="eastAsia"/>
                <w:sz w:val="24"/>
                <w:szCs w:val="24"/>
              </w:rPr>
              <w:t>支持URL日志，同时包含NAT信息和URL信息（提供功能截图），</w:t>
            </w:r>
          </w:p>
        </w:tc>
      </w:tr>
      <w:tr>
        <w:tblPrEx>
          <w:tblLayout w:type="fixed"/>
          <w:tblCellMar>
            <w:top w:w="0" w:type="dxa"/>
            <w:left w:w="108" w:type="dxa"/>
            <w:bottom w:w="0" w:type="dxa"/>
            <w:right w:w="108" w:type="dxa"/>
          </w:tblCellMar>
        </w:tblPrEx>
        <w:trPr>
          <w:trHeight w:val="432" w:hRule="atLeast"/>
        </w:trPr>
        <w:tc>
          <w:tcPr>
            <w:tcW w:w="1275" w:type="dxa"/>
            <w:tcBorders>
              <w:top w:val="nil"/>
              <w:left w:val="single" w:color="auto" w:sz="4" w:space="0"/>
              <w:bottom w:val="single" w:color="auto" w:sz="4" w:space="0"/>
              <w:right w:val="single" w:color="auto" w:sz="4" w:space="0"/>
            </w:tcBorders>
            <w:noWrap w:val="0"/>
            <w:vAlign w:val="center"/>
          </w:tcPr>
          <w:p>
            <w:pPr>
              <w:pStyle w:val="2"/>
              <w:ind w:firstLine="0"/>
              <w:rPr>
                <w:rFonts w:hint="eastAsia"/>
                <w:sz w:val="24"/>
                <w:szCs w:val="24"/>
              </w:rPr>
            </w:pPr>
            <w:r>
              <w:rPr>
                <w:rFonts w:hint="eastAsia"/>
                <w:sz w:val="24"/>
                <w:szCs w:val="24"/>
              </w:rPr>
              <w:t>产品资质</w:t>
            </w:r>
          </w:p>
        </w:tc>
        <w:tc>
          <w:tcPr>
            <w:tcW w:w="7138" w:type="dxa"/>
            <w:tcBorders>
              <w:top w:val="nil"/>
              <w:left w:val="nil"/>
              <w:bottom w:val="single" w:color="auto" w:sz="4" w:space="0"/>
              <w:right w:val="single" w:color="auto" w:sz="4" w:space="0"/>
            </w:tcBorders>
            <w:noWrap w:val="0"/>
            <w:vAlign w:val="center"/>
          </w:tcPr>
          <w:p>
            <w:pPr>
              <w:pStyle w:val="2"/>
              <w:ind w:firstLine="0"/>
              <w:rPr>
                <w:rFonts w:hint="eastAsia"/>
                <w:sz w:val="24"/>
                <w:szCs w:val="24"/>
              </w:rPr>
            </w:pPr>
            <w:r>
              <w:rPr>
                <w:rFonts w:hint="eastAsia"/>
                <w:sz w:val="24"/>
                <w:szCs w:val="24"/>
              </w:rPr>
              <w:t>具有公安部颁发的《计算机信息系统安全专用产品销售许可证》，提供证书复印件</w:t>
            </w:r>
          </w:p>
        </w:tc>
      </w:tr>
    </w:tbl>
    <w:p>
      <w:pPr>
        <w:pStyle w:val="2"/>
        <w:rPr>
          <w:sz w:val="24"/>
          <w:szCs w:val="24"/>
        </w:rPr>
      </w:pPr>
    </w:p>
    <w:p>
      <w:pPr>
        <w:pStyle w:val="31"/>
        <w:numPr>
          <w:ilvl w:val="0"/>
          <w:numId w:val="15"/>
        </w:numPr>
        <w:ind w:firstLine="482" w:firstLineChars="0"/>
        <w:outlineLvl w:val="1"/>
        <w:rPr>
          <w:rFonts w:ascii="仿宋" w:hAnsi="仿宋" w:eastAsia="仿宋" w:cs="黑体"/>
          <w:sz w:val="24"/>
          <w:szCs w:val="24"/>
        </w:rPr>
      </w:pPr>
      <w:r>
        <w:rPr>
          <w:rFonts w:hint="eastAsia" w:ascii="宋体" w:hAnsi="宋体"/>
          <w:b/>
          <w:color w:val="000000"/>
          <w:sz w:val="24"/>
          <w:szCs w:val="24"/>
        </w:rPr>
        <w:t>云桌面超融合一体机设备（1套）</w:t>
      </w:r>
      <w:r>
        <w:rPr>
          <w:rFonts w:hint="eastAsia" w:ascii="宋体" w:hAnsi="宋体" w:eastAsia="宋体" w:cs="宋体"/>
          <w:bCs/>
          <w:kern w:val="0"/>
          <w:sz w:val="24"/>
          <w:szCs w:val="24"/>
        </w:rPr>
        <w:t>包括：资源服务器5台及服务器虚拟化软件</w:t>
      </w:r>
    </w:p>
    <w:tbl>
      <w:tblPr>
        <w:tblStyle w:val="23"/>
        <w:tblW w:w="83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218"/>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70" w:hRule="atLeast"/>
          <w:jc w:val="center"/>
        </w:trPr>
        <w:tc>
          <w:tcPr>
            <w:tcW w:w="1218" w:type="dxa"/>
            <w:noWrap w:val="0"/>
            <w:vAlign w:val="center"/>
          </w:tcPr>
          <w:p>
            <w:pPr>
              <w:widowControl/>
              <w:jc w:val="center"/>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技术指标</w:t>
            </w:r>
          </w:p>
        </w:tc>
        <w:tc>
          <w:tcPr>
            <w:tcW w:w="7085" w:type="dxa"/>
            <w:noWrap w:val="0"/>
            <w:vAlign w:val="center"/>
          </w:tcPr>
          <w:p>
            <w:pPr>
              <w:widowControl/>
              <w:jc w:val="center"/>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具体参数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70" w:hRule="atLeast"/>
          <w:jc w:val="center"/>
        </w:trPr>
        <w:tc>
          <w:tcPr>
            <w:tcW w:w="1218" w:type="dxa"/>
            <w:noWrap w:val="0"/>
            <w:vAlign w:val="center"/>
          </w:tcPr>
          <w:p>
            <w:pPr>
              <w:widowControl/>
              <w:jc w:val="center"/>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数量要求</w:t>
            </w:r>
          </w:p>
        </w:tc>
        <w:tc>
          <w:tcPr>
            <w:tcW w:w="7085" w:type="dxa"/>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▲本项目总计采购5台云桌面资源服务器及桌面资源服务器的虚拟化授权。</w:t>
            </w:r>
          </w:p>
          <w:p>
            <w:pPr>
              <w:widowControl/>
              <w:jc w:val="left"/>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提供相关服务器虚拟化与存储虚拟化标准版授权，本项目要求所提供的存储虚拟化授权无容量限制，满足桌面云数据存储空间的扩容需求。要求兼容桌面云控制系统。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70" w:hRule="atLeast"/>
          <w:jc w:val="center"/>
        </w:trPr>
        <w:tc>
          <w:tcPr>
            <w:tcW w:w="1218" w:type="dxa"/>
            <w:noWrap w:val="0"/>
            <w:vAlign w:val="center"/>
          </w:tcPr>
          <w:p>
            <w:pPr>
              <w:widowControl/>
              <w:jc w:val="center"/>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单台硬件规格</w:t>
            </w:r>
          </w:p>
        </w:tc>
        <w:tc>
          <w:tcPr>
            <w:tcW w:w="7085" w:type="dxa"/>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kern w:val="0"/>
                <w:sz w:val="24"/>
                <w:szCs w:val="24"/>
              </w:rPr>
              <w:t>CPU： Gold 6132以上性能*2颗</w:t>
            </w:r>
            <w:r>
              <w:rPr>
                <w:rFonts w:hint="eastAsia" w:ascii="宋体" w:hAnsi="宋体" w:eastAsia="宋体" w:cs="宋体"/>
                <w:bCs/>
                <w:kern w:val="0"/>
                <w:sz w:val="24"/>
                <w:szCs w:val="24"/>
              </w:rPr>
              <w:t>、内存≥256G、</w:t>
            </w:r>
            <w:r>
              <w:rPr>
                <w:rFonts w:hint="eastAsia" w:ascii="宋体" w:hAnsi="宋体" w:eastAsia="宋体" w:cs="宋体"/>
                <w:bCs/>
                <w:color w:val="auto"/>
                <w:kern w:val="0"/>
                <w:sz w:val="24"/>
                <w:szCs w:val="24"/>
                <w:highlight w:val="none"/>
              </w:rPr>
              <w:t>千兆网口≥4个</w:t>
            </w:r>
            <w:r>
              <w:rPr>
                <w:rFonts w:hint="eastAsia" w:ascii="宋体" w:hAnsi="宋体" w:eastAsia="宋体" w:cs="宋体"/>
                <w:bCs/>
                <w:kern w:val="0"/>
                <w:sz w:val="24"/>
                <w:szCs w:val="24"/>
              </w:rPr>
              <w:t>、万兆光口≥2个（配置光模块），冗余双电源；</w:t>
            </w:r>
          </w:p>
          <w:p>
            <w:pPr>
              <w:widowControl/>
              <w:jc w:val="left"/>
              <w:textAlignment w:val="center"/>
              <w:rPr>
                <w:rFonts w:hint="eastAsia" w:ascii="宋体" w:hAnsi="宋体" w:eastAsia="宋体" w:cs="宋体"/>
                <w:bCs/>
                <w:kern w:val="0"/>
                <w:sz w:val="24"/>
                <w:szCs w:val="24"/>
              </w:rPr>
            </w:pPr>
            <w:r>
              <w:rPr>
                <w:rFonts w:hint="eastAsia" w:ascii="宋体" w:hAnsi="宋体" w:cs="宋体"/>
                <w:bCs/>
                <w:color w:val="FF0000"/>
                <w:kern w:val="0"/>
                <w:sz w:val="24"/>
              </w:rPr>
              <w:t>本项目要求至少配备1块≥128G SSD硬盘、2块≥800G SSD硬盘和≥48T的SATA硬盘裸容量。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53" w:hRule="atLeast"/>
          <w:jc w:val="center"/>
        </w:trPr>
        <w:tc>
          <w:tcPr>
            <w:tcW w:w="1218" w:type="dxa"/>
            <w:vMerge w:val="restart"/>
            <w:noWrap w:val="0"/>
            <w:vAlign w:val="center"/>
          </w:tcPr>
          <w:p>
            <w:pPr>
              <w:widowControl/>
              <w:jc w:val="center"/>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部署模式</w:t>
            </w:r>
          </w:p>
        </w:tc>
        <w:tc>
          <w:tcPr>
            <w:tcW w:w="7085" w:type="dxa"/>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兼容市场上主流x86服务器和存储设备，支持品牌不局限于联想、浪潮，深信服等。无需部署集中管理平台，通过Web方式接入集群主服务器，实现对服务器、虚拟机、网络、存储等进行统一管理。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90" w:hRule="atLeast"/>
          <w:jc w:val="center"/>
        </w:trPr>
        <w:tc>
          <w:tcPr>
            <w:tcW w:w="1218" w:type="dxa"/>
            <w:vMerge w:val="continue"/>
            <w:noWrap w:val="0"/>
            <w:vAlign w:val="center"/>
          </w:tcPr>
          <w:p>
            <w:pPr>
              <w:widowControl/>
              <w:jc w:val="center"/>
              <w:textAlignment w:val="center"/>
              <w:rPr>
                <w:rFonts w:hint="eastAsia" w:ascii="宋体" w:hAnsi="宋体" w:eastAsia="宋体" w:cs="宋体"/>
                <w:bCs/>
                <w:kern w:val="0"/>
                <w:sz w:val="24"/>
                <w:szCs w:val="24"/>
              </w:rPr>
            </w:pPr>
          </w:p>
        </w:tc>
        <w:tc>
          <w:tcPr>
            <w:tcW w:w="7085" w:type="dxa"/>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部署存储虚拟化之后，可以将服务器直连硬盘组成分布式共享数据存储，构建桌面云提供低成本、高性能的存储方案。要求存储虚拟化和服务器虚拟化采用统一的Web界面进行管理，简化运维。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1218" w:type="dxa"/>
            <w:vMerge w:val="restart"/>
            <w:noWrap w:val="0"/>
            <w:vAlign w:val="center"/>
          </w:tcPr>
          <w:p>
            <w:pPr>
              <w:widowControl/>
              <w:jc w:val="center"/>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功能支持</w:t>
            </w:r>
          </w:p>
        </w:tc>
        <w:tc>
          <w:tcPr>
            <w:tcW w:w="7085" w:type="dxa"/>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支持服务器端口汇聚技术（管理口、业务口、存储口），将多个网络端口聚合起来，提高网络带宽和容错能力。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1218" w:type="dxa"/>
            <w:vMerge w:val="continue"/>
            <w:noWrap w:val="0"/>
            <w:vAlign w:val="center"/>
          </w:tcPr>
          <w:p>
            <w:pPr>
              <w:widowControl/>
              <w:jc w:val="center"/>
              <w:textAlignment w:val="center"/>
              <w:rPr>
                <w:rFonts w:hint="eastAsia" w:ascii="宋体" w:hAnsi="宋体" w:eastAsia="宋体" w:cs="宋体"/>
                <w:bCs/>
                <w:kern w:val="0"/>
                <w:sz w:val="24"/>
                <w:szCs w:val="24"/>
              </w:rPr>
            </w:pPr>
          </w:p>
        </w:tc>
        <w:tc>
          <w:tcPr>
            <w:tcW w:w="7085" w:type="dxa"/>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sz w:val="24"/>
                <w:szCs w:val="24"/>
              </w:rPr>
              <w:t>支持集群冗余技术，集群中各主机互为监控，一旦发现某个主机故障，HA机制就会自动触发虚机迁移动作，在另一正常服务器快速拉起、确保VM继续可用。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32" w:hRule="atLeast"/>
          <w:jc w:val="center"/>
        </w:trPr>
        <w:tc>
          <w:tcPr>
            <w:tcW w:w="1218" w:type="dxa"/>
            <w:vMerge w:val="continue"/>
            <w:noWrap w:val="0"/>
            <w:vAlign w:val="center"/>
          </w:tcPr>
          <w:p>
            <w:pPr>
              <w:widowControl/>
              <w:jc w:val="center"/>
              <w:textAlignment w:val="center"/>
              <w:rPr>
                <w:rFonts w:hint="eastAsia" w:ascii="宋体" w:hAnsi="宋体" w:eastAsia="宋体" w:cs="宋体"/>
                <w:bCs/>
                <w:kern w:val="0"/>
                <w:sz w:val="24"/>
                <w:szCs w:val="24"/>
              </w:rPr>
            </w:pPr>
          </w:p>
        </w:tc>
        <w:tc>
          <w:tcPr>
            <w:tcW w:w="7085" w:type="dxa"/>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支持SSD缓存加速，采用SSD+HDD混合模式，SSD用于缓存热点数据，HDD用于存储个人数据，SSD缓存命中率不低于60%，确保最优用户体验。支持虚拟机集中备份与恢复，可按需选择多个虚拟机或全部虚拟机备份至外置服务器，并可设置备份策略，实现自动化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32" w:hRule="atLeast"/>
          <w:jc w:val="center"/>
        </w:trPr>
        <w:tc>
          <w:tcPr>
            <w:tcW w:w="1218" w:type="dxa"/>
            <w:vMerge w:val="continue"/>
            <w:noWrap w:val="0"/>
            <w:vAlign w:val="center"/>
          </w:tcPr>
          <w:p>
            <w:pPr>
              <w:widowControl/>
              <w:jc w:val="center"/>
              <w:textAlignment w:val="center"/>
              <w:rPr>
                <w:rFonts w:hint="eastAsia" w:ascii="宋体" w:hAnsi="宋体" w:eastAsia="宋体" w:cs="宋体"/>
                <w:bCs/>
                <w:kern w:val="0"/>
                <w:sz w:val="24"/>
                <w:szCs w:val="24"/>
              </w:rPr>
            </w:pPr>
          </w:p>
        </w:tc>
        <w:tc>
          <w:tcPr>
            <w:tcW w:w="7085" w:type="dxa"/>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支持内存页合并技术，能够有效消除多个虚拟机运行过程中重复只读内存数据，以节省内存使用，提升服务器部署密度。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09" w:hRule="atLeast"/>
          <w:jc w:val="center"/>
        </w:trPr>
        <w:tc>
          <w:tcPr>
            <w:tcW w:w="1218" w:type="dxa"/>
            <w:vMerge w:val="continue"/>
            <w:noWrap w:val="0"/>
            <w:vAlign w:val="center"/>
          </w:tcPr>
          <w:p>
            <w:pPr>
              <w:widowControl/>
              <w:jc w:val="center"/>
              <w:textAlignment w:val="center"/>
              <w:rPr>
                <w:rFonts w:hint="eastAsia" w:ascii="宋体" w:hAnsi="宋体" w:eastAsia="宋体" w:cs="宋体"/>
                <w:bCs/>
                <w:kern w:val="0"/>
                <w:sz w:val="24"/>
                <w:szCs w:val="24"/>
              </w:rPr>
            </w:pPr>
          </w:p>
        </w:tc>
        <w:tc>
          <w:tcPr>
            <w:tcW w:w="7085" w:type="dxa"/>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支持数据冗余副本技术，每份数据同时写入多台服务器，每次数据变化时自动实时同步，确保磁盘或服务器故障，数据不丢失。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09" w:hRule="atLeast"/>
          <w:jc w:val="center"/>
        </w:trPr>
        <w:tc>
          <w:tcPr>
            <w:tcW w:w="1218" w:type="dxa"/>
            <w:vMerge w:val="continue"/>
            <w:noWrap w:val="0"/>
            <w:vAlign w:val="center"/>
          </w:tcPr>
          <w:p>
            <w:pPr>
              <w:widowControl/>
              <w:jc w:val="center"/>
              <w:textAlignment w:val="center"/>
              <w:rPr>
                <w:rFonts w:hint="eastAsia" w:ascii="宋体" w:hAnsi="宋体" w:eastAsia="宋体" w:cs="宋体"/>
                <w:bCs/>
                <w:kern w:val="0"/>
                <w:sz w:val="24"/>
                <w:szCs w:val="24"/>
              </w:rPr>
            </w:pPr>
          </w:p>
        </w:tc>
        <w:tc>
          <w:tcPr>
            <w:tcW w:w="7085" w:type="dxa"/>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当磁盘或服务器故障后，桌面业务不中断， IT人员只需要更换新设备，整个数据重建/恢复过程，无需关停机。</w:t>
            </w:r>
          </w:p>
        </w:tc>
      </w:tr>
    </w:tbl>
    <w:p>
      <w:pPr>
        <w:pStyle w:val="2"/>
        <w:rPr>
          <w:sz w:val="24"/>
          <w:szCs w:val="24"/>
        </w:rPr>
      </w:pPr>
    </w:p>
    <w:p>
      <w:pPr>
        <w:pStyle w:val="31"/>
        <w:numPr>
          <w:ilvl w:val="0"/>
          <w:numId w:val="15"/>
        </w:numPr>
        <w:ind w:firstLine="0" w:firstLineChars="0"/>
        <w:outlineLvl w:val="1"/>
        <w:rPr>
          <w:rFonts w:hint="eastAsia" w:ascii="宋体" w:hAnsi="宋体"/>
          <w:b/>
          <w:color w:val="000000"/>
          <w:sz w:val="24"/>
          <w:szCs w:val="24"/>
        </w:rPr>
      </w:pPr>
      <w:r>
        <w:rPr>
          <w:rFonts w:hint="eastAsia" w:ascii="宋体" w:hAnsi="宋体"/>
          <w:b/>
          <w:color w:val="000000"/>
          <w:sz w:val="24"/>
          <w:szCs w:val="24"/>
        </w:rPr>
        <w:t>桌面云管控系统与云桌面并发用户授权</w:t>
      </w:r>
    </w:p>
    <w:tbl>
      <w:tblPr>
        <w:tblStyle w:val="23"/>
        <w:tblpPr w:leftFromText="180" w:rightFromText="180" w:vertAnchor="text" w:horzAnchor="page" w:tblpX="1925" w:tblpY="1001"/>
        <w:tblOverlap w:val="never"/>
        <w:tblW w:w="8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99"/>
        <w:gridCol w:w="7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05" w:hRule="atLeast"/>
        </w:trPr>
        <w:tc>
          <w:tcPr>
            <w:tcW w:w="1099" w:type="dxa"/>
            <w:noWrap w:val="0"/>
            <w:vAlign w:val="center"/>
          </w:tcPr>
          <w:p>
            <w:pPr>
              <w:jc w:val="center"/>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数量要求</w:t>
            </w:r>
          </w:p>
        </w:tc>
        <w:tc>
          <w:tcPr>
            <w:tcW w:w="7138" w:type="dxa"/>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w:t>
            </w:r>
            <w:r>
              <w:rPr>
                <w:rFonts w:hint="eastAsia" w:ascii="宋体" w:hAnsi="宋体" w:eastAsia="宋体" w:cs="宋体"/>
                <w:b/>
                <w:bCs/>
                <w:kern w:val="0"/>
                <w:sz w:val="24"/>
                <w:szCs w:val="24"/>
              </w:rPr>
              <w:t>提供2台云桌面管理设备及300并发用户接入授权。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8" w:hRule="atLeast"/>
        </w:trPr>
        <w:tc>
          <w:tcPr>
            <w:tcW w:w="1099" w:type="dxa"/>
            <w:noWrap w:val="0"/>
            <w:vAlign w:val="center"/>
          </w:tcPr>
          <w:p>
            <w:pPr>
              <w:widowControl/>
              <w:jc w:val="center"/>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配置要求</w:t>
            </w:r>
          </w:p>
        </w:tc>
        <w:tc>
          <w:tcPr>
            <w:tcW w:w="7138" w:type="dxa"/>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为提升桌面云接入性能及稳定性，本项目每组要求配备2一体化专用硬件控制器实现云桌面系统管理。</w:t>
            </w:r>
          </w:p>
          <w:p>
            <w:pPr>
              <w:widowControl/>
              <w:jc w:val="left"/>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桌面云控制器设备要求:标准2U设备，配置6个千兆电口，2个千兆光口，吞吐量不低于500Mbps，支持并发用户数大于2000个。为了满足不同场景的应用需求，要求每用户授权支持发布个性化桌面、共享式桌面、虚拟应用3种资源类型。</w:t>
            </w:r>
          </w:p>
          <w:p>
            <w:pPr>
              <w:widowControl/>
              <w:jc w:val="left"/>
              <w:textAlignment w:val="center"/>
              <w:rPr>
                <w:rFonts w:hint="eastAsia" w:ascii="宋体" w:hAnsi="宋体" w:eastAsia="宋体" w:cs="宋体"/>
                <w:b/>
                <w:bCs/>
                <w:kern w:val="0"/>
                <w:sz w:val="24"/>
                <w:szCs w:val="24"/>
              </w:rPr>
            </w:pPr>
            <w:r>
              <w:rPr>
                <w:rFonts w:hint="eastAsia" w:ascii="宋体" w:hAnsi="宋体" w:eastAsia="宋体" w:cs="宋体"/>
                <w:b/>
                <w:bCs/>
                <w:kern w:val="0"/>
                <w:sz w:val="24"/>
                <w:szCs w:val="24"/>
              </w:rPr>
              <w:t>本项目提供云桌面功能软件授权，与云桌面管控系统、云桌面服务器虚拟化软件为同一品牌。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8" w:hRule="atLeast"/>
        </w:trPr>
        <w:tc>
          <w:tcPr>
            <w:tcW w:w="1099" w:type="dxa"/>
            <w:noWrap w:val="0"/>
            <w:vAlign w:val="center"/>
          </w:tcPr>
          <w:p>
            <w:pPr>
              <w:widowControl/>
              <w:jc w:val="center"/>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部署模式</w:t>
            </w:r>
          </w:p>
        </w:tc>
        <w:tc>
          <w:tcPr>
            <w:tcW w:w="7138" w:type="dxa"/>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桌面云控制器支持集群部署（非双机热备方式），在不借助第三方工具/软件的情况下，实现多台控制器并发使用及故障切换，且切换过程中桌面会话不中断，满足对性能和稳定性的要求。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8" w:hRule="atLeast"/>
        </w:trPr>
        <w:tc>
          <w:tcPr>
            <w:tcW w:w="1099" w:type="dxa"/>
            <w:vMerge w:val="restart"/>
            <w:noWrap w:val="0"/>
            <w:vAlign w:val="center"/>
          </w:tcPr>
          <w:p>
            <w:pPr>
              <w:widowControl/>
              <w:jc w:val="center"/>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用户体验</w:t>
            </w:r>
          </w:p>
        </w:tc>
        <w:tc>
          <w:tcPr>
            <w:tcW w:w="7138" w:type="dxa"/>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支持Windows7、Windows10、Windows Server等多种云桌面操作系统,并且支持两种以上的Linux虚拟桌面操作系统，其中要包含国产Linux操作系统，如中标麒麟，银河麒麟；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8" w:hRule="atLeast"/>
        </w:trPr>
        <w:tc>
          <w:tcPr>
            <w:tcW w:w="1099" w:type="dxa"/>
            <w:vMerge w:val="continue"/>
            <w:noWrap w:val="0"/>
            <w:vAlign w:val="center"/>
          </w:tcPr>
          <w:p>
            <w:pPr>
              <w:widowControl/>
              <w:jc w:val="center"/>
              <w:textAlignment w:val="center"/>
              <w:rPr>
                <w:rFonts w:hint="eastAsia" w:ascii="宋体" w:hAnsi="宋体" w:eastAsia="宋体" w:cs="宋体"/>
                <w:bCs/>
                <w:kern w:val="0"/>
                <w:sz w:val="24"/>
                <w:szCs w:val="24"/>
              </w:rPr>
            </w:pPr>
          </w:p>
        </w:tc>
        <w:tc>
          <w:tcPr>
            <w:tcW w:w="7138" w:type="dxa"/>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云桌面系统要求兼容后续建设的可信代理控制服务系统，配合实现与可信代理控制服务系统联动。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8" w:hRule="atLeast"/>
        </w:trPr>
        <w:tc>
          <w:tcPr>
            <w:tcW w:w="1099" w:type="dxa"/>
            <w:vMerge w:val="continue"/>
            <w:noWrap w:val="0"/>
            <w:vAlign w:val="center"/>
          </w:tcPr>
          <w:p>
            <w:pPr>
              <w:widowControl/>
              <w:jc w:val="center"/>
              <w:textAlignment w:val="center"/>
              <w:rPr>
                <w:rFonts w:hint="eastAsia" w:ascii="宋体" w:hAnsi="宋体" w:eastAsia="宋体" w:cs="宋体"/>
                <w:bCs/>
                <w:kern w:val="0"/>
                <w:sz w:val="24"/>
                <w:szCs w:val="24"/>
              </w:rPr>
            </w:pPr>
          </w:p>
        </w:tc>
        <w:tc>
          <w:tcPr>
            <w:tcW w:w="7138" w:type="dxa"/>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支持Windows 10优化工具，关闭和禁用不需要的服务、启动项和视觉特效，让桌面运行更流畅。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8" w:hRule="atLeast"/>
        </w:trPr>
        <w:tc>
          <w:tcPr>
            <w:tcW w:w="1099" w:type="dxa"/>
            <w:vMerge w:val="continue"/>
            <w:noWrap w:val="0"/>
            <w:vAlign w:val="center"/>
          </w:tcPr>
          <w:p>
            <w:pPr>
              <w:widowControl/>
              <w:jc w:val="center"/>
              <w:textAlignment w:val="center"/>
              <w:rPr>
                <w:rFonts w:hint="eastAsia" w:ascii="宋体" w:hAnsi="宋体" w:eastAsia="宋体" w:cs="宋体"/>
                <w:bCs/>
                <w:kern w:val="0"/>
                <w:sz w:val="24"/>
                <w:szCs w:val="24"/>
              </w:rPr>
            </w:pPr>
          </w:p>
        </w:tc>
        <w:tc>
          <w:tcPr>
            <w:tcW w:w="7138" w:type="dxa"/>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支持接入虚拟机时显示开机画面，同时支持在虚拟机上更改分辨率（在桌面右键点击“个性化分辨率”进行设置），保持与普通PC一样的使用方式。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8" w:hRule="atLeast"/>
        </w:trPr>
        <w:tc>
          <w:tcPr>
            <w:tcW w:w="1099" w:type="dxa"/>
            <w:vMerge w:val="continue"/>
            <w:noWrap w:val="0"/>
            <w:vAlign w:val="center"/>
          </w:tcPr>
          <w:p>
            <w:pPr>
              <w:widowControl/>
              <w:jc w:val="center"/>
              <w:textAlignment w:val="center"/>
              <w:rPr>
                <w:rFonts w:hint="eastAsia" w:ascii="宋体" w:hAnsi="宋体" w:eastAsia="宋体" w:cs="宋体"/>
                <w:bCs/>
                <w:kern w:val="0"/>
                <w:sz w:val="24"/>
                <w:szCs w:val="24"/>
              </w:rPr>
            </w:pPr>
          </w:p>
        </w:tc>
        <w:tc>
          <w:tcPr>
            <w:tcW w:w="7138" w:type="dxa"/>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PC（或笔记本）接入虚拟桌面支持通过导航条或快捷键切换为窗口化模式，用户可随意改变窗口大小且分辨率会自动适应。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8" w:hRule="atLeast"/>
        </w:trPr>
        <w:tc>
          <w:tcPr>
            <w:tcW w:w="1099" w:type="dxa"/>
            <w:vMerge w:val="continue"/>
            <w:noWrap w:val="0"/>
            <w:vAlign w:val="center"/>
          </w:tcPr>
          <w:p>
            <w:pPr>
              <w:widowControl/>
              <w:jc w:val="center"/>
              <w:textAlignment w:val="center"/>
              <w:rPr>
                <w:rFonts w:hint="eastAsia" w:ascii="宋体" w:hAnsi="宋体" w:eastAsia="宋体" w:cs="宋体"/>
                <w:bCs/>
                <w:kern w:val="0"/>
                <w:sz w:val="24"/>
                <w:szCs w:val="24"/>
              </w:rPr>
            </w:pPr>
          </w:p>
        </w:tc>
        <w:tc>
          <w:tcPr>
            <w:tcW w:w="7138" w:type="dxa"/>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支持远程协助功能，管理员在云桌面控制台中可以直接向需要协助的用户发起远程协助，用户桌面无需安装任何辅助软件。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8" w:hRule="atLeast"/>
        </w:trPr>
        <w:tc>
          <w:tcPr>
            <w:tcW w:w="1099" w:type="dxa"/>
            <w:vMerge w:val="continue"/>
            <w:noWrap w:val="0"/>
            <w:vAlign w:val="center"/>
          </w:tcPr>
          <w:p>
            <w:pPr>
              <w:widowControl/>
              <w:jc w:val="center"/>
              <w:textAlignment w:val="center"/>
              <w:rPr>
                <w:rFonts w:hint="eastAsia" w:ascii="宋体" w:hAnsi="宋体" w:eastAsia="宋体" w:cs="宋体"/>
                <w:bCs/>
                <w:kern w:val="0"/>
                <w:sz w:val="24"/>
                <w:szCs w:val="24"/>
              </w:rPr>
            </w:pPr>
          </w:p>
        </w:tc>
        <w:tc>
          <w:tcPr>
            <w:tcW w:w="7138" w:type="dxa"/>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支持联动关机技术，可以跟使用PC一样，打开操作系统“开始”菜单、点击“关机”按钮，桌面云终端和操作系统将会一体化关闭，没有多余的操作步骤。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8" w:hRule="atLeast"/>
        </w:trPr>
        <w:tc>
          <w:tcPr>
            <w:tcW w:w="1099" w:type="dxa"/>
            <w:vMerge w:val="continue"/>
            <w:noWrap w:val="0"/>
            <w:vAlign w:val="center"/>
          </w:tcPr>
          <w:p>
            <w:pPr>
              <w:widowControl/>
              <w:jc w:val="center"/>
              <w:textAlignment w:val="center"/>
              <w:rPr>
                <w:rFonts w:hint="eastAsia" w:ascii="宋体" w:hAnsi="宋体" w:eastAsia="宋体" w:cs="宋体"/>
                <w:bCs/>
                <w:kern w:val="0"/>
                <w:sz w:val="24"/>
                <w:szCs w:val="24"/>
              </w:rPr>
            </w:pPr>
          </w:p>
        </w:tc>
        <w:tc>
          <w:tcPr>
            <w:tcW w:w="7138" w:type="dxa"/>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支持视频重定向，支持本地本地播放器，以及优酷、土豆、腾讯等多种在线视频网站，要求播放1080P高清视频时，桌面CPU利用率不高于15%。</w:t>
            </w:r>
          </w:p>
          <w:p>
            <w:pPr>
              <w:widowControl/>
              <w:jc w:val="left"/>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支持USB外设映射，兼容高拍仪、扫描枪、扫描仪、摄像头、密码小键盘、指纹收集器、身份证读卡器、手写板、打印机、USB-key等不同外设。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8" w:hRule="atLeast"/>
        </w:trPr>
        <w:tc>
          <w:tcPr>
            <w:tcW w:w="1099" w:type="dxa"/>
            <w:vMerge w:val="continue"/>
            <w:noWrap w:val="0"/>
            <w:vAlign w:val="center"/>
          </w:tcPr>
          <w:p>
            <w:pPr>
              <w:widowControl/>
              <w:jc w:val="center"/>
              <w:textAlignment w:val="center"/>
              <w:rPr>
                <w:rFonts w:hint="eastAsia" w:ascii="宋体" w:hAnsi="宋体" w:eastAsia="宋体" w:cs="宋体"/>
                <w:bCs/>
                <w:kern w:val="0"/>
                <w:sz w:val="24"/>
                <w:szCs w:val="24"/>
              </w:rPr>
            </w:pPr>
          </w:p>
        </w:tc>
        <w:tc>
          <w:tcPr>
            <w:tcW w:w="7138" w:type="dxa"/>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支持云桌面导航条显示网络状态，支持导航条显示当前终端（瘦终端、PC客户端）与云桌面控制台之间的网络状态，网络状态会以不同的信号格数显示，用户可以实时查看网络状态和时延，当网络状态不佳时在后台进行日志记录，方便管理员进行网络状态查询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8" w:hRule="atLeast"/>
        </w:trPr>
        <w:tc>
          <w:tcPr>
            <w:tcW w:w="1099" w:type="dxa"/>
            <w:vMerge w:val="continue"/>
            <w:noWrap w:val="0"/>
            <w:vAlign w:val="center"/>
          </w:tcPr>
          <w:p>
            <w:pPr>
              <w:widowControl/>
              <w:jc w:val="center"/>
              <w:textAlignment w:val="center"/>
              <w:rPr>
                <w:rFonts w:hint="eastAsia" w:ascii="宋体" w:hAnsi="宋体" w:eastAsia="宋体" w:cs="宋体"/>
                <w:bCs/>
                <w:kern w:val="0"/>
                <w:sz w:val="24"/>
                <w:szCs w:val="24"/>
              </w:rPr>
            </w:pPr>
          </w:p>
        </w:tc>
        <w:tc>
          <w:tcPr>
            <w:tcW w:w="7138" w:type="dxa"/>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支持自助快照恢复，当用户自己误操作导致云桌面卡慢、蓝屏、死机或者中病毒的时候，用户通过导航条按钮，可以自助进行系统盘快照还原操作，支持安卓瘦终端、PC客户端</w:t>
            </w:r>
            <w:r>
              <w:rPr>
                <w:rFonts w:hint="eastAsia" w:ascii="宋体" w:hAnsi="宋体" w:eastAsia="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8" w:hRule="atLeast"/>
        </w:trPr>
        <w:tc>
          <w:tcPr>
            <w:tcW w:w="1099" w:type="dxa"/>
            <w:vMerge w:val="continue"/>
            <w:noWrap w:val="0"/>
            <w:vAlign w:val="center"/>
          </w:tcPr>
          <w:p>
            <w:pPr>
              <w:widowControl/>
              <w:jc w:val="center"/>
              <w:textAlignment w:val="center"/>
              <w:rPr>
                <w:rFonts w:hint="eastAsia" w:ascii="宋体" w:hAnsi="宋体" w:eastAsia="宋体" w:cs="宋体"/>
                <w:bCs/>
                <w:kern w:val="0"/>
                <w:sz w:val="24"/>
                <w:szCs w:val="24"/>
              </w:rPr>
            </w:pPr>
          </w:p>
        </w:tc>
        <w:tc>
          <w:tcPr>
            <w:tcW w:w="7138" w:type="dxa"/>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客户端连接虚拟桌面无需依赖虚拟机IP，在虚拟机网卡被禁用或被更改IP的情况下，云桌面业务不会中断，这样可以防止因误操作而导致连接中断。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8" w:hRule="atLeast"/>
        </w:trPr>
        <w:tc>
          <w:tcPr>
            <w:tcW w:w="1099" w:type="dxa"/>
            <w:vMerge w:val="restart"/>
            <w:noWrap w:val="0"/>
            <w:vAlign w:val="center"/>
          </w:tcPr>
          <w:p>
            <w:pPr>
              <w:widowControl/>
              <w:jc w:val="center"/>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运维功能</w:t>
            </w:r>
          </w:p>
        </w:tc>
        <w:tc>
          <w:tcPr>
            <w:tcW w:w="7138" w:type="dxa"/>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支持虚拟机自由分组、支持修改计算机名称、支持根据虚拟机名称、关联用户、用户描述、IP、MAC、所属资源、所属平台等信息搜索虚拟机。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8" w:hRule="atLeast"/>
        </w:trPr>
        <w:tc>
          <w:tcPr>
            <w:tcW w:w="1099" w:type="dxa"/>
            <w:vMerge w:val="continue"/>
            <w:noWrap w:val="0"/>
            <w:vAlign w:val="center"/>
          </w:tcPr>
          <w:p>
            <w:pPr>
              <w:widowControl/>
              <w:jc w:val="center"/>
              <w:textAlignment w:val="center"/>
              <w:rPr>
                <w:rFonts w:hint="eastAsia" w:ascii="宋体" w:hAnsi="宋体" w:eastAsia="宋体" w:cs="宋体"/>
                <w:bCs/>
                <w:kern w:val="0"/>
                <w:sz w:val="24"/>
                <w:szCs w:val="24"/>
              </w:rPr>
            </w:pPr>
          </w:p>
        </w:tc>
        <w:tc>
          <w:tcPr>
            <w:tcW w:w="7138" w:type="dxa"/>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支持为运行中的云桌面虚拟机进行分组管理和批量设置IP，提升IT人员桌面维护效率。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8" w:hRule="atLeast"/>
        </w:trPr>
        <w:tc>
          <w:tcPr>
            <w:tcW w:w="1099" w:type="dxa"/>
            <w:vMerge w:val="continue"/>
            <w:noWrap w:val="0"/>
            <w:vAlign w:val="center"/>
          </w:tcPr>
          <w:p>
            <w:pPr>
              <w:widowControl/>
              <w:jc w:val="center"/>
              <w:textAlignment w:val="center"/>
              <w:rPr>
                <w:rFonts w:hint="eastAsia" w:ascii="宋体" w:hAnsi="宋体" w:eastAsia="宋体" w:cs="宋体"/>
                <w:bCs/>
                <w:kern w:val="0"/>
                <w:sz w:val="24"/>
                <w:szCs w:val="24"/>
              </w:rPr>
            </w:pPr>
          </w:p>
        </w:tc>
        <w:tc>
          <w:tcPr>
            <w:tcW w:w="7138" w:type="dxa"/>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 xml:space="preserve">支持模板克隆技术，克隆时可指定虚拟机数量、运行位置、存储位置、网口信息、磁盘大小，本项目要求100个虚拟机派时间不超过5分钟。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8" w:hRule="atLeast"/>
        </w:trPr>
        <w:tc>
          <w:tcPr>
            <w:tcW w:w="1099" w:type="dxa"/>
            <w:vMerge w:val="continue"/>
            <w:noWrap w:val="0"/>
            <w:vAlign w:val="center"/>
          </w:tcPr>
          <w:p>
            <w:pPr>
              <w:widowControl/>
              <w:jc w:val="center"/>
              <w:textAlignment w:val="center"/>
              <w:rPr>
                <w:rFonts w:hint="eastAsia" w:ascii="宋体" w:hAnsi="宋体" w:eastAsia="宋体" w:cs="宋体"/>
                <w:bCs/>
                <w:kern w:val="0"/>
                <w:sz w:val="24"/>
                <w:szCs w:val="24"/>
              </w:rPr>
            </w:pPr>
          </w:p>
        </w:tc>
        <w:tc>
          <w:tcPr>
            <w:tcW w:w="7138" w:type="dxa"/>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支持设置虚拟机开关机计划，一方面可避免并发开机IO风暴问题，另一方面可释放服务器资源。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8" w:hRule="atLeast"/>
        </w:trPr>
        <w:tc>
          <w:tcPr>
            <w:tcW w:w="1099" w:type="dxa"/>
            <w:vMerge w:val="continue"/>
            <w:noWrap w:val="0"/>
            <w:vAlign w:val="center"/>
          </w:tcPr>
          <w:p>
            <w:pPr>
              <w:widowControl/>
              <w:jc w:val="center"/>
              <w:textAlignment w:val="center"/>
              <w:rPr>
                <w:rFonts w:hint="eastAsia" w:ascii="宋体" w:hAnsi="宋体" w:eastAsia="宋体" w:cs="宋体"/>
                <w:bCs/>
                <w:kern w:val="0"/>
                <w:sz w:val="24"/>
                <w:szCs w:val="24"/>
              </w:rPr>
            </w:pPr>
          </w:p>
        </w:tc>
        <w:tc>
          <w:tcPr>
            <w:tcW w:w="7138" w:type="dxa"/>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支持软件分发，通过创建软件库并关联给虚拟机，实现应用软件、驱动程序的增量式更新，不需要在每个虚拟机执行安装过程，整个分发过程秒级完成。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8" w:hRule="atLeast"/>
        </w:trPr>
        <w:tc>
          <w:tcPr>
            <w:tcW w:w="1099" w:type="dxa"/>
            <w:vMerge w:val="continue"/>
            <w:noWrap w:val="0"/>
            <w:vAlign w:val="center"/>
          </w:tcPr>
          <w:p>
            <w:pPr>
              <w:widowControl/>
              <w:jc w:val="center"/>
              <w:textAlignment w:val="center"/>
              <w:rPr>
                <w:rFonts w:hint="eastAsia" w:ascii="宋体" w:hAnsi="宋体" w:eastAsia="宋体" w:cs="宋体"/>
                <w:bCs/>
                <w:kern w:val="0"/>
                <w:sz w:val="24"/>
                <w:szCs w:val="24"/>
              </w:rPr>
            </w:pPr>
          </w:p>
        </w:tc>
        <w:tc>
          <w:tcPr>
            <w:tcW w:w="7138" w:type="dxa"/>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支持为云桌面设置还原模式，在操作系统重启后，除个人数据之外其他内容均还原为初始状态，始终为用户呈现干净可用的桌面环境，降低系统故障率。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8" w:hRule="atLeast"/>
        </w:trPr>
        <w:tc>
          <w:tcPr>
            <w:tcW w:w="1099" w:type="dxa"/>
            <w:vMerge w:val="continue"/>
            <w:noWrap w:val="0"/>
            <w:vAlign w:val="center"/>
          </w:tcPr>
          <w:p>
            <w:pPr>
              <w:widowControl/>
              <w:jc w:val="center"/>
              <w:textAlignment w:val="center"/>
              <w:rPr>
                <w:rFonts w:hint="eastAsia" w:ascii="宋体" w:hAnsi="宋体" w:eastAsia="宋体" w:cs="宋体"/>
                <w:bCs/>
                <w:kern w:val="0"/>
                <w:sz w:val="24"/>
                <w:szCs w:val="24"/>
              </w:rPr>
            </w:pPr>
          </w:p>
        </w:tc>
        <w:tc>
          <w:tcPr>
            <w:tcW w:w="7138" w:type="dxa"/>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支持AD域离线认证，在AD域服务器故障离线后，用户依然可以用AD账号认证登录桌面云。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8" w:hRule="atLeast"/>
        </w:trPr>
        <w:tc>
          <w:tcPr>
            <w:tcW w:w="1099" w:type="dxa"/>
            <w:vMerge w:val="continue"/>
            <w:noWrap w:val="0"/>
            <w:vAlign w:val="center"/>
          </w:tcPr>
          <w:p>
            <w:pPr>
              <w:widowControl/>
              <w:jc w:val="center"/>
              <w:textAlignment w:val="center"/>
              <w:rPr>
                <w:rFonts w:hint="eastAsia" w:ascii="宋体" w:hAnsi="宋体" w:eastAsia="宋体" w:cs="宋体"/>
                <w:bCs/>
                <w:kern w:val="0"/>
                <w:sz w:val="24"/>
                <w:szCs w:val="24"/>
              </w:rPr>
            </w:pPr>
          </w:p>
        </w:tc>
        <w:tc>
          <w:tcPr>
            <w:tcW w:w="7138" w:type="dxa"/>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支持集中分配个人磁盘，并可以指定磁盘空间大小，在空间不足时还可以为用户新增个人磁盘，以满足用户文档存储需求。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8" w:hRule="atLeast"/>
        </w:trPr>
        <w:tc>
          <w:tcPr>
            <w:tcW w:w="1099" w:type="dxa"/>
            <w:vMerge w:val="continue"/>
            <w:noWrap w:val="0"/>
            <w:vAlign w:val="center"/>
          </w:tcPr>
          <w:p>
            <w:pPr>
              <w:widowControl/>
              <w:jc w:val="center"/>
              <w:textAlignment w:val="center"/>
              <w:rPr>
                <w:rFonts w:hint="eastAsia" w:ascii="宋体" w:hAnsi="宋体" w:eastAsia="宋体" w:cs="宋体"/>
                <w:bCs/>
                <w:kern w:val="0"/>
                <w:sz w:val="24"/>
                <w:szCs w:val="24"/>
              </w:rPr>
            </w:pPr>
          </w:p>
        </w:tc>
        <w:tc>
          <w:tcPr>
            <w:tcW w:w="7138" w:type="dxa"/>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支持控制器、服务器等组件故障后，通过邮件等方式告警。支持管理员给在线用户推送消息和通知，管理员可以根据需求发给指定用户或者发给所有用户。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8" w:hRule="atLeast"/>
        </w:trPr>
        <w:tc>
          <w:tcPr>
            <w:tcW w:w="1099" w:type="dxa"/>
            <w:vMerge w:val="continue"/>
            <w:noWrap w:val="0"/>
            <w:vAlign w:val="center"/>
          </w:tcPr>
          <w:p>
            <w:pPr>
              <w:widowControl/>
              <w:jc w:val="center"/>
              <w:textAlignment w:val="center"/>
              <w:rPr>
                <w:rFonts w:hint="eastAsia" w:ascii="宋体" w:hAnsi="宋体" w:eastAsia="宋体" w:cs="宋体"/>
                <w:bCs/>
                <w:kern w:val="0"/>
                <w:sz w:val="24"/>
                <w:szCs w:val="24"/>
              </w:rPr>
            </w:pPr>
          </w:p>
        </w:tc>
        <w:tc>
          <w:tcPr>
            <w:tcW w:w="7138" w:type="dxa"/>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要求支持快照技术，当系统故障时可实现故障回滚；同时支持增量保存快照数据，以节省存储空间。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8" w:hRule="atLeast"/>
        </w:trPr>
        <w:tc>
          <w:tcPr>
            <w:tcW w:w="1099" w:type="dxa"/>
            <w:vMerge w:val="restart"/>
            <w:noWrap w:val="0"/>
            <w:vAlign w:val="center"/>
          </w:tcPr>
          <w:p>
            <w:pPr>
              <w:widowControl/>
              <w:jc w:val="center"/>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安全管理</w:t>
            </w:r>
          </w:p>
        </w:tc>
        <w:tc>
          <w:tcPr>
            <w:tcW w:w="7138" w:type="dxa"/>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支持多种身份认证方式随需组合，至少应包括账号密码、usb-key认证、短信认证、硬件特征绑定等</w:t>
            </w:r>
            <w:r>
              <w:rPr>
                <w:rFonts w:hint="eastAsia" w:ascii="宋体" w:hAnsi="宋体" w:cs="宋体"/>
                <w:bCs/>
                <w:kern w:val="0"/>
                <w:sz w:val="24"/>
                <w:szCs w:val="24"/>
                <w:lang w:val="en-US" w:eastAsia="zh-CN"/>
              </w:rPr>
              <w:t>4</w:t>
            </w:r>
            <w:r>
              <w:rPr>
                <w:rFonts w:hint="eastAsia" w:ascii="宋体" w:hAnsi="宋体" w:eastAsia="宋体" w:cs="宋体"/>
                <w:bCs/>
                <w:kern w:val="0"/>
                <w:sz w:val="24"/>
                <w:szCs w:val="24"/>
              </w:rPr>
              <w:t>种方式，支持设置首次登录强制修改密码、定时修改密码、图形校验码和软键盘等密码安全策略，以保障认证密码安全性，避免越权访问行为。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8" w:hRule="atLeast"/>
        </w:trPr>
        <w:tc>
          <w:tcPr>
            <w:tcW w:w="1099" w:type="dxa"/>
            <w:vMerge w:val="continue"/>
            <w:noWrap w:val="0"/>
            <w:vAlign w:val="center"/>
          </w:tcPr>
          <w:p>
            <w:pPr>
              <w:widowControl/>
              <w:jc w:val="center"/>
              <w:textAlignment w:val="center"/>
              <w:rPr>
                <w:rFonts w:hint="eastAsia" w:ascii="宋体" w:hAnsi="宋体" w:eastAsia="宋体" w:cs="宋体"/>
                <w:bCs/>
                <w:kern w:val="0"/>
                <w:sz w:val="24"/>
                <w:szCs w:val="24"/>
              </w:rPr>
            </w:pPr>
          </w:p>
        </w:tc>
        <w:tc>
          <w:tcPr>
            <w:tcW w:w="7138" w:type="dxa"/>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支持在管理组件中内置应用管控技术，实现全方位云桌面管控，在禁止名单中可以通过配置规则禁止指定应用或进程在云桌面中运行；在允许名单中通过配置规则只允许规则中的应用或进程在云桌面中运行。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8" w:hRule="atLeast"/>
        </w:trPr>
        <w:tc>
          <w:tcPr>
            <w:tcW w:w="1099" w:type="dxa"/>
            <w:vMerge w:val="continue"/>
            <w:noWrap w:val="0"/>
            <w:vAlign w:val="center"/>
          </w:tcPr>
          <w:p>
            <w:pPr>
              <w:widowControl/>
              <w:jc w:val="center"/>
              <w:textAlignment w:val="center"/>
              <w:rPr>
                <w:rFonts w:hint="eastAsia" w:ascii="宋体" w:hAnsi="宋体" w:eastAsia="宋体" w:cs="宋体"/>
                <w:bCs/>
                <w:kern w:val="0"/>
                <w:sz w:val="24"/>
                <w:szCs w:val="24"/>
              </w:rPr>
            </w:pPr>
          </w:p>
        </w:tc>
        <w:tc>
          <w:tcPr>
            <w:tcW w:w="7138" w:type="dxa"/>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支持客户端安全检测，可根据用户接入的终端类型、操作系统版本、接入IP和时间、软件安装情况等指定访问策略，如客户端不满足安全检测要求则不允许接入，有效保障接入安全性。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8" w:hRule="atLeast"/>
        </w:trPr>
        <w:tc>
          <w:tcPr>
            <w:tcW w:w="1099" w:type="dxa"/>
            <w:vMerge w:val="continue"/>
            <w:noWrap w:val="0"/>
            <w:vAlign w:val="center"/>
          </w:tcPr>
          <w:p>
            <w:pPr>
              <w:widowControl/>
              <w:jc w:val="center"/>
              <w:textAlignment w:val="center"/>
              <w:rPr>
                <w:rFonts w:hint="eastAsia" w:ascii="宋体" w:hAnsi="宋体" w:eastAsia="宋体" w:cs="宋体"/>
                <w:bCs/>
                <w:kern w:val="0"/>
                <w:sz w:val="24"/>
                <w:szCs w:val="24"/>
              </w:rPr>
            </w:pPr>
          </w:p>
        </w:tc>
        <w:tc>
          <w:tcPr>
            <w:tcW w:w="7138" w:type="dxa"/>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支持文件导出内容审计，开启文件安全导出后，虚拟机通过剪切板、PC设备和USB设备外发文件的操作将被禁止，用户可以使用虚拟机内部的文件导出工具实现文件外发，所有外发的文件内容都可以加密备份到数据中心，以备后续审计使用，可疑的导出行为会产生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8" w:hRule="atLeast"/>
        </w:trPr>
        <w:tc>
          <w:tcPr>
            <w:tcW w:w="1099" w:type="dxa"/>
            <w:vMerge w:val="continue"/>
            <w:noWrap w:val="0"/>
            <w:vAlign w:val="center"/>
          </w:tcPr>
          <w:p>
            <w:pPr>
              <w:widowControl/>
              <w:jc w:val="center"/>
              <w:textAlignment w:val="center"/>
              <w:rPr>
                <w:rFonts w:hint="eastAsia" w:ascii="宋体" w:hAnsi="宋体" w:eastAsia="宋体" w:cs="宋体"/>
                <w:bCs/>
                <w:kern w:val="0"/>
                <w:sz w:val="24"/>
                <w:szCs w:val="24"/>
              </w:rPr>
            </w:pPr>
          </w:p>
        </w:tc>
        <w:tc>
          <w:tcPr>
            <w:tcW w:w="7138" w:type="dxa"/>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支持USB黑白名单技术，能够精准识别每一款不同类型的外设（包括高拍仪、摄像头、USB光驱、认证key等），并设置放通或者限制策略，提高管控粒度和安全性。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8" w:hRule="atLeast"/>
        </w:trPr>
        <w:tc>
          <w:tcPr>
            <w:tcW w:w="1099" w:type="dxa"/>
            <w:vMerge w:val="continue"/>
            <w:noWrap w:val="0"/>
            <w:vAlign w:val="center"/>
          </w:tcPr>
          <w:p>
            <w:pPr>
              <w:widowControl/>
              <w:jc w:val="center"/>
              <w:textAlignment w:val="center"/>
              <w:rPr>
                <w:rFonts w:hint="eastAsia" w:ascii="宋体" w:hAnsi="宋体" w:eastAsia="宋体" w:cs="宋体"/>
                <w:bCs/>
                <w:kern w:val="0"/>
                <w:sz w:val="24"/>
                <w:szCs w:val="24"/>
              </w:rPr>
            </w:pPr>
          </w:p>
        </w:tc>
        <w:tc>
          <w:tcPr>
            <w:tcW w:w="7138" w:type="dxa"/>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支持临时权限，管理员为部分用户临时在某个时间段内放通usb和pc剪切板等权限，并在到期后自动回收该权限，保证数据安全。支持用户终端与云桌面平台之间采用VPN隧道传输，实现数据加密，保障外网接入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8" w:hRule="atLeast"/>
        </w:trPr>
        <w:tc>
          <w:tcPr>
            <w:tcW w:w="1099" w:type="dxa"/>
            <w:vMerge w:val="continue"/>
            <w:noWrap w:val="0"/>
            <w:vAlign w:val="center"/>
          </w:tcPr>
          <w:p>
            <w:pPr>
              <w:widowControl/>
              <w:jc w:val="center"/>
              <w:textAlignment w:val="center"/>
              <w:rPr>
                <w:rFonts w:hint="eastAsia" w:ascii="宋体" w:hAnsi="宋体" w:eastAsia="宋体" w:cs="宋体"/>
                <w:bCs/>
                <w:kern w:val="0"/>
                <w:sz w:val="24"/>
                <w:szCs w:val="24"/>
              </w:rPr>
            </w:pPr>
          </w:p>
        </w:tc>
        <w:tc>
          <w:tcPr>
            <w:tcW w:w="7138" w:type="dxa"/>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要求支持个人盘加密技术，对云桌面个人数据进行加密保存，保障个人隐私安全。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88" w:hRule="atLeast"/>
        </w:trPr>
        <w:tc>
          <w:tcPr>
            <w:tcW w:w="1099" w:type="dxa"/>
            <w:vMerge w:val="continue"/>
            <w:noWrap w:val="0"/>
            <w:vAlign w:val="center"/>
          </w:tcPr>
          <w:p>
            <w:pPr>
              <w:widowControl/>
              <w:jc w:val="center"/>
              <w:textAlignment w:val="center"/>
              <w:rPr>
                <w:rFonts w:hint="eastAsia" w:ascii="宋体" w:hAnsi="宋体" w:eastAsia="宋体" w:cs="宋体"/>
                <w:bCs/>
                <w:kern w:val="0"/>
                <w:sz w:val="24"/>
                <w:szCs w:val="24"/>
              </w:rPr>
            </w:pPr>
          </w:p>
        </w:tc>
        <w:tc>
          <w:tcPr>
            <w:tcW w:w="7138" w:type="dxa"/>
            <w:noWrap w:val="0"/>
            <w:vAlign w:val="center"/>
          </w:tcPr>
          <w:p>
            <w:pPr>
              <w:widowControl/>
              <w:jc w:val="left"/>
              <w:textAlignment w:val="center"/>
              <w:rPr>
                <w:rFonts w:hint="eastAsia" w:ascii="宋体" w:hAnsi="宋体" w:eastAsia="宋体" w:cs="宋体"/>
                <w:bCs/>
                <w:kern w:val="0"/>
                <w:sz w:val="24"/>
                <w:szCs w:val="24"/>
              </w:rPr>
            </w:pPr>
            <w:r>
              <w:rPr>
                <w:rFonts w:hint="eastAsia" w:ascii="宋体" w:hAnsi="宋体" w:eastAsia="宋体" w:cs="宋体"/>
                <w:bCs/>
                <w:kern w:val="0"/>
                <w:sz w:val="24"/>
                <w:szCs w:val="24"/>
              </w:rPr>
              <w:t>桌面云控制器内置防火墙，包括设置过滤规则、NAT设置、访问监控、防DOS攻击、QOS上传下载规则等。</w:t>
            </w:r>
          </w:p>
        </w:tc>
      </w:tr>
    </w:tbl>
    <w:p>
      <w:pPr>
        <w:pStyle w:val="31"/>
        <w:ind w:firstLine="0" w:firstLineChars="0"/>
        <w:outlineLvl w:val="1"/>
        <w:rPr>
          <w:rFonts w:ascii="宋体" w:hAnsi="宋体"/>
          <w:b/>
          <w:color w:val="000000"/>
          <w:sz w:val="24"/>
          <w:szCs w:val="24"/>
        </w:rPr>
      </w:pPr>
    </w:p>
    <w:p>
      <w:pPr>
        <w:pStyle w:val="31"/>
        <w:ind w:firstLine="0" w:firstLineChars="0"/>
        <w:outlineLvl w:val="1"/>
        <w:rPr>
          <w:rFonts w:hint="eastAsia" w:ascii="宋体" w:hAnsi="宋体"/>
          <w:b/>
          <w:color w:val="000000"/>
          <w:sz w:val="24"/>
          <w:szCs w:val="24"/>
        </w:rPr>
      </w:pPr>
      <w:r>
        <w:rPr>
          <w:rFonts w:ascii="宋体" w:hAnsi="宋体"/>
          <w:b/>
          <w:color w:val="000000"/>
          <w:sz w:val="24"/>
          <w:szCs w:val="24"/>
        </w:rPr>
        <w:t>9</w:t>
      </w:r>
      <w:r>
        <w:rPr>
          <w:rFonts w:hint="eastAsia" w:ascii="宋体" w:hAnsi="宋体"/>
          <w:b/>
          <w:color w:val="000000"/>
          <w:sz w:val="24"/>
          <w:szCs w:val="24"/>
        </w:rPr>
        <w:t>、云桌面瘦终端（</w:t>
      </w:r>
      <w:r>
        <w:rPr>
          <w:rFonts w:hint="eastAsia" w:ascii="宋体" w:hAnsi="宋体"/>
          <w:b/>
          <w:color w:val="FF0000"/>
          <w:sz w:val="24"/>
          <w:szCs w:val="24"/>
          <w:lang w:val="en-US" w:eastAsia="zh-CN"/>
        </w:rPr>
        <w:t>100</w:t>
      </w:r>
      <w:r>
        <w:rPr>
          <w:rFonts w:hint="eastAsia" w:ascii="宋体" w:hAnsi="宋体"/>
          <w:b/>
          <w:color w:val="000000"/>
          <w:sz w:val="24"/>
          <w:szCs w:val="24"/>
        </w:rPr>
        <w:t>台）</w:t>
      </w:r>
    </w:p>
    <w:tbl>
      <w:tblPr>
        <w:tblStyle w:val="23"/>
        <w:tblW w:w="8095" w:type="dxa"/>
        <w:jc w:val="center"/>
        <w:tblInd w:w="0" w:type="dxa"/>
        <w:tblLayout w:type="fixed"/>
        <w:tblCellMar>
          <w:top w:w="0" w:type="dxa"/>
          <w:left w:w="108" w:type="dxa"/>
          <w:bottom w:w="0" w:type="dxa"/>
          <w:right w:w="108" w:type="dxa"/>
        </w:tblCellMar>
      </w:tblPr>
      <w:tblGrid>
        <w:gridCol w:w="1157"/>
        <w:gridCol w:w="6938"/>
      </w:tblGrid>
      <w:tr>
        <w:tblPrEx>
          <w:tblLayout w:type="fixed"/>
          <w:tblCellMar>
            <w:top w:w="0" w:type="dxa"/>
            <w:left w:w="108" w:type="dxa"/>
            <w:bottom w:w="0" w:type="dxa"/>
            <w:right w:w="108" w:type="dxa"/>
          </w:tblCellMar>
        </w:tblPrEx>
        <w:trPr>
          <w:trHeight w:val="355" w:hRule="atLeast"/>
          <w:jc w:val="center"/>
        </w:trPr>
        <w:tc>
          <w:tcPr>
            <w:tcW w:w="1157" w:type="dxa"/>
            <w:tcBorders>
              <w:top w:val="single" w:color="auto" w:sz="8" w:space="0"/>
              <w:left w:val="single" w:color="auto" w:sz="8" w:space="0"/>
              <w:bottom w:val="single" w:color="auto" w:sz="4" w:space="0"/>
              <w:right w:val="single" w:color="auto" w:sz="8" w:space="0"/>
            </w:tcBorders>
            <w:noWrap w:val="0"/>
            <w:vAlign w:val="center"/>
          </w:tcPr>
          <w:p>
            <w:pPr>
              <w:rPr>
                <w:rFonts w:ascii="宋体" w:hAnsi="宋体"/>
                <w:b/>
                <w:bCs/>
                <w:sz w:val="24"/>
                <w:szCs w:val="24"/>
              </w:rPr>
            </w:pPr>
            <w:r>
              <w:rPr>
                <w:rFonts w:hint="eastAsia" w:ascii="宋体" w:hAnsi="宋体"/>
                <w:b/>
                <w:bCs/>
                <w:sz w:val="24"/>
                <w:szCs w:val="24"/>
              </w:rPr>
              <w:t>指标项</w:t>
            </w:r>
          </w:p>
        </w:tc>
        <w:tc>
          <w:tcPr>
            <w:tcW w:w="6938" w:type="dxa"/>
            <w:tcBorders>
              <w:top w:val="single" w:color="auto" w:sz="8" w:space="0"/>
              <w:left w:val="nil"/>
              <w:bottom w:val="single" w:color="auto" w:sz="8" w:space="0"/>
              <w:right w:val="single" w:color="auto" w:sz="8" w:space="0"/>
            </w:tcBorders>
            <w:noWrap w:val="0"/>
            <w:vAlign w:val="center"/>
          </w:tcPr>
          <w:p>
            <w:pPr>
              <w:jc w:val="center"/>
              <w:rPr>
                <w:rFonts w:ascii="宋体" w:hAnsi="宋体"/>
                <w:b/>
                <w:bCs/>
                <w:sz w:val="24"/>
                <w:szCs w:val="24"/>
              </w:rPr>
            </w:pPr>
            <w:r>
              <w:rPr>
                <w:rFonts w:hint="eastAsia" w:ascii="宋体" w:hAnsi="宋体"/>
                <w:b/>
                <w:bCs/>
                <w:sz w:val="24"/>
                <w:szCs w:val="24"/>
              </w:rPr>
              <w:t>指标要求</w:t>
            </w:r>
          </w:p>
        </w:tc>
      </w:tr>
      <w:tr>
        <w:tblPrEx>
          <w:tblLayout w:type="fixed"/>
          <w:tblCellMar>
            <w:top w:w="0" w:type="dxa"/>
            <w:left w:w="108" w:type="dxa"/>
            <w:bottom w:w="0" w:type="dxa"/>
            <w:right w:w="108" w:type="dxa"/>
          </w:tblCellMar>
        </w:tblPrEx>
        <w:trPr>
          <w:trHeight w:val="300" w:hRule="atLeast"/>
          <w:jc w:val="center"/>
        </w:trPr>
        <w:tc>
          <w:tcPr>
            <w:tcW w:w="115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cs="宋体"/>
                <w:sz w:val="24"/>
                <w:szCs w:val="24"/>
              </w:rPr>
              <w:t>处理器</w:t>
            </w:r>
          </w:p>
        </w:tc>
        <w:tc>
          <w:tcPr>
            <w:tcW w:w="6938" w:type="dxa"/>
            <w:tcBorders>
              <w:top w:val="nil"/>
              <w:left w:val="single" w:color="auto" w:sz="4" w:space="0"/>
              <w:bottom w:val="single" w:color="auto" w:sz="8" w:space="0"/>
              <w:right w:val="single" w:color="auto" w:sz="8" w:space="0"/>
            </w:tcBorders>
            <w:noWrap w:val="0"/>
            <w:vAlign w:val="center"/>
          </w:tcPr>
          <w:p>
            <w:pPr>
              <w:widowControl/>
              <w:jc w:val="left"/>
              <w:textAlignment w:val="center"/>
              <w:rPr>
                <w:rFonts w:hint="eastAsia" w:ascii="宋体" w:hAnsi="宋体" w:cs="宋体"/>
                <w:bCs/>
                <w:kern w:val="0"/>
                <w:sz w:val="24"/>
                <w:szCs w:val="24"/>
              </w:rPr>
            </w:pPr>
            <w:r>
              <w:rPr>
                <w:rFonts w:hint="eastAsia" w:ascii="宋体" w:hAnsi="宋体" w:cs="宋体"/>
                <w:bCs/>
                <w:kern w:val="0"/>
                <w:sz w:val="24"/>
                <w:szCs w:val="24"/>
              </w:rPr>
              <w:t>★采用四核处理器，主频1.8Ghz及以上，支持Linux操作系统；</w:t>
            </w:r>
          </w:p>
        </w:tc>
      </w:tr>
      <w:tr>
        <w:tblPrEx>
          <w:tblLayout w:type="fixed"/>
          <w:tblCellMar>
            <w:top w:w="0" w:type="dxa"/>
            <w:left w:w="108" w:type="dxa"/>
            <w:bottom w:w="0" w:type="dxa"/>
            <w:right w:w="108" w:type="dxa"/>
          </w:tblCellMar>
        </w:tblPrEx>
        <w:trPr>
          <w:trHeight w:val="465" w:hRule="atLeast"/>
          <w:jc w:val="center"/>
        </w:trPr>
        <w:tc>
          <w:tcPr>
            <w:tcW w:w="11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内存</w:t>
            </w:r>
          </w:p>
        </w:tc>
        <w:tc>
          <w:tcPr>
            <w:tcW w:w="6938" w:type="dxa"/>
            <w:tcBorders>
              <w:top w:val="nil"/>
              <w:left w:val="single" w:color="auto" w:sz="4" w:space="0"/>
              <w:bottom w:val="single" w:color="auto" w:sz="8" w:space="0"/>
              <w:right w:val="single" w:color="auto" w:sz="8" w:space="0"/>
            </w:tcBorders>
            <w:noWrap w:val="0"/>
            <w:vAlign w:val="center"/>
          </w:tcPr>
          <w:p>
            <w:pPr>
              <w:widowControl/>
              <w:jc w:val="left"/>
              <w:textAlignment w:val="center"/>
              <w:rPr>
                <w:rFonts w:hint="eastAsia" w:ascii="宋体" w:hAnsi="宋体" w:cs="宋体"/>
                <w:bCs/>
                <w:kern w:val="0"/>
                <w:sz w:val="24"/>
                <w:szCs w:val="24"/>
              </w:rPr>
            </w:pPr>
            <w:r>
              <w:rPr>
                <w:rFonts w:hint="eastAsia" w:ascii="宋体" w:hAnsi="宋体" w:cs="宋体"/>
                <w:bCs/>
                <w:kern w:val="0"/>
                <w:sz w:val="24"/>
                <w:szCs w:val="24"/>
              </w:rPr>
              <w:t>使用DDR3内存≥2G，存储≥8G；</w:t>
            </w:r>
          </w:p>
        </w:tc>
      </w:tr>
      <w:tr>
        <w:tblPrEx>
          <w:tblLayout w:type="fixed"/>
          <w:tblCellMar>
            <w:top w:w="0" w:type="dxa"/>
            <w:left w:w="108" w:type="dxa"/>
            <w:bottom w:w="0" w:type="dxa"/>
            <w:right w:w="108" w:type="dxa"/>
          </w:tblCellMar>
        </w:tblPrEx>
        <w:trPr>
          <w:trHeight w:val="465" w:hRule="atLeast"/>
          <w:jc w:val="center"/>
        </w:trPr>
        <w:tc>
          <w:tcPr>
            <w:tcW w:w="1157" w:type="dxa"/>
            <w:tcBorders>
              <w:top w:val="single" w:color="auto" w:sz="4" w:space="0"/>
              <w:left w:val="single" w:color="auto" w:sz="8" w:space="0"/>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网口</w:t>
            </w:r>
          </w:p>
        </w:tc>
        <w:tc>
          <w:tcPr>
            <w:tcW w:w="6938"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cs="宋体"/>
                <w:bCs/>
                <w:kern w:val="0"/>
                <w:sz w:val="24"/>
                <w:szCs w:val="24"/>
              </w:rPr>
            </w:pPr>
            <w:r>
              <w:rPr>
                <w:rFonts w:hint="eastAsia" w:ascii="宋体" w:hAnsi="宋体" w:cs="宋体"/>
                <w:bCs/>
                <w:kern w:val="0"/>
                <w:sz w:val="24"/>
                <w:szCs w:val="24"/>
              </w:rPr>
              <w:t>至少提供1个千兆自适应电口网卡；</w:t>
            </w:r>
          </w:p>
        </w:tc>
      </w:tr>
      <w:tr>
        <w:tblPrEx>
          <w:tblLayout w:type="fixed"/>
          <w:tblCellMar>
            <w:top w:w="0" w:type="dxa"/>
            <w:left w:w="108" w:type="dxa"/>
            <w:bottom w:w="0" w:type="dxa"/>
            <w:right w:w="108" w:type="dxa"/>
          </w:tblCellMar>
        </w:tblPrEx>
        <w:trPr>
          <w:trHeight w:val="420" w:hRule="atLeast"/>
          <w:jc w:val="center"/>
        </w:trPr>
        <w:tc>
          <w:tcPr>
            <w:tcW w:w="1157" w:type="dxa"/>
            <w:tcBorders>
              <w:top w:val="nil"/>
              <w:left w:val="single" w:color="auto" w:sz="8" w:space="0"/>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I</w:t>
            </w:r>
            <w:r>
              <w:rPr>
                <w:rFonts w:ascii="宋体" w:hAnsi="宋体" w:cs="宋体"/>
                <w:sz w:val="24"/>
                <w:szCs w:val="24"/>
              </w:rPr>
              <w:t>O</w:t>
            </w:r>
          </w:p>
        </w:tc>
        <w:tc>
          <w:tcPr>
            <w:tcW w:w="6938"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cs="宋体"/>
                <w:bCs/>
                <w:kern w:val="0"/>
                <w:sz w:val="24"/>
                <w:szCs w:val="24"/>
              </w:rPr>
            </w:pPr>
            <w:r>
              <w:rPr>
                <w:rFonts w:hint="eastAsia" w:ascii="宋体" w:hAnsi="宋体" w:cs="宋体"/>
                <w:bCs/>
                <w:kern w:val="0"/>
                <w:sz w:val="24"/>
                <w:szCs w:val="24"/>
              </w:rPr>
              <w:t>支持≥6个USB标准接口，1个耳机口，1个麦克风口，自带壁挂架；</w:t>
            </w:r>
          </w:p>
        </w:tc>
      </w:tr>
      <w:tr>
        <w:tblPrEx>
          <w:tblLayout w:type="fixed"/>
          <w:tblCellMar>
            <w:top w:w="0" w:type="dxa"/>
            <w:left w:w="108" w:type="dxa"/>
            <w:bottom w:w="0" w:type="dxa"/>
            <w:right w:w="108" w:type="dxa"/>
          </w:tblCellMar>
        </w:tblPrEx>
        <w:trPr>
          <w:trHeight w:val="420" w:hRule="atLeast"/>
          <w:jc w:val="center"/>
        </w:trPr>
        <w:tc>
          <w:tcPr>
            <w:tcW w:w="1157" w:type="dxa"/>
            <w:tcBorders>
              <w:top w:val="nil"/>
              <w:left w:val="single" w:color="auto" w:sz="8" w:space="0"/>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VGA</w:t>
            </w:r>
          </w:p>
        </w:tc>
        <w:tc>
          <w:tcPr>
            <w:tcW w:w="6938"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cs="宋体"/>
                <w:bCs/>
                <w:kern w:val="0"/>
                <w:sz w:val="24"/>
                <w:szCs w:val="24"/>
              </w:rPr>
            </w:pPr>
            <w:r>
              <w:rPr>
                <w:rFonts w:hint="eastAsia" w:ascii="宋体" w:hAnsi="宋体" w:cs="宋体"/>
                <w:bCs/>
                <w:kern w:val="0"/>
                <w:sz w:val="24"/>
                <w:szCs w:val="24"/>
              </w:rPr>
              <w:t>提供≥1个VGA显示接口，以及提供≥1个HDMI显示接口，最大分辨率支持1920x1200@60Hz；</w:t>
            </w:r>
          </w:p>
        </w:tc>
      </w:tr>
      <w:tr>
        <w:tblPrEx>
          <w:tblLayout w:type="fixed"/>
          <w:tblCellMar>
            <w:top w:w="0" w:type="dxa"/>
            <w:left w:w="108" w:type="dxa"/>
            <w:bottom w:w="0" w:type="dxa"/>
            <w:right w:w="108" w:type="dxa"/>
          </w:tblCellMar>
        </w:tblPrEx>
        <w:trPr>
          <w:trHeight w:val="300" w:hRule="atLeast"/>
          <w:jc w:val="center"/>
        </w:trPr>
        <w:tc>
          <w:tcPr>
            <w:tcW w:w="1157" w:type="dxa"/>
            <w:tcBorders>
              <w:top w:val="nil"/>
              <w:left w:val="single" w:color="auto" w:sz="8" w:space="0"/>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报告</w:t>
            </w:r>
          </w:p>
        </w:tc>
        <w:tc>
          <w:tcPr>
            <w:tcW w:w="6938" w:type="dxa"/>
            <w:tcBorders>
              <w:top w:val="nil"/>
              <w:left w:val="nil"/>
              <w:bottom w:val="single" w:color="auto" w:sz="8" w:space="0"/>
              <w:right w:val="single" w:color="auto" w:sz="8" w:space="0"/>
            </w:tcBorders>
            <w:noWrap w:val="0"/>
            <w:vAlign w:val="center"/>
          </w:tcPr>
          <w:p>
            <w:pPr>
              <w:widowControl/>
              <w:jc w:val="left"/>
              <w:textAlignment w:val="center"/>
              <w:rPr>
                <w:rFonts w:hint="eastAsia" w:ascii="宋体" w:hAnsi="宋体" w:cs="宋体"/>
                <w:bCs/>
                <w:kern w:val="0"/>
                <w:sz w:val="24"/>
                <w:szCs w:val="24"/>
              </w:rPr>
            </w:pPr>
            <w:r>
              <w:rPr>
                <w:rFonts w:hint="eastAsia" w:ascii="宋体" w:hAnsi="宋体" w:cs="宋体"/>
                <w:bCs/>
                <w:kern w:val="0"/>
                <w:sz w:val="24"/>
                <w:szCs w:val="24"/>
              </w:rPr>
              <w:t>提供3C和CQC节能认证证书及认证报告；</w:t>
            </w:r>
          </w:p>
        </w:tc>
      </w:tr>
      <w:tr>
        <w:tblPrEx>
          <w:tblLayout w:type="fixed"/>
          <w:tblCellMar>
            <w:top w:w="0" w:type="dxa"/>
            <w:left w:w="108" w:type="dxa"/>
            <w:bottom w:w="0" w:type="dxa"/>
            <w:right w:w="108" w:type="dxa"/>
          </w:tblCellMar>
        </w:tblPrEx>
        <w:trPr>
          <w:trHeight w:val="300" w:hRule="atLeast"/>
          <w:jc w:val="center"/>
        </w:trPr>
        <w:tc>
          <w:tcPr>
            <w:tcW w:w="1157" w:type="dxa"/>
            <w:tcBorders>
              <w:top w:val="nil"/>
              <w:left w:val="single" w:color="auto" w:sz="8" w:space="0"/>
              <w:bottom w:val="single" w:color="auto" w:sz="4"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管理</w:t>
            </w:r>
          </w:p>
        </w:tc>
        <w:tc>
          <w:tcPr>
            <w:tcW w:w="6938" w:type="dxa"/>
            <w:tcBorders>
              <w:top w:val="nil"/>
              <w:left w:val="nil"/>
              <w:bottom w:val="single" w:color="auto" w:sz="4" w:space="0"/>
              <w:right w:val="single" w:color="auto" w:sz="8" w:space="0"/>
            </w:tcBorders>
            <w:noWrap w:val="0"/>
            <w:vAlign w:val="center"/>
          </w:tcPr>
          <w:p>
            <w:pPr>
              <w:widowControl/>
              <w:jc w:val="left"/>
              <w:textAlignment w:val="center"/>
              <w:rPr>
                <w:rFonts w:hint="eastAsia" w:ascii="宋体" w:hAnsi="宋体" w:cs="宋体"/>
                <w:bCs/>
                <w:kern w:val="0"/>
                <w:sz w:val="24"/>
                <w:szCs w:val="24"/>
              </w:rPr>
            </w:pPr>
            <w:r>
              <w:rPr>
                <w:rFonts w:hint="eastAsia" w:ascii="宋体" w:hAnsi="宋体" w:cs="宋体"/>
                <w:bCs/>
                <w:kern w:val="0"/>
                <w:sz w:val="24"/>
                <w:szCs w:val="24"/>
              </w:rPr>
              <w:t>支持通过云桌面管理平台集中统一运维管理，包括系统更新、桌面客户端更新、批量开关机等操作。</w:t>
            </w:r>
          </w:p>
        </w:tc>
      </w:tr>
      <w:tr>
        <w:tblPrEx>
          <w:tblLayout w:type="fixed"/>
          <w:tblCellMar>
            <w:top w:w="0" w:type="dxa"/>
            <w:left w:w="108" w:type="dxa"/>
            <w:bottom w:w="0" w:type="dxa"/>
            <w:right w:w="108" w:type="dxa"/>
          </w:tblCellMar>
        </w:tblPrEx>
        <w:trPr>
          <w:trHeight w:val="90" w:hRule="atLeast"/>
          <w:jc w:val="center"/>
        </w:trPr>
        <w:tc>
          <w:tcPr>
            <w:tcW w:w="1157"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实配</w:t>
            </w:r>
          </w:p>
        </w:tc>
        <w:tc>
          <w:tcPr>
            <w:tcW w:w="693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Cs/>
                <w:kern w:val="0"/>
                <w:sz w:val="24"/>
                <w:szCs w:val="24"/>
              </w:rPr>
            </w:pPr>
            <w:r>
              <w:rPr>
                <w:rFonts w:hint="eastAsia" w:ascii="宋体" w:hAnsi="宋体" w:cs="宋体"/>
                <w:bCs/>
                <w:kern w:val="0"/>
                <w:sz w:val="24"/>
                <w:szCs w:val="24"/>
              </w:rPr>
              <w:t>实配终端1台，19.5寸及以上宽屏显示屏1块。</w:t>
            </w:r>
          </w:p>
        </w:tc>
      </w:tr>
      <w:tr>
        <w:tblPrEx>
          <w:tblLayout w:type="fixed"/>
          <w:tblCellMar>
            <w:top w:w="0" w:type="dxa"/>
            <w:left w:w="108" w:type="dxa"/>
            <w:bottom w:w="0" w:type="dxa"/>
            <w:right w:w="108" w:type="dxa"/>
          </w:tblCellMar>
        </w:tblPrEx>
        <w:trPr>
          <w:trHeight w:val="90" w:hRule="atLeast"/>
          <w:jc w:val="center"/>
        </w:trPr>
        <w:tc>
          <w:tcPr>
            <w:tcW w:w="1157"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cs="宋体"/>
                <w:sz w:val="24"/>
                <w:szCs w:val="24"/>
              </w:rPr>
              <w:t>质保</w:t>
            </w:r>
          </w:p>
        </w:tc>
        <w:tc>
          <w:tcPr>
            <w:tcW w:w="6938"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hint="eastAsia" w:ascii="宋体" w:hAnsi="宋体" w:cs="宋体"/>
                <w:bCs/>
                <w:kern w:val="0"/>
                <w:sz w:val="24"/>
                <w:szCs w:val="24"/>
              </w:rPr>
            </w:pPr>
            <w:r>
              <w:rPr>
                <w:rFonts w:hint="eastAsia" w:ascii="宋体" w:hAnsi="宋体" w:cs="宋体"/>
                <w:bCs/>
                <w:kern w:val="0"/>
                <w:sz w:val="24"/>
                <w:szCs w:val="24"/>
              </w:rPr>
              <w:t>原厂三年质保，中标后签订合同前提供原厂商质保承诺函。</w:t>
            </w:r>
          </w:p>
        </w:tc>
      </w:tr>
    </w:tbl>
    <w:p>
      <w:pPr>
        <w:pStyle w:val="31"/>
        <w:ind w:firstLine="0" w:firstLineChars="0"/>
        <w:rPr>
          <w:rFonts w:ascii="宋体" w:hAnsi="宋体"/>
          <w:b/>
          <w:color w:val="000000"/>
          <w:sz w:val="24"/>
          <w:szCs w:val="24"/>
        </w:rPr>
      </w:pPr>
    </w:p>
    <w:p>
      <w:pPr>
        <w:pStyle w:val="31"/>
        <w:ind w:firstLine="0" w:firstLineChars="0"/>
        <w:outlineLvl w:val="1"/>
        <w:rPr>
          <w:rFonts w:hint="eastAsia" w:ascii="宋体" w:hAnsi="宋体"/>
          <w:b/>
          <w:color w:val="000000"/>
          <w:sz w:val="24"/>
          <w:szCs w:val="24"/>
        </w:rPr>
      </w:pPr>
      <w:r>
        <w:rPr>
          <w:rFonts w:hint="eastAsia" w:ascii="宋体" w:hAnsi="宋体"/>
          <w:b/>
          <w:color w:val="000000"/>
          <w:sz w:val="24"/>
          <w:szCs w:val="24"/>
        </w:rPr>
        <w:t>10、超融合交换机（2台）</w:t>
      </w:r>
    </w:p>
    <w:tbl>
      <w:tblPr>
        <w:tblStyle w:val="23"/>
        <w:tblW w:w="8246" w:type="dxa"/>
        <w:jc w:val="center"/>
        <w:tblInd w:w="0" w:type="dxa"/>
        <w:tblLayout w:type="fixed"/>
        <w:tblCellMar>
          <w:top w:w="0" w:type="dxa"/>
          <w:left w:w="108" w:type="dxa"/>
          <w:bottom w:w="0" w:type="dxa"/>
          <w:right w:w="108" w:type="dxa"/>
        </w:tblCellMar>
      </w:tblPr>
      <w:tblGrid>
        <w:gridCol w:w="1261"/>
        <w:gridCol w:w="6985"/>
      </w:tblGrid>
      <w:tr>
        <w:tblPrEx>
          <w:tblLayout w:type="fixed"/>
        </w:tblPrEx>
        <w:trPr>
          <w:trHeight w:val="355" w:hRule="atLeast"/>
          <w:jc w:val="center"/>
        </w:trPr>
        <w:tc>
          <w:tcPr>
            <w:tcW w:w="1261" w:type="dxa"/>
            <w:tcBorders>
              <w:top w:val="single" w:color="auto" w:sz="8" w:space="0"/>
              <w:left w:val="single" w:color="auto" w:sz="8" w:space="0"/>
              <w:bottom w:val="single" w:color="auto" w:sz="4" w:space="0"/>
              <w:right w:val="single" w:color="auto" w:sz="8" w:space="0"/>
            </w:tcBorders>
            <w:noWrap w:val="0"/>
            <w:vAlign w:val="center"/>
          </w:tcPr>
          <w:p>
            <w:pPr>
              <w:pStyle w:val="31"/>
              <w:ind w:firstLine="0" w:firstLineChars="0"/>
              <w:rPr>
                <w:rFonts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指标项</w:t>
            </w:r>
          </w:p>
        </w:tc>
        <w:tc>
          <w:tcPr>
            <w:tcW w:w="6985" w:type="dxa"/>
            <w:tcBorders>
              <w:top w:val="single" w:color="auto" w:sz="8" w:space="0"/>
              <w:left w:val="nil"/>
              <w:bottom w:val="single" w:color="auto" w:sz="8" w:space="0"/>
              <w:right w:val="single" w:color="auto" w:sz="8" w:space="0"/>
            </w:tcBorders>
            <w:noWrap w:val="0"/>
            <w:vAlign w:val="center"/>
          </w:tcPr>
          <w:p>
            <w:pPr>
              <w:pStyle w:val="31"/>
              <w:rPr>
                <w:rFonts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指标要求</w:t>
            </w:r>
          </w:p>
        </w:tc>
      </w:tr>
      <w:tr>
        <w:tblPrEx>
          <w:tblLayout w:type="fixed"/>
          <w:tblCellMar>
            <w:top w:w="0" w:type="dxa"/>
            <w:left w:w="108" w:type="dxa"/>
            <w:bottom w:w="0" w:type="dxa"/>
            <w:right w:w="108" w:type="dxa"/>
          </w:tblCellMar>
        </w:tblPrEx>
        <w:trPr>
          <w:trHeight w:val="465"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pPr>
              <w:pStyle w:val="31"/>
              <w:ind w:firstLine="0" w:firstLineChars="0"/>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交换</w:t>
            </w:r>
            <w:r>
              <w:rPr>
                <w:rFonts w:ascii="宋体" w:hAnsi="宋体" w:cs="宋体"/>
                <w:color w:val="000000"/>
                <w:kern w:val="0"/>
                <w:sz w:val="24"/>
                <w:szCs w:val="24"/>
                <w:lang w:val="en-US" w:eastAsia="zh-CN"/>
              </w:rPr>
              <w:t>性能</w:t>
            </w:r>
          </w:p>
        </w:tc>
        <w:tc>
          <w:tcPr>
            <w:tcW w:w="6985" w:type="dxa"/>
            <w:tcBorders>
              <w:top w:val="nil"/>
              <w:left w:val="single" w:color="auto" w:sz="4" w:space="0"/>
              <w:bottom w:val="single" w:color="auto" w:sz="8" w:space="0"/>
              <w:right w:val="single" w:color="auto" w:sz="8" w:space="0"/>
            </w:tcBorders>
            <w:noWrap w:val="0"/>
            <w:vAlign w:val="center"/>
          </w:tcPr>
          <w:p>
            <w:pPr>
              <w:pStyle w:val="31"/>
              <w:ind w:firstLine="0" w:firstLineChars="0"/>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交换容量≥2Tbps，包转发率≥700Mpps，（若官网存在双指标，以较小为准）；双风扇，双电源；</w:t>
            </w:r>
          </w:p>
        </w:tc>
      </w:tr>
      <w:tr>
        <w:tblPrEx>
          <w:tblLayout w:type="fixed"/>
          <w:tblCellMar>
            <w:top w:w="0" w:type="dxa"/>
            <w:left w:w="108" w:type="dxa"/>
            <w:bottom w:w="0" w:type="dxa"/>
            <w:right w:w="108" w:type="dxa"/>
          </w:tblCellMar>
        </w:tblPrEx>
        <w:trPr>
          <w:trHeight w:val="465" w:hRule="atLeast"/>
          <w:jc w:val="center"/>
        </w:trPr>
        <w:tc>
          <w:tcPr>
            <w:tcW w:w="1261" w:type="dxa"/>
            <w:tcBorders>
              <w:top w:val="single" w:color="auto" w:sz="4" w:space="0"/>
              <w:left w:val="single" w:color="auto" w:sz="8" w:space="0"/>
              <w:bottom w:val="single" w:color="auto" w:sz="8" w:space="0"/>
              <w:right w:val="single" w:color="auto" w:sz="8" w:space="0"/>
            </w:tcBorders>
            <w:noWrap w:val="0"/>
            <w:vAlign w:val="center"/>
          </w:tcPr>
          <w:p>
            <w:pPr>
              <w:pStyle w:val="31"/>
              <w:ind w:firstLine="0" w:firstLineChars="0"/>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堆叠</w:t>
            </w:r>
            <w:r>
              <w:rPr>
                <w:rFonts w:ascii="宋体" w:hAnsi="宋体" w:cs="宋体"/>
                <w:color w:val="000000"/>
                <w:kern w:val="0"/>
                <w:sz w:val="24"/>
                <w:szCs w:val="24"/>
                <w:lang w:val="en-US" w:eastAsia="zh-CN"/>
              </w:rPr>
              <w:t>特性</w:t>
            </w:r>
          </w:p>
        </w:tc>
        <w:tc>
          <w:tcPr>
            <w:tcW w:w="6985" w:type="dxa"/>
            <w:tcBorders>
              <w:top w:val="nil"/>
              <w:left w:val="nil"/>
              <w:bottom w:val="single" w:color="auto" w:sz="8" w:space="0"/>
              <w:right w:val="single" w:color="auto" w:sz="8" w:space="0"/>
            </w:tcBorders>
            <w:noWrap w:val="0"/>
            <w:vAlign w:val="center"/>
          </w:tcPr>
          <w:p>
            <w:pPr>
              <w:pStyle w:val="31"/>
              <w:ind w:firstLine="0" w:firstLineChars="0"/>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最大支持≥2台设备的堆叠，支持纵向虚拟化（提供第三方检测报告）；</w:t>
            </w:r>
          </w:p>
        </w:tc>
      </w:tr>
      <w:tr>
        <w:tblPrEx>
          <w:tblLayout w:type="fixed"/>
          <w:tblCellMar>
            <w:top w:w="0" w:type="dxa"/>
            <w:left w:w="108" w:type="dxa"/>
            <w:bottom w:w="0" w:type="dxa"/>
            <w:right w:w="108" w:type="dxa"/>
          </w:tblCellMar>
        </w:tblPrEx>
        <w:trPr>
          <w:trHeight w:val="420" w:hRule="atLeast"/>
          <w:jc w:val="center"/>
        </w:trPr>
        <w:tc>
          <w:tcPr>
            <w:tcW w:w="1261" w:type="dxa"/>
            <w:tcBorders>
              <w:top w:val="nil"/>
              <w:left w:val="single" w:color="auto" w:sz="8" w:space="0"/>
              <w:bottom w:val="single" w:color="auto" w:sz="8" w:space="0"/>
              <w:right w:val="single" w:color="auto" w:sz="8" w:space="0"/>
            </w:tcBorders>
            <w:noWrap w:val="0"/>
            <w:vAlign w:val="center"/>
          </w:tcPr>
          <w:p>
            <w:pPr>
              <w:pStyle w:val="31"/>
              <w:ind w:firstLine="0" w:firstLineChars="0"/>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固定接口</w:t>
            </w:r>
          </w:p>
        </w:tc>
        <w:tc>
          <w:tcPr>
            <w:tcW w:w="6985" w:type="dxa"/>
            <w:tcBorders>
              <w:top w:val="nil"/>
              <w:left w:val="nil"/>
              <w:bottom w:val="single" w:color="auto" w:sz="8" w:space="0"/>
              <w:right w:val="single" w:color="auto" w:sz="8" w:space="0"/>
            </w:tcBorders>
            <w:noWrap w:val="0"/>
            <w:vAlign w:val="center"/>
          </w:tcPr>
          <w:p>
            <w:pPr>
              <w:pStyle w:val="31"/>
              <w:ind w:firstLine="0" w:firstLineChars="0"/>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24个万兆光端口，2个40G接口；</w:t>
            </w:r>
          </w:p>
        </w:tc>
      </w:tr>
      <w:tr>
        <w:tblPrEx>
          <w:tblLayout w:type="fixed"/>
          <w:tblCellMar>
            <w:top w:w="0" w:type="dxa"/>
            <w:left w:w="108" w:type="dxa"/>
            <w:bottom w:w="0" w:type="dxa"/>
            <w:right w:w="108" w:type="dxa"/>
          </w:tblCellMar>
        </w:tblPrEx>
        <w:trPr>
          <w:trHeight w:val="90"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pPr>
              <w:pStyle w:val="31"/>
              <w:ind w:firstLine="0" w:firstLineChars="0"/>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产品</w:t>
            </w:r>
            <w:r>
              <w:rPr>
                <w:rFonts w:ascii="宋体" w:hAnsi="宋体" w:cs="宋体"/>
                <w:color w:val="000000"/>
                <w:kern w:val="0"/>
                <w:sz w:val="24"/>
                <w:szCs w:val="24"/>
                <w:lang w:val="en-US" w:eastAsia="zh-CN"/>
              </w:rPr>
              <w:t>实配</w:t>
            </w:r>
          </w:p>
        </w:tc>
        <w:tc>
          <w:tcPr>
            <w:tcW w:w="6985" w:type="dxa"/>
            <w:tcBorders>
              <w:top w:val="single" w:color="auto" w:sz="4" w:space="0"/>
              <w:left w:val="single" w:color="auto" w:sz="4" w:space="0"/>
              <w:bottom w:val="single" w:color="auto" w:sz="4" w:space="0"/>
              <w:right w:val="single" w:color="auto" w:sz="4" w:space="0"/>
            </w:tcBorders>
            <w:noWrap w:val="0"/>
            <w:vAlign w:val="center"/>
          </w:tcPr>
          <w:p>
            <w:pPr>
              <w:pStyle w:val="31"/>
              <w:ind w:firstLine="0" w:firstLineChars="0"/>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单台实配：双电源，双风扇，10GE光接口≥24，40GE QSFP+接口≥2，万兆多模光模块≥14；</w:t>
            </w:r>
          </w:p>
        </w:tc>
      </w:tr>
      <w:tr>
        <w:tblPrEx>
          <w:tblLayout w:type="fixed"/>
          <w:tblCellMar>
            <w:top w:w="0" w:type="dxa"/>
            <w:left w:w="108" w:type="dxa"/>
            <w:bottom w:w="0" w:type="dxa"/>
            <w:right w:w="108" w:type="dxa"/>
          </w:tblCellMar>
        </w:tblPrEx>
        <w:trPr>
          <w:trHeight w:val="90"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pPr>
              <w:pStyle w:val="31"/>
              <w:ind w:firstLine="0" w:firstLineChars="0"/>
              <w:rPr>
                <w:rFonts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质保</w:t>
            </w:r>
          </w:p>
        </w:tc>
        <w:tc>
          <w:tcPr>
            <w:tcW w:w="6985" w:type="dxa"/>
            <w:tcBorders>
              <w:top w:val="single" w:color="auto" w:sz="4" w:space="0"/>
              <w:left w:val="single" w:color="auto" w:sz="4" w:space="0"/>
              <w:bottom w:val="single" w:color="auto" w:sz="4" w:space="0"/>
              <w:right w:val="single" w:color="auto" w:sz="4" w:space="0"/>
            </w:tcBorders>
            <w:noWrap w:val="0"/>
            <w:vAlign w:val="center"/>
          </w:tcPr>
          <w:p>
            <w:pPr>
              <w:pStyle w:val="31"/>
              <w:ind w:firstLine="0" w:firstLineChars="0"/>
              <w:rPr>
                <w:rFonts w:hint="eastAsia"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原厂五年质保，中标后签订合同前提供原厂商质保承诺函。</w:t>
            </w:r>
          </w:p>
        </w:tc>
      </w:tr>
    </w:tbl>
    <w:p>
      <w:pPr>
        <w:pStyle w:val="31"/>
        <w:ind w:firstLine="0" w:firstLineChars="0"/>
        <w:rPr>
          <w:rFonts w:ascii="宋体" w:hAnsi="宋体"/>
          <w:b/>
          <w:color w:val="000000"/>
          <w:sz w:val="24"/>
          <w:szCs w:val="24"/>
        </w:rPr>
      </w:pPr>
    </w:p>
    <w:p>
      <w:pPr>
        <w:pStyle w:val="31"/>
        <w:numPr>
          <w:ilvl w:val="0"/>
          <w:numId w:val="16"/>
        </w:numPr>
        <w:ind w:firstLine="0" w:firstLineChars="0"/>
        <w:outlineLvl w:val="1"/>
        <w:rPr>
          <w:rFonts w:hint="eastAsia" w:ascii="宋体" w:hAnsi="宋体"/>
          <w:b/>
          <w:color w:val="000000"/>
          <w:sz w:val="24"/>
          <w:szCs w:val="24"/>
        </w:rPr>
      </w:pPr>
      <w:r>
        <w:rPr>
          <w:rFonts w:hint="eastAsia" w:ascii="宋体" w:hAnsi="宋体"/>
          <w:b/>
          <w:color w:val="000000"/>
          <w:sz w:val="24"/>
          <w:szCs w:val="24"/>
        </w:rPr>
        <w:t>可信环境</w:t>
      </w:r>
      <w:r>
        <w:rPr>
          <w:rFonts w:ascii="宋体" w:hAnsi="宋体"/>
          <w:b/>
          <w:color w:val="000000"/>
          <w:sz w:val="24"/>
          <w:szCs w:val="24"/>
        </w:rPr>
        <w:t>感知代理</w:t>
      </w:r>
      <w:r>
        <w:rPr>
          <w:rFonts w:hint="eastAsia" w:ascii="宋体" w:hAnsi="宋体"/>
          <w:b/>
          <w:color w:val="000000"/>
          <w:sz w:val="24"/>
          <w:szCs w:val="24"/>
        </w:rPr>
        <w:t xml:space="preserve">（1台）    </w:t>
      </w:r>
    </w:p>
    <w:tbl>
      <w:tblPr>
        <w:tblStyle w:val="23"/>
        <w:tblpPr w:leftFromText="180" w:rightFromText="180" w:vertAnchor="text" w:horzAnchor="page" w:tblpX="1900" w:tblpY="356"/>
        <w:tblOverlap w:val="never"/>
        <w:tblW w:w="8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noWrap w:val="0"/>
            <w:vAlign w:val="center"/>
          </w:tcPr>
          <w:p>
            <w:pPr>
              <w:widowControl/>
              <w:jc w:val="center"/>
              <w:rPr>
                <w:rFonts w:ascii="宋体" w:hAnsi="宋体" w:cs="宋体"/>
                <w:kern w:val="0"/>
                <w:sz w:val="24"/>
                <w:szCs w:val="24"/>
              </w:rPr>
            </w:pPr>
            <w:r>
              <w:rPr>
                <w:rFonts w:hint="eastAsia" w:ascii="宋体" w:hAnsi="宋体" w:cs="宋体"/>
                <w:color w:val="000000"/>
                <w:sz w:val="24"/>
                <w:szCs w:val="24"/>
              </w:rPr>
              <w:t>技术指标</w:t>
            </w:r>
          </w:p>
        </w:tc>
        <w:tc>
          <w:tcPr>
            <w:tcW w:w="7057" w:type="dxa"/>
            <w:noWrap w:val="0"/>
            <w:vAlign w:val="center"/>
          </w:tcPr>
          <w:p>
            <w:pPr>
              <w:widowControl/>
              <w:jc w:val="center"/>
              <w:rPr>
                <w:rFonts w:ascii="宋体" w:hAnsi="宋体" w:cs="宋体"/>
                <w:kern w:val="0"/>
                <w:sz w:val="24"/>
                <w:szCs w:val="24"/>
              </w:rPr>
            </w:pPr>
            <w:r>
              <w:rPr>
                <w:rFonts w:hint="eastAsia" w:ascii="宋体" w:hAnsi="宋体" w:cs="宋体"/>
                <w:color w:val="000000"/>
                <w:sz w:val="24"/>
                <w:szCs w:val="24"/>
              </w:rPr>
              <w:t>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Merge w:val="restart"/>
            <w:noWrap w:val="0"/>
            <w:vAlign w:val="center"/>
          </w:tcPr>
          <w:p>
            <w:pPr>
              <w:widowControl/>
              <w:jc w:val="center"/>
              <w:rPr>
                <w:rFonts w:hint="eastAsia" w:ascii="宋体" w:hAnsi="宋体" w:cs="宋体"/>
                <w:color w:val="000000"/>
                <w:sz w:val="24"/>
                <w:szCs w:val="24"/>
              </w:rPr>
            </w:pPr>
            <w:r>
              <w:rPr>
                <w:rFonts w:hint="eastAsia" w:ascii="宋体" w:hAnsi="宋体" w:cs="宋体"/>
                <w:sz w:val="24"/>
                <w:szCs w:val="24"/>
              </w:rPr>
              <w:t>硬件性能</w:t>
            </w:r>
          </w:p>
        </w:tc>
        <w:tc>
          <w:tcPr>
            <w:tcW w:w="7057" w:type="dxa"/>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★Cpu≥28核 2.4GHz ; 内存≥256G ; 硬盘≥1TB；≥2个千兆业务电接口；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Merge w:val="continue"/>
            <w:noWrap w:val="0"/>
            <w:vAlign w:val="center"/>
          </w:tcPr>
          <w:p>
            <w:pPr>
              <w:widowControl/>
              <w:jc w:val="center"/>
              <w:rPr>
                <w:rFonts w:hint="eastAsia" w:ascii="宋体" w:hAnsi="宋体" w:cs="宋体"/>
                <w:color w:val="000000"/>
                <w:sz w:val="24"/>
                <w:szCs w:val="24"/>
              </w:rPr>
            </w:pPr>
          </w:p>
        </w:tc>
        <w:tc>
          <w:tcPr>
            <w:tcW w:w="7057" w:type="dxa"/>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客户端请求响应小于200ms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Merge w:val="continue"/>
            <w:noWrap w:val="0"/>
            <w:vAlign w:val="center"/>
          </w:tcPr>
          <w:p>
            <w:pPr>
              <w:widowControl/>
              <w:jc w:val="center"/>
              <w:rPr>
                <w:rFonts w:hint="eastAsia" w:ascii="宋体" w:hAnsi="宋体" w:cs="宋体"/>
                <w:color w:val="000000"/>
                <w:sz w:val="24"/>
                <w:szCs w:val="24"/>
              </w:rPr>
            </w:pPr>
          </w:p>
        </w:tc>
        <w:tc>
          <w:tcPr>
            <w:tcW w:w="7057" w:type="dxa"/>
            <w:noWrap w:val="0"/>
            <w:vAlign w:val="center"/>
          </w:tcPr>
          <w:p>
            <w:pPr>
              <w:widowControl/>
              <w:jc w:val="left"/>
              <w:rPr>
                <w:rFonts w:hint="eastAsia" w:ascii="宋体" w:hAnsi="宋体" w:cs="宋体"/>
                <w:sz w:val="24"/>
                <w:szCs w:val="24"/>
              </w:rPr>
            </w:pPr>
            <w:r>
              <w:rPr>
                <w:rFonts w:hint="eastAsia" w:ascii="宋体" w:hAnsi="宋体" w:cs="宋体"/>
                <w:color w:val="000000"/>
                <w:kern w:val="0"/>
                <w:sz w:val="24"/>
                <w:szCs w:val="24"/>
              </w:rPr>
              <w:t>支持≥5000终端在线，本次配置3000点终端授权。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Merge w:val="continue"/>
            <w:noWrap w:val="0"/>
            <w:vAlign w:val="center"/>
          </w:tcPr>
          <w:p>
            <w:pPr>
              <w:widowControl/>
              <w:jc w:val="center"/>
              <w:rPr>
                <w:rFonts w:hint="eastAsia" w:ascii="宋体" w:hAnsi="宋体" w:cs="宋体"/>
                <w:color w:val="000000"/>
                <w:sz w:val="24"/>
                <w:szCs w:val="24"/>
              </w:rPr>
            </w:pPr>
          </w:p>
        </w:tc>
        <w:tc>
          <w:tcPr>
            <w:tcW w:w="7057" w:type="dxa"/>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要求可信环境感知系统与现有网络内终端安全系统联动。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Merge w:val="restart"/>
            <w:noWrap w:val="0"/>
            <w:vAlign w:val="center"/>
          </w:tcPr>
          <w:p>
            <w:pPr>
              <w:widowControl/>
              <w:jc w:val="center"/>
              <w:rPr>
                <w:rFonts w:hint="eastAsia" w:ascii="宋体" w:hAnsi="宋体" w:cs="宋体"/>
                <w:color w:val="000000"/>
                <w:sz w:val="24"/>
                <w:szCs w:val="24"/>
              </w:rPr>
            </w:pPr>
            <w:r>
              <w:rPr>
                <w:rFonts w:hint="eastAsia" w:ascii="宋体" w:hAnsi="宋体" w:cs="宋体"/>
                <w:sz w:val="24"/>
                <w:szCs w:val="24"/>
              </w:rPr>
              <w:t>功能要求</w:t>
            </w:r>
          </w:p>
        </w:tc>
        <w:tc>
          <w:tcPr>
            <w:tcW w:w="7057" w:type="dxa"/>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环境感知采集端支持windows、linux、中标麒麟国产化等操作系统；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Merge w:val="continue"/>
            <w:noWrap w:val="0"/>
            <w:vAlign w:val="center"/>
          </w:tcPr>
          <w:p>
            <w:pPr>
              <w:widowControl/>
              <w:jc w:val="center"/>
              <w:rPr>
                <w:rFonts w:hint="eastAsia" w:ascii="宋体" w:hAnsi="宋体" w:cs="宋体"/>
                <w:sz w:val="24"/>
                <w:szCs w:val="24"/>
              </w:rPr>
            </w:pPr>
          </w:p>
        </w:tc>
        <w:tc>
          <w:tcPr>
            <w:tcW w:w="7057" w:type="dxa"/>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支持对终端进行标识，标识应具备唯一、永久、防篡改、不可伪造等特性，支持感知公安安全U盘、公安PKI_UKey插拔；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Merge w:val="continue"/>
            <w:noWrap w:val="0"/>
            <w:vAlign w:val="center"/>
          </w:tcPr>
          <w:p>
            <w:pPr>
              <w:widowControl/>
              <w:jc w:val="center"/>
              <w:rPr>
                <w:rFonts w:hint="eastAsia" w:ascii="宋体" w:hAnsi="宋体" w:cs="宋体"/>
                <w:sz w:val="24"/>
                <w:szCs w:val="24"/>
              </w:rPr>
            </w:pPr>
          </w:p>
        </w:tc>
        <w:tc>
          <w:tcPr>
            <w:tcW w:w="7057" w:type="dxa"/>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支持终端环境数据采集汇总、分析后统一上报环境感知服务，实现对终端可信环境的状态和变化的实时感知；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Merge w:val="continue"/>
            <w:noWrap w:val="0"/>
            <w:vAlign w:val="center"/>
          </w:tcPr>
          <w:p>
            <w:pPr>
              <w:widowControl/>
              <w:jc w:val="center"/>
              <w:rPr>
                <w:rFonts w:hint="eastAsia" w:ascii="宋体" w:hAnsi="宋体" w:cs="宋体"/>
                <w:sz w:val="24"/>
                <w:szCs w:val="24"/>
              </w:rPr>
            </w:pPr>
          </w:p>
        </w:tc>
        <w:tc>
          <w:tcPr>
            <w:tcW w:w="7057" w:type="dxa"/>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可以通过定制开发和用户人像库对接，直接从人像库获取授权人照片进行对比。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Merge w:val="continue"/>
            <w:noWrap w:val="0"/>
            <w:vAlign w:val="center"/>
          </w:tcPr>
          <w:p>
            <w:pPr>
              <w:widowControl/>
              <w:jc w:val="center"/>
              <w:rPr>
                <w:rFonts w:hint="eastAsia" w:ascii="宋体" w:hAnsi="宋体" w:cs="宋体"/>
                <w:sz w:val="24"/>
                <w:szCs w:val="24"/>
              </w:rPr>
            </w:pPr>
          </w:p>
        </w:tc>
        <w:tc>
          <w:tcPr>
            <w:tcW w:w="7057" w:type="dxa"/>
            <w:noWrap w:val="0"/>
            <w:vAlign w:val="top"/>
          </w:tcPr>
          <w:p>
            <w:pPr>
              <w:rPr>
                <w:rFonts w:hint="eastAsia"/>
                <w:sz w:val="24"/>
                <w:szCs w:val="24"/>
              </w:rPr>
            </w:pPr>
            <w:r>
              <w:rPr>
                <w:rFonts w:hint="eastAsia"/>
                <w:sz w:val="24"/>
                <w:szCs w:val="24"/>
              </w:rPr>
              <w:t>支持漏洞风险感知：能够发现主机系统是否存在高危漏洞。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Merge w:val="continue"/>
            <w:noWrap w:val="0"/>
            <w:vAlign w:val="center"/>
          </w:tcPr>
          <w:p>
            <w:pPr>
              <w:widowControl/>
              <w:jc w:val="center"/>
              <w:rPr>
                <w:rFonts w:hint="eastAsia" w:ascii="宋体" w:hAnsi="宋体" w:cs="宋体"/>
                <w:sz w:val="24"/>
                <w:szCs w:val="24"/>
              </w:rPr>
            </w:pPr>
          </w:p>
        </w:tc>
        <w:tc>
          <w:tcPr>
            <w:tcW w:w="7057" w:type="dxa"/>
            <w:noWrap w:val="0"/>
            <w:vAlign w:val="top"/>
          </w:tcPr>
          <w:p>
            <w:pPr>
              <w:rPr>
                <w:rFonts w:hint="eastAsia"/>
                <w:sz w:val="24"/>
                <w:szCs w:val="24"/>
              </w:rPr>
            </w:pPr>
            <w:r>
              <w:rPr>
                <w:rFonts w:hint="eastAsia"/>
                <w:sz w:val="24"/>
                <w:szCs w:val="24"/>
              </w:rPr>
              <w:t>支持网络风险感知：具备对当前终端是否连接互联网、是否有无线网卡、是否开放共享服务、是否监听指定端口等网络变化进行风险性感知，对可疑行为实现日志审计并上报、告警和评估。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Merge w:val="continue"/>
            <w:noWrap w:val="0"/>
            <w:vAlign w:val="center"/>
          </w:tcPr>
          <w:p>
            <w:pPr>
              <w:widowControl/>
              <w:jc w:val="center"/>
              <w:rPr>
                <w:rFonts w:hint="eastAsia" w:ascii="宋体" w:hAnsi="宋体" w:cs="宋体"/>
                <w:sz w:val="24"/>
                <w:szCs w:val="24"/>
              </w:rPr>
            </w:pPr>
          </w:p>
        </w:tc>
        <w:tc>
          <w:tcPr>
            <w:tcW w:w="7057" w:type="dxa"/>
            <w:noWrap w:val="0"/>
            <w:vAlign w:val="top"/>
          </w:tcPr>
          <w:p>
            <w:pPr>
              <w:rPr>
                <w:rFonts w:hint="eastAsia"/>
                <w:sz w:val="24"/>
                <w:szCs w:val="24"/>
              </w:rPr>
            </w:pPr>
            <w:r>
              <w:rPr>
                <w:rFonts w:hint="eastAsia"/>
                <w:sz w:val="24"/>
                <w:szCs w:val="24"/>
              </w:rPr>
              <w:t>支持外设风险感知：具备对终端上外接新的设备的识别采集能力，并对新接入的外部设备进行风险感知分析，支持实时上报、告警和评估；具备对移动存储设备插拔、网络打印机输出、打开摄像头等外部设备变化进行风险感知分析，对可疑行为实现日志审计并上报、告警和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Merge w:val="continue"/>
            <w:noWrap w:val="0"/>
            <w:vAlign w:val="center"/>
          </w:tcPr>
          <w:p>
            <w:pPr>
              <w:widowControl/>
              <w:jc w:val="center"/>
              <w:rPr>
                <w:rFonts w:hint="eastAsia" w:ascii="宋体" w:hAnsi="宋体" w:cs="宋体"/>
                <w:sz w:val="24"/>
                <w:szCs w:val="24"/>
              </w:rPr>
            </w:pPr>
          </w:p>
        </w:tc>
        <w:tc>
          <w:tcPr>
            <w:tcW w:w="7057" w:type="dxa"/>
            <w:noWrap w:val="0"/>
            <w:vAlign w:val="top"/>
          </w:tcPr>
          <w:p>
            <w:pPr>
              <w:rPr>
                <w:rFonts w:hint="eastAsia"/>
                <w:sz w:val="24"/>
                <w:szCs w:val="24"/>
                <w:highlight w:val="yellow"/>
              </w:rPr>
            </w:pPr>
            <w:r>
              <w:rPr>
                <w:rFonts w:hint="eastAsia"/>
                <w:sz w:val="24"/>
                <w:szCs w:val="24"/>
              </w:rPr>
              <w:t>支持安全配置感知：具备对windows主机的系统配置风险性感知，比如弱口令、权限变化、登陆注销事件、配置变更审计日志等进行风险感知，并对存在的风险项进行审计、上报、告警和评估；其中主要安全基线包括身份鉴别类、安全审计类、访问控制核心配置类、资源控制配置类、入侵防范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Merge w:val="continue"/>
            <w:noWrap w:val="0"/>
            <w:vAlign w:val="center"/>
          </w:tcPr>
          <w:p>
            <w:pPr>
              <w:widowControl/>
              <w:jc w:val="center"/>
              <w:rPr>
                <w:rFonts w:hint="eastAsia" w:ascii="宋体" w:hAnsi="宋体" w:cs="宋体"/>
                <w:sz w:val="24"/>
                <w:szCs w:val="24"/>
              </w:rPr>
            </w:pPr>
          </w:p>
        </w:tc>
        <w:tc>
          <w:tcPr>
            <w:tcW w:w="7057" w:type="dxa"/>
            <w:noWrap w:val="0"/>
            <w:vAlign w:val="top"/>
          </w:tcPr>
          <w:p>
            <w:pPr>
              <w:rPr>
                <w:rFonts w:hint="eastAsia"/>
                <w:sz w:val="24"/>
                <w:szCs w:val="24"/>
              </w:rPr>
            </w:pPr>
            <w:r>
              <w:rPr>
                <w:rFonts w:hint="eastAsia"/>
                <w:sz w:val="24"/>
                <w:szCs w:val="24"/>
              </w:rPr>
              <w:t>支持恶意代码风险感知：具备对终端是否安装了防病毒软件以及从防病毒软件获得当前系统上存在的恶意代码风险；具备感知防病毒软件的病毒库的更新状态。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Merge w:val="continue"/>
            <w:noWrap w:val="0"/>
            <w:vAlign w:val="center"/>
          </w:tcPr>
          <w:p>
            <w:pPr>
              <w:widowControl/>
              <w:jc w:val="center"/>
              <w:rPr>
                <w:rFonts w:hint="eastAsia" w:ascii="宋体" w:hAnsi="宋体" w:cs="宋体"/>
                <w:sz w:val="24"/>
                <w:szCs w:val="24"/>
              </w:rPr>
            </w:pPr>
          </w:p>
        </w:tc>
        <w:tc>
          <w:tcPr>
            <w:tcW w:w="7057" w:type="dxa"/>
            <w:noWrap w:val="0"/>
            <w:vAlign w:val="top"/>
          </w:tcPr>
          <w:p>
            <w:pPr>
              <w:rPr>
                <w:rFonts w:hint="eastAsia"/>
                <w:sz w:val="24"/>
                <w:szCs w:val="24"/>
              </w:rPr>
            </w:pPr>
            <w:r>
              <w:rPr>
                <w:rFonts w:hint="eastAsia"/>
                <w:sz w:val="24"/>
                <w:szCs w:val="24"/>
                <w:highlight w:val="none"/>
              </w:rPr>
              <w:t>支持终端环境数据采集汇总、分析后统一上报环境感知服务，实现对终端可信环境的状态和变化的实时感知，对终端评分处理平均时间不超过60秒；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Merge w:val="continue"/>
            <w:noWrap w:val="0"/>
            <w:vAlign w:val="center"/>
          </w:tcPr>
          <w:p>
            <w:pPr>
              <w:widowControl/>
              <w:jc w:val="center"/>
              <w:rPr>
                <w:rFonts w:hint="eastAsia" w:ascii="宋体" w:hAnsi="宋体" w:cs="宋体"/>
                <w:sz w:val="24"/>
                <w:szCs w:val="24"/>
              </w:rPr>
            </w:pPr>
          </w:p>
        </w:tc>
        <w:tc>
          <w:tcPr>
            <w:tcW w:w="7057" w:type="dxa"/>
            <w:noWrap w:val="0"/>
            <w:vAlign w:val="top"/>
          </w:tcPr>
          <w:p>
            <w:pPr>
              <w:rPr>
                <w:sz w:val="24"/>
                <w:szCs w:val="24"/>
              </w:rPr>
            </w:pPr>
            <w:r>
              <w:rPr>
                <w:rFonts w:hint="eastAsia"/>
                <w:sz w:val="24"/>
                <w:szCs w:val="24"/>
              </w:rPr>
              <w:t>支持应用环境风险感知：能够检测到终端运行了指定的非法应用程序，同时能够感知到是否没有运行指定的必备应用程序；能够检测到是否存在指定的非法服务，同时能够感知到是否不存在指定的合法服务；能够检测到是否存在指定的非法注册表项，同时能够感知到是否不存在指定的必备注册表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Merge w:val="continue"/>
            <w:noWrap w:val="0"/>
            <w:vAlign w:val="center"/>
          </w:tcPr>
          <w:p>
            <w:pPr>
              <w:widowControl/>
              <w:jc w:val="center"/>
              <w:rPr>
                <w:rFonts w:hint="eastAsia" w:ascii="宋体" w:hAnsi="宋体" w:cs="宋体"/>
                <w:sz w:val="24"/>
                <w:szCs w:val="24"/>
              </w:rPr>
            </w:pPr>
          </w:p>
        </w:tc>
        <w:tc>
          <w:tcPr>
            <w:tcW w:w="7057" w:type="dxa"/>
            <w:noWrap w:val="0"/>
            <w:vAlign w:val="top"/>
          </w:tcPr>
          <w:p>
            <w:pPr>
              <w:rPr>
                <w:rFonts w:hint="eastAsia"/>
                <w:sz w:val="24"/>
                <w:szCs w:val="24"/>
              </w:rPr>
            </w:pPr>
            <w:r>
              <w:rPr>
                <w:rFonts w:hint="eastAsia"/>
                <w:sz w:val="24"/>
                <w:szCs w:val="24"/>
              </w:rPr>
              <w:t>支持系统应用类风险感知：包括但不限于IE主页相关项目、IE菜单项、IE核心配置、IE外观配置、IE常规设置、IE浏览器图标配置、Internet选项、用户样式表、重置web设置、About协议、域名解析文件Hosts、常用文件关联项、磁盘及文件夹配置、系统常用组件、系统启动配置、系统图标配置、任务栏及开始菜单、系统重要服务组件、组策略、显示属性、Web桌面、网络驱动器、打印机设置、收藏夹快捷方式、桌面图标快捷方式、开始菜单快捷方式、桌面及资源管理器、快速启动栏快捷方式等项目；具备感知浏览器的安全级别和配置，具备感知浏览器的插件配置以及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Merge w:val="continue"/>
            <w:noWrap w:val="0"/>
            <w:vAlign w:val="center"/>
          </w:tcPr>
          <w:p>
            <w:pPr>
              <w:widowControl/>
              <w:jc w:val="center"/>
              <w:rPr>
                <w:rFonts w:hint="eastAsia" w:ascii="宋体" w:hAnsi="宋体" w:cs="宋体"/>
                <w:sz w:val="24"/>
                <w:szCs w:val="24"/>
              </w:rPr>
            </w:pPr>
          </w:p>
        </w:tc>
        <w:tc>
          <w:tcPr>
            <w:tcW w:w="7057" w:type="dxa"/>
            <w:noWrap w:val="0"/>
            <w:vAlign w:val="top"/>
          </w:tcPr>
          <w:p>
            <w:pPr>
              <w:rPr>
                <w:rFonts w:hint="eastAsia"/>
                <w:sz w:val="24"/>
                <w:szCs w:val="24"/>
              </w:rPr>
            </w:pPr>
            <w:r>
              <w:rPr>
                <w:rFonts w:hint="eastAsia"/>
                <w:sz w:val="24"/>
                <w:szCs w:val="24"/>
              </w:rPr>
              <w:t>支持可信环境感知报告:具备感知要素和策略的定制化，比如感知要素选项、感知策略内容、感知风险等级、感知要素权重、综合评分规则、业务考核规则、执行频率等；支持可同时配置并执行多个感知策略。具备可信环境感知报告上报接口，能够根据根据接收到的终端实时环境数据、异步环境数据、历史环境数据，按照业务的安全要求对终端是否可信进行评估和分析，支持不同业务场景下生成不同的可信环境感知报告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Merge w:val="continue"/>
            <w:noWrap w:val="0"/>
            <w:vAlign w:val="center"/>
          </w:tcPr>
          <w:p>
            <w:pPr>
              <w:widowControl/>
              <w:jc w:val="center"/>
              <w:rPr>
                <w:rFonts w:hint="eastAsia" w:ascii="宋体" w:hAnsi="宋体" w:cs="宋体"/>
                <w:sz w:val="24"/>
                <w:szCs w:val="24"/>
              </w:rPr>
            </w:pPr>
          </w:p>
        </w:tc>
        <w:tc>
          <w:tcPr>
            <w:tcW w:w="7057" w:type="dxa"/>
            <w:noWrap w:val="0"/>
            <w:vAlign w:val="top"/>
          </w:tcPr>
          <w:p>
            <w:pPr>
              <w:rPr>
                <w:sz w:val="24"/>
                <w:szCs w:val="24"/>
              </w:rPr>
            </w:pPr>
            <w:r>
              <w:rPr>
                <w:rFonts w:hint="eastAsia"/>
                <w:sz w:val="24"/>
                <w:szCs w:val="24"/>
              </w:rPr>
              <w:t>支持级联部署、支持集群部署、支持国产化服务器部署，windows和国产化终端以及安可终端统一管理、支持国产数据库部署；支持主流windows系统部署、主流国产操作系统部署、支持安可操作系统部署、支持终端增量升级、支持与PKI证书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Merge w:val="continue"/>
            <w:noWrap w:val="0"/>
            <w:vAlign w:val="center"/>
          </w:tcPr>
          <w:p>
            <w:pPr>
              <w:widowControl/>
              <w:jc w:val="center"/>
              <w:rPr>
                <w:rFonts w:hint="eastAsia" w:ascii="宋体" w:hAnsi="宋体" w:cs="宋体"/>
                <w:sz w:val="24"/>
                <w:szCs w:val="24"/>
              </w:rPr>
            </w:pPr>
          </w:p>
        </w:tc>
        <w:tc>
          <w:tcPr>
            <w:tcW w:w="7057" w:type="dxa"/>
            <w:noWrap w:val="0"/>
            <w:vAlign w:val="top"/>
          </w:tcPr>
          <w:p>
            <w:pPr>
              <w:rPr>
                <w:rFonts w:hint="eastAsia"/>
                <w:sz w:val="24"/>
                <w:szCs w:val="24"/>
              </w:rPr>
            </w:pPr>
            <w:r>
              <w:rPr>
                <w:rFonts w:hint="eastAsia"/>
                <w:sz w:val="24"/>
                <w:szCs w:val="24"/>
              </w:rPr>
              <w:t>★支持主流windows系统部署、主流国产操作系统部署、支持安可操作系统部署、支持终端增量升级、支持与PKI证书联动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Merge w:val="continue"/>
            <w:noWrap w:val="0"/>
            <w:vAlign w:val="center"/>
          </w:tcPr>
          <w:p>
            <w:pPr>
              <w:widowControl/>
              <w:jc w:val="center"/>
              <w:rPr>
                <w:rFonts w:hint="eastAsia" w:ascii="宋体" w:hAnsi="宋体" w:cs="宋体"/>
                <w:sz w:val="24"/>
                <w:szCs w:val="24"/>
              </w:rPr>
            </w:pPr>
          </w:p>
        </w:tc>
        <w:tc>
          <w:tcPr>
            <w:tcW w:w="7057" w:type="dxa"/>
            <w:noWrap w:val="0"/>
            <w:vAlign w:val="top"/>
          </w:tcPr>
          <w:p>
            <w:pPr>
              <w:rPr>
                <w:rFonts w:hint="eastAsia"/>
                <w:sz w:val="24"/>
                <w:szCs w:val="24"/>
              </w:rPr>
            </w:pPr>
            <w:r>
              <w:rPr>
                <w:rFonts w:hint="eastAsia"/>
                <w:sz w:val="24"/>
                <w:szCs w:val="24"/>
              </w:rPr>
              <w:t>支持通过对终端运行的应用进行识别，可感知到应用程序的启动状态，启动目录等，并可将识别到的信息上报至控制中心；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Merge w:val="continue"/>
            <w:noWrap w:val="0"/>
            <w:vAlign w:val="center"/>
          </w:tcPr>
          <w:p>
            <w:pPr>
              <w:widowControl/>
              <w:jc w:val="center"/>
              <w:rPr>
                <w:rFonts w:hint="eastAsia" w:ascii="宋体" w:hAnsi="宋体" w:cs="宋体"/>
                <w:sz w:val="24"/>
                <w:szCs w:val="24"/>
              </w:rPr>
            </w:pPr>
          </w:p>
        </w:tc>
        <w:tc>
          <w:tcPr>
            <w:tcW w:w="7057" w:type="dxa"/>
            <w:noWrap w:val="0"/>
            <w:vAlign w:val="top"/>
          </w:tcPr>
          <w:p>
            <w:pPr>
              <w:rPr>
                <w:rFonts w:hint="eastAsia"/>
                <w:sz w:val="24"/>
                <w:szCs w:val="24"/>
              </w:rPr>
            </w:pPr>
            <w:r>
              <w:rPr>
                <w:rFonts w:hint="eastAsia"/>
                <w:sz w:val="24"/>
                <w:szCs w:val="24"/>
              </w:rPr>
              <w:t>支持通过“可信加权”原则，对风险权值进行相加，根据不同权值或安全等级指定安全策略并下发控制服务；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Merge w:val="continue"/>
            <w:noWrap w:val="0"/>
            <w:vAlign w:val="center"/>
          </w:tcPr>
          <w:p>
            <w:pPr>
              <w:widowControl/>
              <w:jc w:val="center"/>
              <w:rPr>
                <w:rFonts w:hint="eastAsia" w:ascii="宋体" w:hAnsi="宋体" w:cs="宋体"/>
                <w:sz w:val="24"/>
                <w:szCs w:val="24"/>
              </w:rPr>
            </w:pPr>
          </w:p>
        </w:tc>
        <w:tc>
          <w:tcPr>
            <w:tcW w:w="7057" w:type="dxa"/>
            <w:noWrap w:val="0"/>
            <w:vAlign w:val="top"/>
          </w:tcPr>
          <w:p>
            <w:pPr>
              <w:rPr>
                <w:rFonts w:hint="eastAsia"/>
                <w:sz w:val="24"/>
                <w:szCs w:val="24"/>
              </w:rPr>
            </w:pPr>
            <w:r>
              <w:rPr>
                <w:rFonts w:hint="eastAsia"/>
                <w:sz w:val="24"/>
                <w:szCs w:val="24"/>
              </w:rPr>
              <w:t>使用云桌面访问业务场景下，云桌面中环境感知客户端可以穿透云桌面获取物理机上环境感知客户端信息，包括是否安装环境感知客户端、物理机设备可信标识、物理机基本信息、物理机上感知结果。</w:t>
            </w:r>
          </w:p>
          <w:p>
            <w:pPr>
              <w:rPr>
                <w:rFonts w:hint="eastAsia"/>
                <w:sz w:val="24"/>
                <w:szCs w:val="24"/>
              </w:rPr>
            </w:pPr>
            <w:r>
              <w:rPr>
                <w:rFonts w:hint="eastAsia"/>
                <w:sz w:val="24"/>
                <w:szCs w:val="24"/>
              </w:rPr>
              <w:t>云桌面穿透适配华为、VMWare、深信服、H3C、升腾、锐捷。</w:t>
            </w:r>
          </w:p>
          <w:p>
            <w:pPr>
              <w:rPr>
                <w:rFonts w:hint="eastAsia"/>
                <w:sz w:val="24"/>
                <w:szCs w:val="24"/>
              </w:rPr>
            </w:pPr>
            <w:r>
              <w:rPr>
                <w:rFonts w:hint="eastAsia"/>
                <w:sz w:val="24"/>
                <w:szCs w:val="24"/>
              </w:rPr>
              <w:t>提供云桌面穿透适配的标准API，其他云桌面可根据API定制开发完成穿透适配。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vMerge w:val="continue"/>
            <w:noWrap w:val="0"/>
            <w:vAlign w:val="center"/>
          </w:tcPr>
          <w:p>
            <w:pPr>
              <w:widowControl/>
              <w:jc w:val="center"/>
              <w:rPr>
                <w:rFonts w:hint="eastAsia" w:ascii="宋体" w:hAnsi="宋体" w:cs="宋体"/>
                <w:sz w:val="24"/>
                <w:szCs w:val="24"/>
              </w:rPr>
            </w:pPr>
          </w:p>
        </w:tc>
        <w:tc>
          <w:tcPr>
            <w:tcW w:w="7057" w:type="dxa"/>
            <w:noWrap w:val="0"/>
            <w:vAlign w:val="top"/>
          </w:tcPr>
          <w:p>
            <w:pPr>
              <w:rPr>
                <w:rFonts w:hint="eastAsia"/>
                <w:sz w:val="24"/>
                <w:szCs w:val="24"/>
              </w:rPr>
            </w:pPr>
            <w:r>
              <w:rPr>
                <w:rFonts w:hint="eastAsia"/>
                <w:sz w:val="24"/>
                <w:szCs w:val="24"/>
              </w:rPr>
              <w:t>支持具备自我保护功能和加密功能的，而且所有文件均是经过数据签名认证的，可有效保证客户端程序目录下的相关文件均是不可以被篡改、注入、拦截、恶意终止，保证客户端程序本身的可信；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242" w:type="dxa"/>
            <w:noWrap w:val="0"/>
            <w:vAlign w:val="center"/>
          </w:tcPr>
          <w:p>
            <w:pPr>
              <w:widowControl/>
              <w:jc w:val="center"/>
              <w:rPr>
                <w:rFonts w:hint="eastAsia" w:ascii="宋体" w:hAnsi="宋体" w:cs="宋体"/>
                <w:sz w:val="24"/>
                <w:szCs w:val="24"/>
              </w:rPr>
            </w:pPr>
            <w:r>
              <w:rPr>
                <w:rFonts w:hint="eastAsia" w:ascii="宋体" w:hAnsi="宋体" w:cs="宋体"/>
                <w:sz w:val="24"/>
                <w:szCs w:val="24"/>
              </w:rPr>
              <w:t>其他</w:t>
            </w:r>
          </w:p>
        </w:tc>
        <w:tc>
          <w:tcPr>
            <w:tcW w:w="7057" w:type="dxa"/>
            <w:noWrap w:val="0"/>
            <w:vAlign w:val="center"/>
          </w:tcPr>
          <w:p>
            <w:pPr>
              <w:pStyle w:val="31"/>
              <w:ind w:firstLine="0" w:firstLineChars="0"/>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原厂五年质保，中标后签订合同前提供原厂商质保承诺函。</w:t>
            </w:r>
          </w:p>
        </w:tc>
      </w:tr>
    </w:tbl>
    <w:p>
      <w:pPr>
        <w:pStyle w:val="31"/>
        <w:ind w:firstLine="0" w:firstLineChars="0"/>
        <w:outlineLvl w:val="1"/>
        <w:rPr>
          <w:rFonts w:hint="eastAsia" w:ascii="宋体" w:hAnsi="宋体"/>
          <w:b/>
          <w:color w:val="000000"/>
          <w:sz w:val="24"/>
          <w:szCs w:val="24"/>
          <w:lang w:eastAsia="zh-CN"/>
        </w:rPr>
      </w:pPr>
    </w:p>
    <w:p>
      <w:pPr>
        <w:pStyle w:val="31"/>
        <w:ind w:firstLine="0" w:firstLineChars="0"/>
        <w:outlineLvl w:val="1"/>
        <w:rPr>
          <w:rFonts w:hint="eastAsia" w:ascii="宋体" w:hAnsi="宋体"/>
          <w:b/>
          <w:color w:val="000000"/>
          <w:sz w:val="24"/>
          <w:szCs w:val="24"/>
        </w:rPr>
      </w:pPr>
      <w:r>
        <w:rPr>
          <w:rFonts w:hint="eastAsia" w:ascii="宋体" w:hAnsi="宋体"/>
          <w:b/>
          <w:color w:val="000000"/>
          <w:sz w:val="24"/>
          <w:szCs w:val="24"/>
        </w:rPr>
        <w:t>12、可信</w:t>
      </w:r>
      <w:r>
        <w:rPr>
          <w:rFonts w:ascii="宋体" w:hAnsi="宋体"/>
          <w:b/>
          <w:color w:val="000000"/>
          <w:sz w:val="24"/>
          <w:szCs w:val="24"/>
        </w:rPr>
        <w:t>接入代理</w:t>
      </w:r>
      <w:r>
        <w:rPr>
          <w:rFonts w:hint="eastAsia" w:ascii="宋体" w:hAnsi="宋体"/>
          <w:b/>
          <w:color w:val="000000"/>
          <w:sz w:val="24"/>
          <w:szCs w:val="24"/>
        </w:rPr>
        <w:t>（2台）</w:t>
      </w:r>
    </w:p>
    <w:tbl>
      <w:tblPr>
        <w:tblStyle w:val="23"/>
        <w:tblW w:w="8290"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2"/>
        <w:gridCol w:w="7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75" w:hRule="atLeast"/>
        </w:trPr>
        <w:tc>
          <w:tcPr>
            <w:tcW w:w="1172" w:type="dxa"/>
            <w:noWrap w:val="0"/>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指标项</w:t>
            </w:r>
          </w:p>
        </w:tc>
        <w:tc>
          <w:tcPr>
            <w:tcW w:w="7118" w:type="dxa"/>
            <w:noWrap w:val="0"/>
            <w:vAlign w:val="center"/>
          </w:tcPr>
          <w:p>
            <w:pPr>
              <w:widowControl/>
              <w:jc w:val="center"/>
              <w:rPr>
                <w:rFonts w:ascii="仿宋" w:hAnsi="仿宋" w:eastAsia="仿宋" w:cs="宋体"/>
                <w:b/>
                <w:bCs/>
                <w:kern w:val="0"/>
                <w:sz w:val="24"/>
                <w:szCs w:val="24"/>
              </w:rPr>
            </w:pPr>
            <w:r>
              <w:rPr>
                <w:rFonts w:hint="eastAsia" w:ascii="仿宋" w:hAnsi="仿宋" w:eastAsia="仿宋" w:cs="宋体"/>
                <w:b/>
                <w:bCs/>
                <w:kern w:val="0"/>
                <w:sz w:val="24"/>
                <w:szCs w:val="24"/>
              </w:rPr>
              <w:t>技术指标及参数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1172" w:type="dxa"/>
            <w:vMerge w:val="restart"/>
            <w:noWrap w:val="0"/>
            <w:vAlign w:val="center"/>
          </w:tcPr>
          <w:p>
            <w:pPr>
              <w:jc w:val="center"/>
              <w:rPr>
                <w:rFonts w:ascii="宋体" w:hAnsi="宋体"/>
                <w:sz w:val="24"/>
                <w:szCs w:val="24"/>
              </w:rPr>
            </w:pPr>
            <w:r>
              <w:rPr>
                <w:rFonts w:hint="eastAsia" w:ascii="宋体" w:hAnsi="宋体"/>
                <w:sz w:val="24"/>
                <w:szCs w:val="24"/>
              </w:rPr>
              <w:t>基本参数</w:t>
            </w:r>
          </w:p>
        </w:tc>
        <w:tc>
          <w:tcPr>
            <w:tcW w:w="7118" w:type="dxa"/>
            <w:noWrap w:val="0"/>
            <w:vAlign w:val="center"/>
          </w:tcPr>
          <w:p>
            <w:pPr>
              <w:rPr>
                <w:rFonts w:hint="eastAsia" w:ascii="宋体" w:hAnsi="宋体" w:cs="宋体"/>
                <w:sz w:val="24"/>
                <w:szCs w:val="24"/>
              </w:rPr>
            </w:pPr>
            <w:r>
              <w:rPr>
                <w:rFonts w:hint="eastAsia" w:ascii="宋体" w:hAnsi="宋体" w:cs="宋体"/>
                <w:sz w:val="24"/>
                <w:szCs w:val="24"/>
              </w:rPr>
              <w:t>冗余电源; ≥1T硬盘;标配≥6个10/100/1000电口，≥4个万兆SFP+光口插槽。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1172" w:type="dxa"/>
            <w:vMerge w:val="continue"/>
            <w:noWrap w:val="0"/>
            <w:vAlign w:val="center"/>
          </w:tcPr>
          <w:p>
            <w:pPr>
              <w:jc w:val="center"/>
              <w:rPr>
                <w:rFonts w:hint="eastAsia" w:ascii="仿宋" w:hAnsi="仿宋" w:eastAsia="仿宋"/>
                <w:sz w:val="24"/>
                <w:szCs w:val="24"/>
              </w:rPr>
            </w:pPr>
          </w:p>
        </w:tc>
        <w:tc>
          <w:tcPr>
            <w:tcW w:w="7118" w:type="dxa"/>
            <w:noWrap w:val="0"/>
            <w:vAlign w:val="center"/>
          </w:tcPr>
          <w:p>
            <w:pPr>
              <w:rPr>
                <w:rFonts w:hint="eastAsia" w:ascii="宋体" w:hAnsi="宋体" w:cs="宋体"/>
                <w:sz w:val="24"/>
                <w:szCs w:val="24"/>
              </w:rPr>
            </w:pPr>
            <w:r>
              <w:rPr>
                <w:rFonts w:hint="eastAsia" w:ascii="宋体" w:hAnsi="宋体" w:cs="宋体"/>
                <w:sz w:val="24"/>
                <w:szCs w:val="24"/>
              </w:rPr>
              <w:t>每台TAP支持最大并发用户数≥1000人，支持多台负载；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172" w:type="dxa"/>
            <w:vMerge w:val="continue"/>
            <w:noWrap w:val="0"/>
            <w:vAlign w:val="center"/>
          </w:tcPr>
          <w:p>
            <w:pPr>
              <w:jc w:val="center"/>
              <w:rPr>
                <w:rFonts w:ascii="仿宋" w:hAnsi="仿宋" w:eastAsia="仿宋"/>
                <w:sz w:val="24"/>
                <w:szCs w:val="24"/>
              </w:rPr>
            </w:pPr>
          </w:p>
        </w:tc>
        <w:tc>
          <w:tcPr>
            <w:tcW w:w="7118" w:type="dxa"/>
            <w:noWrap w:val="0"/>
            <w:vAlign w:val="center"/>
          </w:tcPr>
          <w:p>
            <w:pPr>
              <w:rPr>
                <w:rFonts w:hint="eastAsia" w:ascii="宋体" w:hAnsi="宋体" w:cs="宋体"/>
                <w:sz w:val="24"/>
                <w:szCs w:val="24"/>
                <w:highlight w:val="none"/>
              </w:rPr>
            </w:pPr>
            <w:r>
              <w:rPr>
                <w:rFonts w:hint="eastAsia" w:ascii="宋体" w:hAnsi="宋体" w:cs="宋体"/>
                <w:sz w:val="24"/>
                <w:szCs w:val="24"/>
                <w:highlight w:val="none"/>
              </w:rPr>
              <w:t>单向加密吞吐≥5Gbps，HTTPS卸载吞吐量≥2.5G（100K页面），HTTPS并发连接数≥2.0万，每秒新建连接≥7000，请求时延小于500us；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1172" w:type="dxa"/>
            <w:vMerge w:val="continue"/>
            <w:noWrap w:val="0"/>
            <w:vAlign w:val="center"/>
          </w:tcPr>
          <w:p>
            <w:pPr>
              <w:jc w:val="center"/>
              <w:rPr>
                <w:rFonts w:ascii="仿宋" w:hAnsi="仿宋" w:eastAsia="仿宋"/>
                <w:sz w:val="24"/>
                <w:szCs w:val="24"/>
              </w:rPr>
            </w:pPr>
          </w:p>
        </w:tc>
        <w:tc>
          <w:tcPr>
            <w:tcW w:w="7118" w:type="dxa"/>
            <w:noWrap w:val="0"/>
            <w:vAlign w:val="center"/>
          </w:tcPr>
          <w:p>
            <w:pPr>
              <w:rPr>
                <w:rFonts w:hint="eastAsia" w:ascii="宋体" w:hAnsi="宋体" w:cs="宋体"/>
                <w:sz w:val="24"/>
                <w:szCs w:val="24"/>
              </w:rPr>
            </w:pPr>
            <w:r>
              <w:rPr>
                <w:rFonts w:hint="eastAsia" w:ascii="宋体" w:hAnsi="宋体" w:cs="宋体"/>
                <w:sz w:val="24"/>
                <w:szCs w:val="24"/>
              </w:rPr>
              <w:t>支持SM1、SM2、SM3、SM4国密算法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172" w:type="dxa"/>
            <w:vMerge w:val="restart"/>
            <w:noWrap w:val="0"/>
            <w:vAlign w:val="center"/>
          </w:tcPr>
          <w:p>
            <w:pPr>
              <w:jc w:val="center"/>
              <w:rPr>
                <w:rFonts w:ascii="仿宋" w:hAnsi="仿宋" w:eastAsia="仿宋"/>
                <w:sz w:val="24"/>
                <w:szCs w:val="24"/>
              </w:rPr>
            </w:pPr>
            <w:r>
              <w:rPr>
                <w:rFonts w:hint="eastAsia" w:ascii="宋体" w:hAnsi="宋体"/>
                <w:sz w:val="24"/>
                <w:szCs w:val="24"/>
              </w:rPr>
              <w:t>功能规格</w:t>
            </w:r>
          </w:p>
        </w:tc>
        <w:tc>
          <w:tcPr>
            <w:tcW w:w="7118" w:type="dxa"/>
            <w:noWrap w:val="0"/>
            <w:vAlign w:val="center"/>
          </w:tcPr>
          <w:p>
            <w:pPr>
              <w:widowControl/>
              <w:jc w:val="left"/>
              <w:rPr>
                <w:rFonts w:hint="eastAsia" w:ascii="宋体" w:hAnsi="宋体" w:cs="宋体"/>
                <w:sz w:val="24"/>
                <w:szCs w:val="24"/>
              </w:rPr>
            </w:pPr>
            <w:r>
              <w:rPr>
                <w:rFonts w:hint="eastAsia" w:ascii="宋体" w:hAnsi="宋体" w:cs="宋体"/>
                <w:sz w:val="24"/>
                <w:szCs w:val="24"/>
              </w:rPr>
              <w:t>设备联动：能够与可信环境感知系统形成联动，具备应用级动态访问控制。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72" w:type="dxa"/>
            <w:vMerge w:val="continue"/>
            <w:noWrap w:val="0"/>
            <w:vAlign w:val="center"/>
          </w:tcPr>
          <w:p>
            <w:pPr>
              <w:jc w:val="center"/>
              <w:rPr>
                <w:rFonts w:ascii="仿宋" w:hAnsi="仿宋" w:eastAsia="仿宋"/>
                <w:sz w:val="24"/>
                <w:szCs w:val="24"/>
              </w:rPr>
            </w:pPr>
          </w:p>
        </w:tc>
        <w:tc>
          <w:tcPr>
            <w:tcW w:w="7118" w:type="dxa"/>
            <w:noWrap w:val="0"/>
            <w:vAlign w:val="center"/>
          </w:tcPr>
          <w:p>
            <w:pPr>
              <w:rPr>
                <w:rFonts w:hint="eastAsia" w:ascii="宋体" w:hAnsi="宋体" w:cs="宋体"/>
                <w:sz w:val="24"/>
                <w:szCs w:val="24"/>
              </w:rPr>
            </w:pPr>
            <w:r>
              <w:rPr>
                <w:rFonts w:hint="eastAsia" w:ascii="宋体" w:hAnsi="宋体" w:cs="宋体"/>
                <w:sz w:val="24"/>
                <w:szCs w:val="24"/>
              </w:rPr>
              <w:t>请求代理转发：支持接收用户发送的访问请求，识别请求中的主体、客体，获取主客体标识， 并向可信代理控制服务发起动态授权判定请求，对授权通过的请求进行流量转发，实现令牌或 权限信息传递;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72" w:type="dxa"/>
            <w:vMerge w:val="continue"/>
            <w:noWrap w:val="0"/>
            <w:vAlign w:val="center"/>
          </w:tcPr>
          <w:p>
            <w:pPr>
              <w:jc w:val="center"/>
              <w:rPr>
                <w:rFonts w:ascii="仿宋" w:hAnsi="仿宋" w:eastAsia="仿宋"/>
                <w:sz w:val="24"/>
                <w:szCs w:val="24"/>
              </w:rPr>
            </w:pPr>
          </w:p>
        </w:tc>
        <w:tc>
          <w:tcPr>
            <w:tcW w:w="7118" w:type="dxa"/>
            <w:noWrap w:val="0"/>
            <w:vAlign w:val="top"/>
          </w:tcPr>
          <w:p>
            <w:pPr>
              <w:rPr>
                <w:rFonts w:hint="eastAsia" w:ascii="宋体" w:hAnsi="宋体"/>
                <w:sz w:val="24"/>
                <w:szCs w:val="24"/>
              </w:rPr>
            </w:pPr>
            <w:r>
              <w:rPr>
                <w:rFonts w:hint="eastAsia" w:ascii="宋体" w:hAnsi="宋体"/>
                <w:sz w:val="24"/>
                <w:szCs w:val="24"/>
              </w:rPr>
              <w:t>单点登录：支持为后端应用传递身份和会话令牌实现单点登录，支持为遗留应用通过密码代填 方式实现单点登录；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72" w:type="dxa"/>
            <w:vMerge w:val="continue"/>
            <w:noWrap w:val="0"/>
            <w:vAlign w:val="center"/>
          </w:tcPr>
          <w:p>
            <w:pPr>
              <w:jc w:val="center"/>
              <w:rPr>
                <w:rFonts w:ascii="仿宋" w:hAnsi="仿宋" w:eastAsia="仿宋"/>
                <w:sz w:val="24"/>
                <w:szCs w:val="24"/>
              </w:rPr>
            </w:pPr>
          </w:p>
        </w:tc>
        <w:tc>
          <w:tcPr>
            <w:tcW w:w="7118" w:type="dxa"/>
            <w:noWrap w:val="0"/>
            <w:vAlign w:val="top"/>
          </w:tcPr>
          <w:p>
            <w:pPr>
              <w:rPr>
                <w:rFonts w:hint="eastAsia" w:ascii="宋体" w:hAnsi="宋体"/>
                <w:sz w:val="24"/>
                <w:szCs w:val="24"/>
              </w:rPr>
            </w:pPr>
            <w:r>
              <w:rPr>
                <w:rFonts w:hint="eastAsia" w:ascii="宋体" w:hAnsi="宋体"/>
                <w:sz w:val="24"/>
                <w:szCs w:val="24"/>
              </w:rPr>
              <w:t>单点登出：支持与可信代理控制服务联动，当用户会话失效时，对用户实现单点登出；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72" w:type="dxa"/>
            <w:vMerge w:val="continue"/>
            <w:noWrap w:val="0"/>
            <w:vAlign w:val="center"/>
          </w:tcPr>
          <w:p>
            <w:pPr>
              <w:jc w:val="center"/>
              <w:rPr>
                <w:rFonts w:ascii="仿宋" w:hAnsi="仿宋" w:eastAsia="仿宋"/>
                <w:sz w:val="24"/>
                <w:szCs w:val="24"/>
              </w:rPr>
            </w:pPr>
          </w:p>
        </w:tc>
        <w:tc>
          <w:tcPr>
            <w:tcW w:w="7118" w:type="dxa"/>
            <w:noWrap w:val="0"/>
            <w:vAlign w:val="top"/>
          </w:tcPr>
          <w:p>
            <w:pPr>
              <w:rPr>
                <w:rFonts w:hint="eastAsia" w:ascii="宋体" w:hAnsi="宋体"/>
                <w:sz w:val="24"/>
                <w:szCs w:val="24"/>
              </w:rPr>
            </w:pPr>
            <w:r>
              <w:rPr>
                <w:rFonts w:hint="eastAsia" w:ascii="宋体" w:hAnsi="宋体"/>
                <w:sz w:val="24"/>
                <w:szCs w:val="24"/>
              </w:rPr>
              <w:t>流量管控：支持对应用请求信息进行流量控制，支持基于请求内容大小、请求速度、请求连接数、访问时段、服务类型等参数进行流量控制；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72" w:type="dxa"/>
            <w:vMerge w:val="continue"/>
            <w:noWrap w:val="0"/>
            <w:vAlign w:val="center"/>
          </w:tcPr>
          <w:p>
            <w:pPr>
              <w:jc w:val="center"/>
              <w:rPr>
                <w:rFonts w:ascii="仿宋" w:hAnsi="仿宋" w:eastAsia="仿宋"/>
                <w:sz w:val="24"/>
                <w:szCs w:val="24"/>
              </w:rPr>
            </w:pPr>
          </w:p>
        </w:tc>
        <w:tc>
          <w:tcPr>
            <w:tcW w:w="7118" w:type="dxa"/>
            <w:noWrap w:val="0"/>
            <w:vAlign w:val="top"/>
          </w:tcPr>
          <w:p>
            <w:pPr>
              <w:rPr>
                <w:rFonts w:hint="eastAsia" w:ascii="宋体" w:hAnsi="宋体"/>
                <w:sz w:val="24"/>
                <w:szCs w:val="24"/>
              </w:rPr>
            </w:pPr>
            <w:r>
              <w:rPr>
                <w:rFonts w:hint="eastAsia" w:ascii="宋体" w:hAnsi="宋体"/>
                <w:sz w:val="24"/>
                <w:szCs w:val="24"/>
              </w:rPr>
              <w:t>访问控制：支持接收应用访问请求并和可信代理控制服务联动进行访问控制策略判定，根据判 定结果进行控制，能够在主体环境安全状态变更时，强制撤销当前会话；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72" w:type="dxa"/>
            <w:vMerge w:val="continue"/>
            <w:noWrap w:val="0"/>
            <w:vAlign w:val="center"/>
          </w:tcPr>
          <w:p>
            <w:pPr>
              <w:jc w:val="center"/>
              <w:rPr>
                <w:rFonts w:ascii="仿宋" w:hAnsi="仿宋" w:eastAsia="仿宋"/>
                <w:sz w:val="24"/>
                <w:szCs w:val="24"/>
              </w:rPr>
            </w:pPr>
          </w:p>
        </w:tc>
        <w:tc>
          <w:tcPr>
            <w:tcW w:w="7118" w:type="dxa"/>
            <w:noWrap w:val="0"/>
            <w:vAlign w:val="top"/>
          </w:tcPr>
          <w:p>
            <w:pPr>
              <w:rPr>
                <w:rFonts w:hint="eastAsia" w:ascii="宋体" w:hAnsi="宋体"/>
                <w:sz w:val="24"/>
                <w:szCs w:val="24"/>
              </w:rPr>
            </w:pPr>
            <w:r>
              <w:rPr>
                <w:rFonts w:hint="eastAsia" w:ascii="宋体" w:hAnsi="宋体"/>
                <w:sz w:val="24"/>
                <w:szCs w:val="24"/>
              </w:rPr>
              <w:t>二次认证：支持根据可信代理控制服务下发的指令，协同认证服务完成二次认证；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72" w:type="dxa"/>
            <w:vMerge w:val="continue"/>
            <w:noWrap w:val="0"/>
            <w:vAlign w:val="center"/>
          </w:tcPr>
          <w:p>
            <w:pPr>
              <w:jc w:val="center"/>
              <w:rPr>
                <w:rFonts w:ascii="仿宋" w:hAnsi="仿宋" w:eastAsia="仿宋"/>
                <w:sz w:val="24"/>
                <w:szCs w:val="24"/>
              </w:rPr>
            </w:pPr>
          </w:p>
        </w:tc>
        <w:tc>
          <w:tcPr>
            <w:tcW w:w="7118" w:type="dxa"/>
            <w:noWrap w:val="0"/>
            <w:vAlign w:val="top"/>
          </w:tcPr>
          <w:p>
            <w:pPr>
              <w:rPr>
                <w:rFonts w:hint="eastAsia" w:ascii="宋体" w:hAnsi="宋体"/>
                <w:sz w:val="24"/>
                <w:szCs w:val="24"/>
                <w:highlight w:val="none"/>
              </w:rPr>
            </w:pPr>
            <w:r>
              <w:rPr>
                <w:rFonts w:hint="eastAsia" w:ascii="宋体" w:hAnsi="宋体"/>
                <w:sz w:val="24"/>
                <w:szCs w:val="24"/>
                <w:highlight w:val="none"/>
              </w:rPr>
              <w:t>数据转发时延≤100ms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72" w:type="dxa"/>
            <w:vMerge w:val="continue"/>
            <w:noWrap w:val="0"/>
            <w:vAlign w:val="center"/>
          </w:tcPr>
          <w:p>
            <w:pPr>
              <w:jc w:val="center"/>
              <w:rPr>
                <w:rFonts w:ascii="仿宋" w:hAnsi="仿宋" w:eastAsia="仿宋"/>
                <w:sz w:val="24"/>
                <w:szCs w:val="24"/>
              </w:rPr>
            </w:pPr>
          </w:p>
        </w:tc>
        <w:tc>
          <w:tcPr>
            <w:tcW w:w="7118" w:type="dxa"/>
            <w:noWrap w:val="0"/>
            <w:vAlign w:val="center"/>
          </w:tcPr>
          <w:p>
            <w:pPr>
              <w:rPr>
                <w:rFonts w:hint="eastAsia" w:ascii="宋体" w:hAnsi="宋体" w:cs="宋体"/>
                <w:sz w:val="24"/>
                <w:szCs w:val="24"/>
              </w:rPr>
            </w:pPr>
            <w:r>
              <w:rPr>
                <w:rFonts w:hint="eastAsia" w:ascii="宋体" w:hAnsi="宋体" w:cs="宋体"/>
                <w:sz w:val="24"/>
                <w:szCs w:val="24"/>
              </w:rPr>
              <w:t>日志审计：记录策略执行日志、网络流量统计等信息，包括用户身份、终端信息、时间、目标 应用、流量等信息，并进行日志上报，便于实现对应用访问进行审计及安全风险分析；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72" w:type="dxa"/>
            <w:vMerge w:val="continue"/>
            <w:noWrap w:val="0"/>
            <w:vAlign w:val="center"/>
          </w:tcPr>
          <w:p>
            <w:pPr>
              <w:jc w:val="center"/>
              <w:rPr>
                <w:rFonts w:ascii="仿宋" w:hAnsi="仿宋" w:eastAsia="仿宋"/>
                <w:sz w:val="24"/>
                <w:szCs w:val="24"/>
              </w:rPr>
            </w:pPr>
          </w:p>
        </w:tc>
        <w:tc>
          <w:tcPr>
            <w:tcW w:w="7118" w:type="dxa"/>
            <w:noWrap w:val="0"/>
            <w:vAlign w:val="center"/>
          </w:tcPr>
          <w:p>
            <w:pPr>
              <w:rPr>
                <w:rFonts w:hint="eastAsia" w:ascii="宋体" w:hAnsi="宋体" w:cs="宋体"/>
                <w:sz w:val="24"/>
                <w:szCs w:val="24"/>
              </w:rPr>
            </w:pPr>
            <w:r>
              <w:rPr>
                <w:rFonts w:hint="eastAsia" w:ascii="宋体" w:hAnsi="宋体" w:cs="宋体"/>
                <w:sz w:val="24"/>
                <w:szCs w:val="24"/>
              </w:rPr>
              <w:t>支持3台以上集群部署的负载均衡，以实现热备份，确保服务的高可用性。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72" w:type="dxa"/>
            <w:vMerge w:val="continue"/>
            <w:noWrap w:val="0"/>
            <w:vAlign w:val="center"/>
          </w:tcPr>
          <w:p>
            <w:pPr>
              <w:jc w:val="center"/>
              <w:rPr>
                <w:rFonts w:ascii="仿宋" w:hAnsi="仿宋" w:eastAsia="仿宋"/>
                <w:sz w:val="24"/>
                <w:szCs w:val="24"/>
              </w:rPr>
            </w:pPr>
          </w:p>
        </w:tc>
        <w:tc>
          <w:tcPr>
            <w:tcW w:w="7118" w:type="dxa"/>
            <w:noWrap w:val="0"/>
            <w:vAlign w:val="center"/>
          </w:tcPr>
          <w:p>
            <w:pPr>
              <w:rPr>
                <w:rFonts w:hint="eastAsia" w:ascii="宋体" w:hAnsi="宋体" w:cs="宋体"/>
                <w:sz w:val="24"/>
                <w:szCs w:val="24"/>
              </w:rPr>
            </w:pPr>
            <w:r>
              <w:rPr>
                <w:rFonts w:hint="eastAsia" w:ascii="宋体" w:hAnsi="宋体" w:cs="宋体"/>
                <w:sz w:val="24"/>
                <w:szCs w:val="24"/>
              </w:rPr>
              <w:t>支持IPv6协议栈、IPV6穿越技术、IPV6路由协议，支持IPv6 over IPv4 GRE隧道，6RD隧道，支持NAT66，NAT64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72" w:type="dxa"/>
            <w:vMerge w:val="continue"/>
            <w:noWrap w:val="0"/>
            <w:vAlign w:val="center"/>
          </w:tcPr>
          <w:p>
            <w:pPr>
              <w:jc w:val="center"/>
              <w:rPr>
                <w:rFonts w:ascii="仿宋" w:hAnsi="仿宋" w:eastAsia="仿宋"/>
                <w:sz w:val="24"/>
                <w:szCs w:val="24"/>
              </w:rPr>
            </w:pPr>
          </w:p>
        </w:tc>
        <w:tc>
          <w:tcPr>
            <w:tcW w:w="7118" w:type="dxa"/>
            <w:noWrap w:val="0"/>
            <w:vAlign w:val="center"/>
          </w:tcPr>
          <w:p>
            <w:pPr>
              <w:rPr>
                <w:rFonts w:hint="eastAsia" w:ascii="宋体" w:hAnsi="宋体" w:cs="宋体"/>
                <w:sz w:val="24"/>
                <w:szCs w:val="24"/>
              </w:rPr>
            </w:pPr>
            <w:r>
              <w:rPr>
                <w:rFonts w:hint="eastAsia" w:ascii="宋体" w:hAnsi="宋体" w:cs="宋体"/>
                <w:sz w:val="24"/>
                <w:szCs w:val="24"/>
              </w:rPr>
              <w:t>支持无法改造的应用零改造对接，支持无法改造的应用用户名密码自动代填；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72" w:type="dxa"/>
            <w:vMerge w:val="continue"/>
            <w:noWrap w:val="0"/>
            <w:vAlign w:val="center"/>
          </w:tcPr>
          <w:p>
            <w:pPr>
              <w:jc w:val="center"/>
              <w:rPr>
                <w:rFonts w:ascii="仿宋" w:hAnsi="仿宋" w:eastAsia="仿宋"/>
                <w:sz w:val="24"/>
                <w:szCs w:val="24"/>
              </w:rPr>
            </w:pPr>
          </w:p>
        </w:tc>
        <w:tc>
          <w:tcPr>
            <w:tcW w:w="7118" w:type="dxa"/>
            <w:noWrap w:val="0"/>
            <w:vAlign w:val="center"/>
          </w:tcPr>
          <w:p>
            <w:pPr>
              <w:rPr>
                <w:rFonts w:hint="eastAsia" w:ascii="宋体" w:hAnsi="宋体" w:cs="宋体"/>
                <w:sz w:val="24"/>
                <w:szCs w:val="24"/>
              </w:rPr>
            </w:pPr>
            <w:r>
              <w:rPr>
                <w:rFonts w:hint="eastAsia" w:ascii="宋体" w:hAnsi="宋体" w:cs="宋体"/>
                <w:sz w:val="24"/>
                <w:szCs w:val="24"/>
              </w:rPr>
              <w:t>支持代理内置流探针，对网络中的流量进行采集，上送安全管理中心进行威胁分析；（提供页面截图）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72" w:type="dxa"/>
            <w:vMerge w:val="continue"/>
            <w:noWrap w:val="0"/>
            <w:vAlign w:val="center"/>
          </w:tcPr>
          <w:p>
            <w:pPr>
              <w:jc w:val="center"/>
              <w:rPr>
                <w:rFonts w:ascii="仿宋" w:hAnsi="仿宋" w:eastAsia="仿宋"/>
                <w:sz w:val="24"/>
                <w:szCs w:val="24"/>
              </w:rPr>
            </w:pPr>
          </w:p>
        </w:tc>
        <w:tc>
          <w:tcPr>
            <w:tcW w:w="7118" w:type="dxa"/>
            <w:noWrap w:val="0"/>
            <w:vAlign w:val="center"/>
          </w:tcPr>
          <w:p>
            <w:pPr>
              <w:rPr>
                <w:rFonts w:hint="eastAsia" w:ascii="宋体" w:hAnsi="宋体" w:cs="宋体"/>
                <w:sz w:val="24"/>
                <w:szCs w:val="24"/>
              </w:rPr>
            </w:pPr>
            <w:r>
              <w:rPr>
                <w:rFonts w:hint="eastAsia" w:ascii="宋体" w:hAnsi="宋体" w:cs="宋体"/>
                <w:sz w:val="24"/>
                <w:szCs w:val="24"/>
              </w:rPr>
              <w:t>提供web防护，基于防护规则（数字签名）对WEB流量进行监控及过滤，防止SQL注入、XSS、溢出攻击，针对CC攻击提供独创session验证模式，高效验证正常访问/机器攻击)，提供相关截图。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72" w:type="dxa"/>
            <w:noWrap w:val="0"/>
            <w:vAlign w:val="center"/>
          </w:tcPr>
          <w:p>
            <w:pPr>
              <w:jc w:val="center"/>
              <w:rPr>
                <w:rFonts w:ascii="仿宋" w:hAnsi="仿宋" w:eastAsia="仿宋"/>
                <w:sz w:val="24"/>
                <w:szCs w:val="24"/>
              </w:rPr>
            </w:pPr>
            <w:r>
              <w:rPr>
                <w:rFonts w:hint="eastAsia" w:ascii="宋体" w:hAnsi="宋体"/>
                <w:sz w:val="24"/>
                <w:szCs w:val="24"/>
              </w:rPr>
              <w:t>服务要求</w:t>
            </w:r>
          </w:p>
        </w:tc>
        <w:tc>
          <w:tcPr>
            <w:tcW w:w="7118" w:type="dxa"/>
            <w:noWrap w:val="0"/>
            <w:vAlign w:val="center"/>
          </w:tcPr>
          <w:p>
            <w:pPr>
              <w:rPr>
                <w:rFonts w:hint="eastAsia" w:ascii="宋体" w:hAnsi="宋体" w:cs="宋体"/>
                <w:sz w:val="24"/>
                <w:szCs w:val="24"/>
              </w:rPr>
            </w:pPr>
            <w:r>
              <w:rPr>
                <w:rFonts w:hint="eastAsia" w:ascii="宋体" w:hAnsi="宋体" w:cs="宋体"/>
                <w:sz w:val="24"/>
                <w:szCs w:val="24"/>
              </w:rPr>
              <w:t>提供原厂商5年免费质保和软件升级服务</w:t>
            </w:r>
          </w:p>
        </w:tc>
      </w:tr>
    </w:tbl>
    <w:p>
      <w:pPr>
        <w:pStyle w:val="31"/>
        <w:ind w:firstLine="0" w:firstLineChars="0"/>
        <w:outlineLvl w:val="1"/>
        <w:rPr>
          <w:rFonts w:hint="eastAsia" w:ascii="宋体" w:hAnsi="宋体"/>
          <w:b/>
          <w:color w:val="000000"/>
          <w:sz w:val="24"/>
          <w:szCs w:val="24"/>
        </w:rPr>
      </w:pPr>
    </w:p>
    <w:p>
      <w:pPr>
        <w:pStyle w:val="31"/>
        <w:ind w:firstLine="0" w:firstLineChars="0"/>
        <w:outlineLvl w:val="1"/>
        <w:rPr>
          <w:rFonts w:hint="eastAsia" w:ascii="宋体" w:hAnsi="宋体"/>
          <w:b/>
          <w:color w:val="000000"/>
          <w:sz w:val="24"/>
          <w:szCs w:val="24"/>
        </w:rPr>
      </w:pPr>
      <w:r>
        <w:rPr>
          <w:rFonts w:hint="eastAsia" w:ascii="宋体" w:hAnsi="宋体"/>
          <w:b/>
          <w:color w:val="000000"/>
          <w:sz w:val="24"/>
          <w:szCs w:val="24"/>
        </w:rPr>
        <w:t>13.负载</w:t>
      </w:r>
      <w:r>
        <w:rPr>
          <w:rFonts w:ascii="宋体" w:hAnsi="宋体"/>
          <w:b/>
          <w:color w:val="000000"/>
          <w:sz w:val="24"/>
          <w:szCs w:val="24"/>
        </w:rPr>
        <w:t>均衡</w:t>
      </w:r>
      <w:r>
        <w:rPr>
          <w:rFonts w:hint="eastAsia" w:ascii="宋体" w:hAnsi="宋体"/>
          <w:b/>
          <w:color w:val="000000"/>
          <w:sz w:val="24"/>
          <w:szCs w:val="24"/>
        </w:rPr>
        <w:t xml:space="preserve">（2台）   </w:t>
      </w:r>
    </w:p>
    <w:tbl>
      <w:tblPr>
        <w:tblStyle w:val="23"/>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7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188" w:type="dxa"/>
            <w:noWrap w:val="0"/>
            <w:vAlign w:val="center"/>
          </w:tcPr>
          <w:p>
            <w:pPr>
              <w:jc w:val="left"/>
              <w:rPr>
                <w:rFonts w:hint="eastAsia" w:ascii="宋体" w:hAnsi="宋体"/>
                <w:kern w:val="0"/>
                <w:sz w:val="24"/>
                <w:szCs w:val="24"/>
              </w:rPr>
            </w:pPr>
            <w:r>
              <w:rPr>
                <w:rFonts w:hint="eastAsia" w:ascii="宋体" w:hAnsi="宋体" w:cs="宋体"/>
                <w:color w:val="000000"/>
                <w:sz w:val="24"/>
                <w:szCs w:val="24"/>
              </w:rPr>
              <w:t>技术指标</w:t>
            </w:r>
          </w:p>
        </w:tc>
        <w:tc>
          <w:tcPr>
            <w:tcW w:w="7334" w:type="dxa"/>
            <w:noWrap w:val="0"/>
            <w:vAlign w:val="center"/>
          </w:tcPr>
          <w:p>
            <w:pPr>
              <w:autoSpaceDE w:val="0"/>
              <w:autoSpaceDN w:val="0"/>
              <w:adjustRightInd w:val="0"/>
              <w:jc w:val="center"/>
              <w:rPr>
                <w:rFonts w:hint="eastAsia" w:ascii="宋体" w:hAnsi="宋体"/>
                <w:sz w:val="24"/>
                <w:szCs w:val="24"/>
              </w:rPr>
            </w:pPr>
            <w:r>
              <w:rPr>
                <w:rFonts w:hint="eastAsia" w:ascii="宋体" w:hAnsi="宋体" w:cs="宋体"/>
                <w:color w:val="000000"/>
                <w:sz w:val="24"/>
                <w:szCs w:val="24"/>
              </w:rPr>
              <w:t>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 w:hRule="atLeast"/>
        </w:trPr>
        <w:tc>
          <w:tcPr>
            <w:tcW w:w="1188" w:type="dxa"/>
            <w:vMerge w:val="restart"/>
            <w:noWrap w:val="0"/>
            <w:vAlign w:val="center"/>
          </w:tcPr>
          <w:p>
            <w:pPr>
              <w:jc w:val="left"/>
              <w:rPr>
                <w:rFonts w:ascii="宋体" w:hAnsi="宋体"/>
                <w:kern w:val="0"/>
                <w:sz w:val="24"/>
                <w:szCs w:val="24"/>
              </w:rPr>
            </w:pPr>
            <w:r>
              <w:rPr>
                <w:rFonts w:hint="eastAsia" w:ascii="宋体" w:hAnsi="宋体"/>
                <w:kern w:val="0"/>
                <w:sz w:val="24"/>
                <w:szCs w:val="24"/>
              </w:rPr>
              <w:t>硬件及性能要求</w:t>
            </w:r>
          </w:p>
        </w:tc>
        <w:tc>
          <w:tcPr>
            <w:tcW w:w="7334" w:type="dxa"/>
            <w:noWrap w:val="0"/>
            <w:vAlign w:val="center"/>
          </w:tcPr>
          <w:p>
            <w:pPr>
              <w:autoSpaceDE w:val="0"/>
              <w:autoSpaceDN w:val="0"/>
              <w:adjustRightInd w:val="0"/>
              <w:jc w:val="left"/>
              <w:rPr>
                <w:rFonts w:ascii="宋体" w:hAnsi="宋体" w:cs="MyriadPro-Regular"/>
                <w:kern w:val="0"/>
                <w:sz w:val="24"/>
                <w:szCs w:val="24"/>
              </w:rPr>
            </w:pPr>
            <w:r>
              <w:rPr>
                <w:rFonts w:hint="eastAsia" w:ascii="宋体" w:hAnsi="宋体"/>
                <w:kern w:val="0"/>
                <w:sz w:val="24"/>
                <w:szCs w:val="24"/>
              </w:rPr>
              <w:t>采用Intel四核或以上CPU的硬件体系架构，必须支持超线程技术，独立的控制CPU。系统内存≥</w:t>
            </w:r>
            <w:r>
              <w:rPr>
                <w:rFonts w:ascii="宋体" w:hAnsi="宋体"/>
                <w:kern w:val="0"/>
                <w:sz w:val="24"/>
                <w:szCs w:val="24"/>
              </w:rPr>
              <w:t>16</w:t>
            </w:r>
            <w:r>
              <w:rPr>
                <w:rFonts w:hint="eastAsia" w:ascii="宋体" w:hAnsi="宋体"/>
                <w:kern w:val="0"/>
                <w:sz w:val="24"/>
                <w:szCs w:val="24"/>
              </w:rPr>
              <w:t>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88" w:type="dxa"/>
            <w:vMerge w:val="continue"/>
            <w:noWrap w:val="0"/>
            <w:vAlign w:val="center"/>
          </w:tcPr>
          <w:p>
            <w:pPr>
              <w:jc w:val="left"/>
              <w:rPr>
                <w:rFonts w:ascii="宋体" w:hAnsi="宋体"/>
                <w:kern w:val="0"/>
                <w:sz w:val="24"/>
                <w:szCs w:val="24"/>
              </w:rPr>
            </w:pPr>
          </w:p>
        </w:tc>
        <w:tc>
          <w:tcPr>
            <w:tcW w:w="7334" w:type="dxa"/>
            <w:noWrap w:val="0"/>
            <w:vAlign w:val="center"/>
          </w:tcPr>
          <w:p>
            <w:pPr>
              <w:jc w:val="left"/>
              <w:rPr>
                <w:rFonts w:ascii="宋体" w:hAnsi="宋体"/>
                <w:kern w:val="0"/>
                <w:sz w:val="24"/>
                <w:szCs w:val="24"/>
              </w:rPr>
            </w:pPr>
            <w:r>
              <w:rPr>
                <w:rFonts w:hint="eastAsia" w:ascii="宋体" w:hAnsi="宋体"/>
                <w:sz w:val="24"/>
                <w:szCs w:val="24"/>
              </w:rPr>
              <w:t>单台设备配置2个冗余电源。</w:t>
            </w:r>
            <w:r>
              <w:rPr>
                <w:rFonts w:hint="eastAsia" w:ascii="宋体" w:hAnsi="宋体"/>
                <w:kern w:val="0"/>
                <w:sz w:val="24"/>
                <w:szCs w:val="24"/>
              </w:rPr>
              <w:t>电源模块为220V交流电源，</w:t>
            </w:r>
            <w:r>
              <w:rPr>
                <w:rFonts w:hint="eastAsia" w:ascii="宋体" w:hAnsi="宋体" w:cs="宋体"/>
                <w:kern w:val="0"/>
                <w:sz w:val="24"/>
                <w:szCs w:val="24"/>
              </w:rPr>
              <w:t>电源需通过</w:t>
            </w:r>
            <w:r>
              <w:rPr>
                <w:rFonts w:ascii="宋体" w:hAnsi="宋体" w:cs="宋体"/>
                <w:kern w:val="0"/>
                <w:sz w:val="24"/>
                <w:szCs w:val="24"/>
              </w:rPr>
              <w:t>80plus</w:t>
            </w:r>
            <w:r>
              <w:rPr>
                <w:rFonts w:hint="eastAsia" w:ascii="宋体" w:hAnsi="宋体" w:cs="宋体"/>
                <w:kern w:val="0"/>
                <w:sz w:val="24"/>
                <w:szCs w:val="24"/>
              </w:rPr>
              <w:t>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88" w:type="dxa"/>
            <w:vMerge w:val="continue"/>
            <w:noWrap w:val="0"/>
            <w:vAlign w:val="center"/>
          </w:tcPr>
          <w:p>
            <w:pPr>
              <w:jc w:val="left"/>
              <w:rPr>
                <w:rFonts w:ascii="宋体" w:hAnsi="宋体"/>
                <w:kern w:val="0"/>
                <w:sz w:val="24"/>
                <w:szCs w:val="24"/>
              </w:rPr>
            </w:pPr>
          </w:p>
        </w:tc>
        <w:tc>
          <w:tcPr>
            <w:tcW w:w="7334" w:type="dxa"/>
            <w:noWrap w:val="0"/>
            <w:vAlign w:val="center"/>
          </w:tcPr>
          <w:p>
            <w:pPr>
              <w:jc w:val="left"/>
              <w:rPr>
                <w:rFonts w:ascii="宋体" w:hAnsi="宋体"/>
                <w:kern w:val="0"/>
                <w:sz w:val="24"/>
                <w:szCs w:val="24"/>
              </w:rPr>
            </w:pPr>
            <w:r>
              <w:rPr>
                <w:rFonts w:hint="eastAsia" w:ascii="宋体" w:hAnsi="宋体"/>
                <w:sz w:val="24"/>
                <w:szCs w:val="24"/>
              </w:rPr>
              <w:t>投标设备需配置，以确保系统镜像和日志等信息得到稳定和可靠的存储（需提供网站相关链接及截图，证明投标设备配置硬盘）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88" w:type="dxa"/>
            <w:vMerge w:val="continue"/>
            <w:noWrap w:val="0"/>
            <w:vAlign w:val="center"/>
          </w:tcPr>
          <w:p>
            <w:pPr>
              <w:jc w:val="left"/>
              <w:rPr>
                <w:rFonts w:ascii="宋体" w:hAnsi="宋体"/>
                <w:kern w:val="0"/>
                <w:sz w:val="24"/>
                <w:szCs w:val="24"/>
              </w:rPr>
            </w:pPr>
          </w:p>
        </w:tc>
        <w:tc>
          <w:tcPr>
            <w:tcW w:w="7334" w:type="dxa"/>
            <w:noWrap w:val="0"/>
            <w:vAlign w:val="center"/>
          </w:tcPr>
          <w:p>
            <w:pPr>
              <w:jc w:val="left"/>
              <w:rPr>
                <w:rFonts w:ascii="宋体" w:hAnsi="宋体"/>
                <w:kern w:val="0"/>
                <w:sz w:val="24"/>
                <w:szCs w:val="24"/>
              </w:rPr>
            </w:pPr>
            <w:r>
              <w:rPr>
                <w:rFonts w:hint="eastAsia" w:ascii="宋体" w:hAnsi="宋体"/>
                <w:kern w:val="0"/>
                <w:sz w:val="24"/>
                <w:szCs w:val="24"/>
              </w:rPr>
              <w:t>支持热插拔智能风扇。能够对风扇工作状态进行监控，对异常状态通过管理界面进行自动告警。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88" w:type="dxa"/>
            <w:vMerge w:val="continue"/>
            <w:noWrap w:val="0"/>
            <w:vAlign w:val="center"/>
          </w:tcPr>
          <w:p>
            <w:pPr>
              <w:jc w:val="left"/>
              <w:rPr>
                <w:rFonts w:ascii="宋体" w:hAnsi="宋体"/>
                <w:kern w:val="0"/>
                <w:sz w:val="24"/>
                <w:szCs w:val="24"/>
              </w:rPr>
            </w:pPr>
          </w:p>
        </w:tc>
        <w:tc>
          <w:tcPr>
            <w:tcW w:w="7334" w:type="dxa"/>
            <w:noWrap w:val="0"/>
            <w:vAlign w:val="center"/>
          </w:tcPr>
          <w:p>
            <w:pPr>
              <w:jc w:val="left"/>
              <w:rPr>
                <w:rFonts w:ascii="宋体" w:hAnsi="宋体"/>
                <w:kern w:val="0"/>
                <w:sz w:val="24"/>
                <w:szCs w:val="24"/>
              </w:rPr>
            </w:pPr>
            <w:r>
              <w:rPr>
                <w:rFonts w:hint="eastAsia" w:ascii="宋体" w:hAnsi="宋体" w:cs="新宋体"/>
                <w:sz w:val="24"/>
                <w:szCs w:val="24"/>
              </w:rPr>
              <w:t>必须是</w:t>
            </w:r>
            <w:r>
              <w:rPr>
                <w:rFonts w:ascii="宋体" w:hAnsi="宋体" w:cs="新宋体"/>
                <w:sz w:val="24"/>
                <w:szCs w:val="24"/>
              </w:rPr>
              <w:t>专业负载设备，非插卡式负载均衡设备。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88" w:type="dxa"/>
            <w:vMerge w:val="continue"/>
            <w:noWrap w:val="0"/>
            <w:vAlign w:val="center"/>
          </w:tcPr>
          <w:p>
            <w:pPr>
              <w:jc w:val="left"/>
              <w:rPr>
                <w:rFonts w:ascii="宋体" w:hAnsi="宋体"/>
                <w:kern w:val="0"/>
                <w:sz w:val="24"/>
                <w:szCs w:val="24"/>
              </w:rPr>
            </w:pPr>
          </w:p>
        </w:tc>
        <w:tc>
          <w:tcPr>
            <w:tcW w:w="7334" w:type="dxa"/>
            <w:noWrap w:val="0"/>
            <w:vAlign w:val="center"/>
          </w:tcPr>
          <w:p>
            <w:pPr>
              <w:jc w:val="left"/>
              <w:rPr>
                <w:rFonts w:ascii="宋体" w:hAnsi="宋体"/>
                <w:kern w:val="0"/>
                <w:sz w:val="24"/>
                <w:szCs w:val="24"/>
              </w:rPr>
            </w:pPr>
            <w:r>
              <w:rPr>
                <w:rFonts w:hint="eastAsia" w:ascii="宋体" w:hAnsi="宋体"/>
                <w:kern w:val="0"/>
                <w:sz w:val="24"/>
                <w:szCs w:val="24"/>
              </w:rPr>
              <w:t>最大的并发</w:t>
            </w:r>
            <w:r>
              <w:rPr>
                <w:rFonts w:hint="eastAsia" w:ascii="宋体" w:hAnsi="宋体"/>
                <w:sz w:val="24"/>
                <w:szCs w:val="24"/>
              </w:rPr>
              <w:t>会话数</w:t>
            </w:r>
            <w:r>
              <w:rPr>
                <w:rFonts w:hint="eastAsia" w:ascii="宋体" w:hAnsi="宋体"/>
                <w:kern w:val="0"/>
                <w:sz w:val="24"/>
                <w:szCs w:val="24"/>
              </w:rPr>
              <w:t>≥</w:t>
            </w:r>
            <w:r>
              <w:rPr>
                <w:rFonts w:hint="eastAsia" w:ascii="宋体" w:hAnsi="宋体"/>
                <w:color w:val="FF0000"/>
                <w:kern w:val="0"/>
                <w:sz w:val="24"/>
                <w:szCs w:val="24"/>
                <w:lang w:val="en-US" w:eastAsia="zh-CN"/>
              </w:rPr>
              <w:t>2800</w:t>
            </w:r>
            <w:r>
              <w:rPr>
                <w:rFonts w:hint="eastAsia" w:ascii="宋体" w:hAnsi="宋体"/>
                <w:kern w:val="0"/>
                <w:sz w:val="24"/>
                <w:szCs w:val="24"/>
              </w:rPr>
              <w:t>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88" w:type="dxa"/>
            <w:vMerge w:val="continue"/>
            <w:noWrap w:val="0"/>
            <w:vAlign w:val="center"/>
          </w:tcPr>
          <w:p>
            <w:pPr>
              <w:jc w:val="left"/>
              <w:rPr>
                <w:rFonts w:ascii="宋体" w:hAnsi="宋体"/>
                <w:kern w:val="0"/>
                <w:sz w:val="24"/>
                <w:szCs w:val="24"/>
              </w:rPr>
            </w:pPr>
          </w:p>
        </w:tc>
        <w:tc>
          <w:tcPr>
            <w:tcW w:w="7334" w:type="dxa"/>
            <w:noWrap w:val="0"/>
            <w:vAlign w:val="center"/>
          </w:tcPr>
          <w:p>
            <w:pPr>
              <w:jc w:val="left"/>
              <w:rPr>
                <w:rFonts w:ascii="宋体" w:hAnsi="宋体"/>
                <w:kern w:val="0"/>
                <w:sz w:val="24"/>
                <w:szCs w:val="24"/>
              </w:rPr>
            </w:pPr>
            <w:r>
              <w:rPr>
                <w:rFonts w:hint="eastAsia" w:ascii="宋体" w:hAnsi="宋体"/>
                <w:kern w:val="0"/>
                <w:sz w:val="24"/>
                <w:szCs w:val="24"/>
              </w:rPr>
              <w:t>四层每秒新建连接数（CPS）≥</w:t>
            </w:r>
            <w:r>
              <w:rPr>
                <w:rFonts w:hint="eastAsia" w:ascii="宋体" w:hAnsi="宋体"/>
                <w:color w:val="FF0000"/>
                <w:kern w:val="0"/>
                <w:sz w:val="24"/>
                <w:szCs w:val="24"/>
                <w:lang w:val="en-US" w:eastAsia="zh-CN"/>
              </w:rPr>
              <w:t>250</w:t>
            </w:r>
            <w:r>
              <w:rPr>
                <w:rFonts w:hint="eastAsia" w:ascii="宋体" w:hAnsi="宋体"/>
                <w:color w:val="FF0000"/>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88" w:type="dxa"/>
            <w:vMerge w:val="continue"/>
            <w:noWrap w:val="0"/>
            <w:vAlign w:val="center"/>
          </w:tcPr>
          <w:p>
            <w:pPr>
              <w:jc w:val="left"/>
              <w:rPr>
                <w:rFonts w:ascii="宋体" w:hAnsi="宋体"/>
                <w:kern w:val="0"/>
                <w:sz w:val="24"/>
                <w:szCs w:val="24"/>
              </w:rPr>
            </w:pPr>
          </w:p>
        </w:tc>
        <w:tc>
          <w:tcPr>
            <w:tcW w:w="7334" w:type="dxa"/>
            <w:noWrap w:val="0"/>
            <w:vAlign w:val="center"/>
          </w:tcPr>
          <w:p>
            <w:pPr>
              <w:jc w:val="left"/>
              <w:rPr>
                <w:rFonts w:ascii="宋体" w:hAnsi="宋体"/>
                <w:kern w:val="0"/>
                <w:sz w:val="24"/>
                <w:szCs w:val="24"/>
              </w:rPr>
            </w:pPr>
            <w:r>
              <w:rPr>
                <w:rFonts w:hint="eastAsia" w:ascii="宋体" w:hAnsi="宋体"/>
                <w:kern w:val="0"/>
                <w:sz w:val="24"/>
                <w:szCs w:val="24"/>
              </w:rPr>
              <w:t>七层每秒新建连接数（1:1</w:t>
            </w:r>
            <w:r>
              <w:rPr>
                <w:rFonts w:ascii="宋体" w:hAnsi="宋体"/>
                <w:kern w:val="0"/>
                <w:sz w:val="24"/>
                <w:szCs w:val="24"/>
              </w:rPr>
              <w:t xml:space="preserve"> </w:t>
            </w:r>
            <w:r>
              <w:rPr>
                <w:rFonts w:hint="eastAsia" w:ascii="宋体" w:hAnsi="宋体"/>
                <w:kern w:val="0"/>
                <w:sz w:val="24"/>
                <w:szCs w:val="24"/>
              </w:rPr>
              <w:t>CPS）≥</w:t>
            </w:r>
            <w:r>
              <w:rPr>
                <w:rFonts w:ascii="宋体" w:hAnsi="宋体"/>
                <w:kern w:val="0"/>
                <w:sz w:val="24"/>
                <w:szCs w:val="24"/>
              </w:rPr>
              <w:t>280</w:t>
            </w:r>
            <w:r>
              <w:rPr>
                <w:rFonts w:hint="eastAsia" w:ascii="宋体" w:hAnsi="宋体"/>
                <w:kern w:val="0"/>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88" w:type="dxa"/>
            <w:vMerge w:val="continue"/>
            <w:noWrap w:val="0"/>
            <w:vAlign w:val="center"/>
          </w:tcPr>
          <w:p>
            <w:pPr>
              <w:jc w:val="left"/>
              <w:rPr>
                <w:rFonts w:ascii="宋体" w:hAnsi="宋体"/>
                <w:kern w:val="0"/>
                <w:sz w:val="24"/>
                <w:szCs w:val="24"/>
              </w:rPr>
            </w:pPr>
          </w:p>
        </w:tc>
        <w:tc>
          <w:tcPr>
            <w:tcW w:w="7334" w:type="dxa"/>
            <w:noWrap w:val="0"/>
            <w:vAlign w:val="center"/>
          </w:tcPr>
          <w:p>
            <w:pPr>
              <w:jc w:val="left"/>
              <w:rPr>
                <w:rFonts w:ascii="宋体" w:hAnsi="宋体"/>
                <w:kern w:val="0"/>
                <w:sz w:val="24"/>
                <w:szCs w:val="24"/>
              </w:rPr>
            </w:pPr>
            <w:r>
              <w:rPr>
                <w:rFonts w:hint="eastAsia" w:ascii="宋体" w:hAnsi="宋体"/>
                <w:kern w:val="0"/>
                <w:sz w:val="24"/>
                <w:szCs w:val="24"/>
              </w:rPr>
              <w:t>四层最大吞吐量≥</w:t>
            </w:r>
            <w:r>
              <w:rPr>
                <w:rFonts w:hint="eastAsia" w:ascii="宋体" w:hAnsi="宋体"/>
                <w:color w:val="FF0000"/>
                <w:kern w:val="0"/>
                <w:sz w:val="24"/>
                <w:szCs w:val="24"/>
                <w:lang w:val="en-US" w:eastAsia="zh-CN"/>
              </w:rPr>
              <w:t>2</w:t>
            </w:r>
            <w:r>
              <w:rPr>
                <w:rFonts w:ascii="宋体" w:hAnsi="宋体"/>
                <w:color w:val="FF0000"/>
                <w:kern w:val="0"/>
                <w:sz w:val="24"/>
                <w:szCs w:val="24"/>
              </w:rPr>
              <w:t>0</w:t>
            </w:r>
            <w:r>
              <w:rPr>
                <w:rFonts w:hint="eastAsia" w:ascii="宋体" w:hAnsi="宋体"/>
                <w:color w:val="FF0000"/>
                <w:kern w:val="0"/>
                <w:sz w:val="24"/>
                <w:szCs w:val="24"/>
              </w:rPr>
              <w:t>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88" w:type="dxa"/>
            <w:vMerge w:val="continue"/>
            <w:noWrap w:val="0"/>
            <w:vAlign w:val="center"/>
          </w:tcPr>
          <w:p>
            <w:pPr>
              <w:jc w:val="left"/>
              <w:rPr>
                <w:rFonts w:ascii="宋体" w:hAnsi="宋体"/>
                <w:kern w:val="0"/>
                <w:sz w:val="24"/>
                <w:szCs w:val="24"/>
              </w:rPr>
            </w:pPr>
          </w:p>
        </w:tc>
        <w:tc>
          <w:tcPr>
            <w:tcW w:w="7334" w:type="dxa"/>
            <w:noWrap w:val="0"/>
            <w:vAlign w:val="center"/>
          </w:tcPr>
          <w:p>
            <w:pPr>
              <w:jc w:val="left"/>
              <w:rPr>
                <w:rFonts w:hint="default" w:ascii="宋体" w:hAnsi="宋体" w:eastAsia="宋体"/>
                <w:kern w:val="0"/>
                <w:sz w:val="24"/>
                <w:szCs w:val="24"/>
                <w:lang w:val="en-US" w:eastAsia="zh-CN"/>
              </w:rPr>
            </w:pPr>
            <w:r>
              <w:rPr>
                <w:rFonts w:hint="eastAsia" w:ascii="宋体" w:hAnsi="宋体"/>
                <w:kern w:val="0"/>
                <w:sz w:val="24"/>
                <w:szCs w:val="24"/>
              </w:rPr>
              <w:t>SSL CPS(</w:t>
            </w:r>
            <w:r>
              <w:rPr>
                <w:rFonts w:ascii="宋体" w:hAnsi="宋体"/>
                <w:kern w:val="0"/>
                <w:sz w:val="24"/>
                <w:szCs w:val="24"/>
              </w:rPr>
              <w:t>ECDHE+ECDSA</w:t>
            </w:r>
            <w:r>
              <w:rPr>
                <w:rFonts w:hint="eastAsia" w:ascii="宋体" w:hAnsi="宋体"/>
                <w:kern w:val="0"/>
                <w:sz w:val="24"/>
                <w:szCs w:val="24"/>
              </w:rPr>
              <w:t>) ≥</w:t>
            </w:r>
            <w:r>
              <w:rPr>
                <w:rFonts w:hint="eastAsia" w:ascii="宋体" w:hAnsi="宋体"/>
                <w:color w:val="FF0000"/>
                <w:kern w:val="0"/>
                <w:sz w:val="24"/>
                <w:szCs w:val="24"/>
                <w:lang w:val="en-US" w:eastAsia="zh-CN"/>
              </w:rPr>
              <w:t>6500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88" w:type="dxa"/>
            <w:vMerge w:val="continue"/>
            <w:noWrap w:val="0"/>
            <w:vAlign w:val="center"/>
          </w:tcPr>
          <w:p>
            <w:pPr>
              <w:jc w:val="left"/>
              <w:rPr>
                <w:rFonts w:ascii="宋体" w:hAnsi="宋体"/>
                <w:kern w:val="0"/>
                <w:sz w:val="24"/>
                <w:szCs w:val="24"/>
              </w:rPr>
            </w:pPr>
          </w:p>
        </w:tc>
        <w:tc>
          <w:tcPr>
            <w:tcW w:w="7334" w:type="dxa"/>
            <w:noWrap w:val="0"/>
            <w:vAlign w:val="center"/>
          </w:tcPr>
          <w:p>
            <w:pPr>
              <w:jc w:val="left"/>
              <w:rPr>
                <w:rFonts w:ascii="宋体" w:hAnsi="宋体"/>
                <w:kern w:val="0"/>
                <w:sz w:val="24"/>
                <w:szCs w:val="24"/>
              </w:rPr>
            </w:pPr>
            <w:r>
              <w:rPr>
                <w:rFonts w:hint="eastAsia" w:ascii="宋体" w:hAnsi="宋体"/>
                <w:kern w:val="0"/>
                <w:sz w:val="24"/>
                <w:szCs w:val="24"/>
              </w:rPr>
              <w:t>SSL CPS(</w:t>
            </w:r>
            <w:r>
              <w:rPr>
                <w:rFonts w:ascii="宋体" w:hAnsi="宋体"/>
                <w:kern w:val="0"/>
                <w:sz w:val="24"/>
                <w:szCs w:val="24"/>
              </w:rPr>
              <w:t>RSA 2K</w:t>
            </w:r>
            <w:r>
              <w:rPr>
                <w:rFonts w:hint="eastAsia" w:ascii="宋体" w:hAnsi="宋体"/>
                <w:kern w:val="0"/>
                <w:sz w:val="24"/>
                <w:szCs w:val="24"/>
              </w:rPr>
              <w:t>) ≥</w:t>
            </w:r>
            <w:r>
              <w:rPr>
                <w:rFonts w:hint="eastAsia" w:ascii="宋体" w:hAnsi="宋体"/>
                <w:color w:val="FF0000"/>
                <w:kern w:val="0"/>
                <w:sz w:val="24"/>
                <w:szCs w:val="24"/>
                <w:lang w:val="en-US" w:eastAsia="zh-CN"/>
              </w:rPr>
              <w:t>1</w:t>
            </w:r>
            <w:r>
              <w:rPr>
                <w:rFonts w:ascii="宋体" w:hAnsi="宋体"/>
                <w:color w:val="FF0000"/>
                <w:kern w:val="0"/>
                <w:sz w:val="24"/>
                <w:szCs w:val="24"/>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88" w:type="dxa"/>
            <w:vMerge w:val="continue"/>
            <w:noWrap w:val="0"/>
            <w:vAlign w:val="center"/>
          </w:tcPr>
          <w:p>
            <w:pPr>
              <w:jc w:val="left"/>
              <w:rPr>
                <w:rFonts w:ascii="宋体" w:hAnsi="宋体"/>
                <w:kern w:val="0"/>
                <w:sz w:val="24"/>
                <w:szCs w:val="24"/>
              </w:rPr>
            </w:pPr>
          </w:p>
        </w:tc>
        <w:tc>
          <w:tcPr>
            <w:tcW w:w="7334" w:type="dxa"/>
            <w:noWrap w:val="0"/>
            <w:vAlign w:val="center"/>
          </w:tcPr>
          <w:p>
            <w:pPr>
              <w:jc w:val="left"/>
              <w:rPr>
                <w:rFonts w:ascii="宋体" w:hAnsi="宋体"/>
                <w:kern w:val="0"/>
                <w:sz w:val="24"/>
                <w:szCs w:val="24"/>
              </w:rPr>
            </w:pPr>
            <w:r>
              <w:rPr>
                <w:rFonts w:hint="eastAsia" w:ascii="宋体" w:hAnsi="宋体"/>
                <w:kern w:val="0"/>
                <w:sz w:val="24"/>
                <w:szCs w:val="24"/>
              </w:rPr>
              <w:t>需提供投标型号对应的</w:t>
            </w:r>
            <w:r>
              <w:rPr>
                <w:rFonts w:hint="eastAsia" w:ascii="宋体" w:hAnsi="宋体"/>
                <w:sz w:val="24"/>
                <w:szCs w:val="24"/>
              </w:rPr>
              <w:t>官方网站相关参数链接及截图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trPr>
        <w:tc>
          <w:tcPr>
            <w:tcW w:w="1188" w:type="dxa"/>
            <w:noWrap w:val="0"/>
            <w:vAlign w:val="center"/>
          </w:tcPr>
          <w:p>
            <w:pPr>
              <w:jc w:val="left"/>
              <w:rPr>
                <w:rFonts w:ascii="宋体" w:hAnsi="宋体"/>
                <w:kern w:val="0"/>
                <w:sz w:val="24"/>
                <w:szCs w:val="24"/>
              </w:rPr>
            </w:pPr>
            <w:r>
              <w:rPr>
                <w:rFonts w:hint="eastAsia" w:ascii="宋体" w:hAnsi="宋体"/>
                <w:kern w:val="0"/>
                <w:sz w:val="24"/>
                <w:szCs w:val="24"/>
              </w:rPr>
              <w:t>品牌成熟度</w:t>
            </w:r>
          </w:p>
        </w:tc>
        <w:tc>
          <w:tcPr>
            <w:tcW w:w="7334" w:type="dxa"/>
            <w:noWrap w:val="0"/>
            <w:vAlign w:val="center"/>
          </w:tcPr>
          <w:p>
            <w:pPr>
              <w:jc w:val="left"/>
              <w:rPr>
                <w:rFonts w:ascii="宋体" w:hAnsi="宋体"/>
                <w:kern w:val="0"/>
                <w:sz w:val="24"/>
                <w:szCs w:val="24"/>
              </w:rPr>
            </w:pPr>
            <w:r>
              <w:rPr>
                <w:rFonts w:hint="eastAsia" w:ascii="宋体" w:hAnsi="宋体"/>
                <w:kern w:val="0"/>
                <w:sz w:val="24"/>
                <w:szCs w:val="24"/>
              </w:rPr>
              <w:t>要求投标产品为现有平台销售产品，并在官方网站上能找到对应的投标产品型号和详细技术参数（</w:t>
            </w:r>
            <w:r>
              <w:rPr>
                <w:rFonts w:hint="eastAsia" w:ascii="宋体" w:hAnsi="宋体"/>
                <w:sz w:val="24"/>
                <w:szCs w:val="24"/>
              </w:rPr>
              <w:t>需提供网站相关链接及截图</w:t>
            </w:r>
            <w:r>
              <w:rPr>
                <w:rFonts w:hint="eastAsia" w:ascii="宋体" w:hAnsi="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88" w:type="dxa"/>
            <w:vMerge w:val="restart"/>
            <w:noWrap w:val="0"/>
            <w:vAlign w:val="center"/>
          </w:tcPr>
          <w:p>
            <w:pPr>
              <w:jc w:val="left"/>
              <w:rPr>
                <w:rFonts w:ascii="宋体" w:hAnsi="宋体"/>
                <w:kern w:val="0"/>
                <w:sz w:val="24"/>
                <w:szCs w:val="24"/>
              </w:rPr>
            </w:pPr>
            <w:r>
              <w:rPr>
                <w:rFonts w:hint="eastAsia" w:ascii="宋体" w:hAnsi="宋体"/>
                <w:kern w:val="0"/>
                <w:sz w:val="24"/>
                <w:szCs w:val="24"/>
              </w:rPr>
              <w:t>功能要求</w:t>
            </w:r>
          </w:p>
        </w:tc>
        <w:tc>
          <w:tcPr>
            <w:tcW w:w="7334" w:type="dxa"/>
            <w:noWrap w:val="0"/>
            <w:vAlign w:val="center"/>
          </w:tcPr>
          <w:p>
            <w:pPr>
              <w:jc w:val="left"/>
              <w:rPr>
                <w:rFonts w:ascii="宋体" w:hAnsi="宋体"/>
                <w:kern w:val="0"/>
                <w:sz w:val="24"/>
                <w:szCs w:val="24"/>
              </w:rPr>
            </w:pPr>
            <w:r>
              <w:rPr>
                <w:rFonts w:hint="eastAsia" w:ascii="宋体" w:hAnsi="宋体"/>
                <w:kern w:val="0"/>
                <w:sz w:val="24"/>
                <w:szCs w:val="24"/>
              </w:rPr>
              <w:t>同一台设备提供四至七层的应用负载均衡功能，支持TCP/ UDP/ HTTP/ HTTPS/ SIP/ SMTP/ FTP等应用协议的负载均衡功能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88" w:type="dxa"/>
            <w:vMerge w:val="continue"/>
            <w:noWrap w:val="0"/>
            <w:vAlign w:val="center"/>
          </w:tcPr>
          <w:p>
            <w:pPr>
              <w:jc w:val="left"/>
              <w:rPr>
                <w:rFonts w:ascii="宋体" w:hAnsi="宋体"/>
                <w:kern w:val="0"/>
                <w:sz w:val="24"/>
                <w:szCs w:val="24"/>
              </w:rPr>
            </w:pPr>
          </w:p>
        </w:tc>
        <w:tc>
          <w:tcPr>
            <w:tcW w:w="7334" w:type="dxa"/>
            <w:noWrap w:val="0"/>
            <w:vAlign w:val="center"/>
          </w:tcPr>
          <w:p>
            <w:pPr>
              <w:autoSpaceDE w:val="0"/>
              <w:autoSpaceDN w:val="0"/>
              <w:adjustRightInd w:val="0"/>
              <w:jc w:val="left"/>
              <w:rPr>
                <w:rFonts w:ascii="宋体" w:hAnsi="宋体" w:cs="MyriadPro-Regular"/>
                <w:kern w:val="0"/>
                <w:sz w:val="24"/>
                <w:szCs w:val="24"/>
              </w:rPr>
            </w:pPr>
            <w:r>
              <w:rPr>
                <w:rFonts w:hint="eastAsia" w:ascii="宋体" w:hAnsi="宋体"/>
                <w:kern w:val="0"/>
                <w:sz w:val="24"/>
                <w:szCs w:val="24"/>
              </w:rPr>
              <w:t>支持一台物理设备虚拟不少于</w:t>
            </w:r>
            <w:r>
              <w:rPr>
                <w:rFonts w:ascii="宋体" w:hAnsi="宋体"/>
                <w:kern w:val="0"/>
                <w:sz w:val="24"/>
                <w:szCs w:val="24"/>
              </w:rPr>
              <w:t>64</w:t>
            </w:r>
            <w:r>
              <w:rPr>
                <w:rFonts w:hint="eastAsia" w:ascii="宋体" w:hAnsi="宋体"/>
                <w:kern w:val="0"/>
                <w:sz w:val="24"/>
                <w:szCs w:val="24"/>
              </w:rPr>
              <w:t>个负载均衡模块功能授权，为不同应用系统部门提供独立管理负载均衡权限（</w:t>
            </w:r>
            <w:r>
              <w:rPr>
                <w:rFonts w:hint="eastAsia" w:ascii="宋体" w:hAnsi="宋体"/>
                <w:sz w:val="24"/>
                <w:szCs w:val="24"/>
              </w:rPr>
              <w:t>需提供网站相关链接及截图）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88" w:type="dxa"/>
            <w:vMerge w:val="continue"/>
            <w:noWrap w:val="0"/>
            <w:vAlign w:val="center"/>
          </w:tcPr>
          <w:p>
            <w:pPr>
              <w:jc w:val="left"/>
              <w:rPr>
                <w:rFonts w:ascii="宋体" w:hAnsi="宋体"/>
                <w:kern w:val="0"/>
                <w:sz w:val="24"/>
                <w:szCs w:val="24"/>
              </w:rPr>
            </w:pPr>
          </w:p>
        </w:tc>
        <w:tc>
          <w:tcPr>
            <w:tcW w:w="7334" w:type="dxa"/>
            <w:noWrap w:val="0"/>
            <w:vAlign w:val="center"/>
          </w:tcPr>
          <w:p>
            <w:pPr>
              <w:autoSpaceDE w:val="0"/>
              <w:autoSpaceDN w:val="0"/>
              <w:adjustRightInd w:val="0"/>
              <w:jc w:val="left"/>
              <w:rPr>
                <w:rFonts w:ascii="宋体" w:hAnsi="宋体"/>
                <w:kern w:val="0"/>
                <w:sz w:val="24"/>
                <w:szCs w:val="24"/>
              </w:rPr>
            </w:pPr>
            <w:r>
              <w:rPr>
                <w:rFonts w:hint="eastAsia" w:ascii="宋体" w:hAnsi="宋体"/>
                <w:kern w:val="0"/>
                <w:sz w:val="24"/>
                <w:szCs w:val="24"/>
              </w:rPr>
              <w:t>每个虚拟分区可单独定义ARP、路由、负载均衡等配置，每个实例的配置信息和管理互相独立。每个虚拟分区可限制资源使用，至少可以限制并发会话、L4新建连接数、吞吐量等。支持相同IP地址的服务器在不同虚拟分区的复用（需提供设备相关配置界面截图证明以上功能的实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88" w:type="dxa"/>
            <w:vMerge w:val="continue"/>
            <w:noWrap w:val="0"/>
            <w:vAlign w:val="center"/>
          </w:tcPr>
          <w:p>
            <w:pPr>
              <w:jc w:val="left"/>
              <w:rPr>
                <w:rFonts w:ascii="宋体" w:hAnsi="宋体"/>
                <w:kern w:val="0"/>
                <w:sz w:val="24"/>
                <w:szCs w:val="24"/>
              </w:rPr>
            </w:pPr>
          </w:p>
        </w:tc>
        <w:tc>
          <w:tcPr>
            <w:tcW w:w="7334" w:type="dxa"/>
            <w:noWrap w:val="0"/>
            <w:vAlign w:val="center"/>
          </w:tcPr>
          <w:p>
            <w:pPr>
              <w:autoSpaceDE w:val="0"/>
              <w:autoSpaceDN w:val="0"/>
              <w:adjustRightInd w:val="0"/>
              <w:jc w:val="left"/>
              <w:rPr>
                <w:rFonts w:ascii="宋体" w:hAnsi="宋体" w:cs="新宋体"/>
                <w:sz w:val="24"/>
                <w:szCs w:val="24"/>
              </w:rPr>
            </w:pPr>
            <w:r>
              <w:rPr>
                <w:rFonts w:hint="eastAsia" w:ascii="宋体" w:hAnsi="宋体" w:cs="新宋体"/>
                <w:sz w:val="24"/>
                <w:szCs w:val="24"/>
              </w:rPr>
              <w:t>服务器负载均衡、</w:t>
            </w:r>
            <w:r>
              <w:rPr>
                <w:rFonts w:ascii="宋体" w:hAnsi="宋体" w:cs="新宋体"/>
                <w:sz w:val="24"/>
                <w:szCs w:val="24"/>
              </w:rPr>
              <w:t>链路负载均衡</w:t>
            </w:r>
            <w:r>
              <w:rPr>
                <w:rFonts w:hint="eastAsia" w:ascii="宋体" w:hAnsi="宋体" w:cs="新宋体"/>
                <w:sz w:val="24"/>
                <w:szCs w:val="24"/>
              </w:rPr>
              <w:t>、</w:t>
            </w:r>
            <w:r>
              <w:rPr>
                <w:rFonts w:ascii="宋体" w:hAnsi="宋体" w:cs="新宋体"/>
                <w:sz w:val="24"/>
                <w:szCs w:val="24"/>
              </w:rPr>
              <w:t>全局负载均衡</w:t>
            </w:r>
            <w:r>
              <w:rPr>
                <w:rFonts w:hint="eastAsia" w:ascii="宋体" w:hAnsi="宋体" w:cs="新宋体"/>
                <w:sz w:val="24"/>
                <w:szCs w:val="24"/>
              </w:rPr>
              <w:t>、Web应用防火墙、DNS防火墙的</w:t>
            </w:r>
            <w:r>
              <w:rPr>
                <w:rFonts w:ascii="宋体" w:hAnsi="宋体" w:cs="新宋体"/>
                <w:sz w:val="24"/>
                <w:szCs w:val="24"/>
              </w:rPr>
              <w:t>功能</w:t>
            </w:r>
            <w:r>
              <w:rPr>
                <w:rFonts w:hint="eastAsia" w:ascii="宋体" w:hAnsi="宋体" w:cs="新宋体"/>
                <w:sz w:val="24"/>
                <w:szCs w:val="24"/>
              </w:rPr>
              <w:t>、抗DDoS、虚拟分区（Application Delivery Partition）功能需在同一物理</w:t>
            </w:r>
            <w:r>
              <w:rPr>
                <w:rFonts w:ascii="宋体" w:hAnsi="宋体" w:cs="新宋体"/>
                <w:sz w:val="24"/>
                <w:szCs w:val="24"/>
              </w:rPr>
              <w:t>设备</w:t>
            </w:r>
            <w:r>
              <w:rPr>
                <w:rFonts w:hint="eastAsia" w:ascii="宋体" w:hAnsi="宋体" w:cs="新宋体"/>
                <w:sz w:val="24"/>
                <w:szCs w:val="24"/>
              </w:rPr>
              <w:t>内实现或开启</w:t>
            </w:r>
            <w:r>
              <w:rPr>
                <w:rFonts w:ascii="宋体" w:hAnsi="宋体" w:cs="新宋体"/>
                <w:sz w:val="24"/>
                <w:szCs w:val="24"/>
              </w:rPr>
              <w:t>。</w:t>
            </w:r>
            <w:r>
              <w:rPr>
                <w:rFonts w:hint="eastAsia" w:ascii="宋体" w:hAnsi="宋体" w:cs="新宋体"/>
                <w:sz w:val="24"/>
                <w:szCs w:val="24"/>
              </w:rPr>
              <w:t>以上</w:t>
            </w:r>
            <w:r>
              <w:rPr>
                <w:rFonts w:ascii="宋体" w:hAnsi="宋体" w:cs="Arial"/>
                <w:sz w:val="24"/>
                <w:szCs w:val="24"/>
              </w:rPr>
              <w:t>功能</w:t>
            </w:r>
            <w:r>
              <w:rPr>
                <w:rFonts w:hint="eastAsia" w:ascii="宋体" w:hAnsi="宋体" w:cs="Arial"/>
                <w:sz w:val="24"/>
                <w:szCs w:val="24"/>
              </w:rPr>
              <w:t>需</w:t>
            </w:r>
            <w:r>
              <w:rPr>
                <w:rFonts w:ascii="宋体" w:hAnsi="宋体" w:cs="Arial"/>
                <w:sz w:val="24"/>
                <w:szCs w:val="24"/>
              </w:rPr>
              <w:t>同时处于激活可使用状态，无需额外购买相应授权。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88" w:type="dxa"/>
            <w:vMerge w:val="continue"/>
            <w:noWrap w:val="0"/>
            <w:vAlign w:val="center"/>
          </w:tcPr>
          <w:p>
            <w:pPr>
              <w:jc w:val="left"/>
              <w:rPr>
                <w:rFonts w:ascii="宋体" w:hAnsi="宋体"/>
                <w:kern w:val="0"/>
                <w:sz w:val="24"/>
                <w:szCs w:val="24"/>
              </w:rPr>
            </w:pPr>
          </w:p>
        </w:tc>
        <w:tc>
          <w:tcPr>
            <w:tcW w:w="7334" w:type="dxa"/>
            <w:noWrap w:val="0"/>
            <w:vAlign w:val="center"/>
          </w:tcPr>
          <w:p>
            <w:pPr>
              <w:jc w:val="left"/>
              <w:rPr>
                <w:rFonts w:ascii="宋体" w:hAnsi="宋体"/>
                <w:kern w:val="0"/>
                <w:sz w:val="24"/>
                <w:szCs w:val="24"/>
              </w:rPr>
            </w:pPr>
            <w:r>
              <w:rPr>
                <w:rFonts w:hint="eastAsia" w:ascii="宋体" w:hAnsi="宋体"/>
                <w:kern w:val="0"/>
                <w:sz w:val="24"/>
                <w:szCs w:val="24"/>
              </w:rPr>
              <w:t>支持以下负载均衡算法：轮询、最小连接、最小响应时间、加权轮询、加权最小连接、URL-Hashing等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88" w:type="dxa"/>
            <w:vMerge w:val="continue"/>
            <w:noWrap w:val="0"/>
            <w:vAlign w:val="center"/>
          </w:tcPr>
          <w:p>
            <w:pPr>
              <w:jc w:val="left"/>
              <w:rPr>
                <w:rFonts w:ascii="宋体" w:hAnsi="宋体"/>
                <w:kern w:val="0"/>
                <w:sz w:val="24"/>
                <w:szCs w:val="24"/>
              </w:rPr>
            </w:pPr>
          </w:p>
        </w:tc>
        <w:tc>
          <w:tcPr>
            <w:tcW w:w="7334" w:type="dxa"/>
            <w:noWrap w:val="0"/>
            <w:vAlign w:val="center"/>
          </w:tcPr>
          <w:p>
            <w:pPr>
              <w:jc w:val="left"/>
              <w:rPr>
                <w:rFonts w:ascii="宋体" w:hAnsi="宋体"/>
                <w:kern w:val="0"/>
                <w:sz w:val="24"/>
                <w:szCs w:val="24"/>
              </w:rPr>
            </w:pPr>
            <w:r>
              <w:rPr>
                <w:rFonts w:hint="eastAsia" w:ascii="宋体" w:hAnsi="宋体"/>
                <w:sz w:val="24"/>
                <w:szCs w:val="24"/>
              </w:rPr>
              <w:t>管理界面提供基于某种编程语言（如TCL语言）自定义的流量控制方法，可通过自编程方式实现灵活的流量处理手段。支持负载均衡、DNS处理、用户认证、NAT、路由转发、会话保持等功能的可编程控制。（如支持，请详细描述提供的可编程语言、操作界面，需提供官方网站链接可查询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88" w:type="dxa"/>
            <w:vMerge w:val="continue"/>
            <w:noWrap w:val="0"/>
            <w:vAlign w:val="center"/>
          </w:tcPr>
          <w:p>
            <w:pPr>
              <w:jc w:val="left"/>
              <w:rPr>
                <w:rFonts w:ascii="宋体" w:hAnsi="宋体"/>
                <w:kern w:val="0"/>
                <w:sz w:val="24"/>
                <w:szCs w:val="24"/>
              </w:rPr>
            </w:pPr>
          </w:p>
        </w:tc>
        <w:tc>
          <w:tcPr>
            <w:tcW w:w="7334" w:type="dxa"/>
            <w:noWrap w:val="0"/>
            <w:vAlign w:val="center"/>
          </w:tcPr>
          <w:p>
            <w:pPr>
              <w:jc w:val="left"/>
              <w:rPr>
                <w:rFonts w:ascii="宋体" w:hAnsi="宋体"/>
                <w:kern w:val="0"/>
                <w:sz w:val="24"/>
                <w:szCs w:val="24"/>
              </w:rPr>
            </w:pPr>
            <w:r>
              <w:rPr>
                <w:rFonts w:hint="eastAsia" w:ascii="宋体" w:hAnsi="宋体"/>
                <w:kern w:val="0"/>
                <w:sz w:val="24"/>
                <w:szCs w:val="24"/>
              </w:rPr>
              <w:t>需提供TCP协议优化和应用加速功能，包括：TCP连接复用、HTTP压缩、URL Switching、HTTP Header Rewrite/Insert/Delete等，减轻服务器压力，提高客户端响应速度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88" w:type="dxa"/>
            <w:vMerge w:val="continue"/>
            <w:noWrap w:val="0"/>
            <w:vAlign w:val="center"/>
          </w:tcPr>
          <w:p>
            <w:pPr>
              <w:jc w:val="left"/>
              <w:rPr>
                <w:rFonts w:ascii="宋体" w:hAnsi="宋体"/>
                <w:kern w:val="0"/>
                <w:sz w:val="24"/>
                <w:szCs w:val="24"/>
              </w:rPr>
            </w:pPr>
          </w:p>
        </w:tc>
        <w:tc>
          <w:tcPr>
            <w:tcW w:w="7334" w:type="dxa"/>
            <w:noWrap w:val="0"/>
            <w:vAlign w:val="center"/>
          </w:tcPr>
          <w:p>
            <w:pPr>
              <w:jc w:val="left"/>
              <w:rPr>
                <w:rFonts w:ascii="宋体" w:hAnsi="宋体"/>
                <w:kern w:val="0"/>
                <w:sz w:val="24"/>
                <w:szCs w:val="24"/>
              </w:rPr>
            </w:pPr>
            <w:r>
              <w:rPr>
                <w:rFonts w:hint="eastAsia" w:ascii="宋体" w:hAnsi="宋体"/>
                <w:kern w:val="0"/>
                <w:sz w:val="24"/>
                <w:szCs w:val="24"/>
              </w:rPr>
              <w:t>需支持基于策略的负载均衡功能，提供基于ACL的静态/动态更新的黑白名单，限制恶意攻击源；同时，提供连接速率或应用请求速率限制，防止类似CC攻击行为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188" w:type="dxa"/>
            <w:vMerge w:val="continue"/>
            <w:noWrap w:val="0"/>
            <w:vAlign w:val="center"/>
          </w:tcPr>
          <w:p>
            <w:pPr>
              <w:jc w:val="left"/>
              <w:rPr>
                <w:rFonts w:ascii="宋体" w:hAnsi="宋体"/>
                <w:kern w:val="0"/>
                <w:sz w:val="24"/>
                <w:szCs w:val="24"/>
              </w:rPr>
            </w:pPr>
          </w:p>
        </w:tc>
        <w:tc>
          <w:tcPr>
            <w:tcW w:w="7334" w:type="dxa"/>
            <w:noWrap w:val="0"/>
            <w:vAlign w:val="center"/>
          </w:tcPr>
          <w:p>
            <w:pPr>
              <w:autoSpaceDE w:val="0"/>
              <w:autoSpaceDN w:val="0"/>
              <w:adjustRightInd w:val="0"/>
              <w:rPr>
                <w:rFonts w:ascii="宋体" w:hAnsi="宋体" w:cs="新宋体"/>
                <w:sz w:val="24"/>
                <w:szCs w:val="24"/>
              </w:rPr>
            </w:pPr>
            <w:r>
              <w:rPr>
                <w:rFonts w:hint="eastAsia" w:ascii="宋体" w:hAnsi="宋体" w:cs="新宋体"/>
                <w:sz w:val="24"/>
                <w:szCs w:val="24"/>
              </w:rPr>
              <w:t>支持IPv4/IPv6双协议栈；</w:t>
            </w:r>
          </w:p>
          <w:p>
            <w:pPr>
              <w:autoSpaceDE w:val="0"/>
              <w:autoSpaceDN w:val="0"/>
              <w:adjustRightInd w:val="0"/>
              <w:rPr>
                <w:rFonts w:ascii="宋体" w:hAnsi="宋体" w:cs="新宋体"/>
                <w:sz w:val="24"/>
                <w:szCs w:val="24"/>
              </w:rPr>
            </w:pPr>
            <w:r>
              <w:rPr>
                <w:rFonts w:hint="eastAsia" w:ascii="宋体" w:hAnsi="宋体" w:cs="新宋体"/>
                <w:sz w:val="24"/>
                <w:szCs w:val="24"/>
              </w:rPr>
              <w:t>支持IPv4/IPv6，IPv6/IPv4协议转换；</w:t>
            </w:r>
          </w:p>
          <w:p>
            <w:pPr>
              <w:autoSpaceDE w:val="0"/>
              <w:autoSpaceDN w:val="0"/>
              <w:adjustRightInd w:val="0"/>
              <w:rPr>
                <w:rFonts w:ascii="宋体" w:hAnsi="宋体" w:cs="新宋体"/>
                <w:sz w:val="24"/>
                <w:szCs w:val="24"/>
              </w:rPr>
            </w:pPr>
            <w:r>
              <w:rPr>
                <w:rFonts w:hint="eastAsia" w:ascii="宋体" w:hAnsi="宋体" w:cs="新宋体"/>
                <w:sz w:val="24"/>
                <w:szCs w:val="24"/>
              </w:rPr>
              <w:t>支持IPv6动态路由；</w:t>
            </w:r>
          </w:p>
          <w:p>
            <w:pPr>
              <w:jc w:val="left"/>
              <w:rPr>
                <w:rFonts w:ascii="宋体" w:hAnsi="宋体"/>
                <w:kern w:val="0"/>
                <w:sz w:val="24"/>
                <w:szCs w:val="24"/>
              </w:rPr>
            </w:pPr>
            <w:r>
              <w:rPr>
                <w:rFonts w:hint="eastAsia" w:ascii="宋体" w:hAnsi="宋体" w:cs="新宋体"/>
                <w:sz w:val="24"/>
                <w:szCs w:val="24"/>
              </w:rPr>
              <w:t>支持IPv6业务的高可用性及连接同步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188" w:type="dxa"/>
            <w:vMerge w:val="continue"/>
            <w:noWrap w:val="0"/>
            <w:vAlign w:val="center"/>
          </w:tcPr>
          <w:p>
            <w:pPr>
              <w:jc w:val="left"/>
              <w:rPr>
                <w:rFonts w:ascii="宋体" w:hAnsi="宋体"/>
                <w:kern w:val="0"/>
                <w:sz w:val="24"/>
                <w:szCs w:val="24"/>
              </w:rPr>
            </w:pPr>
          </w:p>
        </w:tc>
        <w:tc>
          <w:tcPr>
            <w:tcW w:w="7334" w:type="dxa"/>
            <w:noWrap w:val="0"/>
            <w:vAlign w:val="center"/>
          </w:tcPr>
          <w:p>
            <w:pPr>
              <w:jc w:val="left"/>
              <w:rPr>
                <w:rFonts w:ascii="宋体" w:hAnsi="宋体"/>
                <w:kern w:val="0"/>
                <w:sz w:val="24"/>
                <w:szCs w:val="24"/>
              </w:rPr>
            </w:pPr>
            <w:r>
              <w:rPr>
                <w:rFonts w:hint="eastAsia" w:ascii="宋体" w:hAnsi="宋体"/>
                <w:kern w:val="0"/>
                <w:sz w:val="24"/>
                <w:szCs w:val="24"/>
              </w:rPr>
              <w:t>标准配置需提供对RIPv1/v2、OSPF、ISIS、BGP路由协议的支持（需提供配置界面截图）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188" w:type="dxa"/>
            <w:vMerge w:val="continue"/>
            <w:noWrap w:val="0"/>
            <w:vAlign w:val="center"/>
          </w:tcPr>
          <w:p>
            <w:pPr>
              <w:jc w:val="left"/>
              <w:rPr>
                <w:rFonts w:ascii="宋体" w:hAnsi="宋体"/>
                <w:kern w:val="0"/>
                <w:sz w:val="24"/>
                <w:szCs w:val="24"/>
              </w:rPr>
            </w:pPr>
          </w:p>
        </w:tc>
        <w:tc>
          <w:tcPr>
            <w:tcW w:w="7334" w:type="dxa"/>
            <w:noWrap w:val="0"/>
            <w:vAlign w:val="center"/>
          </w:tcPr>
          <w:p>
            <w:pPr>
              <w:jc w:val="left"/>
              <w:rPr>
                <w:rFonts w:ascii="宋体" w:hAnsi="宋体"/>
                <w:kern w:val="0"/>
                <w:sz w:val="24"/>
                <w:szCs w:val="24"/>
              </w:rPr>
            </w:pPr>
            <w:bookmarkStart w:id="33" w:name="OLE_LINK3"/>
            <w:bookmarkStart w:id="34" w:name="OLE_LINK4"/>
            <w:r>
              <w:rPr>
                <w:rFonts w:hint="eastAsia" w:ascii="宋体" w:hAnsi="宋体" w:cs="新宋体"/>
                <w:sz w:val="24"/>
                <w:szCs w:val="24"/>
              </w:rPr>
              <w:t>支持以下服务器健康检查方法：ICMP、TCP、UDP、HTTP、HTTPS、FTP、SNMP等多种主动式服务器健康检查方法；支持基于脚本的健康检查方法。即：用户可自定义灵活的健康检查方式和检查内容，根据不同需求自行编制脚本。</w:t>
            </w:r>
            <w:bookmarkEnd w:id="33"/>
            <w:bookmarkEnd w:id="34"/>
            <w:r>
              <w:rPr>
                <w:rFonts w:hint="eastAsia" w:ascii="宋体" w:hAnsi="宋体" w:cs="新宋体"/>
                <w:sz w:val="24"/>
                <w:szCs w:val="24"/>
              </w:rPr>
              <w:t>支持基于布尔表达式的健康检查方法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188" w:type="dxa"/>
            <w:vMerge w:val="continue"/>
            <w:noWrap w:val="0"/>
            <w:vAlign w:val="center"/>
          </w:tcPr>
          <w:p>
            <w:pPr>
              <w:jc w:val="left"/>
              <w:rPr>
                <w:rFonts w:ascii="宋体" w:hAnsi="宋体"/>
                <w:kern w:val="0"/>
                <w:sz w:val="24"/>
                <w:szCs w:val="24"/>
              </w:rPr>
            </w:pPr>
          </w:p>
        </w:tc>
        <w:tc>
          <w:tcPr>
            <w:tcW w:w="7334" w:type="dxa"/>
            <w:noWrap w:val="0"/>
            <w:vAlign w:val="center"/>
          </w:tcPr>
          <w:p>
            <w:pPr>
              <w:jc w:val="left"/>
              <w:rPr>
                <w:rFonts w:ascii="宋体" w:hAnsi="宋体" w:cs="新宋体"/>
                <w:sz w:val="24"/>
                <w:szCs w:val="24"/>
              </w:rPr>
            </w:pPr>
            <w:r>
              <w:rPr>
                <w:rFonts w:hint="eastAsia" w:ascii="宋体" w:hAnsi="宋体" w:cs="新宋体"/>
                <w:sz w:val="24"/>
                <w:szCs w:val="24"/>
              </w:rPr>
              <w:t>支持标准的DNS记录类型包括：A记录，MX记录，NS记录，PRT记录，SVR记录，CNAME记录，SOA记录，AAAA记录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1188" w:type="dxa"/>
            <w:vMerge w:val="continue"/>
            <w:noWrap w:val="0"/>
            <w:vAlign w:val="center"/>
          </w:tcPr>
          <w:p>
            <w:pPr>
              <w:jc w:val="left"/>
              <w:rPr>
                <w:rFonts w:ascii="宋体" w:hAnsi="宋体"/>
                <w:kern w:val="0"/>
                <w:sz w:val="24"/>
                <w:szCs w:val="24"/>
              </w:rPr>
            </w:pPr>
          </w:p>
        </w:tc>
        <w:tc>
          <w:tcPr>
            <w:tcW w:w="7334" w:type="dxa"/>
            <w:noWrap w:val="0"/>
            <w:vAlign w:val="center"/>
          </w:tcPr>
          <w:p>
            <w:pPr>
              <w:jc w:val="left"/>
              <w:rPr>
                <w:rFonts w:ascii="宋体" w:hAnsi="宋体"/>
                <w:kern w:val="0"/>
                <w:sz w:val="24"/>
                <w:szCs w:val="24"/>
              </w:rPr>
            </w:pPr>
            <w:r>
              <w:rPr>
                <w:rFonts w:hint="eastAsia" w:ascii="宋体" w:hAnsi="宋体"/>
                <w:kern w:val="0"/>
                <w:sz w:val="24"/>
                <w:szCs w:val="24"/>
              </w:rPr>
              <w:t>设备同时提供Telnet/SSH/HTTP/HTTPS等多种协议方式进行管理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trPr>
        <w:tc>
          <w:tcPr>
            <w:tcW w:w="1188" w:type="dxa"/>
            <w:vMerge w:val="continue"/>
            <w:noWrap w:val="0"/>
            <w:vAlign w:val="center"/>
          </w:tcPr>
          <w:p>
            <w:pPr>
              <w:jc w:val="left"/>
              <w:rPr>
                <w:rFonts w:ascii="宋体" w:hAnsi="宋体"/>
                <w:kern w:val="0"/>
                <w:sz w:val="24"/>
                <w:szCs w:val="24"/>
              </w:rPr>
            </w:pPr>
          </w:p>
        </w:tc>
        <w:tc>
          <w:tcPr>
            <w:tcW w:w="7334" w:type="dxa"/>
            <w:noWrap w:val="0"/>
            <w:vAlign w:val="center"/>
          </w:tcPr>
          <w:p>
            <w:pPr>
              <w:jc w:val="left"/>
              <w:rPr>
                <w:rFonts w:ascii="宋体" w:hAnsi="宋体"/>
                <w:kern w:val="0"/>
                <w:sz w:val="24"/>
                <w:szCs w:val="24"/>
              </w:rPr>
            </w:pPr>
            <w:r>
              <w:rPr>
                <w:rFonts w:hint="eastAsia" w:ascii="宋体" w:hAnsi="宋体"/>
                <w:kern w:val="0"/>
                <w:sz w:val="24"/>
                <w:szCs w:val="24"/>
              </w:rPr>
              <w:t>支持中文WEB管理界面（需提供系统操作界面截图）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1188" w:type="dxa"/>
            <w:vMerge w:val="continue"/>
            <w:noWrap w:val="0"/>
            <w:vAlign w:val="center"/>
          </w:tcPr>
          <w:p>
            <w:pPr>
              <w:jc w:val="left"/>
              <w:rPr>
                <w:rFonts w:ascii="宋体" w:hAnsi="宋体"/>
                <w:kern w:val="0"/>
                <w:sz w:val="24"/>
                <w:szCs w:val="24"/>
              </w:rPr>
            </w:pPr>
          </w:p>
        </w:tc>
        <w:tc>
          <w:tcPr>
            <w:tcW w:w="7334" w:type="dxa"/>
            <w:noWrap w:val="0"/>
            <w:vAlign w:val="center"/>
          </w:tcPr>
          <w:p>
            <w:pPr>
              <w:jc w:val="left"/>
              <w:rPr>
                <w:rFonts w:ascii="宋体" w:hAnsi="宋体"/>
                <w:kern w:val="0"/>
                <w:sz w:val="24"/>
                <w:szCs w:val="24"/>
              </w:rPr>
            </w:pPr>
            <w:r>
              <w:rPr>
                <w:rFonts w:hint="eastAsia" w:ascii="宋体" w:hAnsi="宋体"/>
                <w:kern w:val="0"/>
                <w:sz w:val="24"/>
                <w:szCs w:val="24"/>
              </w:rPr>
              <w:t>提供全面的API接口，无软件开发语言限制。（</w:t>
            </w:r>
            <w:r>
              <w:rPr>
                <w:rFonts w:hint="eastAsia" w:ascii="宋体" w:hAnsi="宋体"/>
                <w:sz w:val="24"/>
                <w:szCs w:val="24"/>
              </w:rPr>
              <w:t>需提供网站相关介绍链接及截图）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trPr>
        <w:tc>
          <w:tcPr>
            <w:tcW w:w="1188" w:type="dxa"/>
            <w:vMerge w:val="continue"/>
            <w:noWrap w:val="0"/>
            <w:vAlign w:val="center"/>
          </w:tcPr>
          <w:p>
            <w:pPr>
              <w:jc w:val="left"/>
              <w:rPr>
                <w:rFonts w:ascii="宋体" w:hAnsi="宋体"/>
                <w:kern w:val="0"/>
                <w:sz w:val="24"/>
                <w:szCs w:val="24"/>
              </w:rPr>
            </w:pPr>
          </w:p>
        </w:tc>
        <w:tc>
          <w:tcPr>
            <w:tcW w:w="7334" w:type="dxa"/>
            <w:noWrap w:val="0"/>
            <w:vAlign w:val="center"/>
          </w:tcPr>
          <w:p>
            <w:pPr>
              <w:jc w:val="left"/>
              <w:rPr>
                <w:rFonts w:ascii="宋体" w:hAnsi="宋体"/>
                <w:kern w:val="0"/>
                <w:sz w:val="24"/>
                <w:szCs w:val="24"/>
              </w:rPr>
            </w:pPr>
            <w:r>
              <w:rPr>
                <w:rFonts w:hint="eastAsia" w:ascii="宋体" w:hAnsi="宋体"/>
                <w:kern w:val="0"/>
                <w:sz w:val="24"/>
                <w:szCs w:val="24"/>
              </w:rPr>
              <w:t>设备自身提供实时的抓包工具，可远程登录设备，运行其自身提供的实时抓包工具，可以对通过自身设备的数据包进行过滤并抓包分析。能够实时显示抓包信息。抓包结果可以导出为标准的文件格式，并可以用通用的分析工具，如Sniffer, WireShark等工具打开。（需提供实时显示抓包信息及抓包文件可保存导出两项功能的截图）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88" w:type="dxa"/>
            <w:vMerge w:val="continue"/>
            <w:noWrap w:val="0"/>
            <w:vAlign w:val="center"/>
          </w:tcPr>
          <w:p>
            <w:pPr>
              <w:jc w:val="left"/>
              <w:rPr>
                <w:rFonts w:ascii="宋体" w:hAnsi="宋体"/>
                <w:kern w:val="0"/>
                <w:sz w:val="24"/>
                <w:szCs w:val="24"/>
              </w:rPr>
            </w:pPr>
          </w:p>
        </w:tc>
        <w:tc>
          <w:tcPr>
            <w:tcW w:w="7334" w:type="dxa"/>
            <w:noWrap w:val="0"/>
            <w:vAlign w:val="center"/>
          </w:tcPr>
          <w:p>
            <w:pPr>
              <w:jc w:val="left"/>
              <w:rPr>
                <w:rFonts w:ascii="宋体" w:hAnsi="宋体"/>
                <w:kern w:val="0"/>
                <w:sz w:val="24"/>
                <w:szCs w:val="24"/>
              </w:rPr>
            </w:pPr>
            <w:r>
              <w:rPr>
                <w:rFonts w:hint="eastAsia" w:ascii="宋体" w:hAnsi="宋体"/>
                <w:kern w:val="0"/>
                <w:sz w:val="24"/>
                <w:szCs w:val="24"/>
              </w:rPr>
              <w:t>系统需支持与Openstack联动，支持NVGRE和VxLAN技术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188" w:type="dxa"/>
            <w:vMerge w:val="continue"/>
            <w:noWrap w:val="0"/>
            <w:vAlign w:val="center"/>
          </w:tcPr>
          <w:p>
            <w:pPr>
              <w:jc w:val="left"/>
              <w:rPr>
                <w:rFonts w:ascii="宋体" w:hAnsi="宋体"/>
                <w:kern w:val="0"/>
                <w:sz w:val="24"/>
                <w:szCs w:val="24"/>
              </w:rPr>
            </w:pPr>
          </w:p>
        </w:tc>
        <w:tc>
          <w:tcPr>
            <w:tcW w:w="7334" w:type="dxa"/>
            <w:noWrap w:val="0"/>
            <w:vAlign w:val="center"/>
          </w:tcPr>
          <w:p>
            <w:pPr>
              <w:jc w:val="left"/>
              <w:rPr>
                <w:rFonts w:ascii="宋体" w:hAnsi="宋体"/>
                <w:kern w:val="0"/>
                <w:sz w:val="24"/>
                <w:szCs w:val="24"/>
              </w:rPr>
            </w:pPr>
            <w:r>
              <w:rPr>
                <w:rFonts w:hint="eastAsia" w:ascii="宋体" w:hAnsi="宋体"/>
                <w:kern w:val="0"/>
                <w:sz w:val="24"/>
                <w:szCs w:val="24"/>
              </w:rPr>
              <w:t>支持多虚一虚拟机框功能，最少支持八台同型号硬件虚拟为一台负载均衡系统功能</w:t>
            </w:r>
          </w:p>
        </w:tc>
      </w:tr>
    </w:tbl>
    <w:p>
      <w:pPr>
        <w:pStyle w:val="31"/>
        <w:ind w:firstLine="0" w:firstLineChars="0"/>
        <w:rPr>
          <w:rFonts w:hint="eastAsia" w:ascii="宋体" w:hAnsi="宋体"/>
          <w:b/>
          <w:color w:val="000000"/>
          <w:sz w:val="24"/>
          <w:szCs w:val="24"/>
        </w:rPr>
      </w:pPr>
    </w:p>
    <w:p>
      <w:pPr>
        <w:pStyle w:val="31"/>
        <w:ind w:firstLine="0" w:firstLineChars="0"/>
        <w:outlineLvl w:val="1"/>
        <w:rPr>
          <w:rFonts w:hint="eastAsia" w:ascii="宋体" w:hAnsi="宋体"/>
          <w:b/>
          <w:color w:val="000000"/>
          <w:sz w:val="24"/>
          <w:szCs w:val="24"/>
        </w:rPr>
      </w:pPr>
      <w:r>
        <w:rPr>
          <w:rFonts w:hint="eastAsia" w:ascii="宋体" w:hAnsi="宋体"/>
          <w:b/>
          <w:color w:val="000000"/>
          <w:sz w:val="24"/>
          <w:szCs w:val="24"/>
        </w:rPr>
        <w:t>14.web应用</w:t>
      </w:r>
      <w:r>
        <w:rPr>
          <w:rFonts w:ascii="宋体" w:hAnsi="宋体"/>
          <w:b/>
          <w:color w:val="000000"/>
          <w:sz w:val="24"/>
          <w:szCs w:val="24"/>
        </w:rPr>
        <w:t>防火墙</w:t>
      </w:r>
      <w:r>
        <w:rPr>
          <w:rFonts w:hint="eastAsia" w:ascii="宋体" w:hAnsi="宋体"/>
          <w:b/>
          <w:color w:val="000000"/>
          <w:sz w:val="24"/>
          <w:szCs w:val="24"/>
        </w:rPr>
        <w:t>（2台）</w:t>
      </w:r>
    </w:p>
    <w:tbl>
      <w:tblPr>
        <w:tblStyle w:val="23"/>
        <w:tblW w:w="8505" w:type="dxa"/>
        <w:jc w:val="center"/>
        <w:tblInd w:w="0" w:type="dxa"/>
        <w:tblLayout w:type="fixed"/>
        <w:tblCellMar>
          <w:top w:w="0" w:type="dxa"/>
          <w:left w:w="108" w:type="dxa"/>
          <w:bottom w:w="0" w:type="dxa"/>
          <w:right w:w="108" w:type="dxa"/>
        </w:tblCellMar>
      </w:tblPr>
      <w:tblGrid>
        <w:gridCol w:w="1276"/>
        <w:gridCol w:w="7229"/>
      </w:tblGrid>
      <w:tr>
        <w:tblPrEx>
          <w:tblLayout w:type="fixed"/>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shd w:val="clear" w:color="auto" w:fill="D9D9D9"/>
            <w:noWrap w:val="0"/>
            <w:vAlign w:val="center"/>
          </w:tcPr>
          <w:p>
            <w:pPr>
              <w:widowControl/>
              <w:spacing w:line="360" w:lineRule="auto"/>
              <w:jc w:val="center"/>
              <w:rPr>
                <w:rFonts w:hint="eastAsia" w:ascii="宋体" w:hAnsi="宋体" w:cs="宋体"/>
                <w:b/>
                <w:kern w:val="0"/>
                <w:sz w:val="24"/>
                <w:szCs w:val="24"/>
              </w:rPr>
            </w:pPr>
            <w:r>
              <w:rPr>
                <w:rFonts w:hint="eastAsia" w:ascii="宋体" w:hAnsi="宋体" w:cs="宋体"/>
                <w:b/>
                <w:kern w:val="0"/>
                <w:sz w:val="24"/>
                <w:szCs w:val="24"/>
                <w:lang w:bidi="ar"/>
              </w:rPr>
              <w:t>指标项</w:t>
            </w:r>
          </w:p>
        </w:tc>
        <w:tc>
          <w:tcPr>
            <w:tcW w:w="7229" w:type="dxa"/>
            <w:tcBorders>
              <w:top w:val="single" w:color="auto" w:sz="4" w:space="0"/>
              <w:left w:val="nil"/>
              <w:bottom w:val="single" w:color="auto" w:sz="4" w:space="0"/>
              <w:right w:val="single" w:color="auto" w:sz="4" w:space="0"/>
            </w:tcBorders>
            <w:shd w:val="clear" w:color="auto" w:fill="D9D9D9"/>
            <w:noWrap w:val="0"/>
            <w:vAlign w:val="center"/>
          </w:tcPr>
          <w:p>
            <w:pPr>
              <w:widowControl/>
              <w:spacing w:line="360" w:lineRule="auto"/>
              <w:jc w:val="center"/>
              <w:rPr>
                <w:rFonts w:hint="eastAsia" w:ascii="宋体" w:hAnsi="宋体" w:cs="宋体"/>
                <w:b/>
                <w:kern w:val="0"/>
                <w:sz w:val="24"/>
                <w:szCs w:val="24"/>
              </w:rPr>
            </w:pPr>
            <w:r>
              <w:rPr>
                <w:rFonts w:hint="eastAsia" w:ascii="宋体" w:hAnsi="宋体" w:cs="宋体"/>
                <w:b/>
                <w:kern w:val="0"/>
                <w:sz w:val="24"/>
                <w:szCs w:val="24"/>
                <w:lang w:bidi="ar"/>
              </w:rPr>
              <w:t>指标要求</w:t>
            </w:r>
          </w:p>
        </w:tc>
      </w:tr>
      <w:tr>
        <w:tblPrEx>
          <w:tblLayout w:type="fixed"/>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szCs w:val="24"/>
              </w:rPr>
            </w:pPr>
            <w:r>
              <w:rPr>
                <w:rFonts w:hint="eastAsia" w:ascii="宋体" w:hAnsi="宋体" w:cs="宋体"/>
                <w:sz w:val="24"/>
                <w:szCs w:val="24"/>
                <w:lang w:bidi="ar"/>
              </w:rPr>
              <w:t>资质</w:t>
            </w: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rPr>
                <w:rFonts w:hint="eastAsia" w:ascii="宋体" w:hAnsi="宋体" w:cs="宋体"/>
                <w:sz w:val="24"/>
                <w:szCs w:val="24"/>
              </w:rPr>
            </w:pPr>
            <w:r>
              <w:rPr>
                <w:rFonts w:hint="eastAsia" w:ascii="宋体" w:hAnsi="宋体" w:cs="宋体"/>
                <w:sz w:val="24"/>
                <w:szCs w:val="24"/>
                <w:lang w:bidi="ar"/>
              </w:rPr>
              <w:t>通过公安部检测并获得公安部计算机信息系统安全专用产品销售许可证</w:t>
            </w:r>
          </w:p>
          <w:p>
            <w:pPr>
              <w:spacing w:line="360" w:lineRule="auto"/>
              <w:rPr>
                <w:rFonts w:hint="eastAsia" w:ascii="宋体" w:hAnsi="宋体" w:cs="宋体"/>
                <w:sz w:val="24"/>
                <w:szCs w:val="24"/>
              </w:rPr>
            </w:pPr>
            <w:r>
              <w:rPr>
                <w:rFonts w:hint="eastAsia" w:ascii="宋体" w:hAnsi="宋体" w:cs="宋体"/>
                <w:sz w:val="24"/>
                <w:szCs w:val="24"/>
                <w:lang w:bidi="ar"/>
              </w:rPr>
              <w:t>产品具备国家信息安全测评信息技术产品安全测评证书（EAL3+）</w:t>
            </w:r>
          </w:p>
          <w:p>
            <w:pPr>
              <w:spacing w:line="360" w:lineRule="auto"/>
              <w:rPr>
                <w:rFonts w:hint="eastAsia" w:ascii="宋体" w:hAnsi="宋体" w:cs="宋体"/>
                <w:sz w:val="24"/>
                <w:szCs w:val="24"/>
              </w:rPr>
            </w:pPr>
            <w:r>
              <w:rPr>
                <w:rFonts w:hint="eastAsia" w:ascii="宋体" w:hAnsi="宋体" w:cs="宋体"/>
                <w:sz w:val="24"/>
                <w:szCs w:val="24"/>
                <w:lang w:bidi="ar"/>
              </w:rPr>
              <w:t>产品具备WEB应用防火墙认证证书</w:t>
            </w:r>
          </w:p>
        </w:tc>
      </w:tr>
      <w:tr>
        <w:tblPrEx>
          <w:tblLayout w:type="fixed"/>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szCs w:val="24"/>
              </w:rPr>
            </w:pPr>
            <w:r>
              <w:rPr>
                <w:rFonts w:hint="eastAsia" w:ascii="宋体" w:hAnsi="宋体" w:cs="宋体"/>
                <w:sz w:val="24"/>
                <w:szCs w:val="24"/>
                <w:lang w:bidi="ar"/>
              </w:rPr>
              <w:t>规格</w:t>
            </w: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标准2U专用千兆硬件平台</w:t>
            </w:r>
          </w:p>
        </w:tc>
      </w:tr>
      <w:tr>
        <w:tblPrEx>
          <w:tblLayout w:type="fixed"/>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szCs w:val="24"/>
              </w:rPr>
            </w:pPr>
            <w:r>
              <w:rPr>
                <w:rFonts w:hint="eastAsia" w:ascii="宋体" w:hAnsi="宋体" w:cs="宋体"/>
                <w:sz w:val="24"/>
                <w:szCs w:val="24"/>
                <w:lang w:bidi="ar"/>
              </w:rPr>
              <w:t>网口数量</w:t>
            </w: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2千兆电口管理口，千兆业务电口*4（含2组硬件BYPASS模块），千兆业务光口*4，万兆业务光口*2</w:t>
            </w:r>
          </w:p>
        </w:tc>
      </w:tr>
      <w:tr>
        <w:tblPrEx>
          <w:tblLayout w:type="fixed"/>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szCs w:val="24"/>
              </w:rPr>
            </w:pPr>
            <w:r>
              <w:rPr>
                <w:rFonts w:hint="eastAsia" w:ascii="宋体" w:hAnsi="宋体" w:cs="宋体"/>
                <w:sz w:val="24"/>
                <w:szCs w:val="24"/>
                <w:lang w:bidi="ar"/>
              </w:rPr>
              <w:t>性能参数</w:t>
            </w: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应用吞吐量不小于8Gbps</w:t>
            </w:r>
          </w:p>
          <w:p>
            <w:pPr>
              <w:widowControl/>
              <w:spacing w:line="360" w:lineRule="auto"/>
              <w:jc w:val="left"/>
              <w:rPr>
                <w:rFonts w:hint="eastAsia" w:ascii="宋体" w:hAnsi="宋体" w:cs="宋体"/>
                <w:sz w:val="24"/>
                <w:szCs w:val="24"/>
              </w:rPr>
            </w:pPr>
            <w:r>
              <w:rPr>
                <w:rFonts w:hint="eastAsia" w:ascii="宋体" w:hAnsi="宋体" w:cs="宋体"/>
                <w:sz w:val="24"/>
                <w:szCs w:val="24"/>
                <w:lang w:bidi="ar"/>
              </w:rPr>
              <w:t>HTTP并发连接不小于400000</w:t>
            </w:r>
          </w:p>
          <w:p>
            <w:pPr>
              <w:widowControl/>
              <w:spacing w:line="360" w:lineRule="auto"/>
              <w:jc w:val="left"/>
              <w:rPr>
                <w:rFonts w:hint="eastAsia" w:ascii="宋体" w:hAnsi="宋体" w:cs="宋体"/>
                <w:sz w:val="24"/>
                <w:szCs w:val="24"/>
              </w:rPr>
            </w:pPr>
            <w:r>
              <w:rPr>
                <w:rFonts w:hint="eastAsia" w:ascii="宋体" w:hAnsi="宋体" w:cs="宋体"/>
                <w:sz w:val="24"/>
                <w:szCs w:val="24"/>
                <w:lang w:bidi="ar"/>
              </w:rPr>
              <w:t>HTTP新建连接(CPS)不小于40000</w:t>
            </w:r>
          </w:p>
        </w:tc>
      </w:tr>
      <w:tr>
        <w:tblPrEx>
          <w:tblLayout w:type="fixed"/>
          <w:tblCellMar>
            <w:top w:w="0" w:type="dxa"/>
            <w:left w:w="108" w:type="dxa"/>
            <w:bottom w:w="0" w:type="dxa"/>
            <w:right w:w="108" w:type="dxa"/>
          </w:tblCellMar>
        </w:tblPrEx>
        <w:trPr>
          <w:jc w:val="center"/>
        </w:trPr>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szCs w:val="24"/>
              </w:rPr>
            </w:pPr>
            <w:r>
              <w:rPr>
                <w:rFonts w:hint="eastAsia" w:ascii="宋体" w:hAnsi="宋体" w:cs="宋体"/>
                <w:sz w:val="24"/>
                <w:szCs w:val="24"/>
                <w:lang w:bidi="ar"/>
              </w:rPr>
              <w:t>部署方式</w:t>
            </w: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透明桥部署：防护口不占用IP地址，实现完全透明部署，无需以先终结用户的TCP会话后再发起新的TCP会话到服务器方式处理，并支持路由不对称场景</w:t>
            </w:r>
          </w:p>
        </w:tc>
      </w:tr>
      <w:tr>
        <w:tblPrEx>
          <w:tblLayout w:type="fixed"/>
          <w:tblCellMar>
            <w:top w:w="0" w:type="dxa"/>
            <w:left w:w="108" w:type="dxa"/>
            <w:bottom w:w="0" w:type="dxa"/>
            <w:right w:w="108" w:type="dxa"/>
          </w:tblCellMar>
        </w:tblPrEx>
        <w:trPr>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透明代理部署：防护口不占用IP地址，实现应用层透明部署，支持TCP连接复用，并优化服务器会话处理改善服务器处理性能</w:t>
            </w:r>
          </w:p>
        </w:tc>
      </w:tr>
      <w:tr>
        <w:tblPrEx>
          <w:tblLayout w:type="fixed"/>
          <w:tblCellMar>
            <w:top w:w="0" w:type="dxa"/>
            <w:left w:w="108" w:type="dxa"/>
            <w:bottom w:w="0" w:type="dxa"/>
            <w:right w:w="108" w:type="dxa"/>
          </w:tblCellMar>
        </w:tblPrEx>
        <w:trPr>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端口镜像部署：镜像服务器流量即可实现安全审计和告警</w:t>
            </w:r>
          </w:p>
        </w:tc>
      </w:tr>
      <w:tr>
        <w:tblPrEx>
          <w:tblLayout w:type="fixed"/>
          <w:tblCellMar>
            <w:top w:w="0" w:type="dxa"/>
            <w:left w:w="108" w:type="dxa"/>
            <w:bottom w:w="0" w:type="dxa"/>
            <w:right w:w="108" w:type="dxa"/>
          </w:tblCellMar>
        </w:tblPrEx>
        <w:trPr>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反向代理部署：可支持代理和路由牵引两种模式，客户端源IP可采用透明和非透明两种转发机制，非透明可指定字段进行识别，支持前后端口分离，支持多台WAF设备冗余和集群部署</w:t>
            </w:r>
          </w:p>
        </w:tc>
      </w:tr>
      <w:tr>
        <w:tblPrEx>
          <w:tblLayout w:type="fixed"/>
          <w:tblCellMar>
            <w:top w:w="0" w:type="dxa"/>
            <w:left w:w="108" w:type="dxa"/>
            <w:bottom w:w="0" w:type="dxa"/>
            <w:right w:w="108" w:type="dxa"/>
          </w:tblCellMar>
        </w:tblPrEx>
        <w:trPr>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支持虚拟化部署，支持KVM、Xen、VMWare等虚拟机环境，并支持WAF镜像导入</w:t>
            </w:r>
          </w:p>
        </w:tc>
      </w:tr>
      <w:tr>
        <w:tblPrEx>
          <w:tblLayout w:type="fixed"/>
          <w:tblCellMar>
            <w:top w:w="0" w:type="dxa"/>
            <w:left w:w="108" w:type="dxa"/>
            <w:bottom w:w="0" w:type="dxa"/>
            <w:right w:w="108" w:type="dxa"/>
          </w:tblCellMar>
        </w:tblPrEx>
        <w:trPr>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支持链路聚合，提升网络带宽、增加容错性和链路负载均衡</w:t>
            </w:r>
          </w:p>
        </w:tc>
      </w:tr>
      <w:tr>
        <w:tblPrEx>
          <w:tblLayout w:type="fixed"/>
          <w:tblCellMar>
            <w:top w:w="0" w:type="dxa"/>
            <w:left w:w="108" w:type="dxa"/>
            <w:bottom w:w="0" w:type="dxa"/>
            <w:right w:w="108" w:type="dxa"/>
          </w:tblCellMar>
        </w:tblPrEx>
        <w:trPr>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支持VLAN子接口，业务口可承载多个VLAN通道</w:t>
            </w:r>
          </w:p>
        </w:tc>
      </w:tr>
      <w:tr>
        <w:tblPrEx>
          <w:tblLayout w:type="fixed"/>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szCs w:val="24"/>
              </w:rPr>
            </w:pPr>
            <w:r>
              <w:rPr>
                <w:rFonts w:hint="eastAsia" w:ascii="宋体" w:hAnsi="宋体" w:cs="宋体"/>
                <w:sz w:val="24"/>
                <w:szCs w:val="24"/>
                <w:lang w:bidi="ar"/>
              </w:rPr>
              <w:t>高可用性</w:t>
            </w: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支持全透明集群模式、主-主模式、主备模式、硬件BYPASS、软件BYPASS</w:t>
            </w:r>
          </w:p>
        </w:tc>
      </w:tr>
      <w:tr>
        <w:tblPrEx>
          <w:tblLayout w:type="fixed"/>
          <w:tblCellMar>
            <w:top w:w="0" w:type="dxa"/>
            <w:left w:w="108" w:type="dxa"/>
            <w:bottom w:w="0" w:type="dxa"/>
            <w:right w:w="108" w:type="dxa"/>
          </w:tblCellMar>
        </w:tblPrEx>
        <w:trPr>
          <w:jc w:val="center"/>
        </w:trPr>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szCs w:val="24"/>
              </w:rPr>
            </w:pPr>
            <w:r>
              <w:rPr>
                <w:rFonts w:hint="eastAsia" w:ascii="宋体" w:hAnsi="宋体" w:cs="宋体"/>
                <w:sz w:val="24"/>
                <w:szCs w:val="24"/>
                <w:lang w:bidi="ar"/>
              </w:rPr>
              <w:t>保护对象</w:t>
            </w: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支持多条链路数据的防护，防护网段数量不限</w:t>
            </w:r>
          </w:p>
        </w:tc>
      </w:tr>
      <w:tr>
        <w:tblPrEx>
          <w:tblLayout w:type="fixed"/>
          <w:tblCellMar>
            <w:top w:w="0" w:type="dxa"/>
            <w:left w:w="108" w:type="dxa"/>
            <w:bottom w:w="0" w:type="dxa"/>
            <w:right w:w="108" w:type="dxa"/>
          </w:tblCellMar>
        </w:tblPrEx>
        <w:trPr>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支持以域名和IP多种方式进行防护</w:t>
            </w:r>
          </w:p>
        </w:tc>
      </w:tr>
      <w:tr>
        <w:tblPrEx>
          <w:tblLayout w:type="fixed"/>
          <w:tblCellMar>
            <w:top w:w="0" w:type="dxa"/>
            <w:left w:w="108" w:type="dxa"/>
            <w:bottom w:w="0" w:type="dxa"/>
            <w:right w:w="108" w:type="dxa"/>
          </w:tblCellMar>
        </w:tblPrEx>
        <w:trPr>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支持ipv4/ipv6双协议栈</w:t>
            </w:r>
          </w:p>
        </w:tc>
      </w:tr>
      <w:tr>
        <w:tblPrEx>
          <w:tblLayout w:type="fixed"/>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szCs w:val="24"/>
              </w:rPr>
            </w:pPr>
            <w:r>
              <w:rPr>
                <w:rFonts w:hint="eastAsia" w:ascii="宋体" w:hAnsi="宋体" w:cs="宋体"/>
                <w:sz w:val="24"/>
                <w:szCs w:val="24"/>
                <w:lang w:bidi="ar"/>
              </w:rPr>
              <w:t>WEB服务自发现</w:t>
            </w: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支持WEB站点服务自动侦测功能，支持自动识别VLAN信息，提供界面截图</w:t>
            </w:r>
          </w:p>
        </w:tc>
      </w:tr>
      <w:tr>
        <w:tblPrEx>
          <w:tblLayout w:type="fixed"/>
          <w:tblCellMar>
            <w:top w:w="0" w:type="dxa"/>
            <w:left w:w="108" w:type="dxa"/>
            <w:bottom w:w="0" w:type="dxa"/>
            <w:right w:w="108" w:type="dxa"/>
          </w:tblCellMar>
        </w:tblPrEx>
        <w:trPr>
          <w:jc w:val="center"/>
        </w:trPr>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szCs w:val="24"/>
              </w:rPr>
            </w:pPr>
            <w:r>
              <w:rPr>
                <w:rFonts w:hint="eastAsia" w:ascii="宋体" w:hAnsi="宋体" w:cs="宋体"/>
                <w:sz w:val="24"/>
                <w:szCs w:val="24"/>
                <w:lang w:bidi="ar"/>
              </w:rPr>
              <w:t>防御功能</w:t>
            </w: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能够识别恶意请求含：跨站脚本(XSS)、注入式攻击（包括SQL注入、命令注入 、Cookie 注入、代码注入、LDAP注入、SSI注入文件注入等）、跨站请求伪造等应用攻击行为</w:t>
            </w:r>
          </w:p>
        </w:tc>
      </w:tr>
      <w:tr>
        <w:tblPrEx>
          <w:tblLayout w:type="fixed"/>
          <w:tblCellMar>
            <w:top w:w="0" w:type="dxa"/>
            <w:left w:w="108" w:type="dxa"/>
            <w:bottom w:w="0" w:type="dxa"/>
            <w:right w:w="108" w:type="dxa"/>
          </w:tblCellMar>
        </w:tblPrEx>
        <w:trPr>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支持对HTTP请求分割攻击和HTTP响应报文截断攻击的防护</w:t>
            </w:r>
          </w:p>
        </w:tc>
      </w:tr>
      <w:tr>
        <w:tblPrEx>
          <w:tblLayout w:type="fixed"/>
          <w:tblCellMar>
            <w:top w:w="0" w:type="dxa"/>
            <w:left w:w="108" w:type="dxa"/>
            <w:bottom w:w="0" w:type="dxa"/>
            <w:right w:w="108" w:type="dxa"/>
          </w:tblCellMar>
        </w:tblPrEx>
        <w:trPr>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能够识别服务端响应内容导致的缺陷：敏感信息泄露、已有的网页后门、错误配置、目录浏览等缺陷</w:t>
            </w:r>
          </w:p>
        </w:tc>
      </w:tr>
      <w:tr>
        <w:tblPrEx>
          <w:tblLayout w:type="fixed"/>
          <w:tblCellMar>
            <w:top w:w="0" w:type="dxa"/>
            <w:left w:w="108" w:type="dxa"/>
            <w:bottom w:w="0" w:type="dxa"/>
            <w:right w:w="108" w:type="dxa"/>
          </w:tblCellMar>
        </w:tblPrEx>
        <w:trPr>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能基于访问行为特征进行分析，能识别盗链、爬虫攻击的能力</w:t>
            </w:r>
          </w:p>
        </w:tc>
      </w:tr>
      <w:tr>
        <w:tblPrEx>
          <w:tblLayout w:type="fixed"/>
          <w:tblCellMar>
            <w:top w:w="0" w:type="dxa"/>
            <w:left w:w="108" w:type="dxa"/>
            <w:bottom w:w="0" w:type="dxa"/>
            <w:right w:w="108" w:type="dxa"/>
          </w:tblCellMar>
        </w:tblPrEx>
        <w:trPr>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能识别网站中的网页木马程序，通过策略可防止木马网页被用户访问</w:t>
            </w:r>
          </w:p>
        </w:tc>
      </w:tr>
      <w:tr>
        <w:tblPrEx>
          <w:tblLayout w:type="fixed"/>
          <w:tblCellMar>
            <w:top w:w="0" w:type="dxa"/>
            <w:left w:w="108" w:type="dxa"/>
            <w:bottom w:w="0" w:type="dxa"/>
            <w:right w:w="108" w:type="dxa"/>
          </w:tblCellMar>
        </w:tblPrEx>
        <w:trPr>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内置主流Webshell特征库，对上传内容进行检查，防止恶意Weshell上传</w:t>
            </w:r>
          </w:p>
        </w:tc>
      </w:tr>
      <w:tr>
        <w:tblPrEx>
          <w:tblLayout w:type="fixed"/>
          <w:tblCellMar>
            <w:top w:w="0" w:type="dxa"/>
            <w:left w:w="108" w:type="dxa"/>
            <w:bottom w:w="0" w:type="dxa"/>
            <w:right w:w="108" w:type="dxa"/>
          </w:tblCellMar>
        </w:tblPrEx>
        <w:trPr>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WAF能自动识别扫描器的扫描行为，并智能阻断如Nikto、Paros proxy、WebScarab、WebInspect、Whisker、libwhisker、Burpsuite、Wikto、Pangolin、Watchfire AppScan 、N-Stealth、Acunetix Web Vulnerability Scanner  等多种扫描器的扫描行为</w:t>
            </w:r>
          </w:p>
        </w:tc>
      </w:tr>
      <w:tr>
        <w:tblPrEx>
          <w:tblLayout w:type="fixed"/>
          <w:tblCellMar>
            <w:top w:w="0" w:type="dxa"/>
            <w:left w:w="108" w:type="dxa"/>
            <w:bottom w:w="0" w:type="dxa"/>
            <w:right w:w="108" w:type="dxa"/>
          </w:tblCellMar>
        </w:tblPrEx>
        <w:trPr>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内置开源CMS漏洞和WEB服务器插件漏洞防护规则</w:t>
            </w:r>
          </w:p>
        </w:tc>
      </w:tr>
      <w:tr>
        <w:tblPrEx>
          <w:tblLayout w:type="fixed"/>
          <w:tblCellMar>
            <w:top w:w="0" w:type="dxa"/>
            <w:left w:w="108" w:type="dxa"/>
            <w:bottom w:w="0" w:type="dxa"/>
            <w:right w:w="108" w:type="dxa"/>
          </w:tblCellMar>
        </w:tblPrEx>
        <w:trPr>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支持阻断提交政冶敏感、违反法规相关的言论信息</w:t>
            </w:r>
          </w:p>
        </w:tc>
      </w:tr>
      <w:tr>
        <w:tblPrEx>
          <w:tblLayout w:type="fixed"/>
          <w:tblCellMar>
            <w:top w:w="0" w:type="dxa"/>
            <w:left w:w="108" w:type="dxa"/>
            <w:bottom w:w="0" w:type="dxa"/>
            <w:right w:w="108" w:type="dxa"/>
          </w:tblCellMar>
        </w:tblPrEx>
        <w:trPr>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支持丰富的自定义规则，可以针对多个条件组合，形成深度的WEB防护规则</w:t>
            </w:r>
          </w:p>
        </w:tc>
      </w:tr>
      <w:tr>
        <w:tblPrEx>
          <w:tblLayout w:type="fixed"/>
          <w:tblCellMar>
            <w:top w:w="0" w:type="dxa"/>
            <w:left w:w="108" w:type="dxa"/>
            <w:bottom w:w="0" w:type="dxa"/>
            <w:right w:w="108" w:type="dxa"/>
          </w:tblCellMar>
        </w:tblPrEx>
        <w:trPr>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支持服务器隐藏，可配置删除服务器响应头信息</w:t>
            </w:r>
          </w:p>
        </w:tc>
      </w:tr>
      <w:tr>
        <w:tblPrEx>
          <w:tblLayout w:type="fixed"/>
          <w:tblCellMar>
            <w:top w:w="0" w:type="dxa"/>
            <w:left w:w="108" w:type="dxa"/>
            <w:bottom w:w="0" w:type="dxa"/>
            <w:right w:w="108" w:type="dxa"/>
          </w:tblCellMar>
        </w:tblPrEx>
        <w:trPr>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内置身份证、银行卡等服务器敏感信息库，对服务器响应敏感内容进行隐藏，并支持自定义，提供界面截图并加盖公司公章</w:t>
            </w:r>
          </w:p>
        </w:tc>
      </w:tr>
      <w:tr>
        <w:tblPrEx>
          <w:tblLayout w:type="fixed"/>
          <w:tblCellMar>
            <w:top w:w="0" w:type="dxa"/>
            <w:left w:w="108" w:type="dxa"/>
            <w:bottom w:w="0" w:type="dxa"/>
            <w:right w:w="108" w:type="dxa"/>
          </w:tblCellMar>
        </w:tblPrEx>
        <w:trPr>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支持Cookie安全机制，支持Cookie自学习，防止Cookie被篡改和劫持，并支持Cookie Httponly</w:t>
            </w:r>
          </w:p>
        </w:tc>
      </w:tr>
      <w:tr>
        <w:tblPrEx>
          <w:tblLayout w:type="fixed"/>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szCs w:val="24"/>
              </w:rPr>
            </w:pPr>
            <w:r>
              <w:rPr>
                <w:rFonts w:hint="eastAsia" w:ascii="宋体" w:hAnsi="宋体" w:cs="宋体"/>
                <w:sz w:val="24"/>
                <w:szCs w:val="24"/>
                <w:lang w:bidi="ar"/>
              </w:rPr>
              <w:t>智能自学习功能</w:t>
            </w: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rPr>
                <w:rFonts w:hint="eastAsia" w:ascii="宋体" w:hAnsi="宋体" w:cs="宋体"/>
                <w:sz w:val="24"/>
                <w:szCs w:val="24"/>
              </w:rPr>
            </w:pPr>
            <w:r>
              <w:rPr>
                <w:rFonts w:hint="eastAsia" w:ascii="宋体" w:hAnsi="宋体" w:cs="宋体"/>
                <w:sz w:val="24"/>
                <w:szCs w:val="24"/>
                <w:lang w:bidi="ar"/>
              </w:rPr>
              <w:t>支持网站自学习建模功能，能通过自学习形成网站URL树；</w:t>
            </w:r>
          </w:p>
          <w:p>
            <w:pPr>
              <w:widowControl/>
              <w:spacing w:line="360" w:lineRule="auto"/>
              <w:rPr>
                <w:rFonts w:hint="eastAsia" w:ascii="宋体" w:hAnsi="宋体" w:cs="宋体"/>
                <w:sz w:val="24"/>
                <w:szCs w:val="24"/>
              </w:rPr>
            </w:pPr>
            <w:r>
              <w:rPr>
                <w:rFonts w:hint="eastAsia" w:ascii="宋体" w:hAnsi="宋体" w:cs="宋体"/>
                <w:sz w:val="24"/>
                <w:szCs w:val="24"/>
                <w:lang w:bidi="ar"/>
              </w:rPr>
              <w:t>通过自学习能生成安全防护策略；</w:t>
            </w:r>
          </w:p>
          <w:p>
            <w:pPr>
              <w:widowControl/>
              <w:spacing w:line="360" w:lineRule="auto"/>
              <w:rPr>
                <w:rFonts w:hint="eastAsia" w:ascii="宋体" w:hAnsi="宋体" w:cs="宋体"/>
                <w:sz w:val="24"/>
                <w:szCs w:val="24"/>
              </w:rPr>
            </w:pPr>
            <w:r>
              <w:rPr>
                <w:rFonts w:hint="eastAsia" w:ascii="宋体" w:hAnsi="宋体" w:cs="宋体"/>
                <w:sz w:val="24"/>
                <w:szCs w:val="24"/>
                <w:lang w:bidi="ar"/>
              </w:rPr>
              <w:t>通过自学习能发现参数的名称、类型、匹配频率；</w:t>
            </w:r>
          </w:p>
          <w:p>
            <w:pPr>
              <w:widowControl/>
              <w:spacing w:line="360" w:lineRule="auto"/>
              <w:rPr>
                <w:rFonts w:hint="eastAsia" w:ascii="宋体" w:hAnsi="宋体" w:cs="宋体"/>
                <w:sz w:val="24"/>
                <w:szCs w:val="24"/>
              </w:rPr>
            </w:pPr>
            <w:r>
              <w:rPr>
                <w:rFonts w:hint="eastAsia" w:ascii="宋体" w:hAnsi="宋体" w:cs="宋体"/>
                <w:sz w:val="24"/>
                <w:szCs w:val="24"/>
                <w:lang w:bidi="ar"/>
              </w:rPr>
              <w:t>可配置匹配到自学习特征后放行；</w:t>
            </w:r>
          </w:p>
          <w:p>
            <w:pPr>
              <w:widowControl/>
              <w:spacing w:line="360" w:lineRule="auto"/>
              <w:rPr>
                <w:rFonts w:hint="eastAsia" w:ascii="宋体" w:hAnsi="宋体" w:cs="宋体"/>
                <w:sz w:val="24"/>
                <w:szCs w:val="24"/>
              </w:rPr>
            </w:pPr>
            <w:r>
              <w:rPr>
                <w:rFonts w:hint="eastAsia" w:ascii="宋体" w:hAnsi="宋体" w:cs="宋体"/>
                <w:sz w:val="24"/>
                <w:szCs w:val="24"/>
                <w:lang w:bidi="ar"/>
              </w:rPr>
              <w:t>可配置匹配不到自学习特征直接阻断请求；</w:t>
            </w:r>
          </w:p>
          <w:p>
            <w:pPr>
              <w:widowControl/>
              <w:spacing w:line="360" w:lineRule="auto"/>
              <w:jc w:val="left"/>
              <w:rPr>
                <w:rFonts w:hint="eastAsia" w:ascii="宋体" w:hAnsi="宋体" w:cs="宋体"/>
                <w:sz w:val="24"/>
                <w:szCs w:val="24"/>
              </w:rPr>
            </w:pPr>
            <w:r>
              <w:rPr>
                <w:rFonts w:hint="eastAsia" w:ascii="宋体" w:hAnsi="宋体" w:cs="宋体"/>
                <w:sz w:val="24"/>
                <w:szCs w:val="24"/>
                <w:lang w:bidi="ar"/>
              </w:rPr>
              <w:t>提供界面截图</w:t>
            </w:r>
          </w:p>
        </w:tc>
      </w:tr>
      <w:tr>
        <w:tblPrEx>
          <w:tblLayout w:type="fixed"/>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szCs w:val="24"/>
              </w:rPr>
            </w:pPr>
            <w:r>
              <w:rPr>
                <w:rFonts w:hint="eastAsia" w:ascii="宋体" w:hAnsi="宋体" w:cs="宋体"/>
                <w:sz w:val="24"/>
                <w:szCs w:val="24"/>
                <w:lang w:bidi="ar"/>
              </w:rPr>
              <w:t>智能攻击者锁定</w:t>
            </w: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rPr>
                <w:rFonts w:hint="eastAsia" w:ascii="宋体" w:hAnsi="宋体" w:cs="宋体"/>
                <w:sz w:val="24"/>
                <w:szCs w:val="24"/>
              </w:rPr>
            </w:pPr>
            <w:r>
              <w:rPr>
                <w:rFonts w:hint="eastAsia" w:ascii="宋体" w:hAnsi="宋体" w:cs="宋体"/>
                <w:sz w:val="24"/>
                <w:szCs w:val="24"/>
                <w:lang w:bidi="ar"/>
              </w:rPr>
              <w:t>支持智能识别攻击者，对网站连接发起攻击的IP地址进行自动锁定禁止访问被攻击的网站</w:t>
            </w:r>
          </w:p>
          <w:p>
            <w:pPr>
              <w:widowControl/>
              <w:spacing w:line="360" w:lineRule="auto"/>
              <w:rPr>
                <w:rFonts w:hint="eastAsia" w:ascii="宋体" w:hAnsi="宋体" w:cs="宋体"/>
                <w:sz w:val="24"/>
                <w:szCs w:val="24"/>
              </w:rPr>
            </w:pPr>
            <w:r>
              <w:rPr>
                <w:rFonts w:hint="eastAsia" w:ascii="宋体" w:hAnsi="宋体" w:cs="宋体"/>
                <w:sz w:val="24"/>
                <w:szCs w:val="24"/>
                <w:lang w:bidi="ar"/>
              </w:rPr>
              <w:t>可配置攻击者识别策略和算法</w:t>
            </w:r>
          </w:p>
          <w:p>
            <w:pPr>
              <w:widowControl/>
              <w:spacing w:line="360" w:lineRule="auto"/>
              <w:rPr>
                <w:rFonts w:hint="eastAsia" w:ascii="宋体" w:hAnsi="宋体" w:cs="宋体"/>
                <w:sz w:val="24"/>
                <w:szCs w:val="24"/>
              </w:rPr>
            </w:pPr>
            <w:r>
              <w:rPr>
                <w:rFonts w:hint="eastAsia" w:ascii="宋体" w:hAnsi="宋体" w:cs="宋体"/>
                <w:sz w:val="24"/>
                <w:szCs w:val="24"/>
                <w:lang w:bidi="ar"/>
              </w:rPr>
              <w:t>可配置攻击者锁定时间</w:t>
            </w:r>
          </w:p>
          <w:p>
            <w:pPr>
              <w:widowControl/>
              <w:spacing w:line="360" w:lineRule="auto"/>
              <w:rPr>
                <w:rFonts w:hint="eastAsia" w:ascii="宋体" w:hAnsi="宋体" w:cs="宋体"/>
                <w:sz w:val="24"/>
                <w:szCs w:val="24"/>
              </w:rPr>
            </w:pPr>
            <w:r>
              <w:rPr>
                <w:rFonts w:hint="eastAsia" w:ascii="宋体" w:hAnsi="宋体" w:cs="宋体"/>
                <w:sz w:val="24"/>
                <w:szCs w:val="24"/>
                <w:lang w:bidi="ar"/>
              </w:rPr>
              <w:t>可配置将攻击者直接加入网络黑名单</w:t>
            </w:r>
          </w:p>
          <w:p>
            <w:pPr>
              <w:widowControl/>
              <w:spacing w:line="360" w:lineRule="auto"/>
              <w:rPr>
                <w:rFonts w:hint="eastAsia" w:ascii="宋体" w:hAnsi="宋体" w:cs="宋体"/>
                <w:sz w:val="24"/>
                <w:szCs w:val="24"/>
              </w:rPr>
            </w:pPr>
            <w:r>
              <w:rPr>
                <w:rFonts w:hint="eastAsia" w:ascii="宋体" w:hAnsi="宋体" w:cs="宋体"/>
                <w:sz w:val="24"/>
                <w:szCs w:val="24"/>
                <w:lang w:bidi="ar"/>
              </w:rPr>
              <w:t>可展示攻击者发生的时间和攻击者所在的地理位置</w:t>
            </w:r>
          </w:p>
          <w:p>
            <w:pPr>
              <w:widowControl/>
              <w:spacing w:line="360" w:lineRule="auto"/>
              <w:jc w:val="left"/>
              <w:rPr>
                <w:rFonts w:hint="eastAsia" w:ascii="宋体" w:hAnsi="宋体" w:cs="宋体"/>
                <w:sz w:val="24"/>
                <w:szCs w:val="24"/>
              </w:rPr>
            </w:pPr>
            <w:r>
              <w:rPr>
                <w:rFonts w:hint="eastAsia" w:ascii="宋体" w:hAnsi="宋体" w:cs="宋体"/>
                <w:sz w:val="24"/>
                <w:szCs w:val="24"/>
                <w:lang w:bidi="ar"/>
              </w:rPr>
              <w:t>提供界面截图</w:t>
            </w:r>
          </w:p>
        </w:tc>
      </w:tr>
      <w:tr>
        <w:tblPrEx>
          <w:tblLayout w:type="fixed"/>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szCs w:val="24"/>
              </w:rPr>
            </w:pPr>
            <w:r>
              <w:rPr>
                <w:rFonts w:hint="eastAsia" w:ascii="宋体" w:hAnsi="宋体" w:cs="宋体"/>
                <w:sz w:val="24"/>
                <w:szCs w:val="24"/>
                <w:lang w:bidi="ar"/>
              </w:rPr>
              <w:t>基于时间的访问控制</w:t>
            </w: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rPr>
                <w:rFonts w:hint="eastAsia" w:ascii="宋体" w:hAnsi="宋体" w:cs="宋体"/>
                <w:sz w:val="24"/>
                <w:szCs w:val="24"/>
              </w:rPr>
            </w:pPr>
            <w:r>
              <w:rPr>
                <w:rFonts w:hint="eastAsia" w:ascii="宋体" w:hAnsi="宋体" w:cs="宋体"/>
                <w:sz w:val="24"/>
                <w:szCs w:val="24"/>
                <w:lang w:bidi="ar"/>
              </w:rPr>
              <w:t>可基于时间对客户端IP进行黑白名单控制</w:t>
            </w:r>
          </w:p>
          <w:p>
            <w:pPr>
              <w:widowControl/>
              <w:spacing w:line="360" w:lineRule="auto"/>
              <w:jc w:val="left"/>
              <w:rPr>
                <w:rFonts w:hint="eastAsia" w:ascii="宋体" w:hAnsi="宋体" w:cs="宋体"/>
                <w:sz w:val="24"/>
                <w:szCs w:val="24"/>
              </w:rPr>
            </w:pPr>
            <w:r>
              <w:rPr>
                <w:rFonts w:hint="eastAsia" w:ascii="宋体" w:hAnsi="宋体" w:cs="宋体"/>
                <w:sz w:val="24"/>
                <w:szCs w:val="24"/>
                <w:lang w:bidi="ar"/>
              </w:rPr>
              <w:t>提供界面截图并加盖公司公章</w:t>
            </w:r>
          </w:p>
        </w:tc>
      </w:tr>
      <w:tr>
        <w:tblPrEx>
          <w:tblLayout w:type="fixed"/>
          <w:tblCellMar>
            <w:top w:w="0" w:type="dxa"/>
            <w:left w:w="108" w:type="dxa"/>
            <w:bottom w:w="0" w:type="dxa"/>
            <w:right w:w="108" w:type="dxa"/>
          </w:tblCellMar>
        </w:tblPrEx>
        <w:trPr>
          <w:jc w:val="center"/>
        </w:trPr>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szCs w:val="24"/>
              </w:rPr>
            </w:pPr>
            <w:r>
              <w:rPr>
                <w:rFonts w:hint="eastAsia" w:ascii="宋体" w:hAnsi="宋体" w:cs="宋体"/>
                <w:sz w:val="24"/>
                <w:szCs w:val="24"/>
                <w:lang w:bidi="ar"/>
              </w:rPr>
              <w:t>防御动作</w:t>
            </w: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针对触发安全规则的行为进行阻断并发出告警页面</w:t>
            </w:r>
          </w:p>
        </w:tc>
      </w:tr>
      <w:tr>
        <w:tblPrEx>
          <w:tblLayout w:type="fixed"/>
          <w:tblCellMar>
            <w:top w:w="0" w:type="dxa"/>
            <w:left w:w="108" w:type="dxa"/>
            <w:bottom w:w="0" w:type="dxa"/>
            <w:right w:w="108" w:type="dxa"/>
          </w:tblCellMar>
        </w:tblPrEx>
        <w:trPr>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告警页面支持重定向至其它URL</w:t>
            </w:r>
          </w:p>
        </w:tc>
      </w:tr>
      <w:tr>
        <w:tblPrEx>
          <w:tblLayout w:type="fixed"/>
          <w:tblCellMar>
            <w:top w:w="0" w:type="dxa"/>
            <w:left w:w="108" w:type="dxa"/>
            <w:bottom w:w="0" w:type="dxa"/>
            <w:right w:w="108" w:type="dxa"/>
          </w:tblCellMar>
        </w:tblPrEx>
        <w:trPr>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能将攻击者列入网络黑名单进行网络阻断该IP的访问</w:t>
            </w:r>
          </w:p>
        </w:tc>
      </w:tr>
      <w:tr>
        <w:tblPrEx>
          <w:tblLayout w:type="fixed"/>
          <w:tblCellMar>
            <w:top w:w="0" w:type="dxa"/>
            <w:left w:w="108" w:type="dxa"/>
            <w:bottom w:w="0" w:type="dxa"/>
            <w:right w:w="108" w:type="dxa"/>
          </w:tblCellMar>
        </w:tblPrEx>
        <w:trPr>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对攻击报文丢弃</w:t>
            </w:r>
          </w:p>
        </w:tc>
      </w:tr>
      <w:tr>
        <w:tblPrEx>
          <w:tblLayout w:type="fixed"/>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szCs w:val="24"/>
              </w:rPr>
            </w:pPr>
            <w:r>
              <w:rPr>
                <w:rFonts w:hint="eastAsia" w:ascii="宋体" w:hAnsi="宋体" w:cs="宋体"/>
                <w:sz w:val="24"/>
                <w:szCs w:val="24"/>
                <w:lang w:bidi="ar"/>
              </w:rPr>
              <w:t>WEB访问行为合规</w:t>
            </w: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可实现访问流程的校验，向网站提交表单前必须先访问指定的网页，并等待可配置的时间长度后才能正常提交表单，</w:t>
            </w:r>
          </w:p>
        </w:tc>
      </w:tr>
      <w:tr>
        <w:tblPrEx>
          <w:tblLayout w:type="fixed"/>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szCs w:val="24"/>
              </w:rPr>
            </w:pPr>
            <w:r>
              <w:rPr>
                <w:rFonts w:hint="eastAsia" w:ascii="宋体" w:hAnsi="宋体" w:cs="宋体"/>
                <w:sz w:val="24"/>
                <w:szCs w:val="24"/>
                <w:lang w:bidi="ar"/>
              </w:rPr>
              <w:t>CC防护功能</w:t>
            </w: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bCs/>
                <w:sz w:val="24"/>
                <w:szCs w:val="24"/>
              </w:rPr>
            </w:pPr>
            <w:r>
              <w:rPr>
                <w:rFonts w:hint="eastAsia" w:ascii="宋体" w:hAnsi="宋体" w:cs="宋体"/>
                <w:bCs/>
                <w:sz w:val="24"/>
                <w:szCs w:val="24"/>
                <w:lang w:bidi="ar"/>
              </w:rPr>
              <w:t>可根据URL、请求头字段、目标IP、请求方法等多种组合条件对CC攻击进行检测，检测指标为URL访问速率和URL访问集中度；可根据IP、IP+URL和IP+User_Agent等算法对客户端进行检测，并支持应用层字段解析和自定义检测字段功能，支持挑战模式，支持基于地址位置的识别，支持对特定的IP地址进行CC规则白名单放行，支持CC慢攻击防护，通过学习业务流量模型，在业务流量异常时开启CC防护，并支持启动配置阈值，</w:t>
            </w:r>
          </w:p>
        </w:tc>
      </w:tr>
      <w:tr>
        <w:tblPrEx>
          <w:tblLayout w:type="fixed"/>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szCs w:val="24"/>
              </w:rPr>
            </w:pPr>
            <w:r>
              <w:rPr>
                <w:rFonts w:hint="eastAsia" w:ascii="宋体" w:hAnsi="宋体" w:cs="宋体"/>
                <w:sz w:val="24"/>
                <w:szCs w:val="24"/>
                <w:lang w:bidi="ar"/>
              </w:rPr>
              <w:t>篡改监控</w:t>
            </w: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系统提供防篡改功能，能够防止被篡改内容被浏览者访问到,一旦检测到被篡改，实时发送告警信息给管理员。</w:t>
            </w:r>
          </w:p>
        </w:tc>
      </w:tr>
      <w:tr>
        <w:tblPrEx>
          <w:tblLayout w:type="fixed"/>
          <w:tblCellMar>
            <w:top w:w="0" w:type="dxa"/>
            <w:left w:w="108" w:type="dxa"/>
            <w:bottom w:w="0" w:type="dxa"/>
            <w:right w:w="108" w:type="dxa"/>
          </w:tblCellMar>
        </w:tblPrEx>
        <w:trPr>
          <w:jc w:val="center"/>
        </w:trPr>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szCs w:val="24"/>
              </w:rPr>
            </w:pPr>
            <w:r>
              <w:rPr>
                <w:rFonts w:hint="eastAsia" w:ascii="宋体" w:hAnsi="宋体" w:cs="宋体"/>
                <w:sz w:val="24"/>
                <w:szCs w:val="24"/>
                <w:lang w:bidi="ar"/>
              </w:rPr>
              <w:t>安全审计</w:t>
            </w: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能详细记录攻击事件的HTTP请求头信息，含请求的URL、UserAgent、POST内容，cookie等所有的请求头内容</w:t>
            </w:r>
          </w:p>
        </w:tc>
      </w:tr>
      <w:tr>
        <w:tblPrEx>
          <w:tblLayout w:type="fixed"/>
          <w:tblCellMar>
            <w:top w:w="0" w:type="dxa"/>
            <w:left w:w="108" w:type="dxa"/>
            <w:bottom w:w="0" w:type="dxa"/>
            <w:right w:w="108" w:type="dxa"/>
          </w:tblCellMar>
        </w:tblPrEx>
        <w:trPr>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能详细记录服务器响应头信息，服务器响应内容</w:t>
            </w:r>
          </w:p>
        </w:tc>
      </w:tr>
      <w:tr>
        <w:tblPrEx>
          <w:tblLayout w:type="fixed"/>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szCs w:val="24"/>
              </w:rPr>
            </w:pPr>
            <w:r>
              <w:rPr>
                <w:rFonts w:hint="eastAsia" w:ascii="宋体" w:hAnsi="宋体" w:cs="宋体"/>
                <w:sz w:val="24"/>
                <w:szCs w:val="24"/>
                <w:lang w:bidi="ar"/>
              </w:rPr>
              <w:t>日志分析</w:t>
            </w: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根据产生的安全日志进行智能分析，提高人工分析效率，减小规则误判概率</w:t>
            </w:r>
          </w:p>
        </w:tc>
      </w:tr>
      <w:tr>
        <w:tblPrEx>
          <w:tblLayout w:type="fixed"/>
          <w:tblCellMar>
            <w:top w:w="0" w:type="dxa"/>
            <w:left w:w="108" w:type="dxa"/>
            <w:bottom w:w="0" w:type="dxa"/>
            <w:right w:w="108" w:type="dxa"/>
          </w:tblCellMar>
        </w:tblPrEx>
        <w:trPr>
          <w:jc w:val="center"/>
        </w:trPr>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szCs w:val="24"/>
              </w:rPr>
            </w:pPr>
            <w:r>
              <w:rPr>
                <w:rFonts w:hint="eastAsia" w:ascii="宋体" w:hAnsi="宋体" w:cs="宋体"/>
                <w:sz w:val="24"/>
                <w:szCs w:val="24"/>
                <w:lang w:bidi="ar"/>
              </w:rPr>
              <w:t>报表</w:t>
            </w: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根据PCI-DSS要求，对用户的应用进行合规性评估，生成合规报表</w:t>
            </w:r>
          </w:p>
        </w:tc>
      </w:tr>
      <w:tr>
        <w:tblPrEx>
          <w:tblLayout w:type="fixed"/>
          <w:tblCellMar>
            <w:top w:w="0" w:type="dxa"/>
            <w:left w:w="108" w:type="dxa"/>
            <w:bottom w:w="0" w:type="dxa"/>
            <w:right w:w="108" w:type="dxa"/>
          </w:tblCellMar>
        </w:tblPrEx>
        <w:trPr>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支持自定义报表、定时报表、支持各类导出格式（WORD,PDF等）</w:t>
            </w:r>
          </w:p>
        </w:tc>
      </w:tr>
      <w:tr>
        <w:tblPrEx>
          <w:tblLayout w:type="fixed"/>
          <w:tblCellMar>
            <w:top w:w="0" w:type="dxa"/>
            <w:left w:w="108" w:type="dxa"/>
            <w:bottom w:w="0" w:type="dxa"/>
            <w:right w:w="108" w:type="dxa"/>
          </w:tblCellMar>
        </w:tblPrEx>
        <w:trPr>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报表可自动发至管理员邮箱</w:t>
            </w:r>
          </w:p>
        </w:tc>
      </w:tr>
      <w:tr>
        <w:tblPrEx>
          <w:tblLayout w:type="fixed"/>
          <w:tblCellMar>
            <w:top w:w="0" w:type="dxa"/>
            <w:left w:w="108" w:type="dxa"/>
            <w:bottom w:w="0" w:type="dxa"/>
            <w:right w:w="108" w:type="dxa"/>
          </w:tblCellMar>
        </w:tblPrEx>
        <w:trPr>
          <w:jc w:val="center"/>
        </w:trPr>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szCs w:val="24"/>
              </w:rPr>
            </w:pPr>
            <w:r>
              <w:rPr>
                <w:rFonts w:hint="eastAsia" w:ascii="宋体" w:hAnsi="宋体" w:cs="宋体"/>
                <w:sz w:val="24"/>
                <w:szCs w:val="24"/>
                <w:lang w:bidi="ar"/>
              </w:rPr>
              <w:t>告警方式</w:t>
            </w: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支持Syslog、手机短信、邮件等多种告警方式</w:t>
            </w:r>
          </w:p>
        </w:tc>
      </w:tr>
      <w:tr>
        <w:tblPrEx>
          <w:tblLayout w:type="fixed"/>
          <w:tblCellMar>
            <w:top w:w="0" w:type="dxa"/>
            <w:left w:w="108" w:type="dxa"/>
            <w:bottom w:w="0" w:type="dxa"/>
            <w:right w:w="108" w:type="dxa"/>
          </w:tblCellMar>
        </w:tblPrEx>
        <w:trPr>
          <w:jc w:val="center"/>
        </w:trPr>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szCs w:val="24"/>
              </w:rPr>
            </w:pPr>
            <w:r>
              <w:rPr>
                <w:rFonts w:hint="eastAsia" w:ascii="宋体" w:hAnsi="宋体" w:cs="宋体"/>
                <w:sz w:val="24"/>
                <w:szCs w:val="24"/>
                <w:lang w:bidi="ar"/>
              </w:rPr>
              <w:t>访问审计</w:t>
            </w: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具备审计网站正常访问流量的能力，提供按小时，日期、月份生成报表</w:t>
            </w:r>
          </w:p>
        </w:tc>
      </w:tr>
      <w:tr>
        <w:tblPrEx>
          <w:tblLayout w:type="fixed"/>
          <w:tblCellMar>
            <w:top w:w="0" w:type="dxa"/>
            <w:left w:w="108" w:type="dxa"/>
            <w:bottom w:w="0" w:type="dxa"/>
            <w:right w:w="108" w:type="dxa"/>
          </w:tblCellMar>
        </w:tblPrEx>
        <w:trPr>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能记录、查询所有用户对网站的访问情况</w:t>
            </w:r>
          </w:p>
        </w:tc>
      </w:tr>
      <w:tr>
        <w:tblPrEx>
          <w:tblLayout w:type="fixed"/>
          <w:tblCellMar>
            <w:top w:w="0" w:type="dxa"/>
            <w:left w:w="108" w:type="dxa"/>
            <w:bottom w:w="0" w:type="dxa"/>
            <w:right w:w="108" w:type="dxa"/>
          </w:tblCellMar>
        </w:tblPrEx>
        <w:trPr>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能分析出访问量最大的URL，IP地址</w:t>
            </w:r>
          </w:p>
        </w:tc>
      </w:tr>
      <w:tr>
        <w:tblPrEx>
          <w:tblLayout w:type="fixed"/>
          <w:tblCellMar>
            <w:top w:w="0" w:type="dxa"/>
            <w:left w:w="108" w:type="dxa"/>
            <w:bottom w:w="0" w:type="dxa"/>
            <w:right w:w="108" w:type="dxa"/>
          </w:tblCellMar>
        </w:tblPrEx>
        <w:trPr>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能分析出访问流量最大的文件类型</w:t>
            </w:r>
          </w:p>
        </w:tc>
      </w:tr>
      <w:tr>
        <w:tblPrEx>
          <w:tblLayout w:type="fixed"/>
          <w:tblCellMar>
            <w:top w:w="0" w:type="dxa"/>
            <w:left w:w="108" w:type="dxa"/>
            <w:bottom w:w="0" w:type="dxa"/>
            <w:right w:w="108" w:type="dxa"/>
          </w:tblCellMar>
        </w:tblPrEx>
        <w:trPr>
          <w:jc w:val="center"/>
        </w:trPr>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szCs w:val="24"/>
              </w:rPr>
            </w:pPr>
            <w:r>
              <w:rPr>
                <w:rFonts w:hint="eastAsia" w:ascii="宋体" w:hAnsi="宋体" w:cs="宋体"/>
                <w:sz w:val="24"/>
                <w:szCs w:val="24"/>
                <w:lang w:bidi="ar"/>
              </w:rPr>
              <w:t>SSL透明代理</w:t>
            </w: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支持HTTPS服务器的防护，可支持第三方认证机构颁发的证书链，WEB应用防火墙前端与后端均为HTTPS加密链路，实现HTTPS应用系统的防御</w:t>
            </w:r>
          </w:p>
        </w:tc>
      </w:tr>
      <w:tr>
        <w:tblPrEx>
          <w:tblLayout w:type="fixed"/>
          <w:tblCellMar>
            <w:top w:w="0" w:type="dxa"/>
            <w:left w:w="108" w:type="dxa"/>
            <w:bottom w:w="0" w:type="dxa"/>
            <w:right w:w="108" w:type="dxa"/>
          </w:tblCellMar>
        </w:tblPrEx>
        <w:trPr>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支持对HTTPS站点上传的公钥、私钥、证书链的内容格式进行检查，同时自动检测公钥和私钥是否配对、公钥和证书链是否配对，避免无效证书引起的业务不通的问题</w:t>
            </w:r>
          </w:p>
        </w:tc>
      </w:tr>
      <w:tr>
        <w:tblPrEx>
          <w:tblLayout w:type="fixed"/>
          <w:tblCellMar>
            <w:top w:w="0" w:type="dxa"/>
            <w:left w:w="108" w:type="dxa"/>
            <w:bottom w:w="0" w:type="dxa"/>
            <w:right w:w="108" w:type="dxa"/>
          </w:tblCellMar>
        </w:tblPrEx>
        <w:trPr>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一个保护站点支持上传多个域名证书</w:t>
            </w:r>
          </w:p>
        </w:tc>
      </w:tr>
      <w:tr>
        <w:tblPrEx>
          <w:tblLayout w:type="fixed"/>
          <w:tblCellMar>
            <w:top w:w="0" w:type="dxa"/>
            <w:left w:w="108" w:type="dxa"/>
            <w:bottom w:w="0" w:type="dxa"/>
            <w:right w:w="108" w:type="dxa"/>
          </w:tblCellMar>
        </w:tblPrEx>
        <w:trPr>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可以选择需要支持的SSL/TLS协议版本</w:t>
            </w:r>
          </w:p>
        </w:tc>
      </w:tr>
      <w:tr>
        <w:tblPrEx>
          <w:tblLayout w:type="fixed"/>
          <w:tblCellMar>
            <w:top w:w="0" w:type="dxa"/>
            <w:left w:w="108" w:type="dxa"/>
            <w:bottom w:w="0" w:type="dxa"/>
            <w:right w:w="108" w:type="dxa"/>
          </w:tblCellMar>
        </w:tblPrEx>
        <w:trPr>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部署在SSL网关后面，能够解析到真实的访问者IP，并能对真实的IP进行防护和阻断</w:t>
            </w:r>
          </w:p>
        </w:tc>
      </w:tr>
      <w:tr>
        <w:tblPrEx>
          <w:tblLayout w:type="fixed"/>
          <w:tblCellMar>
            <w:top w:w="0" w:type="dxa"/>
            <w:left w:w="108" w:type="dxa"/>
            <w:bottom w:w="0" w:type="dxa"/>
            <w:right w:w="108" w:type="dxa"/>
          </w:tblCellMar>
        </w:tblPrEx>
        <w:trPr>
          <w:jc w:val="center"/>
        </w:trPr>
        <w:tc>
          <w:tcPr>
            <w:tcW w:w="127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宋体"/>
                <w:sz w:val="24"/>
                <w:szCs w:val="24"/>
              </w:rPr>
            </w:pPr>
            <w:r>
              <w:rPr>
                <w:rFonts w:hint="eastAsia" w:ascii="宋体" w:hAnsi="宋体" w:cs="宋体"/>
                <w:sz w:val="24"/>
                <w:szCs w:val="24"/>
                <w:lang w:bidi="ar"/>
              </w:rPr>
              <w:t>设备管理</w:t>
            </w: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配置变更时不影响在线业务</w:t>
            </w:r>
          </w:p>
        </w:tc>
      </w:tr>
      <w:tr>
        <w:tblPrEx>
          <w:tblLayout w:type="fixed"/>
          <w:tblCellMar>
            <w:top w:w="0" w:type="dxa"/>
            <w:left w:w="108" w:type="dxa"/>
            <w:bottom w:w="0" w:type="dxa"/>
            <w:right w:w="108" w:type="dxa"/>
          </w:tblCellMar>
        </w:tblPrEx>
        <w:trPr>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规则库支持手工、在线升级两种方式，在线升级可支持规则定时检查新版本和在线更新，确保WAF能够针对新型的、突发型的Web攻击进行防护</w:t>
            </w:r>
          </w:p>
        </w:tc>
      </w:tr>
      <w:tr>
        <w:tblPrEx>
          <w:tblLayout w:type="fixed"/>
          <w:tblCellMar>
            <w:top w:w="0" w:type="dxa"/>
            <w:left w:w="108" w:type="dxa"/>
            <w:bottom w:w="0" w:type="dxa"/>
            <w:right w:w="108" w:type="dxa"/>
          </w:tblCellMar>
        </w:tblPrEx>
        <w:trPr>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支持HTTPS方式进行设备管理</w:t>
            </w:r>
          </w:p>
        </w:tc>
      </w:tr>
      <w:tr>
        <w:tblPrEx>
          <w:tblLayout w:type="fixed"/>
          <w:tblCellMar>
            <w:top w:w="0" w:type="dxa"/>
            <w:left w:w="108" w:type="dxa"/>
            <w:bottom w:w="0" w:type="dxa"/>
            <w:right w:w="108" w:type="dxa"/>
          </w:tblCellMar>
        </w:tblPrEx>
        <w:trPr>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设备管理采用管理员与审计员分离</w:t>
            </w:r>
          </w:p>
        </w:tc>
      </w:tr>
      <w:tr>
        <w:tblPrEx>
          <w:tblLayout w:type="fixed"/>
          <w:tblCellMar>
            <w:top w:w="0" w:type="dxa"/>
            <w:left w:w="108" w:type="dxa"/>
            <w:bottom w:w="0" w:type="dxa"/>
            <w:right w:w="108" w:type="dxa"/>
          </w:tblCellMar>
        </w:tblPrEx>
        <w:trPr>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操作界面支持全中文界面</w:t>
            </w:r>
          </w:p>
        </w:tc>
      </w:tr>
      <w:tr>
        <w:tblPrEx>
          <w:tblLayout w:type="fixed"/>
          <w:tblCellMar>
            <w:top w:w="0" w:type="dxa"/>
            <w:left w:w="108" w:type="dxa"/>
            <w:bottom w:w="0" w:type="dxa"/>
            <w:right w:w="108" w:type="dxa"/>
          </w:tblCellMar>
        </w:tblPrEx>
        <w:trPr>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支持LDAP认证</w:t>
            </w:r>
          </w:p>
        </w:tc>
      </w:tr>
      <w:tr>
        <w:tblPrEx>
          <w:tblLayout w:type="fixed"/>
          <w:tblCellMar>
            <w:top w:w="0" w:type="dxa"/>
            <w:left w:w="108" w:type="dxa"/>
            <w:bottom w:w="0" w:type="dxa"/>
            <w:right w:w="108" w:type="dxa"/>
          </w:tblCellMar>
        </w:tblPrEx>
        <w:trPr>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支持标准网管 SNMPv3，并且兼容SNMP v1和v2c</w:t>
            </w:r>
          </w:p>
        </w:tc>
      </w:tr>
      <w:tr>
        <w:tblPrEx>
          <w:tblLayout w:type="fixed"/>
          <w:tblCellMar>
            <w:top w:w="0" w:type="dxa"/>
            <w:left w:w="108" w:type="dxa"/>
            <w:bottom w:w="0" w:type="dxa"/>
            <w:right w:w="108" w:type="dxa"/>
          </w:tblCellMar>
        </w:tblPrEx>
        <w:trPr>
          <w:jc w:val="center"/>
        </w:trPr>
        <w:tc>
          <w:tcPr>
            <w:tcW w:w="1276" w:type="dxa"/>
            <w:vMerge w:val="continue"/>
            <w:tcBorders>
              <w:top w:val="single" w:color="auto" w:sz="4" w:space="0"/>
              <w:left w:val="single" w:color="auto" w:sz="4" w:space="0"/>
              <w:bottom w:val="single" w:color="auto" w:sz="4" w:space="0"/>
              <w:right w:val="single" w:color="auto" w:sz="4" w:space="0"/>
            </w:tcBorders>
            <w:noWrap w:val="0"/>
            <w:vAlign w:val="center"/>
          </w:tcPr>
          <w:p>
            <w:pPr>
              <w:rPr>
                <w:sz w:val="24"/>
                <w:szCs w:val="24"/>
              </w:rPr>
            </w:pPr>
          </w:p>
        </w:tc>
        <w:tc>
          <w:tcPr>
            <w:tcW w:w="7229" w:type="dxa"/>
            <w:tcBorders>
              <w:top w:val="single" w:color="auto" w:sz="4" w:space="0"/>
              <w:left w:val="nil"/>
              <w:bottom w:val="single" w:color="auto" w:sz="4" w:space="0"/>
              <w:right w:val="single" w:color="auto" w:sz="4" w:space="0"/>
            </w:tcBorders>
            <w:noWrap w:val="0"/>
            <w:vAlign w:val="center"/>
          </w:tcPr>
          <w:p>
            <w:pPr>
              <w:widowControl/>
              <w:spacing w:line="360" w:lineRule="auto"/>
              <w:jc w:val="left"/>
              <w:rPr>
                <w:rFonts w:hint="eastAsia" w:ascii="宋体" w:hAnsi="宋体" w:cs="宋体"/>
                <w:sz w:val="24"/>
                <w:szCs w:val="24"/>
              </w:rPr>
            </w:pPr>
            <w:r>
              <w:rPr>
                <w:rFonts w:hint="eastAsia" w:ascii="宋体" w:hAnsi="宋体" w:cs="宋体"/>
                <w:sz w:val="24"/>
                <w:szCs w:val="24"/>
                <w:lang w:bidi="ar"/>
              </w:rPr>
              <w:t>支持NTP时间同步</w:t>
            </w:r>
          </w:p>
        </w:tc>
      </w:tr>
    </w:tbl>
    <w:p>
      <w:pPr>
        <w:pStyle w:val="31"/>
        <w:tabs>
          <w:tab w:val="left" w:pos="44"/>
        </w:tabs>
        <w:ind w:firstLine="0" w:firstLineChars="0"/>
        <w:rPr>
          <w:rFonts w:hint="eastAsia" w:ascii="宋体" w:hAnsi="宋体"/>
          <w:b/>
          <w:color w:val="000000"/>
          <w:sz w:val="24"/>
          <w:szCs w:val="24"/>
        </w:rPr>
      </w:pPr>
      <w:r>
        <w:rPr>
          <w:rFonts w:ascii="宋体" w:hAnsi="宋体"/>
          <w:b/>
          <w:color w:val="000000"/>
          <w:sz w:val="24"/>
          <w:szCs w:val="24"/>
        </w:rPr>
        <w:tab/>
      </w:r>
    </w:p>
    <w:p>
      <w:pPr>
        <w:pStyle w:val="31"/>
        <w:tabs>
          <w:tab w:val="left" w:pos="44"/>
        </w:tabs>
        <w:ind w:firstLine="0" w:firstLineChars="0"/>
        <w:rPr>
          <w:rFonts w:hint="eastAsia" w:ascii="宋体" w:hAnsi="宋体"/>
          <w:b/>
          <w:color w:val="000000"/>
          <w:sz w:val="24"/>
          <w:szCs w:val="24"/>
          <w:lang w:eastAsia="zh-CN"/>
        </w:rPr>
      </w:pPr>
    </w:p>
    <w:p>
      <w:pPr>
        <w:pStyle w:val="31"/>
        <w:tabs>
          <w:tab w:val="left" w:pos="44"/>
        </w:tabs>
        <w:ind w:firstLine="0" w:firstLineChars="0"/>
        <w:rPr>
          <w:rFonts w:hint="eastAsia" w:ascii="宋体" w:hAnsi="宋体"/>
          <w:b/>
          <w:color w:val="000000"/>
          <w:sz w:val="24"/>
          <w:szCs w:val="24"/>
          <w:lang w:eastAsia="zh-CN"/>
        </w:rPr>
      </w:pPr>
    </w:p>
    <w:p>
      <w:pPr>
        <w:pStyle w:val="31"/>
        <w:tabs>
          <w:tab w:val="left" w:pos="44"/>
        </w:tabs>
        <w:ind w:firstLine="0" w:firstLineChars="0"/>
        <w:rPr>
          <w:rFonts w:hint="eastAsia" w:ascii="宋体" w:hAnsi="宋体"/>
          <w:b/>
          <w:color w:val="000000"/>
          <w:sz w:val="24"/>
          <w:szCs w:val="24"/>
        </w:rPr>
      </w:pPr>
      <w:r>
        <w:rPr>
          <w:rFonts w:hint="eastAsia" w:ascii="宋体" w:hAnsi="宋体"/>
          <w:b/>
          <w:color w:val="000000"/>
          <w:sz w:val="24"/>
          <w:szCs w:val="24"/>
        </w:rPr>
        <w:t>15.超融合虚拟化平台（3台）</w:t>
      </w:r>
    </w:p>
    <w:tbl>
      <w:tblPr>
        <w:tblStyle w:val="23"/>
        <w:tblW w:w="8354" w:type="dxa"/>
        <w:jc w:val="center"/>
        <w:tblInd w:w="0" w:type="dxa"/>
        <w:tblLayout w:type="fixed"/>
        <w:tblCellMar>
          <w:top w:w="0" w:type="dxa"/>
          <w:left w:w="108" w:type="dxa"/>
          <w:bottom w:w="0" w:type="dxa"/>
          <w:right w:w="108" w:type="dxa"/>
        </w:tblCellMar>
      </w:tblPr>
      <w:tblGrid>
        <w:gridCol w:w="1261"/>
        <w:gridCol w:w="7093"/>
      </w:tblGrid>
      <w:tr>
        <w:tblPrEx>
          <w:tblLayout w:type="fixed"/>
          <w:tblCellMar>
            <w:top w:w="0" w:type="dxa"/>
            <w:left w:w="108" w:type="dxa"/>
            <w:bottom w:w="0" w:type="dxa"/>
            <w:right w:w="108" w:type="dxa"/>
          </w:tblCellMar>
        </w:tblPrEx>
        <w:trPr>
          <w:trHeight w:val="355" w:hRule="atLeast"/>
          <w:jc w:val="center"/>
        </w:trPr>
        <w:tc>
          <w:tcPr>
            <w:tcW w:w="1261" w:type="dxa"/>
            <w:tcBorders>
              <w:top w:val="single" w:color="auto" w:sz="8" w:space="0"/>
              <w:left w:val="single" w:color="auto" w:sz="8" w:space="0"/>
              <w:bottom w:val="single" w:color="auto" w:sz="4" w:space="0"/>
              <w:right w:val="single" w:color="auto" w:sz="8" w:space="0"/>
            </w:tcBorders>
            <w:noWrap w:val="0"/>
            <w:vAlign w:val="center"/>
          </w:tcPr>
          <w:p>
            <w:pPr>
              <w:rPr>
                <w:rFonts w:ascii="宋体" w:hAnsi="宋体"/>
                <w:b/>
                <w:bCs/>
                <w:sz w:val="24"/>
                <w:szCs w:val="24"/>
              </w:rPr>
            </w:pPr>
            <w:r>
              <w:rPr>
                <w:rFonts w:hint="eastAsia" w:ascii="宋体" w:hAnsi="宋体"/>
                <w:b/>
                <w:bCs/>
                <w:sz w:val="24"/>
                <w:szCs w:val="24"/>
              </w:rPr>
              <w:t>指标项</w:t>
            </w:r>
          </w:p>
        </w:tc>
        <w:tc>
          <w:tcPr>
            <w:tcW w:w="7093" w:type="dxa"/>
            <w:tcBorders>
              <w:top w:val="single" w:color="auto" w:sz="8" w:space="0"/>
              <w:left w:val="nil"/>
              <w:bottom w:val="single" w:color="auto" w:sz="8" w:space="0"/>
              <w:right w:val="single" w:color="auto" w:sz="8" w:space="0"/>
            </w:tcBorders>
            <w:noWrap w:val="0"/>
            <w:vAlign w:val="center"/>
          </w:tcPr>
          <w:p>
            <w:pPr>
              <w:jc w:val="center"/>
              <w:rPr>
                <w:rFonts w:ascii="宋体" w:hAnsi="宋体"/>
                <w:b/>
                <w:bCs/>
                <w:sz w:val="24"/>
                <w:szCs w:val="24"/>
              </w:rPr>
            </w:pPr>
            <w:r>
              <w:rPr>
                <w:rFonts w:hint="eastAsia" w:ascii="宋体" w:hAnsi="宋体"/>
                <w:b/>
                <w:bCs/>
                <w:sz w:val="24"/>
                <w:szCs w:val="24"/>
              </w:rPr>
              <w:t>指标要求</w:t>
            </w:r>
          </w:p>
        </w:tc>
      </w:tr>
      <w:tr>
        <w:tblPrEx>
          <w:tblLayout w:type="fixed"/>
          <w:tblCellMar>
            <w:top w:w="0" w:type="dxa"/>
            <w:left w:w="108" w:type="dxa"/>
            <w:bottom w:w="0" w:type="dxa"/>
            <w:right w:w="108" w:type="dxa"/>
          </w:tblCellMar>
        </w:tblPrEx>
        <w:trPr>
          <w:trHeight w:val="454"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r>
              <w:rPr>
                <w:rFonts w:ascii="宋体" w:hAnsi="宋体" w:cs="宋体"/>
                <w:sz w:val="24"/>
                <w:szCs w:val="24"/>
              </w:rPr>
              <w:t>数量</w:t>
            </w:r>
            <w:r>
              <w:rPr>
                <w:rFonts w:hint="eastAsia" w:ascii="宋体" w:hAnsi="宋体" w:cs="宋体"/>
                <w:sz w:val="24"/>
                <w:szCs w:val="24"/>
              </w:rPr>
              <w:t>要求</w:t>
            </w:r>
          </w:p>
        </w:tc>
        <w:tc>
          <w:tcPr>
            <w:tcW w:w="7093" w:type="dxa"/>
            <w:tcBorders>
              <w:top w:val="nil"/>
              <w:left w:val="single" w:color="auto" w:sz="4" w:space="0"/>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▲本项目要求≥3台超融合虚拟化服务器</w:t>
            </w:r>
          </w:p>
        </w:tc>
      </w:tr>
      <w:tr>
        <w:tblPrEx>
          <w:tblLayout w:type="fixed"/>
          <w:tblCellMar>
            <w:top w:w="0" w:type="dxa"/>
            <w:left w:w="108" w:type="dxa"/>
            <w:bottom w:w="0" w:type="dxa"/>
            <w:right w:w="108" w:type="dxa"/>
          </w:tblCellMar>
        </w:tblPrEx>
        <w:trPr>
          <w:trHeight w:val="300"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单台配置</w:t>
            </w:r>
          </w:p>
          <w:p>
            <w:pPr>
              <w:pStyle w:val="2"/>
              <w:rPr>
                <w:rFonts w:hint="eastAsia"/>
                <w:sz w:val="24"/>
                <w:szCs w:val="24"/>
              </w:rPr>
            </w:pPr>
          </w:p>
        </w:tc>
        <w:tc>
          <w:tcPr>
            <w:tcW w:w="7093" w:type="dxa"/>
            <w:tcBorders>
              <w:top w:val="nil"/>
              <w:left w:val="single" w:color="auto" w:sz="4" w:space="0"/>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CPU：INTEL Gold 5220性能以上*2、内存≥512G、千兆网口≥4个、万兆光口≥2个，配置4个万兆光模块，冗余双电源；</w:t>
            </w:r>
          </w:p>
          <w:p>
            <w:pPr>
              <w:rPr>
                <w:rFonts w:hint="eastAsia" w:ascii="宋体" w:hAnsi="宋体" w:cs="宋体"/>
                <w:sz w:val="24"/>
                <w:szCs w:val="24"/>
              </w:rPr>
            </w:pPr>
            <w:r>
              <w:rPr>
                <w:rFonts w:hint="eastAsia" w:ascii="宋体" w:hAnsi="宋体" w:cs="宋体"/>
                <w:sz w:val="24"/>
                <w:szCs w:val="24"/>
              </w:rPr>
              <w:t>本项目要求至少配备1块≥128G SSD硬盘、2块≥</w:t>
            </w:r>
            <w:r>
              <w:rPr>
                <w:rFonts w:hint="eastAsia" w:ascii="宋体" w:hAnsi="宋体" w:cs="宋体"/>
                <w:color w:val="FF0000"/>
                <w:sz w:val="24"/>
                <w:szCs w:val="24"/>
                <w:lang w:val="en-US" w:eastAsia="zh-CN"/>
              </w:rPr>
              <w:t>80</w:t>
            </w:r>
            <w:r>
              <w:rPr>
                <w:rFonts w:hint="eastAsia" w:ascii="宋体" w:hAnsi="宋体" w:cs="宋体"/>
                <w:color w:val="FF0000"/>
                <w:sz w:val="24"/>
                <w:szCs w:val="24"/>
              </w:rPr>
              <w:t xml:space="preserve">0G </w:t>
            </w:r>
            <w:r>
              <w:rPr>
                <w:rFonts w:hint="eastAsia" w:ascii="宋体" w:hAnsi="宋体" w:cs="宋体"/>
                <w:sz w:val="24"/>
                <w:szCs w:val="24"/>
              </w:rPr>
              <w:t>SSD硬盘和</w:t>
            </w:r>
            <w:r>
              <w:rPr>
                <w:rFonts w:hint="eastAsia"/>
                <w:color w:val="FF0000"/>
              </w:rPr>
              <w:t>≥80T的SATA硬盘裸容量</w:t>
            </w:r>
            <w:r>
              <w:rPr>
                <w:rFonts w:hint="eastAsia" w:ascii="宋体" w:hAnsi="宋体" w:cs="宋体"/>
                <w:sz w:val="24"/>
                <w:szCs w:val="24"/>
              </w:rPr>
              <w:t>，支持raid。</w:t>
            </w:r>
          </w:p>
        </w:tc>
      </w:tr>
      <w:tr>
        <w:tblPrEx>
          <w:tblLayout w:type="fixed"/>
          <w:tblCellMar>
            <w:top w:w="0" w:type="dxa"/>
            <w:left w:w="108" w:type="dxa"/>
            <w:bottom w:w="0" w:type="dxa"/>
            <w:right w:w="108" w:type="dxa"/>
          </w:tblCellMar>
        </w:tblPrEx>
        <w:trPr>
          <w:trHeight w:val="300" w:hRule="atLeast"/>
          <w:jc w:val="center"/>
        </w:trPr>
        <w:tc>
          <w:tcPr>
            <w:tcW w:w="1261"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云管理平台技术要求</w:t>
            </w:r>
          </w:p>
        </w:tc>
        <w:tc>
          <w:tcPr>
            <w:tcW w:w="7093" w:type="dxa"/>
            <w:tcBorders>
              <w:top w:val="nil"/>
              <w:left w:val="single" w:color="auto" w:sz="4" w:space="0"/>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▲本次项目提</w:t>
            </w:r>
            <w:r>
              <w:rPr>
                <w:rFonts w:hint="eastAsia" w:ascii="宋体" w:hAnsi="宋体" w:cs="宋体"/>
                <w:sz w:val="24"/>
                <w:szCs w:val="24"/>
                <w:highlight w:val="none"/>
              </w:rPr>
              <w:t>供1套虚拟化</w:t>
            </w:r>
            <w:r>
              <w:rPr>
                <w:rFonts w:hint="eastAsia" w:ascii="宋体" w:hAnsi="宋体" w:cs="宋体"/>
                <w:sz w:val="24"/>
                <w:szCs w:val="24"/>
              </w:rPr>
              <w:t>云平台管理授权</w:t>
            </w:r>
          </w:p>
        </w:tc>
      </w:tr>
      <w:tr>
        <w:tblPrEx>
          <w:tblLayout w:type="fixed"/>
          <w:tblCellMar>
            <w:top w:w="0" w:type="dxa"/>
            <w:left w:w="108" w:type="dxa"/>
            <w:bottom w:w="0" w:type="dxa"/>
            <w:right w:w="108" w:type="dxa"/>
          </w:tblCellMar>
        </w:tblPrEx>
        <w:trPr>
          <w:trHeight w:val="300" w:hRule="atLeast"/>
          <w:jc w:val="center"/>
        </w:trPr>
        <w:tc>
          <w:tcPr>
            <w:tcW w:w="1261" w:type="dxa"/>
            <w:vMerge w:val="continue"/>
            <w:tcBorders>
              <w:left w:val="single" w:color="auto" w:sz="4" w:space="0"/>
              <w:right w:val="single" w:color="auto" w:sz="4" w:space="0"/>
            </w:tcBorders>
            <w:noWrap w:val="0"/>
            <w:vAlign w:val="center"/>
          </w:tcPr>
          <w:p>
            <w:pPr>
              <w:rPr>
                <w:rFonts w:hint="eastAsia" w:ascii="宋体" w:hAnsi="宋体" w:cs="宋体"/>
                <w:sz w:val="24"/>
                <w:szCs w:val="24"/>
              </w:rPr>
            </w:pPr>
          </w:p>
        </w:tc>
        <w:tc>
          <w:tcPr>
            <w:tcW w:w="7093" w:type="dxa"/>
            <w:tcBorders>
              <w:top w:val="nil"/>
              <w:left w:val="single" w:color="auto" w:sz="4" w:space="0"/>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支持多集群管理，支持不低于2000台云主机的管理规模</w:t>
            </w:r>
          </w:p>
        </w:tc>
      </w:tr>
      <w:tr>
        <w:tblPrEx>
          <w:tblLayout w:type="fixed"/>
          <w:tblCellMar>
            <w:top w:w="0" w:type="dxa"/>
            <w:left w:w="108" w:type="dxa"/>
            <w:bottom w:w="0" w:type="dxa"/>
            <w:right w:w="108" w:type="dxa"/>
          </w:tblCellMar>
        </w:tblPrEx>
        <w:trPr>
          <w:trHeight w:val="300" w:hRule="atLeast"/>
          <w:jc w:val="center"/>
        </w:trPr>
        <w:tc>
          <w:tcPr>
            <w:tcW w:w="1261" w:type="dxa"/>
            <w:vMerge w:val="continue"/>
            <w:tcBorders>
              <w:left w:val="single" w:color="auto" w:sz="4" w:space="0"/>
              <w:right w:val="single" w:color="auto" w:sz="4" w:space="0"/>
            </w:tcBorders>
            <w:noWrap w:val="0"/>
            <w:vAlign w:val="center"/>
          </w:tcPr>
          <w:p>
            <w:pPr>
              <w:rPr>
                <w:rFonts w:hint="eastAsia" w:ascii="宋体" w:hAnsi="宋体" w:cs="宋体"/>
                <w:sz w:val="24"/>
                <w:szCs w:val="24"/>
              </w:rPr>
            </w:pPr>
          </w:p>
        </w:tc>
        <w:tc>
          <w:tcPr>
            <w:tcW w:w="7093" w:type="dxa"/>
            <w:tcBorders>
              <w:top w:val="nil"/>
              <w:left w:val="single" w:color="auto" w:sz="4" w:space="0"/>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提供用户自助服务界面，用户能够通过自助服务门户完成虚拟机的查看、申请、使用、修改、销毁等操作。</w:t>
            </w:r>
          </w:p>
        </w:tc>
      </w:tr>
      <w:tr>
        <w:tblPrEx>
          <w:tblLayout w:type="fixed"/>
          <w:tblCellMar>
            <w:top w:w="0" w:type="dxa"/>
            <w:left w:w="108" w:type="dxa"/>
            <w:bottom w:w="0" w:type="dxa"/>
            <w:right w:w="108" w:type="dxa"/>
          </w:tblCellMar>
        </w:tblPrEx>
        <w:trPr>
          <w:trHeight w:val="300" w:hRule="atLeast"/>
          <w:jc w:val="center"/>
        </w:trPr>
        <w:tc>
          <w:tcPr>
            <w:tcW w:w="1261" w:type="dxa"/>
            <w:vMerge w:val="continue"/>
            <w:tcBorders>
              <w:left w:val="single" w:color="auto" w:sz="4" w:space="0"/>
              <w:right w:val="single" w:color="auto" w:sz="4" w:space="0"/>
            </w:tcBorders>
            <w:noWrap w:val="0"/>
            <w:vAlign w:val="center"/>
          </w:tcPr>
          <w:p>
            <w:pPr>
              <w:rPr>
                <w:rFonts w:hint="eastAsia" w:ascii="宋体" w:hAnsi="宋体" w:cs="宋体"/>
                <w:sz w:val="24"/>
                <w:szCs w:val="24"/>
              </w:rPr>
            </w:pPr>
          </w:p>
        </w:tc>
        <w:tc>
          <w:tcPr>
            <w:tcW w:w="7093" w:type="dxa"/>
            <w:tcBorders>
              <w:top w:val="nil"/>
              <w:left w:val="single" w:color="auto" w:sz="4" w:space="0"/>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支持工单功能，用户通过工单可以向云管理员反馈云资源使用所遇到的问题；支持多租户划分，平台管理员能够为不同的租户分配CPU、内存、存储等资源配额；</w:t>
            </w:r>
          </w:p>
        </w:tc>
      </w:tr>
      <w:tr>
        <w:tblPrEx>
          <w:tblLayout w:type="fixed"/>
          <w:tblCellMar>
            <w:top w:w="0" w:type="dxa"/>
            <w:left w:w="108" w:type="dxa"/>
            <w:bottom w:w="0" w:type="dxa"/>
            <w:right w:w="108" w:type="dxa"/>
          </w:tblCellMar>
        </w:tblPrEx>
        <w:trPr>
          <w:trHeight w:val="300" w:hRule="atLeast"/>
          <w:jc w:val="center"/>
        </w:trPr>
        <w:tc>
          <w:tcPr>
            <w:tcW w:w="1261" w:type="dxa"/>
            <w:vMerge w:val="continue"/>
            <w:tcBorders>
              <w:left w:val="single" w:color="auto" w:sz="4" w:space="0"/>
              <w:right w:val="single" w:color="auto" w:sz="4" w:space="0"/>
            </w:tcBorders>
            <w:noWrap w:val="0"/>
            <w:vAlign w:val="center"/>
          </w:tcPr>
          <w:p>
            <w:pPr>
              <w:rPr>
                <w:rFonts w:hint="eastAsia" w:ascii="宋体" w:hAnsi="宋体" w:cs="宋体"/>
                <w:sz w:val="24"/>
                <w:szCs w:val="24"/>
              </w:rPr>
            </w:pPr>
          </w:p>
        </w:tc>
        <w:tc>
          <w:tcPr>
            <w:tcW w:w="7093" w:type="dxa"/>
            <w:tcBorders>
              <w:top w:val="nil"/>
              <w:left w:val="single" w:color="auto" w:sz="4" w:space="0"/>
              <w:bottom w:val="single" w:color="auto" w:sz="8" w:space="0"/>
              <w:right w:val="single" w:color="auto" w:sz="8" w:space="0"/>
            </w:tcBorders>
            <w:noWrap w:val="0"/>
            <w:vAlign w:val="center"/>
          </w:tcPr>
          <w:p>
            <w:pPr>
              <w:rPr>
                <w:rFonts w:ascii="宋体" w:hAnsi="宋体" w:cs="宋体"/>
                <w:sz w:val="24"/>
                <w:szCs w:val="24"/>
              </w:rPr>
            </w:pPr>
            <w:r>
              <w:rPr>
                <w:rFonts w:hint="eastAsia" w:ascii="宋体" w:hAnsi="宋体" w:cs="宋体"/>
                <w:sz w:val="24"/>
                <w:szCs w:val="24"/>
              </w:rPr>
              <w:t>提供统一的镜像管理功能，实现各个可用区上镜像的统一创建和管理，可实现一键快速生成云主机，要求可提供网络设备镜像，方便快速的部署虚拟化安全的组件；</w:t>
            </w:r>
            <w:r>
              <w:rPr>
                <w:rFonts w:ascii="宋体" w:hAnsi="宋体" w:cs="宋体"/>
                <w:sz w:val="24"/>
                <w:szCs w:val="24"/>
              </w:rPr>
              <w:t> </w:t>
            </w:r>
          </w:p>
        </w:tc>
      </w:tr>
      <w:tr>
        <w:tblPrEx>
          <w:tblLayout w:type="fixed"/>
          <w:tblCellMar>
            <w:top w:w="0" w:type="dxa"/>
            <w:left w:w="108" w:type="dxa"/>
            <w:bottom w:w="0" w:type="dxa"/>
            <w:right w:w="108" w:type="dxa"/>
          </w:tblCellMar>
        </w:tblPrEx>
        <w:trPr>
          <w:trHeight w:val="300" w:hRule="atLeast"/>
          <w:jc w:val="center"/>
        </w:trPr>
        <w:tc>
          <w:tcPr>
            <w:tcW w:w="1261" w:type="dxa"/>
            <w:vMerge w:val="continue"/>
            <w:tcBorders>
              <w:left w:val="single" w:color="auto" w:sz="4" w:space="0"/>
              <w:right w:val="single" w:color="auto" w:sz="4" w:space="0"/>
            </w:tcBorders>
            <w:noWrap w:val="0"/>
            <w:vAlign w:val="center"/>
          </w:tcPr>
          <w:p>
            <w:pPr>
              <w:rPr>
                <w:rFonts w:hint="eastAsia" w:ascii="宋体" w:hAnsi="宋体" w:cs="宋体"/>
                <w:sz w:val="24"/>
                <w:szCs w:val="24"/>
              </w:rPr>
            </w:pPr>
          </w:p>
        </w:tc>
        <w:tc>
          <w:tcPr>
            <w:tcW w:w="7093" w:type="dxa"/>
            <w:tcBorders>
              <w:top w:val="nil"/>
              <w:left w:val="single" w:color="auto" w:sz="4" w:space="0"/>
              <w:bottom w:val="single" w:color="auto" w:sz="8" w:space="0"/>
              <w:right w:val="single" w:color="auto" w:sz="8" w:space="0"/>
            </w:tcBorders>
            <w:noWrap w:val="0"/>
            <w:vAlign w:val="center"/>
          </w:tcPr>
          <w:p>
            <w:pPr>
              <w:rPr>
                <w:rFonts w:ascii="宋体" w:hAnsi="宋体" w:cs="宋体"/>
                <w:sz w:val="24"/>
                <w:szCs w:val="24"/>
              </w:rPr>
            </w:pPr>
            <w:r>
              <w:rPr>
                <w:rFonts w:hint="eastAsia" w:ascii="宋体" w:hAnsi="宋体" w:cs="宋体"/>
                <w:sz w:val="24"/>
                <w:szCs w:val="24"/>
              </w:rPr>
              <w:t>云资源的申请需要通过管理员审批方可使用，云操作系统支持多级审批流程，可以根据用户实际组织进行自定义；</w:t>
            </w:r>
          </w:p>
        </w:tc>
      </w:tr>
      <w:tr>
        <w:tblPrEx>
          <w:tblLayout w:type="fixed"/>
          <w:tblCellMar>
            <w:top w:w="0" w:type="dxa"/>
            <w:left w:w="108" w:type="dxa"/>
            <w:bottom w:w="0" w:type="dxa"/>
            <w:right w:w="108" w:type="dxa"/>
          </w:tblCellMar>
        </w:tblPrEx>
        <w:trPr>
          <w:trHeight w:val="300" w:hRule="atLeast"/>
          <w:jc w:val="center"/>
        </w:trPr>
        <w:tc>
          <w:tcPr>
            <w:tcW w:w="1261" w:type="dxa"/>
            <w:vMerge w:val="continue"/>
            <w:tcBorders>
              <w:left w:val="single" w:color="auto" w:sz="4" w:space="0"/>
              <w:right w:val="single" w:color="auto" w:sz="4" w:space="0"/>
            </w:tcBorders>
            <w:noWrap w:val="0"/>
            <w:vAlign w:val="center"/>
          </w:tcPr>
          <w:p>
            <w:pPr>
              <w:rPr>
                <w:rFonts w:hint="eastAsia" w:ascii="宋体" w:hAnsi="宋体" w:cs="宋体"/>
                <w:sz w:val="24"/>
                <w:szCs w:val="24"/>
              </w:rPr>
            </w:pPr>
          </w:p>
        </w:tc>
        <w:tc>
          <w:tcPr>
            <w:tcW w:w="7093" w:type="dxa"/>
            <w:tcBorders>
              <w:top w:val="nil"/>
              <w:left w:val="single" w:color="auto" w:sz="4" w:space="0"/>
              <w:bottom w:val="single" w:color="auto" w:sz="8" w:space="0"/>
              <w:right w:val="single" w:color="auto" w:sz="8" w:space="0"/>
            </w:tcBorders>
            <w:noWrap w:val="0"/>
            <w:vAlign w:val="center"/>
          </w:tcPr>
          <w:p>
            <w:pPr>
              <w:rPr>
                <w:rFonts w:ascii="宋体" w:hAnsi="宋体" w:cs="宋体"/>
                <w:sz w:val="24"/>
                <w:szCs w:val="24"/>
              </w:rPr>
            </w:pPr>
            <w:r>
              <w:rPr>
                <w:rFonts w:hint="eastAsia" w:ascii="宋体" w:hAnsi="宋体" w:cs="宋体"/>
                <w:sz w:val="24"/>
                <w:szCs w:val="24"/>
              </w:rPr>
              <w:t>云平台具备对资源池中CPU、网络、磁盘使用率等指标进行实时的数据统计功能，并提供报表功能；</w:t>
            </w:r>
          </w:p>
        </w:tc>
      </w:tr>
      <w:tr>
        <w:tblPrEx>
          <w:tblLayout w:type="fixed"/>
          <w:tblCellMar>
            <w:top w:w="0" w:type="dxa"/>
            <w:left w:w="108" w:type="dxa"/>
            <w:bottom w:w="0" w:type="dxa"/>
            <w:right w:w="108" w:type="dxa"/>
          </w:tblCellMar>
        </w:tblPrEx>
        <w:trPr>
          <w:trHeight w:val="300" w:hRule="atLeast"/>
          <w:jc w:val="center"/>
        </w:trPr>
        <w:tc>
          <w:tcPr>
            <w:tcW w:w="1261" w:type="dxa"/>
            <w:vMerge w:val="continue"/>
            <w:tcBorders>
              <w:left w:val="single" w:color="auto" w:sz="4" w:space="0"/>
              <w:right w:val="single" w:color="auto" w:sz="4" w:space="0"/>
            </w:tcBorders>
            <w:noWrap w:val="0"/>
            <w:vAlign w:val="center"/>
          </w:tcPr>
          <w:p>
            <w:pPr>
              <w:rPr>
                <w:rFonts w:hint="eastAsia" w:ascii="宋体" w:hAnsi="宋体" w:cs="宋体"/>
                <w:sz w:val="24"/>
                <w:szCs w:val="24"/>
              </w:rPr>
            </w:pPr>
          </w:p>
        </w:tc>
        <w:tc>
          <w:tcPr>
            <w:tcW w:w="7093" w:type="dxa"/>
            <w:tcBorders>
              <w:top w:val="nil"/>
              <w:left w:val="single" w:color="auto" w:sz="4" w:space="0"/>
              <w:bottom w:val="single" w:color="auto" w:sz="8" w:space="0"/>
              <w:right w:val="single" w:color="auto" w:sz="8" w:space="0"/>
            </w:tcBorders>
            <w:noWrap w:val="0"/>
            <w:vAlign w:val="center"/>
          </w:tcPr>
          <w:p>
            <w:pPr>
              <w:rPr>
                <w:rFonts w:ascii="宋体" w:hAnsi="宋体" w:cs="宋体"/>
                <w:sz w:val="24"/>
                <w:szCs w:val="24"/>
              </w:rPr>
            </w:pPr>
            <w:r>
              <w:rPr>
                <w:rFonts w:hint="eastAsia" w:ascii="宋体" w:hAnsi="宋体" w:cs="宋体"/>
                <w:sz w:val="24"/>
                <w:szCs w:val="24"/>
              </w:rPr>
              <w:t>支持业务整体可靠性指标的集中展示，包括业务可靠性、平台可靠性和硬件可靠性，方便管理员能直观地掌握整个数据中心的可靠性状态。</w:t>
            </w:r>
          </w:p>
        </w:tc>
      </w:tr>
      <w:tr>
        <w:tblPrEx>
          <w:tblLayout w:type="fixed"/>
          <w:tblCellMar>
            <w:top w:w="0" w:type="dxa"/>
            <w:left w:w="108" w:type="dxa"/>
            <w:bottom w:w="0" w:type="dxa"/>
            <w:right w:w="108" w:type="dxa"/>
          </w:tblCellMar>
        </w:tblPrEx>
        <w:trPr>
          <w:trHeight w:val="300" w:hRule="atLeast"/>
          <w:jc w:val="center"/>
        </w:trPr>
        <w:tc>
          <w:tcPr>
            <w:tcW w:w="1261"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p>
        </w:tc>
        <w:tc>
          <w:tcPr>
            <w:tcW w:w="7093" w:type="dxa"/>
            <w:tcBorders>
              <w:top w:val="nil"/>
              <w:left w:val="single" w:color="auto" w:sz="4" w:space="0"/>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提供符合Openstack的API，满足集成或者二次开发的需求。</w:t>
            </w:r>
          </w:p>
        </w:tc>
      </w:tr>
      <w:tr>
        <w:tblPrEx>
          <w:tblLayout w:type="fixed"/>
          <w:tblCellMar>
            <w:top w:w="0" w:type="dxa"/>
            <w:left w:w="108" w:type="dxa"/>
            <w:bottom w:w="0" w:type="dxa"/>
            <w:right w:w="108" w:type="dxa"/>
          </w:tblCellMar>
        </w:tblPrEx>
        <w:trPr>
          <w:trHeight w:val="465" w:hRule="atLeast"/>
          <w:jc w:val="center"/>
        </w:trPr>
        <w:tc>
          <w:tcPr>
            <w:tcW w:w="1261"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服务器虚拟化及管理</w:t>
            </w:r>
          </w:p>
        </w:tc>
        <w:tc>
          <w:tcPr>
            <w:tcW w:w="7093" w:type="dxa"/>
            <w:tcBorders>
              <w:top w:val="nil"/>
              <w:left w:val="single" w:color="auto" w:sz="4" w:space="0"/>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▲本次项目提供6个物理CPU服务器虚拟化管理授权</w:t>
            </w:r>
          </w:p>
        </w:tc>
      </w:tr>
      <w:tr>
        <w:tblPrEx>
          <w:tblLayout w:type="fixed"/>
          <w:tblCellMar>
            <w:top w:w="0" w:type="dxa"/>
            <w:left w:w="108" w:type="dxa"/>
            <w:bottom w:w="0" w:type="dxa"/>
            <w:right w:w="108" w:type="dxa"/>
          </w:tblCellMar>
        </w:tblPrEx>
        <w:trPr>
          <w:trHeight w:val="465" w:hRule="atLeast"/>
          <w:jc w:val="center"/>
        </w:trPr>
        <w:tc>
          <w:tcPr>
            <w:tcW w:w="1261" w:type="dxa"/>
            <w:vMerge w:val="continue"/>
            <w:tcBorders>
              <w:top w:val="single" w:color="auto" w:sz="4" w:space="0"/>
              <w:left w:val="single" w:color="auto" w:sz="4" w:space="0"/>
              <w:right w:val="single" w:color="auto" w:sz="4" w:space="0"/>
            </w:tcBorders>
            <w:noWrap w:val="0"/>
            <w:vAlign w:val="center"/>
          </w:tcPr>
          <w:p>
            <w:pPr>
              <w:rPr>
                <w:rFonts w:hint="eastAsia" w:ascii="宋体" w:hAnsi="宋体" w:cs="宋体"/>
                <w:sz w:val="24"/>
                <w:szCs w:val="24"/>
              </w:rPr>
            </w:pPr>
          </w:p>
        </w:tc>
        <w:tc>
          <w:tcPr>
            <w:tcW w:w="7093" w:type="dxa"/>
            <w:tcBorders>
              <w:top w:val="nil"/>
              <w:left w:val="single" w:color="auto" w:sz="4" w:space="0"/>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支持配置动态资源扩展功能，系统支持自动评估虚拟机的性能，当虚拟机性能不足时自动为虚拟机添加CPU和内存资源，确保业务持续高效运行</w:t>
            </w:r>
          </w:p>
        </w:tc>
      </w:tr>
      <w:tr>
        <w:tblPrEx>
          <w:tblLayout w:type="fixed"/>
          <w:tblCellMar>
            <w:top w:w="0" w:type="dxa"/>
            <w:left w:w="108" w:type="dxa"/>
            <w:bottom w:w="0" w:type="dxa"/>
            <w:right w:w="108" w:type="dxa"/>
          </w:tblCellMar>
        </w:tblPrEx>
        <w:trPr>
          <w:trHeight w:val="465" w:hRule="atLeast"/>
          <w:jc w:val="center"/>
        </w:trPr>
        <w:tc>
          <w:tcPr>
            <w:tcW w:w="1261" w:type="dxa"/>
            <w:vMerge w:val="continue"/>
            <w:tcBorders>
              <w:top w:val="single" w:color="auto" w:sz="4" w:space="0"/>
              <w:left w:val="single" w:color="auto" w:sz="4" w:space="0"/>
              <w:right w:val="single" w:color="auto" w:sz="4" w:space="0"/>
            </w:tcBorders>
            <w:noWrap w:val="0"/>
            <w:vAlign w:val="center"/>
          </w:tcPr>
          <w:p>
            <w:pPr>
              <w:rPr>
                <w:rFonts w:hint="eastAsia" w:ascii="宋体" w:hAnsi="宋体" w:cs="宋体"/>
                <w:sz w:val="24"/>
                <w:szCs w:val="24"/>
              </w:rPr>
            </w:pPr>
          </w:p>
        </w:tc>
        <w:tc>
          <w:tcPr>
            <w:tcW w:w="7093" w:type="dxa"/>
            <w:tcBorders>
              <w:top w:val="nil"/>
              <w:left w:val="single" w:color="auto" w:sz="4" w:space="0"/>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虚拟化内核基于开源软件KVM底层开发或兼容VMware、KVM等主流虚拟化软件，提供证明。</w:t>
            </w:r>
          </w:p>
        </w:tc>
      </w:tr>
      <w:tr>
        <w:tblPrEx>
          <w:tblLayout w:type="fixed"/>
          <w:tblCellMar>
            <w:top w:w="0" w:type="dxa"/>
            <w:left w:w="108" w:type="dxa"/>
            <w:bottom w:w="0" w:type="dxa"/>
            <w:right w:w="108" w:type="dxa"/>
          </w:tblCellMar>
        </w:tblPrEx>
        <w:trPr>
          <w:trHeight w:val="465" w:hRule="atLeast"/>
          <w:jc w:val="center"/>
        </w:trPr>
        <w:tc>
          <w:tcPr>
            <w:tcW w:w="1261" w:type="dxa"/>
            <w:vMerge w:val="continue"/>
            <w:tcBorders>
              <w:top w:val="single" w:color="auto" w:sz="4" w:space="0"/>
              <w:left w:val="single" w:color="auto" w:sz="4" w:space="0"/>
              <w:right w:val="single" w:color="auto" w:sz="4" w:space="0"/>
            </w:tcBorders>
            <w:noWrap w:val="0"/>
            <w:vAlign w:val="center"/>
          </w:tcPr>
          <w:p>
            <w:pPr>
              <w:rPr>
                <w:rFonts w:hint="eastAsia" w:ascii="宋体" w:hAnsi="宋体" w:cs="宋体"/>
                <w:sz w:val="24"/>
                <w:szCs w:val="24"/>
              </w:rPr>
            </w:pPr>
          </w:p>
        </w:tc>
        <w:tc>
          <w:tcPr>
            <w:tcW w:w="7093" w:type="dxa"/>
            <w:tcBorders>
              <w:top w:val="nil"/>
              <w:left w:val="single" w:color="auto" w:sz="4" w:space="0"/>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支持在本地管理平台实现对VMware vCenter中的虚拟机备份，并能够在超融合的平台实现VMware虚拟机的启动恢复；</w:t>
            </w:r>
          </w:p>
        </w:tc>
      </w:tr>
      <w:tr>
        <w:tblPrEx>
          <w:tblLayout w:type="fixed"/>
          <w:tblCellMar>
            <w:top w:w="0" w:type="dxa"/>
            <w:left w:w="108" w:type="dxa"/>
            <w:bottom w:w="0" w:type="dxa"/>
            <w:right w:w="108" w:type="dxa"/>
          </w:tblCellMar>
        </w:tblPrEx>
        <w:trPr>
          <w:trHeight w:val="465" w:hRule="atLeast"/>
          <w:jc w:val="center"/>
        </w:trPr>
        <w:tc>
          <w:tcPr>
            <w:tcW w:w="1261" w:type="dxa"/>
            <w:vMerge w:val="continue"/>
            <w:tcBorders>
              <w:left w:val="single" w:color="auto" w:sz="4" w:space="0"/>
              <w:right w:val="single" w:color="auto" w:sz="4" w:space="0"/>
            </w:tcBorders>
            <w:noWrap w:val="0"/>
            <w:vAlign w:val="center"/>
          </w:tcPr>
          <w:p>
            <w:pPr>
              <w:rPr>
                <w:rFonts w:hint="eastAsia" w:ascii="宋体" w:hAnsi="宋体" w:cs="宋体"/>
                <w:sz w:val="24"/>
                <w:szCs w:val="24"/>
              </w:rPr>
            </w:pPr>
          </w:p>
        </w:tc>
        <w:tc>
          <w:tcPr>
            <w:tcW w:w="7093" w:type="dxa"/>
            <w:tcBorders>
              <w:top w:val="nil"/>
              <w:left w:val="single" w:color="auto" w:sz="4" w:space="0"/>
              <w:bottom w:val="single" w:color="auto" w:sz="8" w:space="0"/>
              <w:right w:val="single" w:color="auto" w:sz="8" w:space="0"/>
            </w:tcBorders>
            <w:noWrap w:val="0"/>
            <w:vAlign w:val="center"/>
          </w:tcPr>
          <w:p>
            <w:pPr>
              <w:widowControl/>
              <w:jc w:val="left"/>
              <w:textAlignment w:val="center"/>
              <w:rPr>
                <w:rFonts w:hint="eastAsia" w:ascii="宋体" w:hAnsi="宋体" w:cs="宋体"/>
                <w:sz w:val="24"/>
                <w:szCs w:val="24"/>
              </w:rPr>
            </w:pPr>
            <w:r>
              <w:rPr>
                <w:rFonts w:hint="eastAsia" w:ascii="宋体" w:hAnsi="宋体" w:cs="宋体"/>
                <w:sz w:val="24"/>
                <w:szCs w:val="24"/>
              </w:rPr>
              <w:t>支持双向迁移，可将VMware虚拟机在运行状态下迁移到超融合平台上，也可将超融合平台上的虚拟机在运行状态下迁移到VMware vCenter的集群中，迁移最后阶段业务会中断,可选择自动或手动拉起；</w:t>
            </w:r>
          </w:p>
        </w:tc>
      </w:tr>
      <w:tr>
        <w:tblPrEx>
          <w:tblLayout w:type="fixed"/>
          <w:tblCellMar>
            <w:top w:w="0" w:type="dxa"/>
            <w:left w:w="108" w:type="dxa"/>
            <w:bottom w:w="0" w:type="dxa"/>
            <w:right w:w="108" w:type="dxa"/>
          </w:tblCellMar>
        </w:tblPrEx>
        <w:trPr>
          <w:trHeight w:val="465" w:hRule="atLeast"/>
          <w:jc w:val="center"/>
        </w:trPr>
        <w:tc>
          <w:tcPr>
            <w:tcW w:w="1261" w:type="dxa"/>
            <w:vMerge w:val="continue"/>
            <w:tcBorders>
              <w:left w:val="single" w:color="auto" w:sz="4" w:space="0"/>
              <w:right w:val="single" w:color="auto" w:sz="4" w:space="0"/>
            </w:tcBorders>
            <w:noWrap w:val="0"/>
            <w:vAlign w:val="center"/>
          </w:tcPr>
          <w:p>
            <w:pPr>
              <w:rPr>
                <w:rFonts w:hint="eastAsia" w:ascii="宋体" w:hAnsi="宋体" w:cs="宋体"/>
                <w:sz w:val="24"/>
                <w:szCs w:val="24"/>
              </w:rPr>
            </w:pPr>
          </w:p>
        </w:tc>
        <w:tc>
          <w:tcPr>
            <w:tcW w:w="7093" w:type="dxa"/>
            <w:tcBorders>
              <w:top w:val="nil"/>
              <w:left w:val="single" w:color="auto" w:sz="4" w:space="0"/>
              <w:bottom w:val="single" w:color="auto" w:sz="8" w:space="0"/>
              <w:right w:val="single" w:color="auto" w:sz="8" w:space="0"/>
            </w:tcBorders>
            <w:noWrap w:val="0"/>
            <w:vAlign w:val="center"/>
          </w:tcPr>
          <w:p>
            <w:pPr>
              <w:widowControl/>
              <w:jc w:val="left"/>
              <w:textAlignment w:val="center"/>
              <w:rPr>
                <w:rFonts w:hint="eastAsia" w:ascii="宋体" w:hAnsi="宋体" w:cs="宋体"/>
                <w:sz w:val="24"/>
                <w:szCs w:val="24"/>
              </w:rPr>
            </w:pPr>
            <w:r>
              <w:rPr>
                <w:rFonts w:hint="eastAsia" w:ascii="宋体" w:hAnsi="宋体" w:cs="宋体"/>
                <w:sz w:val="24"/>
                <w:szCs w:val="24"/>
              </w:rPr>
              <w:t>支持虚拟机的HA功能。当物理服务器发生故障时，该物理服务器上的所有虚拟机，可以在集群之内的其它物理服务器上重新启动，保障业务连续性。</w:t>
            </w:r>
          </w:p>
        </w:tc>
      </w:tr>
      <w:tr>
        <w:tblPrEx>
          <w:tblLayout w:type="fixed"/>
          <w:tblCellMar>
            <w:top w:w="0" w:type="dxa"/>
            <w:left w:w="108" w:type="dxa"/>
            <w:bottom w:w="0" w:type="dxa"/>
            <w:right w:w="108" w:type="dxa"/>
          </w:tblCellMar>
        </w:tblPrEx>
        <w:trPr>
          <w:trHeight w:val="465" w:hRule="atLeast"/>
          <w:jc w:val="center"/>
        </w:trPr>
        <w:tc>
          <w:tcPr>
            <w:tcW w:w="1261" w:type="dxa"/>
            <w:vMerge w:val="continue"/>
            <w:tcBorders>
              <w:left w:val="single" w:color="auto" w:sz="4" w:space="0"/>
              <w:right w:val="single" w:color="auto" w:sz="4" w:space="0"/>
            </w:tcBorders>
            <w:noWrap w:val="0"/>
            <w:vAlign w:val="center"/>
          </w:tcPr>
          <w:p>
            <w:pPr>
              <w:rPr>
                <w:rFonts w:hint="eastAsia" w:ascii="宋体" w:hAnsi="宋体" w:cs="宋体"/>
                <w:sz w:val="24"/>
                <w:szCs w:val="24"/>
              </w:rPr>
            </w:pPr>
          </w:p>
        </w:tc>
        <w:tc>
          <w:tcPr>
            <w:tcW w:w="7093" w:type="dxa"/>
            <w:tcBorders>
              <w:top w:val="nil"/>
              <w:left w:val="single" w:color="auto" w:sz="4" w:space="0"/>
              <w:bottom w:val="single" w:color="auto" w:sz="8" w:space="0"/>
              <w:right w:val="single" w:color="auto" w:sz="8" w:space="0"/>
            </w:tcBorders>
            <w:noWrap w:val="0"/>
            <w:vAlign w:val="center"/>
          </w:tcPr>
          <w:p>
            <w:pPr>
              <w:widowControl/>
              <w:jc w:val="left"/>
              <w:textAlignment w:val="center"/>
              <w:rPr>
                <w:rFonts w:hint="eastAsia" w:ascii="宋体" w:hAnsi="宋体" w:cs="宋体"/>
                <w:sz w:val="24"/>
                <w:szCs w:val="24"/>
              </w:rPr>
            </w:pPr>
            <w:r>
              <w:rPr>
                <w:rFonts w:hint="eastAsia" w:ascii="宋体" w:hAnsi="宋体" w:cs="宋体"/>
                <w:sz w:val="24"/>
                <w:szCs w:val="24"/>
              </w:rPr>
              <w:t>支持在线的带存储的虚拟机迁移功能，可以在不停机状态下和非共享存储的环境中，实现虚拟机在集群内的不同物理机上迁移，保障业务连续性。</w:t>
            </w:r>
          </w:p>
        </w:tc>
      </w:tr>
      <w:tr>
        <w:tblPrEx>
          <w:tblLayout w:type="fixed"/>
          <w:tblCellMar>
            <w:top w:w="0" w:type="dxa"/>
            <w:left w:w="108" w:type="dxa"/>
            <w:bottom w:w="0" w:type="dxa"/>
            <w:right w:w="108" w:type="dxa"/>
          </w:tblCellMar>
        </w:tblPrEx>
        <w:trPr>
          <w:trHeight w:val="465" w:hRule="atLeast"/>
          <w:jc w:val="center"/>
        </w:trPr>
        <w:tc>
          <w:tcPr>
            <w:tcW w:w="1261" w:type="dxa"/>
            <w:vMerge w:val="continue"/>
            <w:tcBorders>
              <w:left w:val="single" w:color="auto" w:sz="4" w:space="0"/>
              <w:right w:val="single" w:color="auto" w:sz="4" w:space="0"/>
            </w:tcBorders>
            <w:noWrap w:val="0"/>
            <w:vAlign w:val="center"/>
          </w:tcPr>
          <w:p>
            <w:pPr>
              <w:rPr>
                <w:rFonts w:hint="eastAsia" w:ascii="宋体" w:hAnsi="宋体" w:cs="宋体"/>
                <w:sz w:val="24"/>
                <w:szCs w:val="24"/>
              </w:rPr>
            </w:pPr>
          </w:p>
        </w:tc>
        <w:tc>
          <w:tcPr>
            <w:tcW w:w="7093" w:type="dxa"/>
            <w:tcBorders>
              <w:top w:val="nil"/>
              <w:left w:val="single" w:color="auto" w:sz="4" w:space="0"/>
              <w:bottom w:val="single" w:color="auto" w:sz="8" w:space="0"/>
              <w:right w:val="single" w:color="auto" w:sz="8" w:space="0"/>
            </w:tcBorders>
            <w:noWrap w:val="0"/>
            <w:vAlign w:val="center"/>
          </w:tcPr>
          <w:p>
            <w:pPr>
              <w:widowControl/>
              <w:jc w:val="left"/>
              <w:textAlignment w:val="center"/>
              <w:rPr>
                <w:rFonts w:hint="eastAsia" w:ascii="宋体" w:hAnsi="宋体" w:cs="宋体"/>
                <w:sz w:val="24"/>
                <w:szCs w:val="24"/>
              </w:rPr>
            </w:pPr>
            <w:r>
              <w:rPr>
                <w:rFonts w:hint="eastAsia" w:ascii="宋体" w:hAnsi="宋体" w:cs="宋体"/>
                <w:sz w:val="24"/>
                <w:szCs w:val="24"/>
              </w:rPr>
              <w:t>支持IO重试，当存储出现故障，导致虚拟机无法读取存储数据时，自动挂起虚拟机，避免业务故障。</w:t>
            </w:r>
          </w:p>
        </w:tc>
      </w:tr>
      <w:tr>
        <w:tblPrEx>
          <w:tblLayout w:type="fixed"/>
          <w:tblCellMar>
            <w:top w:w="0" w:type="dxa"/>
            <w:left w:w="108" w:type="dxa"/>
            <w:bottom w:w="0" w:type="dxa"/>
            <w:right w:w="108" w:type="dxa"/>
          </w:tblCellMar>
        </w:tblPrEx>
        <w:trPr>
          <w:trHeight w:val="465" w:hRule="atLeast"/>
          <w:jc w:val="center"/>
        </w:trPr>
        <w:tc>
          <w:tcPr>
            <w:tcW w:w="1261" w:type="dxa"/>
            <w:vMerge w:val="continue"/>
            <w:tcBorders>
              <w:left w:val="single" w:color="auto" w:sz="4" w:space="0"/>
              <w:right w:val="single" w:color="auto" w:sz="4" w:space="0"/>
            </w:tcBorders>
            <w:noWrap w:val="0"/>
            <w:vAlign w:val="center"/>
          </w:tcPr>
          <w:p>
            <w:pPr>
              <w:rPr>
                <w:rFonts w:hint="eastAsia" w:ascii="宋体" w:hAnsi="宋体" w:cs="宋体"/>
                <w:sz w:val="24"/>
                <w:szCs w:val="24"/>
              </w:rPr>
            </w:pPr>
          </w:p>
        </w:tc>
        <w:tc>
          <w:tcPr>
            <w:tcW w:w="7093" w:type="dxa"/>
            <w:tcBorders>
              <w:top w:val="nil"/>
              <w:left w:val="single" w:color="auto" w:sz="4" w:space="0"/>
              <w:bottom w:val="single" w:color="auto" w:sz="8" w:space="0"/>
              <w:right w:val="single" w:color="auto" w:sz="8" w:space="0"/>
            </w:tcBorders>
            <w:noWrap w:val="0"/>
            <w:vAlign w:val="center"/>
          </w:tcPr>
          <w:p>
            <w:pPr>
              <w:widowControl/>
              <w:jc w:val="left"/>
              <w:textAlignment w:val="center"/>
              <w:rPr>
                <w:rFonts w:hint="eastAsia" w:ascii="宋体" w:hAnsi="宋体" w:cs="宋体"/>
                <w:sz w:val="24"/>
                <w:szCs w:val="24"/>
              </w:rPr>
            </w:pPr>
            <w:r>
              <w:rPr>
                <w:rFonts w:hint="eastAsia" w:ascii="宋体" w:hAnsi="宋体" w:cs="宋体"/>
                <w:sz w:val="24"/>
                <w:szCs w:val="24"/>
              </w:rPr>
              <w:t>支持虚拟机的无代理备份，能提供至少100个虚拟机的高性能备份功能，支持至少10T的备份数据容量的许可，可将直接将虚拟机备份到磁盘，并支持生成全新虚拟机的方式进行恢复</w:t>
            </w:r>
          </w:p>
        </w:tc>
      </w:tr>
      <w:tr>
        <w:tblPrEx>
          <w:tblLayout w:type="fixed"/>
          <w:tblCellMar>
            <w:top w:w="0" w:type="dxa"/>
            <w:left w:w="108" w:type="dxa"/>
            <w:bottom w:w="0" w:type="dxa"/>
            <w:right w:w="108" w:type="dxa"/>
          </w:tblCellMar>
        </w:tblPrEx>
        <w:trPr>
          <w:trHeight w:val="465" w:hRule="atLeast"/>
          <w:jc w:val="center"/>
        </w:trPr>
        <w:tc>
          <w:tcPr>
            <w:tcW w:w="1261" w:type="dxa"/>
            <w:vMerge w:val="continue"/>
            <w:tcBorders>
              <w:left w:val="single" w:color="auto" w:sz="4" w:space="0"/>
              <w:right w:val="single" w:color="auto" w:sz="4" w:space="0"/>
            </w:tcBorders>
            <w:noWrap w:val="0"/>
            <w:vAlign w:val="center"/>
          </w:tcPr>
          <w:p>
            <w:pPr>
              <w:rPr>
                <w:rFonts w:hint="eastAsia" w:ascii="宋体" w:hAnsi="宋体" w:cs="宋体"/>
                <w:sz w:val="24"/>
                <w:szCs w:val="24"/>
              </w:rPr>
            </w:pPr>
          </w:p>
        </w:tc>
        <w:tc>
          <w:tcPr>
            <w:tcW w:w="7093" w:type="dxa"/>
            <w:tcBorders>
              <w:top w:val="nil"/>
              <w:left w:val="single" w:color="auto" w:sz="4" w:space="0"/>
              <w:bottom w:val="single" w:color="auto" w:sz="8" w:space="0"/>
              <w:right w:val="single" w:color="auto" w:sz="8" w:space="0"/>
            </w:tcBorders>
            <w:noWrap w:val="0"/>
            <w:vAlign w:val="center"/>
          </w:tcPr>
          <w:p>
            <w:pPr>
              <w:widowControl/>
              <w:jc w:val="left"/>
              <w:textAlignment w:val="center"/>
              <w:rPr>
                <w:rFonts w:hint="eastAsia" w:ascii="宋体" w:hAnsi="宋体" w:cs="宋体"/>
                <w:sz w:val="24"/>
                <w:szCs w:val="24"/>
              </w:rPr>
            </w:pPr>
            <w:r>
              <w:rPr>
                <w:rFonts w:hint="eastAsia" w:ascii="宋体" w:hAnsi="宋体" w:cs="宋体"/>
                <w:sz w:val="24"/>
                <w:szCs w:val="24"/>
              </w:rPr>
              <w:t>管理平台不依赖于某一个虚拟机或物理机部署，采用分布式架构保障平台更可靠</w:t>
            </w:r>
          </w:p>
        </w:tc>
      </w:tr>
      <w:tr>
        <w:tblPrEx>
          <w:tblLayout w:type="fixed"/>
          <w:tblCellMar>
            <w:top w:w="0" w:type="dxa"/>
            <w:left w:w="108" w:type="dxa"/>
            <w:bottom w:w="0" w:type="dxa"/>
            <w:right w:w="108" w:type="dxa"/>
          </w:tblCellMar>
        </w:tblPrEx>
        <w:trPr>
          <w:trHeight w:val="465" w:hRule="atLeast"/>
          <w:jc w:val="center"/>
        </w:trPr>
        <w:tc>
          <w:tcPr>
            <w:tcW w:w="1261" w:type="dxa"/>
            <w:vMerge w:val="continue"/>
            <w:tcBorders>
              <w:left w:val="single" w:color="auto" w:sz="4" w:space="0"/>
              <w:right w:val="single" w:color="auto" w:sz="4" w:space="0"/>
            </w:tcBorders>
            <w:noWrap w:val="0"/>
            <w:vAlign w:val="center"/>
          </w:tcPr>
          <w:p>
            <w:pPr>
              <w:rPr>
                <w:rFonts w:hint="eastAsia" w:ascii="宋体" w:hAnsi="宋体" w:cs="宋体"/>
                <w:sz w:val="24"/>
                <w:szCs w:val="24"/>
              </w:rPr>
            </w:pPr>
          </w:p>
        </w:tc>
        <w:tc>
          <w:tcPr>
            <w:tcW w:w="7093" w:type="dxa"/>
            <w:tcBorders>
              <w:top w:val="nil"/>
              <w:left w:val="single" w:color="auto" w:sz="4" w:space="0"/>
              <w:bottom w:val="single" w:color="auto" w:sz="8" w:space="0"/>
              <w:right w:val="single" w:color="auto" w:sz="8" w:space="0"/>
            </w:tcBorders>
            <w:noWrap w:val="0"/>
            <w:vAlign w:val="center"/>
          </w:tcPr>
          <w:p>
            <w:pPr>
              <w:widowControl/>
              <w:jc w:val="left"/>
              <w:textAlignment w:val="center"/>
              <w:rPr>
                <w:rFonts w:hint="eastAsia" w:ascii="宋体" w:hAnsi="宋体" w:cs="宋体"/>
                <w:sz w:val="24"/>
                <w:szCs w:val="24"/>
              </w:rPr>
            </w:pPr>
            <w:r>
              <w:rPr>
                <w:rFonts w:hint="eastAsia" w:ascii="宋体" w:hAnsi="宋体" w:cs="宋体"/>
                <w:sz w:val="24"/>
                <w:szCs w:val="24"/>
              </w:rPr>
              <w:t>支持对平台虚拟机的精细化权限管理，可根据单个虚拟机开关机、打开控制台、删除等操作设定不同的权限，管理员也可以根据用户需求合理分配权限。</w:t>
            </w:r>
          </w:p>
        </w:tc>
      </w:tr>
      <w:tr>
        <w:tblPrEx>
          <w:tblLayout w:type="fixed"/>
          <w:tblCellMar>
            <w:top w:w="0" w:type="dxa"/>
            <w:left w:w="108" w:type="dxa"/>
            <w:bottom w:w="0" w:type="dxa"/>
            <w:right w:w="108" w:type="dxa"/>
          </w:tblCellMar>
        </w:tblPrEx>
        <w:trPr>
          <w:trHeight w:val="465" w:hRule="atLeast"/>
          <w:jc w:val="center"/>
        </w:trPr>
        <w:tc>
          <w:tcPr>
            <w:tcW w:w="1261" w:type="dxa"/>
            <w:vMerge w:val="continue"/>
            <w:tcBorders>
              <w:left w:val="single" w:color="auto" w:sz="4" w:space="0"/>
              <w:right w:val="single" w:color="auto" w:sz="4" w:space="0"/>
            </w:tcBorders>
            <w:noWrap w:val="0"/>
            <w:vAlign w:val="center"/>
          </w:tcPr>
          <w:p>
            <w:pPr>
              <w:rPr>
                <w:rFonts w:hint="eastAsia" w:ascii="宋体" w:hAnsi="宋体" w:cs="宋体"/>
                <w:sz w:val="24"/>
                <w:szCs w:val="24"/>
              </w:rPr>
            </w:pPr>
          </w:p>
        </w:tc>
        <w:tc>
          <w:tcPr>
            <w:tcW w:w="7093" w:type="dxa"/>
            <w:tcBorders>
              <w:top w:val="nil"/>
              <w:left w:val="single" w:color="auto" w:sz="4" w:space="0"/>
              <w:bottom w:val="single" w:color="auto" w:sz="8" w:space="0"/>
              <w:right w:val="single" w:color="auto" w:sz="8" w:space="0"/>
            </w:tcBorders>
            <w:noWrap w:val="0"/>
            <w:vAlign w:val="center"/>
          </w:tcPr>
          <w:p>
            <w:pPr>
              <w:widowControl/>
              <w:jc w:val="left"/>
              <w:textAlignment w:val="center"/>
              <w:rPr>
                <w:rFonts w:hint="eastAsia" w:ascii="宋体" w:hAnsi="宋体" w:cs="宋体"/>
                <w:sz w:val="24"/>
                <w:szCs w:val="24"/>
              </w:rPr>
            </w:pPr>
            <w:r>
              <w:rPr>
                <w:rFonts w:hint="eastAsia" w:ascii="宋体" w:hAnsi="宋体" w:cs="宋体"/>
                <w:sz w:val="24"/>
                <w:szCs w:val="24"/>
              </w:rPr>
              <w:t>支持平台中的集群资源环境一键检测，对硬件健康、平台底层的虚拟化的运行状态和配置，进行多个维度进行检查，提供快速定位问题功能；</w:t>
            </w:r>
          </w:p>
        </w:tc>
      </w:tr>
      <w:tr>
        <w:tblPrEx>
          <w:tblLayout w:type="fixed"/>
          <w:tblCellMar>
            <w:top w:w="0" w:type="dxa"/>
            <w:left w:w="108" w:type="dxa"/>
            <w:bottom w:w="0" w:type="dxa"/>
            <w:right w:w="108" w:type="dxa"/>
          </w:tblCellMar>
        </w:tblPrEx>
        <w:trPr>
          <w:trHeight w:val="465" w:hRule="atLeast"/>
          <w:jc w:val="center"/>
        </w:trPr>
        <w:tc>
          <w:tcPr>
            <w:tcW w:w="1261"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p>
        </w:tc>
        <w:tc>
          <w:tcPr>
            <w:tcW w:w="7093" w:type="dxa"/>
            <w:tcBorders>
              <w:top w:val="nil"/>
              <w:left w:val="single" w:color="auto" w:sz="4" w:space="0"/>
              <w:bottom w:val="single" w:color="auto" w:sz="4"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虚拟机平台须支持主流的X86架构的操作系统，包括Windows， Redhat、SUSE、CentOS、麒麟等OS；</w:t>
            </w:r>
          </w:p>
        </w:tc>
      </w:tr>
      <w:tr>
        <w:tblPrEx>
          <w:tblLayout w:type="fixed"/>
          <w:tblCellMar>
            <w:top w:w="0" w:type="dxa"/>
            <w:left w:w="108" w:type="dxa"/>
            <w:bottom w:w="0" w:type="dxa"/>
            <w:right w:w="108" w:type="dxa"/>
          </w:tblCellMar>
        </w:tblPrEx>
        <w:trPr>
          <w:trHeight w:val="465" w:hRule="atLeast"/>
          <w:jc w:val="center"/>
        </w:trPr>
        <w:tc>
          <w:tcPr>
            <w:tcW w:w="1261" w:type="dxa"/>
            <w:vMerge w:val="restart"/>
            <w:tcBorders>
              <w:left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存储虚拟化</w:t>
            </w:r>
          </w:p>
        </w:tc>
        <w:tc>
          <w:tcPr>
            <w:tcW w:w="7093" w:type="dxa"/>
            <w:tcBorders>
              <w:top w:val="nil"/>
              <w:left w:val="single" w:color="auto" w:sz="4" w:space="0"/>
              <w:bottom w:val="single" w:color="auto" w:sz="4"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★本次项目提供6个物理CPU存储虚拟化管理授权，要求存储虚拟化授权无容量限制。</w:t>
            </w:r>
          </w:p>
        </w:tc>
      </w:tr>
      <w:tr>
        <w:tblPrEx>
          <w:tblLayout w:type="fixed"/>
          <w:tblCellMar>
            <w:top w:w="0" w:type="dxa"/>
            <w:left w:w="108" w:type="dxa"/>
            <w:bottom w:w="0" w:type="dxa"/>
            <w:right w:w="108" w:type="dxa"/>
          </w:tblCellMar>
        </w:tblPrEx>
        <w:trPr>
          <w:trHeight w:val="465" w:hRule="atLeast"/>
          <w:jc w:val="center"/>
        </w:trPr>
        <w:tc>
          <w:tcPr>
            <w:tcW w:w="1261" w:type="dxa"/>
            <w:vMerge w:val="continue"/>
            <w:tcBorders>
              <w:left w:val="single" w:color="auto" w:sz="4" w:space="0"/>
              <w:right w:val="single" w:color="auto" w:sz="4" w:space="0"/>
            </w:tcBorders>
            <w:noWrap w:val="0"/>
            <w:vAlign w:val="center"/>
          </w:tcPr>
          <w:p>
            <w:pPr>
              <w:rPr>
                <w:rFonts w:hint="eastAsia" w:ascii="宋体" w:hAnsi="宋体" w:cs="宋体"/>
                <w:sz w:val="24"/>
                <w:szCs w:val="24"/>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支持存储虚拟化功能，无需安装额外的软件，在一个统一的管理平台上使用License激活的方式即可开通使用，存储虚拟化与计算虚拟化为紧耦合架构，减少底层开销，提升性能。</w:t>
            </w:r>
          </w:p>
        </w:tc>
      </w:tr>
      <w:tr>
        <w:tblPrEx>
          <w:tblLayout w:type="fixed"/>
          <w:tblCellMar>
            <w:top w:w="0" w:type="dxa"/>
            <w:left w:w="108" w:type="dxa"/>
            <w:bottom w:w="0" w:type="dxa"/>
            <w:right w:w="108" w:type="dxa"/>
          </w:tblCellMar>
        </w:tblPrEx>
        <w:trPr>
          <w:trHeight w:val="465" w:hRule="atLeast"/>
          <w:jc w:val="center"/>
        </w:trPr>
        <w:tc>
          <w:tcPr>
            <w:tcW w:w="1261" w:type="dxa"/>
            <w:vMerge w:val="continue"/>
            <w:tcBorders>
              <w:left w:val="single" w:color="auto" w:sz="4" w:space="0"/>
              <w:right w:val="single" w:color="auto" w:sz="4" w:space="0"/>
            </w:tcBorders>
            <w:noWrap w:val="0"/>
            <w:vAlign w:val="center"/>
          </w:tcPr>
          <w:p>
            <w:pPr>
              <w:rPr>
                <w:rFonts w:hint="eastAsia" w:ascii="宋体" w:hAnsi="宋体" w:cs="宋体"/>
                <w:sz w:val="24"/>
                <w:szCs w:val="24"/>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采用分布式架构设计，由多台物理服务器组成分布式存储集群，通过新增物理服务器可以实现存储容量和性能的横向扩展，扩容过程保证业务零中断。</w:t>
            </w:r>
          </w:p>
        </w:tc>
      </w:tr>
      <w:tr>
        <w:tblPrEx>
          <w:tblLayout w:type="fixed"/>
          <w:tblCellMar>
            <w:top w:w="0" w:type="dxa"/>
            <w:left w:w="108" w:type="dxa"/>
            <w:bottom w:w="0" w:type="dxa"/>
            <w:right w:w="108" w:type="dxa"/>
          </w:tblCellMar>
        </w:tblPrEx>
        <w:trPr>
          <w:trHeight w:val="465" w:hRule="atLeast"/>
          <w:jc w:val="center"/>
        </w:trPr>
        <w:tc>
          <w:tcPr>
            <w:tcW w:w="1261" w:type="dxa"/>
            <w:vMerge w:val="continue"/>
            <w:tcBorders>
              <w:left w:val="single" w:color="auto" w:sz="4" w:space="0"/>
              <w:right w:val="single" w:color="auto" w:sz="4" w:space="0"/>
            </w:tcBorders>
            <w:noWrap w:val="0"/>
            <w:vAlign w:val="center"/>
          </w:tcPr>
          <w:p>
            <w:pPr>
              <w:rPr>
                <w:rFonts w:hint="eastAsia" w:ascii="宋体" w:hAnsi="宋体" w:cs="宋体"/>
                <w:sz w:val="24"/>
                <w:szCs w:val="24"/>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支持标准的iSCSI协议，允许外部物理主机或应用通过标准的iSCSI接口访问虚拟存储，实现Server SAN和IP SAN的融合，能够使存储资源的利用率发挥到最大价值。在iSCSI接入场景下支持内部负载均衡和高可用。</w:t>
            </w:r>
          </w:p>
        </w:tc>
      </w:tr>
      <w:tr>
        <w:tblPrEx>
          <w:tblLayout w:type="fixed"/>
          <w:tblCellMar>
            <w:top w:w="0" w:type="dxa"/>
            <w:left w:w="108" w:type="dxa"/>
            <w:bottom w:w="0" w:type="dxa"/>
            <w:right w:w="108" w:type="dxa"/>
          </w:tblCellMar>
        </w:tblPrEx>
        <w:trPr>
          <w:trHeight w:val="465" w:hRule="atLeast"/>
          <w:jc w:val="center"/>
        </w:trPr>
        <w:tc>
          <w:tcPr>
            <w:tcW w:w="1261" w:type="dxa"/>
            <w:vMerge w:val="continue"/>
            <w:tcBorders>
              <w:left w:val="single" w:color="auto" w:sz="4" w:space="0"/>
              <w:right w:val="single" w:color="auto" w:sz="4" w:space="0"/>
            </w:tcBorders>
            <w:noWrap w:val="0"/>
            <w:vAlign w:val="center"/>
          </w:tcPr>
          <w:p>
            <w:pPr>
              <w:rPr>
                <w:rFonts w:hint="eastAsia" w:ascii="宋体" w:hAnsi="宋体" w:cs="宋体"/>
                <w:sz w:val="24"/>
                <w:szCs w:val="24"/>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支持磁盘坏道检测功能，虚拟存储集群可以对数据盘进行坏道检测，发现坏道后可自动从另外一个副本读取数据，并对坏道数据进行修复。</w:t>
            </w:r>
          </w:p>
        </w:tc>
      </w:tr>
      <w:tr>
        <w:tblPrEx>
          <w:tblLayout w:type="fixed"/>
          <w:tblCellMar>
            <w:top w:w="0" w:type="dxa"/>
            <w:left w:w="108" w:type="dxa"/>
            <w:bottom w:w="0" w:type="dxa"/>
            <w:right w:w="108" w:type="dxa"/>
          </w:tblCellMar>
        </w:tblPrEx>
        <w:trPr>
          <w:trHeight w:val="465" w:hRule="atLeast"/>
          <w:jc w:val="center"/>
        </w:trPr>
        <w:tc>
          <w:tcPr>
            <w:tcW w:w="1261" w:type="dxa"/>
            <w:vMerge w:val="continue"/>
            <w:tcBorders>
              <w:left w:val="single" w:color="auto" w:sz="4" w:space="0"/>
              <w:right w:val="single" w:color="auto" w:sz="4" w:space="0"/>
            </w:tcBorders>
            <w:noWrap w:val="0"/>
            <w:vAlign w:val="center"/>
          </w:tcPr>
          <w:p>
            <w:pPr>
              <w:rPr>
                <w:rFonts w:hint="eastAsia" w:ascii="宋体" w:hAnsi="宋体" w:cs="宋体"/>
                <w:sz w:val="24"/>
                <w:szCs w:val="24"/>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当磁盘或者存储节点故障时系统能自动进行数据重构，在无人工干预的条件下，数据重构速度每TB&lt;30分钟，提供证明材料；</w:t>
            </w:r>
          </w:p>
        </w:tc>
      </w:tr>
      <w:tr>
        <w:tblPrEx>
          <w:tblLayout w:type="fixed"/>
          <w:tblCellMar>
            <w:top w:w="0" w:type="dxa"/>
            <w:left w:w="108" w:type="dxa"/>
            <w:bottom w:w="0" w:type="dxa"/>
            <w:right w:w="108" w:type="dxa"/>
          </w:tblCellMar>
        </w:tblPrEx>
        <w:trPr>
          <w:trHeight w:val="465" w:hRule="atLeast"/>
          <w:jc w:val="center"/>
        </w:trPr>
        <w:tc>
          <w:tcPr>
            <w:tcW w:w="1261"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支持多副本冗余功能，支持2个或以上副本，副本互斥地保存在集群的不同节点，当1个或多个主机或者磁盘故障，确保数据依旧正常访问。</w:t>
            </w:r>
          </w:p>
        </w:tc>
      </w:tr>
      <w:tr>
        <w:tblPrEx>
          <w:tblLayout w:type="fixed"/>
          <w:tblCellMar>
            <w:top w:w="0" w:type="dxa"/>
            <w:left w:w="108" w:type="dxa"/>
            <w:bottom w:w="0" w:type="dxa"/>
            <w:right w:w="108" w:type="dxa"/>
          </w:tblCellMar>
        </w:tblPrEx>
        <w:trPr>
          <w:trHeight w:val="465" w:hRule="atLeast"/>
          <w:jc w:val="center"/>
        </w:trPr>
        <w:tc>
          <w:tcPr>
            <w:tcW w:w="1261" w:type="dxa"/>
            <w:vMerge w:val="restart"/>
            <w:tcBorders>
              <w:top w:val="single" w:color="auto" w:sz="4" w:space="0"/>
              <w:left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网络虚拟化</w:t>
            </w:r>
          </w:p>
        </w:tc>
        <w:tc>
          <w:tcPr>
            <w:tcW w:w="70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本次项目提供6个物理CPU服务器虚拟化管理授权</w:t>
            </w:r>
          </w:p>
        </w:tc>
      </w:tr>
      <w:tr>
        <w:tblPrEx>
          <w:tblLayout w:type="fixed"/>
          <w:tblCellMar>
            <w:top w:w="0" w:type="dxa"/>
            <w:left w:w="108" w:type="dxa"/>
            <w:bottom w:w="0" w:type="dxa"/>
            <w:right w:w="108" w:type="dxa"/>
          </w:tblCellMar>
        </w:tblPrEx>
        <w:trPr>
          <w:trHeight w:val="465" w:hRule="atLeast"/>
          <w:jc w:val="center"/>
        </w:trPr>
        <w:tc>
          <w:tcPr>
            <w:tcW w:w="1261" w:type="dxa"/>
            <w:vMerge w:val="continue"/>
            <w:tcBorders>
              <w:left w:val="single" w:color="auto" w:sz="4" w:space="0"/>
              <w:right w:val="single" w:color="auto" w:sz="4" w:space="0"/>
            </w:tcBorders>
            <w:noWrap w:val="0"/>
            <w:vAlign w:val="center"/>
          </w:tcPr>
          <w:p>
            <w:pPr>
              <w:rPr>
                <w:rFonts w:hint="eastAsia" w:ascii="宋体" w:hAnsi="宋体" w:cs="宋体"/>
                <w:sz w:val="24"/>
                <w:szCs w:val="24"/>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支持对oracle、sqlserver、Weblogic数据库及中间件监控，实现对数据库的语句的故障定位排错，执行时延分析。</w:t>
            </w:r>
          </w:p>
        </w:tc>
      </w:tr>
      <w:tr>
        <w:tblPrEx>
          <w:tblLayout w:type="fixed"/>
          <w:tblCellMar>
            <w:top w:w="0" w:type="dxa"/>
            <w:left w:w="108" w:type="dxa"/>
            <w:bottom w:w="0" w:type="dxa"/>
            <w:right w:w="108" w:type="dxa"/>
          </w:tblCellMar>
        </w:tblPrEx>
        <w:trPr>
          <w:trHeight w:val="465" w:hRule="atLeast"/>
          <w:jc w:val="center"/>
        </w:trPr>
        <w:tc>
          <w:tcPr>
            <w:tcW w:w="1261" w:type="dxa"/>
            <w:vMerge w:val="continue"/>
            <w:tcBorders>
              <w:left w:val="single" w:color="auto" w:sz="4" w:space="0"/>
              <w:right w:val="single" w:color="auto" w:sz="4" w:space="0"/>
            </w:tcBorders>
            <w:noWrap w:val="0"/>
            <w:vAlign w:val="center"/>
          </w:tcPr>
          <w:p>
            <w:pPr>
              <w:rPr>
                <w:rFonts w:hint="eastAsia" w:ascii="宋体" w:hAnsi="宋体" w:cs="宋体"/>
                <w:sz w:val="24"/>
                <w:szCs w:val="24"/>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分布式防火墙能够基于虚拟机进行3-4层安全防护，以虚拟机为单位的安全策略部署，即使改变虚拟机的IP地址信息，安全策略依然生效；分布式防火墙提供实时拦截日志显示，以及支持“数据直通ByPass”功能，方便出现问题快速定位问题。</w:t>
            </w:r>
          </w:p>
        </w:tc>
      </w:tr>
      <w:tr>
        <w:tblPrEx>
          <w:tblLayout w:type="fixed"/>
          <w:tblCellMar>
            <w:top w:w="0" w:type="dxa"/>
            <w:left w:w="108" w:type="dxa"/>
            <w:bottom w:w="0" w:type="dxa"/>
            <w:right w:w="108" w:type="dxa"/>
          </w:tblCellMar>
        </w:tblPrEx>
        <w:trPr>
          <w:trHeight w:val="465" w:hRule="atLeast"/>
          <w:jc w:val="center"/>
        </w:trPr>
        <w:tc>
          <w:tcPr>
            <w:tcW w:w="1261" w:type="dxa"/>
            <w:vMerge w:val="continue"/>
            <w:tcBorders>
              <w:left w:val="single" w:color="auto" w:sz="4" w:space="0"/>
              <w:right w:val="single" w:color="auto" w:sz="4" w:space="0"/>
            </w:tcBorders>
            <w:noWrap w:val="0"/>
            <w:vAlign w:val="center"/>
          </w:tcPr>
          <w:p>
            <w:pPr>
              <w:rPr>
                <w:rFonts w:hint="eastAsia" w:ascii="宋体" w:hAnsi="宋体" w:cs="宋体"/>
                <w:sz w:val="24"/>
                <w:szCs w:val="24"/>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通过License激活的方式，实现网络虚拟化功能（支持分布式虚拟交换机、虚拟路由器、虚拟应用防火墙、虚拟化运维堡垒机等功能），支持Vxlan网络和现有的Vlan网络对接，实现虚拟化平台与原有网络的兼容性。</w:t>
            </w:r>
          </w:p>
        </w:tc>
      </w:tr>
      <w:tr>
        <w:tblPrEx>
          <w:tblLayout w:type="fixed"/>
          <w:tblCellMar>
            <w:top w:w="0" w:type="dxa"/>
            <w:left w:w="108" w:type="dxa"/>
            <w:bottom w:w="0" w:type="dxa"/>
            <w:right w:w="108" w:type="dxa"/>
          </w:tblCellMar>
        </w:tblPrEx>
        <w:trPr>
          <w:trHeight w:val="465" w:hRule="atLeast"/>
          <w:jc w:val="center"/>
        </w:trPr>
        <w:tc>
          <w:tcPr>
            <w:tcW w:w="1261" w:type="dxa"/>
            <w:vMerge w:val="continue"/>
            <w:tcBorders>
              <w:left w:val="single" w:color="auto" w:sz="4" w:space="0"/>
              <w:right w:val="single" w:color="auto" w:sz="4" w:space="0"/>
            </w:tcBorders>
            <w:noWrap w:val="0"/>
            <w:vAlign w:val="center"/>
          </w:tcPr>
          <w:p>
            <w:pPr>
              <w:rPr>
                <w:rFonts w:hint="eastAsia" w:ascii="宋体" w:hAnsi="宋体" w:cs="宋体"/>
                <w:sz w:val="24"/>
                <w:szCs w:val="24"/>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虚拟路由器支持HA功能，当虚拟路由器运行的主机出现故障时，可以实现故障自动恢复，保障业务的高可靠性</w:t>
            </w:r>
          </w:p>
        </w:tc>
      </w:tr>
      <w:tr>
        <w:tblPrEx>
          <w:tblLayout w:type="fixed"/>
          <w:tblCellMar>
            <w:top w:w="0" w:type="dxa"/>
            <w:left w:w="108" w:type="dxa"/>
            <w:bottom w:w="0" w:type="dxa"/>
            <w:right w:w="108" w:type="dxa"/>
          </w:tblCellMar>
        </w:tblPrEx>
        <w:trPr>
          <w:trHeight w:val="465" w:hRule="atLeast"/>
          <w:jc w:val="center"/>
        </w:trPr>
        <w:tc>
          <w:tcPr>
            <w:tcW w:w="1261" w:type="dxa"/>
            <w:vMerge w:val="continue"/>
            <w:tcBorders>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p>
        </w:tc>
        <w:tc>
          <w:tcPr>
            <w:tcW w:w="70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在管理平台上可以通过拖拽虚拟设备图标和连线就能完成网络拓扑的构建，快速的实现整个业务逻辑，提供虚拟路由器、虚拟交换机等设备的连通性探测功能，方便在虚拟化环境中，进行相应的故障排除和恢复，能够定位到出现故障的虚拟网络设备，并且能够排查到acl策略配置错误等层面。</w:t>
            </w:r>
          </w:p>
        </w:tc>
      </w:tr>
      <w:tr>
        <w:tblPrEx>
          <w:tblLayout w:type="fixed"/>
          <w:tblCellMar>
            <w:top w:w="0" w:type="dxa"/>
            <w:left w:w="108" w:type="dxa"/>
            <w:bottom w:w="0" w:type="dxa"/>
            <w:right w:w="108" w:type="dxa"/>
          </w:tblCellMar>
        </w:tblPrEx>
        <w:trPr>
          <w:trHeight w:val="465"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cs="宋体"/>
                <w:sz w:val="24"/>
                <w:szCs w:val="24"/>
              </w:rPr>
              <w:t>产品资质</w:t>
            </w:r>
          </w:p>
        </w:tc>
        <w:tc>
          <w:tcPr>
            <w:tcW w:w="709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sz w:val="24"/>
                <w:szCs w:val="24"/>
              </w:rPr>
            </w:pPr>
            <w:r>
              <w:rPr>
                <w:rFonts w:hint="eastAsia" w:ascii="宋体" w:hAnsi="宋体" w:cs="宋体"/>
                <w:sz w:val="24"/>
                <w:szCs w:val="24"/>
              </w:rPr>
              <w:t>厂商提供的软件或者系统都是厂商自研，非OEM或者采用第三方的产品，要求服务器虚拟化、存储虚拟化、网络虚拟化为同一品牌，并且分别提供相应组件软件著作权</w:t>
            </w:r>
            <w:r>
              <w:rPr>
                <w:rFonts w:ascii="宋体" w:hAnsi="宋体" w:cs="宋体"/>
                <w:sz w:val="24"/>
                <w:szCs w:val="24"/>
              </w:rPr>
              <w:t>。</w:t>
            </w:r>
          </w:p>
        </w:tc>
      </w:tr>
      <w:tr>
        <w:tblPrEx>
          <w:tblLayout w:type="fixed"/>
          <w:tblCellMar>
            <w:top w:w="0" w:type="dxa"/>
            <w:left w:w="108" w:type="dxa"/>
            <w:bottom w:w="0" w:type="dxa"/>
            <w:right w:w="108" w:type="dxa"/>
          </w:tblCellMar>
        </w:tblPrEx>
        <w:trPr>
          <w:trHeight w:val="465"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cs="宋体"/>
                <w:sz w:val="24"/>
                <w:szCs w:val="24"/>
              </w:rPr>
              <w:t>其他要求</w:t>
            </w:r>
          </w:p>
        </w:tc>
        <w:tc>
          <w:tcPr>
            <w:tcW w:w="7093"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宋体" w:hAnsi="宋体" w:cs="宋体"/>
                <w:sz w:val="24"/>
                <w:szCs w:val="24"/>
              </w:rPr>
            </w:pPr>
            <w:r>
              <w:rPr>
                <w:rFonts w:hint="eastAsia" w:ascii="宋体" w:hAnsi="宋体" w:cs="宋体"/>
                <w:sz w:val="24"/>
                <w:szCs w:val="24"/>
              </w:rPr>
              <w:t>1、提供5年7*24小时原厂售后服务。</w:t>
            </w:r>
          </w:p>
          <w:p>
            <w:pPr>
              <w:widowControl/>
              <w:jc w:val="left"/>
              <w:textAlignment w:val="center"/>
              <w:rPr>
                <w:rFonts w:ascii="宋体" w:hAnsi="宋体" w:cs="宋体"/>
                <w:sz w:val="24"/>
                <w:szCs w:val="24"/>
              </w:rPr>
            </w:pPr>
            <w:r>
              <w:rPr>
                <w:rFonts w:hint="eastAsia" w:ascii="宋体" w:hAnsi="宋体" w:cs="宋体"/>
                <w:sz w:val="24"/>
                <w:szCs w:val="24"/>
              </w:rPr>
              <w:t>2、所投产品要求提供五年原厂免费质保和软件升级服务；</w:t>
            </w:r>
          </w:p>
        </w:tc>
      </w:tr>
    </w:tbl>
    <w:p>
      <w:pPr>
        <w:pStyle w:val="31"/>
        <w:tabs>
          <w:tab w:val="left" w:pos="760"/>
        </w:tabs>
        <w:ind w:firstLine="0" w:firstLineChars="0"/>
        <w:outlineLvl w:val="1"/>
        <w:rPr>
          <w:rFonts w:hint="eastAsia" w:ascii="宋体" w:hAnsi="宋体"/>
          <w:b/>
          <w:color w:val="000000"/>
          <w:sz w:val="24"/>
          <w:szCs w:val="24"/>
          <w:lang w:eastAsia="zh-CN"/>
        </w:rPr>
      </w:pPr>
    </w:p>
    <w:p>
      <w:pPr>
        <w:pStyle w:val="31"/>
        <w:tabs>
          <w:tab w:val="left" w:pos="760"/>
        </w:tabs>
        <w:ind w:firstLine="0" w:firstLineChars="0"/>
        <w:outlineLvl w:val="1"/>
        <w:rPr>
          <w:rFonts w:hint="eastAsia" w:ascii="宋体" w:hAnsi="宋体"/>
          <w:b/>
          <w:color w:val="000000"/>
          <w:sz w:val="24"/>
          <w:szCs w:val="24"/>
        </w:rPr>
      </w:pPr>
      <w:r>
        <w:rPr>
          <w:rFonts w:hint="eastAsia" w:ascii="宋体" w:hAnsi="宋体"/>
          <w:b/>
          <w:color w:val="000000"/>
          <w:sz w:val="24"/>
          <w:szCs w:val="24"/>
        </w:rPr>
        <w:t>16.虚拟化集群交换机（2台）</w:t>
      </w:r>
    </w:p>
    <w:tbl>
      <w:tblPr>
        <w:tblStyle w:val="23"/>
        <w:tblW w:w="8354" w:type="dxa"/>
        <w:jc w:val="center"/>
        <w:tblInd w:w="0" w:type="dxa"/>
        <w:tblLayout w:type="fixed"/>
        <w:tblCellMar>
          <w:top w:w="0" w:type="dxa"/>
          <w:left w:w="108" w:type="dxa"/>
          <w:bottom w:w="0" w:type="dxa"/>
          <w:right w:w="108" w:type="dxa"/>
        </w:tblCellMar>
      </w:tblPr>
      <w:tblGrid>
        <w:gridCol w:w="1261"/>
        <w:gridCol w:w="7093"/>
      </w:tblGrid>
      <w:tr>
        <w:tblPrEx>
          <w:tblLayout w:type="fixed"/>
          <w:tblCellMar>
            <w:top w:w="0" w:type="dxa"/>
            <w:left w:w="108" w:type="dxa"/>
            <w:bottom w:w="0" w:type="dxa"/>
            <w:right w:w="108" w:type="dxa"/>
          </w:tblCellMar>
        </w:tblPrEx>
        <w:trPr>
          <w:trHeight w:val="355" w:hRule="atLeast"/>
          <w:jc w:val="center"/>
        </w:trPr>
        <w:tc>
          <w:tcPr>
            <w:tcW w:w="1261" w:type="dxa"/>
            <w:tcBorders>
              <w:top w:val="single" w:color="auto" w:sz="8" w:space="0"/>
              <w:left w:val="single" w:color="auto" w:sz="8" w:space="0"/>
              <w:bottom w:val="single" w:color="auto" w:sz="4" w:space="0"/>
              <w:right w:val="single" w:color="auto" w:sz="8" w:space="0"/>
            </w:tcBorders>
            <w:noWrap w:val="0"/>
            <w:vAlign w:val="center"/>
          </w:tcPr>
          <w:p>
            <w:pPr>
              <w:rPr>
                <w:rFonts w:ascii="宋体" w:hAnsi="宋体"/>
                <w:b/>
                <w:bCs/>
                <w:sz w:val="24"/>
                <w:szCs w:val="24"/>
              </w:rPr>
            </w:pPr>
            <w:r>
              <w:rPr>
                <w:rFonts w:hint="eastAsia" w:ascii="宋体" w:hAnsi="宋体"/>
                <w:b/>
                <w:bCs/>
                <w:sz w:val="24"/>
                <w:szCs w:val="24"/>
              </w:rPr>
              <w:t>指标项</w:t>
            </w:r>
          </w:p>
        </w:tc>
        <w:tc>
          <w:tcPr>
            <w:tcW w:w="7093" w:type="dxa"/>
            <w:tcBorders>
              <w:top w:val="single" w:color="auto" w:sz="8" w:space="0"/>
              <w:left w:val="nil"/>
              <w:bottom w:val="single" w:color="auto" w:sz="8" w:space="0"/>
              <w:right w:val="single" w:color="auto" w:sz="8" w:space="0"/>
            </w:tcBorders>
            <w:noWrap w:val="0"/>
            <w:vAlign w:val="center"/>
          </w:tcPr>
          <w:p>
            <w:pPr>
              <w:jc w:val="center"/>
              <w:rPr>
                <w:rFonts w:ascii="宋体" w:hAnsi="宋体"/>
                <w:b/>
                <w:bCs/>
                <w:sz w:val="24"/>
                <w:szCs w:val="24"/>
              </w:rPr>
            </w:pPr>
            <w:r>
              <w:rPr>
                <w:rFonts w:hint="eastAsia" w:ascii="宋体" w:hAnsi="宋体"/>
                <w:b/>
                <w:bCs/>
                <w:sz w:val="24"/>
                <w:szCs w:val="24"/>
              </w:rPr>
              <w:t>指标要求</w:t>
            </w:r>
          </w:p>
        </w:tc>
      </w:tr>
      <w:tr>
        <w:tblPrEx>
          <w:tblLayout w:type="fixed"/>
          <w:tblCellMar>
            <w:top w:w="0" w:type="dxa"/>
            <w:left w:w="108" w:type="dxa"/>
            <w:bottom w:w="0" w:type="dxa"/>
            <w:right w:w="108" w:type="dxa"/>
          </w:tblCellMar>
        </w:tblPrEx>
        <w:trPr>
          <w:trHeight w:val="465"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交换</w:t>
            </w:r>
            <w:r>
              <w:rPr>
                <w:rFonts w:ascii="宋体" w:hAnsi="宋体" w:cs="宋体"/>
                <w:sz w:val="24"/>
                <w:szCs w:val="24"/>
              </w:rPr>
              <w:t>性能</w:t>
            </w:r>
          </w:p>
        </w:tc>
        <w:tc>
          <w:tcPr>
            <w:tcW w:w="7093" w:type="dxa"/>
            <w:tcBorders>
              <w:top w:val="nil"/>
              <w:left w:val="single" w:color="auto" w:sz="4" w:space="0"/>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交换容量≥2Tbps，包转发率≥700Mpps，（若官网存在双指标，以较小为准）；双风扇，双电源；</w:t>
            </w:r>
          </w:p>
        </w:tc>
      </w:tr>
      <w:tr>
        <w:tblPrEx>
          <w:tblLayout w:type="fixed"/>
          <w:tblCellMar>
            <w:top w:w="0" w:type="dxa"/>
            <w:left w:w="108" w:type="dxa"/>
            <w:bottom w:w="0" w:type="dxa"/>
            <w:right w:w="108" w:type="dxa"/>
          </w:tblCellMar>
        </w:tblPrEx>
        <w:trPr>
          <w:trHeight w:val="465" w:hRule="atLeast"/>
          <w:jc w:val="center"/>
        </w:trPr>
        <w:tc>
          <w:tcPr>
            <w:tcW w:w="1261" w:type="dxa"/>
            <w:tcBorders>
              <w:top w:val="single" w:color="auto" w:sz="4" w:space="0"/>
              <w:left w:val="single" w:color="auto" w:sz="8" w:space="0"/>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堆叠</w:t>
            </w:r>
            <w:r>
              <w:rPr>
                <w:rFonts w:ascii="宋体" w:hAnsi="宋体" w:cs="宋体"/>
                <w:sz w:val="24"/>
                <w:szCs w:val="24"/>
              </w:rPr>
              <w:t>特性</w:t>
            </w:r>
          </w:p>
        </w:tc>
        <w:tc>
          <w:tcPr>
            <w:tcW w:w="7093" w:type="dxa"/>
            <w:tcBorders>
              <w:top w:val="nil"/>
              <w:left w:val="nil"/>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最大支持≥2台设备的堆叠，支持纵向虚拟化（提供第三方检测报告）；</w:t>
            </w:r>
          </w:p>
        </w:tc>
      </w:tr>
      <w:tr>
        <w:tblPrEx>
          <w:tblLayout w:type="fixed"/>
          <w:tblCellMar>
            <w:top w:w="0" w:type="dxa"/>
            <w:left w:w="108" w:type="dxa"/>
            <w:bottom w:w="0" w:type="dxa"/>
            <w:right w:w="108" w:type="dxa"/>
          </w:tblCellMar>
        </w:tblPrEx>
        <w:trPr>
          <w:trHeight w:val="420" w:hRule="atLeast"/>
          <w:jc w:val="center"/>
        </w:trPr>
        <w:tc>
          <w:tcPr>
            <w:tcW w:w="1261" w:type="dxa"/>
            <w:tcBorders>
              <w:top w:val="nil"/>
              <w:left w:val="single" w:color="auto" w:sz="8" w:space="0"/>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固定接口</w:t>
            </w:r>
          </w:p>
        </w:tc>
        <w:tc>
          <w:tcPr>
            <w:tcW w:w="7093" w:type="dxa"/>
            <w:tcBorders>
              <w:top w:val="nil"/>
              <w:left w:val="nil"/>
              <w:bottom w:val="single" w:color="auto" w:sz="8" w:space="0"/>
              <w:right w:val="single" w:color="auto" w:sz="8" w:space="0"/>
            </w:tcBorders>
            <w:noWrap w:val="0"/>
            <w:vAlign w:val="center"/>
          </w:tcPr>
          <w:p>
            <w:pPr>
              <w:rPr>
                <w:rFonts w:hint="eastAsia" w:ascii="宋体" w:hAnsi="宋体" w:cs="宋体"/>
                <w:sz w:val="24"/>
                <w:szCs w:val="24"/>
              </w:rPr>
            </w:pPr>
            <w:r>
              <w:rPr>
                <w:rFonts w:hint="eastAsia" w:ascii="宋体" w:hAnsi="宋体" w:cs="宋体"/>
                <w:sz w:val="24"/>
                <w:szCs w:val="24"/>
              </w:rPr>
              <w:t>24个万兆光端口，2个40G接口；</w:t>
            </w:r>
          </w:p>
        </w:tc>
      </w:tr>
      <w:tr>
        <w:tblPrEx>
          <w:tblLayout w:type="fixed"/>
          <w:tblCellMar>
            <w:top w:w="0" w:type="dxa"/>
            <w:left w:w="108" w:type="dxa"/>
            <w:bottom w:w="0" w:type="dxa"/>
            <w:right w:w="108" w:type="dxa"/>
          </w:tblCellMar>
        </w:tblPrEx>
        <w:trPr>
          <w:trHeight w:val="90"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产品</w:t>
            </w:r>
            <w:r>
              <w:rPr>
                <w:rFonts w:ascii="宋体" w:hAnsi="宋体" w:cs="宋体"/>
                <w:sz w:val="24"/>
                <w:szCs w:val="24"/>
              </w:rPr>
              <w:t>实配</w:t>
            </w:r>
          </w:p>
        </w:tc>
        <w:tc>
          <w:tcPr>
            <w:tcW w:w="70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单台实配：双电源，双风扇，10GE光接口≥24，40GE QSFP+接口≥2，万兆多模光模块≥14；</w:t>
            </w:r>
          </w:p>
        </w:tc>
      </w:tr>
      <w:tr>
        <w:tblPrEx>
          <w:tblLayout w:type="fixed"/>
          <w:tblCellMar>
            <w:top w:w="0" w:type="dxa"/>
            <w:left w:w="108" w:type="dxa"/>
            <w:bottom w:w="0" w:type="dxa"/>
            <w:right w:w="108" w:type="dxa"/>
          </w:tblCellMar>
        </w:tblPrEx>
        <w:trPr>
          <w:trHeight w:val="90"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cs="宋体"/>
                <w:sz w:val="24"/>
                <w:szCs w:val="24"/>
              </w:rPr>
              <w:t>质保</w:t>
            </w:r>
          </w:p>
        </w:tc>
        <w:tc>
          <w:tcPr>
            <w:tcW w:w="709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sz w:val="24"/>
                <w:szCs w:val="24"/>
              </w:rPr>
            </w:pPr>
            <w:r>
              <w:rPr>
                <w:rFonts w:hint="eastAsia" w:ascii="宋体" w:hAnsi="宋体" w:cs="宋体"/>
                <w:sz w:val="24"/>
                <w:szCs w:val="24"/>
              </w:rPr>
              <w:t>原厂五年质保，中标后签订合同前提供原厂商质保承诺函。</w:t>
            </w:r>
          </w:p>
        </w:tc>
      </w:tr>
    </w:tbl>
    <w:p>
      <w:pPr>
        <w:pStyle w:val="31"/>
        <w:tabs>
          <w:tab w:val="left" w:pos="760"/>
        </w:tabs>
        <w:ind w:firstLine="0" w:firstLineChars="0"/>
        <w:outlineLvl w:val="1"/>
        <w:rPr>
          <w:rFonts w:hint="eastAsia" w:ascii="宋体" w:hAnsi="宋体"/>
          <w:b/>
          <w:color w:val="000000"/>
          <w:sz w:val="24"/>
          <w:szCs w:val="24"/>
        </w:rPr>
      </w:pPr>
    </w:p>
    <w:p>
      <w:pPr>
        <w:pStyle w:val="31"/>
        <w:tabs>
          <w:tab w:val="left" w:pos="760"/>
        </w:tabs>
        <w:ind w:firstLine="0" w:firstLineChars="0"/>
        <w:outlineLvl w:val="1"/>
        <w:rPr>
          <w:rFonts w:hint="eastAsia" w:ascii="宋体" w:hAnsi="宋体"/>
          <w:b/>
          <w:color w:val="000000"/>
          <w:sz w:val="24"/>
          <w:szCs w:val="24"/>
        </w:rPr>
      </w:pPr>
      <w:r>
        <w:rPr>
          <w:rFonts w:hint="eastAsia" w:ascii="宋体" w:hAnsi="宋体"/>
          <w:b/>
          <w:color w:val="000000"/>
          <w:sz w:val="24"/>
          <w:szCs w:val="24"/>
        </w:rPr>
        <w:t>17.可信代理控制服务（1台）</w:t>
      </w:r>
    </w:p>
    <w:tbl>
      <w:tblPr>
        <w:tblStyle w:val="23"/>
        <w:tblpPr w:leftFromText="180" w:rightFromText="180" w:vertAnchor="text" w:horzAnchor="page" w:tblpX="1856" w:tblpY="723"/>
        <w:tblOverlap w:val="never"/>
        <w:tblW w:w="83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72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135"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指标项</w:t>
            </w:r>
          </w:p>
        </w:tc>
        <w:tc>
          <w:tcPr>
            <w:tcW w:w="7209"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技术指标及参数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trPr>
        <w:tc>
          <w:tcPr>
            <w:tcW w:w="1135" w:type="dxa"/>
            <w:vMerge w:val="restart"/>
            <w:noWrap w:val="0"/>
            <w:vAlign w:val="center"/>
          </w:tcPr>
          <w:p>
            <w:pPr>
              <w:rPr>
                <w:rFonts w:hint="eastAsia" w:ascii="宋体" w:hAnsi="宋体" w:eastAsia="宋体" w:cs="宋体"/>
                <w:sz w:val="24"/>
                <w:szCs w:val="24"/>
              </w:rPr>
            </w:pPr>
            <w:r>
              <w:rPr>
                <w:rFonts w:hint="eastAsia" w:ascii="宋体" w:hAnsi="宋体" w:eastAsia="宋体" w:cs="宋体"/>
                <w:sz w:val="24"/>
                <w:szCs w:val="24"/>
              </w:rPr>
              <w:t>基本参数</w:t>
            </w:r>
          </w:p>
        </w:tc>
        <w:tc>
          <w:tcPr>
            <w:tcW w:w="720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标配冗余电源（550W）；内存≥128G，≥1T硬盘；≥4*千兆电口; ≥2个万兆光口。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1135" w:type="dxa"/>
            <w:vMerge w:val="continue"/>
            <w:noWrap w:val="0"/>
            <w:vAlign w:val="center"/>
          </w:tcPr>
          <w:p>
            <w:pPr>
              <w:rPr>
                <w:rFonts w:hint="eastAsia" w:ascii="宋体" w:hAnsi="宋体" w:eastAsia="宋体" w:cs="宋体"/>
                <w:sz w:val="24"/>
                <w:szCs w:val="24"/>
              </w:rPr>
            </w:pPr>
          </w:p>
        </w:tc>
        <w:tc>
          <w:tcPr>
            <w:tcW w:w="720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最大并发用户数≥1000，每秒新建连接数≥7000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135" w:type="dxa"/>
            <w:vMerge w:val="continue"/>
            <w:noWrap w:val="0"/>
            <w:vAlign w:val="center"/>
          </w:tcPr>
          <w:p>
            <w:pPr>
              <w:rPr>
                <w:rFonts w:hint="eastAsia" w:ascii="宋体" w:hAnsi="宋体" w:eastAsia="宋体" w:cs="宋体"/>
                <w:sz w:val="24"/>
                <w:szCs w:val="24"/>
              </w:rPr>
            </w:pPr>
          </w:p>
        </w:tc>
        <w:tc>
          <w:tcPr>
            <w:tcW w:w="720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每秒权限判定数QPS≥3000；支持集群部署，QPS线性可扩展；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trPr>
        <w:tc>
          <w:tcPr>
            <w:tcW w:w="1135" w:type="dxa"/>
            <w:vMerge w:val="continue"/>
            <w:noWrap w:val="0"/>
            <w:vAlign w:val="center"/>
          </w:tcPr>
          <w:p>
            <w:pPr>
              <w:rPr>
                <w:rFonts w:hint="eastAsia" w:ascii="宋体" w:hAnsi="宋体" w:eastAsia="宋体" w:cs="宋体"/>
                <w:sz w:val="24"/>
                <w:szCs w:val="24"/>
              </w:rPr>
            </w:pPr>
          </w:p>
        </w:tc>
        <w:tc>
          <w:tcPr>
            <w:tcW w:w="720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支持SM1、SM2、SM3、SM4国密算法；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2" w:hRule="atLeast"/>
        </w:trPr>
        <w:tc>
          <w:tcPr>
            <w:tcW w:w="1135" w:type="dxa"/>
            <w:noWrap w:val="0"/>
            <w:vAlign w:val="center"/>
          </w:tcPr>
          <w:p>
            <w:pPr>
              <w:widowControl/>
              <w:rPr>
                <w:rFonts w:hint="eastAsia" w:ascii="宋体" w:hAnsi="宋体" w:eastAsia="宋体" w:cs="宋体"/>
                <w:sz w:val="24"/>
                <w:szCs w:val="24"/>
              </w:rPr>
            </w:pPr>
            <w:r>
              <w:rPr>
                <w:rFonts w:hint="eastAsia" w:ascii="宋体" w:hAnsi="宋体" w:eastAsia="宋体" w:cs="宋体"/>
                <w:sz w:val="24"/>
                <w:szCs w:val="24"/>
              </w:rPr>
              <w:t>备用设备要求</w:t>
            </w:r>
          </w:p>
        </w:tc>
        <w:tc>
          <w:tcPr>
            <w:tcW w:w="720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▲为确保系统高可用性和稳定，在5年服务期内，本次项目要求在用户现场提供相同型号的可信代理控制服务备用设备一台，设备产权归原厂商所有。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135" w:type="dxa"/>
            <w:vMerge w:val="restart"/>
            <w:noWrap w:val="0"/>
            <w:vAlign w:val="center"/>
          </w:tcPr>
          <w:p>
            <w:pPr>
              <w:widowControl/>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rPr>
                <w:rFonts w:hint="eastAsia" w:ascii="宋体" w:hAnsi="宋体" w:eastAsia="宋体" w:cs="宋体"/>
                <w:sz w:val="24"/>
                <w:szCs w:val="24"/>
              </w:rPr>
            </w:pPr>
          </w:p>
          <w:p>
            <w:pPr>
              <w:pStyle w:val="2"/>
              <w:ind w:firstLine="0"/>
              <w:rPr>
                <w:rFonts w:hint="eastAsia" w:ascii="宋体" w:hAnsi="宋体" w:eastAsia="宋体" w:cs="宋体"/>
                <w:sz w:val="24"/>
                <w:szCs w:val="24"/>
              </w:rPr>
            </w:pPr>
            <w:r>
              <w:rPr>
                <w:rFonts w:hint="eastAsia" w:ascii="宋体" w:hAnsi="宋体" w:eastAsia="宋体" w:cs="宋体"/>
                <w:sz w:val="24"/>
                <w:szCs w:val="24"/>
              </w:rPr>
              <w:t>功能规格</w:t>
            </w:r>
          </w:p>
          <w:p>
            <w:pPr>
              <w:pStyle w:val="2"/>
              <w:rPr>
                <w:rFonts w:hint="eastAsia" w:ascii="宋体" w:hAnsi="宋体" w:eastAsia="宋体" w:cs="宋体"/>
                <w:sz w:val="24"/>
                <w:szCs w:val="24"/>
              </w:rPr>
            </w:pPr>
          </w:p>
        </w:tc>
        <w:tc>
          <w:tcPr>
            <w:tcW w:w="720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支持短信验证码、邮箱验证码方式认证；额外支持指纹、人脸等；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trPr>
        <w:tc>
          <w:tcPr>
            <w:tcW w:w="1135" w:type="dxa"/>
            <w:vMerge w:val="continue"/>
            <w:noWrap w:val="0"/>
            <w:vAlign w:val="center"/>
          </w:tcPr>
          <w:p>
            <w:pPr>
              <w:widowControl/>
              <w:rPr>
                <w:rFonts w:hint="eastAsia" w:ascii="宋体" w:hAnsi="宋体" w:eastAsia="宋体" w:cs="宋体"/>
                <w:sz w:val="24"/>
                <w:szCs w:val="24"/>
              </w:rPr>
            </w:pPr>
          </w:p>
        </w:tc>
        <w:tc>
          <w:tcPr>
            <w:tcW w:w="720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支持LDAP、RADIUS、POP3、SMTP、IMAP、HTTP、HTTPS第三方协议认证方式；支额外持kerberos协议；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7" w:hRule="atLeast"/>
        </w:trPr>
        <w:tc>
          <w:tcPr>
            <w:tcW w:w="1135" w:type="dxa"/>
            <w:vMerge w:val="continue"/>
            <w:noWrap w:val="0"/>
            <w:vAlign w:val="center"/>
          </w:tcPr>
          <w:p>
            <w:pPr>
              <w:widowControl/>
              <w:rPr>
                <w:rFonts w:hint="eastAsia" w:ascii="宋体" w:hAnsi="宋体" w:eastAsia="宋体" w:cs="宋体"/>
                <w:sz w:val="24"/>
                <w:szCs w:val="24"/>
              </w:rPr>
            </w:pPr>
          </w:p>
        </w:tc>
        <w:tc>
          <w:tcPr>
            <w:tcW w:w="720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支持MYSQL、SYBASE、SQL-SERVER、ORACLE、DB2数据库认证方式；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trPr>
        <w:tc>
          <w:tcPr>
            <w:tcW w:w="1135" w:type="dxa"/>
            <w:vMerge w:val="continue"/>
            <w:noWrap w:val="0"/>
            <w:vAlign w:val="center"/>
          </w:tcPr>
          <w:p>
            <w:pPr>
              <w:widowControl/>
              <w:rPr>
                <w:rFonts w:hint="eastAsia" w:ascii="宋体" w:hAnsi="宋体" w:eastAsia="宋体" w:cs="宋体"/>
                <w:sz w:val="24"/>
                <w:szCs w:val="24"/>
              </w:rPr>
            </w:pPr>
          </w:p>
        </w:tc>
        <w:tc>
          <w:tcPr>
            <w:tcW w:w="720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支持可信接入（应用）代理集群的统一管理，统一配置管理维护。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1135" w:type="dxa"/>
            <w:vMerge w:val="continue"/>
            <w:noWrap w:val="0"/>
            <w:vAlign w:val="center"/>
          </w:tcPr>
          <w:p>
            <w:pPr>
              <w:widowControl/>
              <w:rPr>
                <w:rFonts w:hint="eastAsia" w:ascii="宋体" w:hAnsi="宋体" w:eastAsia="宋体" w:cs="宋体"/>
                <w:sz w:val="24"/>
                <w:szCs w:val="24"/>
              </w:rPr>
            </w:pPr>
          </w:p>
        </w:tc>
        <w:tc>
          <w:tcPr>
            <w:tcW w:w="720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支持可信（应用）API代理集群的统一管理，统一配置管理维护。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1135" w:type="dxa"/>
            <w:vMerge w:val="continue"/>
            <w:noWrap w:val="0"/>
            <w:vAlign w:val="center"/>
          </w:tcPr>
          <w:p>
            <w:pPr>
              <w:widowControl/>
              <w:rPr>
                <w:rFonts w:hint="eastAsia" w:ascii="宋体" w:hAnsi="宋体" w:eastAsia="宋体" w:cs="宋体"/>
                <w:sz w:val="24"/>
                <w:szCs w:val="24"/>
              </w:rPr>
            </w:pPr>
          </w:p>
        </w:tc>
        <w:tc>
          <w:tcPr>
            <w:tcW w:w="7209"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支持提供应用、API等集中管理和鉴权，提供截图证明；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trPr>
        <w:tc>
          <w:tcPr>
            <w:tcW w:w="1135" w:type="dxa"/>
            <w:vMerge w:val="continue"/>
            <w:noWrap w:val="0"/>
            <w:vAlign w:val="center"/>
          </w:tcPr>
          <w:p>
            <w:pPr>
              <w:widowControl/>
              <w:rPr>
                <w:rFonts w:hint="eastAsia" w:ascii="宋体" w:hAnsi="宋体" w:eastAsia="宋体" w:cs="宋体"/>
                <w:sz w:val="24"/>
                <w:szCs w:val="24"/>
              </w:rPr>
            </w:pPr>
          </w:p>
        </w:tc>
        <w:tc>
          <w:tcPr>
            <w:tcW w:w="7209"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支持运用缓存技术，提高鉴权性能，以支撑大用户量高并发访问，提供截图证明；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35" w:type="dxa"/>
            <w:vMerge w:val="continue"/>
            <w:noWrap w:val="0"/>
            <w:vAlign w:val="center"/>
          </w:tcPr>
          <w:p>
            <w:pPr>
              <w:widowControl/>
              <w:rPr>
                <w:rFonts w:hint="eastAsia" w:ascii="宋体" w:hAnsi="宋体" w:eastAsia="宋体" w:cs="宋体"/>
                <w:sz w:val="24"/>
                <w:szCs w:val="24"/>
              </w:rPr>
            </w:pPr>
          </w:p>
        </w:tc>
        <w:tc>
          <w:tcPr>
            <w:tcW w:w="7209"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支持通过Web界面对用户、应用的角色进行管理，支持对角色的分配；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trPr>
        <w:tc>
          <w:tcPr>
            <w:tcW w:w="1135" w:type="dxa"/>
            <w:vMerge w:val="continue"/>
            <w:noWrap w:val="0"/>
            <w:vAlign w:val="center"/>
          </w:tcPr>
          <w:p>
            <w:pPr>
              <w:widowControl/>
              <w:rPr>
                <w:rFonts w:hint="eastAsia" w:ascii="宋体" w:hAnsi="宋体" w:eastAsia="宋体" w:cs="宋体"/>
                <w:sz w:val="24"/>
                <w:szCs w:val="24"/>
              </w:rPr>
            </w:pPr>
          </w:p>
        </w:tc>
        <w:tc>
          <w:tcPr>
            <w:tcW w:w="7209"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权限管理联动：支持与权限管理联动，获取应用、API、运维的权限列表;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135" w:type="dxa"/>
            <w:vMerge w:val="continue"/>
            <w:noWrap w:val="0"/>
            <w:vAlign w:val="center"/>
          </w:tcPr>
          <w:p>
            <w:pPr>
              <w:widowControl/>
              <w:rPr>
                <w:rFonts w:hint="eastAsia" w:ascii="宋体" w:hAnsi="宋体" w:eastAsia="宋体" w:cs="宋体"/>
                <w:sz w:val="24"/>
                <w:szCs w:val="24"/>
              </w:rPr>
            </w:pPr>
          </w:p>
        </w:tc>
        <w:tc>
          <w:tcPr>
            <w:tcW w:w="7209"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权限变更订阅：支持订阅授权服务的权限变更服务，实时获取最新权限;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135" w:type="dxa"/>
            <w:vMerge w:val="continue"/>
            <w:noWrap w:val="0"/>
            <w:vAlign w:val="center"/>
          </w:tcPr>
          <w:p>
            <w:pPr>
              <w:widowControl/>
              <w:rPr>
                <w:rFonts w:hint="eastAsia" w:ascii="宋体" w:hAnsi="宋体" w:eastAsia="宋体" w:cs="宋体"/>
                <w:sz w:val="24"/>
                <w:szCs w:val="24"/>
              </w:rPr>
            </w:pPr>
          </w:p>
        </w:tc>
        <w:tc>
          <w:tcPr>
            <w:tcW w:w="7209"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权限判定：支持为可信接入代理、可信API代理、可信运维代理提供实时的访问权限判定;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135" w:type="dxa"/>
            <w:vMerge w:val="continue"/>
            <w:noWrap w:val="0"/>
            <w:vAlign w:val="center"/>
          </w:tcPr>
          <w:p>
            <w:pPr>
              <w:widowControl/>
              <w:rPr>
                <w:rFonts w:hint="eastAsia" w:ascii="宋体" w:hAnsi="宋体" w:eastAsia="宋体" w:cs="宋体"/>
                <w:sz w:val="24"/>
                <w:szCs w:val="24"/>
              </w:rPr>
            </w:pPr>
          </w:p>
        </w:tc>
        <w:tc>
          <w:tcPr>
            <w:tcW w:w="7209"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会话管理：支持为可信接入代理、可信API代理、可信运维代理提供集中的代理连接会话管理;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135" w:type="dxa"/>
            <w:vMerge w:val="continue"/>
            <w:noWrap w:val="0"/>
            <w:vAlign w:val="center"/>
          </w:tcPr>
          <w:p>
            <w:pPr>
              <w:widowControl/>
              <w:rPr>
                <w:rFonts w:hint="eastAsia" w:ascii="宋体" w:hAnsi="宋体" w:eastAsia="宋体" w:cs="宋体"/>
                <w:sz w:val="24"/>
                <w:szCs w:val="24"/>
              </w:rPr>
            </w:pPr>
          </w:p>
        </w:tc>
        <w:tc>
          <w:tcPr>
            <w:tcW w:w="7209"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风险感知和分析：支持和终端环境感知、行为分析等风险分析平台联动，实时接收风险通报， 并结合代理会话状态、权限列表、访问日志等信息进行综合分析，实时变更权限，实时撤销风 险会话;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135" w:type="dxa"/>
            <w:vMerge w:val="continue"/>
            <w:noWrap w:val="0"/>
            <w:vAlign w:val="center"/>
          </w:tcPr>
          <w:p>
            <w:pPr>
              <w:widowControl/>
              <w:rPr>
                <w:rFonts w:hint="eastAsia" w:ascii="宋体" w:hAnsi="宋体" w:eastAsia="宋体" w:cs="宋体"/>
                <w:sz w:val="24"/>
                <w:szCs w:val="24"/>
              </w:rPr>
            </w:pPr>
          </w:p>
        </w:tc>
        <w:tc>
          <w:tcPr>
            <w:tcW w:w="7209"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风险联动通报：支持将风险和异常信息通报给认证服务。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135" w:type="dxa"/>
            <w:vMerge w:val="continue"/>
            <w:noWrap w:val="0"/>
            <w:vAlign w:val="center"/>
          </w:tcPr>
          <w:p>
            <w:pPr>
              <w:widowControl/>
              <w:rPr>
                <w:rFonts w:hint="eastAsia" w:ascii="宋体" w:hAnsi="宋体" w:eastAsia="宋体" w:cs="宋体"/>
                <w:sz w:val="24"/>
                <w:szCs w:val="24"/>
              </w:rPr>
            </w:pPr>
          </w:p>
        </w:tc>
        <w:tc>
          <w:tcPr>
            <w:tcW w:w="7209"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集中配置管理：支持对可信接入代理、可信API代理、可信运维代理进行集中配置及配置更改等;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135" w:type="dxa"/>
            <w:vMerge w:val="continue"/>
            <w:noWrap w:val="0"/>
            <w:vAlign w:val="center"/>
          </w:tcPr>
          <w:p>
            <w:pPr>
              <w:widowControl/>
              <w:rPr>
                <w:rFonts w:hint="eastAsia" w:ascii="宋体" w:hAnsi="宋体" w:eastAsia="宋体" w:cs="宋体"/>
                <w:sz w:val="24"/>
                <w:szCs w:val="24"/>
              </w:rPr>
            </w:pPr>
          </w:p>
        </w:tc>
        <w:tc>
          <w:tcPr>
            <w:tcW w:w="7209"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日志审计：提供用户登陆日志、用户操作日志、系统运行日志等信息采集、管理及审计，并支持日志服务器上报。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135" w:type="dxa"/>
            <w:vMerge w:val="continue"/>
            <w:noWrap w:val="0"/>
            <w:vAlign w:val="center"/>
          </w:tcPr>
          <w:p>
            <w:pPr>
              <w:widowControl/>
              <w:rPr>
                <w:rFonts w:hint="eastAsia" w:ascii="宋体" w:hAnsi="宋体" w:eastAsia="宋体" w:cs="宋体"/>
                <w:sz w:val="24"/>
                <w:szCs w:val="24"/>
              </w:rPr>
            </w:pPr>
          </w:p>
        </w:tc>
        <w:tc>
          <w:tcPr>
            <w:tcW w:w="7209"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高可用性：支持通过负载均衡、集群部署等形式，确保认证服务的持续可用;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2" w:hRule="atLeast"/>
        </w:trPr>
        <w:tc>
          <w:tcPr>
            <w:tcW w:w="1135"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公安PKI CA证书双向认证</w:t>
            </w:r>
          </w:p>
        </w:tc>
        <w:tc>
          <w:tcPr>
            <w:tcW w:w="720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支持可信CA导入/导出管理，支持PEM/DER/PCKS7证书格式导入；支持双向证书认证机制；提供证书过滤、用户/组织关系、用户名+证书多重认证开启功能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35"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云桌面适配</w:t>
            </w:r>
          </w:p>
        </w:tc>
        <w:tc>
          <w:tcPr>
            <w:tcW w:w="720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要求支持本次项目云桌面系统联动。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135"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服务要求</w:t>
            </w:r>
          </w:p>
        </w:tc>
        <w:tc>
          <w:tcPr>
            <w:tcW w:w="7209"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提供原厂商5年免费质保和软件升级服务</w:t>
            </w:r>
          </w:p>
        </w:tc>
      </w:tr>
    </w:tbl>
    <w:p>
      <w:pPr>
        <w:pStyle w:val="31"/>
        <w:tabs>
          <w:tab w:val="left" w:pos="760"/>
        </w:tabs>
        <w:ind w:firstLine="0" w:firstLineChars="0"/>
        <w:outlineLvl w:val="1"/>
        <w:rPr>
          <w:rFonts w:hint="eastAsia" w:ascii="宋体" w:hAnsi="宋体"/>
          <w:b/>
          <w:color w:val="000000"/>
          <w:sz w:val="24"/>
          <w:szCs w:val="24"/>
        </w:rPr>
      </w:pPr>
    </w:p>
    <w:p>
      <w:pPr>
        <w:pStyle w:val="31"/>
        <w:tabs>
          <w:tab w:val="left" w:pos="760"/>
        </w:tabs>
        <w:ind w:firstLine="0" w:firstLineChars="0"/>
        <w:outlineLvl w:val="1"/>
        <w:rPr>
          <w:rFonts w:ascii="宋体" w:hAnsi="宋体"/>
          <w:b/>
          <w:color w:val="000000"/>
          <w:sz w:val="24"/>
          <w:szCs w:val="24"/>
        </w:rPr>
      </w:pPr>
      <w:r>
        <w:rPr>
          <w:rFonts w:hint="eastAsia" w:ascii="宋体" w:hAnsi="宋体"/>
          <w:b/>
          <w:color w:val="000000"/>
          <w:sz w:val="24"/>
          <w:szCs w:val="24"/>
        </w:rPr>
        <w:t>18.可信API代理（2台）</w:t>
      </w:r>
    </w:p>
    <w:tbl>
      <w:tblPr>
        <w:tblStyle w:val="23"/>
        <w:tblpPr w:leftFromText="180" w:rightFromText="180" w:vertAnchor="text" w:horzAnchor="page" w:tblpX="1919" w:tblpY="365"/>
        <w:tblOverlap w:val="never"/>
        <w:tblW w:w="83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0"/>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0" w:hRule="atLeast"/>
        </w:trPr>
        <w:tc>
          <w:tcPr>
            <w:tcW w:w="1220"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指标项</w:t>
            </w:r>
          </w:p>
        </w:tc>
        <w:tc>
          <w:tcPr>
            <w:tcW w:w="7087" w:type="dxa"/>
            <w:noWrap w:val="0"/>
            <w:vAlign w:val="center"/>
          </w:tcPr>
          <w:p>
            <w:pPr>
              <w:widowControl/>
              <w:jc w:val="center"/>
              <w:rPr>
                <w:rFonts w:hint="eastAsia" w:ascii="宋体" w:hAnsi="宋体" w:eastAsia="宋体" w:cs="宋体"/>
                <w:b/>
                <w:bCs/>
                <w:kern w:val="0"/>
                <w:sz w:val="24"/>
                <w:szCs w:val="24"/>
              </w:rPr>
            </w:pPr>
            <w:r>
              <w:rPr>
                <w:rFonts w:hint="eastAsia" w:ascii="宋体" w:hAnsi="宋体" w:eastAsia="宋体" w:cs="宋体"/>
                <w:b/>
                <w:bCs/>
                <w:kern w:val="0"/>
                <w:sz w:val="24"/>
                <w:szCs w:val="24"/>
              </w:rPr>
              <w:t>技术指标及参数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trPr>
        <w:tc>
          <w:tcPr>
            <w:tcW w:w="1220" w:type="dxa"/>
            <w:vMerge w:val="restart"/>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基本参数</w:t>
            </w:r>
          </w:p>
        </w:tc>
        <w:tc>
          <w:tcPr>
            <w:tcW w:w="7087"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冗余电源，CPU性能≥ Intel（R）Core（TM）i5-2400CPU@3.10GHz，内存≥8G，硬盘≥1T，≥6个千兆电口。支持软件化部署。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trPr>
        <w:tc>
          <w:tcPr>
            <w:tcW w:w="1220" w:type="dxa"/>
            <w:vMerge w:val="continue"/>
            <w:noWrap w:val="0"/>
            <w:vAlign w:val="center"/>
          </w:tcPr>
          <w:p>
            <w:pPr>
              <w:jc w:val="center"/>
              <w:rPr>
                <w:rFonts w:hint="eastAsia" w:ascii="宋体" w:hAnsi="宋体" w:eastAsia="宋体" w:cs="宋体"/>
                <w:sz w:val="24"/>
                <w:szCs w:val="24"/>
              </w:rPr>
            </w:pPr>
          </w:p>
        </w:tc>
        <w:tc>
          <w:tcPr>
            <w:tcW w:w="7087"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支持集群扩展；支持HTTP/HTTPSAPI数量≥100;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220" w:type="dxa"/>
            <w:vMerge w:val="continue"/>
            <w:noWrap w:val="0"/>
            <w:vAlign w:val="center"/>
          </w:tcPr>
          <w:p>
            <w:pPr>
              <w:rPr>
                <w:rFonts w:hint="eastAsia" w:ascii="宋体" w:hAnsi="宋体" w:eastAsia="宋体" w:cs="宋体"/>
                <w:sz w:val="24"/>
                <w:szCs w:val="24"/>
              </w:rPr>
            </w:pPr>
          </w:p>
        </w:tc>
        <w:tc>
          <w:tcPr>
            <w:tcW w:w="7087" w:type="dxa"/>
            <w:noWrap w:val="0"/>
            <w:vAlign w:val="center"/>
          </w:tcPr>
          <w:p>
            <w:pPr>
              <w:rPr>
                <w:rFonts w:hint="eastAsia" w:ascii="宋体" w:hAnsi="宋体" w:eastAsia="宋体" w:cs="宋体"/>
                <w:sz w:val="24"/>
                <w:szCs w:val="24"/>
              </w:rPr>
            </w:pPr>
            <w:r>
              <w:rPr>
                <w:rFonts w:hint="eastAsia" w:ascii="宋体" w:hAnsi="宋体" w:eastAsia="宋体" w:cs="宋体"/>
                <w:sz w:val="24"/>
                <w:szCs w:val="24"/>
              </w:rPr>
              <w:t>加密吞吐≥5Gbps，最大并发连接数≥50000，RPS≥40000；支持SM1、SM2、SM3、SM4国密算法，SM2签名（次/秒）≥12600,SM2验证（次/秒）≥4500,SM2密钥对生成（tps）≥10000，SM1加密/解密≥1Gbps，SM4加密/解密≥4Gbps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220" w:type="dxa"/>
            <w:vMerge w:val="restart"/>
            <w:noWrap w:val="0"/>
            <w:vAlign w:val="top"/>
          </w:tcPr>
          <w:p>
            <w:pPr>
              <w:rPr>
                <w:rFonts w:hint="eastAsia" w:ascii="宋体" w:hAnsi="宋体" w:eastAsia="宋体" w:cs="宋体"/>
                <w:sz w:val="24"/>
                <w:szCs w:val="24"/>
              </w:rPr>
            </w:pPr>
          </w:p>
        </w:tc>
        <w:tc>
          <w:tcPr>
            <w:tcW w:w="7087"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请求代理转发：支持接收应用发起的API访问请求，识别请求中的主体、客体和操作并向可信代理控制服务发起授权请求；支持对授权通过的请求进行流量转发，并实现令牌或权限信息传递；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220" w:type="dxa"/>
            <w:vMerge w:val="continue"/>
            <w:noWrap w:val="0"/>
            <w:vAlign w:val="top"/>
          </w:tcPr>
          <w:p>
            <w:pPr>
              <w:jc w:val="center"/>
              <w:rPr>
                <w:rFonts w:hint="eastAsia" w:ascii="宋体" w:hAnsi="宋体" w:eastAsia="宋体" w:cs="宋体"/>
                <w:sz w:val="24"/>
                <w:szCs w:val="24"/>
              </w:rPr>
            </w:pPr>
          </w:p>
        </w:tc>
        <w:tc>
          <w:tcPr>
            <w:tcW w:w="7087"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流量管控：支持对应用请求信息进行流量控制，支持基于请求内容大小、请求速度、请求连接数和访问时段等参数进行流量控制，支持监控被保护应用的流量状态，分析流量异常，支持实时流量监控、历史流量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220" w:type="dxa"/>
            <w:vMerge w:val="continue"/>
            <w:noWrap w:val="0"/>
            <w:vAlign w:val="top"/>
          </w:tcPr>
          <w:p>
            <w:pPr>
              <w:jc w:val="center"/>
              <w:rPr>
                <w:rFonts w:hint="eastAsia" w:ascii="宋体" w:hAnsi="宋体" w:eastAsia="宋体" w:cs="宋体"/>
                <w:sz w:val="24"/>
                <w:szCs w:val="24"/>
              </w:rPr>
            </w:pPr>
          </w:p>
        </w:tc>
        <w:tc>
          <w:tcPr>
            <w:tcW w:w="7087"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熔断机制：支持对API调用启用超时熔断机制，提供主动熔断和被动熔断；支持多维度检查项，检查项可配置，包括：错误率、失败次数、超时时间、并发数；对于以熔断的服务进行自动检测，满足上线要求，自动上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220" w:type="dxa"/>
            <w:vMerge w:val="continue"/>
            <w:noWrap w:val="0"/>
            <w:vAlign w:val="top"/>
          </w:tcPr>
          <w:p>
            <w:pPr>
              <w:jc w:val="center"/>
              <w:rPr>
                <w:rFonts w:hint="eastAsia" w:ascii="宋体" w:hAnsi="宋体" w:eastAsia="宋体" w:cs="宋体"/>
                <w:sz w:val="24"/>
                <w:szCs w:val="24"/>
              </w:rPr>
            </w:pPr>
          </w:p>
        </w:tc>
        <w:tc>
          <w:tcPr>
            <w:tcW w:w="7087"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访问控制：代理平台具备动态的访问控制执行能力。当API调用者的主体环境发生变化时，代理平台可接收可信访问控制服务提供者的策略更新通知并执：当前API调用者被服务提供者判定为存在安全威胁时，代理平台将终止当前的API访问会话；当API调用者被判定为安全认证强度不足时，代理平台将通知认证服务提供者对当前API调用者进行强制的二次认证。当API在一定时间内未使用后，代理平台将终止当前的API访问会话，若再次使用，再次对行API使用者进行身份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220" w:type="dxa"/>
            <w:vMerge w:val="continue"/>
            <w:noWrap w:val="0"/>
            <w:vAlign w:val="top"/>
          </w:tcPr>
          <w:p>
            <w:pPr>
              <w:jc w:val="center"/>
              <w:rPr>
                <w:rFonts w:hint="eastAsia" w:ascii="宋体" w:hAnsi="宋体" w:eastAsia="宋体" w:cs="宋体"/>
                <w:sz w:val="24"/>
                <w:szCs w:val="24"/>
              </w:rPr>
            </w:pPr>
          </w:p>
        </w:tc>
        <w:tc>
          <w:tcPr>
            <w:tcW w:w="7087"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日志审计：支持记录API授权日志、网络访问流量统计等信息，包括用户身份、终端信息、时间、目标应用及接口、流量等信息，并进行日志上报，便于实现对API访问进行审计及安全风险分析；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220" w:type="dxa"/>
            <w:vMerge w:val="continue"/>
            <w:noWrap w:val="0"/>
            <w:vAlign w:val="top"/>
          </w:tcPr>
          <w:p>
            <w:pPr>
              <w:jc w:val="center"/>
              <w:rPr>
                <w:rFonts w:hint="eastAsia" w:ascii="宋体" w:hAnsi="宋体" w:eastAsia="宋体" w:cs="宋体"/>
                <w:sz w:val="24"/>
                <w:szCs w:val="24"/>
              </w:rPr>
            </w:pPr>
          </w:p>
        </w:tc>
        <w:tc>
          <w:tcPr>
            <w:tcW w:w="7087"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通道安全：支持通过国密SSL协议对业务流量进行加密，对应对保存国密SSL证书进行保护；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220" w:type="dxa"/>
            <w:vMerge w:val="continue"/>
            <w:noWrap w:val="0"/>
            <w:vAlign w:val="top"/>
          </w:tcPr>
          <w:p>
            <w:pPr>
              <w:jc w:val="center"/>
              <w:rPr>
                <w:rFonts w:hint="eastAsia" w:ascii="宋体" w:hAnsi="宋体" w:eastAsia="宋体" w:cs="宋体"/>
                <w:sz w:val="24"/>
                <w:szCs w:val="24"/>
              </w:rPr>
            </w:pPr>
          </w:p>
        </w:tc>
        <w:tc>
          <w:tcPr>
            <w:tcW w:w="7087"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高可用性：支持通过负载均衡或集群扩展的形式，确保服务的持续可用。支持3台以上集群部署，提供3台以上实际部署证明材料。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220" w:type="dxa"/>
            <w:vMerge w:val="continue"/>
            <w:noWrap w:val="0"/>
            <w:vAlign w:val="top"/>
          </w:tcPr>
          <w:p>
            <w:pPr>
              <w:jc w:val="center"/>
              <w:rPr>
                <w:rFonts w:hint="eastAsia" w:ascii="宋体" w:hAnsi="宋体" w:eastAsia="宋体" w:cs="宋体"/>
                <w:sz w:val="24"/>
                <w:szCs w:val="24"/>
              </w:rPr>
            </w:pPr>
          </w:p>
        </w:tc>
        <w:tc>
          <w:tcPr>
            <w:tcW w:w="7087"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感知联动：系统与可信环境感知系统形成联动，根据可信环境系统评估可信分进行业务授权，支持屏蔽业务系统内部的功能，避免系统内部的重要业务暴露到外部网络。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220" w:type="dxa"/>
            <w:vMerge w:val="continue"/>
            <w:noWrap w:val="0"/>
            <w:vAlign w:val="top"/>
          </w:tcPr>
          <w:p>
            <w:pPr>
              <w:jc w:val="center"/>
              <w:rPr>
                <w:rFonts w:hint="eastAsia" w:ascii="宋体" w:hAnsi="宋体" w:eastAsia="宋体" w:cs="宋体"/>
                <w:sz w:val="24"/>
                <w:szCs w:val="24"/>
              </w:rPr>
            </w:pPr>
          </w:p>
        </w:tc>
        <w:tc>
          <w:tcPr>
            <w:tcW w:w="7087"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支持适应不同的业务系统，提供多种策略方式，保护不同架构、不同开发方法的系统，包括：内容重写、重定向重写、自定义脚本文件等。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220" w:type="dxa"/>
            <w:vMerge w:val="continue"/>
            <w:noWrap w:val="0"/>
            <w:vAlign w:val="top"/>
          </w:tcPr>
          <w:p>
            <w:pPr>
              <w:jc w:val="center"/>
              <w:rPr>
                <w:rFonts w:hint="eastAsia" w:ascii="宋体" w:hAnsi="宋体" w:eastAsia="宋体" w:cs="宋体"/>
                <w:sz w:val="24"/>
                <w:szCs w:val="24"/>
              </w:rPr>
            </w:pPr>
          </w:p>
        </w:tc>
        <w:tc>
          <w:tcPr>
            <w:tcW w:w="7087"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高可用性：支持通过负载均衡或集群扩展的形式，确保服务的持续可用。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220" w:type="dxa"/>
            <w:vMerge w:val="continue"/>
            <w:noWrap w:val="0"/>
            <w:vAlign w:val="top"/>
          </w:tcPr>
          <w:p>
            <w:pPr>
              <w:jc w:val="center"/>
              <w:rPr>
                <w:rFonts w:hint="eastAsia" w:ascii="宋体" w:hAnsi="宋体" w:eastAsia="宋体" w:cs="宋体"/>
                <w:sz w:val="24"/>
                <w:szCs w:val="24"/>
              </w:rPr>
            </w:pPr>
          </w:p>
        </w:tc>
        <w:tc>
          <w:tcPr>
            <w:tcW w:w="7087"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支持API的“零”改造，实现SSL卸载和认证授权；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220" w:type="dxa"/>
            <w:vMerge w:val="continue"/>
            <w:noWrap w:val="0"/>
            <w:vAlign w:val="top"/>
          </w:tcPr>
          <w:p>
            <w:pPr>
              <w:jc w:val="center"/>
              <w:rPr>
                <w:rFonts w:hint="eastAsia" w:ascii="宋体" w:hAnsi="宋体" w:eastAsia="宋体" w:cs="宋体"/>
                <w:sz w:val="24"/>
                <w:szCs w:val="24"/>
              </w:rPr>
            </w:pPr>
          </w:p>
        </w:tc>
        <w:tc>
          <w:tcPr>
            <w:tcW w:w="7087"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支持API治理、注册、流量控制、负载均衡、健康检查；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220" w:type="dxa"/>
            <w:vMerge w:val="continue"/>
            <w:noWrap w:val="0"/>
            <w:vAlign w:val="top"/>
          </w:tcPr>
          <w:p>
            <w:pPr>
              <w:jc w:val="center"/>
              <w:rPr>
                <w:rFonts w:hint="eastAsia" w:ascii="宋体" w:hAnsi="宋体" w:eastAsia="宋体" w:cs="宋体"/>
                <w:sz w:val="24"/>
                <w:szCs w:val="24"/>
              </w:rPr>
            </w:pPr>
          </w:p>
        </w:tc>
        <w:tc>
          <w:tcPr>
            <w:tcW w:w="7087"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提供基于HTTP/HTTPS协议的API的认证和保护，可以满足用户对基于密码学的高强度身份认证安全需求；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220" w:type="dxa"/>
            <w:vMerge w:val="continue"/>
            <w:noWrap w:val="0"/>
            <w:vAlign w:val="top"/>
          </w:tcPr>
          <w:p>
            <w:pPr>
              <w:jc w:val="center"/>
              <w:rPr>
                <w:rFonts w:hint="eastAsia" w:ascii="宋体" w:hAnsi="宋体" w:eastAsia="宋体" w:cs="宋体"/>
                <w:sz w:val="24"/>
                <w:szCs w:val="24"/>
              </w:rPr>
            </w:pPr>
          </w:p>
        </w:tc>
        <w:tc>
          <w:tcPr>
            <w:tcW w:w="7087"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支持BASIC认证方式、CA数字证书的双向认证，一次一密OIDC令牌等认证方式；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220" w:type="dxa"/>
            <w:vMerge w:val="continue"/>
            <w:noWrap w:val="0"/>
            <w:vAlign w:val="top"/>
          </w:tcPr>
          <w:p>
            <w:pPr>
              <w:jc w:val="center"/>
              <w:rPr>
                <w:rFonts w:hint="eastAsia" w:ascii="宋体" w:hAnsi="宋体" w:eastAsia="宋体" w:cs="宋体"/>
                <w:sz w:val="24"/>
                <w:szCs w:val="24"/>
              </w:rPr>
            </w:pPr>
          </w:p>
        </w:tc>
        <w:tc>
          <w:tcPr>
            <w:tcW w:w="7087"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支持证书和IP的黑白名单；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220" w:type="dxa"/>
            <w:vMerge w:val="continue"/>
            <w:noWrap w:val="0"/>
            <w:vAlign w:val="top"/>
          </w:tcPr>
          <w:p>
            <w:pPr>
              <w:jc w:val="center"/>
              <w:rPr>
                <w:rFonts w:hint="eastAsia" w:ascii="宋体" w:hAnsi="宋体" w:eastAsia="宋体" w:cs="宋体"/>
                <w:sz w:val="24"/>
                <w:szCs w:val="24"/>
              </w:rPr>
            </w:pPr>
          </w:p>
        </w:tc>
        <w:tc>
          <w:tcPr>
            <w:tcW w:w="7087"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可以设置单IP最大连接数，保护API不会被DDOS攻击。支持采用⾮对称加密技术，对API的数据进⾏签名，来防⽌数据篡改以及重放攻击，需提供截图证明；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220" w:type="dxa"/>
            <w:vMerge w:val="continue"/>
            <w:noWrap w:val="0"/>
            <w:vAlign w:val="top"/>
          </w:tcPr>
          <w:p>
            <w:pPr>
              <w:jc w:val="center"/>
              <w:rPr>
                <w:rFonts w:hint="eastAsia" w:ascii="宋体" w:hAnsi="宋体" w:eastAsia="宋体" w:cs="宋体"/>
                <w:sz w:val="24"/>
                <w:szCs w:val="24"/>
              </w:rPr>
            </w:pPr>
          </w:p>
        </w:tc>
        <w:tc>
          <w:tcPr>
            <w:tcW w:w="7087"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支持对当前API服务端提供安全防护能力，可对API使用中常见的网络安全攻击进行感知和识别，包括SQL注入，XSS攻击，目录遍历，CC攻击，PHP注入，网站扫描，敏感信息访问，以及异常的访问请求等，提供产品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1220" w:type="dxa"/>
            <w:vMerge w:val="continue"/>
            <w:noWrap w:val="0"/>
            <w:vAlign w:val="top"/>
          </w:tcPr>
          <w:p>
            <w:pPr>
              <w:jc w:val="center"/>
              <w:rPr>
                <w:rFonts w:hint="eastAsia" w:ascii="宋体" w:hAnsi="宋体" w:eastAsia="宋体" w:cs="宋体"/>
                <w:sz w:val="24"/>
                <w:szCs w:val="24"/>
              </w:rPr>
            </w:pPr>
          </w:p>
        </w:tc>
        <w:tc>
          <w:tcPr>
            <w:tcW w:w="7087"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提供业务系统前置API访问日志、API访问流量统计等信息，并进行日志上报、日志外发，便于实现业务数据的审计、安全风险的分析。提供的存储空间支持审计日志本地留存6个月以上。</w:t>
            </w:r>
          </w:p>
        </w:tc>
      </w:tr>
    </w:tbl>
    <w:p>
      <w:pPr>
        <w:pStyle w:val="31"/>
        <w:tabs>
          <w:tab w:val="left" w:pos="760"/>
        </w:tabs>
        <w:ind w:firstLine="0" w:firstLineChars="0"/>
        <w:rPr>
          <w:rFonts w:ascii="宋体" w:hAnsi="宋体"/>
          <w:b/>
          <w:color w:val="000000"/>
          <w:sz w:val="24"/>
          <w:szCs w:val="24"/>
        </w:rPr>
      </w:pPr>
    </w:p>
    <w:p>
      <w:pPr>
        <w:pStyle w:val="31"/>
        <w:tabs>
          <w:tab w:val="left" w:pos="760"/>
        </w:tabs>
        <w:ind w:firstLine="0" w:firstLineChars="0"/>
        <w:outlineLvl w:val="1"/>
        <w:rPr>
          <w:rFonts w:hint="eastAsia" w:ascii="宋体" w:hAnsi="宋体"/>
          <w:b/>
          <w:color w:val="000000"/>
          <w:sz w:val="24"/>
          <w:szCs w:val="24"/>
        </w:rPr>
      </w:pPr>
      <w:r>
        <w:rPr>
          <w:rFonts w:hint="eastAsia" w:ascii="宋体" w:hAnsi="宋体"/>
          <w:b/>
          <w:color w:val="000000"/>
          <w:sz w:val="24"/>
          <w:szCs w:val="24"/>
        </w:rPr>
        <w:t>19.日志</w:t>
      </w:r>
      <w:r>
        <w:rPr>
          <w:rFonts w:ascii="宋体" w:hAnsi="宋体"/>
          <w:b/>
          <w:color w:val="000000"/>
          <w:sz w:val="24"/>
          <w:szCs w:val="24"/>
        </w:rPr>
        <w:t>审计</w:t>
      </w:r>
      <w:r>
        <w:rPr>
          <w:rFonts w:hint="eastAsia" w:ascii="宋体" w:hAnsi="宋体"/>
          <w:b/>
          <w:color w:val="000000"/>
          <w:sz w:val="24"/>
          <w:szCs w:val="24"/>
        </w:rPr>
        <w:t>设备（1台）</w:t>
      </w:r>
    </w:p>
    <w:tbl>
      <w:tblPr>
        <w:tblStyle w:val="23"/>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526" w:type="dxa"/>
            <w:noWrap w:val="0"/>
            <w:vAlign w:val="center"/>
          </w:tcPr>
          <w:p>
            <w:pPr>
              <w:rPr>
                <w:rFonts w:ascii="宋体" w:hAnsi="宋体" w:cs="宋体"/>
                <w:sz w:val="24"/>
                <w:szCs w:val="24"/>
              </w:rPr>
            </w:pPr>
            <w:r>
              <w:rPr>
                <w:rFonts w:hint="eastAsia" w:ascii="宋体" w:hAnsi="宋体" w:cs="宋体"/>
                <w:sz w:val="24"/>
                <w:szCs w:val="24"/>
              </w:rPr>
              <w:t>技术指标</w:t>
            </w:r>
          </w:p>
        </w:tc>
        <w:tc>
          <w:tcPr>
            <w:tcW w:w="6804" w:type="dxa"/>
            <w:noWrap w:val="0"/>
            <w:vAlign w:val="center"/>
          </w:tcPr>
          <w:p>
            <w:pPr>
              <w:rPr>
                <w:rFonts w:ascii="宋体" w:hAnsi="宋体" w:cs="宋体"/>
                <w:sz w:val="24"/>
                <w:szCs w:val="24"/>
              </w:rPr>
            </w:pPr>
            <w:r>
              <w:rPr>
                <w:rFonts w:hint="eastAsia" w:ascii="宋体" w:hAnsi="宋体" w:cs="宋体"/>
                <w:sz w:val="24"/>
                <w:szCs w:val="24"/>
              </w:rPr>
              <w:t>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526" w:type="dxa"/>
            <w:vMerge w:val="restart"/>
            <w:noWrap w:val="0"/>
            <w:vAlign w:val="center"/>
          </w:tcPr>
          <w:p>
            <w:pPr>
              <w:rPr>
                <w:rFonts w:ascii="宋体" w:hAnsi="宋体" w:cs="宋体"/>
                <w:sz w:val="24"/>
                <w:szCs w:val="24"/>
              </w:rPr>
            </w:pPr>
            <w:r>
              <w:rPr>
                <w:rFonts w:ascii="宋体" w:hAnsi="宋体" w:cs="宋体"/>
                <w:sz w:val="24"/>
                <w:szCs w:val="24"/>
              </w:rPr>
              <w:t>硬件指标</w:t>
            </w:r>
          </w:p>
        </w:tc>
        <w:tc>
          <w:tcPr>
            <w:tcW w:w="6804" w:type="dxa"/>
            <w:noWrap w:val="0"/>
            <w:vAlign w:val="center"/>
          </w:tcPr>
          <w:p>
            <w:pPr>
              <w:rPr>
                <w:rFonts w:ascii="宋体" w:hAnsi="宋体" w:cs="宋体"/>
                <w:sz w:val="24"/>
                <w:szCs w:val="24"/>
              </w:rPr>
            </w:pPr>
            <w:r>
              <w:rPr>
                <w:rFonts w:hint="eastAsia" w:ascii="宋体" w:hAnsi="宋体" w:cs="宋体"/>
                <w:sz w:val="24"/>
                <w:szCs w:val="24"/>
              </w:rPr>
              <w:t>事件采集≥10000EPS，事件处理最高≥3000EPS。硬件规格：标准机箱，≥</w:t>
            </w:r>
            <w:r>
              <w:rPr>
                <w:rFonts w:hint="eastAsia" w:ascii="宋体" w:hAnsi="宋体" w:cs="宋体"/>
                <w:sz w:val="24"/>
                <w:szCs w:val="24"/>
                <w:lang w:val="en-US" w:eastAsia="zh-CN"/>
              </w:rPr>
              <w:t>4</w:t>
            </w:r>
            <w:r>
              <w:rPr>
                <w:rFonts w:hint="eastAsia" w:ascii="宋体" w:hAnsi="宋体" w:cs="宋体"/>
                <w:sz w:val="24"/>
                <w:szCs w:val="24"/>
              </w:rPr>
              <w:t>个千兆电口，2个扩展插槽（可选2万兆光、4千兆电、4千兆光），1个Console接口，单电源。包含100授权节点，包含5年标准维保。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526" w:type="dxa"/>
            <w:vMerge w:val="continue"/>
            <w:noWrap w:val="0"/>
            <w:vAlign w:val="center"/>
          </w:tcPr>
          <w:p>
            <w:pPr>
              <w:rPr>
                <w:rFonts w:ascii="宋体" w:hAnsi="宋体" w:cs="宋体"/>
                <w:sz w:val="24"/>
                <w:szCs w:val="24"/>
              </w:rPr>
            </w:pPr>
          </w:p>
        </w:tc>
        <w:tc>
          <w:tcPr>
            <w:tcW w:w="6804" w:type="dxa"/>
            <w:noWrap w:val="0"/>
            <w:vAlign w:val="center"/>
          </w:tcPr>
          <w:p>
            <w:pPr>
              <w:rPr>
                <w:rFonts w:hint="default" w:ascii="宋体" w:hAnsi="宋体" w:eastAsia="宋体" w:cs="宋体"/>
                <w:sz w:val="24"/>
                <w:szCs w:val="24"/>
                <w:lang w:val="en-US" w:eastAsia="zh-CN"/>
              </w:rPr>
            </w:pPr>
            <w:r>
              <w:rPr>
                <w:rFonts w:hint="eastAsia" w:ascii="宋体" w:hAnsi="宋体" w:cs="宋体"/>
                <w:sz w:val="24"/>
                <w:szCs w:val="24"/>
              </w:rPr>
              <w:t>内置存储总容量≥4TB，支持外接存储设备。产品要求支持SOC产品的硬盘减震技术，</w:t>
            </w:r>
            <w:r>
              <w:rPr>
                <w:rFonts w:hint="eastAsia" w:ascii="宋体" w:hAnsi="宋体" w:cs="宋体"/>
                <w:sz w:val="24"/>
                <w:szCs w:val="24"/>
                <w:lang w:val="en-US" w:eastAsia="zh-CN"/>
              </w:rPr>
              <w:t>第三方检测报告。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noWrap w:val="0"/>
            <w:vAlign w:val="center"/>
          </w:tcPr>
          <w:p>
            <w:pPr>
              <w:rPr>
                <w:rFonts w:ascii="宋体" w:hAnsi="宋体" w:cs="宋体"/>
                <w:sz w:val="24"/>
                <w:szCs w:val="24"/>
              </w:rPr>
            </w:pPr>
            <w:r>
              <w:rPr>
                <w:rFonts w:hint="eastAsia" w:ascii="宋体" w:hAnsi="宋体" w:cs="宋体"/>
                <w:sz w:val="24"/>
                <w:szCs w:val="24"/>
              </w:rPr>
              <w:t>部署模式</w:t>
            </w:r>
          </w:p>
        </w:tc>
        <w:tc>
          <w:tcPr>
            <w:tcW w:w="6804" w:type="dxa"/>
            <w:noWrap w:val="0"/>
            <w:vAlign w:val="center"/>
          </w:tcPr>
          <w:p>
            <w:pPr>
              <w:rPr>
                <w:rFonts w:ascii="宋体" w:hAnsi="宋体" w:cs="宋体"/>
                <w:sz w:val="24"/>
                <w:szCs w:val="24"/>
              </w:rPr>
            </w:pPr>
            <w:r>
              <w:rPr>
                <w:rFonts w:hint="eastAsia" w:ascii="宋体" w:hAnsi="宋体" w:cs="宋体"/>
                <w:sz w:val="24"/>
                <w:szCs w:val="24"/>
              </w:rPr>
              <w:t>支持单一部署，也支持分布式部署。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noWrap w:val="0"/>
            <w:vAlign w:val="center"/>
          </w:tcPr>
          <w:p>
            <w:pPr>
              <w:rPr>
                <w:rFonts w:ascii="宋体" w:hAnsi="宋体" w:cs="宋体"/>
                <w:sz w:val="24"/>
                <w:szCs w:val="24"/>
              </w:rPr>
            </w:pPr>
            <w:r>
              <w:rPr>
                <w:rFonts w:hint="eastAsia" w:ascii="宋体" w:hAnsi="宋体" w:cs="宋体"/>
                <w:sz w:val="24"/>
                <w:szCs w:val="24"/>
              </w:rPr>
              <w:t>使用模式</w:t>
            </w:r>
          </w:p>
        </w:tc>
        <w:tc>
          <w:tcPr>
            <w:tcW w:w="6804" w:type="dxa"/>
            <w:noWrap w:val="0"/>
            <w:vAlign w:val="center"/>
          </w:tcPr>
          <w:p>
            <w:pPr>
              <w:rPr>
                <w:rFonts w:ascii="宋体" w:hAnsi="宋体" w:cs="宋体"/>
                <w:sz w:val="24"/>
                <w:szCs w:val="24"/>
              </w:rPr>
            </w:pPr>
            <w:r>
              <w:rPr>
                <w:rFonts w:hint="eastAsia" w:ascii="宋体" w:hAnsi="宋体" w:cs="宋体"/>
                <w:sz w:val="24"/>
                <w:szCs w:val="24"/>
              </w:rPr>
              <w:t>采用B/S模式，无需安装客户端，使用WEB浏览器访问管理中心，浏览器端无需安装Java运行环境。支持chrome浏览。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noWrap w:val="0"/>
            <w:vAlign w:val="center"/>
          </w:tcPr>
          <w:p>
            <w:pPr>
              <w:rPr>
                <w:rFonts w:ascii="宋体" w:hAnsi="宋体" w:cs="宋体"/>
                <w:sz w:val="24"/>
                <w:szCs w:val="24"/>
              </w:rPr>
            </w:pPr>
            <w:r>
              <w:rPr>
                <w:rFonts w:hint="eastAsia" w:ascii="宋体" w:hAnsi="宋体" w:cs="宋体"/>
                <w:sz w:val="24"/>
                <w:szCs w:val="24"/>
              </w:rPr>
              <w:t>管理范围</w:t>
            </w:r>
          </w:p>
        </w:tc>
        <w:tc>
          <w:tcPr>
            <w:tcW w:w="6804" w:type="dxa"/>
            <w:noWrap w:val="0"/>
            <w:vAlign w:val="center"/>
          </w:tcPr>
          <w:p>
            <w:pPr>
              <w:rPr>
                <w:rFonts w:ascii="宋体" w:hAnsi="宋体" w:cs="宋体"/>
                <w:sz w:val="24"/>
                <w:szCs w:val="24"/>
              </w:rPr>
            </w:pPr>
            <w:r>
              <w:rPr>
                <w:rFonts w:hint="eastAsia" w:ascii="宋体" w:hAnsi="宋体" w:cs="宋体"/>
                <w:sz w:val="24"/>
                <w:szCs w:val="24"/>
              </w:rPr>
              <w:t>能够对企业和组织的IT资源中构成业务信息系统的各种网络设备、安全设备、安全系统、主机操作系统、虚拟化、云计算、数据库、中间件以及各种应用系统的日志、事件、告警等安全信息进行全面的审计。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noWrap w:val="0"/>
            <w:vAlign w:val="center"/>
          </w:tcPr>
          <w:p>
            <w:pPr>
              <w:rPr>
                <w:rFonts w:ascii="宋体" w:hAnsi="宋体" w:cs="宋体"/>
                <w:sz w:val="24"/>
                <w:szCs w:val="24"/>
              </w:rPr>
            </w:pPr>
            <w:r>
              <w:rPr>
                <w:rFonts w:ascii="宋体" w:hAnsi="宋体" w:cs="宋体"/>
                <w:sz w:val="24"/>
                <w:szCs w:val="24"/>
              </w:rPr>
              <w:t>审计对象</w:t>
            </w:r>
          </w:p>
        </w:tc>
        <w:tc>
          <w:tcPr>
            <w:tcW w:w="6804" w:type="dxa"/>
            <w:noWrap w:val="0"/>
            <w:vAlign w:val="center"/>
          </w:tcPr>
          <w:p>
            <w:pPr>
              <w:rPr>
                <w:rFonts w:ascii="宋体" w:hAnsi="宋体" w:cs="宋体"/>
                <w:sz w:val="24"/>
                <w:szCs w:val="24"/>
              </w:rPr>
            </w:pPr>
            <w:r>
              <w:rPr>
                <w:rFonts w:hint="eastAsia" w:ascii="宋体" w:hAnsi="宋体" w:cs="宋体"/>
                <w:sz w:val="24"/>
                <w:szCs w:val="24"/>
              </w:rPr>
              <w:t>支持审计各种网络设备（路由器、交换机等）配置日志、运行日志、告警日志等；</w:t>
            </w:r>
          </w:p>
          <w:p>
            <w:pPr>
              <w:rPr>
                <w:rFonts w:ascii="宋体" w:hAnsi="宋体" w:cs="宋体"/>
                <w:sz w:val="24"/>
                <w:szCs w:val="24"/>
              </w:rPr>
            </w:pPr>
            <w:r>
              <w:rPr>
                <w:rFonts w:ascii="宋体" w:hAnsi="宋体" w:cs="宋体"/>
                <w:sz w:val="24"/>
                <w:szCs w:val="24"/>
              </w:rPr>
              <w:t>支持审计</w:t>
            </w:r>
            <w:r>
              <w:rPr>
                <w:rFonts w:hint="eastAsia" w:ascii="宋体" w:hAnsi="宋体" w:cs="宋体"/>
                <w:sz w:val="24"/>
                <w:szCs w:val="24"/>
              </w:rPr>
              <w:t>各种</w:t>
            </w:r>
            <w:r>
              <w:rPr>
                <w:rFonts w:ascii="宋体" w:hAnsi="宋体" w:cs="宋体"/>
                <w:sz w:val="24"/>
                <w:szCs w:val="24"/>
              </w:rPr>
              <w:t>安全设备</w:t>
            </w:r>
            <w:r>
              <w:rPr>
                <w:rFonts w:hint="eastAsia" w:ascii="宋体" w:hAnsi="宋体" w:cs="宋体"/>
                <w:sz w:val="24"/>
                <w:szCs w:val="24"/>
              </w:rPr>
              <w:t>（防火墙、IDS、IPS、VPN、防病毒网关，网闸，防DDOS攻击，Web应用防火墙、等）配置日志、运行日志、告警日志等；</w:t>
            </w:r>
          </w:p>
          <w:p>
            <w:pPr>
              <w:rPr>
                <w:rFonts w:ascii="宋体" w:hAnsi="宋体" w:cs="宋体"/>
                <w:sz w:val="24"/>
                <w:szCs w:val="24"/>
              </w:rPr>
            </w:pPr>
            <w:r>
              <w:rPr>
                <w:rFonts w:hint="eastAsia" w:ascii="宋体" w:hAnsi="宋体" w:cs="宋体"/>
                <w:sz w:val="24"/>
                <w:szCs w:val="24"/>
              </w:rPr>
              <w:t>支持审计各种主机操作系统（包括Windows,Solaris, Linux, AIX, HP-UX,UNIX,AS400）配置日志、运行日志、告警日志等；</w:t>
            </w:r>
          </w:p>
          <w:p>
            <w:pPr>
              <w:rPr>
                <w:rFonts w:ascii="宋体" w:hAnsi="宋体" w:cs="宋体"/>
                <w:sz w:val="24"/>
                <w:szCs w:val="24"/>
              </w:rPr>
            </w:pPr>
            <w:r>
              <w:rPr>
                <w:rFonts w:hint="eastAsia" w:ascii="宋体" w:hAnsi="宋体" w:cs="宋体"/>
                <w:sz w:val="24"/>
                <w:szCs w:val="24"/>
              </w:rPr>
              <w:t>支持审计各种数据库（Oracle、Sqlserver、Mysql、DB2、Sybase、Informix）配置日志、运行日志、告警日志等；</w:t>
            </w:r>
          </w:p>
          <w:p>
            <w:pPr>
              <w:rPr>
                <w:rFonts w:ascii="宋体" w:hAnsi="宋体" w:cs="宋体"/>
                <w:sz w:val="24"/>
                <w:szCs w:val="24"/>
              </w:rPr>
            </w:pPr>
            <w:r>
              <w:rPr>
                <w:rFonts w:hint="eastAsia" w:ascii="宋体" w:hAnsi="宋体" w:cs="宋体"/>
                <w:sz w:val="24"/>
                <w:szCs w:val="24"/>
              </w:rPr>
              <w:t>支持审计各种中间件（tomcat、apache、</w:t>
            </w:r>
            <w:r>
              <w:rPr>
                <w:rFonts w:ascii="宋体" w:hAnsi="宋体" w:cs="宋体"/>
                <w:sz w:val="24"/>
                <w:szCs w:val="24"/>
              </w:rPr>
              <w:t>webshpere</w:t>
            </w:r>
            <w:r>
              <w:rPr>
                <w:rFonts w:hint="eastAsia" w:ascii="宋体" w:hAnsi="宋体" w:cs="宋体"/>
                <w:sz w:val="24"/>
                <w:szCs w:val="24"/>
              </w:rPr>
              <w:t>、</w:t>
            </w:r>
            <w:r>
              <w:rPr>
                <w:rFonts w:ascii="宋体" w:hAnsi="宋体" w:cs="宋体"/>
                <w:sz w:val="24"/>
                <w:szCs w:val="24"/>
              </w:rPr>
              <w:t xml:space="preserve"> weblogic等</w:t>
            </w:r>
            <w:r>
              <w:rPr>
                <w:rFonts w:hint="eastAsia" w:ascii="宋体" w:hAnsi="宋体" w:cs="宋体"/>
                <w:sz w:val="24"/>
                <w:szCs w:val="24"/>
              </w:rPr>
              <w:t>）配置日志、运行日志、告警日志等；</w:t>
            </w:r>
          </w:p>
          <w:p>
            <w:pPr>
              <w:rPr>
                <w:rFonts w:ascii="宋体" w:hAnsi="宋体" w:cs="宋体"/>
                <w:sz w:val="24"/>
                <w:szCs w:val="24"/>
              </w:rPr>
            </w:pPr>
            <w:r>
              <w:rPr>
                <w:rFonts w:ascii="宋体" w:hAnsi="宋体" w:cs="宋体"/>
                <w:sz w:val="24"/>
                <w:szCs w:val="24"/>
              </w:rPr>
              <w:t>支持各种应用</w:t>
            </w:r>
            <w:r>
              <w:rPr>
                <w:rFonts w:hint="eastAsia" w:ascii="宋体" w:hAnsi="宋体" w:cs="宋体"/>
                <w:sz w:val="24"/>
                <w:szCs w:val="24"/>
              </w:rPr>
              <w:t>各种应用系统（邮件，Web，FTP，Telnet、等）配置日志、运行日志、告警日志等；</w:t>
            </w:r>
          </w:p>
          <w:p>
            <w:pPr>
              <w:rPr>
                <w:rFonts w:ascii="宋体" w:hAnsi="宋体" w:cs="宋体"/>
                <w:sz w:val="24"/>
                <w:szCs w:val="24"/>
              </w:rPr>
            </w:pPr>
            <w:r>
              <w:rPr>
                <w:rFonts w:hint="eastAsia" w:ascii="宋体" w:hAnsi="宋体" w:cs="宋体"/>
                <w:sz w:val="24"/>
                <w:szCs w:val="24"/>
              </w:rPr>
              <w:t>以及用户自己的业务系统的日志、事件、告警等安全信息进行全面的审计。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noWrap w:val="0"/>
            <w:vAlign w:val="center"/>
          </w:tcPr>
          <w:p>
            <w:pPr>
              <w:rPr>
                <w:rFonts w:ascii="宋体" w:hAnsi="宋体" w:cs="宋体"/>
                <w:sz w:val="24"/>
                <w:szCs w:val="24"/>
              </w:rPr>
            </w:pPr>
            <w:r>
              <w:rPr>
                <w:rFonts w:hint="eastAsia" w:ascii="宋体" w:hAnsi="宋体" w:cs="宋体"/>
                <w:sz w:val="24"/>
                <w:szCs w:val="24"/>
              </w:rPr>
              <w:t>采集方式</w:t>
            </w:r>
          </w:p>
        </w:tc>
        <w:tc>
          <w:tcPr>
            <w:tcW w:w="6804" w:type="dxa"/>
            <w:noWrap w:val="0"/>
            <w:vAlign w:val="center"/>
          </w:tcPr>
          <w:p>
            <w:pPr>
              <w:rPr>
                <w:rFonts w:ascii="宋体" w:hAnsi="宋体" w:cs="宋体"/>
                <w:sz w:val="24"/>
                <w:szCs w:val="24"/>
              </w:rPr>
            </w:pPr>
            <w:r>
              <w:rPr>
                <w:rFonts w:hint="eastAsia" w:ascii="宋体" w:hAnsi="宋体" w:cs="宋体"/>
                <w:sz w:val="24"/>
                <w:szCs w:val="24"/>
              </w:rPr>
              <w:t>支持通过syslog、S</w:t>
            </w:r>
            <w:r>
              <w:rPr>
                <w:rFonts w:ascii="宋体" w:hAnsi="宋体" w:cs="宋体"/>
                <w:sz w:val="24"/>
                <w:szCs w:val="24"/>
              </w:rPr>
              <w:t>NMP</w:t>
            </w:r>
            <w:r>
              <w:rPr>
                <w:rFonts w:hint="eastAsia" w:ascii="宋体" w:hAnsi="宋体" w:cs="宋体"/>
                <w:sz w:val="24"/>
                <w:szCs w:val="24"/>
              </w:rPr>
              <w:t xml:space="preserve"> </w:t>
            </w:r>
            <w:r>
              <w:rPr>
                <w:rFonts w:ascii="宋体" w:hAnsi="宋体" w:cs="宋体"/>
                <w:sz w:val="24"/>
                <w:szCs w:val="24"/>
              </w:rPr>
              <w:t>T</w:t>
            </w:r>
            <w:r>
              <w:rPr>
                <w:rFonts w:hint="eastAsia" w:ascii="宋体" w:hAnsi="宋体" w:cs="宋体"/>
                <w:sz w:val="24"/>
                <w:szCs w:val="24"/>
              </w:rPr>
              <w:t>rap、JDBC、Agent代理、</w:t>
            </w:r>
            <w:r>
              <w:rPr>
                <w:rFonts w:ascii="宋体" w:hAnsi="宋体" w:cs="宋体"/>
                <w:sz w:val="24"/>
                <w:szCs w:val="24"/>
              </w:rPr>
              <w:t>WMI</w:t>
            </w:r>
            <w:r>
              <w:rPr>
                <w:rFonts w:hint="eastAsia" w:ascii="宋体" w:hAnsi="宋体" w:cs="宋体"/>
                <w:sz w:val="24"/>
                <w:szCs w:val="24"/>
              </w:rPr>
              <w:t>、(S)FTP、NetBIOS、文件\文件夹读取、Kafka等多种方式完成各种日志的收集功能；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noWrap w:val="0"/>
            <w:vAlign w:val="center"/>
          </w:tcPr>
          <w:p>
            <w:pPr>
              <w:rPr>
                <w:rFonts w:ascii="宋体" w:hAnsi="宋体" w:cs="宋体"/>
                <w:sz w:val="24"/>
                <w:szCs w:val="24"/>
              </w:rPr>
            </w:pPr>
            <w:r>
              <w:rPr>
                <w:rFonts w:hint="eastAsia" w:ascii="宋体" w:hAnsi="宋体" w:cs="宋体"/>
                <w:sz w:val="24"/>
                <w:szCs w:val="24"/>
              </w:rPr>
              <w:t>资产管理</w:t>
            </w:r>
          </w:p>
        </w:tc>
        <w:tc>
          <w:tcPr>
            <w:tcW w:w="6804" w:type="dxa"/>
            <w:noWrap w:val="0"/>
            <w:vAlign w:val="center"/>
          </w:tcPr>
          <w:p>
            <w:pPr>
              <w:rPr>
                <w:rFonts w:ascii="宋体" w:hAnsi="宋体" w:cs="宋体"/>
                <w:sz w:val="24"/>
                <w:szCs w:val="24"/>
              </w:rPr>
            </w:pPr>
            <w:r>
              <w:rPr>
                <w:rFonts w:hint="eastAsia" w:ascii="宋体" w:hAnsi="宋体" w:cs="宋体"/>
                <w:sz w:val="24"/>
                <w:szCs w:val="24"/>
              </w:rPr>
              <w:t>能够将资产按照多种维度进行分组、分域管理，如地理位置、组织结构、业务系统等，提供便捷的添加、修改、删除、查询与统计功能；</w:t>
            </w:r>
          </w:p>
          <w:p>
            <w:pPr>
              <w:rPr>
                <w:rFonts w:ascii="宋体" w:hAnsi="宋体" w:cs="宋体"/>
                <w:sz w:val="24"/>
                <w:szCs w:val="24"/>
              </w:rPr>
            </w:pPr>
            <w:r>
              <w:rPr>
                <w:rFonts w:hint="eastAsia" w:ascii="宋体" w:hAnsi="宋体" w:cs="宋体"/>
                <w:sz w:val="24"/>
                <w:szCs w:val="24"/>
              </w:rPr>
              <w:t>支持资产信息的批量导入和导出，便于安全管理和系统管理人员能方便地查找所需设备资产的信息，并对资产进行CIA赋值，自动计算资产价值，设置等保等级；在资产管理界面可查看每个资产的属性信息，情境信息，本身产生的事件信息、关联告警信息；</w:t>
            </w:r>
          </w:p>
          <w:p>
            <w:pPr>
              <w:rPr>
                <w:rFonts w:hint="eastAsia" w:ascii="宋体" w:hAnsi="宋体" w:cs="宋体"/>
                <w:sz w:val="24"/>
                <w:szCs w:val="24"/>
              </w:rPr>
            </w:pPr>
            <w:r>
              <w:rPr>
                <w:rFonts w:hint="eastAsia" w:ascii="宋体" w:hAnsi="宋体" w:cs="宋体"/>
                <w:sz w:val="24"/>
                <w:szCs w:val="24"/>
              </w:rPr>
              <w:t>支持对资产IP地址的地理信息进行管理，支持单个IP、IP段设置行政区及经纬度，支持地图显示（截图证明）。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26" w:type="dxa"/>
            <w:noWrap w:val="0"/>
            <w:vAlign w:val="center"/>
          </w:tcPr>
          <w:p>
            <w:pPr>
              <w:rPr>
                <w:rFonts w:ascii="宋体" w:hAnsi="宋体" w:cs="宋体"/>
                <w:sz w:val="24"/>
                <w:szCs w:val="24"/>
              </w:rPr>
            </w:pPr>
            <w:r>
              <w:rPr>
                <w:rFonts w:hint="eastAsia" w:ascii="宋体" w:hAnsi="宋体" w:cs="宋体"/>
                <w:sz w:val="24"/>
                <w:szCs w:val="24"/>
              </w:rPr>
              <w:t>日志统计分析</w:t>
            </w:r>
          </w:p>
        </w:tc>
        <w:tc>
          <w:tcPr>
            <w:tcW w:w="6804" w:type="dxa"/>
            <w:noWrap w:val="0"/>
            <w:vAlign w:val="center"/>
          </w:tcPr>
          <w:p>
            <w:pPr>
              <w:rPr>
                <w:rFonts w:ascii="宋体" w:hAnsi="宋体" w:cs="宋体"/>
                <w:sz w:val="24"/>
                <w:szCs w:val="24"/>
              </w:rPr>
            </w:pPr>
            <w:r>
              <w:rPr>
                <w:rFonts w:hint="eastAsia" w:ascii="宋体" w:hAnsi="宋体" w:cs="宋体"/>
                <w:sz w:val="24"/>
                <w:szCs w:val="24"/>
              </w:rPr>
              <w:t>1）</w:t>
            </w:r>
            <w:r>
              <w:rPr>
                <w:rFonts w:hint="eastAsia" w:ascii="宋体" w:hAnsi="宋体" w:cs="宋体"/>
                <w:sz w:val="24"/>
                <w:szCs w:val="24"/>
              </w:rPr>
              <w:tab/>
            </w:r>
            <w:r>
              <w:rPr>
                <w:rFonts w:hint="eastAsia" w:ascii="宋体" w:hAnsi="宋体" w:cs="宋体"/>
                <w:sz w:val="24"/>
                <w:szCs w:val="24"/>
              </w:rPr>
              <w:t>可自定义统计场景，统计的字段条件和时间段以及过滤器等可自由设定；</w:t>
            </w:r>
          </w:p>
          <w:p>
            <w:pPr>
              <w:rPr>
                <w:rFonts w:ascii="宋体" w:hAnsi="宋体" w:cs="宋体"/>
                <w:sz w:val="24"/>
                <w:szCs w:val="24"/>
              </w:rPr>
            </w:pPr>
            <w:r>
              <w:rPr>
                <w:rFonts w:hint="eastAsia" w:ascii="宋体" w:hAnsi="宋体" w:cs="宋体"/>
                <w:sz w:val="24"/>
                <w:szCs w:val="24"/>
              </w:rPr>
              <w:t>2）</w:t>
            </w:r>
            <w:r>
              <w:rPr>
                <w:rFonts w:hint="eastAsia" w:ascii="宋体" w:hAnsi="宋体" w:cs="宋体"/>
                <w:sz w:val="24"/>
                <w:szCs w:val="24"/>
              </w:rPr>
              <w:tab/>
            </w:r>
            <w:r>
              <w:rPr>
                <w:rFonts w:hint="eastAsia" w:ascii="宋体" w:hAnsi="宋体" w:cs="宋体"/>
                <w:sz w:val="24"/>
                <w:szCs w:val="24"/>
              </w:rPr>
              <w:t>支持柱状图、饼图、折线图、面积图、堆积图、环状图、数值图、地图等形式的统计信息可视化展示，并可将统计结果保存为仪表板和报表等。图表数据支持数据下钻。</w:t>
            </w:r>
          </w:p>
          <w:p>
            <w:pPr>
              <w:rPr>
                <w:rFonts w:ascii="宋体" w:hAnsi="宋体" w:cs="宋体"/>
                <w:sz w:val="24"/>
                <w:szCs w:val="24"/>
              </w:rPr>
            </w:pPr>
            <w:r>
              <w:rPr>
                <w:rFonts w:hint="eastAsia" w:ascii="宋体" w:hAnsi="宋体" w:cs="宋体"/>
                <w:sz w:val="24"/>
                <w:szCs w:val="24"/>
              </w:rPr>
              <w:t>3）</w:t>
            </w:r>
            <w:r>
              <w:rPr>
                <w:rFonts w:hint="eastAsia" w:ascii="宋体" w:hAnsi="宋体" w:cs="宋体"/>
                <w:sz w:val="24"/>
                <w:szCs w:val="24"/>
              </w:rPr>
              <w:tab/>
            </w:r>
            <w:r>
              <w:rPr>
                <w:rFonts w:hint="eastAsia" w:ascii="宋体" w:hAnsi="宋体" w:cs="宋体"/>
                <w:sz w:val="24"/>
                <w:szCs w:val="24"/>
              </w:rPr>
              <w:t>支持将统计结果保存为仪表板、报表和策略（提供截图）。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526" w:type="dxa"/>
            <w:noWrap w:val="0"/>
            <w:vAlign w:val="center"/>
          </w:tcPr>
          <w:p>
            <w:pPr>
              <w:rPr>
                <w:rFonts w:ascii="宋体" w:hAnsi="宋体" w:cs="宋体"/>
                <w:sz w:val="24"/>
                <w:szCs w:val="24"/>
              </w:rPr>
            </w:pPr>
            <w:r>
              <w:rPr>
                <w:rFonts w:hint="eastAsia" w:ascii="宋体" w:hAnsi="宋体" w:cs="宋体"/>
                <w:sz w:val="24"/>
                <w:szCs w:val="24"/>
              </w:rPr>
              <w:t>告警管理</w:t>
            </w:r>
          </w:p>
        </w:tc>
        <w:tc>
          <w:tcPr>
            <w:tcW w:w="6804" w:type="dxa"/>
            <w:noWrap w:val="0"/>
            <w:vAlign w:val="center"/>
          </w:tcPr>
          <w:p>
            <w:pPr>
              <w:rPr>
                <w:rFonts w:ascii="宋体" w:hAnsi="宋体" w:cs="宋体"/>
                <w:sz w:val="24"/>
                <w:szCs w:val="24"/>
              </w:rPr>
            </w:pPr>
            <w:r>
              <w:rPr>
                <w:rFonts w:hint="eastAsia" w:ascii="宋体" w:hAnsi="宋体" w:cs="宋体"/>
                <w:sz w:val="24"/>
                <w:szCs w:val="24"/>
              </w:rPr>
              <w:t>1）</w:t>
            </w:r>
            <w:r>
              <w:rPr>
                <w:rFonts w:hint="eastAsia" w:ascii="宋体" w:hAnsi="宋体" w:cs="宋体"/>
                <w:sz w:val="24"/>
                <w:szCs w:val="24"/>
              </w:rPr>
              <w:tab/>
            </w:r>
            <w:r>
              <w:rPr>
                <w:rFonts w:hint="eastAsia" w:ascii="宋体" w:hAnsi="宋体" w:cs="宋体"/>
                <w:sz w:val="24"/>
                <w:szCs w:val="24"/>
              </w:rPr>
              <w:t>告警规则可以自定义，告警可查询，支持列表和统计展示；</w:t>
            </w:r>
          </w:p>
          <w:p>
            <w:pPr>
              <w:rPr>
                <w:rFonts w:ascii="宋体" w:hAnsi="宋体" w:cs="宋体"/>
                <w:sz w:val="24"/>
                <w:szCs w:val="24"/>
              </w:rPr>
            </w:pPr>
            <w:r>
              <w:rPr>
                <w:rFonts w:hint="eastAsia" w:ascii="宋体" w:hAnsi="宋体" w:cs="宋体"/>
                <w:sz w:val="24"/>
                <w:szCs w:val="24"/>
              </w:rPr>
              <w:t>2）</w:t>
            </w:r>
            <w:r>
              <w:rPr>
                <w:rFonts w:hint="eastAsia" w:ascii="宋体" w:hAnsi="宋体" w:cs="宋体"/>
                <w:sz w:val="24"/>
                <w:szCs w:val="24"/>
              </w:rPr>
              <w:tab/>
            </w:r>
            <w:r>
              <w:rPr>
                <w:rFonts w:hint="eastAsia" w:ascii="宋体" w:hAnsi="宋体" w:cs="宋体"/>
                <w:sz w:val="24"/>
                <w:szCs w:val="24"/>
              </w:rPr>
              <w:t>告警支持提供告警统计策略，选中某条策略，就能展示某个统计图表，支持柱图、饼图、曲线图等统计展示形式；</w:t>
            </w:r>
          </w:p>
          <w:p>
            <w:pPr>
              <w:rPr>
                <w:rFonts w:ascii="宋体" w:hAnsi="宋体" w:cs="宋体"/>
                <w:sz w:val="24"/>
                <w:szCs w:val="24"/>
              </w:rPr>
            </w:pPr>
            <w:r>
              <w:rPr>
                <w:rFonts w:hint="eastAsia" w:ascii="宋体" w:hAnsi="宋体" w:cs="宋体"/>
                <w:sz w:val="24"/>
                <w:szCs w:val="24"/>
              </w:rPr>
              <w:t>3）</w:t>
            </w:r>
            <w:r>
              <w:rPr>
                <w:rFonts w:hint="eastAsia" w:ascii="宋体" w:hAnsi="宋体" w:cs="宋体"/>
                <w:sz w:val="24"/>
                <w:szCs w:val="24"/>
              </w:rPr>
              <w:tab/>
            </w:r>
            <w:r>
              <w:rPr>
                <w:rFonts w:hint="eastAsia" w:ascii="宋体" w:hAnsi="宋体" w:cs="宋体"/>
                <w:sz w:val="24"/>
                <w:szCs w:val="24"/>
              </w:rPr>
              <w:t>支持告警归并，有效抑制重复告警，归并规则可自定义；</w:t>
            </w:r>
          </w:p>
          <w:p>
            <w:pPr>
              <w:rPr>
                <w:rFonts w:ascii="宋体" w:hAnsi="宋体" w:cs="宋体"/>
                <w:sz w:val="24"/>
                <w:szCs w:val="24"/>
              </w:rPr>
            </w:pPr>
            <w:r>
              <w:rPr>
                <w:rFonts w:hint="eastAsia" w:ascii="宋体" w:hAnsi="宋体" w:cs="宋体"/>
                <w:sz w:val="24"/>
                <w:szCs w:val="24"/>
              </w:rPr>
              <w:t>4） 系统自带4中告警分类场景：外部威胁、外连威胁、横向攻击、自身告警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526" w:type="dxa"/>
            <w:noWrap w:val="0"/>
            <w:vAlign w:val="center"/>
          </w:tcPr>
          <w:p>
            <w:pPr>
              <w:rPr>
                <w:rFonts w:ascii="宋体" w:hAnsi="宋体" w:cs="宋体"/>
                <w:sz w:val="24"/>
                <w:szCs w:val="24"/>
              </w:rPr>
            </w:pPr>
            <w:r>
              <w:rPr>
                <w:rFonts w:hint="eastAsia" w:ascii="宋体" w:hAnsi="宋体" w:cs="宋体"/>
                <w:sz w:val="24"/>
                <w:szCs w:val="24"/>
              </w:rPr>
              <w:t>系统认证</w:t>
            </w:r>
          </w:p>
        </w:tc>
        <w:tc>
          <w:tcPr>
            <w:tcW w:w="6804" w:type="dxa"/>
            <w:noWrap w:val="0"/>
            <w:vAlign w:val="center"/>
          </w:tcPr>
          <w:p>
            <w:pPr>
              <w:rPr>
                <w:rFonts w:hint="eastAsia" w:ascii="宋体" w:hAnsi="宋体" w:cs="宋体"/>
                <w:sz w:val="24"/>
                <w:szCs w:val="24"/>
              </w:rPr>
            </w:pPr>
            <w:r>
              <w:rPr>
                <w:rFonts w:hint="eastAsia" w:ascii="宋体" w:hAnsi="宋体" w:cs="宋体"/>
                <w:sz w:val="24"/>
                <w:szCs w:val="24"/>
              </w:rPr>
              <w:t>产品内部的各个组件之间通信都支持加密传输，浏览器访问管理中心支持</w:t>
            </w:r>
            <w:r>
              <w:rPr>
                <w:rFonts w:ascii="宋体" w:hAnsi="宋体" w:cs="宋体"/>
                <w:sz w:val="24"/>
                <w:szCs w:val="24"/>
              </w:rPr>
              <w:t>HTTPS</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526" w:type="dxa"/>
            <w:noWrap w:val="0"/>
            <w:vAlign w:val="center"/>
          </w:tcPr>
          <w:p>
            <w:pPr>
              <w:rPr>
                <w:rFonts w:ascii="宋体" w:hAnsi="宋体" w:cs="宋体"/>
                <w:sz w:val="24"/>
                <w:szCs w:val="24"/>
              </w:rPr>
            </w:pPr>
            <w:r>
              <w:rPr>
                <w:rFonts w:hint="eastAsia" w:ascii="宋体" w:hAnsi="宋体" w:cs="宋体"/>
                <w:sz w:val="24"/>
                <w:szCs w:val="24"/>
              </w:rPr>
              <w:t>服务</w:t>
            </w:r>
          </w:p>
        </w:tc>
        <w:tc>
          <w:tcPr>
            <w:tcW w:w="6804" w:type="dxa"/>
            <w:noWrap w:val="0"/>
            <w:vAlign w:val="center"/>
          </w:tcPr>
          <w:p>
            <w:pPr>
              <w:rPr>
                <w:rFonts w:ascii="宋体" w:hAnsi="宋体" w:cs="宋体"/>
                <w:sz w:val="24"/>
                <w:szCs w:val="24"/>
              </w:rPr>
            </w:pPr>
            <w:r>
              <w:rPr>
                <w:rFonts w:hint="eastAsia" w:ascii="宋体" w:hAnsi="宋体" w:cs="宋体"/>
                <w:sz w:val="24"/>
              </w:rPr>
              <w:t>原厂五年质保，中标后签订合同前提供原厂商质保承诺函。</w:t>
            </w:r>
          </w:p>
        </w:tc>
      </w:tr>
    </w:tbl>
    <w:p>
      <w:pPr>
        <w:pStyle w:val="31"/>
        <w:tabs>
          <w:tab w:val="left" w:pos="760"/>
        </w:tabs>
        <w:ind w:firstLine="0" w:firstLineChars="0"/>
        <w:rPr>
          <w:rFonts w:ascii="宋体" w:hAnsi="宋体"/>
          <w:b/>
          <w:color w:val="000000"/>
          <w:sz w:val="24"/>
          <w:szCs w:val="24"/>
        </w:rPr>
      </w:pPr>
    </w:p>
    <w:p>
      <w:pPr>
        <w:pStyle w:val="31"/>
        <w:tabs>
          <w:tab w:val="left" w:pos="760"/>
        </w:tabs>
        <w:ind w:firstLine="0" w:firstLineChars="0"/>
        <w:outlineLvl w:val="1"/>
        <w:rPr>
          <w:rFonts w:ascii="宋体" w:hAnsi="宋体"/>
          <w:b/>
          <w:color w:val="000000"/>
          <w:sz w:val="24"/>
          <w:szCs w:val="24"/>
        </w:rPr>
      </w:pPr>
      <w:r>
        <w:rPr>
          <w:rFonts w:hint="eastAsia" w:ascii="宋体" w:hAnsi="宋体"/>
          <w:b/>
          <w:color w:val="000000"/>
          <w:sz w:val="24"/>
          <w:szCs w:val="24"/>
        </w:rPr>
        <w:t>20.堡垒机（1台）</w:t>
      </w:r>
    </w:p>
    <w:tbl>
      <w:tblPr>
        <w:tblStyle w:val="23"/>
        <w:tblW w:w="8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384" w:type="dxa"/>
            <w:noWrap w:val="0"/>
            <w:vAlign w:val="center"/>
          </w:tcPr>
          <w:p>
            <w:pPr>
              <w:rPr>
                <w:rFonts w:ascii="宋体" w:hAnsi="宋体" w:cs="宋体"/>
                <w:sz w:val="24"/>
                <w:szCs w:val="24"/>
              </w:rPr>
            </w:pPr>
            <w:r>
              <w:rPr>
                <w:rFonts w:hint="eastAsia" w:ascii="宋体" w:hAnsi="宋体" w:cs="宋体"/>
                <w:sz w:val="24"/>
                <w:szCs w:val="24"/>
              </w:rPr>
              <w:t>技术指标</w:t>
            </w:r>
          </w:p>
        </w:tc>
        <w:tc>
          <w:tcPr>
            <w:tcW w:w="6945" w:type="dxa"/>
            <w:noWrap w:val="0"/>
            <w:vAlign w:val="center"/>
          </w:tcPr>
          <w:p>
            <w:pPr>
              <w:jc w:val="center"/>
              <w:rPr>
                <w:rFonts w:ascii="宋体" w:hAnsi="宋体" w:cs="宋体"/>
                <w:sz w:val="24"/>
                <w:szCs w:val="24"/>
              </w:rPr>
            </w:pPr>
            <w:r>
              <w:rPr>
                <w:rFonts w:hint="eastAsia" w:ascii="宋体" w:hAnsi="宋体" w:cs="宋体"/>
                <w:sz w:val="24"/>
                <w:szCs w:val="24"/>
              </w:rPr>
              <w:t>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384" w:type="dxa"/>
            <w:vMerge w:val="restart"/>
            <w:noWrap w:val="0"/>
            <w:vAlign w:val="center"/>
          </w:tcPr>
          <w:p>
            <w:pPr>
              <w:rPr>
                <w:rFonts w:ascii="宋体" w:hAnsi="宋体" w:cs="宋体"/>
                <w:sz w:val="24"/>
                <w:szCs w:val="24"/>
              </w:rPr>
            </w:pPr>
            <w:r>
              <w:rPr>
                <w:rFonts w:ascii="宋体" w:hAnsi="宋体" w:cs="宋体"/>
                <w:sz w:val="24"/>
                <w:szCs w:val="24"/>
              </w:rPr>
              <w:t>▲</w:t>
            </w:r>
            <w:r>
              <w:rPr>
                <w:rFonts w:hint="eastAsia" w:ascii="宋体" w:hAnsi="宋体" w:cs="宋体"/>
                <w:sz w:val="24"/>
                <w:szCs w:val="24"/>
              </w:rPr>
              <w:t>硬件规格</w:t>
            </w:r>
          </w:p>
        </w:tc>
        <w:tc>
          <w:tcPr>
            <w:tcW w:w="6945" w:type="dxa"/>
            <w:noWrap w:val="0"/>
            <w:vAlign w:val="center"/>
          </w:tcPr>
          <w:p>
            <w:pPr>
              <w:rPr>
                <w:rFonts w:ascii="宋体" w:hAnsi="宋体" w:cs="宋体"/>
                <w:sz w:val="24"/>
                <w:szCs w:val="24"/>
              </w:rPr>
            </w:pPr>
            <w:r>
              <w:rPr>
                <w:rFonts w:hint="eastAsia" w:ascii="宋体" w:hAnsi="宋体" w:cs="宋体"/>
                <w:sz w:val="24"/>
                <w:szCs w:val="24"/>
              </w:rPr>
              <w:t>采用专用千兆多核硬件平台和安全操作系统，标准机架式，≥2个千兆电口,16G内存，内置≥4TB硬盘，单电源，最大支持150路图形会话或500路字符会话并发，配置300个授权许可。含五年标准售后服务。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384" w:type="dxa"/>
            <w:vMerge w:val="continue"/>
            <w:noWrap w:val="0"/>
            <w:vAlign w:val="center"/>
          </w:tcPr>
          <w:p>
            <w:pPr>
              <w:rPr>
                <w:rFonts w:ascii="宋体" w:hAnsi="宋体" w:cs="宋体"/>
                <w:sz w:val="24"/>
                <w:szCs w:val="24"/>
              </w:rPr>
            </w:pPr>
          </w:p>
        </w:tc>
        <w:tc>
          <w:tcPr>
            <w:tcW w:w="6945" w:type="dxa"/>
            <w:noWrap w:val="0"/>
            <w:vAlign w:val="center"/>
          </w:tcPr>
          <w:p>
            <w:pPr>
              <w:rPr>
                <w:rFonts w:ascii="宋体" w:hAnsi="宋体" w:cs="宋体"/>
                <w:sz w:val="24"/>
                <w:szCs w:val="24"/>
              </w:rPr>
            </w:pPr>
            <w:r>
              <w:rPr>
                <w:rFonts w:hint="eastAsia" w:ascii="宋体" w:hAnsi="宋体" w:cs="宋体"/>
                <w:sz w:val="24"/>
                <w:szCs w:val="24"/>
              </w:rPr>
              <w:t>物理旁路，逻辑串联模式，不影响原有网络架构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384" w:type="dxa"/>
            <w:vMerge w:val="restart"/>
            <w:noWrap w:val="0"/>
            <w:vAlign w:val="center"/>
          </w:tcPr>
          <w:p>
            <w:pPr>
              <w:rPr>
                <w:rFonts w:ascii="宋体" w:hAnsi="宋体" w:cs="宋体"/>
                <w:sz w:val="24"/>
                <w:szCs w:val="24"/>
              </w:rPr>
            </w:pPr>
            <w:r>
              <w:rPr>
                <w:rFonts w:hint="eastAsia" w:ascii="宋体" w:hAnsi="宋体" w:cs="宋体"/>
                <w:sz w:val="24"/>
                <w:szCs w:val="24"/>
              </w:rPr>
              <w:t>功能要求</w:t>
            </w:r>
          </w:p>
        </w:tc>
        <w:tc>
          <w:tcPr>
            <w:tcW w:w="6945" w:type="dxa"/>
            <w:noWrap w:val="0"/>
            <w:vAlign w:val="center"/>
          </w:tcPr>
          <w:p>
            <w:pPr>
              <w:rPr>
                <w:rFonts w:hint="eastAsia" w:ascii="宋体" w:hAnsi="宋体" w:cs="宋体"/>
                <w:sz w:val="24"/>
                <w:szCs w:val="24"/>
              </w:rPr>
            </w:pPr>
            <w:r>
              <w:rPr>
                <w:rFonts w:hint="eastAsia" w:ascii="宋体" w:hAnsi="宋体" w:cs="宋体"/>
                <w:sz w:val="24"/>
                <w:szCs w:val="24"/>
              </w:rPr>
              <w:t>具备用户集中管理功能，能够依据系统功能模块灵活的创建用户角色，实现系统分权管理；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384" w:type="dxa"/>
            <w:vMerge w:val="continue"/>
            <w:noWrap w:val="0"/>
            <w:vAlign w:val="center"/>
          </w:tcPr>
          <w:p>
            <w:pPr>
              <w:rPr>
                <w:rFonts w:ascii="宋体" w:hAnsi="宋体" w:cs="宋体"/>
                <w:sz w:val="24"/>
                <w:szCs w:val="24"/>
              </w:rPr>
            </w:pPr>
          </w:p>
        </w:tc>
        <w:tc>
          <w:tcPr>
            <w:tcW w:w="6945" w:type="dxa"/>
            <w:noWrap w:val="0"/>
            <w:vAlign w:val="center"/>
          </w:tcPr>
          <w:p>
            <w:pPr>
              <w:rPr>
                <w:rFonts w:hint="eastAsia" w:ascii="宋体" w:hAnsi="宋体" w:cs="宋体"/>
                <w:sz w:val="24"/>
                <w:szCs w:val="24"/>
              </w:rPr>
            </w:pPr>
            <w:r>
              <w:rPr>
                <w:rFonts w:hint="eastAsia" w:ascii="宋体" w:hAnsi="宋体" w:cs="宋体"/>
                <w:sz w:val="24"/>
                <w:szCs w:val="24"/>
              </w:rPr>
              <w:t>支持多种身份认证方式（动态令牌、手机令牌、域认证）、密码防暴力破解、用户登陆来源（IP、MAC限制）控制，提升用户帐号安全性；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384" w:type="dxa"/>
            <w:vMerge w:val="continue"/>
            <w:noWrap w:val="0"/>
            <w:vAlign w:val="center"/>
          </w:tcPr>
          <w:p>
            <w:pPr>
              <w:rPr>
                <w:rFonts w:ascii="宋体" w:hAnsi="宋体" w:cs="宋体"/>
                <w:sz w:val="24"/>
                <w:szCs w:val="24"/>
              </w:rPr>
            </w:pPr>
          </w:p>
        </w:tc>
        <w:tc>
          <w:tcPr>
            <w:tcW w:w="6945" w:type="dxa"/>
            <w:noWrap w:val="0"/>
            <w:vAlign w:val="center"/>
          </w:tcPr>
          <w:p>
            <w:pPr>
              <w:rPr>
                <w:rFonts w:hint="eastAsia" w:ascii="宋体" w:hAnsi="宋体" w:cs="宋体"/>
                <w:sz w:val="24"/>
                <w:szCs w:val="24"/>
              </w:rPr>
            </w:pPr>
            <w:r>
              <w:rPr>
                <w:rFonts w:hint="eastAsia" w:ascii="宋体" w:hAnsi="宋体" w:cs="宋体"/>
                <w:sz w:val="24"/>
                <w:szCs w:val="24"/>
              </w:rPr>
              <w:t>能够统一管理IPv4、IPv6环境下的各类资源，包括主机、网络设备、安全设备、数据库等，并能够自动同步华为云、阿里云、腾讯云等公有云资产；须提供功能界面截图证明；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384" w:type="dxa"/>
            <w:vMerge w:val="continue"/>
            <w:noWrap w:val="0"/>
            <w:vAlign w:val="center"/>
          </w:tcPr>
          <w:p>
            <w:pPr>
              <w:rPr>
                <w:rFonts w:ascii="宋体" w:hAnsi="宋体" w:cs="宋体"/>
                <w:sz w:val="24"/>
                <w:szCs w:val="24"/>
              </w:rPr>
            </w:pPr>
          </w:p>
        </w:tc>
        <w:tc>
          <w:tcPr>
            <w:tcW w:w="6945" w:type="dxa"/>
            <w:noWrap w:val="0"/>
            <w:vAlign w:val="center"/>
          </w:tcPr>
          <w:p>
            <w:pPr>
              <w:rPr>
                <w:rFonts w:hint="eastAsia" w:ascii="宋体" w:hAnsi="宋体" w:cs="宋体"/>
                <w:sz w:val="24"/>
                <w:szCs w:val="24"/>
              </w:rPr>
            </w:pPr>
            <w:r>
              <w:rPr>
                <w:rFonts w:hint="eastAsia" w:ascii="宋体" w:hAnsi="宋体" w:cs="宋体"/>
                <w:sz w:val="24"/>
                <w:szCs w:val="24"/>
              </w:rPr>
              <w:t>支持通过应用发布的方式集中管控BS、CS资源，多台应用发布服务器间支持负载均衡功能（无需第三方负载均衡设备），以此满足高并发场景下的接入需求；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384" w:type="dxa"/>
            <w:vMerge w:val="continue"/>
            <w:noWrap w:val="0"/>
            <w:vAlign w:val="center"/>
          </w:tcPr>
          <w:p>
            <w:pPr>
              <w:rPr>
                <w:rFonts w:ascii="宋体" w:hAnsi="宋体" w:cs="宋体"/>
                <w:sz w:val="24"/>
                <w:szCs w:val="24"/>
              </w:rPr>
            </w:pPr>
          </w:p>
        </w:tc>
        <w:tc>
          <w:tcPr>
            <w:tcW w:w="6945" w:type="dxa"/>
            <w:noWrap w:val="0"/>
            <w:vAlign w:val="center"/>
          </w:tcPr>
          <w:p>
            <w:pPr>
              <w:rPr>
                <w:rFonts w:hint="eastAsia" w:ascii="宋体" w:hAnsi="宋体" w:cs="宋体"/>
                <w:sz w:val="24"/>
                <w:szCs w:val="24"/>
              </w:rPr>
            </w:pPr>
            <w:r>
              <w:rPr>
                <w:rFonts w:hint="eastAsia" w:ascii="宋体" w:hAnsi="宋体" w:cs="宋体"/>
                <w:sz w:val="24"/>
                <w:szCs w:val="24"/>
              </w:rPr>
              <w:t>支持依据用户、资源及系统账号属性进行访问授权，其中属性可由管理员自定义，实现访问权限的灵活管理；须提供功能界面截图证明；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384" w:type="dxa"/>
            <w:vMerge w:val="continue"/>
            <w:noWrap w:val="0"/>
            <w:vAlign w:val="center"/>
          </w:tcPr>
          <w:p>
            <w:pPr>
              <w:rPr>
                <w:rFonts w:ascii="宋体" w:hAnsi="宋体" w:cs="宋体"/>
                <w:sz w:val="24"/>
                <w:szCs w:val="24"/>
              </w:rPr>
            </w:pPr>
          </w:p>
        </w:tc>
        <w:tc>
          <w:tcPr>
            <w:tcW w:w="6945" w:type="dxa"/>
            <w:noWrap w:val="0"/>
            <w:vAlign w:val="center"/>
          </w:tcPr>
          <w:p>
            <w:pPr>
              <w:rPr>
                <w:rFonts w:hint="eastAsia" w:ascii="宋体" w:hAnsi="宋体" w:cs="宋体"/>
                <w:sz w:val="24"/>
                <w:szCs w:val="24"/>
              </w:rPr>
            </w:pPr>
            <w:r>
              <w:rPr>
                <w:rFonts w:hint="eastAsia" w:ascii="宋体" w:hAnsi="宋体" w:cs="宋体"/>
                <w:sz w:val="24"/>
                <w:szCs w:val="24"/>
              </w:rPr>
              <w:t>支持H5方式访问目标资产（字符、图形协议均支持），无需在操作终端安装任何插件即可使用堡垒机。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384" w:type="dxa"/>
            <w:vMerge w:val="continue"/>
            <w:noWrap w:val="0"/>
            <w:vAlign w:val="center"/>
          </w:tcPr>
          <w:p>
            <w:pPr>
              <w:rPr>
                <w:rFonts w:ascii="宋体" w:hAnsi="宋体" w:cs="宋体"/>
                <w:sz w:val="24"/>
                <w:szCs w:val="24"/>
              </w:rPr>
            </w:pPr>
          </w:p>
        </w:tc>
        <w:tc>
          <w:tcPr>
            <w:tcW w:w="6945" w:type="dxa"/>
            <w:noWrap w:val="0"/>
            <w:vAlign w:val="center"/>
          </w:tcPr>
          <w:p>
            <w:pPr>
              <w:rPr>
                <w:rFonts w:hint="eastAsia" w:ascii="宋体" w:hAnsi="宋体" w:cs="宋体"/>
                <w:sz w:val="24"/>
                <w:szCs w:val="24"/>
              </w:rPr>
            </w:pPr>
            <w:r>
              <w:rPr>
                <w:rFonts w:hint="eastAsia" w:ascii="宋体" w:hAnsi="宋体" w:cs="宋体"/>
                <w:sz w:val="24"/>
                <w:szCs w:val="24"/>
              </w:rPr>
              <w:t>支持字符、图形、数据库、文件传输操作审计，方便事后追踪溯源、满足合规建设要求，针对审计记录支持多关键字检索、多条件组合查询、查询结果合并审计功能，便于管理员快速定位相关操作；须提供功能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384" w:type="dxa"/>
            <w:vMerge w:val="continue"/>
            <w:noWrap w:val="0"/>
            <w:vAlign w:val="center"/>
          </w:tcPr>
          <w:p>
            <w:pPr>
              <w:rPr>
                <w:rFonts w:ascii="宋体" w:hAnsi="宋体" w:cs="宋体"/>
                <w:sz w:val="24"/>
                <w:szCs w:val="24"/>
              </w:rPr>
            </w:pPr>
          </w:p>
        </w:tc>
        <w:tc>
          <w:tcPr>
            <w:tcW w:w="6945" w:type="dxa"/>
            <w:noWrap w:val="0"/>
            <w:vAlign w:val="center"/>
          </w:tcPr>
          <w:p>
            <w:pPr>
              <w:rPr>
                <w:rFonts w:hint="eastAsia" w:ascii="宋体" w:hAnsi="宋体" w:cs="宋体"/>
                <w:sz w:val="24"/>
                <w:szCs w:val="24"/>
              </w:rPr>
            </w:pPr>
            <w:r>
              <w:rPr>
                <w:rFonts w:hint="eastAsia" w:ascii="宋体" w:hAnsi="宋体" w:cs="宋体"/>
                <w:sz w:val="24"/>
                <w:szCs w:val="24"/>
              </w:rPr>
              <w:t>支持主机、网络设备系统账号密码自动修改功能，针对修改后的密码支持分段保管功能，同时具备密码工单用于普通用户临时申请密码，过期后自动修改实现一事一密的应用效果；须提供功能界面截图证明；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384" w:type="dxa"/>
            <w:vMerge w:val="continue"/>
            <w:noWrap w:val="0"/>
            <w:vAlign w:val="center"/>
          </w:tcPr>
          <w:p>
            <w:pPr>
              <w:rPr>
                <w:rFonts w:ascii="宋体" w:hAnsi="宋体" w:cs="宋体"/>
                <w:sz w:val="24"/>
                <w:szCs w:val="24"/>
              </w:rPr>
            </w:pPr>
          </w:p>
        </w:tc>
        <w:tc>
          <w:tcPr>
            <w:tcW w:w="6945" w:type="dxa"/>
            <w:noWrap w:val="0"/>
            <w:vAlign w:val="center"/>
          </w:tcPr>
          <w:p>
            <w:pPr>
              <w:rPr>
                <w:rFonts w:hint="eastAsia" w:ascii="宋体" w:hAnsi="宋体" w:cs="宋体"/>
                <w:sz w:val="24"/>
                <w:szCs w:val="24"/>
              </w:rPr>
            </w:pPr>
            <w:r>
              <w:rPr>
                <w:rFonts w:hint="eastAsia" w:ascii="宋体" w:hAnsi="宋体" w:cs="宋体"/>
                <w:sz w:val="24"/>
                <w:szCs w:val="24"/>
              </w:rPr>
              <w:t>支持对剪切板、磁盘映射、sftp文件传输进行集中控制审计，其中针对windows剪切板支持文件、文字单独控制（如禁止传输文件允许传输文字），以满足运维、安全管控需求；须提供功能界面截图证明；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384" w:type="dxa"/>
            <w:vMerge w:val="continue"/>
            <w:noWrap w:val="0"/>
            <w:vAlign w:val="center"/>
          </w:tcPr>
          <w:p>
            <w:pPr>
              <w:rPr>
                <w:rFonts w:ascii="宋体" w:hAnsi="宋体" w:cs="宋体"/>
                <w:sz w:val="24"/>
                <w:szCs w:val="24"/>
              </w:rPr>
            </w:pPr>
          </w:p>
        </w:tc>
        <w:tc>
          <w:tcPr>
            <w:tcW w:w="6945" w:type="dxa"/>
            <w:noWrap w:val="0"/>
            <w:vAlign w:val="center"/>
          </w:tcPr>
          <w:p>
            <w:pPr>
              <w:rPr>
                <w:rFonts w:hint="eastAsia" w:ascii="宋体" w:hAnsi="宋体" w:cs="宋体"/>
                <w:sz w:val="24"/>
                <w:szCs w:val="24"/>
              </w:rPr>
            </w:pPr>
            <w:r>
              <w:rPr>
                <w:rFonts w:hint="eastAsia" w:ascii="宋体" w:hAnsi="宋体" w:cs="宋体"/>
                <w:sz w:val="24"/>
                <w:szCs w:val="24"/>
              </w:rPr>
              <w:t>支持内置动态令牌认证和手机令牌认证，其中动态令牌支持国密算法加密，需提供认证厂商相应令牌《商用密码产品型号证书》及相应授权函；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384" w:type="dxa"/>
            <w:vMerge w:val="continue"/>
            <w:noWrap w:val="0"/>
            <w:vAlign w:val="center"/>
          </w:tcPr>
          <w:p>
            <w:pPr>
              <w:rPr>
                <w:rFonts w:ascii="宋体" w:hAnsi="宋体" w:cs="宋体"/>
                <w:sz w:val="24"/>
                <w:szCs w:val="24"/>
              </w:rPr>
            </w:pPr>
          </w:p>
        </w:tc>
        <w:tc>
          <w:tcPr>
            <w:tcW w:w="6945" w:type="dxa"/>
            <w:noWrap w:val="0"/>
            <w:vAlign w:val="center"/>
          </w:tcPr>
          <w:p>
            <w:pPr>
              <w:rPr>
                <w:rFonts w:hint="eastAsia" w:ascii="宋体" w:hAnsi="宋体" w:cs="宋体"/>
                <w:sz w:val="24"/>
                <w:szCs w:val="24"/>
              </w:rPr>
            </w:pPr>
            <w:r>
              <w:rPr>
                <w:rFonts w:hint="eastAsia" w:ascii="宋体" w:hAnsi="宋体" w:cs="宋体"/>
                <w:sz w:val="24"/>
                <w:szCs w:val="24"/>
              </w:rPr>
              <w:t>具备先进的审计技术，实现数据库及字符操作的精准记录，提供国家权威机构出具的证明文件；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trPr>
        <w:tc>
          <w:tcPr>
            <w:tcW w:w="1384" w:type="dxa"/>
            <w:noWrap w:val="0"/>
            <w:vAlign w:val="center"/>
          </w:tcPr>
          <w:p>
            <w:pPr>
              <w:rPr>
                <w:rFonts w:ascii="宋体" w:hAnsi="宋体" w:cs="宋体"/>
                <w:sz w:val="24"/>
                <w:szCs w:val="24"/>
              </w:rPr>
            </w:pPr>
            <w:r>
              <w:rPr>
                <w:rFonts w:ascii="宋体" w:hAnsi="宋体" w:cs="宋体"/>
                <w:sz w:val="24"/>
                <w:szCs w:val="24"/>
              </w:rPr>
              <w:t>其它</w:t>
            </w:r>
          </w:p>
        </w:tc>
        <w:tc>
          <w:tcPr>
            <w:tcW w:w="6945" w:type="dxa"/>
            <w:noWrap w:val="0"/>
            <w:vAlign w:val="center"/>
          </w:tcPr>
          <w:p>
            <w:pPr>
              <w:rPr>
                <w:rFonts w:ascii="宋体" w:hAnsi="宋体" w:cs="宋体"/>
                <w:sz w:val="24"/>
                <w:szCs w:val="24"/>
              </w:rPr>
            </w:pPr>
            <w:r>
              <w:rPr>
                <w:rFonts w:hint="eastAsia" w:ascii="宋体" w:hAnsi="宋体" w:cs="宋体"/>
                <w:sz w:val="24"/>
              </w:rPr>
              <w:t>原厂五年质保，中标后签订合同前提供原厂商质保承诺函。</w:t>
            </w:r>
          </w:p>
        </w:tc>
      </w:tr>
    </w:tbl>
    <w:p>
      <w:pPr>
        <w:pStyle w:val="4"/>
        <w:keepNext w:val="0"/>
        <w:keepLines w:val="0"/>
        <w:spacing w:before="0" w:after="0" w:line="240" w:lineRule="auto"/>
        <w:rPr>
          <w:rFonts w:hint="eastAsia" w:ascii="宋体" w:hAnsi="宋体" w:eastAsia="宋体"/>
          <w:color w:val="000000"/>
          <w:sz w:val="24"/>
          <w:szCs w:val="24"/>
        </w:rPr>
      </w:pPr>
    </w:p>
    <w:p>
      <w:pPr>
        <w:pStyle w:val="4"/>
        <w:keepNext w:val="0"/>
        <w:keepLines w:val="0"/>
        <w:spacing w:before="0" w:after="0" w:line="240" w:lineRule="auto"/>
        <w:rPr>
          <w:rFonts w:ascii="宋体" w:hAnsi="宋体" w:eastAsia="宋体"/>
          <w:color w:val="000000"/>
          <w:sz w:val="24"/>
          <w:szCs w:val="24"/>
        </w:rPr>
      </w:pPr>
      <w:r>
        <w:rPr>
          <w:rFonts w:hint="eastAsia" w:ascii="宋体" w:hAnsi="宋体" w:eastAsia="宋体"/>
          <w:color w:val="000000"/>
          <w:sz w:val="24"/>
          <w:szCs w:val="24"/>
        </w:rPr>
        <w:t>21.防火墙</w:t>
      </w:r>
    </w:p>
    <w:tbl>
      <w:tblPr>
        <w:tblStyle w:val="23"/>
        <w:tblW w:w="833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418" w:type="dxa"/>
            <w:noWrap w:val="0"/>
            <w:vAlign w:val="center"/>
          </w:tcPr>
          <w:p>
            <w:pPr>
              <w:spacing w:before="100" w:beforeAutospacing="1" w:after="100" w:afterAutospacing="1" w:line="315" w:lineRule="atLeast"/>
              <w:jc w:val="center"/>
              <w:rPr>
                <w:rFonts w:ascii="宋体" w:hAnsi="宋体" w:cs="宋体"/>
                <w:color w:val="000000"/>
                <w:kern w:val="0"/>
                <w:sz w:val="24"/>
                <w:szCs w:val="24"/>
              </w:rPr>
            </w:pPr>
            <w:r>
              <w:rPr>
                <w:rFonts w:hint="eastAsia" w:ascii="宋体" w:hAnsi="宋体" w:cs="宋体"/>
                <w:color w:val="000000"/>
                <w:sz w:val="24"/>
                <w:szCs w:val="24"/>
              </w:rPr>
              <w:t>技术指标</w:t>
            </w:r>
          </w:p>
        </w:tc>
        <w:tc>
          <w:tcPr>
            <w:tcW w:w="6912" w:type="dxa"/>
            <w:noWrap w:val="0"/>
            <w:vAlign w:val="center"/>
          </w:tcPr>
          <w:p>
            <w:pPr>
              <w:spacing w:before="100" w:beforeAutospacing="1" w:after="100" w:afterAutospacing="1" w:line="315" w:lineRule="atLeast"/>
              <w:jc w:val="center"/>
              <w:rPr>
                <w:rFonts w:ascii="宋体" w:hAnsi="宋体" w:cs="宋体"/>
                <w:color w:val="000000"/>
                <w:kern w:val="0"/>
                <w:sz w:val="24"/>
                <w:szCs w:val="24"/>
              </w:rPr>
            </w:pPr>
            <w:r>
              <w:rPr>
                <w:rFonts w:hint="eastAsia" w:ascii="宋体" w:hAnsi="宋体" w:cs="宋体"/>
                <w:color w:val="000000"/>
                <w:sz w:val="24"/>
                <w:szCs w:val="24"/>
              </w:rPr>
              <w:t>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418" w:type="dxa"/>
            <w:vMerge w:val="restart"/>
            <w:noWrap w:val="0"/>
            <w:vAlign w:val="center"/>
          </w:tcPr>
          <w:p>
            <w:pPr>
              <w:spacing w:line="276" w:lineRule="auto"/>
              <w:rPr>
                <w:rFonts w:ascii="宋体" w:hAnsi="宋体"/>
                <w:color w:val="000000"/>
                <w:sz w:val="24"/>
                <w:szCs w:val="24"/>
              </w:rPr>
            </w:pPr>
            <w:r>
              <w:rPr>
                <w:rFonts w:hint="eastAsia" w:ascii="宋体" w:hAnsi="宋体" w:cs="宋体"/>
                <w:color w:val="000000"/>
                <w:kern w:val="0"/>
                <w:sz w:val="24"/>
                <w:szCs w:val="24"/>
              </w:rPr>
              <w:t>▲</w:t>
            </w:r>
            <w:r>
              <w:rPr>
                <w:rFonts w:hint="eastAsia" w:ascii="宋体" w:hAnsi="宋体"/>
                <w:color w:val="000000"/>
                <w:sz w:val="24"/>
                <w:szCs w:val="24"/>
              </w:rPr>
              <w:t>架构及性能要求</w:t>
            </w:r>
          </w:p>
        </w:tc>
        <w:tc>
          <w:tcPr>
            <w:tcW w:w="6912" w:type="dxa"/>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系统要求为下一代防火墙产品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418" w:type="dxa"/>
            <w:vMerge w:val="continue"/>
            <w:noWrap w:val="0"/>
            <w:vAlign w:val="center"/>
          </w:tcPr>
          <w:p>
            <w:pPr>
              <w:spacing w:line="276" w:lineRule="auto"/>
              <w:rPr>
                <w:rFonts w:hint="eastAsia" w:ascii="宋体" w:hAnsi="宋体" w:cs="宋体"/>
                <w:color w:val="000000"/>
                <w:kern w:val="0"/>
                <w:sz w:val="24"/>
                <w:szCs w:val="24"/>
              </w:rPr>
            </w:pPr>
          </w:p>
        </w:tc>
        <w:tc>
          <w:tcPr>
            <w:tcW w:w="6912" w:type="dxa"/>
            <w:noWrap w:val="0"/>
            <w:vAlign w:val="center"/>
          </w:tcPr>
          <w:p>
            <w:pPr>
              <w:widowControl/>
              <w:spacing w:line="276" w:lineRule="auto"/>
              <w:rPr>
                <w:rFonts w:hint="eastAsia" w:ascii="宋体" w:hAnsi="宋体" w:cs="宋体"/>
                <w:kern w:val="0"/>
                <w:sz w:val="24"/>
                <w:szCs w:val="24"/>
              </w:rPr>
            </w:pPr>
            <w:r>
              <w:rPr>
                <w:rFonts w:ascii="宋体" w:hAnsi="宋体" w:cs="宋体"/>
                <w:kern w:val="0"/>
                <w:sz w:val="24"/>
                <w:szCs w:val="24"/>
              </w:rPr>
              <w:t>网络处理能力</w:t>
            </w:r>
            <w:r>
              <w:rPr>
                <w:rFonts w:hint="eastAsia" w:ascii="宋体" w:hAnsi="宋体" w:cs="宋体"/>
                <w:kern w:val="0"/>
                <w:sz w:val="24"/>
                <w:szCs w:val="24"/>
              </w:rPr>
              <w:t>≥20</w:t>
            </w:r>
            <w:r>
              <w:rPr>
                <w:rFonts w:ascii="宋体" w:hAnsi="宋体" w:cs="宋体"/>
                <w:kern w:val="0"/>
                <w:sz w:val="24"/>
                <w:szCs w:val="24"/>
              </w:rPr>
              <w:t>G，并发连接≥600万，每秒新建连接</w:t>
            </w:r>
            <w:r>
              <w:rPr>
                <w:rFonts w:hint="eastAsia" w:ascii="宋体" w:hAnsi="宋体" w:cs="宋体"/>
                <w:kern w:val="0"/>
                <w:sz w:val="24"/>
                <w:szCs w:val="24"/>
              </w:rPr>
              <w:t>≥20</w:t>
            </w:r>
            <w:r>
              <w:rPr>
                <w:rFonts w:ascii="宋体" w:hAnsi="宋体" w:cs="宋体"/>
                <w:kern w:val="0"/>
                <w:sz w:val="24"/>
                <w:szCs w:val="24"/>
              </w:rPr>
              <w:t>万/秒，</w:t>
            </w:r>
            <w:r>
              <w:rPr>
                <w:rFonts w:hint="eastAsia" w:ascii="宋体" w:hAnsi="宋体" w:cs="宋体"/>
                <w:kern w:val="0"/>
                <w:sz w:val="24"/>
                <w:szCs w:val="24"/>
              </w:rPr>
              <w:t>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18" w:type="dxa"/>
            <w:vMerge w:val="continue"/>
            <w:noWrap w:val="0"/>
            <w:vAlign w:val="center"/>
          </w:tcPr>
          <w:p>
            <w:pPr>
              <w:spacing w:line="276" w:lineRule="auto"/>
              <w:ind w:firstLine="442"/>
              <w:jc w:val="center"/>
              <w:rPr>
                <w:rFonts w:ascii="宋体" w:hAnsi="宋体" w:cs="宋体"/>
                <w:kern w:val="0"/>
                <w:sz w:val="24"/>
                <w:szCs w:val="24"/>
              </w:rPr>
            </w:pPr>
          </w:p>
        </w:tc>
        <w:tc>
          <w:tcPr>
            <w:tcW w:w="6912" w:type="dxa"/>
            <w:noWrap w:val="0"/>
            <w:vAlign w:val="center"/>
          </w:tcPr>
          <w:p>
            <w:pPr>
              <w:widowControl/>
              <w:spacing w:line="276" w:lineRule="auto"/>
              <w:rPr>
                <w:rFonts w:ascii="宋体" w:hAnsi="宋体" w:cs="宋体"/>
                <w:kern w:val="0"/>
                <w:sz w:val="24"/>
                <w:szCs w:val="24"/>
              </w:rPr>
            </w:pPr>
            <w:r>
              <w:rPr>
                <w:rFonts w:ascii="宋体" w:hAnsi="宋体" w:cs="宋体"/>
                <w:kern w:val="0"/>
                <w:sz w:val="24"/>
                <w:szCs w:val="24"/>
              </w:rPr>
              <w:t>配置≥4个10/100/1000M自适应电口</w:t>
            </w:r>
            <w:r>
              <w:rPr>
                <w:rFonts w:hint="eastAsia" w:ascii="宋体" w:hAnsi="宋体" w:cs="宋体"/>
                <w:kern w:val="0"/>
                <w:sz w:val="24"/>
                <w:szCs w:val="24"/>
              </w:rPr>
              <w:t>，</w:t>
            </w:r>
            <w:r>
              <w:rPr>
                <w:rFonts w:ascii="宋体" w:hAnsi="宋体" w:cs="宋体"/>
                <w:kern w:val="0"/>
                <w:sz w:val="24"/>
                <w:szCs w:val="24"/>
              </w:rPr>
              <w:t>≥4个</w:t>
            </w:r>
            <w:r>
              <w:rPr>
                <w:rFonts w:hint="eastAsia" w:ascii="宋体" w:hAnsi="宋体" w:cs="宋体"/>
                <w:kern w:val="0"/>
                <w:sz w:val="24"/>
                <w:szCs w:val="24"/>
              </w:rPr>
              <w:t>千兆</w:t>
            </w:r>
            <w:r>
              <w:rPr>
                <w:rFonts w:ascii="宋体" w:hAnsi="宋体" w:cs="宋体"/>
                <w:kern w:val="0"/>
                <w:sz w:val="24"/>
                <w:szCs w:val="24"/>
              </w:rPr>
              <w:t>SFP</w:t>
            </w:r>
            <w:r>
              <w:rPr>
                <w:rFonts w:hint="eastAsia" w:ascii="宋体" w:hAnsi="宋体" w:cs="宋体"/>
                <w:kern w:val="0"/>
                <w:sz w:val="24"/>
                <w:szCs w:val="24"/>
              </w:rPr>
              <w:t>光口</w:t>
            </w:r>
            <w:r>
              <w:rPr>
                <w:rFonts w:ascii="宋体" w:hAnsi="宋体" w:cs="宋体"/>
                <w:kern w:val="0"/>
                <w:sz w:val="24"/>
                <w:szCs w:val="24"/>
              </w:rPr>
              <w:t>插槽</w:t>
            </w:r>
            <w:r>
              <w:rPr>
                <w:rFonts w:hint="eastAsia" w:ascii="宋体" w:hAnsi="宋体" w:cs="宋体"/>
                <w:kern w:val="0"/>
                <w:sz w:val="24"/>
                <w:szCs w:val="24"/>
              </w:rPr>
              <w:t>，</w:t>
            </w:r>
            <w:r>
              <w:rPr>
                <w:rFonts w:ascii="宋体" w:hAnsi="宋体" w:cs="宋体"/>
                <w:kern w:val="0"/>
                <w:sz w:val="24"/>
                <w:szCs w:val="24"/>
              </w:rPr>
              <w:t>≥4个</w:t>
            </w:r>
            <w:r>
              <w:rPr>
                <w:rFonts w:hint="eastAsia" w:ascii="宋体" w:hAnsi="宋体" w:cs="宋体"/>
                <w:kern w:val="0"/>
                <w:sz w:val="24"/>
                <w:szCs w:val="24"/>
              </w:rPr>
              <w:t>万兆</w:t>
            </w:r>
            <w:r>
              <w:rPr>
                <w:rFonts w:ascii="宋体" w:hAnsi="宋体" w:cs="宋体"/>
                <w:kern w:val="0"/>
                <w:sz w:val="24"/>
                <w:szCs w:val="24"/>
              </w:rPr>
              <w:t>SFP</w:t>
            </w:r>
            <w:r>
              <w:rPr>
                <w:rFonts w:hint="eastAsia" w:ascii="宋体" w:hAnsi="宋体" w:cs="宋体"/>
                <w:kern w:val="0"/>
                <w:sz w:val="24"/>
                <w:szCs w:val="24"/>
              </w:rPr>
              <w:t>+光口</w:t>
            </w:r>
            <w:r>
              <w:rPr>
                <w:rFonts w:ascii="宋体" w:hAnsi="宋体" w:cs="宋体"/>
                <w:kern w:val="0"/>
                <w:sz w:val="24"/>
                <w:szCs w:val="24"/>
              </w:rPr>
              <w:t>插槽</w:t>
            </w:r>
            <w:r>
              <w:rPr>
                <w:rFonts w:hint="eastAsia" w:ascii="宋体" w:hAnsi="宋体" w:cs="宋体"/>
                <w:kern w:val="0"/>
                <w:sz w:val="24"/>
                <w:szCs w:val="24"/>
              </w:rPr>
              <w:t>。需配置入侵防护及网络防病毒模块，提供五年硬件维保及规则库升级服务。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18" w:type="dxa"/>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部署模式</w:t>
            </w:r>
          </w:p>
        </w:tc>
        <w:tc>
          <w:tcPr>
            <w:tcW w:w="6912" w:type="dxa"/>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支持路由、透明、交换以及混合模式接入，满足复杂应用环境的接入需求。支持旁路模式；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18" w:type="dxa"/>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路由协议</w:t>
            </w:r>
          </w:p>
        </w:tc>
        <w:tc>
          <w:tcPr>
            <w:tcW w:w="6912" w:type="dxa"/>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所投产品必须支持静态路由、策略路由及动态路由。策略路由支持用户自定义其优先级，动态路由应至少支持RIP、OSPF、BGP、等路由协议</w:t>
            </w:r>
            <w:r>
              <w:rPr>
                <w:rFonts w:ascii="宋体" w:hAnsi="宋体" w:cs="宋体"/>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18" w:type="dxa"/>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地址转换</w:t>
            </w:r>
          </w:p>
        </w:tc>
        <w:tc>
          <w:tcPr>
            <w:tcW w:w="6912" w:type="dxa"/>
            <w:noWrap w:val="0"/>
            <w:vAlign w:val="center"/>
          </w:tcPr>
          <w:p>
            <w:pPr>
              <w:spacing w:line="276" w:lineRule="auto"/>
              <w:rPr>
                <w:rFonts w:ascii="宋体" w:hAnsi="宋体" w:cs="宋体"/>
                <w:kern w:val="0"/>
                <w:sz w:val="24"/>
                <w:szCs w:val="24"/>
              </w:rPr>
            </w:pPr>
            <w:r>
              <w:rPr>
                <w:rFonts w:hint="eastAsia" w:ascii="宋体" w:hAnsi="宋体" w:cs="宋体"/>
                <w:kern w:val="0"/>
                <w:sz w:val="24"/>
                <w:szCs w:val="24"/>
              </w:rPr>
              <w:t>所投产品必须支持全面的</w:t>
            </w:r>
            <w:r>
              <w:rPr>
                <w:rFonts w:ascii="宋体" w:hAnsi="宋体" w:cs="宋体"/>
                <w:kern w:val="0"/>
                <w:sz w:val="24"/>
                <w:szCs w:val="24"/>
              </w:rPr>
              <w:t>NAT转换配置，包括一对一，一对多，多对一的源、目的地址转换，并至少支持FULL_CONE模式和SYMMETRIC模式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18" w:type="dxa"/>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I</w:t>
            </w:r>
            <w:r>
              <w:rPr>
                <w:rFonts w:ascii="宋体" w:hAnsi="宋体" w:cs="宋体"/>
                <w:kern w:val="0"/>
                <w:sz w:val="24"/>
                <w:szCs w:val="24"/>
              </w:rPr>
              <w:t>PV6</w:t>
            </w:r>
            <w:r>
              <w:rPr>
                <w:rFonts w:hint="eastAsia" w:ascii="宋体" w:hAnsi="宋体" w:cs="宋体"/>
                <w:kern w:val="0"/>
                <w:sz w:val="24"/>
                <w:szCs w:val="24"/>
              </w:rPr>
              <w:t>支持</w:t>
            </w:r>
          </w:p>
        </w:tc>
        <w:tc>
          <w:tcPr>
            <w:tcW w:w="6912" w:type="dxa"/>
            <w:noWrap w:val="0"/>
            <w:vAlign w:val="center"/>
          </w:tcPr>
          <w:p>
            <w:pPr>
              <w:spacing w:line="276" w:lineRule="auto"/>
              <w:rPr>
                <w:rFonts w:ascii="宋体" w:hAnsi="宋体" w:cs="宋体"/>
                <w:kern w:val="0"/>
                <w:sz w:val="24"/>
                <w:szCs w:val="24"/>
              </w:rPr>
            </w:pPr>
            <w:r>
              <w:rPr>
                <w:rFonts w:hint="eastAsia" w:ascii="宋体" w:hAnsi="宋体" w:cs="宋体"/>
                <w:kern w:val="0"/>
                <w:sz w:val="24"/>
                <w:szCs w:val="24"/>
              </w:rPr>
              <w:t>所投产品必须支持IPv6协议栈、IPV6路由协议；支持</w:t>
            </w:r>
            <w:r>
              <w:rPr>
                <w:rFonts w:ascii="宋体" w:hAnsi="宋体" w:cs="宋体"/>
                <w:kern w:val="0"/>
                <w:sz w:val="24"/>
                <w:szCs w:val="24"/>
              </w:rPr>
              <w:t>IPv6下静态路由及策略路由、动态路由，动态路由应包括RIPng、OSPFv3、BGP4+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18" w:type="dxa"/>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高可靠性</w:t>
            </w:r>
          </w:p>
        </w:tc>
        <w:tc>
          <w:tcPr>
            <w:tcW w:w="6912" w:type="dxa"/>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所投产品必须支持路由模式、透明模式的</w:t>
            </w:r>
            <w:r>
              <w:rPr>
                <w:rFonts w:ascii="宋体" w:hAnsi="宋体" w:cs="宋体"/>
                <w:kern w:val="0"/>
                <w:sz w:val="24"/>
                <w:szCs w:val="24"/>
              </w:rPr>
              <w:t xml:space="preserve">HA高可靠性部署，可工作于主备、主主模式，会话、用户、配置可实时同步；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18" w:type="dxa"/>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访问控制</w:t>
            </w:r>
          </w:p>
        </w:tc>
        <w:tc>
          <w:tcPr>
            <w:tcW w:w="6912" w:type="dxa"/>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所投产品必须支持基于源安全域、目的安全域、源用户、源地址、源地区、目的地址、目的地区、服务、应用、隧道、时间、</w:t>
            </w:r>
            <w:r>
              <w:rPr>
                <w:rFonts w:ascii="宋体" w:hAnsi="宋体" w:cs="宋体"/>
                <w:kern w:val="0"/>
                <w:sz w:val="24"/>
                <w:szCs w:val="24"/>
              </w:rPr>
              <w:t>VLAN等多种方式进行访问控制。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18" w:type="dxa"/>
            <w:vMerge w:val="restart"/>
            <w:noWrap w:val="0"/>
            <w:vAlign w:val="center"/>
          </w:tcPr>
          <w:p>
            <w:pPr>
              <w:widowControl/>
              <w:spacing w:line="276" w:lineRule="auto"/>
              <w:rPr>
                <w:rFonts w:hint="eastAsia" w:ascii="宋体" w:hAnsi="宋体" w:cs="宋体"/>
                <w:kern w:val="0"/>
                <w:sz w:val="24"/>
                <w:szCs w:val="24"/>
              </w:rPr>
            </w:pPr>
            <w:r>
              <w:rPr>
                <w:rFonts w:hint="eastAsia" w:ascii="宋体" w:hAnsi="宋体" w:cs="宋体"/>
                <w:kern w:val="0"/>
                <w:sz w:val="24"/>
                <w:szCs w:val="24"/>
              </w:rPr>
              <w:t>入侵防御</w:t>
            </w:r>
          </w:p>
        </w:tc>
        <w:tc>
          <w:tcPr>
            <w:tcW w:w="6912" w:type="dxa"/>
            <w:noWrap w:val="0"/>
            <w:vAlign w:val="center"/>
          </w:tcPr>
          <w:p>
            <w:pPr>
              <w:widowControl/>
              <w:spacing w:line="276" w:lineRule="auto"/>
              <w:rPr>
                <w:rFonts w:hint="eastAsia" w:ascii="宋体" w:hAnsi="宋体" w:cs="宋体"/>
                <w:kern w:val="0"/>
                <w:sz w:val="24"/>
                <w:szCs w:val="24"/>
              </w:rPr>
            </w:pPr>
            <w:r>
              <w:rPr>
                <w:rFonts w:hint="eastAsia" w:ascii="宋体" w:hAnsi="宋体" w:cs="宋体"/>
                <w:kern w:val="0"/>
                <w:sz w:val="24"/>
                <w:szCs w:val="24"/>
              </w:rPr>
              <w:t>所投产品必须支持漏洞防护功能，同时将漏洞防护特征库分类，至少包括缓冲区溢出、跨站脚本、拒绝服务、恶意扫描、</w:t>
            </w:r>
            <w:r>
              <w:rPr>
                <w:rFonts w:ascii="宋体" w:hAnsi="宋体" w:cs="宋体"/>
                <w:kern w:val="0"/>
                <w:sz w:val="24"/>
                <w:szCs w:val="24"/>
              </w:rPr>
              <w:t>SQL注入、WEB攻击等六种分类；漏洞防护支持日志、阻断、放行、重置等执行动作,可批量设置针对某一分类或全部攻击签名的执行动作；支持基于FTP、HTTP、IMAP、POP3、SMB、SMTP等应用协议的漏洞防护</w:t>
            </w:r>
            <w:r>
              <w:rPr>
                <w:rFonts w:hint="eastAsia" w:ascii="宋体" w:hAnsi="宋体" w:cs="宋体"/>
                <w:kern w:val="0"/>
                <w:sz w:val="24"/>
                <w:szCs w:val="24"/>
              </w:rPr>
              <w:t>，</w:t>
            </w:r>
            <w:r>
              <w:rPr>
                <w:rFonts w:hint="eastAsia" w:ascii="宋体" w:hAnsi="宋体"/>
                <w:sz w:val="24"/>
                <w:szCs w:val="24"/>
              </w:rPr>
              <w:t>系统必须具备一种基于网络的入侵检测方法。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1418" w:type="dxa"/>
            <w:vMerge w:val="continue"/>
            <w:noWrap w:val="0"/>
            <w:vAlign w:val="center"/>
          </w:tcPr>
          <w:p>
            <w:pPr>
              <w:widowControl/>
              <w:spacing w:line="276" w:lineRule="auto"/>
              <w:rPr>
                <w:rFonts w:hint="eastAsia" w:ascii="宋体" w:hAnsi="宋体" w:cs="宋体"/>
                <w:kern w:val="0"/>
                <w:sz w:val="24"/>
                <w:szCs w:val="24"/>
              </w:rPr>
            </w:pPr>
          </w:p>
        </w:tc>
        <w:tc>
          <w:tcPr>
            <w:tcW w:w="6912" w:type="dxa"/>
            <w:noWrap w:val="0"/>
            <w:vAlign w:val="center"/>
          </w:tcPr>
          <w:p>
            <w:pPr>
              <w:widowControl/>
              <w:spacing w:line="276" w:lineRule="auto"/>
              <w:rPr>
                <w:rFonts w:hint="eastAsia" w:ascii="宋体" w:hAnsi="宋体" w:cs="宋体"/>
                <w:kern w:val="0"/>
                <w:sz w:val="24"/>
                <w:szCs w:val="24"/>
              </w:rPr>
            </w:pPr>
            <w:r>
              <w:rPr>
                <w:rFonts w:hint="eastAsia" w:ascii="宋体" w:hAnsi="宋体" w:cs="宋体"/>
                <w:kern w:val="0"/>
                <w:sz w:val="24"/>
                <w:szCs w:val="24"/>
              </w:rPr>
              <w:t>支持对常见应用服务（HTTP、FTP、SSH、SMTP、IMAP）和数据库软件（MySQL、Oracle、MSSQL）的口令暴力破解防护功能；（提供功能截图）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trPr>
        <w:tc>
          <w:tcPr>
            <w:tcW w:w="1418" w:type="dxa"/>
            <w:vMerge w:val="restart"/>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病毒防护</w:t>
            </w:r>
          </w:p>
        </w:tc>
        <w:tc>
          <w:tcPr>
            <w:tcW w:w="6912" w:type="dxa"/>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所投产品必须能够对</w:t>
            </w:r>
            <w:r>
              <w:rPr>
                <w:rFonts w:ascii="宋体" w:hAnsi="宋体" w:cs="宋体"/>
                <w:kern w:val="0"/>
                <w:sz w:val="24"/>
                <w:szCs w:val="24"/>
              </w:rPr>
              <w:t>HTTP/FTP/POP3/SMTP/IMAP/SMB六种协议进行病毒查杀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418" w:type="dxa"/>
            <w:vMerge w:val="continue"/>
            <w:noWrap w:val="0"/>
            <w:vAlign w:val="center"/>
          </w:tcPr>
          <w:p>
            <w:pPr>
              <w:widowControl/>
              <w:spacing w:line="276" w:lineRule="auto"/>
              <w:rPr>
                <w:rFonts w:hint="eastAsia" w:ascii="宋体" w:hAnsi="宋体" w:cs="宋体"/>
                <w:kern w:val="0"/>
                <w:sz w:val="24"/>
                <w:szCs w:val="24"/>
              </w:rPr>
            </w:pPr>
          </w:p>
        </w:tc>
        <w:tc>
          <w:tcPr>
            <w:tcW w:w="6912" w:type="dxa"/>
            <w:noWrap w:val="0"/>
            <w:vAlign w:val="center"/>
          </w:tcPr>
          <w:p>
            <w:pPr>
              <w:widowControl/>
              <w:spacing w:line="276" w:lineRule="auto"/>
              <w:rPr>
                <w:rFonts w:hint="eastAsia" w:ascii="宋体" w:hAnsi="宋体" w:cs="宋体"/>
                <w:kern w:val="0"/>
                <w:sz w:val="24"/>
                <w:szCs w:val="24"/>
              </w:rPr>
            </w:pPr>
            <w:r>
              <w:rPr>
                <w:rFonts w:hint="eastAsia" w:ascii="宋体" w:hAnsi="宋体" w:cs="宋体"/>
                <w:kern w:val="0"/>
                <w:sz w:val="24"/>
                <w:szCs w:val="24"/>
              </w:rPr>
              <w:t>病毒库数量≥500w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18" w:type="dxa"/>
            <w:vMerge w:val="continue"/>
            <w:noWrap w:val="0"/>
            <w:vAlign w:val="center"/>
          </w:tcPr>
          <w:p>
            <w:pPr>
              <w:widowControl/>
              <w:spacing w:line="276" w:lineRule="auto"/>
              <w:ind w:firstLine="442"/>
              <w:jc w:val="center"/>
              <w:rPr>
                <w:rFonts w:ascii="宋体" w:hAnsi="宋体" w:cs="宋体"/>
                <w:kern w:val="0"/>
                <w:sz w:val="24"/>
                <w:szCs w:val="24"/>
              </w:rPr>
            </w:pPr>
          </w:p>
        </w:tc>
        <w:tc>
          <w:tcPr>
            <w:tcW w:w="6912" w:type="dxa"/>
            <w:noWrap w:val="0"/>
            <w:vAlign w:val="center"/>
          </w:tcPr>
          <w:p>
            <w:pPr>
              <w:rPr>
                <w:rFonts w:ascii="宋体" w:hAnsi="宋体" w:cs="宋体"/>
                <w:kern w:val="0"/>
                <w:sz w:val="24"/>
                <w:szCs w:val="24"/>
              </w:rPr>
            </w:pPr>
            <w:r>
              <w:rPr>
                <w:rFonts w:hint="eastAsia" w:ascii="宋体" w:hAnsi="宋体" w:cs="宋体"/>
                <w:kern w:val="0"/>
                <w:sz w:val="24"/>
                <w:szCs w:val="24"/>
              </w:rPr>
              <w:t>所投产品必须支持基于</w:t>
            </w:r>
            <w:r>
              <w:rPr>
                <w:rFonts w:ascii="宋体" w:hAnsi="宋体" w:cs="宋体"/>
                <w:kern w:val="0"/>
                <w:sz w:val="24"/>
                <w:szCs w:val="24"/>
              </w:rPr>
              <w:t>MD5的自定义病毒签名；支持设置例外特征，对特定的病毒特征不进行查杀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18" w:type="dxa"/>
            <w:noWrap w:val="0"/>
            <w:vAlign w:val="center"/>
          </w:tcPr>
          <w:p>
            <w:pPr>
              <w:spacing w:line="276" w:lineRule="auto"/>
              <w:rPr>
                <w:rFonts w:ascii="宋体" w:hAnsi="宋体" w:cs="宋体"/>
                <w:kern w:val="0"/>
                <w:sz w:val="24"/>
                <w:szCs w:val="24"/>
              </w:rPr>
            </w:pPr>
            <w:r>
              <w:rPr>
                <w:rFonts w:ascii="宋体" w:hAnsi="宋体" w:cs="宋体"/>
                <w:kern w:val="0"/>
                <w:sz w:val="24"/>
                <w:szCs w:val="24"/>
              </w:rPr>
              <w:t>VPN</w:t>
            </w:r>
            <w:r>
              <w:rPr>
                <w:rFonts w:hint="eastAsia" w:ascii="宋体" w:hAnsi="宋体" w:cs="宋体"/>
                <w:kern w:val="0"/>
                <w:sz w:val="24"/>
                <w:szCs w:val="24"/>
              </w:rPr>
              <w:t>功能</w:t>
            </w:r>
          </w:p>
        </w:tc>
        <w:tc>
          <w:tcPr>
            <w:tcW w:w="6912" w:type="dxa"/>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支持IPSec、L2TP、GRE VPN，能够对相应VPN隧道报文进行监控统计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6" w:hRule="atLeast"/>
        </w:trPr>
        <w:tc>
          <w:tcPr>
            <w:tcW w:w="1418" w:type="dxa"/>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网络异常感知</w:t>
            </w:r>
          </w:p>
        </w:tc>
        <w:tc>
          <w:tcPr>
            <w:tcW w:w="6912" w:type="dxa"/>
            <w:noWrap w:val="0"/>
            <w:vAlign w:val="center"/>
          </w:tcPr>
          <w:p>
            <w:pPr>
              <w:spacing w:line="276" w:lineRule="auto"/>
              <w:rPr>
                <w:rFonts w:ascii="宋体" w:hAnsi="宋体" w:cs="宋体"/>
                <w:kern w:val="0"/>
                <w:sz w:val="24"/>
                <w:szCs w:val="24"/>
              </w:rPr>
            </w:pPr>
            <w:r>
              <w:rPr>
                <w:rFonts w:hint="eastAsia" w:ascii="宋体" w:hAnsi="宋体" w:cs="宋体"/>
                <w:kern w:val="0"/>
                <w:sz w:val="24"/>
                <w:szCs w:val="24"/>
              </w:rPr>
              <w:t>所投产品必须支持统计网络内威胁事件的数量及对应的风险等级；支持查看详情并自动显示关联日志；可基于网络连接、应用名称、威胁事件处置威胁事件；</w:t>
            </w:r>
            <w:r>
              <w:rPr>
                <w:rFonts w:ascii="宋体" w:hAnsi="宋体" w:cs="宋体"/>
                <w:kern w:val="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1418" w:type="dxa"/>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安全事件分析</w:t>
            </w:r>
          </w:p>
        </w:tc>
        <w:tc>
          <w:tcPr>
            <w:tcW w:w="6912" w:type="dxa"/>
            <w:noWrap w:val="0"/>
            <w:vAlign w:val="center"/>
          </w:tcPr>
          <w:p>
            <w:pPr>
              <w:spacing w:line="276" w:lineRule="auto"/>
              <w:rPr>
                <w:rFonts w:ascii="宋体" w:hAnsi="宋体" w:cs="宋体"/>
                <w:kern w:val="0"/>
                <w:sz w:val="24"/>
                <w:szCs w:val="24"/>
              </w:rPr>
            </w:pPr>
            <w:r>
              <w:rPr>
                <w:rFonts w:hint="eastAsia" w:ascii="宋体" w:hAnsi="宋体" w:cs="宋体"/>
                <w:kern w:val="0"/>
                <w:sz w:val="24"/>
                <w:szCs w:val="24"/>
              </w:rPr>
              <w:t>所投设备必须支持基于网络活动，威胁活动、阻止活动等多维关联统计及分析，发现异常行为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trPr>
        <w:tc>
          <w:tcPr>
            <w:tcW w:w="1418" w:type="dxa"/>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运维管理</w:t>
            </w:r>
          </w:p>
        </w:tc>
        <w:tc>
          <w:tcPr>
            <w:tcW w:w="6912" w:type="dxa"/>
            <w:noWrap w:val="0"/>
            <w:vAlign w:val="center"/>
          </w:tcPr>
          <w:p>
            <w:pPr>
              <w:spacing w:line="276" w:lineRule="auto"/>
              <w:rPr>
                <w:rFonts w:hint="eastAsia" w:ascii="宋体" w:hAnsi="宋体" w:cs="宋体"/>
                <w:kern w:val="0"/>
                <w:sz w:val="24"/>
                <w:szCs w:val="24"/>
              </w:rPr>
            </w:pPr>
            <w:r>
              <w:rPr>
                <w:rFonts w:hint="eastAsia" w:ascii="宋体" w:hAnsi="宋体" w:cs="宋体"/>
                <w:kern w:val="0"/>
                <w:sz w:val="24"/>
                <w:szCs w:val="24"/>
              </w:rPr>
              <w:t>产品支持三权分立管理，具有独立审计用户，支持标准Syslog日志审计方式，支持Syslog端口自定义；</w:t>
            </w:r>
          </w:p>
          <w:p>
            <w:pPr>
              <w:rPr>
                <w:rFonts w:ascii="宋体" w:hAnsi="宋体"/>
                <w:sz w:val="24"/>
                <w:szCs w:val="24"/>
              </w:rPr>
            </w:pPr>
            <w:r>
              <w:rPr>
                <w:rFonts w:hint="eastAsia" w:ascii="宋体" w:hAnsi="宋体"/>
                <w:sz w:val="24"/>
                <w:szCs w:val="24"/>
              </w:rPr>
              <w:t>开放RESTCONF，NETCONF等北向接口，对接第三方的管理平台；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418" w:type="dxa"/>
            <w:noWrap w:val="0"/>
            <w:vAlign w:val="center"/>
          </w:tcPr>
          <w:p>
            <w:pPr>
              <w:widowControl/>
              <w:spacing w:line="276" w:lineRule="auto"/>
              <w:rPr>
                <w:rFonts w:ascii="宋体" w:hAnsi="宋体" w:cs="宋体"/>
                <w:kern w:val="0"/>
                <w:sz w:val="24"/>
                <w:szCs w:val="24"/>
              </w:rPr>
            </w:pPr>
            <w:r>
              <w:rPr>
                <w:rFonts w:hint="eastAsia" w:ascii="宋体" w:hAnsi="宋体" w:cs="宋体"/>
                <w:kern w:val="0"/>
                <w:sz w:val="24"/>
                <w:szCs w:val="24"/>
              </w:rPr>
              <w:t>服务</w:t>
            </w:r>
          </w:p>
        </w:tc>
        <w:tc>
          <w:tcPr>
            <w:tcW w:w="6912" w:type="dxa"/>
            <w:noWrap w:val="0"/>
            <w:vAlign w:val="center"/>
          </w:tcPr>
          <w:p>
            <w:pPr>
              <w:spacing w:line="276" w:lineRule="auto"/>
              <w:rPr>
                <w:rFonts w:ascii="宋体" w:hAnsi="宋体" w:cs="宋体"/>
                <w:kern w:val="0"/>
                <w:sz w:val="24"/>
                <w:szCs w:val="24"/>
              </w:rPr>
            </w:pPr>
            <w:r>
              <w:rPr>
                <w:rFonts w:hint="eastAsia" w:ascii="宋体" w:hAnsi="宋体" w:cs="宋体"/>
                <w:sz w:val="24"/>
              </w:rPr>
              <w:t>原厂五年质保，中标后签订合同前提供原厂商质保承诺函。</w:t>
            </w:r>
            <w:r>
              <w:rPr>
                <w:rFonts w:hint="eastAsia" w:ascii="宋体" w:hAnsi="宋体" w:cs="宋体"/>
                <w:kern w:val="0"/>
                <w:sz w:val="24"/>
                <w:szCs w:val="24"/>
              </w:rPr>
              <w:t>包含五年IPS/病毒防护特征库升级</w:t>
            </w:r>
          </w:p>
        </w:tc>
      </w:tr>
    </w:tbl>
    <w:p>
      <w:pPr>
        <w:outlineLvl w:val="1"/>
        <w:rPr>
          <w:rFonts w:hint="eastAsia" w:ascii="宋体" w:hAnsi="宋体"/>
          <w:b/>
          <w:bCs/>
          <w:color w:val="000000"/>
          <w:sz w:val="24"/>
          <w:szCs w:val="24"/>
        </w:rPr>
      </w:pPr>
    </w:p>
    <w:p>
      <w:pPr>
        <w:outlineLvl w:val="1"/>
        <w:rPr>
          <w:rFonts w:ascii="宋体" w:hAnsi="宋体"/>
          <w:b/>
          <w:bCs/>
          <w:color w:val="000000"/>
          <w:sz w:val="24"/>
          <w:szCs w:val="24"/>
        </w:rPr>
      </w:pPr>
      <w:r>
        <w:rPr>
          <w:rFonts w:hint="eastAsia" w:ascii="宋体" w:hAnsi="宋体"/>
          <w:b/>
          <w:bCs/>
          <w:color w:val="000000"/>
          <w:sz w:val="24"/>
          <w:szCs w:val="24"/>
        </w:rPr>
        <w:t>22.APT检测探针</w:t>
      </w:r>
    </w:p>
    <w:tbl>
      <w:tblPr>
        <w:tblStyle w:val="23"/>
        <w:tblW w:w="833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418" w:type="dxa"/>
            <w:noWrap w:val="0"/>
            <w:vAlign w:val="center"/>
          </w:tcPr>
          <w:p>
            <w:pPr>
              <w:spacing w:before="100" w:beforeAutospacing="1" w:after="100" w:afterAutospacing="1" w:line="315" w:lineRule="atLeast"/>
              <w:jc w:val="center"/>
              <w:rPr>
                <w:rFonts w:ascii="宋体" w:hAnsi="宋体" w:cs="宋体"/>
                <w:color w:val="000000"/>
                <w:kern w:val="0"/>
                <w:sz w:val="24"/>
                <w:szCs w:val="24"/>
              </w:rPr>
            </w:pPr>
            <w:r>
              <w:rPr>
                <w:rFonts w:hint="eastAsia" w:ascii="宋体" w:hAnsi="宋体" w:cs="宋体"/>
                <w:color w:val="000000"/>
                <w:sz w:val="24"/>
                <w:szCs w:val="24"/>
              </w:rPr>
              <w:t>技术指标</w:t>
            </w:r>
          </w:p>
        </w:tc>
        <w:tc>
          <w:tcPr>
            <w:tcW w:w="6912" w:type="dxa"/>
            <w:noWrap w:val="0"/>
            <w:vAlign w:val="center"/>
          </w:tcPr>
          <w:p>
            <w:pPr>
              <w:spacing w:before="100" w:beforeAutospacing="1" w:after="100" w:afterAutospacing="1" w:line="315" w:lineRule="atLeast"/>
              <w:jc w:val="center"/>
              <w:rPr>
                <w:rFonts w:ascii="宋体" w:hAnsi="宋体" w:cs="宋体"/>
                <w:color w:val="000000"/>
                <w:kern w:val="0"/>
                <w:sz w:val="24"/>
                <w:szCs w:val="24"/>
              </w:rPr>
            </w:pPr>
            <w:r>
              <w:rPr>
                <w:rFonts w:hint="eastAsia" w:ascii="宋体" w:hAnsi="宋体" w:cs="宋体"/>
                <w:color w:val="000000"/>
                <w:sz w:val="24"/>
                <w:szCs w:val="24"/>
              </w:rPr>
              <w:t>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418" w:type="dxa"/>
            <w:vMerge w:val="restart"/>
            <w:noWrap w:val="0"/>
            <w:vAlign w:val="center"/>
          </w:tcPr>
          <w:p>
            <w:pPr>
              <w:spacing w:before="100" w:beforeAutospacing="1" w:after="100" w:afterAutospacing="1" w:line="315" w:lineRule="atLeast"/>
              <w:jc w:val="center"/>
              <w:rPr>
                <w:rFonts w:hint="eastAsia" w:ascii="宋体" w:hAnsi="宋体" w:cs="宋体"/>
                <w:color w:val="000000"/>
                <w:sz w:val="24"/>
                <w:szCs w:val="24"/>
              </w:rPr>
            </w:pPr>
            <w:r>
              <w:rPr>
                <w:rFonts w:hint="eastAsia" w:ascii="宋体" w:hAnsi="宋体"/>
                <w:color w:val="000000"/>
                <w:sz w:val="24"/>
                <w:szCs w:val="24"/>
              </w:rPr>
              <w:t>架构及性能要求</w:t>
            </w:r>
          </w:p>
        </w:tc>
        <w:tc>
          <w:tcPr>
            <w:tcW w:w="6912" w:type="dxa"/>
            <w:noWrap w:val="0"/>
            <w:vAlign w:val="center"/>
          </w:tcPr>
          <w:p>
            <w:pPr>
              <w:spacing w:before="100" w:beforeAutospacing="1" w:after="100" w:afterAutospacing="1" w:line="315" w:lineRule="atLeast"/>
              <w:jc w:val="left"/>
              <w:rPr>
                <w:rFonts w:hint="eastAsia" w:ascii="宋体" w:hAnsi="宋体"/>
                <w:sz w:val="24"/>
                <w:szCs w:val="24"/>
              </w:rPr>
            </w:pPr>
            <w:r>
              <w:rPr>
                <w:rFonts w:hint="eastAsia" w:ascii="宋体" w:hAnsi="宋体"/>
                <w:sz w:val="24"/>
                <w:szCs w:val="24"/>
              </w:rPr>
              <w:t>吞吐量≥3Gbps; 冗余电源，标准配置1个10/100/1000M专用管理接口，1个Console口，≥4个千兆电口、≥</w:t>
            </w:r>
            <w:r>
              <w:rPr>
                <w:rFonts w:hint="eastAsia" w:ascii="宋体" w:hAnsi="宋体"/>
                <w:color w:val="FF0000"/>
                <w:sz w:val="24"/>
                <w:szCs w:val="24"/>
                <w:lang w:val="en-US" w:eastAsia="zh-CN"/>
              </w:rPr>
              <w:t>2</w:t>
            </w:r>
            <w:r>
              <w:rPr>
                <w:rFonts w:hint="eastAsia" w:ascii="宋体" w:hAnsi="宋体"/>
                <w:sz w:val="24"/>
                <w:szCs w:val="24"/>
              </w:rPr>
              <w:t>个千兆SFP光口、≥2个万兆SFP+光口；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418" w:type="dxa"/>
            <w:vMerge w:val="continue"/>
            <w:noWrap w:val="0"/>
            <w:vAlign w:val="center"/>
          </w:tcPr>
          <w:p>
            <w:pPr>
              <w:spacing w:before="100" w:beforeAutospacing="1" w:after="100" w:afterAutospacing="1" w:line="315" w:lineRule="atLeast"/>
              <w:jc w:val="center"/>
              <w:rPr>
                <w:rFonts w:hint="eastAsia" w:ascii="宋体" w:hAnsi="宋体" w:cs="宋体"/>
                <w:color w:val="000000"/>
                <w:sz w:val="24"/>
                <w:szCs w:val="24"/>
              </w:rPr>
            </w:pPr>
          </w:p>
        </w:tc>
        <w:tc>
          <w:tcPr>
            <w:tcW w:w="6912" w:type="dxa"/>
            <w:noWrap w:val="0"/>
            <w:vAlign w:val="center"/>
          </w:tcPr>
          <w:p>
            <w:pPr>
              <w:spacing w:before="100" w:beforeAutospacing="1" w:after="100" w:afterAutospacing="1" w:line="315" w:lineRule="atLeast"/>
              <w:jc w:val="left"/>
              <w:rPr>
                <w:rFonts w:hint="eastAsia" w:ascii="宋体" w:hAnsi="宋体"/>
                <w:sz w:val="24"/>
                <w:szCs w:val="24"/>
              </w:rPr>
            </w:pPr>
            <w:r>
              <w:rPr>
                <w:rFonts w:hint="eastAsia" w:ascii="宋体" w:hAnsi="宋体"/>
                <w:sz w:val="24"/>
                <w:szCs w:val="24"/>
              </w:rPr>
              <w:t>HTTP最大并发数≥10万/秒；邮件处理数≥200万封/24小时；文件检测≥10万个/24小时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418" w:type="dxa"/>
            <w:vMerge w:val="continue"/>
            <w:noWrap w:val="0"/>
            <w:vAlign w:val="center"/>
          </w:tcPr>
          <w:p>
            <w:pPr>
              <w:spacing w:before="100" w:beforeAutospacing="1" w:after="100" w:afterAutospacing="1" w:line="315" w:lineRule="atLeast"/>
              <w:jc w:val="center"/>
              <w:rPr>
                <w:rFonts w:hint="eastAsia" w:ascii="宋体" w:hAnsi="宋体" w:cs="宋体"/>
                <w:color w:val="000000"/>
                <w:sz w:val="24"/>
                <w:szCs w:val="24"/>
              </w:rPr>
            </w:pPr>
          </w:p>
        </w:tc>
        <w:tc>
          <w:tcPr>
            <w:tcW w:w="6912" w:type="dxa"/>
            <w:noWrap w:val="0"/>
            <w:vAlign w:val="center"/>
          </w:tcPr>
          <w:p>
            <w:pPr>
              <w:spacing w:before="100" w:beforeAutospacing="1" w:after="100" w:afterAutospacing="1" w:line="315" w:lineRule="atLeast"/>
              <w:jc w:val="left"/>
              <w:rPr>
                <w:rFonts w:hint="eastAsia" w:ascii="宋体" w:hAnsi="宋体"/>
                <w:sz w:val="24"/>
                <w:szCs w:val="24"/>
              </w:rPr>
            </w:pPr>
            <w:r>
              <w:rPr>
                <w:rFonts w:hint="eastAsia" w:ascii="宋体" w:hAnsi="宋体"/>
                <w:sz w:val="24"/>
                <w:szCs w:val="24"/>
              </w:rPr>
              <w:t>提供五年全功能特征库升级服务及硬件维修服务。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418" w:type="dxa"/>
            <w:vMerge w:val="continue"/>
            <w:noWrap w:val="0"/>
            <w:vAlign w:val="center"/>
          </w:tcPr>
          <w:p>
            <w:pPr>
              <w:spacing w:before="100" w:beforeAutospacing="1" w:after="100" w:afterAutospacing="1" w:line="315" w:lineRule="atLeast"/>
              <w:jc w:val="center"/>
              <w:rPr>
                <w:rFonts w:hint="eastAsia" w:ascii="宋体" w:hAnsi="宋体" w:cs="宋体"/>
                <w:color w:val="000000"/>
                <w:sz w:val="24"/>
                <w:szCs w:val="24"/>
              </w:rPr>
            </w:pPr>
          </w:p>
        </w:tc>
        <w:tc>
          <w:tcPr>
            <w:tcW w:w="6912" w:type="dxa"/>
            <w:noWrap w:val="0"/>
            <w:vAlign w:val="center"/>
          </w:tcPr>
          <w:p>
            <w:pPr>
              <w:spacing w:before="100" w:beforeAutospacing="1" w:after="100" w:afterAutospacing="1" w:line="315" w:lineRule="atLeast"/>
              <w:jc w:val="left"/>
              <w:rPr>
                <w:rFonts w:hint="eastAsia" w:ascii="宋体" w:hAnsi="宋体" w:cs="宋体"/>
                <w:color w:val="000000"/>
                <w:sz w:val="24"/>
                <w:szCs w:val="24"/>
              </w:rPr>
            </w:pPr>
            <w:r>
              <w:rPr>
                <w:rFonts w:hint="eastAsia" w:ascii="宋体" w:hAnsi="宋体"/>
                <w:sz w:val="24"/>
                <w:szCs w:val="24"/>
              </w:rPr>
              <w:t>支持通过流量镜像的方式旁路部署在数据链路中，实现网络流量数据采集、威胁检测和日志外发，支持通过重置会话的方式阻断TCP威胁会话连接，支持通过流量被动识别资产。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418" w:type="dxa"/>
            <w:noWrap w:val="0"/>
            <w:vAlign w:val="center"/>
          </w:tcPr>
          <w:p>
            <w:pPr>
              <w:spacing w:line="276" w:lineRule="auto"/>
              <w:jc w:val="center"/>
              <w:rPr>
                <w:rFonts w:ascii="宋体" w:hAnsi="宋体"/>
                <w:sz w:val="24"/>
                <w:szCs w:val="24"/>
              </w:rPr>
            </w:pPr>
            <w:r>
              <w:rPr>
                <w:rFonts w:hint="eastAsia" w:ascii="宋体" w:hAnsi="宋体"/>
                <w:sz w:val="24"/>
                <w:szCs w:val="24"/>
              </w:rPr>
              <w:t>审计协议</w:t>
            </w:r>
          </w:p>
        </w:tc>
        <w:tc>
          <w:tcPr>
            <w:tcW w:w="6912" w:type="dxa"/>
            <w:noWrap w:val="0"/>
            <w:vAlign w:val="center"/>
          </w:tcPr>
          <w:p>
            <w:pPr>
              <w:spacing w:before="100" w:beforeAutospacing="1" w:after="100" w:afterAutospacing="1" w:line="315" w:lineRule="atLeast"/>
              <w:jc w:val="left"/>
              <w:rPr>
                <w:rFonts w:ascii="宋体" w:hAnsi="宋体"/>
                <w:sz w:val="24"/>
                <w:szCs w:val="24"/>
              </w:rPr>
            </w:pPr>
            <w:r>
              <w:rPr>
                <w:rFonts w:hint="eastAsia" w:ascii="宋体" w:hAnsi="宋体"/>
                <w:sz w:val="24"/>
                <w:szCs w:val="24"/>
              </w:rPr>
              <w:t>支持解析HTTP、FTP、SMTP、POP3、SMB、IMAP、DNS、Mysql、MSSQL、DB2、Oracle等协议报文，并提供审计协议类型的端口号配置，可根据需要变更端口号，并支持LDAP登录行为识别、VXLAN镜像流量解析检测及HTTPS流量解析能力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418" w:type="dxa"/>
            <w:noWrap w:val="0"/>
            <w:vAlign w:val="center"/>
          </w:tcPr>
          <w:p>
            <w:pPr>
              <w:spacing w:line="276" w:lineRule="auto"/>
              <w:jc w:val="center"/>
              <w:rPr>
                <w:rFonts w:ascii="宋体" w:hAnsi="宋体"/>
                <w:sz w:val="24"/>
                <w:szCs w:val="24"/>
              </w:rPr>
            </w:pPr>
            <w:r>
              <w:rPr>
                <w:rFonts w:hint="eastAsia" w:ascii="宋体" w:hAnsi="宋体"/>
                <w:sz w:val="24"/>
                <w:szCs w:val="24"/>
              </w:rPr>
              <w:t>检测风险类别</w:t>
            </w:r>
          </w:p>
        </w:tc>
        <w:tc>
          <w:tcPr>
            <w:tcW w:w="6912" w:type="dxa"/>
            <w:noWrap w:val="0"/>
            <w:vAlign w:val="center"/>
          </w:tcPr>
          <w:p>
            <w:pPr>
              <w:spacing w:before="100" w:beforeAutospacing="1" w:after="100" w:afterAutospacing="1" w:line="315" w:lineRule="atLeast"/>
              <w:jc w:val="left"/>
              <w:rPr>
                <w:rFonts w:ascii="宋体" w:hAnsi="宋体"/>
                <w:sz w:val="24"/>
                <w:szCs w:val="24"/>
              </w:rPr>
            </w:pPr>
            <w:r>
              <w:rPr>
                <w:rFonts w:hint="eastAsia" w:ascii="宋体" w:hAnsi="宋体"/>
                <w:sz w:val="24"/>
                <w:szCs w:val="24"/>
              </w:rPr>
              <w:t>支持检测WEB攻击、异常访问、恶意文件攻击、C&amp;C IP/URL、WEB后门访问、发件人欺骗、邮件头欺骗、邮件钓鱼欺骗、邮件恶意链接、DGA域名请求、SMB远程溢出攻击、WEB行为分析等风险（提供截图证明）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418" w:type="dxa"/>
            <w:noWrap w:val="0"/>
            <w:vAlign w:val="top"/>
          </w:tcPr>
          <w:p>
            <w:pPr>
              <w:rPr>
                <w:rFonts w:hint="eastAsia" w:ascii="宋体" w:hAnsi="宋体"/>
                <w:sz w:val="24"/>
                <w:szCs w:val="24"/>
              </w:rPr>
            </w:pPr>
            <w:r>
              <w:rPr>
                <w:rFonts w:hint="eastAsia" w:ascii="宋体" w:hAnsi="宋体"/>
                <w:sz w:val="24"/>
                <w:szCs w:val="24"/>
              </w:rPr>
              <w:t>告警黑白名单过滤</w:t>
            </w:r>
          </w:p>
        </w:tc>
        <w:tc>
          <w:tcPr>
            <w:tcW w:w="6912" w:type="dxa"/>
            <w:noWrap w:val="0"/>
            <w:vAlign w:val="top"/>
          </w:tcPr>
          <w:p>
            <w:pPr>
              <w:rPr>
                <w:rFonts w:hint="eastAsia" w:ascii="宋体" w:hAnsi="宋体"/>
                <w:sz w:val="24"/>
                <w:szCs w:val="24"/>
              </w:rPr>
            </w:pPr>
            <w:r>
              <w:rPr>
                <w:rFonts w:hint="eastAsia" w:ascii="宋体" w:hAnsi="宋体"/>
                <w:sz w:val="24"/>
                <w:szCs w:val="24"/>
              </w:rPr>
              <w:t>支持对文件白名单、发件人邮箱白名单、发件人域名白名单、黑域名白名单、黑IP白名单、域名白名单、客户端IP白名单、服务端IP白名单、WEB风险特征白名单进行设置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418" w:type="dxa"/>
            <w:noWrap w:val="0"/>
            <w:vAlign w:val="top"/>
          </w:tcPr>
          <w:p>
            <w:pPr>
              <w:rPr>
                <w:rFonts w:hint="eastAsia" w:ascii="宋体" w:hAnsi="宋体"/>
                <w:sz w:val="24"/>
                <w:szCs w:val="24"/>
              </w:rPr>
            </w:pPr>
            <w:r>
              <w:rPr>
                <w:rFonts w:hint="eastAsia" w:ascii="宋体" w:hAnsi="宋体"/>
                <w:sz w:val="24"/>
                <w:szCs w:val="24"/>
              </w:rPr>
              <w:t>弱口令风险检测</w:t>
            </w:r>
          </w:p>
        </w:tc>
        <w:tc>
          <w:tcPr>
            <w:tcW w:w="6912" w:type="dxa"/>
            <w:noWrap w:val="0"/>
            <w:vAlign w:val="top"/>
          </w:tcPr>
          <w:p>
            <w:pPr>
              <w:rPr>
                <w:rFonts w:ascii="宋体" w:hAnsi="宋体"/>
                <w:sz w:val="24"/>
                <w:szCs w:val="24"/>
              </w:rPr>
            </w:pPr>
            <w:r>
              <w:rPr>
                <w:rFonts w:hint="eastAsia" w:ascii="宋体" w:hAnsi="宋体"/>
                <w:sz w:val="24"/>
                <w:szCs w:val="24"/>
              </w:rPr>
              <w:t>支持对Telnet、FTP、POP3、SMTP、IMAP等协议进行弱口令检测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418" w:type="dxa"/>
            <w:vMerge w:val="restart"/>
            <w:noWrap w:val="0"/>
            <w:vAlign w:val="center"/>
          </w:tcPr>
          <w:p>
            <w:pPr>
              <w:spacing w:before="100" w:beforeAutospacing="1" w:after="100" w:afterAutospacing="1" w:line="315" w:lineRule="atLeast"/>
              <w:jc w:val="center"/>
              <w:rPr>
                <w:rFonts w:hint="eastAsia" w:ascii="宋体" w:hAnsi="宋体" w:cs="宋体"/>
                <w:color w:val="000000"/>
                <w:sz w:val="24"/>
                <w:szCs w:val="24"/>
              </w:rPr>
            </w:pPr>
            <w:r>
              <w:rPr>
                <w:rFonts w:hint="eastAsia" w:ascii="宋体" w:hAnsi="宋体" w:cs="宋体"/>
                <w:color w:val="000000"/>
                <w:sz w:val="24"/>
                <w:szCs w:val="24"/>
              </w:rPr>
              <w:t>主机威胁分析</w:t>
            </w:r>
          </w:p>
        </w:tc>
        <w:tc>
          <w:tcPr>
            <w:tcW w:w="6912" w:type="dxa"/>
            <w:noWrap w:val="0"/>
            <w:vAlign w:val="top"/>
          </w:tcPr>
          <w:p>
            <w:pPr>
              <w:rPr>
                <w:rFonts w:hint="eastAsia" w:ascii="宋体" w:hAnsi="宋体"/>
                <w:sz w:val="24"/>
                <w:szCs w:val="24"/>
              </w:rPr>
            </w:pPr>
            <w:r>
              <w:rPr>
                <w:rFonts w:hint="eastAsia" w:ascii="宋体" w:hAnsi="宋体"/>
                <w:sz w:val="24"/>
                <w:szCs w:val="24"/>
              </w:rPr>
              <w:t>可自动对内网主机进行威胁指数分析，详细展示具体的威胁指数、威胁活动、历史威胁指数、遭受的攻击类型、攻击次数、攻击状态等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418" w:type="dxa"/>
            <w:vMerge w:val="continue"/>
            <w:noWrap w:val="0"/>
            <w:vAlign w:val="center"/>
          </w:tcPr>
          <w:p>
            <w:pPr>
              <w:spacing w:before="100" w:beforeAutospacing="1" w:after="100" w:afterAutospacing="1" w:line="315" w:lineRule="atLeast"/>
              <w:jc w:val="center"/>
              <w:rPr>
                <w:rFonts w:hint="eastAsia" w:ascii="宋体" w:hAnsi="宋体" w:cs="宋体"/>
                <w:color w:val="000000"/>
                <w:sz w:val="24"/>
                <w:szCs w:val="24"/>
              </w:rPr>
            </w:pPr>
          </w:p>
        </w:tc>
        <w:tc>
          <w:tcPr>
            <w:tcW w:w="6912" w:type="dxa"/>
            <w:noWrap w:val="0"/>
            <w:vAlign w:val="top"/>
          </w:tcPr>
          <w:p>
            <w:pPr>
              <w:rPr>
                <w:rFonts w:ascii="宋体" w:hAnsi="宋体"/>
                <w:sz w:val="24"/>
                <w:szCs w:val="24"/>
              </w:rPr>
            </w:pPr>
            <w:r>
              <w:rPr>
                <w:rFonts w:hint="eastAsia" w:ascii="宋体" w:hAnsi="宋体"/>
                <w:sz w:val="24"/>
                <w:szCs w:val="24"/>
              </w:rPr>
              <w:t>可根据不同威胁指数的主机实现攻击溯源和攻击过程的可视化分析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418" w:type="dxa"/>
            <w:noWrap w:val="0"/>
            <w:vAlign w:val="top"/>
          </w:tcPr>
          <w:p>
            <w:pPr>
              <w:rPr>
                <w:rFonts w:hint="eastAsia" w:ascii="宋体" w:hAnsi="宋体"/>
                <w:sz w:val="24"/>
                <w:szCs w:val="24"/>
              </w:rPr>
            </w:pPr>
            <w:r>
              <w:rPr>
                <w:rFonts w:hint="eastAsia" w:ascii="宋体" w:hAnsi="宋体"/>
                <w:sz w:val="24"/>
                <w:szCs w:val="24"/>
              </w:rPr>
              <w:t>木马回连分析</w:t>
            </w:r>
          </w:p>
        </w:tc>
        <w:tc>
          <w:tcPr>
            <w:tcW w:w="6912" w:type="dxa"/>
            <w:noWrap w:val="0"/>
            <w:vAlign w:val="top"/>
          </w:tcPr>
          <w:p>
            <w:pPr>
              <w:rPr>
                <w:rFonts w:hint="eastAsia" w:ascii="宋体" w:hAnsi="宋体"/>
                <w:sz w:val="24"/>
                <w:szCs w:val="24"/>
              </w:rPr>
            </w:pPr>
            <w:r>
              <w:rPr>
                <w:rFonts w:hint="eastAsia" w:ascii="宋体" w:hAnsi="宋体"/>
                <w:sz w:val="24"/>
                <w:szCs w:val="24"/>
              </w:rPr>
              <w:t>快速识别网络中存在的恶意回连行为，包含回连主机IP、服务器IP、时间、行为等，对基于木马回连的非法数据传输等行为进行取证分析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418" w:type="dxa"/>
            <w:noWrap w:val="0"/>
            <w:vAlign w:val="top"/>
          </w:tcPr>
          <w:p>
            <w:pPr>
              <w:rPr>
                <w:rFonts w:hint="eastAsia" w:ascii="宋体" w:hAnsi="宋体"/>
                <w:sz w:val="24"/>
                <w:szCs w:val="24"/>
              </w:rPr>
            </w:pPr>
            <w:r>
              <w:rPr>
                <w:rFonts w:hint="eastAsia" w:ascii="宋体" w:hAnsi="宋体"/>
                <w:sz w:val="24"/>
                <w:szCs w:val="24"/>
              </w:rPr>
              <w:t>HTTP解析</w:t>
            </w:r>
          </w:p>
        </w:tc>
        <w:tc>
          <w:tcPr>
            <w:tcW w:w="6912" w:type="dxa"/>
            <w:noWrap w:val="0"/>
            <w:vAlign w:val="top"/>
          </w:tcPr>
          <w:p>
            <w:pPr>
              <w:rPr>
                <w:rFonts w:hint="eastAsia" w:ascii="宋体" w:hAnsi="宋体"/>
                <w:sz w:val="24"/>
                <w:szCs w:val="24"/>
              </w:rPr>
            </w:pPr>
            <w:r>
              <w:rPr>
                <w:rFonts w:hint="eastAsia" w:ascii="宋体" w:hAnsi="宋体"/>
                <w:sz w:val="24"/>
                <w:szCs w:val="24"/>
              </w:rPr>
              <w:t>支持 HTTP协议解析，检测WEB攻击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418" w:type="dxa"/>
            <w:noWrap w:val="0"/>
            <w:vAlign w:val="top"/>
          </w:tcPr>
          <w:p>
            <w:pPr>
              <w:rPr>
                <w:rFonts w:hint="eastAsia" w:ascii="宋体" w:hAnsi="宋体"/>
                <w:sz w:val="24"/>
                <w:szCs w:val="24"/>
              </w:rPr>
            </w:pPr>
            <w:r>
              <w:rPr>
                <w:rFonts w:hint="eastAsia" w:ascii="宋体" w:hAnsi="宋体"/>
                <w:sz w:val="24"/>
                <w:szCs w:val="24"/>
              </w:rPr>
              <w:t>双向审计</w:t>
            </w:r>
          </w:p>
        </w:tc>
        <w:tc>
          <w:tcPr>
            <w:tcW w:w="6912" w:type="dxa"/>
            <w:noWrap w:val="0"/>
            <w:vAlign w:val="top"/>
          </w:tcPr>
          <w:p>
            <w:pPr>
              <w:rPr>
                <w:rFonts w:hint="eastAsia" w:ascii="宋体" w:hAnsi="宋体"/>
                <w:sz w:val="24"/>
                <w:szCs w:val="24"/>
              </w:rPr>
            </w:pPr>
            <w:r>
              <w:rPr>
                <w:rFonts w:hint="eastAsia" w:ascii="宋体" w:hAnsi="宋体"/>
                <w:sz w:val="24"/>
                <w:szCs w:val="24"/>
              </w:rPr>
              <w:t>支持双向审计，对请求和响应都进行审计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418" w:type="dxa"/>
            <w:noWrap w:val="0"/>
            <w:vAlign w:val="top"/>
          </w:tcPr>
          <w:p>
            <w:pPr>
              <w:rPr>
                <w:rFonts w:hint="eastAsia" w:ascii="宋体" w:hAnsi="宋体"/>
                <w:sz w:val="24"/>
                <w:szCs w:val="24"/>
              </w:rPr>
            </w:pPr>
            <w:r>
              <w:rPr>
                <w:rFonts w:hint="eastAsia" w:ascii="宋体" w:hAnsi="宋体"/>
                <w:sz w:val="24"/>
                <w:szCs w:val="24"/>
              </w:rPr>
              <w:t>攻击检测</w:t>
            </w:r>
          </w:p>
        </w:tc>
        <w:tc>
          <w:tcPr>
            <w:tcW w:w="6912" w:type="dxa"/>
            <w:noWrap w:val="0"/>
            <w:vAlign w:val="top"/>
          </w:tcPr>
          <w:p>
            <w:pPr>
              <w:rPr>
                <w:rFonts w:hint="eastAsia" w:ascii="宋体" w:hAnsi="宋体"/>
                <w:sz w:val="24"/>
                <w:szCs w:val="24"/>
              </w:rPr>
            </w:pPr>
            <w:r>
              <w:rPr>
                <w:rFonts w:hint="eastAsia" w:ascii="宋体" w:hAnsi="宋体"/>
                <w:sz w:val="24"/>
                <w:szCs w:val="24"/>
              </w:rPr>
              <w:t>支持SQL注入、命令注入、跨站脚本、代码注入、协议错误攻击检测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418" w:type="dxa"/>
            <w:noWrap w:val="0"/>
            <w:vAlign w:val="top"/>
          </w:tcPr>
          <w:p>
            <w:pPr>
              <w:rPr>
                <w:rFonts w:hint="eastAsia" w:ascii="宋体" w:hAnsi="宋体"/>
                <w:sz w:val="24"/>
                <w:szCs w:val="24"/>
              </w:rPr>
            </w:pPr>
            <w:r>
              <w:rPr>
                <w:rFonts w:hint="eastAsia" w:ascii="宋体" w:hAnsi="宋体"/>
                <w:sz w:val="24"/>
                <w:szCs w:val="24"/>
              </w:rPr>
              <w:t>WEBSHELL检测</w:t>
            </w:r>
          </w:p>
        </w:tc>
        <w:tc>
          <w:tcPr>
            <w:tcW w:w="6912" w:type="dxa"/>
            <w:noWrap w:val="0"/>
            <w:vAlign w:val="top"/>
          </w:tcPr>
          <w:p>
            <w:pPr>
              <w:rPr>
                <w:rFonts w:hint="eastAsia" w:ascii="宋体" w:hAnsi="宋体"/>
                <w:sz w:val="24"/>
                <w:szCs w:val="24"/>
              </w:rPr>
            </w:pPr>
            <w:r>
              <w:rPr>
                <w:rFonts w:hint="eastAsia" w:ascii="宋体" w:hAnsi="宋体"/>
                <w:sz w:val="24"/>
                <w:szCs w:val="24"/>
              </w:rPr>
              <w:t>支持WEBSHELL检测，可检测访问webshell的行为，包含具体对应的URL、返回码、返回数据包内容等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418" w:type="dxa"/>
            <w:noWrap w:val="0"/>
            <w:vAlign w:val="top"/>
          </w:tcPr>
          <w:p>
            <w:pPr>
              <w:rPr>
                <w:rFonts w:hint="eastAsia" w:ascii="宋体" w:hAnsi="宋体"/>
                <w:sz w:val="24"/>
                <w:szCs w:val="24"/>
              </w:rPr>
            </w:pPr>
            <w:r>
              <w:rPr>
                <w:rFonts w:hint="eastAsia" w:ascii="宋体" w:hAnsi="宋体"/>
                <w:sz w:val="24"/>
                <w:szCs w:val="24"/>
              </w:rPr>
              <w:t>动态分析</w:t>
            </w:r>
          </w:p>
        </w:tc>
        <w:tc>
          <w:tcPr>
            <w:tcW w:w="6912" w:type="dxa"/>
            <w:noWrap w:val="0"/>
            <w:vAlign w:val="top"/>
          </w:tcPr>
          <w:p>
            <w:pPr>
              <w:rPr>
                <w:rFonts w:hint="eastAsia" w:ascii="宋体" w:hAnsi="宋体"/>
                <w:sz w:val="24"/>
                <w:szCs w:val="24"/>
              </w:rPr>
            </w:pPr>
            <w:r>
              <w:rPr>
                <w:rFonts w:hint="eastAsia" w:ascii="宋体" w:hAnsi="宋体"/>
                <w:sz w:val="24"/>
                <w:szCs w:val="24"/>
              </w:rPr>
              <w:t>自动关联行为分析的详细展现，包含SQL注入取数据、表单破解、XSS测试、目录穿越读取文件、多人访问Webshell、APT攻击等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418" w:type="dxa"/>
            <w:noWrap w:val="0"/>
            <w:vAlign w:val="top"/>
          </w:tcPr>
          <w:p>
            <w:pPr>
              <w:rPr>
                <w:rFonts w:hint="eastAsia" w:ascii="宋体" w:hAnsi="宋体"/>
                <w:sz w:val="24"/>
                <w:szCs w:val="24"/>
              </w:rPr>
            </w:pPr>
            <w:r>
              <w:rPr>
                <w:rFonts w:hint="eastAsia" w:ascii="宋体" w:hAnsi="宋体"/>
                <w:sz w:val="24"/>
                <w:szCs w:val="24"/>
              </w:rPr>
              <w:t>场景化分析</w:t>
            </w:r>
          </w:p>
        </w:tc>
        <w:tc>
          <w:tcPr>
            <w:tcW w:w="6912" w:type="dxa"/>
            <w:noWrap w:val="0"/>
            <w:vAlign w:val="top"/>
          </w:tcPr>
          <w:p>
            <w:pPr>
              <w:rPr>
                <w:rFonts w:hint="eastAsia" w:ascii="宋体" w:hAnsi="宋体"/>
                <w:sz w:val="24"/>
                <w:szCs w:val="24"/>
              </w:rPr>
            </w:pPr>
            <w:r>
              <w:rPr>
                <w:rFonts w:hint="eastAsia" w:ascii="宋体" w:hAnsi="宋体"/>
                <w:sz w:val="24"/>
                <w:szCs w:val="24"/>
              </w:rPr>
              <w:t>支持场景化的分析能力，对发现的告警进行二次关联，支持对勒索病毒、网站后门、邮件APT攻击等事件进行预警。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418" w:type="dxa"/>
            <w:noWrap w:val="0"/>
            <w:vAlign w:val="center"/>
          </w:tcPr>
          <w:p>
            <w:pPr>
              <w:spacing w:line="276" w:lineRule="auto"/>
              <w:jc w:val="center"/>
              <w:rPr>
                <w:rFonts w:ascii="宋体" w:hAnsi="宋体" w:cs="宋体"/>
                <w:color w:val="000000"/>
                <w:kern w:val="0"/>
                <w:sz w:val="24"/>
                <w:szCs w:val="24"/>
              </w:rPr>
            </w:pPr>
            <w:r>
              <w:rPr>
                <w:rFonts w:hint="eastAsia" w:ascii="宋体" w:hAnsi="宋体" w:cs="宋体"/>
                <w:color w:val="000000"/>
                <w:kern w:val="0"/>
                <w:sz w:val="24"/>
                <w:szCs w:val="24"/>
              </w:rPr>
              <w:t>解析协议</w:t>
            </w:r>
          </w:p>
        </w:tc>
        <w:tc>
          <w:tcPr>
            <w:tcW w:w="6912" w:type="dxa"/>
            <w:noWrap w:val="0"/>
            <w:vAlign w:val="center"/>
          </w:tcPr>
          <w:p>
            <w:pPr>
              <w:spacing w:line="276" w:lineRule="auto"/>
              <w:jc w:val="left"/>
              <w:rPr>
                <w:rFonts w:ascii="宋体" w:hAnsi="宋体" w:cs="宋体"/>
                <w:color w:val="000000"/>
                <w:kern w:val="0"/>
                <w:sz w:val="24"/>
                <w:szCs w:val="24"/>
              </w:rPr>
            </w:pPr>
            <w:r>
              <w:rPr>
                <w:rFonts w:hint="eastAsia" w:ascii="宋体" w:hAnsi="宋体" w:cs="宋体"/>
                <w:color w:val="000000"/>
                <w:kern w:val="0"/>
                <w:sz w:val="24"/>
                <w:szCs w:val="24"/>
              </w:rPr>
              <w:t>支持解析webmail、SMTP、POP3类型报文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418" w:type="dxa"/>
            <w:noWrap w:val="0"/>
            <w:vAlign w:val="center"/>
          </w:tcPr>
          <w:p>
            <w:pPr>
              <w:spacing w:line="276" w:lineRule="auto"/>
              <w:jc w:val="center"/>
              <w:rPr>
                <w:rFonts w:ascii="宋体" w:hAnsi="宋体" w:cs="宋体"/>
                <w:color w:val="000000"/>
                <w:kern w:val="0"/>
                <w:sz w:val="24"/>
                <w:szCs w:val="24"/>
              </w:rPr>
            </w:pPr>
            <w:r>
              <w:rPr>
                <w:rFonts w:hint="eastAsia" w:ascii="宋体" w:hAnsi="宋体" w:cs="宋体"/>
                <w:color w:val="000000"/>
                <w:kern w:val="0"/>
                <w:sz w:val="24"/>
                <w:szCs w:val="24"/>
              </w:rPr>
              <w:t>Webmail攻击检测</w:t>
            </w:r>
          </w:p>
        </w:tc>
        <w:tc>
          <w:tcPr>
            <w:tcW w:w="6912" w:type="dxa"/>
            <w:noWrap w:val="0"/>
            <w:vAlign w:val="center"/>
          </w:tcPr>
          <w:p>
            <w:pPr>
              <w:spacing w:line="276" w:lineRule="auto"/>
              <w:jc w:val="left"/>
              <w:rPr>
                <w:rFonts w:ascii="宋体" w:hAnsi="宋体" w:cs="宋体"/>
                <w:color w:val="000000"/>
                <w:kern w:val="0"/>
                <w:sz w:val="24"/>
                <w:szCs w:val="24"/>
              </w:rPr>
            </w:pPr>
            <w:r>
              <w:rPr>
                <w:rFonts w:hint="eastAsia" w:ascii="宋体" w:hAnsi="宋体" w:cs="宋体"/>
                <w:color w:val="000000"/>
                <w:kern w:val="0"/>
                <w:sz w:val="24"/>
                <w:szCs w:val="24"/>
              </w:rPr>
              <w:t>支持基于webmail攻击类型检测，包括sql注入、跨站、命令注入等攻击检测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418" w:type="dxa"/>
            <w:noWrap w:val="0"/>
            <w:vAlign w:val="center"/>
          </w:tcPr>
          <w:p>
            <w:pPr>
              <w:spacing w:line="276" w:lineRule="auto"/>
              <w:jc w:val="center"/>
              <w:rPr>
                <w:rFonts w:ascii="宋体" w:hAnsi="宋体" w:cs="宋体"/>
                <w:color w:val="000000"/>
                <w:kern w:val="0"/>
                <w:sz w:val="24"/>
                <w:szCs w:val="24"/>
              </w:rPr>
            </w:pPr>
            <w:r>
              <w:rPr>
                <w:rFonts w:hint="eastAsia" w:ascii="宋体" w:hAnsi="宋体" w:cs="宋体"/>
                <w:color w:val="000000"/>
                <w:kern w:val="0"/>
                <w:sz w:val="24"/>
                <w:szCs w:val="24"/>
              </w:rPr>
              <w:t>社工类攻击检测</w:t>
            </w:r>
          </w:p>
        </w:tc>
        <w:tc>
          <w:tcPr>
            <w:tcW w:w="6912" w:type="dxa"/>
            <w:noWrap w:val="0"/>
            <w:vAlign w:val="center"/>
          </w:tcPr>
          <w:p>
            <w:pPr>
              <w:spacing w:line="276" w:lineRule="auto"/>
              <w:jc w:val="left"/>
              <w:rPr>
                <w:rFonts w:ascii="宋体" w:hAnsi="宋体" w:cs="宋体"/>
                <w:color w:val="000000"/>
                <w:kern w:val="0"/>
                <w:sz w:val="24"/>
                <w:szCs w:val="24"/>
              </w:rPr>
            </w:pPr>
            <w:r>
              <w:rPr>
                <w:rFonts w:hint="eastAsia" w:ascii="宋体" w:hAnsi="宋体" w:cs="宋体"/>
                <w:color w:val="000000"/>
                <w:kern w:val="0"/>
                <w:sz w:val="24"/>
                <w:szCs w:val="24"/>
              </w:rPr>
              <w:t>对社工类攻击进行检测，检测内容包括：邮件头欺骗、邮件发件人欺骗、邮件钓鱼欺骗、邮件恶意链接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418" w:type="dxa"/>
            <w:noWrap w:val="0"/>
            <w:vAlign w:val="center"/>
          </w:tcPr>
          <w:p>
            <w:pPr>
              <w:spacing w:line="276" w:lineRule="auto"/>
              <w:jc w:val="center"/>
              <w:rPr>
                <w:rFonts w:ascii="宋体" w:hAnsi="宋体" w:cs="宋体"/>
                <w:color w:val="000000"/>
                <w:kern w:val="0"/>
                <w:sz w:val="24"/>
                <w:szCs w:val="24"/>
              </w:rPr>
            </w:pPr>
            <w:r>
              <w:rPr>
                <w:rFonts w:hint="eastAsia" w:ascii="宋体" w:hAnsi="宋体" w:cs="宋体"/>
                <w:color w:val="000000"/>
                <w:kern w:val="0"/>
                <w:sz w:val="24"/>
                <w:szCs w:val="24"/>
              </w:rPr>
              <w:t>恶意附件检测</w:t>
            </w:r>
          </w:p>
        </w:tc>
        <w:tc>
          <w:tcPr>
            <w:tcW w:w="6912" w:type="dxa"/>
            <w:noWrap w:val="0"/>
            <w:vAlign w:val="center"/>
          </w:tcPr>
          <w:p>
            <w:pPr>
              <w:spacing w:line="276" w:lineRule="auto"/>
              <w:jc w:val="left"/>
              <w:rPr>
                <w:rFonts w:ascii="宋体" w:hAnsi="宋体" w:cs="宋体"/>
                <w:color w:val="000000"/>
                <w:kern w:val="0"/>
                <w:sz w:val="24"/>
                <w:szCs w:val="24"/>
              </w:rPr>
            </w:pPr>
            <w:r>
              <w:rPr>
                <w:rFonts w:hint="eastAsia" w:ascii="宋体" w:hAnsi="宋体" w:cs="宋体"/>
                <w:color w:val="000000"/>
                <w:kern w:val="0"/>
                <w:sz w:val="24"/>
                <w:szCs w:val="24"/>
              </w:rPr>
              <w:t>支持邮件恶意附件行为检测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418" w:type="dxa"/>
            <w:noWrap w:val="0"/>
            <w:vAlign w:val="center"/>
          </w:tcPr>
          <w:p>
            <w:pPr>
              <w:spacing w:line="276" w:lineRule="auto"/>
              <w:jc w:val="center"/>
              <w:rPr>
                <w:rFonts w:ascii="宋体" w:hAnsi="宋体" w:cs="宋体"/>
                <w:color w:val="000000"/>
                <w:kern w:val="0"/>
                <w:sz w:val="24"/>
                <w:szCs w:val="24"/>
              </w:rPr>
            </w:pPr>
            <w:r>
              <w:rPr>
                <w:rFonts w:hint="eastAsia" w:ascii="宋体" w:hAnsi="宋体" w:cs="宋体"/>
                <w:color w:val="000000"/>
                <w:kern w:val="0"/>
                <w:sz w:val="24"/>
                <w:szCs w:val="24"/>
              </w:rPr>
              <w:t>解析协议</w:t>
            </w:r>
          </w:p>
        </w:tc>
        <w:tc>
          <w:tcPr>
            <w:tcW w:w="6912" w:type="dxa"/>
            <w:noWrap w:val="0"/>
            <w:vAlign w:val="center"/>
          </w:tcPr>
          <w:p>
            <w:pPr>
              <w:spacing w:line="276" w:lineRule="auto"/>
              <w:jc w:val="left"/>
              <w:rPr>
                <w:rFonts w:ascii="宋体" w:hAnsi="宋体" w:cs="宋体"/>
                <w:color w:val="000000"/>
                <w:kern w:val="0"/>
                <w:sz w:val="24"/>
                <w:szCs w:val="24"/>
              </w:rPr>
            </w:pPr>
            <w:r>
              <w:rPr>
                <w:rFonts w:hint="eastAsia" w:ascii="宋体" w:hAnsi="宋体" w:cs="宋体"/>
                <w:color w:val="000000"/>
                <w:kern w:val="0"/>
                <w:sz w:val="24"/>
                <w:szCs w:val="24"/>
              </w:rPr>
              <w:t>支持 HTTP、FTP、SMB、SMTP、POP3等协议传输文件检测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418" w:type="dxa"/>
            <w:noWrap w:val="0"/>
            <w:vAlign w:val="center"/>
          </w:tcPr>
          <w:p>
            <w:pPr>
              <w:spacing w:line="276" w:lineRule="auto"/>
              <w:jc w:val="center"/>
              <w:rPr>
                <w:rFonts w:ascii="宋体" w:hAnsi="宋体" w:cs="宋体"/>
                <w:color w:val="000000"/>
                <w:kern w:val="0"/>
                <w:sz w:val="24"/>
                <w:szCs w:val="24"/>
              </w:rPr>
            </w:pPr>
            <w:r>
              <w:rPr>
                <w:rFonts w:hint="eastAsia" w:ascii="宋体" w:hAnsi="宋体" w:cs="宋体"/>
                <w:color w:val="000000"/>
                <w:kern w:val="0"/>
                <w:sz w:val="24"/>
                <w:szCs w:val="24"/>
              </w:rPr>
              <w:t>文件类型</w:t>
            </w:r>
          </w:p>
        </w:tc>
        <w:tc>
          <w:tcPr>
            <w:tcW w:w="6912" w:type="dxa"/>
            <w:noWrap w:val="0"/>
            <w:vAlign w:val="center"/>
          </w:tcPr>
          <w:p>
            <w:pPr>
              <w:spacing w:line="276" w:lineRule="auto"/>
              <w:jc w:val="left"/>
              <w:rPr>
                <w:rFonts w:ascii="宋体" w:hAnsi="宋体" w:cs="宋体"/>
                <w:color w:val="000000"/>
                <w:kern w:val="0"/>
                <w:sz w:val="24"/>
                <w:szCs w:val="24"/>
              </w:rPr>
            </w:pPr>
            <w:r>
              <w:rPr>
                <w:rFonts w:hint="eastAsia" w:ascii="宋体" w:hAnsi="宋体" w:cs="宋体"/>
                <w:color w:val="000000"/>
                <w:kern w:val="0"/>
                <w:sz w:val="24"/>
                <w:szCs w:val="24"/>
              </w:rPr>
              <w:t>支持doc, xls, ppt, swf, pdf, java, rar, zip, rar, exe, vbs, scr, html，js等多种文件解析,支持自定义文件类型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418" w:type="dxa"/>
            <w:noWrap w:val="0"/>
            <w:vAlign w:val="center"/>
          </w:tcPr>
          <w:p>
            <w:pPr>
              <w:spacing w:line="276" w:lineRule="auto"/>
              <w:jc w:val="center"/>
              <w:rPr>
                <w:rFonts w:ascii="宋体" w:hAnsi="宋体" w:cs="宋体"/>
                <w:color w:val="000000"/>
                <w:kern w:val="0"/>
                <w:sz w:val="24"/>
                <w:szCs w:val="24"/>
              </w:rPr>
            </w:pPr>
            <w:r>
              <w:rPr>
                <w:rFonts w:hint="eastAsia" w:ascii="宋体" w:hAnsi="宋体" w:cs="宋体"/>
                <w:color w:val="000000"/>
                <w:kern w:val="0"/>
                <w:sz w:val="24"/>
                <w:szCs w:val="24"/>
              </w:rPr>
              <w:t>特征检测</w:t>
            </w:r>
          </w:p>
        </w:tc>
        <w:tc>
          <w:tcPr>
            <w:tcW w:w="6912" w:type="dxa"/>
            <w:noWrap w:val="0"/>
            <w:vAlign w:val="center"/>
          </w:tcPr>
          <w:p>
            <w:pPr>
              <w:spacing w:line="276" w:lineRule="auto"/>
              <w:jc w:val="left"/>
              <w:rPr>
                <w:rFonts w:ascii="宋体" w:hAnsi="宋体" w:cs="宋体"/>
                <w:color w:val="000000"/>
                <w:kern w:val="0"/>
                <w:sz w:val="24"/>
                <w:szCs w:val="24"/>
              </w:rPr>
            </w:pPr>
            <w:r>
              <w:rPr>
                <w:rFonts w:hint="eastAsia" w:ascii="宋体" w:hAnsi="宋体" w:cs="宋体"/>
                <w:color w:val="000000"/>
                <w:kern w:val="0"/>
                <w:sz w:val="24"/>
                <w:szCs w:val="24"/>
              </w:rPr>
              <w:t>对文件进行特征匹配，利用已知的特征库发现恶意可以执行代码</w:t>
            </w:r>
          </w:p>
          <w:p>
            <w:pPr>
              <w:spacing w:line="276" w:lineRule="auto"/>
              <w:jc w:val="left"/>
              <w:rPr>
                <w:rFonts w:ascii="宋体" w:hAnsi="宋体" w:cs="宋体"/>
                <w:color w:val="000000"/>
                <w:kern w:val="0"/>
                <w:sz w:val="24"/>
                <w:szCs w:val="24"/>
              </w:rPr>
            </w:pPr>
            <w:r>
              <w:rPr>
                <w:rFonts w:hint="eastAsia" w:ascii="宋体" w:hAnsi="宋体" w:cs="宋体"/>
                <w:color w:val="000000"/>
                <w:kern w:val="0"/>
                <w:sz w:val="24"/>
                <w:szCs w:val="24"/>
              </w:rPr>
              <w:t>对文件进行特征匹配，利用已知的特征库发现恶意的非可执行文件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418" w:type="dxa"/>
            <w:noWrap w:val="0"/>
            <w:vAlign w:val="top"/>
          </w:tcPr>
          <w:p>
            <w:pPr>
              <w:rPr>
                <w:rFonts w:hint="eastAsia" w:ascii="宋体" w:hAnsi="宋体"/>
                <w:sz w:val="24"/>
                <w:szCs w:val="24"/>
              </w:rPr>
            </w:pPr>
            <w:r>
              <w:rPr>
                <w:rFonts w:hint="eastAsia" w:ascii="宋体" w:hAnsi="宋体"/>
                <w:sz w:val="24"/>
                <w:szCs w:val="24"/>
              </w:rPr>
              <w:t>Shellcode检测</w:t>
            </w:r>
          </w:p>
        </w:tc>
        <w:tc>
          <w:tcPr>
            <w:tcW w:w="6912" w:type="dxa"/>
            <w:noWrap w:val="0"/>
            <w:vAlign w:val="top"/>
          </w:tcPr>
          <w:p>
            <w:pPr>
              <w:rPr>
                <w:rFonts w:ascii="宋体" w:hAnsi="宋体"/>
                <w:sz w:val="24"/>
                <w:szCs w:val="24"/>
              </w:rPr>
            </w:pPr>
            <w:r>
              <w:rPr>
                <w:rFonts w:hint="eastAsia" w:ascii="宋体" w:hAnsi="宋体"/>
                <w:sz w:val="24"/>
                <w:szCs w:val="24"/>
              </w:rPr>
              <w:t>通过分析文件中的二进制代码，找到文件溢出攻击的代码，并能找到APT攻击中的0day攻击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418" w:type="dxa"/>
            <w:noWrap w:val="0"/>
            <w:vAlign w:val="top"/>
          </w:tcPr>
          <w:p>
            <w:pPr>
              <w:rPr>
                <w:rFonts w:hint="eastAsia" w:ascii="宋体" w:hAnsi="宋体"/>
                <w:sz w:val="24"/>
                <w:szCs w:val="24"/>
              </w:rPr>
            </w:pPr>
            <w:r>
              <w:rPr>
                <w:rFonts w:hint="eastAsia" w:ascii="宋体" w:hAnsi="宋体"/>
                <w:sz w:val="24"/>
                <w:szCs w:val="24"/>
              </w:rPr>
              <w:t>兼容性要求</w:t>
            </w:r>
          </w:p>
        </w:tc>
        <w:tc>
          <w:tcPr>
            <w:tcW w:w="6912" w:type="dxa"/>
            <w:noWrap w:val="0"/>
            <w:vAlign w:val="top"/>
          </w:tcPr>
          <w:p>
            <w:pPr>
              <w:rPr>
                <w:rFonts w:ascii="宋体" w:hAnsi="宋体"/>
                <w:sz w:val="24"/>
                <w:szCs w:val="24"/>
              </w:rPr>
            </w:pPr>
            <w:r>
              <w:rPr>
                <w:rFonts w:hint="eastAsia" w:ascii="宋体" w:hAnsi="宋体"/>
                <w:sz w:val="24"/>
                <w:szCs w:val="24"/>
              </w:rPr>
              <w:t>要求APT与项目内态势感知系统可以进行数据分析联动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418" w:type="dxa"/>
            <w:noWrap w:val="0"/>
            <w:vAlign w:val="center"/>
          </w:tcPr>
          <w:p>
            <w:pPr>
              <w:spacing w:before="100" w:beforeAutospacing="1" w:after="100" w:afterAutospacing="1" w:line="315" w:lineRule="atLeast"/>
              <w:jc w:val="center"/>
              <w:rPr>
                <w:rFonts w:hint="eastAsia" w:ascii="宋体" w:hAnsi="宋体" w:cs="宋体"/>
                <w:color w:val="000000"/>
                <w:sz w:val="24"/>
                <w:szCs w:val="24"/>
              </w:rPr>
            </w:pPr>
            <w:r>
              <w:rPr>
                <w:rFonts w:hint="eastAsia" w:ascii="宋体" w:hAnsi="宋体" w:cs="宋体"/>
                <w:kern w:val="0"/>
                <w:sz w:val="24"/>
                <w:szCs w:val="24"/>
              </w:rPr>
              <w:t>质保</w:t>
            </w:r>
          </w:p>
        </w:tc>
        <w:tc>
          <w:tcPr>
            <w:tcW w:w="6912" w:type="dxa"/>
            <w:noWrap w:val="0"/>
            <w:vAlign w:val="center"/>
          </w:tcPr>
          <w:p>
            <w:pPr>
              <w:spacing w:before="100" w:beforeAutospacing="1" w:after="100" w:afterAutospacing="1" w:line="315" w:lineRule="atLeast"/>
              <w:jc w:val="left"/>
              <w:rPr>
                <w:rFonts w:hint="eastAsia" w:ascii="宋体" w:hAnsi="宋体"/>
                <w:color w:val="000000"/>
                <w:sz w:val="24"/>
                <w:szCs w:val="24"/>
              </w:rPr>
            </w:pPr>
            <w:r>
              <w:rPr>
                <w:rFonts w:hint="eastAsia" w:ascii="宋体" w:hAnsi="宋体" w:cs="宋体"/>
                <w:sz w:val="24"/>
              </w:rPr>
              <w:t>原厂五年质保，中标后签订合同前提供原厂商质保承诺函。</w:t>
            </w:r>
          </w:p>
        </w:tc>
      </w:tr>
    </w:tbl>
    <w:p>
      <w:pPr>
        <w:rPr>
          <w:rFonts w:hint="eastAsia" w:ascii="宋体" w:hAnsi="宋体"/>
          <w:b/>
          <w:bCs/>
          <w:color w:val="000000"/>
          <w:sz w:val="24"/>
          <w:szCs w:val="24"/>
        </w:rPr>
      </w:pPr>
    </w:p>
    <w:p>
      <w:pPr>
        <w:rPr>
          <w:rFonts w:ascii="宋体" w:hAnsi="宋体"/>
          <w:b/>
          <w:bCs/>
          <w:color w:val="000000"/>
          <w:sz w:val="24"/>
          <w:szCs w:val="24"/>
        </w:rPr>
      </w:pPr>
      <w:r>
        <w:rPr>
          <w:rFonts w:hint="eastAsia" w:ascii="宋体" w:hAnsi="宋体"/>
          <w:b/>
          <w:bCs/>
          <w:color w:val="000000"/>
          <w:sz w:val="24"/>
          <w:szCs w:val="24"/>
        </w:rPr>
        <w:t>23.</w:t>
      </w:r>
      <w:r>
        <w:rPr>
          <w:rFonts w:hint="eastAsia" w:ascii="宋体" w:hAnsi="宋体"/>
          <w:b/>
          <w:bCs/>
          <w:color w:val="000000"/>
          <w:sz w:val="24"/>
        </w:rPr>
        <w:t>云网安全分析系统</w:t>
      </w:r>
    </w:p>
    <w:tbl>
      <w:tblPr>
        <w:tblStyle w:val="23"/>
        <w:tblW w:w="839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18" w:type="dxa"/>
            <w:noWrap w:val="0"/>
            <w:vAlign w:val="center"/>
          </w:tcPr>
          <w:p>
            <w:pPr>
              <w:jc w:val="center"/>
              <w:rPr>
                <w:rFonts w:ascii="宋体" w:hAnsi="宋体" w:cs="Arial"/>
                <w:sz w:val="24"/>
                <w:szCs w:val="24"/>
              </w:rPr>
            </w:pPr>
            <w:r>
              <w:rPr>
                <w:rFonts w:hint="eastAsia" w:ascii="宋体" w:hAnsi="宋体" w:cs="宋体"/>
                <w:color w:val="000000"/>
                <w:sz w:val="24"/>
                <w:szCs w:val="24"/>
              </w:rPr>
              <w:t>技术指标</w:t>
            </w:r>
          </w:p>
        </w:tc>
        <w:tc>
          <w:tcPr>
            <w:tcW w:w="6977" w:type="dxa"/>
            <w:noWrap w:val="0"/>
            <w:vAlign w:val="center"/>
          </w:tcPr>
          <w:p>
            <w:pPr>
              <w:jc w:val="center"/>
              <w:rPr>
                <w:rFonts w:ascii="宋体" w:hAnsi="宋体" w:cs="Arial"/>
                <w:sz w:val="24"/>
                <w:szCs w:val="24"/>
              </w:rPr>
            </w:pPr>
            <w:r>
              <w:rPr>
                <w:rFonts w:hint="eastAsia" w:ascii="宋体" w:hAnsi="宋体" w:cs="宋体"/>
                <w:color w:val="000000"/>
                <w:sz w:val="24"/>
                <w:szCs w:val="24"/>
              </w:rPr>
              <w:t>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18" w:type="dxa"/>
            <w:vMerge w:val="restart"/>
            <w:noWrap w:val="0"/>
            <w:vAlign w:val="center"/>
          </w:tcPr>
          <w:p>
            <w:pPr>
              <w:jc w:val="center"/>
              <w:rPr>
                <w:rFonts w:hint="eastAsia" w:ascii="宋体" w:hAnsi="宋体" w:cs="Arial"/>
                <w:sz w:val="24"/>
                <w:szCs w:val="24"/>
              </w:rPr>
            </w:pPr>
            <w:r>
              <w:rPr>
                <w:rFonts w:hint="eastAsia" w:ascii="宋体" w:hAnsi="宋体" w:cs="Arial"/>
                <w:sz w:val="24"/>
                <w:szCs w:val="24"/>
              </w:rPr>
              <w:t>流量采集与外发</w:t>
            </w:r>
          </w:p>
        </w:tc>
        <w:tc>
          <w:tcPr>
            <w:tcW w:w="6977" w:type="dxa"/>
            <w:noWrap w:val="0"/>
            <w:vAlign w:val="top"/>
          </w:tcPr>
          <w:p>
            <w:pPr>
              <w:jc w:val="left"/>
              <w:rPr>
                <w:rFonts w:hint="eastAsia" w:ascii="宋体" w:hAnsi="宋体" w:cs="Arial"/>
                <w:sz w:val="24"/>
                <w:szCs w:val="24"/>
              </w:rPr>
            </w:pPr>
            <w:r>
              <w:rPr>
                <w:rFonts w:hint="eastAsia" w:ascii="宋体" w:hAnsi="宋体" w:cs="Arial"/>
                <w:sz w:val="24"/>
                <w:szCs w:val="24"/>
              </w:rPr>
              <w:t>支持纯软件化部署，提供自动化部署、远程推送部署、图形化部署等快速安装形式，并提供部署向导，以减少人工部署成本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18" w:type="dxa"/>
            <w:vMerge w:val="continue"/>
            <w:noWrap w:val="0"/>
            <w:vAlign w:val="center"/>
          </w:tcPr>
          <w:p>
            <w:pPr>
              <w:jc w:val="center"/>
              <w:rPr>
                <w:rFonts w:hint="eastAsia" w:ascii="宋体" w:hAnsi="宋体" w:cs="Arial"/>
                <w:sz w:val="24"/>
                <w:szCs w:val="24"/>
              </w:rPr>
            </w:pPr>
          </w:p>
        </w:tc>
        <w:tc>
          <w:tcPr>
            <w:tcW w:w="6977" w:type="dxa"/>
            <w:noWrap w:val="0"/>
            <w:vAlign w:val="top"/>
          </w:tcPr>
          <w:p>
            <w:pPr>
              <w:jc w:val="left"/>
              <w:rPr>
                <w:rFonts w:hint="eastAsia" w:ascii="宋体" w:hAnsi="宋体" w:cs="Arial"/>
                <w:sz w:val="24"/>
                <w:szCs w:val="24"/>
              </w:rPr>
            </w:pPr>
            <w:r>
              <w:rPr>
                <w:rFonts w:hint="eastAsia" w:ascii="宋体" w:hAnsi="宋体" w:cs="Arial"/>
                <w:sz w:val="24"/>
                <w:szCs w:val="24"/>
              </w:rPr>
              <w:t>支持从云平台底层计算节点处采集流量，无需在虚拟机中植入客户端，无需在核心交换机旁路镜像，无需通过SDN引流的方式实现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18" w:type="dxa"/>
            <w:vMerge w:val="continue"/>
            <w:noWrap w:val="0"/>
            <w:vAlign w:val="center"/>
          </w:tcPr>
          <w:p>
            <w:pPr>
              <w:jc w:val="center"/>
              <w:rPr>
                <w:rFonts w:hint="eastAsia" w:ascii="宋体" w:hAnsi="宋体" w:cs="Arial"/>
                <w:sz w:val="24"/>
                <w:szCs w:val="24"/>
              </w:rPr>
            </w:pPr>
          </w:p>
        </w:tc>
        <w:tc>
          <w:tcPr>
            <w:tcW w:w="6977" w:type="dxa"/>
            <w:noWrap w:val="0"/>
            <w:vAlign w:val="top"/>
          </w:tcPr>
          <w:p>
            <w:pPr>
              <w:jc w:val="left"/>
              <w:rPr>
                <w:rFonts w:hint="eastAsia" w:ascii="宋体" w:hAnsi="宋体" w:cs="Arial"/>
                <w:sz w:val="24"/>
                <w:szCs w:val="24"/>
              </w:rPr>
            </w:pPr>
            <w:r>
              <w:rPr>
                <w:rFonts w:hint="eastAsia" w:ascii="宋体" w:hAnsi="宋体" w:cs="Arial"/>
                <w:sz w:val="24"/>
                <w:szCs w:val="24"/>
              </w:rPr>
              <w:t>支持云平台自定义流量采集规则策略，可针对不同计算节点、租户、项目、子网、虚拟机进行自定义流量采集（提供相关功能截图）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18" w:type="dxa"/>
            <w:vMerge w:val="continue"/>
            <w:noWrap w:val="0"/>
            <w:vAlign w:val="center"/>
          </w:tcPr>
          <w:p>
            <w:pPr>
              <w:jc w:val="center"/>
              <w:rPr>
                <w:rFonts w:hint="eastAsia" w:ascii="宋体" w:hAnsi="宋体" w:cs="Arial"/>
                <w:sz w:val="24"/>
                <w:szCs w:val="24"/>
              </w:rPr>
            </w:pPr>
          </w:p>
        </w:tc>
        <w:tc>
          <w:tcPr>
            <w:tcW w:w="6977" w:type="dxa"/>
            <w:noWrap w:val="0"/>
            <w:vAlign w:val="top"/>
          </w:tcPr>
          <w:p>
            <w:pPr>
              <w:jc w:val="left"/>
              <w:rPr>
                <w:rFonts w:hint="eastAsia" w:ascii="宋体" w:hAnsi="宋体" w:cs="Arial"/>
                <w:sz w:val="24"/>
                <w:szCs w:val="24"/>
              </w:rPr>
            </w:pPr>
            <w:r>
              <w:rPr>
                <w:rFonts w:hint="eastAsia" w:ascii="宋体" w:hAnsi="宋体" w:cs="Arial"/>
                <w:sz w:val="24"/>
                <w:szCs w:val="24"/>
              </w:rPr>
              <w:t>支持对已采集到的云网流量通过GRE/VXLAN等隧道封装协议进行外发，可针对不同的物理计算节点、租户、项目施加不同的外发规则策略（提供相关功能截图）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18" w:type="dxa"/>
            <w:vMerge w:val="restart"/>
            <w:noWrap w:val="0"/>
            <w:vAlign w:val="center"/>
          </w:tcPr>
          <w:p>
            <w:pPr>
              <w:jc w:val="center"/>
              <w:rPr>
                <w:rFonts w:hint="eastAsia" w:ascii="宋体" w:hAnsi="宋体" w:cs="Arial"/>
                <w:sz w:val="24"/>
                <w:szCs w:val="24"/>
              </w:rPr>
            </w:pPr>
            <w:r>
              <w:rPr>
                <w:rFonts w:hint="eastAsia" w:ascii="宋体" w:hAnsi="宋体" w:cs="Arial"/>
                <w:sz w:val="24"/>
                <w:szCs w:val="24"/>
              </w:rPr>
              <w:t>★集成对接</w:t>
            </w:r>
          </w:p>
        </w:tc>
        <w:tc>
          <w:tcPr>
            <w:tcW w:w="6977" w:type="dxa"/>
            <w:noWrap w:val="0"/>
            <w:vAlign w:val="top"/>
          </w:tcPr>
          <w:p>
            <w:pPr>
              <w:jc w:val="left"/>
              <w:rPr>
                <w:rFonts w:hint="eastAsia" w:ascii="宋体" w:hAnsi="宋体" w:cs="Arial"/>
                <w:sz w:val="24"/>
                <w:szCs w:val="24"/>
              </w:rPr>
            </w:pPr>
            <w:r>
              <w:rPr>
                <w:rFonts w:hint="eastAsia" w:ascii="宋体" w:hAnsi="宋体" w:cs="Arial"/>
                <w:sz w:val="24"/>
                <w:szCs w:val="24"/>
              </w:rPr>
              <w:t>兼容VMware vSphere、标准Openstack、华为FusionSphere等主流云计算平台，并支持多云平台统一管理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18" w:type="dxa"/>
            <w:vMerge w:val="continue"/>
            <w:noWrap w:val="0"/>
            <w:vAlign w:val="center"/>
          </w:tcPr>
          <w:p>
            <w:pPr>
              <w:jc w:val="center"/>
              <w:rPr>
                <w:rFonts w:hint="eastAsia" w:ascii="宋体" w:hAnsi="宋体" w:cs="Arial"/>
                <w:sz w:val="24"/>
                <w:szCs w:val="24"/>
              </w:rPr>
            </w:pPr>
          </w:p>
        </w:tc>
        <w:tc>
          <w:tcPr>
            <w:tcW w:w="6977" w:type="dxa"/>
            <w:noWrap w:val="0"/>
            <w:vAlign w:val="top"/>
          </w:tcPr>
          <w:p>
            <w:pPr>
              <w:jc w:val="left"/>
              <w:rPr>
                <w:rFonts w:hint="eastAsia" w:ascii="宋体" w:hAnsi="宋体" w:cs="Arial"/>
                <w:sz w:val="24"/>
                <w:szCs w:val="24"/>
              </w:rPr>
            </w:pPr>
            <w:r>
              <w:rPr>
                <w:rFonts w:hint="eastAsia" w:ascii="宋体" w:hAnsi="宋体" w:cs="Arial"/>
                <w:sz w:val="24"/>
                <w:szCs w:val="24"/>
              </w:rPr>
              <w:t>提供</w:t>
            </w:r>
            <w:r>
              <w:rPr>
                <w:rFonts w:hint="eastAsia" w:ascii="宋体" w:hAnsi="宋体" w:cs="Arial"/>
                <w:color w:val="FF0000"/>
                <w:sz w:val="24"/>
                <w:szCs w:val="24"/>
                <w:lang w:val="en-US" w:eastAsia="zh-CN"/>
              </w:rPr>
              <w:t>150</w:t>
            </w:r>
            <w:r>
              <w:rPr>
                <w:rFonts w:hint="eastAsia" w:ascii="宋体" w:hAnsi="宋体" w:cs="Arial"/>
                <w:sz w:val="24"/>
                <w:szCs w:val="24"/>
              </w:rPr>
              <w:t>颗物理C</w:t>
            </w:r>
            <w:r>
              <w:rPr>
                <w:rFonts w:ascii="宋体" w:hAnsi="宋体" w:cs="Arial"/>
                <w:sz w:val="24"/>
                <w:szCs w:val="24"/>
              </w:rPr>
              <w:t>PU</w:t>
            </w:r>
            <w:r>
              <w:rPr>
                <w:rFonts w:hint="eastAsia" w:ascii="宋体" w:hAnsi="宋体" w:cs="Arial"/>
                <w:sz w:val="24"/>
                <w:szCs w:val="24"/>
              </w:rPr>
              <w:t>授权，包含五年维保服务。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18" w:type="dxa"/>
            <w:vMerge w:val="continue"/>
            <w:noWrap w:val="0"/>
            <w:vAlign w:val="center"/>
          </w:tcPr>
          <w:p>
            <w:pPr>
              <w:jc w:val="center"/>
              <w:rPr>
                <w:rFonts w:hint="eastAsia" w:ascii="宋体" w:hAnsi="宋体" w:cs="Arial"/>
                <w:sz w:val="24"/>
                <w:szCs w:val="24"/>
              </w:rPr>
            </w:pPr>
          </w:p>
        </w:tc>
        <w:tc>
          <w:tcPr>
            <w:tcW w:w="6977" w:type="dxa"/>
            <w:noWrap w:val="0"/>
            <w:vAlign w:val="top"/>
          </w:tcPr>
          <w:p>
            <w:pPr>
              <w:jc w:val="left"/>
              <w:rPr>
                <w:rFonts w:hint="eastAsia" w:ascii="宋体" w:hAnsi="宋体" w:cs="Arial"/>
                <w:sz w:val="24"/>
                <w:szCs w:val="24"/>
              </w:rPr>
            </w:pPr>
            <w:r>
              <w:rPr>
                <w:rFonts w:hint="eastAsia" w:ascii="宋体" w:hAnsi="宋体" w:cs="Arial"/>
                <w:sz w:val="24"/>
                <w:szCs w:val="24"/>
              </w:rPr>
              <w:t>支持与项目内态势感知平台对接，通过态势感知系统分析数据中心东西向流量的安全风险。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18" w:type="dxa"/>
            <w:vMerge w:val="restart"/>
            <w:noWrap w:val="0"/>
            <w:vAlign w:val="center"/>
          </w:tcPr>
          <w:p>
            <w:pPr>
              <w:jc w:val="center"/>
              <w:rPr>
                <w:rFonts w:hint="eastAsia" w:ascii="宋体" w:hAnsi="宋体" w:cs="Arial"/>
                <w:sz w:val="24"/>
                <w:szCs w:val="24"/>
              </w:rPr>
            </w:pPr>
            <w:r>
              <w:rPr>
                <w:rFonts w:hint="eastAsia" w:ascii="宋体" w:hAnsi="宋体" w:cs="Arial"/>
                <w:sz w:val="24"/>
                <w:szCs w:val="24"/>
              </w:rPr>
              <w:t>多租户</w:t>
            </w:r>
          </w:p>
        </w:tc>
        <w:tc>
          <w:tcPr>
            <w:tcW w:w="6977" w:type="dxa"/>
            <w:noWrap w:val="0"/>
            <w:vAlign w:val="top"/>
          </w:tcPr>
          <w:p>
            <w:pPr>
              <w:jc w:val="left"/>
              <w:rPr>
                <w:rFonts w:hint="eastAsia" w:ascii="宋体" w:hAnsi="宋体" w:cs="Arial"/>
                <w:sz w:val="24"/>
                <w:szCs w:val="24"/>
              </w:rPr>
            </w:pPr>
            <w:r>
              <w:rPr>
                <w:rFonts w:hint="eastAsia" w:ascii="宋体" w:hAnsi="宋体" w:cs="Arial"/>
                <w:sz w:val="24"/>
                <w:szCs w:val="24"/>
              </w:rPr>
              <w:t>支持多租户，能够同步多租户云计算平台租户账号、租户项目、租户网络等多租户信息，并通过同步的租户账号登录及多租户同台并发管理维护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18" w:type="dxa"/>
            <w:vMerge w:val="continue"/>
            <w:noWrap w:val="0"/>
            <w:vAlign w:val="center"/>
          </w:tcPr>
          <w:p>
            <w:pPr>
              <w:jc w:val="center"/>
              <w:rPr>
                <w:rFonts w:hint="eastAsia" w:ascii="宋体" w:hAnsi="宋体" w:cs="Arial"/>
                <w:sz w:val="24"/>
                <w:szCs w:val="24"/>
              </w:rPr>
            </w:pPr>
          </w:p>
        </w:tc>
        <w:tc>
          <w:tcPr>
            <w:tcW w:w="6977" w:type="dxa"/>
            <w:noWrap w:val="0"/>
            <w:vAlign w:val="top"/>
          </w:tcPr>
          <w:p>
            <w:pPr>
              <w:jc w:val="left"/>
              <w:rPr>
                <w:rFonts w:hint="eastAsia" w:ascii="宋体" w:hAnsi="宋体" w:cs="Arial"/>
                <w:sz w:val="24"/>
                <w:szCs w:val="24"/>
              </w:rPr>
            </w:pPr>
            <w:r>
              <w:rPr>
                <w:rFonts w:hint="eastAsia" w:ascii="宋体" w:hAnsi="宋体" w:cs="Arial"/>
                <w:sz w:val="24"/>
                <w:szCs w:val="24"/>
              </w:rPr>
              <w:t>支持多租户账号管理，能够多租户账号展示、扩展信息补充，支持多租户本地启停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18" w:type="dxa"/>
            <w:vMerge w:val="continue"/>
            <w:noWrap w:val="0"/>
            <w:vAlign w:val="center"/>
          </w:tcPr>
          <w:p>
            <w:pPr>
              <w:jc w:val="center"/>
              <w:rPr>
                <w:rFonts w:hint="eastAsia" w:ascii="宋体" w:hAnsi="宋体" w:cs="Arial"/>
                <w:sz w:val="24"/>
                <w:szCs w:val="24"/>
              </w:rPr>
            </w:pPr>
          </w:p>
        </w:tc>
        <w:tc>
          <w:tcPr>
            <w:tcW w:w="6977" w:type="dxa"/>
            <w:noWrap w:val="0"/>
            <w:vAlign w:val="top"/>
          </w:tcPr>
          <w:p>
            <w:pPr>
              <w:jc w:val="left"/>
              <w:rPr>
                <w:rFonts w:hint="eastAsia" w:ascii="宋体" w:hAnsi="宋体" w:cs="Arial"/>
                <w:sz w:val="24"/>
                <w:szCs w:val="24"/>
              </w:rPr>
            </w:pPr>
            <w:r>
              <w:rPr>
                <w:rFonts w:hint="eastAsia" w:ascii="宋体" w:hAnsi="宋体" w:cs="Arial"/>
                <w:sz w:val="24"/>
                <w:szCs w:val="24"/>
              </w:rPr>
              <w:t>支持单租户、多租户模式切换，并支持单租户云平台、多租户云平台的混合管理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18" w:type="dxa"/>
            <w:vMerge w:val="restart"/>
            <w:noWrap w:val="0"/>
            <w:vAlign w:val="center"/>
          </w:tcPr>
          <w:p>
            <w:pPr>
              <w:jc w:val="center"/>
              <w:rPr>
                <w:rFonts w:hint="eastAsia" w:ascii="宋体" w:hAnsi="宋体" w:cs="Arial"/>
                <w:sz w:val="24"/>
                <w:szCs w:val="24"/>
              </w:rPr>
            </w:pPr>
            <w:r>
              <w:rPr>
                <w:rFonts w:hint="eastAsia" w:ascii="宋体" w:hAnsi="宋体" w:cs="Arial"/>
                <w:sz w:val="24"/>
                <w:szCs w:val="24"/>
              </w:rPr>
              <w:t>流量分析与威胁检测</w:t>
            </w:r>
          </w:p>
        </w:tc>
        <w:tc>
          <w:tcPr>
            <w:tcW w:w="6977" w:type="dxa"/>
            <w:noWrap w:val="0"/>
            <w:vAlign w:val="top"/>
          </w:tcPr>
          <w:p>
            <w:pPr>
              <w:jc w:val="left"/>
              <w:rPr>
                <w:rFonts w:hint="eastAsia" w:ascii="宋体" w:hAnsi="宋体" w:cs="Arial"/>
                <w:sz w:val="24"/>
                <w:szCs w:val="24"/>
              </w:rPr>
            </w:pPr>
            <w:r>
              <w:rPr>
                <w:rFonts w:hint="eastAsia" w:ascii="宋体" w:hAnsi="宋体" w:cs="Arial"/>
                <w:sz w:val="24"/>
                <w:szCs w:val="24"/>
              </w:rPr>
              <w:t>提供分布式流量分析及安全检测能力，流量无需统一发送至物理计算节点之外，在计算节点内部即可实现流分析与威胁检测，显著降低网络传输开销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18" w:type="dxa"/>
            <w:vMerge w:val="continue"/>
            <w:noWrap w:val="0"/>
            <w:vAlign w:val="center"/>
          </w:tcPr>
          <w:p>
            <w:pPr>
              <w:jc w:val="center"/>
              <w:rPr>
                <w:rFonts w:hint="eastAsia" w:ascii="宋体" w:hAnsi="宋体" w:cs="Arial"/>
                <w:sz w:val="24"/>
                <w:szCs w:val="24"/>
              </w:rPr>
            </w:pPr>
          </w:p>
        </w:tc>
        <w:tc>
          <w:tcPr>
            <w:tcW w:w="6977" w:type="dxa"/>
            <w:noWrap w:val="0"/>
            <w:vAlign w:val="top"/>
          </w:tcPr>
          <w:p>
            <w:pPr>
              <w:jc w:val="left"/>
              <w:rPr>
                <w:rFonts w:hint="eastAsia" w:ascii="宋体" w:hAnsi="宋体" w:cs="Arial"/>
                <w:sz w:val="24"/>
                <w:szCs w:val="24"/>
              </w:rPr>
            </w:pPr>
            <w:r>
              <w:rPr>
                <w:rFonts w:hint="eastAsia" w:ascii="宋体" w:hAnsi="宋体" w:cs="Arial"/>
                <w:sz w:val="24"/>
                <w:szCs w:val="24"/>
              </w:rPr>
              <w:t>支持常见的HTTP、DNS、FTP、SSH、SMTP等协议还原和网络流量识别，能够显示区分云内东西向、南北向两个维度的流量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18" w:type="dxa"/>
            <w:vMerge w:val="continue"/>
            <w:noWrap w:val="0"/>
            <w:vAlign w:val="center"/>
          </w:tcPr>
          <w:p>
            <w:pPr>
              <w:jc w:val="center"/>
              <w:rPr>
                <w:rFonts w:hint="eastAsia" w:ascii="宋体" w:hAnsi="宋体" w:cs="Arial"/>
                <w:sz w:val="24"/>
                <w:szCs w:val="24"/>
              </w:rPr>
            </w:pPr>
          </w:p>
        </w:tc>
        <w:tc>
          <w:tcPr>
            <w:tcW w:w="6977" w:type="dxa"/>
            <w:noWrap w:val="0"/>
            <w:vAlign w:val="top"/>
          </w:tcPr>
          <w:p>
            <w:pPr>
              <w:jc w:val="left"/>
              <w:rPr>
                <w:rFonts w:hint="eastAsia" w:ascii="宋体" w:hAnsi="宋体" w:cs="Arial"/>
                <w:sz w:val="24"/>
                <w:szCs w:val="24"/>
              </w:rPr>
            </w:pPr>
            <w:r>
              <w:rPr>
                <w:rFonts w:hint="eastAsia" w:ascii="宋体" w:hAnsi="宋体" w:cs="Arial"/>
                <w:sz w:val="24"/>
                <w:szCs w:val="24"/>
              </w:rPr>
              <w:t>支持对云网流量进行安全分析，可针对病毒木马、漏洞攻击、DDos、Web攻击等恶意攻击类型进行检测，内置检测规则数不低于8500条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18" w:type="dxa"/>
            <w:vMerge w:val="continue"/>
            <w:noWrap w:val="0"/>
            <w:vAlign w:val="center"/>
          </w:tcPr>
          <w:p>
            <w:pPr>
              <w:jc w:val="center"/>
              <w:rPr>
                <w:rFonts w:hint="eastAsia" w:ascii="宋体" w:hAnsi="宋体" w:cs="Arial"/>
                <w:sz w:val="24"/>
                <w:szCs w:val="24"/>
              </w:rPr>
            </w:pPr>
          </w:p>
        </w:tc>
        <w:tc>
          <w:tcPr>
            <w:tcW w:w="6977" w:type="dxa"/>
            <w:noWrap w:val="0"/>
            <w:vAlign w:val="top"/>
          </w:tcPr>
          <w:p>
            <w:pPr>
              <w:jc w:val="left"/>
              <w:rPr>
                <w:rFonts w:hint="eastAsia" w:ascii="宋体" w:hAnsi="宋体" w:cs="Arial"/>
                <w:sz w:val="24"/>
                <w:szCs w:val="24"/>
              </w:rPr>
            </w:pPr>
            <w:r>
              <w:rPr>
                <w:rFonts w:hint="eastAsia" w:ascii="宋体" w:hAnsi="宋体" w:cs="Arial"/>
                <w:sz w:val="24"/>
                <w:szCs w:val="24"/>
              </w:rPr>
              <w:t>支持对云网流量进行实时失陷主机检测、文件信誉检测等威胁情报检测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18" w:type="dxa"/>
            <w:vMerge w:val="continue"/>
            <w:noWrap w:val="0"/>
            <w:vAlign w:val="center"/>
          </w:tcPr>
          <w:p>
            <w:pPr>
              <w:jc w:val="center"/>
              <w:rPr>
                <w:rFonts w:hint="eastAsia" w:ascii="宋体" w:hAnsi="宋体" w:cs="Arial"/>
                <w:sz w:val="24"/>
                <w:szCs w:val="24"/>
              </w:rPr>
            </w:pPr>
          </w:p>
        </w:tc>
        <w:tc>
          <w:tcPr>
            <w:tcW w:w="6977" w:type="dxa"/>
            <w:noWrap w:val="0"/>
            <w:vAlign w:val="top"/>
          </w:tcPr>
          <w:p>
            <w:pPr>
              <w:jc w:val="left"/>
              <w:rPr>
                <w:rFonts w:hint="eastAsia" w:ascii="宋体" w:hAnsi="宋体" w:cs="Arial"/>
                <w:sz w:val="24"/>
                <w:szCs w:val="24"/>
              </w:rPr>
            </w:pPr>
            <w:r>
              <w:rPr>
                <w:rFonts w:hint="eastAsia" w:ascii="宋体" w:hAnsi="宋体" w:cs="Arial"/>
                <w:sz w:val="24"/>
                <w:szCs w:val="24"/>
              </w:rPr>
              <w:t>支持对云网流量中提取的互联网地址进行地理位置GEO、IP情报的查询和展示（提供相关功能截图）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18" w:type="dxa"/>
            <w:vMerge w:val="continue"/>
            <w:noWrap w:val="0"/>
            <w:vAlign w:val="center"/>
          </w:tcPr>
          <w:p>
            <w:pPr>
              <w:jc w:val="center"/>
              <w:rPr>
                <w:rFonts w:hint="eastAsia" w:ascii="宋体" w:hAnsi="宋体" w:cs="Arial"/>
                <w:sz w:val="24"/>
                <w:szCs w:val="24"/>
              </w:rPr>
            </w:pPr>
          </w:p>
        </w:tc>
        <w:tc>
          <w:tcPr>
            <w:tcW w:w="6977" w:type="dxa"/>
            <w:noWrap w:val="0"/>
            <w:vAlign w:val="top"/>
          </w:tcPr>
          <w:p>
            <w:pPr>
              <w:jc w:val="left"/>
              <w:rPr>
                <w:rFonts w:hint="eastAsia" w:ascii="宋体" w:hAnsi="宋体" w:cs="Arial"/>
                <w:sz w:val="24"/>
                <w:szCs w:val="24"/>
              </w:rPr>
            </w:pPr>
            <w:r>
              <w:rPr>
                <w:rFonts w:hint="eastAsia" w:ascii="宋体" w:hAnsi="宋体" w:cs="Arial"/>
                <w:sz w:val="24"/>
                <w:szCs w:val="24"/>
              </w:rPr>
              <w:t>支持自定义情报，能够对IP、文件、Domain、URL/URI等进行自定义检出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18" w:type="dxa"/>
            <w:vMerge w:val="restart"/>
            <w:noWrap w:val="0"/>
            <w:vAlign w:val="center"/>
          </w:tcPr>
          <w:p>
            <w:pPr>
              <w:jc w:val="center"/>
              <w:rPr>
                <w:rFonts w:hint="eastAsia" w:ascii="宋体" w:hAnsi="宋体" w:cs="Arial"/>
                <w:sz w:val="24"/>
                <w:szCs w:val="24"/>
              </w:rPr>
            </w:pPr>
            <w:r>
              <w:rPr>
                <w:rFonts w:hint="eastAsia" w:ascii="宋体" w:hAnsi="宋体" w:cs="Arial"/>
                <w:sz w:val="24"/>
                <w:szCs w:val="24"/>
              </w:rPr>
              <w:t>流与业务可视化</w:t>
            </w:r>
          </w:p>
        </w:tc>
        <w:tc>
          <w:tcPr>
            <w:tcW w:w="6977" w:type="dxa"/>
            <w:noWrap w:val="0"/>
            <w:vAlign w:val="top"/>
          </w:tcPr>
          <w:p>
            <w:pPr>
              <w:jc w:val="left"/>
              <w:rPr>
                <w:rFonts w:hint="eastAsia" w:ascii="宋体" w:hAnsi="宋体" w:cs="Arial"/>
                <w:sz w:val="24"/>
                <w:szCs w:val="24"/>
              </w:rPr>
            </w:pPr>
            <w:r>
              <w:rPr>
                <w:rFonts w:hint="eastAsia" w:ascii="宋体" w:hAnsi="宋体" w:cs="Arial"/>
                <w:sz w:val="24"/>
                <w:szCs w:val="24"/>
              </w:rPr>
              <w:t>支持对云内东西向、南北向流量进流量、流速、新建、并发、应用流量等多维度指标分析统计（提供相关功能截图）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18" w:type="dxa"/>
            <w:vMerge w:val="continue"/>
            <w:noWrap w:val="0"/>
            <w:vAlign w:val="center"/>
          </w:tcPr>
          <w:p>
            <w:pPr>
              <w:jc w:val="center"/>
              <w:rPr>
                <w:rFonts w:hint="eastAsia" w:ascii="宋体" w:hAnsi="宋体" w:cs="Arial"/>
                <w:sz w:val="24"/>
                <w:szCs w:val="24"/>
              </w:rPr>
            </w:pPr>
          </w:p>
        </w:tc>
        <w:tc>
          <w:tcPr>
            <w:tcW w:w="6977" w:type="dxa"/>
            <w:noWrap w:val="0"/>
            <w:vAlign w:val="top"/>
          </w:tcPr>
          <w:p>
            <w:pPr>
              <w:jc w:val="left"/>
              <w:rPr>
                <w:rFonts w:hint="eastAsia" w:ascii="宋体" w:hAnsi="宋体" w:cs="Arial"/>
                <w:sz w:val="24"/>
                <w:szCs w:val="24"/>
              </w:rPr>
            </w:pPr>
            <w:r>
              <w:rPr>
                <w:rFonts w:hint="eastAsia" w:ascii="宋体" w:hAnsi="宋体" w:cs="Arial"/>
                <w:sz w:val="24"/>
                <w:szCs w:val="24"/>
              </w:rPr>
              <w:t>支持按照数据中心、集群、计算节点、租户/项目、虚拟机、域等多种维度可视化展示其地理位置关系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18" w:type="dxa"/>
            <w:vMerge w:val="continue"/>
            <w:noWrap w:val="0"/>
            <w:vAlign w:val="center"/>
          </w:tcPr>
          <w:p>
            <w:pPr>
              <w:jc w:val="center"/>
              <w:rPr>
                <w:rFonts w:hint="eastAsia" w:ascii="宋体" w:hAnsi="宋体" w:cs="Arial"/>
                <w:sz w:val="24"/>
                <w:szCs w:val="24"/>
              </w:rPr>
            </w:pPr>
          </w:p>
        </w:tc>
        <w:tc>
          <w:tcPr>
            <w:tcW w:w="6977" w:type="dxa"/>
            <w:noWrap w:val="0"/>
            <w:vAlign w:val="top"/>
          </w:tcPr>
          <w:p>
            <w:pPr>
              <w:jc w:val="left"/>
              <w:rPr>
                <w:rFonts w:hint="eastAsia" w:ascii="宋体" w:hAnsi="宋体" w:cs="Arial"/>
                <w:sz w:val="24"/>
                <w:szCs w:val="24"/>
              </w:rPr>
            </w:pPr>
            <w:r>
              <w:rPr>
                <w:rFonts w:hint="eastAsia" w:ascii="宋体" w:hAnsi="宋体" w:cs="Arial"/>
                <w:sz w:val="24"/>
                <w:szCs w:val="24"/>
              </w:rPr>
              <w:t>支持按照数据中心、集群、计算节点、租户/项目、虚拟机、域等多种维度可视化展示其访问关系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18" w:type="dxa"/>
            <w:vMerge w:val="continue"/>
            <w:noWrap w:val="0"/>
            <w:vAlign w:val="center"/>
          </w:tcPr>
          <w:p>
            <w:pPr>
              <w:jc w:val="center"/>
              <w:rPr>
                <w:rFonts w:hint="eastAsia" w:ascii="宋体" w:hAnsi="宋体" w:cs="Arial"/>
                <w:sz w:val="24"/>
                <w:szCs w:val="24"/>
              </w:rPr>
            </w:pPr>
          </w:p>
        </w:tc>
        <w:tc>
          <w:tcPr>
            <w:tcW w:w="6977" w:type="dxa"/>
            <w:noWrap w:val="0"/>
            <w:vAlign w:val="top"/>
          </w:tcPr>
          <w:p>
            <w:pPr>
              <w:jc w:val="left"/>
              <w:rPr>
                <w:rFonts w:hint="eastAsia" w:ascii="宋体" w:hAnsi="宋体" w:cs="Arial"/>
                <w:sz w:val="24"/>
                <w:szCs w:val="24"/>
              </w:rPr>
            </w:pPr>
            <w:r>
              <w:rPr>
                <w:rFonts w:hint="eastAsia" w:ascii="宋体" w:hAnsi="宋体" w:cs="Arial"/>
                <w:sz w:val="24"/>
                <w:szCs w:val="24"/>
              </w:rPr>
              <w:t>支持根据业务节点流量情况可视化展示整体业务的访问关系及流量、访问数等访问情况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18" w:type="dxa"/>
            <w:vMerge w:val="restart"/>
            <w:noWrap w:val="0"/>
            <w:vAlign w:val="center"/>
          </w:tcPr>
          <w:p>
            <w:pPr>
              <w:jc w:val="center"/>
              <w:rPr>
                <w:rFonts w:hint="eastAsia" w:ascii="宋体" w:hAnsi="宋体" w:cs="Arial"/>
                <w:sz w:val="24"/>
                <w:szCs w:val="24"/>
              </w:rPr>
            </w:pPr>
            <w:r>
              <w:rPr>
                <w:rFonts w:hint="eastAsia" w:ascii="宋体" w:hAnsi="宋体" w:cs="Arial"/>
                <w:sz w:val="24"/>
                <w:szCs w:val="24"/>
              </w:rPr>
              <w:t>安全分析可视化</w:t>
            </w:r>
          </w:p>
        </w:tc>
        <w:tc>
          <w:tcPr>
            <w:tcW w:w="6977" w:type="dxa"/>
            <w:noWrap w:val="0"/>
            <w:vAlign w:val="top"/>
          </w:tcPr>
          <w:p>
            <w:pPr>
              <w:jc w:val="left"/>
              <w:rPr>
                <w:rFonts w:hint="eastAsia" w:ascii="宋体" w:hAnsi="宋体" w:cs="Arial"/>
                <w:sz w:val="24"/>
                <w:szCs w:val="24"/>
              </w:rPr>
            </w:pPr>
            <w:r>
              <w:rPr>
                <w:rFonts w:hint="eastAsia" w:ascii="宋体" w:hAnsi="宋体" w:cs="Arial"/>
                <w:sz w:val="24"/>
                <w:szCs w:val="24"/>
              </w:rPr>
              <w:t>支持对同类安全日志的组合呈现和时序化分析，以减少同类攻击带来的大量重复无序日志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18" w:type="dxa"/>
            <w:vMerge w:val="continue"/>
            <w:noWrap w:val="0"/>
            <w:vAlign w:val="center"/>
          </w:tcPr>
          <w:p>
            <w:pPr>
              <w:jc w:val="center"/>
              <w:rPr>
                <w:rFonts w:hint="eastAsia" w:ascii="宋体" w:hAnsi="宋体" w:cs="Arial"/>
                <w:sz w:val="24"/>
                <w:szCs w:val="24"/>
              </w:rPr>
            </w:pPr>
          </w:p>
        </w:tc>
        <w:tc>
          <w:tcPr>
            <w:tcW w:w="6977" w:type="dxa"/>
            <w:noWrap w:val="0"/>
            <w:vAlign w:val="top"/>
          </w:tcPr>
          <w:p>
            <w:pPr>
              <w:jc w:val="left"/>
              <w:rPr>
                <w:rFonts w:hint="eastAsia" w:ascii="宋体" w:hAnsi="宋体" w:cs="Arial"/>
                <w:sz w:val="24"/>
                <w:szCs w:val="24"/>
              </w:rPr>
            </w:pPr>
            <w:r>
              <w:rPr>
                <w:rFonts w:hint="eastAsia" w:ascii="宋体" w:hAnsi="宋体" w:cs="Arial"/>
                <w:sz w:val="24"/>
                <w:szCs w:val="24"/>
              </w:rPr>
              <w:t>支持对攻击者、受害者、威胁规则进行攻击次数、关联受害次数等维度的统计排行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18" w:type="dxa"/>
            <w:vMerge w:val="continue"/>
            <w:noWrap w:val="0"/>
            <w:vAlign w:val="center"/>
          </w:tcPr>
          <w:p>
            <w:pPr>
              <w:jc w:val="center"/>
              <w:rPr>
                <w:rFonts w:hint="eastAsia" w:ascii="宋体" w:hAnsi="宋体" w:cs="Arial"/>
                <w:sz w:val="24"/>
                <w:szCs w:val="24"/>
              </w:rPr>
            </w:pPr>
          </w:p>
        </w:tc>
        <w:tc>
          <w:tcPr>
            <w:tcW w:w="6977" w:type="dxa"/>
            <w:noWrap w:val="0"/>
            <w:vAlign w:val="top"/>
          </w:tcPr>
          <w:p>
            <w:pPr>
              <w:jc w:val="left"/>
              <w:rPr>
                <w:rFonts w:hint="eastAsia" w:ascii="宋体" w:hAnsi="宋体" w:cs="Arial"/>
                <w:sz w:val="24"/>
                <w:szCs w:val="24"/>
              </w:rPr>
            </w:pPr>
            <w:r>
              <w:rPr>
                <w:rFonts w:hint="eastAsia" w:ascii="宋体" w:hAnsi="宋体" w:cs="Arial"/>
                <w:sz w:val="24"/>
                <w:szCs w:val="24"/>
              </w:rPr>
              <w:t>支持对云内威胁态势进行分值评估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18" w:type="dxa"/>
            <w:noWrap w:val="0"/>
            <w:vAlign w:val="center"/>
          </w:tcPr>
          <w:p>
            <w:pPr>
              <w:jc w:val="center"/>
              <w:rPr>
                <w:rFonts w:hint="eastAsia" w:ascii="宋体" w:hAnsi="宋体" w:cs="Arial"/>
                <w:sz w:val="24"/>
                <w:szCs w:val="24"/>
              </w:rPr>
            </w:pPr>
            <w:r>
              <w:rPr>
                <w:rFonts w:hint="eastAsia" w:ascii="宋体" w:hAnsi="宋体" w:cs="Arial"/>
                <w:sz w:val="24"/>
                <w:szCs w:val="24"/>
              </w:rPr>
              <w:t>资产与标签</w:t>
            </w:r>
          </w:p>
        </w:tc>
        <w:tc>
          <w:tcPr>
            <w:tcW w:w="6977" w:type="dxa"/>
            <w:noWrap w:val="0"/>
            <w:vAlign w:val="top"/>
          </w:tcPr>
          <w:p>
            <w:pPr>
              <w:jc w:val="left"/>
              <w:rPr>
                <w:rFonts w:hint="eastAsia" w:ascii="宋体" w:hAnsi="宋体" w:cs="Arial"/>
                <w:sz w:val="24"/>
                <w:szCs w:val="24"/>
              </w:rPr>
            </w:pPr>
            <w:r>
              <w:rPr>
                <w:rFonts w:hint="eastAsia" w:ascii="宋体" w:hAnsi="宋体" w:cs="Arial"/>
                <w:sz w:val="24"/>
                <w:szCs w:val="24"/>
              </w:rPr>
              <w:t>支持展示云计算平台现有资产结构，包括虚拟机ip、mac、cpu、内存、磁盘、操作系统等信息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418" w:type="dxa"/>
            <w:vMerge w:val="restart"/>
            <w:noWrap w:val="0"/>
            <w:vAlign w:val="center"/>
          </w:tcPr>
          <w:p>
            <w:pPr>
              <w:jc w:val="center"/>
              <w:rPr>
                <w:rFonts w:ascii="宋体" w:hAnsi="宋体" w:cs="Arial"/>
                <w:sz w:val="24"/>
                <w:szCs w:val="24"/>
              </w:rPr>
            </w:pPr>
            <w:r>
              <w:rPr>
                <w:rFonts w:hint="eastAsia" w:ascii="宋体" w:hAnsi="宋体" w:cs="Arial"/>
                <w:sz w:val="24"/>
                <w:szCs w:val="24"/>
              </w:rPr>
              <w:t>服务</w:t>
            </w:r>
          </w:p>
        </w:tc>
        <w:tc>
          <w:tcPr>
            <w:tcW w:w="6977" w:type="dxa"/>
            <w:noWrap w:val="0"/>
            <w:vAlign w:val="top"/>
          </w:tcPr>
          <w:p>
            <w:pPr>
              <w:jc w:val="left"/>
              <w:rPr>
                <w:rFonts w:hint="eastAsia" w:ascii="宋体" w:hAnsi="宋体" w:cs="Arial"/>
                <w:sz w:val="24"/>
                <w:szCs w:val="24"/>
              </w:rPr>
            </w:pPr>
            <w:r>
              <w:rPr>
                <w:rFonts w:hint="eastAsia" w:ascii="宋体" w:hAnsi="宋体" w:cs="Arial"/>
                <w:sz w:val="24"/>
                <w:szCs w:val="24"/>
              </w:rPr>
              <w:t>支持自定义增加、编辑、删除资产信息，支持从云网流量中获取资产信息条目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418" w:type="dxa"/>
            <w:vMerge w:val="continue"/>
            <w:noWrap w:val="0"/>
            <w:vAlign w:val="center"/>
          </w:tcPr>
          <w:p>
            <w:pPr>
              <w:jc w:val="center"/>
              <w:rPr>
                <w:rFonts w:hint="eastAsia" w:ascii="宋体" w:hAnsi="宋体" w:cs="Arial"/>
                <w:sz w:val="24"/>
                <w:szCs w:val="24"/>
              </w:rPr>
            </w:pPr>
          </w:p>
        </w:tc>
        <w:tc>
          <w:tcPr>
            <w:tcW w:w="6977" w:type="dxa"/>
            <w:noWrap w:val="0"/>
            <w:vAlign w:val="top"/>
          </w:tcPr>
          <w:p>
            <w:pPr>
              <w:jc w:val="left"/>
              <w:rPr>
                <w:rFonts w:hint="eastAsia" w:ascii="宋体" w:hAnsi="宋体" w:cs="Arial"/>
                <w:sz w:val="24"/>
                <w:szCs w:val="24"/>
              </w:rPr>
            </w:pPr>
            <w:r>
              <w:rPr>
                <w:rFonts w:hint="eastAsia" w:ascii="宋体" w:hAnsi="宋体" w:cs="Arial"/>
                <w:sz w:val="24"/>
                <w:szCs w:val="24"/>
              </w:rPr>
              <w:t>支持自定义标签功能，能够从资产、安全事件、业务等多维度进行标签指定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418" w:type="dxa"/>
            <w:vMerge w:val="restart"/>
            <w:noWrap w:val="0"/>
            <w:vAlign w:val="center"/>
          </w:tcPr>
          <w:p>
            <w:pPr>
              <w:jc w:val="center"/>
              <w:rPr>
                <w:rFonts w:hint="eastAsia" w:ascii="宋体" w:hAnsi="宋体" w:cs="Arial"/>
                <w:sz w:val="24"/>
                <w:szCs w:val="24"/>
              </w:rPr>
            </w:pPr>
            <w:r>
              <w:rPr>
                <w:rFonts w:hint="eastAsia" w:ascii="宋体" w:hAnsi="宋体" w:cs="Arial"/>
                <w:sz w:val="24"/>
                <w:szCs w:val="24"/>
              </w:rPr>
              <w:t>系统维护</w:t>
            </w:r>
          </w:p>
        </w:tc>
        <w:tc>
          <w:tcPr>
            <w:tcW w:w="6977" w:type="dxa"/>
            <w:noWrap w:val="0"/>
            <w:vAlign w:val="top"/>
          </w:tcPr>
          <w:p>
            <w:pPr>
              <w:jc w:val="left"/>
              <w:rPr>
                <w:rFonts w:hint="eastAsia" w:ascii="宋体" w:hAnsi="宋体" w:cs="Arial"/>
                <w:sz w:val="24"/>
                <w:szCs w:val="24"/>
              </w:rPr>
            </w:pPr>
            <w:r>
              <w:rPr>
                <w:rFonts w:hint="eastAsia" w:ascii="宋体" w:hAnsi="宋体" w:cs="Arial"/>
                <w:sz w:val="24"/>
                <w:szCs w:val="24"/>
              </w:rPr>
              <w:t>支持多用户、多角色，支持对账号的有效期、云平台、启停状态进行管理和配置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418" w:type="dxa"/>
            <w:vMerge w:val="continue"/>
            <w:noWrap w:val="0"/>
            <w:vAlign w:val="center"/>
          </w:tcPr>
          <w:p>
            <w:pPr>
              <w:jc w:val="center"/>
              <w:rPr>
                <w:rFonts w:hint="eastAsia" w:ascii="宋体" w:hAnsi="宋体" w:cs="Arial"/>
                <w:sz w:val="24"/>
                <w:szCs w:val="24"/>
              </w:rPr>
            </w:pPr>
          </w:p>
        </w:tc>
        <w:tc>
          <w:tcPr>
            <w:tcW w:w="6977" w:type="dxa"/>
            <w:noWrap w:val="0"/>
            <w:vAlign w:val="top"/>
          </w:tcPr>
          <w:p>
            <w:pPr>
              <w:jc w:val="left"/>
              <w:rPr>
                <w:rFonts w:hint="eastAsia" w:ascii="宋体" w:hAnsi="宋体" w:cs="Arial"/>
                <w:sz w:val="24"/>
                <w:szCs w:val="24"/>
              </w:rPr>
            </w:pPr>
            <w:r>
              <w:rPr>
                <w:rFonts w:hint="eastAsia" w:ascii="宋体" w:hAnsi="宋体" w:cs="Arial"/>
                <w:sz w:val="24"/>
                <w:szCs w:val="24"/>
              </w:rPr>
              <w:t>支持Syslog外发，可自定义配置安全日志、系统日志外发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1418" w:type="dxa"/>
            <w:noWrap w:val="0"/>
            <w:vAlign w:val="center"/>
          </w:tcPr>
          <w:p>
            <w:pPr>
              <w:ind w:firstLine="240" w:firstLineChars="100"/>
              <w:jc w:val="left"/>
              <w:rPr>
                <w:rFonts w:hint="eastAsia" w:ascii="宋体" w:hAnsi="宋体"/>
                <w:color w:val="000000"/>
                <w:sz w:val="24"/>
                <w:szCs w:val="24"/>
              </w:rPr>
            </w:pPr>
            <w:r>
              <w:rPr>
                <w:rFonts w:hint="eastAsia" w:ascii="宋体" w:hAnsi="宋体" w:cs="宋体"/>
                <w:kern w:val="0"/>
                <w:sz w:val="24"/>
                <w:szCs w:val="24"/>
              </w:rPr>
              <w:t>质保</w:t>
            </w:r>
          </w:p>
        </w:tc>
        <w:tc>
          <w:tcPr>
            <w:tcW w:w="6977" w:type="dxa"/>
            <w:noWrap w:val="0"/>
            <w:vAlign w:val="center"/>
          </w:tcPr>
          <w:p>
            <w:pPr>
              <w:jc w:val="left"/>
              <w:rPr>
                <w:rFonts w:hint="eastAsia" w:ascii="宋体" w:hAnsi="宋体"/>
                <w:color w:val="000000"/>
                <w:sz w:val="24"/>
                <w:szCs w:val="24"/>
              </w:rPr>
            </w:pPr>
            <w:r>
              <w:rPr>
                <w:rFonts w:hint="eastAsia" w:ascii="宋体" w:hAnsi="宋体" w:cs="宋体"/>
                <w:sz w:val="24"/>
              </w:rPr>
              <w:t>原厂五年质保，中标后签订合同前提供原厂商质保承诺函。</w:t>
            </w:r>
          </w:p>
        </w:tc>
      </w:tr>
    </w:tbl>
    <w:p>
      <w:pPr>
        <w:outlineLvl w:val="1"/>
        <w:rPr>
          <w:rFonts w:ascii="宋体" w:hAnsi="宋体"/>
          <w:b/>
          <w:bCs/>
          <w:color w:val="000000"/>
          <w:sz w:val="24"/>
          <w:szCs w:val="24"/>
        </w:rPr>
      </w:pPr>
      <w:r>
        <w:rPr>
          <w:rFonts w:hint="eastAsia" w:ascii="宋体" w:hAnsi="宋体"/>
          <w:b/>
          <w:bCs/>
          <w:color w:val="000000"/>
          <w:sz w:val="24"/>
          <w:szCs w:val="24"/>
        </w:rPr>
        <w:t>24.堡垒机</w:t>
      </w:r>
    </w:p>
    <w:tbl>
      <w:tblPr>
        <w:tblStyle w:val="23"/>
        <w:tblW w:w="852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trPr>
        <w:tc>
          <w:tcPr>
            <w:tcW w:w="1413" w:type="dxa"/>
            <w:noWrap w:val="0"/>
            <w:vAlign w:val="center"/>
          </w:tcPr>
          <w:p>
            <w:pPr>
              <w:spacing w:line="276" w:lineRule="auto"/>
              <w:rPr>
                <w:rFonts w:ascii="宋体" w:hAnsi="宋体"/>
                <w:sz w:val="24"/>
                <w:szCs w:val="24"/>
              </w:rPr>
            </w:pPr>
            <w:r>
              <w:rPr>
                <w:rFonts w:hint="eastAsia" w:ascii="宋体" w:hAnsi="宋体" w:cs="宋体"/>
                <w:color w:val="000000"/>
                <w:sz w:val="24"/>
                <w:szCs w:val="24"/>
              </w:rPr>
              <w:t>技术指标</w:t>
            </w:r>
          </w:p>
        </w:tc>
        <w:tc>
          <w:tcPr>
            <w:tcW w:w="7109" w:type="dxa"/>
            <w:noWrap w:val="0"/>
            <w:vAlign w:val="center"/>
          </w:tcPr>
          <w:p>
            <w:pPr>
              <w:spacing w:line="276" w:lineRule="auto"/>
              <w:jc w:val="center"/>
              <w:rPr>
                <w:rFonts w:ascii="宋体" w:hAnsi="宋体"/>
                <w:sz w:val="24"/>
                <w:szCs w:val="24"/>
              </w:rPr>
            </w:pPr>
            <w:r>
              <w:rPr>
                <w:rFonts w:hint="eastAsia" w:ascii="宋体" w:hAnsi="宋体" w:cs="宋体"/>
                <w:color w:val="000000"/>
                <w:sz w:val="24"/>
                <w:szCs w:val="24"/>
              </w:rPr>
              <w:t>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413" w:type="dxa"/>
            <w:vMerge w:val="restart"/>
            <w:noWrap w:val="0"/>
            <w:vAlign w:val="center"/>
          </w:tcPr>
          <w:p>
            <w:pPr>
              <w:spacing w:line="276" w:lineRule="auto"/>
              <w:rPr>
                <w:rFonts w:ascii="宋体" w:hAnsi="宋体"/>
                <w:sz w:val="24"/>
                <w:szCs w:val="24"/>
              </w:rPr>
            </w:pPr>
            <w:r>
              <w:rPr>
                <w:rFonts w:ascii="宋体" w:hAnsi="宋体"/>
                <w:sz w:val="24"/>
                <w:szCs w:val="24"/>
              </w:rPr>
              <w:t>▲</w:t>
            </w:r>
            <w:r>
              <w:rPr>
                <w:rFonts w:hint="eastAsia" w:ascii="宋体" w:hAnsi="宋体"/>
                <w:sz w:val="24"/>
                <w:szCs w:val="24"/>
              </w:rPr>
              <w:t>硬件规格</w:t>
            </w:r>
          </w:p>
        </w:tc>
        <w:tc>
          <w:tcPr>
            <w:tcW w:w="7109" w:type="dxa"/>
            <w:noWrap w:val="0"/>
            <w:vAlign w:val="center"/>
          </w:tcPr>
          <w:p>
            <w:pPr>
              <w:spacing w:line="276" w:lineRule="auto"/>
              <w:rPr>
                <w:rFonts w:ascii="宋体" w:hAnsi="宋体"/>
                <w:sz w:val="24"/>
                <w:szCs w:val="24"/>
              </w:rPr>
            </w:pPr>
            <w:r>
              <w:rPr>
                <w:rFonts w:hint="eastAsia" w:ascii="宋体" w:hAnsi="宋体"/>
                <w:sz w:val="24"/>
                <w:szCs w:val="24"/>
              </w:rPr>
              <w:t>采用专用千兆多核硬件平台和安全操作系统，标准</w:t>
            </w:r>
            <w:r>
              <w:rPr>
                <w:rFonts w:ascii="宋体" w:hAnsi="宋体"/>
                <w:sz w:val="24"/>
                <w:szCs w:val="24"/>
              </w:rPr>
              <w:t>2</w:t>
            </w:r>
            <w:r>
              <w:rPr>
                <w:rFonts w:hint="eastAsia" w:ascii="宋体" w:hAnsi="宋体"/>
                <w:sz w:val="24"/>
                <w:szCs w:val="24"/>
              </w:rPr>
              <w:t>U机架式，</w:t>
            </w:r>
            <w:r>
              <w:rPr>
                <w:rFonts w:hint="eastAsia" w:ascii="宋体" w:hAnsi="宋体"/>
                <w:kern w:val="0"/>
                <w:sz w:val="24"/>
                <w:szCs w:val="24"/>
              </w:rPr>
              <w:t>≥</w:t>
            </w:r>
            <w:r>
              <w:rPr>
                <w:rFonts w:hint="eastAsia" w:ascii="宋体" w:hAnsi="宋体"/>
                <w:sz w:val="24"/>
                <w:szCs w:val="24"/>
              </w:rPr>
              <w:t>2个千兆电口,16G内存，内置</w:t>
            </w:r>
            <w:r>
              <w:rPr>
                <w:rFonts w:hint="eastAsia" w:ascii="宋体" w:hAnsi="宋体"/>
                <w:kern w:val="0"/>
                <w:sz w:val="24"/>
                <w:szCs w:val="24"/>
              </w:rPr>
              <w:t>≥</w:t>
            </w:r>
            <w:r>
              <w:rPr>
                <w:rFonts w:ascii="宋体" w:hAnsi="宋体"/>
                <w:sz w:val="24"/>
                <w:szCs w:val="24"/>
              </w:rPr>
              <w:t>8</w:t>
            </w:r>
            <w:r>
              <w:rPr>
                <w:rFonts w:hint="eastAsia" w:ascii="宋体" w:hAnsi="宋体"/>
                <w:sz w:val="24"/>
                <w:szCs w:val="24"/>
              </w:rPr>
              <w:t>TB硬盘，单电源，最大支持</w:t>
            </w:r>
            <w:r>
              <w:rPr>
                <w:rFonts w:ascii="宋体" w:hAnsi="宋体"/>
                <w:sz w:val="24"/>
                <w:szCs w:val="24"/>
              </w:rPr>
              <w:t>50</w:t>
            </w:r>
            <w:r>
              <w:rPr>
                <w:rFonts w:hint="eastAsia" w:ascii="宋体" w:hAnsi="宋体"/>
                <w:sz w:val="24"/>
                <w:szCs w:val="24"/>
              </w:rPr>
              <w:t>0路图形会话或</w:t>
            </w:r>
            <w:r>
              <w:rPr>
                <w:rFonts w:ascii="宋体" w:hAnsi="宋体"/>
                <w:sz w:val="24"/>
                <w:szCs w:val="24"/>
              </w:rPr>
              <w:t>20</w:t>
            </w:r>
            <w:r>
              <w:rPr>
                <w:rFonts w:hint="eastAsia" w:ascii="宋体" w:hAnsi="宋体"/>
                <w:sz w:val="24"/>
                <w:szCs w:val="24"/>
              </w:rPr>
              <w:t>00路字符会话并发，配置</w:t>
            </w:r>
            <w:r>
              <w:rPr>
                <w:rFonts w:ascii="宋体" w:hAnsi="宋体"/>
                <w:sz w:val="24"/>
                <w:szCs w:val="24"/>
              </w:rPr>
              <w:t>10</w:t>
            </w:r>
            <w:r>
              <w:rPr>
                <w:rFonts w:hint="eastAsia" w:ascii="宋体" w:hAnsi="宋体"/>
                <w:sz w:val="24"/>
                <w:szCs w:val="24"/>
              </w:rPr>
              <w:t>00个授权许可。含五年原厂标准售后服务。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trPr>
        <w:tc>
          <w:tcPr>
            <w:tcW w:w="1413" w:type="dxa"/>
            <w:vMerge w:val="continue"/>
            <w:noWrap w:val="0"/>
            <w:vAlign w:val="center"/>
          </w:tcPr>
          <w:p>
            <w:pPr>
              <w:spacing w:line="276" w:lineRule="auto"/>
              <w:rPr>
                <w:rFonts w:ascii="宋体" w:hAnsi="宋体"/>
                <w:sz w:val="24"/>
                <w:szCs w:val="24"/>
              </w:rPr>
            </w:pPr>
          </w:p>
        </w:tc>
        <w:tc>
          <w:tcPr>
            <w:tcW w:w="7109" w:type="dxa"/>
            <w:noWrap w:val="0"/>
            <w:vAlign w:val="center"/>
          </w:tcPr>
          <w:p>
            <w:pPr>
              <w:spacing w:line="276" w:lineRule="auto"/>
              <w:rPr>
                <w:rFonts w:ascii="宋体" w:hAnsi="宋体"/>
                <w:sz w:val="24"/>
                <w:szCs w:val="24"/>
              </w:rPr>
            </w:pPr>
            <w:r>
              <w:rPr>
                <w:rFonts w:hint="eastAsia" w:ascii="宋体" w:hAnsi="宋体"/>
                <w:sz w:val="24"/>
                <w:szCs w:val="24"/>
              </w:rPr>
              <w:t>物理旁路，逻辑串联模式，不影响原有网络架构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13" w:type="dxa"/>
            <w:vMerge w:val="restart"/>
            <w:noWrap w:val="0"/>
            <w:vAlign w:val="center"/>
          </w:tcPr>
          <w:p>
            <w:pPr>
              <w:spacing w:line="276" w:lineRule="auto"/>
              <w:rPr>
                <w:rFonts w:ascii="宋体" w:hAnsi="宋体"/>
                <w:sz w:val="24"/>
                <w:szCs w:val="24"/>
              </w:rPr>
            </w:pPr>
            <w:r>
              <w:rPr>
                <w:rFonts w:hint="eastAsia" w:ascii="宋体" w:hAnsi="宋体"/>
                <w:sz w:val="24"/>
                <w:szCs w:val="24"/>
              </w:rPr>
              <w:t>功能要求</w:t>
            </w:r>
          </w:p>
        </w:tc>
        <w:tc>
          <w:tcPr>
            <w:tcW w:w="7109" w:type="dxa"/>
            <w:noWrap w:val="0"/>
            <w:vAlign w:val="center"/>
          </w:tcPr>
          <w:p>
            <w:pPr>
              <w:spacing w:line="276" w:lineRule="auto"/>
              <w:rPr>
                <w:rFonts w:hint="eastAsia" w:ascii="宋体" w:hAnsi="宋体"/>
                <w:sz w:val="24"/>
                <w:szCs w:val="24"/>
              </w:rPr>
            </w:pPr>
            <w:r>
              <w:rPr>
                <w:rFonts w:hint="eastAsia" w:ascii="宋体" w:hAnsi="宋体"/>
                <w:sz w:val="24"/>
                <w:szCs w:val="24"/>
              </w:rPr>
              <w:t>具备用户集中管理功能，能够依据系统功能模块灵活的创建用户角色，实现系统分权管理；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13" w:type="dxa"/>
            <w:vMerge w:val="continue"/>
            <w:noWrap w:val="0"/>
            <w:vAlign w:val="center"/>
          </w:tcPr>
          <w:p>
            <w:pPr>
              <w:spacing w:line="276" w:lineRule="auto"/>
              <w:rPr>
                <w:rFonts w:ascii="宋体" w:hAnsi="宋体"/>
                <w:sz w:val="24"/>
                <w:szCs w:val="24"/>
              </w:rPr>
            </w:pPr>
          </w:p>
        </w:tc>
        <w:tc>
          <w:tcPr>
            <w:tcW w:w="7109" w:type="dxa"/>
            <w:noWrap w:val="0"/>
            <w:vAlign w:val="center"/>
          </w:tcPr>
          <w:p>
            <w:pPr>
              <w:spacing w:line="276" w:lineRule="auto"/>
              <w:rPr>
                <w:rFonts w:hint="eastAsia" w:ascii="宋体" w:hAnsi="宋体"/>
                <w:sz w:val="24"/>
                <w:szCs w:val="24"/>
              </w:rPr>
            </w:pPr>
            <w:r>
              <w:rPr>
                <w:rFonts w:hint="eastAsia" w:ascii="宋体" w:hAnsi="宋体"/>
                <w:sz w:val="24"/>
                <w:szCs w:val="24"/>
              </w:rPr>
              <w:t>支持多种身份认证方式（动态令牌、手机令牌、域认证）、密码防暴力破解、用户登陆来源（IP、MAC限制）控制，提升用户帐号安全性；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13" w:type="dxa"/>
            <w:vMerge w:val="continue"/>
            <w:noWrap w:val="0"/>
            <w:vAlign w:val="center"/>
          </w:tcPr>
          <w:p>
            <w:pPr>
              <w:spacing w:line="276" w:lineRule="auto"/>
              <w:rPr>
                <w:rFonts w:ascii="宋体" w:hAnsi="宋体"/>
                <w:sz w:val="24"/>
                <w:szCs w:val="24"/>
              </w:rPr>
            </w:pPr>
          </w:p>
        </w:tc>
        <w:tc>
          <w:tcPr>
            <w:tcW w:w="7109" w:type="dxa"/>
            <w:noWrap w:val="0"/>
            <w:vAlign w:val="center"/>
          </w:tcPr>
          <w:p>
            <w:pPr>
              <w:spacing w:line="276" w:lineRule="auto"/>
              <w:rPr>
                <w:rFonts w:hint="eastAsia" w:ascii="宋体" w:hAnsi="宋体"/>
                <w:sz w:val="24"/>
                <w:szCs w:val="24"/>
              </w:rPr>
            </w:pPr>
            <w:r>
              <w:rPr>
                <w:rFonts w:hint="eastAsia" w:ascii="宋体" w:hAnsi="宋体"/>
                <w:sz w:val="24"/>
                <w:szCs w:val="24"/>
              </w:rPr>
              <w:t xml:space="preserve">能够统一管理IPv4、IPv6环境下的各类资源，包括主机、网络设备、安全设备、数据库等。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13" w:type="dxa"/>
            <w:vMerge w:val="continue"/>
            <w:noWrap w:val="0"/>
            <w:vAlign w:val="center"/>
          </w:tcPr>
          <w:p>
            <w:pPr>
              <w:spacing w:line="276" w:lineRule="auto"/>
              <w:rPr>
                <w:rFonts w:ascii="宋体" w:hAnsi="宋体"/>
                <w:sz w:val="24"/>
                <w:szCs w:val="24"/>
              </w:rPr>
            </w:pPr>
          </w:p>
        </w:tc>
        <w:tc>
          <w:tcPr>
            <w:tcW w:w="7109" w:type="dxa"/>
            <w:noWrap w:val="0"/>
            <w:vAlign w:val="center"/>
          </w:tcPr>
          <w:p>
            <w:pPr>
              <w:spacing w:line="276" w:lineRule="auto"/>
              <w:rPr>
                <w:rFonts w:hint="eastAsia" w:ascii="宋体" w:hAnsi="宋体"/>
                <w:sz w:val="24"/>
                <w:szCs w:val="24"/>
              </w:rPr>
            </w:pPr>
            <w:r>
              <w:rPr>
                <w:rFonts w:hint="eastAsia" w:ascii="宋体" w:hAnsi="宋体"/>
                <w:sz w:val="24"/>
                <w:szCs w:val="24"/>
              </w:rPr>
              <w:t>支持通过应用发布的方式集中管控BS、CS资源，多台应用发布服务器间支持负载均衡功能（无需第三方负载均衡设备），以此满足高并发场景下的接入需求；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13" w:type="dxa"/>
            <w:vMerge w:val="continue"/>
            <w:noWrap w:val="0"/>
            <w:vAlign w:val="center"/>
          </w:tcPr>
          <w:p>
            <w:pPr>
              <w:spacing w:line="276" w:lineRule="auto"/>
              <w:rPr>
                <w:rFonts w:ascii="宋体" w:hAnsi="宋体"/>
                <w:sz w:val="24"/>
                <w:szCs w:val="24"/>
              </w:rPr>
            </w:pPr>
          </w:p>
        </w:tc>
        <w:tc>
          <w:tcPr>
            <w:tcW w:w="7109" w:type="dxa"/>
            <w:noWrap w:val="0"/>
            <w:vAlign w:val="center"/>
          </w:tcPr>
          <w:p>
            <w:pPr>
              <w:spacing w:line="276" w:lineRule="auto"/>
              <w:rPr>
                <w:rFonts w:hint="eastAsia" w:ascii="宋体" w:hAnsi="宋体"/>
                <w:sz w:val="24"/>
                <w:szCs w:val="24"/>
              </w:rPr>
            </w:pPr>
            <w:r>
              <w:rPr>
                <w:rFonts w:hint="eastAsia" w:ascii="宋体" w:hAnsi="宋体"/>
                <w:sz w:val="24"/>
                <w:szCs w:val="24"/>
              </w:rPr>
              <w:t>支持依据用户、资源及系统账号属性进行访问授权，其中属性可由管理员自定义，实现访问权限的灵活管理；须提供功能界面截图证明；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13" w:type="dxa"/>
            <w:vMerge w:val="continue"/>
            <w:noWrap w:val="0"/>
            <w:vAlign w:val="center"/>
          </w:tcPr>
          <w:p>
            <w:pPr>
              <w:spacing w:line="276" w:lineRule="auto"/>
              <w:rPr>
                <w:rFonts w:ascii="宋体" w:hAnsi="宋体"/>
                <w:sz w:val="24"/>
                <w:szCs w:val="24"/>
              </w:rPr>
            </w:pPr>
          </w:p>
        </w:tc>
        <w:tc>
          <w:tcPr>
            <w:tcW w:w="7109" w:type="dxa"/>
            <w:noWrap w:val="0"/>
            <w:vAlign w:val="center"/>
          </w:tcPr>
          <w:p>
            <w:pPr>
              <w:spacing w:line="276" w:lineRule="auto"/>
              <w:rPr>
                <w:rFonts w:hint="eastAsia" w:ascii="宋体" w:hAnsi="宋体"/>
                <w:sz w:val="24"/>
                <w:szCs w:val="24"/>
              </w:rPr>
            </w:pPr>
            <w:r>
              <w:rPr>
                <w:rFonts w:hint="eastAsia" w:ascii="宋体" w:hAnsi="宋体"/>
                <w:sz w:val="24"/>
                <w:szCs w:val="24"/>
              </w:rPr>
              <w:t>支持H5方式访问目标资产（字符、图形协议均支持），无需在操作终端安装任何插件即可使用堡垒机。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13" w:type="dxa"/>
            <w:vMerge w:val="continue"/>
            <w:noWrap w:val="0"/>
            <w:vAlign w:val="center"/>
          </w:tcPr>
          <w:p>
            <w:pPr>
              <w:spacing w:line="276" w:lineRule="auto"/>
              <w:rPr>
                <w:rFonts w:ascii="宋体" w:hAnsi="宋体"/>
                <w:sz w:val="24"/>
                <w:szCs w:val="24"/>
              </w:rPr>
            </w:pPr>
          </w:p>
        </w:tc>
        <w:tc>
          <w:tcPr>
            <w:tcW w:w="7109" w:type="dxa"/>
            <w:noWrap w:val="0"/>
            <w:vAlign w:val="center"/>
          </w:tcPr>
          <w:p>
            <w:pPr>
              <w:spacing w:line="276" w:lineRule="auto"/>
              <w:rPr>
                <w:rFonts w:hint="eastAsia" w:ascii="宋体" w:hAnsi="宋体"/>
                <w:sz w:val="24"/>
                <w:szCs w:val="24"/>
              </w:rPr>
            </w:pPr>
            <w:r>
              <w:rPr>
                <w:rFonts w:hint="eastAsia" w:ascii="宋体" w:hAnsi="宋体"/>
                <w:sz w:val="24"/>
                <w:szCs w:val="24"/>
              </w:rPr>
              <w:t>支持字符、图形、数据库、文件传输操作审计，方便事后追踪溯源、满足合规建设要求，针对审计记录支持多关键字检索、多条件组合查询、查询结果合并审计功能，便于管理员快速定位相关操作；须提供功能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13" w:type="dxa"/>
            <w:vMerge w:val="continue"/>
            <w:noWrap w:val="0"/>
            <w:vAlign w:val="center"/>
          </w:tcPr>
          <w:p>
            <w:pPr>
              <w:spacing w:line="276" w:lineRule="auto"/>
              <w:rPr>
                <w:rFonts w:ascii="宋体" w:hAnsi="宋体"/>
                <w:sz w:val="24"/>
                <w:szCs w:val="24"/>
              </w:rPr>
            </w:pPr>
          </w:p>
        </w:tc>
        <w:tc>
          <w:tcPr>
            <w:tcW w:w="7109" w:type="dxa"/>
            <w:noWrap w:val="0"/>
            <w:vAlign w:val="center"/>
          </w:tcPr>
          <w:p>
            <w:pPr>
              <w:spacing w:line="276" w:lineRule="auto"/>
              <w:rPr>
                <w:rFonts w:hint="eastAsia" w:ascii="宋体" w:hAnsi="宋体"/>
                <w:sz w:val="24"/>
                <w:szCs w:val="24"/>
              </w:rPr>
            </w:pPr>
            <w:r>
              <w:rPr>
                <w:rFonts w:hint="eastAsia" w:ascii="宋体" w:hAnsi="宋体"/>
                <w:sz w:val="24"/>
                <w:szCs w:val="24"/>
              </w:rPr>
              <w:t>支持主机、网络设备系统账号密码自动修改功能，针对修改后的密码支持分段保管功能，同时具备密码工单用于普通用户临时申请密码，过期后自动修改实现一事一密的应用效果；须提供功能界面截图证明；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13" w:type="dxa"/>
            <w:vMerge w:val="continue"/>
            <w:noWrap w:val="0"/>
            <w:vAlign w:val="center"/>
          </w:tcPr>
          <w:p>
            <w:pPr>
              <w:spacing w:line="276" w:lineRule="auto"/>
              <w:rPr>
                <w:rFonts w:ascii="宋体" w:hAnsi="宋体"/>
                <w:sz w:val="24"/>
                <w:szCs w:val="24"/>
              </w:rPr>
            </w:pPr>
          </w:p>
        </w:tc>
        <w:tc>
          <w:tcPr>
            <w:tcW w:w="7109" w:type="dxa"/>
            <w:noWrap w:val="0"/>
            <w:vAlign w:val="center"/>
          </w:tcPr>
          <w:p>
            <w:pPr>
              <w:spacing w:line="276" w:lineRule="auto"/>
              <w:rPr>
                <w:rFonts w:hint="eastAsia" w:ascii="宋体" w:hAnsi="宋体"/>
                <w:sz w:val="24"/>
                <w:szCs w:val="24"/>
              </w:rPr>
            </w:pPr>
            <w:r>
              <w:rPr>
                <w:rFonts w:hint="eastAsia" w:ascii="宋体" w:hAnsi="宋体"/>
                <w:sz w:val="24"/>
                <w:szCs w:val="24"/>
              </w:rPr>
              <w:t>支持对剪切板、磁盘映射、sftp文件传输进行集中控制审计，其中针对windows剪切板支持文件、文字单独控制（如禁止传输文件允许传输文字），以满足运维、安全管控需求；须提供功能界面截图证明；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13" w:type="dxa"/>
            <w:vMerge w:val="continue"/>
            <w:noWrap w:val="0"/>
            <w:vAlign w:val="center"/>
          </w:tcPr>
          <w:p>
            <w:pPr>
              <w:spacing w:line="276" w:lineRule="auto"/>
              <w:rPr>
                <w:rFonts w:ascii="宋体" w:hAnsi="宋体"/>
                <w:sz w:val="24"/>
                <w:szCs w:val="24"/>
              </w:rPr>
            </w:pPr>
          </w:p>
        </w:tc>
        <w:tc>
          <w:tcPr>
            <w:tcW w:w="7109" w:type="dxa"/>
            <w:noWrap w:val="0"/>
            <w:vAlign w:val="center"/>
          </w:tcPr>
          <w:p>
            <w:pPr>
              <w:spacing w:line="276" w:lineRule="auto"/>
              <w:rPr>
                <w:rFonts w:hint="eastAsia" w:ascii="宋体" w:hAnsi="宋体"/>
                <w:sz w:val="24"/>
                <w:szCs w:val="24"/>
              </w:rPr>
            </w:pPr>
            <w:r>
              <w:rPr>
                <w:rFonts w:hint="eastAsia" w:ascii="宋体" w:hAnsi="宋体"/>
                <w:sz w:val="24"/>
                <w:szCs w:val="24"/>
              </w:rPr>
              <w:t>支持内置动态令牌认证和手机令牌认证，其中动态令牌支持国密算法加密；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13" w:type="dxa"/>
            <w:vMerge w:val="continue"/>
            <w:noWrap w:val="0"/>
            <w:vAlign w:val="center"/>
          </w:tcPr>
          <w:p>
            <w:pPr>
              <w:spacing w:line="276" w:lineRule="auto"/>
              <w:rPr>
                <w:rFonts w:ascii="宋体" w:hAnsi="宋体"/>
                <w:sz w:val="24"/>
                <w:szCs w:val="24"/>
              </w:rPr>
            </w:pPr>
          </w:p>
        </w:tc>
        <w:tc>
          <w:tcPr>
            <w:tcW w:w="7109" w:type="dxa"/>
            <w:noWrap w:val="0"/>
            <w:vAlign w:val="center"/>
          </w:tcPr>
          <w:p>
            <w:pPr>
              <w:spacing w:line="276" w:lineRule="auto"/>
              <w:rPr>
                <w:rFonts w:hint="eastAsia" w:ascii="宋体" w:hAnsi="宋体"/>
                <w:sz w:val="24"/>
                <w:szCs w:val="24"/>
              </w:rPr>
            </w:pPr>
            <w:r>
              <w:rPr>
                <w:rFonts w:hint="eastAsia" w:ascii="宋体" w:hAnsi="宋体"/>
                <w:sz w:val="24"/>
                <w:szCs w:val="24"/>
              </w:rPr>
              <w:t>具备先进的审计技术，实现数据库及字符操作的精准记录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 w:hRule="atLeast"/>
        </w:trPr>
        <w:tc>
          <w:tcPr>
            <w:tcW w:w="1413" w:type="dxa"/>
            <w:noWrap w:val="0"/>
            <w:vAlign w:val="center"/>
          </w:tcPr>
          <w:p>
            <w:pPr>
              <w:widowControl/>
              <w:spacing w:line="276" w:lineRule="auto"/>
              <w:jc w:val="left"/>
              <w:rPr>
                <w:rFonts w:ascii="宋体" w:hAnsi="宋体" w:cs="宋体"/>
                <w:b/>
                <w:bCs/>
                <w:kern w:val="0"/>
                <w:sz w:val="24"/>
                <w:szCs w:val="24"/>
              </w:rPr>
            </w:pPr>
            <w:r>
              <w:rPr>
                <w:rFonts w:ascii="宋体" w:hAnsi="宋体" w:cs="宋体"/>
                <w:b/>
                <w:bCs/>
                <w:kern w:val="0"/>
                <w:sz w:val="24"/>
                <w:szCs w:val="24"/>
              </w:rPr>
              <w:t>其它</w:t>
            </w:r>
          </w:p>
        </w:tc>
        <w:tc>
          <w:tcPr>
            <w:tcW w:w="7109" w:type="dxa"/>
            <w:noWrap w:val="0"/>
            <w:vAlign w:val="center"/>
          </w:tcPr>
          <w:p>
            <w:pPr>
              <w:spacing w:line="273" w:lineRule="auto"/>
              <w:rPr>
                <w:rFonts w:ascii="宋体" w:hAnsi="宋体"/>
                <w:sz w:val="24"/>
                <w:szCs w:val="24"/>
              </w:rPr>
            </w:pPr>
            <w:r>
              <w:rPr>
                <w:rFonts w:hint="eastAsia" w:ascii="宋体" w:hAnsi="宋体" w:cs="宋体"/>
                <w:sz w:val="24"/>
              </w:rPr>
              <w:t>原厂五年质保，中标后签订合同前提供原厂商质保承诺函。</w:t>
            </w:r>
          </w:p>
        </w:tc>
      </w:tr>
    </w:tbl>
    <w:p>
      <w:pPr>
        <w:ind w:firstLine="420"/>
        <w:rPr>
          <w:sz w:val="24"/>
          <w:szCs w:val="24"/>
        </w:rPr>
      </w:pPr>
    </w:p>
    <w:p>
      <w:pPr>
        <w:outlineLvl w:val="1"/>
        <w:rPr>
          <w:rFonts w:hint="eastAsia" w:ascii="宋体" w:hAnsi="宋体"/>
          <w:b/>
          <w:bCs/>
          <w:color w:val="000000"/>
          <w:sz w:val="24"/>
          <w:szCs w:val="24"/>
        </w:rPr>
      </w:pPr>
      <w:r>
        <w:rPr>
          <w:rFonts w:hint="eastAsia" w:ascii="宋体" w:hAnsi="宋体"/>
          <w:b/>
          <w:bCs/>
          <w:color w:val="000000"/>
          <w:sz w:val="24"/>
          <w:szCs w:val="24"/>
        </w:rPr>
        <w:t>25.日志审计</w:t>
      </w:r>
    </w:p>
    <w:tbl>
      <w:tblPr>
        <w:tblStyle w:val="23"/>
        <w:tblW w:w="836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0" w:hRule="atLeast"/>
        </w:trPr>
        <w:tc>
          <w:tcPr>
            <w:tcW w:w="1418" w:type="dxa"/>
            <w:noWrap w:val="0"/>
            <w:vAlign w:val="center"/>
          </w:tcPr>
          <w:p>
            <w:pPr>
              <w:jc w:val="center"/>
              <w:rPr>
                <w:rFonts w:ascii="宋体" w:hAnsi="宋体"/>
                <w:sz w:val="24"/>
                <w:szCs w:val="24"/>
              </w:rPr>
            </w:pPr>
            <w:r>
              <w:rPr>
                <w:rFonts w:hint="eastAsia" w:ascii="宋体" w:hAnsi="宋体" w:cs="宋体"/>
                <w:color w:val="000000"/>
                <w:sz w:val="24"/>
                <w:szCs w:val="24"/>
              </w:rPr>
              <w:t>技术指标</w:t>
            </w:r>
          </w:p>
        </w:tc>
        <w:tc>
          <w:tcPr>
            <w:tcW w:w="6946" w:type="dxa"/>
            <w:noWrap w:val="0"/>
            <w:vAlign w:val="center"/>
          </w:tcPr>
          <w:p>
            <w:pPr>
              <w:jc w:val="center"/>
              <w:rPr>
                <w:rFonts w:ascii="宋体" w:hAnsi="宋体"/>
                <w:sz w:val="24"/>
                <w:szCs w:val="24"/>
              </w:rPr>
            </w:pPr>
            <w:r>
              <w:rPr>
                <w:rFonts w:hint="eastAsia" w:ascii="宋体" w:hAnsi="宋体" w:cs="宋体"/>
                <w:color w:val="000000"/>
                <w:sz w:val="24"/>
                <w:szCs w:val="24"/>
              </w:rPr>
              <w:t>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418" w:type="dxa"/>
            <w:vMerge w:val="restart"/>
            <w:noWrap w:val="0"/>
            <w:vAlign w:val="center"/>
          </w:tcPr>
          <w:p>
            <w:pPr>
              <w:widowControl/>
              <w:jc w:val="left"/>
              <w:rPr>
                <w:rFonts w:ascii="宋体" w:hAnsi="宋体"/>
                <w:kern w:val="0"/>
                <w:sz w:val="24"/>
                <w:szCs w:val="24"/>
              </w:rPr>
            </w:pPr>
            <w:r>
              <w:rPr>
                <w:rFonts w:ascii="宋体" w:hAnsi="宋体"/>
                <w:kern w:val="0"/>
                <w:sz w:val="24"/>
                <w:szCs w:val="24"/>
              </w:rPr>
              <w:t>硬件指标</w:t>
            </w:r>
          </w:p>
        </w:tc>
        <w:tc>
          <w:tcPr>
            <w:tcW w:w="6946" w:type="dxa"/>
            <w:noWrap w:val="0"/>
            <w:vAlign w:val="center"/>
          </w:tcPr>
          <w:p>
            <w:pPr>
              <w:widowControl/>
              <w:jc w:val="left"/>
              <w:rPr>
                <w:rFonts w:ascii="宋体" w:hAnsi="宋体"/>
                <w:kern w:val="0"/>
                <w:sz w:val="24"/>
                <w:szCs w:val="24"/>
              </w:rPr>
            </w:pPr>
            <w:r>
              <w:rPr>
                <w:rFonts w:hint="eastAsia" w:ascii="宋体" w:hAnsi="宋体"/>
                <w:kern w:val="0"/>
                <w:sz w:val="24"/>
                <w:szCs w:val="24"/>
              </w:rPr>
              <w:t>采用标准机架式硬件，系统独立运行不依赖于硬盘；冗余电源。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418" w:type="dxa"/>
            <w:vMerge w:val="continue"/>
            <w:noWrap w:val="0"/>
            <w:vAlign w:val="center"/>
          </w:tcPr>
          <w:p>
            <w:pPr>
              <w:widowControl/>
              <w:jc w:val="left"/>
              <w:rPr>
                <w:rFonts w:ascii="宋体" w:hAnsi="宋体"/>
                <w:sz w:val="24"/>
                <w:szCs w:val="24"/>
              </w:rPr>
            </w:pPr>
          </w:p>
        </w:tc>
        <w:tc>
          <w:tcPr>
            <w:tcW w:w="6946" w:type="dxa"/>
            <w:noWrap w:val="0"/>
            <w:vAlign w:val="center"/>
          </w:tcPr>
          <w:p>
            <w:pPr>
              <w:widowControl/>
              <w:jc w:val="left"/>
              <w:rPr>
                <w:rFonts w:hint="eastAsia" w:ascii="宋体" w:hAnsi="宋体"/>
                <w:kern w:val="0"/>
                <w:sz w:val="24"/>
                <w:szCs w:val="24"/>
              </w:rPr>
            </w:pPr>
            <w:r>
              <w:rPr>
                <w:rFonts w:ascii="宋体" w:hAnsi="宋体"/>
                <w:sz w:val="24"/>
                <w:szCs w:val="24"/>
              </w:rPr>
              <w:t>▲</w:t>
            </w:r>
            <w:r>
              <w:rPr>
                <w:rFonts w:hint="eastAsia" w:ascii="宋体" w:hAnsi="宋体"/>
                <w:kern w:val="0"/>
                <w:sz w:val="24"/>
                <w:szCs w:val="24"/>
              </w:rPr>
              <w:t>事件处理最高≥10000EPS，事件处理平均≥6000EPS。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418" w:type="dxa"/>
            <w:vMerge w:val="continue"/>
            <w:noWrap w:val="0"/>
            <w:vAlign w:val="center"/>
          </w:tcPr>
          <w:p>
            <w:pPr>
              <w:widowControl/>
              <w:jc w:val="left"/>
              <w:rPr>
                <w:rFonts w:ascii="宋体" w:hAnsi="宋体"/>
                <w:sz w:val="24"/>
                <w:szCs w:val="24"/>
              </w:rPr>
            </w:pPr>
          </w:p>
        </w:tc>
        <w:tc>
          <w:tcPr>
            <w:tcW w:w="6946" w:type="dxa"/>
            <w:noWrap w:val="0"/>
            <w:vAlign w:val="center"/>
          </w:tcPr>
          <w:p>
            <w:pPr>
              <w:widowControl/>
              <w:jc w:val="left"/>
              <w:rPr>
                <w:rFonts w:hint="eastAsia" w:ascii="宋体" w:hAnsi="宋体"/>
                <w:kern w:val="0"/>
                <w:sz w:val="24"/>
                <w:szCs w:val="24"/>
              </w:rPr>
            </w:pPr>
            <w:r>
              <w:rPr>
                <w:rFonts w:hint="eastAsia" w:ascii="宋体" w:hAnsi="宋体"/>
                <w:kern w:val="0"/>
                <w:sz w:val="24"/>
                <w:szCs w:val="24"/>
              </w:rPr>
              <w:t>≥</w:t>
            </w:r>
            <w:r>
              <w:rPr>
                <w:rFonts w:ascii="宋体" w:hAnsi="宋体"/>
                <w:kern w:val="0"/>
                <w:sz w:val="24"/>
                <w:szCs w:val="24"/>
              </w:rPr>
              <w:t>4</w:t>
            </w:r>
            <w:r>
              <w:rPr>
                <w:rFonts w:hint="eastAsia" w:ascii="宋体" w:hAnsi="宋体"/>
                <w:kern w:val="0"/>
                <w:sz w:val="24"/>
                <w:szCs w:val="24"/>
              </w:rPr>
              <w:t>个千兆电口，≥4千兆光，≥1个Console接口；</w:t>
            </w:r>
          </w:p>
          <w:p>
            <w:pPr>
              <w:widowControl/>
              <w:jc w:val="left"/>
              <w:rPr>
                <w:rFonts w:hint="eastAsia" w:ascii="宋体" w:hAnsi="宋体"/>
                <w:kern w:val="0"/>
                <w:sz w:val="24"/>
                <w:szCs w:val="24"/>
              </w:rPr>
            </w:pPr>
            <w:r>
              <w:rPr>
                <w:rFonts w:hint="eastAsia" w:ascii="宋体" w:hAnsi="宋体"/>
                <w:kern w:val="0"/>
                <w:sz w:val="24"/>
                <w:szCs w:val="24"/>
              </w:rPr>
              <w:t>包含10</w:t>
            </w:r>
            <w:r>
              <w:rPr>
                <w:rFonts w:ascii="宋体" w:hAnsi="宋体"/>
                <w:kern w:val="0"/>
                <w:sz w:val="24"/>
                <w:szCs w:val="24"/>
              </w:rPr>
              <w:t>0</w:t>
            </w:r>
            <w:r>
              <w:rPr>
                <w:rFonts w:hint="eastAsia" w:ascii="宋体" w:hAnsi="宋体"/>
                <w:kern w:val="0"/>
                <w:sz w:val="24"/>
                <w:szCs w:val="24"/>
              </w:rPr>
              <w:t>0授权节点，包含5年标准维保。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418" w:type="dxa"/>
            <w:vMerge w:val="continue"/>
            <w:noWrap w:val="0"/>
            <w:vAlign w:val="center"/>
          </w:tcPr>
          <w:p>
            <w:pPr>
              <w:widowControl/>
              <w:jc w:val="left"/>
              <w:rPr>
                <w:rFonts w:ascii="宋体" w:hAnsi="宋体"/>
                <w:kern w:val="0"/>
                <w:sz w:val="24"/>
                <w:szCs w:val="24"/>
              </w:rPr>
            </w:pPr>
          </w:p>
        </w:tc>
        <w:tc>
          <w:tcPr>
            <w:tcW w:w="6946" w:type="dxa"/>
            <w:noWrap w:val="0"/>
            <w:vAlign w:val="center"/>
          </w:tcPr>
          <w:p>
            <w:pPr>
              <w:widowControl/>
              <w:jc w:val="left"/>
              <w:rPr>
                <w:rFonts w:ascii="宋体" w:hAnsi="宋体"/>
                <w:kern w:val="0"/>
                <w:sz w:val="24"/>
                <w:szCs w:val="24"/>
              </w:rPr>
            </w:pPr>
            <w:r>
              <w:rPr>
                <w:rFonts w:hint="eastAsia" w:ascii="宋体" w:hAnsi="宋体"/>
                <w:kern w:val="0"/>
                <w:sz w:val="24"/>
                <w:szCs w:val="24"/>
              </w:rPr>
              <w:t>内置存储总容量≥4TB，硬盘支持热插拔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1418" w:type="dxa"/>
            <w:noWrap w:val="0"/>
            <w:vAlign w:val="center"/>
          </w:tcPr>
          <w:p>
            <w:pPr>
              <w:widowControl/>
              <w:jc w:val="left"/>
              <w:rPr>
                <w:rFonts w:ascii="宋体" w:hAnsi="宋体"/>
                <w:kern w:val="0"/>
                <w:sz w:val="24"/>
                <w:szCs w:val="24"/>
              </w:rPr>
            </w:pPr>
            <w:r>
              <w:rPr>
                <w:rFonts w:hint="eastAsia" w:ascii="宋体" w:hAnsi="宋体"/>
                <w:kern w:val="0"/>
                <w:sz w:val="24"/>
                <w:szCs w:val="24"/>
              </w:rPr>
              <w:t>部署模式</w:t>
            </w:r>
          </w:p>
        </w:tc>
        <w:tc>
          <w:tcPr>
            <w:tcW w:w="6946" w:type="dxa"/>
            <w:noWrap w:val="0"/>
            <w:vAlign w:val="center"/>
          </w:tcPr>
          <w:p>
            <w:pPr>
              <w:widowControl/>
              <w:rPr>
                <w:rFonts w:hint="eastAsia" w:ascii="宋体" w:hAnsi="宋体"/>
                <w:kern w:val="0"/>
                <w:sz w:val="24"/>
                <w:szCs w:val="24"/>
              </w:rPr>
            </w:pPr>
            <w:r>
              <w:rPr>
                <w:rFonts w:hint="eastAsia" w:ascii="宋体" w:hAnsi="宋体"/>
                <w:kern w:val="0"/>
                <w:sz w:val="24"/>
                <w:szCs w:val="24"/>
              </w:rPr>
              <w:t>支持单一部署，也支持分布式部署。</w:t>
            </w:r>
          </w:p>
          <w:p>
            <w:pPr>
              <w:widowControl/>
              <w:rPr>
                <w:rFonts w:ascii="宋体" w:hAnsi="宋体" w:cs="宋体"/>
                <w:kern w:val="0"/>
                <w:sz w:val="24"/>
                <w:szCs w:val="24"/>
              </w:rPr>
            </w:pPr>
            <w:r>
              <w:rPr>
                <w:rFonts w:hint="eastAsia" w:ascii="宋体" w:hAnsi="宋体" w:cs="宋体"/>
                <w:kern w:val="0"/>
                <w:sz w:val="24"/>
                <w:szCs w:val="24"/>
              </w:rPr>
              <w:t>提供旁路接入模式，设备部署不影响原有网络结构；</w:t>
            </w:r>
          </w:p>
          <w:p>
            <w:pPr>
              <w:widowControl/>
              <w:jc w:val="left"/>
              <w:rPr>
                <w:rFonts w:ascii="宋体" w:hAnsi="宋体"/>
                <w:kern w:val="0"/>
                <w:sz w:val="24"/>
                <w:szCs w:val="24"/>
              </w:rPr>
            </w:pPr>
            <w:r>
              <w:rPr>
                <w:rFonts w:hint="eastAsia" w:ascii="宋体" w:hAnsi="宋体" w:cs="宋体"/>
                <w:kern w:val="0"/>
                <w:sz w:val="24"/>
                <w:szCs w:val="24"/>
              </w:rPr>
              <w:t>审计工作不影响被审计对象的性能、稳定性或日常管理流程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noWrap w:val="0"/>
            <w:vAlign w:val="center"/>
          </w:tcPr>
          <w:p>
            <w:pPr>
              <w:jc w:val="left"/>
              <w:rPr>
                <w:rFonts w:ascii="宋体" w:hAnsi="宋体"/>
                <w:sz w:val="24"/>
                <w:szCs w:val="24"/>
              </w:rPr>
            </w:pPr>
            <w:r>
              <w:rPr>
                <w:rFonts w:hint="eastAsia" w:ascii="宋体" w:hAnsi="宋体" w:cs="宋体"/>
                <w:kern w:val="0"/>
                <w:sz w:val="24"/>
                <w:szCs w:val="24"/>
              </w:rPr>
              <w:t>使用模式</w:t>
            </w:r>
          </w:p>
        </w:tc>
        <w:tc>
          <w:tcPr>
            <w:tcW w:w="6946" w:type="dxa"/>
            <w:noWrap w:val="0"/>
            <w:vAlign w:val="center"/>
          </w:tcPr>
          <w:p>
            <w:pPr>
              <w:rPr>
                <w:rFonts w:ascii="宋体" w:hAnsi="宋体"/>
                <w:sz w:val="24"/>
                <w:szCs w:val="24"/>
              </w:rPr>
            </w:pPr>
            <w:r>
              <w:rPr>
                <w:rFonts w:hint="eastAsia" w:ascii="宋体" w:hAnsi="宋体"/>
                <w:sz w:val="24"/>
                <w:szCs w:val="24"/>
              </w:rPr>
              <w:t>采用B/S模式，无需安装客户端，使用WEB浏览器访问管理中心，浏览器端无需安装Java运行环境。支持chrome浏览。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noWrap w:val="0"/>
            <w:vAlign w:val="center"/>
          </w:tcPr>
          <w:p>
            <w:pPr>
              <w:jc w:val="left"/>
              <w:rPr>
                <w:rFonts w:ascii="宋体" w:hAnsi="宋体"/>
                <w:sz w:val="24"/>
                <w:szCs w:val="24"/>
              </w:rPr>
            </w:pPr>
            <w:r>
              <w:rPr>
                <w:rFonts w:ascii="宋体" w:hAnsi="宋体"/>
                <w:sz w:val="24"/>
                <w:szCs w:val="24"/>
              </w:rPr>
              <w:t>日志采集</w:t>
            </w:r>
          </w:p>
        </w:tc>
        <w:tc>
          <w:tcPr>
            <w:tcW w:w="6946" w:type="dxa"/>
            <w:noWrap w:val="0"/>
            <w:vAlign w:val="center"/>
          </w:tcPr>
          <w:p>
            <w:pPr>
              <w:rPr>
                <w:rFonts w:ascii="宋体" w:hAnsi="宋体"/>
                <w:sz w:val="24"/>
                <w:szCs w:val="24"/>
              </w:rPr>
            </w:pPr>
            <w:r>
              <w:rPr>
                <w:rFonts w:hint="eastAsia" w:ascii="宋体" w:hAnsi="宋体"/>
                <w:sz w:val="24"/>
                <w:szCs w:val="24"/>
              </w:rPr>
              <w:t>支持目前各种主流的网络安全设备、交换设备、路由设备、操作系统、应用系统等配置日志、运行日志、告警日志的采集；</w:t>
            </w:r>
          </w:p>
          <w:p>
            <w:pPr>
              <w:rPr>
                <w:rFonts w:ascii="宋体" w:hAnsi="宋体"/>
                <w:sz w:val="24"/>
                <w:szCs w:val="24"/>
              </w:rPr>
            </w:pPr>
            <w:r>
              <w:rPr>
                <w:rFonts w:hint="eastAsia" w:ascii="宋体" w:hAnsi="宋体"/>
                <w:sz w:val="24"/>
                <w:szCs w:val="24"/>
              </w:rPr>
              <w:t>支持审计各种中间件（tomcat、apache、</w:t>
            </w:r>
            <w:r>
              <w:rPr>
                <w:rFonts w:ascii="宋体" w:hAnsi="宋体"/>
                <w:sz w:val="24"/>
                <w:szCs w:val="24"/>
              </w:rPr>
              <w:t>webshpere</w:t>
            </w:r>
            <w:r>
              <w:rPr>
                <w:rFonts w:hint="eastAsia" w:ascii="宋体" w:hAnsi="宋体"/>
                <w:sz w:val="24"/>
                <w:szCs w:val="24"/>
              </w:rPr>
              <w:t>、</w:t>
            </w:r>
            <w:r>
              <w:rPr>
                <w:rFonts w:ascii="宋体" w:hAnsi="宋体"/>
                <w:sz w:val="24"/>
                <w:szCs w:val="24"/>
              </w:rPr>
              <w:t xml:space="preserve"> weblogic等</w:t>
            </w:r>
            <w:r>
              <w:rPr>
                <w:rFonts w:hint="eastAsia" w:ascii="宋体" w:hAnsi="宋体"/>
                <w:sz w:val="24"/>
                <w:szCs w:val="24"/>
              </w:rPr>
              <w:t>）配置日志、运行日志、告警日志等；</w:t>
            </w:r>
          </w:p>
          <w:p>
            <w:pPr>
              <w:rPr>
                <w:rFonts w:ascii="宋体" w:hAnsi="宋体"/>
                <w:sz w:val="24"/>
                <w:szCs w:val="24"/>
              </w:rPr>
            </w:pPr>
            <w:r>
              <w:rPr>
                <w:rFonts w:hint="eastAsia" w:ascii="宋体" w:hAnsi="宋体"/>
                <w:sz w:val="24"/>
                <w:szCs w:val="24"/>
              </w:rPr>
              <w:t>支持常见的虚拟机环境日志收集，包括Xen、VMWare、Hyper-V等。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noWrap w:val="0"/>
            <w:vAlign w:val="center"/>
          </w:tcPr>
          <w:p>
            <w:pPr>
              <w:jc w:val="left"/>
              <w:rPr>
                <w:rFonts w:ascii="宋体" w:hAnsi="宋体"/>
                <w:sz w:val="24"/>
                <w:szCs w:val="24"/>
              </w:rPr>
            </w:pPr>
            <w:r>
              <w:rPr>
                <w:rFonts w:hint="eastAsia" w:ascii="宋体" w:hAnsi="宋体"/>
                <w:sz w:val="24"/>
                <w:szCs w:val="24"/>
              </w:rPr>
              <w:t>采集方式</w:t>
            </w:r>
          </w:p>
        </w:tc>
        <w:tc>
          <w:tcPr>
            <w:tcW w:w="6946" w:type="dxa"/>
            <w:noWrap w:val="0"/>
            <w:vAlign w:val="center"/>
          </w:tcPr>
          <w:p>
            <w:pPr>
              <w:rPr>
                <w:rFonts w:ascii="宋体" w:hAnsi="宋体"/>
                <w:sz w:val="24"/>
                <w:szCs w:val="24"/>
              </w:rPr>
            </w:pPr>
            <w:r>
              <w:rPr>
                <w:rFonts w:hint="eastAsia" w:ascii="宋体" w:hAnsi="宋体"/>
                <w:sz w:val="24"/>
                <w:szCs w:val="24"/>
              </w:rPr>
              <w:t>支持通过syslog、S</w:t>
            </w:r>
            <w:r>
              <w:rPr>
                <w:rFonts w:ascii="宋体" w:hAnsi="宋体"/>
                <w:sz w:val="24"/>
                <w:szCs w:val="24"/>
              </w:rPr>
              <w:t>NMP</w:t>
            </w:r>
            <w:r>
              <w:rPr>
                <w:rFonts w:hint="eastAsia" w:ascii="宋体" w:hAnsi="宋体"/>
                <w:sz w:val="24"/>
                <w:szCs w:val="24"/>
              </w:rPr>
              <w:t xml:space="preserve"> </w:t>
            </w:r>
            <w:r>
              <w:rPr>
                <w:rFonts w:ascii="宋体" w:hAnsi="宋体"/>
                <w:sz w:val="24"/>
                <w:szCs w:val="24"/>
              </w:rPr>
              <w:t>T</w:t>
            </w:r>
            <w:r>
              <w:rPr>
                <w:rFonts w:hint="eastAsia" w:ascii="宋体" w:hAnsi="宋体"/>
                <w:sz w:val="24"/>
                <w:szCs w:val="24"/>
              </w:rPr>
              <w:t>rap、JDBC、Agent代理、</w:t>
            </w:r>
            <w:r>
              <w:rPr>
                <w:rFonts w:ascii="宋体" w:hAnsi="宋体"/>
                <w:sz w:val="24"/>
                <w:szCs w:val="24"/>
              </w:rPr>
              <w:t>WMI</w:t>
            </w:r>
            <w:r>
              <w:rPr>
                <w:rFonts w:hint="eastAsia" w:ascii="宋体" w:hAnsi="宋体"/>
                <w:sz w:val="24"/>
                <w:szCs w:val="24"/>
              </w:rPr>
              <w:t>、(S)FTP、NetBIOS、文件\文件夹读取、Kafka等多种方式完成各种日志的收集功能；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8" w:type="dxa"/>
            <w:noWrap w:val="0"/>
            <w:vAlign w:val="center"/>
          </w:tcPr>
          <w:p>
            <w:pPr>
              <w:widowControl/>
              <w:jc w:val="left"/>
              <w:rPr>
                <w:rFonts w:ascii="宋体" w:hAnsi="宋体" w:cs="宋体"/>
                <w:kern w:val="0"/>
                <w:sz w:val="24"/>
                <w:szCs w:val="24"/>
              </w:rPr>
            </w:pPr>
            <w:r>
              <w:rPr>
                <w:rFonts w:hint="eastAsia" w:ascii="宋体" w:hAnsi="宋体" w:cs="宋体"/>
                <w:kern w:val="0"/>
                <w:sz w:val="24"/>
                <w:szCs w:val="24"/>
              </w:rPr>
              <w:t>资产管理</w:t>
            </w:r>
          </w:p>
        </w:tc>
        <w:tc>
          <w:tcPr>
            <w:tcW w:w="6946" w:type="dxa"/>
            <w:noWrap w:val="0"/>
            <w:vAlign w:val="center"/>
          </w:tcPr>
          <w:p>
            <w:pPr>
              <w:widowControl/>
              <w:jc w:val="left"/>
              <w:rPr>
                <w:rFonts w:ascii="宋体" w:hAnsi="宋体" w:cs="宋体"/>
                <w:kern w:val="0"/>
                <w:sz w:val="24"/>
                <w:szCs w:val="24"/>
              </w:rPr>
            </w:pPr>
            <w:r>
              <w:rPr>
                <w:rFonts w:hint="eastAsia" w:ascii="宋体" w:hAnsi="宋体" w:cs="宋体"/>
                <w:kern w:val="0"/>
                <w:sz w:val="24"/>
                <w:szCs w:val="24"/>
              </w:rPr>
              <w:t>能够将资产按照多种维度进行分组、分域管理，如地理位置、组织结构、业务系统等，提供便捷的添加、修改、删除、查询与统计功能；</w:t>
            </w:r>
          </w:p>
          <w:p>
            <w:pPr>
              <w:widowControl/>
              <w:jc w:val="left"/>
              <w:rPr>
                <w:rFonts w:hint="eastAsia" w:ascii="宋体" w:hAnsi="宋体" w:cs="宋体"/>
                <w:kern w:val="0"/>
                <w:sz w:val="24"/>
                <w:szCs w:val="24"/>
              </w:rPr>
            </w:pPr>
            <w:r>
              <w:rPr>
                <w:rFonts w:hint="eastAsia" w:ascii="宋体" w:hAnsi="宋体" w:cs="宋体"/>
                <w:kern w:val="0"/>
                <w:sz w:val="24"/>
                <w:szCs w:val="24"/>
              </w:rPr>
              <w:t>支持资产信息的批量导入和导出，便于安全管理和系统管理人员能方便地查找所需设备资产的信息</w:t>
            </w:r>
          </w:p>
          <w:p>
            <w:pPr>
              <w:rPr>
                <w:rFonts w:hint="eastAsia"/>
                <w:sz w:val="24"/>
                <w:szCs w:val="24"/>
              </w:rPr>
            </w:pPr>
            <w:r>
              <w:rPr>
                <w:rFonts w:hint="eastAsia"/>
                <w:sz w:val="24"/>
                <w:szCs w:val="24"/>
              </w:rPr>
              <w:t>注册用户资产时，提供自动发现识别能力；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418" w:type="dxa"/>
            <w:noWrap w:val="0"/>
            <w:vAlign w:val="center"/>
          </w:tcPr>
          <w:p>
            <w:pPr>
              <w:widowControl/>
              <w:jc w:val="left"/>
              <w:rPr>
                <w:rFonts w:ascii="宋体" w:hAnsi="宋体" w:cs="宋体"/>
                <w:kern w:val="0"/>
                <w:sz w:val="24"/>
                <w:szCs w:val="24"/>
              </w:rPr>
            </w:pPr>
            <w:r>
              <w:rPr>
                <w:rFonts w:hint="eastAsia" w:ascii="宋体" w:hAnsi="宋体" w:cs="宋体"/>
                <w:kern w:val="0"/>
                <w:sz w:val="24"/>
                <w:szCs w:val="24"/>
              </w:rPr>
              <w:t>日志统计分析</w:t>
            </w:r>
          </w:p>
        </w:tc>
        <w:tc>
          <w:tcPr>
            <w:tcW w:w="6946" w:type="dxa"/>
            <w:noWrap w:val="0"/>
            <w:vAlign w:val="center"/>
          </w:tcPr>
          <w:p>
            <w:pPr>
              <w:widowControl/>
              <w:jc w:val="left"/>
              <w:rPr>
                <w:rFonts w:ascii="宋体" w:hAnsi="宋体" w:cs="宋体"/>
                <w:kern w:val="0"/>
                <w:sz w:val="24"/>
                <w:szCs w:val="24"/>
              </w:rPr>
            </w:pPr>
            <w:r>
              <w:rPr>
                <w:rFonts w:hint="eastAsia" w:ascii="宋体" w:hAnsi="宋体" w:cs="宋体"/>
                <w:kern w:val="0"/>
                <w:sz w:val="24"/>
                <w:szCs w:val="24"/>
              </w:rPr>
              <w:t>1）</w:t>
            </w:r>
            <w:r>
              <w:rPr>
                <w:rFonts w:hint="eastAsia" w:ascii="宋体" w:hAnsi="宋体" w:cs="宋体"/>
                <w:kern w:val="0"/>
                <w:sz w:val="24"/>
                <w:szCs w:val="24"/>
              </w:rPr>
              <w:tab/>
            </w:r>
            <w:r>
              <w:rPr>
                <w:rFonts w:hint="eastAsia" w:ascii="宋体" w:hAnsi="宋体" w:cs="宋体"/>
                <w:kern w:val="0"/>
                <w:sz w:val="24"/>
                <w:szCs w:val="24"/>
              </w:rPr>
              <w:t>可自定义统计场景，统计的字段条件和时间段以及过滤器等可自由设定；</w:t>
            </w:r>
          </w:p>
          <w:p>
            <w:pPr>
              <w:widowControl/>
              <w:jc w:val="left"/>
              <w:rPr>
                <w:rFonts w:ascii="宋体" w:hAnsi="宋体" w:cs="宋体"/>
                <w:kern w:val="0"/>
                <w:sz w:val="24"/>
                <w:szCs w:val="24"/>
              </w:rPr>
            </w:pPr>
            <w:r>
              <w:rPr>
                <w:rFonts w:hint="eastAsia" w:ascii="宋体" w:hAnsi="宋体" w:cs="宋体"/>
                <w:kern w:val="0"/>
                <w:sz w:val="24"/>
                <w:szCs w:val="24"/>
              </w:rPr>
              <w:t>2）</w:t>
            </w:r>
            <w:r>
              <w:rPr>
                <w:rFonts w:hint="eastAsia" w:ascii="宋体" w:hAnsi="宋体" w:cs="宋体"/>
                <w:kern w:val="0"/>
                <w:sz w:val="24"/>
                <w:szCs w:val="24"/>
              </w:rPr>
              <w:tab/>
            </w:r>
            <w:r>
              <w:rPr>
                <w:rFonts w:hint="eastAsia" w:ascii="宋体" w:hAnsi="宋体" w:cs="宋体"/>
                <w:kern w:val="0"/>
                <w:sz w:val="24"/>
                <w:szCs w:val="24"/>
              </w:rPr>
              <w:t>支持柱状图、饼图、折线图、面积图、堆积图、环状图、数值图、地图等形式的统计信息可视化展示。</w:t>
            </w:r>
          </w:p>
          <w:p>
            <w:pPr>
              <w:widowControl/>
              <w:jc w:val="left"/>
              <w:rPr>
                <w:rFonts w:hint="eastAsia" w:ascii="宋体" w:hAnsi="宋体" w:cs="宋体"/>
                <w:kern w:val="0"/>
                <w:sz w:val="24"/>
                <w:szCs w:val="24"/>
              </w:rPr>
            </w:pPr>
            <w:r>
              <w:rPr>
                <w:rFonts w:hint="eastAsia" w:ascii="宋体" w:hAnsi="宋体" w:cs="宋体"/>
                <w:kern w:val="0"/>
                <w:sz w:val="24"/>
                <w:szCs w:val="24"/>
              </w:rPr>
              <w:t>3）</w:t>
            </w:r>
            <w:r>
              <w:rPr>
                <w:rFonts w:hint="eastAsia" w:ascii="宋体" w:hAnsi="宋体" w:cs="宋体"/>
                <w:kern w:val="0"/>
                <w:sz w:val="24"/>
                <w:szCs w:val="24"/>
              </w:rPr>
              <w:tab/>
            </w:r>
            <w:r>
              <w:rPr>
                <w:rFonts w:hint="eastAsia" w:ascii="宋体" w:hAnsi="宋体" w:cs="宋体"/>
                <w:kern w:val="0"/>
                <w:sz w:val="24"/>
                <w:szCs w:val="24"/>
              </w:rPr>
              <w:t xml:space="preserve">系统内置多种类报表模板，支持自定义审计报告； </w:t>
            </w:r>
          </w:p>
          <w:p>
            <w:pPr>
              <w:rPr>
                <w:sz w:val="24"/>
                <w:szCs w:val="24"/>
              </w:rPr>
            </w:pPr>
            <w:r>
              <w:rPr>
                <w:rFonts w:hint="eastAsia" w:ascii="宋体" w:hAnsi="宋体" w:cs="宋体"/>
                <w:kern w:val="0"/>
                <w:sz w:val="24"/>
                <w:szCs w:val="24"/>
              </w:rPr>
              <w:t>4） 支持动态\静态（日报、周报、月报）两种系统生成方式；支持导出html、Excel、PDF；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418" w:type="dxa"/>
            <w:noWrap w:val="0"/>
            <w:vAlign w:val="center"/>
          </w:tcPr>
          <w:p>
            <w:pPr>
              <w:widowControl/>
              <w:jc w:val="left"/>
              <w:rPr>
                <w:rFonts w:ascii="宋体" w:hAnsi="宋体" w:cs="宋体"/>
                <w:kern w:val="0"/>
                <w:sz w:val="24"/>
                <w:szCs w:val="24"/>
              </w:rPr>
            </w:pPr>
            <w:r>
              <w:rPr>
                <w:rFonts w:ascii="宋体" w:hAnsi="宋体" w:cs="宋体"/>
                <w:kern w:val="0"/>
                <w:sz w:val="24"/>
                <w:szCs w:val="24"/>
              </w:rPr>
              <w:t>日志查询</w:t>
            </w:r>
            <w:r>
              <w:rPr>
                <w:rFonts w:hint="eastAsia" w:ascii="宋体" w:hAnsi="宋体" w:cs="宋体"/>
                <w:kern w:val="0"/>
                <w:sz w:val="24"/>
                <w:szCs w:val="24"/>
              </w:rPr>
              <w:t xml:space="preserve"> </w:t>
            </w:r>
          </w:p>
        </w:tc>
        <w:tc>
          <w:tcPr>
            <w:tcW w:w="6946" w:type="dxa"/>
            <w:noWrap w:val="0"/>
            <w:vAlign w:val="center"/>
          </w:tcPr>
          <w:p>
            <w:pPr>
              <w:widowControl/>
              <w:jc w:val="left"/>
              <w:rPr>
                <w:rFonts w:hint="eastAsia" w:ascii="宋体" w:hAnsi="宋体" w:cs="宋体"/>
                <w:kern w:val="0"/>
                <w:sz w:val="24"/>
                <w:szCs w:val="24"/>
              </w:rPr>
            </w:pPr>
            <w:r>
              <w:rPr>
                <w:rFonts w:hint="eastAsia" w:ascii="宋体" w:hAnsi="宋体" w:cs="宋体"/>
                <w:kern w:val="0"/>
                <w:sz w:val="24"/>
                <w:szCs w:val="24"/>
              </w:rPr>
              <w:t>支持B/S模式管理，支持SSL加密模式访问；</w:t>
            </w:r>
          </w:p>
          <w:p>
            <w:pPr>
              <w:widowControl/>
              <w:jc w:val="left"/>
              <w:rPr>
                <w:rFonts w:hint="eastAsia" w:ascii="宋体" w:hAnsi="宋体" w:cs="宋体"/>
                <w:kern w:val="0"/>
                <w:sz w:val="24"/>
                <w:szCs w:val="24"/>
              </w:rPr>
            </w:pPr>
            <w:r>
              <w:rPr>
                <w:rFonts w:hint="eastAsia" w:ascii="宋体" w:hAnsi="宋体" w:cs="宋体"/>
                <w:kern w:val="0"/>
                <w:sz w:val="24"/>
                <w:szCs w:val="24"/>
              </w:rPr>
              <w:t>支持按日期、时间、设备类型、日志类型、日志来源、威胁值、源地址、目的地址、事件类型、时间范围、操作对象等参数进行过滤查询；</w:t>
            </w:r>
          </w:p>
          <w:p>
            <w:pPr>
              <w:widowControl/>
              <w:jc w:val="left"/>
              <w:rPr>
                <w:rFonts w:hint="eastAsia" w:ascii="宋体" w:hAnsi="宋体" w:cs="宋体"/>
                <w:kern w:val="0"/>
                <w:sz w:val="24"/>
                <w:szCs w:val="24"/>
              </w:rPr>
            </w:pPr>
            <w:r>
              <w:rPr>
                <w:rFonts w:hint="eastAsia" w:ascii="宋体" w:hAnsi="宋体" w:cs="宋体"/>
                <w:kern w:val="0"/>
                <w:sz w:val="24"/>
                <w:szCs w:val="24"/>
              </w:rPr>
              <w:t>支持用任意关键字对所有事件进行高性能全文检索；</w:t>
            </w:r>
          </w:p>
          <w:p>
            <w:pPr>
              <w:widowControl/>
              <w:jc w:val="left"/>
              <w:rPr>
                <w:rFonts w:hint="eastAsia" w:ascii="宋体" w:hAnsi="宋体" w:cs="宋体"/>
                <w:kern w:val="0"/>
                <w:sz w:val="24"/>
                <w:szCs w:val="24"/>
              </w:rPr>
            </w:pPr>
            <w:r>
              <w:rPr>
                <w:rFonts w:hint="eastAsia" w:ascii="宋体" w:hAnsi="宋体" w:cs="宋体"/>
                <w:kern w:val="0"/>
                <w:sz w:val="24"/>
                <w:szCs w:val="24"/>
              </w:rPr>
              <w:t>支持可指定多个查询条件进行组合查询；</w:t>
            </w:r>
          </w:p>
          <w:p>
            <w:pPr>
              <w:widowControl/>
              <w:jc w:val="left"/>
              <w:rPr>
                <w:rFonts w:hint="eastAsia" w:ascii="宋体" w:hAnsi="宋体" w:cs="宋体"/>
                <w:kern w:val="0"/>
                <w:sz w:val="24"/>
                <w:szCs w:val="24"/>
              </w:rPr>
            </w:pPr>
            <w:r>
              <w:rPr>
                <w:rFonts w:hint="eastAsia" w:ascii="宋体" w:hAnsi="宋体" w:cs="宋体"/>
                <w:kern w:val="0"/>
                <w:sz w:val="24"/>
                <w:szCs w:val="24"/>
              </w:rPr>
              <w:t>支持将查询的条件存储为查询模版，方便再次使用；</w:t>
            </w:r>
          </w:p>
          <w:p>
            <w:pPr>
              <w:widowControl/>
              <w:jc w:val="left"/>
              <w:rPr>
                <w:rFonts w:hint="eastAsia" w:ascii="宋体" w:hAnsi="宋体" w:cs="宋体"/>
                <w:kern w:val="0"/>
                <w:sz w:val="24"/>
                <w:szCs w:val="24"/>
              </w:rPr>
            </w:pPr>
            <w:r>
              <w:rPr>
                <w:rFonts w:hint="eastAsia" w:ascii="宋体" w:hAnsi="宋体" w:cs="宋体"/>
                <w:kern w:val="0"/>
                <w:sz w:val="24"/>
                <w:szCs w:val="24"/>
              </w:rPr>
              <w:t>极高的日志高查询性能，支持亿级的日志里根据做任意的关键字及其它的检索条件，在秒级里返回查询结果。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418" w:type="dxa"/>
            <w:noWrap w:val="0"/>
            <w:vAlign w:val="top"/>
          </w:tcPr>
          <w:p>
            <w:pPr>
              <w:rPr>
                <w:rFonts w:hint="eastAsia" w:ascii="宋体" w:hAnsi="宋体" w:cs="宋体"/>
                <w:kern w:val="0"/>
                <w:sz w:val="24"/>
                <w:szCs w:val="24"/>
              </w:rPr>
            </w:pPr>
            <w:r>
              <w:rPr>
                <w:rFonts w:hint="eastAsia" w:ascii="宋体" w:hAnsi="宋体" w:cs="宋体"/>
                <w:kern w:val="0"/>
                <w:sz w:val="24"/>
                <w:szCs w:val="24"/>
              </w:rPr>
              <w:t>日志备份</w:t>
            </w:r>
          </w:p>
        </w:tc>
        <w:tc>
          <w:tcPr>
            <w:tcW w:w="6946" w:type="dxa"/>
            <w:noWrap w:val="0"/>
            <w:vAlign w:val="top"/>
          </w:tcPr>
          <w:p>
            <w:pPr>
              <w:widowControl/>
              <w:rPr>
                <w:rFonts w:ascii="宋体" w:hAnsi="宋体" w:cs="宋体"/>
                <w:kern w:val="0"/>
                <w:sz w:val="24"/>
                <w:szCs w:val="24"/>
              </w:rPr>
            </w:pPr>
            <w:r>
              <w:rPr>
                <w:rFonts w:hint="eastAsia" w:ascii="宋体" w:hAnsi="宋体" w:cs="宋体"/>
                <w:kern w:val="0"/>
                <w:sz w:val="24"/>
                <w:szCs w:val="24"/>
              </w:rPr>
              <w:t>可设置日志存储备份策略；</w:t>
            </w:r>
          </w:p>
          <w:p>
            <w:pPr>
              <w:rPr>
                <w:rFonts w:hint="eastAsia" w:ascii="宋体" w:hAnsi="宋体" w:cs="宋体"/>
                <w:kern w:val="0"/>
                <w:sz w:val="24"/>
                <w:szCs w:val="24"/>
              </w:rPr>
            </w:pPr>
            <w:r>
              <w:rPr>
                <w:rFonts w:hint="eastAsia" w:ascii="宋体" w:hAnsi="宋体" w:cs="宋体"/>
                <w:kern w:val="0"/>
                <w:sz w:val="24"/>
                <w:szCs w:val="24"/>
              </w:rPr>
              <w:t>支持日志备份自动传送到远程服务器。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418" w:type="dxa"/>
            <w:noWrap w:val="0"/>
            <w:vAlign w:val="center"/>
          </w:tcPr>
          <w:p>
            <w:pPr>
              <w:widowControl/>
              <w:jc w:val="left"/>
              <w:rPr>
                <w:rFonts w:ascii="宋体" w:hAnsi="宋体" w:cs="宋体"/>
                <w:kern w:val="0"/>
                <w:sz w:val="24"/>
                <w:szCs w:val="24"/>
              </w:rPr>
            </w:pPr>
            <w:r>
              <w:rPr>
                <w:rFonts w:ascii="宋体" w:hAnsi="宋体" w:cs="宋体"/>
                <w:kern w:val="0"/>
                <w:sz w:val="24"/>
                <w:szCs w:val="24"/>
              </w:rPr>
              <w:t>用户管理</w:t>
            </w:r>
          </w:p>
        </w:tc>
        <w:tc>
          <w:tcPr>
            <w:tcW w:w="6946" w:type="dxa"/>
            <w:noWrap w:val="0"/>
            <w:vAlign w:val="center"/>
          </w:tcPr>
          <w:p>
            <w:pPr>
              <w:widowControl/>
              <w:rPr>
                <w:rFonts w:ascii="宋体" w:hAnsi="宋体" w:cs="宋体"/>
                <w:kern w:val="0"/>
                <w:sz w:val="24"/>
                <w:szCs w:val="24"/>
              </w:rPr>
            </w:pPr>
            <w:r>
              <w:rPr>
                <w:rFonts w:hint="eastAsia" w:ascii="宋体" w:hAnsi="宋体" w:cs="宋体"/>
                <w:kern w:val="0"/>
                <w:sz w:val="24"/>
                <w:szCs w:val="24"/>
              </w:rPr>
              <w:t>根据三权分立的原则和要求进行职、权分离，对系统本身进行分角色定义，如管理员只负责完成设备的初始配置，规则配置员只负责审计规则的建立，审计员只负责查看相关的审计结果及告警内容；日志员只负责完成对系统本身的用户操作日志管理；</w:t>
            </w:r>
          </w:p>
          <w:p>
            <w:pPr>
              <w:widowControl/>
              <w:rPr>
                <w:rFonts w:hint="eastAsia" w:ascii="宋体" w:hAnsi="宋体" w:cs="宋体"/>
                <w:kern w:val="0"/>
                <w:sz w:val="24"/>
                <w:szCs w:val="24"/>
              </w:rPr>
            </w:pPr>
            <w:r>
              <w:rPr>
                <w:rFonts w:hint="eastAsia" w:ascii="宋体" w:hAnsi="宋体" w:cs="宋体"/>
                <w:kern w:val="0"/>
                <w:sz w:val="24"/>
                <w:szCs w:val="24"/>
              </w:rPr>
              <w:t>系统自带自身管理日志；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418" w:type="dxa"/>
            <w:noWrap w:val="0"/>
            <w:vAlign w:val="top"/>
          </w:tcPr>
          <w:p>
            <w:pPr>
              <w:rPr>
                <w:rFonts w:hint="eastAsia"/>
                <w:sz w:val="24"/>
                <w:szCs w:val="24"/>
              </w:rPr>
            </w:pPr>
            <w:r>
              <w:rPr>
                <w:rFonts w:hint="eastAsia"/>
                <w:sz w:val="24"/>
                <w:szCs w:val="24"/>
              </w:rPr>
              <w:t>系统许可方式</w:t>
            </w:r>
          </w:p>
        </w:tc>
        <w:tc>
          <w:tcPr>
            <w:tcW w:w="6946" w:type="dxa"/>
            <w:noWrap w:val="0"/>
            <w:vAlign w:val="top"/>
          </w:tcPr>
          <w:p>
            <w:pPr>
              <w:rPr>
                <w:sz w:val="24"/>
                <w:szCs w:val="24"/>
              </w:rPr>
            </w:pPr>
            <w:r>
              <w:rPr>
                <w:rFonts w:hint="eastAsia"/>
                <w:sz w:val="24"/>
                <w:szCs w:val="24"/>
              </w:rPr>
              <w:t>▲永久许可方式，再增加审计用户的情况下不用增加授权许可；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418" w:type="dxa"/>
            <w:vMerge w:val="restart"/>
            <w:noWrap w:val="0"/>
            <w:vAlign w:val="center"/>
          </w:tcPr>
          <w:p>
            <w:pPr>
              <w:widowControl/>
              <w:jc w:val="left"/>
              <w:rPr>
                <w:rFonts w:hint="eastAsia" w:ascii="宋体" w:hAnsi="宋体" w:cs="宋体"/>
                <w:kern w:val="0"/>
                <w:sz w:val="24"/>
                <w:szCs w:val="24"/>
              </w:rPr>
            </w:pPr>
            <w:r>
              <w:rPr>
                <w:rFonts w:hint="eastAsia" w:ascii="宋体" w:hAnsi="宋体" w:cs="宋体"/>
                <w:kern w:val="0"/>
                <w:sz w:val="24"/>
                <w:szCs w:val="24"/>
              </w:rPr>
              <w:t>资质要求（提供相关资质证明）</w:t>
            </w:r>
          </w:p>
        </w:tc>
        <w:tc>
          <w:tcPr>
            <w:tcW w:w="6946" w:type="dxa"/>
            <w:noWrap w:val="0"/>
            <w:vAlign w:val="center"/>
          </w:tcPr>
          <w:p>
            <w:pPr>
              <w:widowControl/>
              <w:jc w:val="left"/>
              <w:rPr>
                <w:rFonts w:hint="eastAsia" w:ascii="宋体" w:hAnsi="宋体" w:cs="宋体"/>
                <w:kern w:val="0"/>
                <w:sz w:val="24"/>
                <w:szCs w:val="24"/>
              </w:rPr>
            </w:pPr>
            <w:r>
              <w:rPr>
                <w:rFonts w:hint="eastAsia" w:ascii="宋体" w:hAnsi="宋体" w:cs="宋体"/>
                <w:kern w:val="0"/>
                <w:sz w:val="24"/>
                <w:szCs w:val="24"/>
              </w:rPr>
              <w:t>提供《计算机软件著作权登记证书》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418" w:type="dxa"/>
            <w:vMerge w:val="continue"/>
            <w:noWrap w:val="0"/>
            <w:vAlign w:val="center"/>
          </w:tcPr>
          <w:p>
            <w:pPr>
              <w:widowControl/>
              <w:jc w:val="left"/>
              <w:rPr>
                <w:rFonts w:ascii="宋体" w:hAnsi="宋体" w:cs="宋体"/>
                <w:kern w:val="0"/>
                <w:sz w:val="24"/>
                <w:szCs w:val="24"/>
              </w:rPr>
            </w:pPr>
          </w:p>
        </w:tc>
        <w:tc>
          <w:tcPr>
            <w:tcW w:w="6946" w:type="dxa"/>
            <w:noWrap w:val="0"/>
            <w:vAlign w:val="center"/>
          </w:tcPr>
          <w:p>
            <w:pPr>
              <w:spacing w:line="273" w:lineRule="auto"/>
              <w:rPr>
                <w:rFonts w:ascii="宋体" w:hAnsi="宋体"/>
                <w:sz w:val="24"/>
                <w:szCs w:val="24"/>
              </w:rPr>
            </w:pPr>
            <w:r>
              <w:rPr>
                <w:rFonts w:hint="eastAsia" w:ascii="宋体" w:hAnsi="宋体" w:cs="宋体"/>
                <w:kern w:val="0"/>
                <w:sz w:val="24"/>
                <w:szCs w:val="24"/>
              </w:rPr>
              <w:t>公安部《计算机信息系统专用产品销售许可证》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trPr>
        <w:tc>
          <w:tcPr>
            <w:tcW w:w="1418" w:type="dxa"/>
            <w:noWrap w:val="0"/>
            <w:vAlign w:val="center"/>
          </w:tcPr>
          <w:p>
            <w:pPr>
              <w:widowControl/>
              <w:spacing w:line="276" w:lineRule="auto"/>
              <w:jc w:val="center"/>
              <w:rPr>
                <w:rFonts w:ascii="宋体" w:hAnsi="宋体" w:cs="宋体"/>
                <w:kern w:val="0"/>
                <w:sz w:val="24"/>
                <w:szCs w:val="24"/>
              </w:rPr>
            </w:pPr>
            <w:r>
              <w:rPr>
                <w:rFonts w:hint="eastAsia" w:ascii="宋体" w:hAnsi="宋体" w:cs="宋体"/>
                <w:kern w:val="0"/>
                <w:sz w:val="24"/>
                <w:szCs w:val="24"/>
              </w:rPr>
              <w:t>服务</w:t>
            </w:r>
          </w:p>
        </w:tc>
        <w:tc>
          <w:tcPr>
            <w:tcW w:w="6946" w:type="dxa"/>
            <w:noWrap w:val="0"/>
            <w:vAlign w:val="center"/>
          </w:tcPr>
          <w:p>
            <w:pPr>
              <w:spacing w:line="273" w:lineRule="auto"/>
              <w:jc w:val="left"/>
              <w:rPr>
                <w:rFonts w:ascii="宋体" w:hAnsi="宋体"/>
                <w:sz w:val="24"/>
                <w:szCs w:val="24"/>
              </w:rPr>
            </w:pPr>
            <w:r>
              <w:rPr>
                <w:rFonts w:hint="eastAsia" w:ascii="宋体" w:hAnsi="宋体" w:cs="宋体"/>
                <w:sz w:val="24"/>
              </w:rPr>
              <w:t>原厂五年质保，中标后签订合同前提供原厂商质保承诺函。</w:t>
            </w:r>
          </w:p>
        </w:tc>
      </w:tr>
    </w:tbl>
    <w:p>
      <w:pPr>
        <w:outlineLvl w:val="1"/>
        <w:rPr>
          <w:rFonts w:hint="eastAsia" w:ascii="宋体" w:hAnsi="宋体"/>
          <w:b/>
          <w:bCs/>
          <w:color w:val="000000"/>
          <w:sz w:val="24"/>
          <w:szCs w:val="24"/>
        </w:rPr>
      </w:pPr>
    </w:p>
    <w:p>
      <w:pPr>
        <w:outlineLvl w:val="1"/>
        <w:rPr>
          <w:rFonts w:ascii="宋体" w:hAnsi="宋体"/>
          <w:b/>
          <w:bCs/>
          <w:color w:val="000000"/>
          <w:sz w:val="24"/>
          <w:szCs w:val="24"/>
        </w:rPr>
      </w:pPr>
      <w:r>
        <w:rPr>
          <w:rFonts w:hint="eastAsia" w:ascii="宋体" w:hAnsi="宋体"/>
          <w:b/>
          <w:bCs/>
          <w:color w:val="000000"/>
          <w:sz w:val="24"/>
          <w:szCs w:val="24"/>
        </w:rPr>
        <w:t>26.数据库审计</w:t>
      </w:r>
    </w:p>
    <w:tbl>
      <w:tblPr>
        <w:tblStyle w:val="23"/>
        <w:tblpPr w:leftFromText="180" w:rightFromText="180" w:vertAnchor="text" w:horzAnchor="page" w:tblpX="1852" w:tblpY="617"/>
        <w:tblOverlap w:val="never"/>
        <w:tblW w:w="83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6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84" w:type="dxa"/>
            <w:noWrap w:val="0"/>
            <w:vAlign w:val="center"/>
          </w:tcPr>
          <w:p>
            <w:pPr>
              <w:widowControl/>
              <w:jc w:val="left"/>
              <w:rPr>
                <w:rFonts w:ascii="宋体" w:hAnsi="宋体"/>
                <w:b/>
                <w:sz w:val="24"/>
                <w:szCs w:val="24"/>
              </w:rPr>
            </w:pPr>
            <w:r>
              <w:rPr>
                <w:rFonts w:hint="eastAsia" w:ascii="宋体" w:hAnsi="宋体" w:cs="宋体"/>
                <w:color w:val="000000"/>
                <w:sz w:val="24"/>
                <w:szCs w:val="24"/>
              </w:rPr>
              <w:t>技术指标</w:t>
            </w:r>
          </w:p>
        </w:tc>
        <w:tc>
          <w:tcPr>
            <w:tcW w:w="6945" w:type="dxa"/>
            <w:noWrap w:val="0"/>
            <w:vAlign w:val="center"/>
          </w:tcPr>
          <w:p>
            <w:pPr>
              <w:widowControl/>
              <w:jc w:val="center"/>
              <w:rPr>
                <w:rFonts w:ascii="宋体" w:hAnsi="宋体"/>
                <w:b/>
                <w:sz w:val="24"/>
                <w:szCs w:val="24"/>
              </w:rPr>
            </w:pPr>
            <w:r>
              <w:rPr>
                <w:rFonts w:hint="eastAsia" w:ascii="宋体" w:hAnsi="宋体" w:cs="宋体"/>
                <w:color w:val="000000"/>
                <w:sz w:val="24"/>
                <w:szCs w:val="24"/>
              </w:rPr>
              <w:t>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84" w:type="dxa"/>
            <w:vMerge w:val="restart"/>
            <w:noWrap w:val="0"/>
            <w:vAlign w:val="center"/>
          </w:tcPr>
          <w:p>
            <w:pPr>
              <w:jc w:val="left"/>
              <w:rPr>
                <w:rFonts w:ascii="宋体" w:hAnsi="宋体" w:cs="Arial"/>
                <w:sz w:val="24"/>
                <w:szCs w:val="24"/>
              </w:rPr>
            </w:pPr>
            <w:r>
              <w:rPr>
                <w:rFonts w:hint="eastAsia" w:ascii="宋体" w:hAnsi="宋体"/>
                <w:b/>
                <w:sz w:val="24"/>
                <w:szCs w:val="24"/>
              </w:rPr>
              <w:t>▲</w:t>
            </w:r>
            <w:r>
              <w:rPr>
                <w:rFonts w:hint="eastAsia" w:ascii="宋体" w:hAnsi="宋体" w:cs="Arial"/>
                <w:sz w:val="24"/>
                <w:szCs w:val="24"/>
              </w:rPr>
              <w:t>硬件规格</w:t>
            </w:r>
          </w:p>
        </w:tc>
        <w:tc>
          <w:tcPr>
            <w:tcW w:w="6945" w:type="dxa"/>
            <w:noWrap w:val="0"/>
            <w:vAlign w:val="center"/>
          </w:tcPr>
          <w:p>
            <w:pPr>
              <w:jc w:val="left"/>
              <w:rPr>
                <w:rFonts w:ascii="宋体" w:hAnsi="宋体" w:cs="Arial"/>
                <w:color w:val="000000"/>
                <w:sz w:val="24"/>
                <w:szCs w:val="24"/>
              </w:rPr>
            </w:pPr>
            <w:r>
              <w:rPr>
                <w:rFonts w:hint="eastAsia" w:ascii="宋体" w:hAnsi="宋体" w:cs="Arial"/>
                <w:color w:val="000000"/>
                <w:sz w:val="24"/>
                <w:szCs w:val="24"/>
              </w:rPr>
              <w:t>CPU规格≥4核，内存≥16GB；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84" w:type="dxa"/>
            <w:vMerge w:val="continue"/>
            <w:noWrap w:val="0"/>
            <w:vAlign w:val="center"/>
          </w:tcPr>
          <w:p>
            <w:pPr>
              <w:jc w:val="left"/>
              <w:rPr>
                <w:rFonts w:ascii="宋体" w:hAnsi="宋体" w:cs="Arial"/>
                <w:sz w:val="24"/>
                <w:szCs w:val="24"/>
              </w:rPr>
            </w:pPr>
          </w:p>
        </w:tc>
        <w:tc>
          <w:tcPr>
            <w:tcW w:w="6945" w:type="dxa"/>
            <w:noWrap w:val="0"/>
            <w:vAlign w:val="center"/>
          </w:tcPr>
          <w:p>
            <w:pPr>
              <w:jc w:val="left"/>
              <w:rPr>
                <w:rFonts w:ascii="宋体" w:hAnsi="宋体" w:cs="Arial"/>
                <w:color w:val="000000"/>
                <w:sz w:val="24"/>
                <w:szCs w:val="24"/>
              </w:rPr>
            </w:pPr>
            <w:r>
              <w:rPr>
                <w:rFonts w:hint="eastAsia" w:ascii="宋体" w:hAnsi="宋体" w:cs="Arial"/>
                <w:color w:val="000000"/>
                <w:sz w:val="24"/>
                <w:szCs w:val="24"/>
              </w:rPr>
              <w:t>要求≥4个10/100/1000千兆电口，≥</w:t>
            </w:r>
            <w:r>
              <w:rPr>
                <w:rFonts w:ascii="宋体" w:hAnsi="宋体" w:cs="Arial"/>
                <w:color w:val="000000"/>
                <w:sz w:val="24"/>
                <w:szCs w:val="24"/>
              </w:rPr>
              <w:t>2</w:t>
            </w:r>
            <w:r>
              <w:rPr>
                <w:rFonts w:hint="eastAsia" w:ascii="宋体" w:hAnsi="宋体" w:cs="Arial"/>
                <w:color w:val="000000"/>
                <w:sz w:val="24"/>
                <w:szCs w:val="24"/>
              </w:rPr>
              <w:t>个千兆光口，支持监听接口扩展</w:t>
            </w:r>
            <w:r>
              <w:rPr>
                <w:rFonts w:ascii="宋体" w:hAnsi="宋体" w:cs="Arial"/>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84" w:type="dxa"/>
            <w:vMerge w:val="continue"/>
            <w:noWrap w:val="0"/>
            <w:vAlign w:val="center"/>
          </w:tcPr>
          <w:p>
            <w:pPr>
              <w:jc w:val="left"/>
              <w:rPr>
                <w:rFonts w:ascii="宋体" w:hAnsi="宋体" w:cs="Arial"/>
                <w:sz w:val="24"/>
                <w:szCs w:val="24"/>
              </w:rPr>
            </w:pPr>
          </w:p>
        </w:tc>
        <w:tc>
          <w:tcPr>
            <w:tcW w:w="6945" w:type="dxa"/>
            <w:noWrap w:val="0"/>
            <w:vAlign w:val="center"/>
          </w:tcPr>
          <w:p>
            <w:pPr>
              <w:jc w:val="left"/>
              <w:rPr>
                <w:rFonts w:ascii="宋体" w:hAnsi="宋体" w:cs="Arial"/>
                <w:color w:val="000000"/>
                <w:sz w:val="24"/>
                <w:szCs w:val="24"/>
              </w:rPr>
            </w:pPr>
            <w:r>
              <w:rPr>
                <w:rFonts w:hint="eastAsia" w:ascii="宋体" w:hAnsi="宋体" w:cs="Arial"/>
                <w:color w:val="000000"/>
                <w:sz w:val="24"/>
                <w:szCs w:val="24"/>
              </w:rPr>
              <w:t>系统内置≥</w:t>
            </w:r>
            <w:r>
              <w:rPr>
                <w:rFonts w:ascii="宋体" w:hAnsi="宋体" w:cs="Arial"/>
                <w:color w:val="000000"/>
                <w:sz w:val="24"/>
                <w:szCs w:val="24"/>
              </w:rPr>
              <w:t>4</w:t>
            </w:r>
            <w:r>
              <w:rPr>
                <w:rFonts w:hint="eastAsia" w:ascii="宋体" w:hAnsi="宋体" w:cs="Arial"/>
                <w:color w:val="000000"/>
                <w:sz w:val="24"/>
                <w:szCs w:val="24"/>
              </w:rPr>
              <w:t>TB硬盘，</w:t>
            </w:r>
            <w:r>
              <w:rPr>
                <w:rFonts w:hint="eastAsia" w:ascii="宋体" w:hAnsi="宋体" w:cs="Arial"/>
                <w:sz w:val="24"/>
                <w:szCs w:val="24"/>
              </w:rPr>
              <w:t>支持外部网络存储或硬盘扩展；</w:t>
            </w:r>
            <w:r>
              <w:rPr>
                <w:rFonts w:ascii="宋体" w:hAnsi="宋体" w:cs="Arial"/>
                <w:color w:val="000000"/>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84" w:type="dxa"/>
            <w:vMerge w:val="restart"/>
            <w:noWrap w:val="0"/>
            <w:vAlign w:val="center"/>
          </w:tcPr>
          <w:p>
            <w:pPr>
              <w:jc w:val="left"/>
              <w:rPr>
                <w:rFonts w:ascii="宋体" w:hAnsi="宋体" w:cs="Arial"/>
                <w:sz w:val="24"/>
                <w:szCs w:val="24"/>
              </w:rPr>
            </w:pPr>
            <w:r>
              <w:rPr>
                <w:rFonts w:hint="eastAsia" w:ascii="宋体" w:hAnsi="宋体" w:cs="Arial"/>
                <w:sz w:val="24"/>
                <w:szCs w:val="24"/>
              </w:rPr>
              <w:t>性能要求</w:t>
            </w:r>
          </w:p>
        </w:tc>
        <w:tc>
          <w:tcPr>
            <w:tcW w:w="6945" w:type="dxa"/>
            <w:noWrap w:val="0"/>
            <w:vAlign w:val="center"/>
          </w:tcPr>
          <w:p>
            <w:pPr>
              <w:jc w:val="left"/>
              <w:rPr>
                <w:rFonts w:ascii="宋体" w:hAnsi="宋体" w:cs="Arial"/>
                <w:color w:val="000000"/>
                <w:sz w:val="24"/>
                <w:szCs w:val="24"/>
              </w:rPr>
            </w:pPr>
            <w:r>
              <w:rPr>
                <w:rFonts w:hint="eastAsia" w:ascii="宋体" w:hAnsi="宋体" w:cs="Arial"/>
                <w:color w:val="000000"/>
                <w:sz w:val="24"/>
                <w:szCs w:val="24"/>
              </w:rPr>
              <w:t>事件处理数≥</w:t>
            </w:r>
            <w:r>
              <w:rPr>
                <w:rFonts w:ascii="宋体" w:hAnsi="宋体" w:cs="Arial"/>
                <w:color w:val="000000"/>
                <w:sz w:val="24"/>
                <w:szCs w:val="24"/>
              </w:rPr>
              <w:t>2</w:t>
            </w:r>
            <w:r>
              <w:rPr>
                <w:rFonts w:hint="eastAsia" w:ascii="宋体" w:hAnsi="宋体" w:cs="Arial"/>
                <w:color w:val="000000"/>
                <w:sz w:val="24"/>
                <w:szCs w:val="24"/>
              </w:rPr>
              <w:t>0000条/秒</w:t>
            </w:r>
            <w:r>
              <w:rPr>
                <w:rFonts w:hint="eastAsia" w:ascii="宋体" w:hAnsi="宋体" w:cs="Arial"/>
                <w:color w:val="000000"/>
                <w:sz w:val="24"/>
                <w:szCs w:val="24"/>
              </w:rPr>
              <w:tab/>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84" w:type="dxa"/>
            <w:vMerge w:val="continue"/>
            <w:noWrap w:val="0"/>
            <w:vAlign w:val="center"/>
          </w:tcPr>
          <w:p>
            <w:pPr>
              <w:jc w:val="left"/>
              <w:rPr>
                <w:rFonts w:hint="eastAsia" w:ascii="宋体" w:hAnsi="宋体" w:cs="Arial"/>
                <w:sz w:val="24"/>
                <w:szCs w:val="24"/>
              </w:rPr>
            </w:pPr>
          </w:p>
        </w:tc>
        <w:tc>
          <w:tcPr>
            <w:tcW w:w="6945" w:type="dxa"/>
            <w:noWrap w:val="0"/>
            <w:vAlign w:val="center"/>
          </w:tcPr>
          <w:p>
            <w:pPr>
              <w:jc w:val="left"/>
              <w:rPr>
                <w:rFonts w:hint="eastAsia" w:ascii="宋体" w:hAnsi="宋体" w:cs="Arial"/>
                <w:color w:val="000000"/>
                <w:sz w:val="24"/>
                <w:szCs w:val="24"/>
              </w:rPr>
            </w:pPr>
            <w:r>
              <w:rPr>
                <w:rFonts w:hint="eastAsia" w:ascii="宋体" w:hAnsi="宋体" w:cs="Arial"/>
                <w:color w:val="000000"/>
                <w:sz w:val="24"/>
                <w:szCs w:val="24"/>
              </w:rPr>
              <w:t>★不限制审计数据库实例数量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84" w:type="dxa"/>
            <w:vMerge w:val="continue"/>
            <w:noWrap w:val="0"/>
            <w:vAlign w:val="center"/>
          </w:tcPr>
          <w:p>
            <w:pPr>
              <w:jc w:val="left"/>
              <w:rPr>
                <w:rFonts w:ascii="宋体" w:hAnsi="宋体" w:cs="Arial"/>
                <w:sz w:val="24"/>
                <w:szCs w:val="24"/>
              </w:rPr>
            </w:pPr>
          </w:p>
        </w:tc>
        <w:tc>
          <w:tcPr>
            <w:tcW w:w="6945" w:type="dxa"/>
            <w:noWrap w:val="0"/>
            <w:vAlign w:val="center"/>
          </w:tcPr>
          <w:p>
            <w:pPr>
              <w:jc w:val="left"/>
              <w:rPr>
                <w:rFonts w:ascii="宋体" w:hAnsi="宋体" w:cs="Arial"/>
                <w:color w:val="000000"/>
                <w:sz w:val="24"/>
                <w:szCs w:val="24"/>
              </w:rPr>
            </w:pPr>
            <w:r>
              <w:rPr>
                <w:rFonts w:hint="eastAsia" w:ascii="宋体" w:hAnsi="宋体" w:cs="Arial"/>
                <w:color w:val="000000"/>
                <w:sz w:val="24"/>
                <w:szCs w:val="24"/>
              </w:rPr>
              <w:t>1GB事件量查询平均响应时间不超过10秒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84" w:type="dxa"/>
            <w:vMerge w:val="restart"/>
            <w:noWrap w:val="0"/>
            <w:vAlign w:val="center"/>
          </w:tcPr>
          <w:p>
            <w:pPr>
              <w:jc w:val="left"/>
              <w:rPr>
                <w:rFonts w:ascii="宋体" w:hAnsi="宋体" w:cs="Arial"/>
                <w:sz w:val="24"/>
                <w:szCs w:val="24"/>
              </w:rPr>
            </w:pPr>
            <w:r>
              <w:rPr>
                <w:rFonts w:hint="eastAsia" w:ascii="宋体" w:hAnsi="宋体" w:cs="Arial"/>
                <w:sz w:val="24"/>
                <w:szCs w:val="24"/>
              </w:rPr>
              <w:t>部署管理</w:t>
            </w:r>
          </w:p>
        </w:tc>
        <w:tc>
          <w:tcPr>
            <w:tcW w:w="6945" w:type="dxa"/>
            <w:noWrap w:val="0"/>
            <w:vAlign w:val="center"/>
          </w:tcPr>
          <w:p>
            <w:pPr>
              <w:jc w:val="left"/>
              <w:rPr>
                <w:rFonts w:ascii="宋体" w:hAnsi="宋体" w:cs="Arial"/>
                <w:color w:val="000000"/>
                <w:sz w:val="24"/>
                <w:szCs w:val="24"/>
              </w:rPr>
            </w:pPr>
            <w:r>
              <w:rPr>
                <w:rFonts w:hint="eastAsia" w:ascii="宋体" w:hAnsi="宋体" w:cs="Arial"/>
                <w:color w:val="000000"/>
                <w:sz w:val="24"/>
                <w:szCs w:val="24"/>
              </w:rPr>
              <w:t>采用旁路部署方式对原有网络不造成影响，网络审计产品的故障不影响被审计系统的正常运行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84" w:type="dxa"/>
            <w:vMerge w:val="continue"/>
            <w:noWrap w:val="0"/>
            <w:vAlign w:val="center"/>
          </w:tcPr>
          <w:p>
            <w:pPr>
              <w:jc w:val="left"/>
              <w:rPr>
                <w:rFonts w:ascii="宋体" w:hAnsi="宋体" w:cs="Arial"/>
                <w:sz w:val="24"/>
                <w:szCs w:val="24"/>
              </w:rPr>
            </w:pPr>
          </w:p>
        </w:tc>
        <w:tc>
          <w:tcPr>
            <w:tcW w:w="6945" w:type="dxa"/>
            <w:noWrap w:val="0"/>
            <w:vAlign w:val="center"/>
          </w:tcPr>
          <w:p>
            <w:pPr>
              <w:jc w:val="left"/>
              <w:rPr>
                <w:rFonts w:ascii="宋体" w:hAnsi="宋体" w:cs="Arial"/>
                <w:color w:val="000000"/>
                <w:sz w:val="24"/>
                <w:szCs w:val="24"/>
              </w:rPr>
            </w:pPr>
            <w:r>
              <w:rPr>
                <w:rFonts w:hint="eastAsia" w:ascii="宋体" w:hAnsi="宋体" w:cs="Arial"/>
                <w:color w:val="000000"/>
                <w:sz w:val="24"/>
                <w:szCs w:val="24"/>
              </w:rPr>
              <w:t>采用B/S管理方式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84" w:type="dxa"/>
            <w:vMerge w:val="continue"/>
            <w:noWrap w:val="0"/>
            <w:vAlign w:val="center"/>
          </w:tcPr>
          <w:p>
            <w:pPr>
              <w:jc w:val="left"/>
              <w:rPr>
                <w:rFonts w:ascii="宋体" w:hAnsi="宋体" w:cs="Arial"/>
                <w:sz w:val="24"/>
                <w:szCs w:val="24"/>
              </w:rPr>
            </w:pPr>
          </w:p>
        </w:tc>
        <w:tc>
          <w:tcPr>
            <w:tcW w:w="6945" w:type="dxa"/>
            <w:noWrap w:val="0"/>
            <w:vAlign w:val="center"/>
          </w:tcPr>
          <w:p>
            <w:pPr>
              <w:jc w:val="left"/>
              <w:rPr>
                <w:rFonts w:ascii="宋体" w:hAnsi="宋体" w:cs="Arial"/>
                <w:color w:val="000000"/>
                <w:sz w:val="24"/>
                <w:szCs w:val="24"/>
              </w:rPr>
            </w:pPr>
            <w:r>
              <w:rPr>
                <w:rFonts w:hint="eastAsia" w:ascii="宋体" w:hAnsi="宋体" w:cs="Arial"/>
                <w:color w:val="000000"/>
                <w:sz w:val="24"/>
                <w:szCs w:val="24"/>
              </w:rPr>
              <w:t>无需在被审计系统上安装任何代理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84" w:type="dxa"/>
            <w:vMerge w:val="restart"/>
            <w:noWrap w:val="0"/>
            <w:vAlign w:val="center"/>
          </w:tcPr>
          <w:p>
            <w:pPr>
              <w:jc w:val="left"/>
              <w:rPr>
                <w:rFonts w:ascii="宋体" w:hAnsi="宋体" w:cs="Arial"/>
                <w:sz w:val="24"/>
                <w:szCs w:val="24"/>
              </w:rPr>
            </w:pPr>
            <w:r>
              <w:rPr>
                <w:rFonts w:hint="eastAsia" w:ascii="宋体" w:hAnsi="宋体" w:cs="Arial"/>
                <w:sz w:val="24"/>
                <w:szCs w:val="24"/>
              </w:rPr>
              <w:t>数据库审计支持</w:t>
            </w:r>
          </w:p>
        </w:tc>
        <w:tc>
          <w:tcPr>
            <w:tcW w:w="6945" w:type="dxa"/>
            <w:noWrap w:val="0"/>
            <w:vAlign w:val="center"/>
          </w:tcPr>
          <w:p>
            <w:pPr>
              <w:jc w:val="left"/>
              <w:rPr>
                <w:rFonts w:ascii="宋体" w:hAnsi="宋体" w:cs="Arial"/>
                <w:color w:val="000000"/>
                <w:sz w:val="24"/>
                <w:szCs w:val="24"/>
              </w:rPr>
            </w:pPr>
            <w:r>
              <w:rPr>
                <w:rFonts w:hint="eastAsia" w:ascii="宋体" w:hAnsi="宋体" w:cs="Arial"/>
                <w:color w:val="000000"/>
                <w:sz w:val="24"/>
                <w:szCs w:val="24"/>
              </w:rPr>
              <w:t>支持包括MS SQL Server、Oracle、DB2、Sybase、MySQL、Informix、六种主流数据库审计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84" w:type="dxa"/>
            <w:vMerge w:val="continue"/>
            <w:noWrap w:val="0"/>
            <w:vAlign w:val="center"/>
          </w:tcPr>
          <w:p>
            <w:pPr>
              <w:jc w:val="left"/>
              <w:rPr>
                <w:rFonts w:hint="eastAsia" w:ascii="宋体" w:hAnsi="宋体" w:cs="Arial"/>
                <w:sz w:val="24"/>
                <w:szCs w:val="24"/>
              </w:rPr>
            </w:pPr>
          </w:p>
        </w:tc>
        <w:tc>
          <w:tcPr>
            <w:tcW w:w="6945" w:type="dxa"/>
            <w:noWrap w:val="0"/>
            <w:vAlign w:val="center"/>
          </w:tcPr>
          <w:p>
            <w:pPr>
              <w:jc w:val="left"/>
              <w:rPr>
                <w:rFonts w:hint="eastAsia" w:ascii="宋体" w:hAnsi="宋体" w:cs="Arial"/>
                <w:color w:val="000000"/>
                <w:sz w:val="24"/>
                <w:szCs w:val="24"/>
              </w:rPr>
            </w:pPr>
            <w:r>
              <w:rPr>
                <w:rFonts w:hint="eastAsia" w:ascii="宋体" w:hAnsi="宋体" w:cs="Arial"/>
                <w:color w:val="000000"/>
                <w:sz w:val="24"/>
                <w:szCs w:val="24"/>
              </w:rPr>
              <w:t>支持PostgreSQL、HANA、Teradata、Cache、人大金仓、达梦、南大通用数据库审计；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84" w:type="dxa"/>
            <w:vMerge w:val="continue"/>
            <w:noWrap w:val="0"/>
            <w:vAlign w:val="center"/>
          </w:tcPr>
          <w:p>
            <w:pPr>
              <w:jc w:val="left"/>
              <w:rPr>
                <w:rFonts w:hint="eastAsia" w:ascii="宋体" w:hAnsi="宋体" w:cs="Arial"/>
                <w:sz w:val="24"/>
                <w:szCs w:val="24"/>
              </w:rPr>
            </w:pPr>
          </w:p>
        </w:tc>
        <w:tc>
          <w:tcPr>
            <w:tcW w:w="6945" w:type="dxa"/>
            <w:noWrap w:val="0"/>
            <w:vAlign w:val="center"/>
          </w:tcPr>
          <w:p>
            <w:pPr>
              <w:jc w:val="left"/>
              <w:rPr>
                <w:rFonts w:hint="eastAsia" w:ascii="宋体" w:hAnsi="宋体" w:cs="Arial"/>
                <w:color w:val="000000"/>
                <w:sz w:val="24"/>
                <w:szCs w:val="24"/>
              </w:rPr>
            </w:pPr>
            <w:r>
              <w:rPr>
                <w:rFonts w:hint="eastAsia" w:ascii="宋体" w:hAnsi="宋体" w:cs="Arial"/>
                <w:color w:val="000000"/>
                <w:sz w:val="24"/>
                <w:szCs w:val="24"/>
              </w:rPr>
              <w:t>支持MongoDB、Hbase非关系型数据库审计；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84" w:type="dxa"/>
            <w:vMerge w:val="continue"/>
            <w:noWrap w:val="0"/>
            <w:vAlign w:val="center"/>
          </w:tcPr>
          <w:p>
            <w:pPr>
              <w:jc w:val="left"/>
              <w:rPr>
                <w:rFonts w:hint="eastAsia" w:ascii="宋体" w:hAnsi="宋体" w:cs="Arial"/>
                <w:sz w:val="24"/>
                <w:szCs w:val="24"/>
              </w:rPr>
            </w:pPr>
          </w:p>
        </w:tc>
        <w:tc>
          <w:tcPr>
            <w:tcW w:w="6945" w:type="dxa"/>
            <w:noWrap w:val="0"/>
            <w:vAlign w:val="center"/>
          </w:tcPr>
          <w:p>
            <w:pPr>
              <w:jc w:val="left"/>
              <w:rPr>
                <w:rFonts w:hint="eastAsia" w:ascii="宋体" w:hAnsi="宋体" w:cs="Arial"/>
                <w:color w:val="000000"/>
                <w:sz w:val="24"/>
                <w:szCs w:val="24"/>
              </w:rPr>
            </w:pPr>
            <w:r>
              <w:rPr>
                <w:rFonts w:hint="eastAsia" w:ascii="宋体" w:hAnsi="宋体" w:cs="Arial"/>
                <w:color w:val="000000"/>
                <w:sz w:val="24"/>
                <w:szCs w:val="24"/>
              </w:rPr>
              <w:t>★支持在目标数据库安装agent解决云环境、虚拟化环境内部流量无法镜像场景下数据库的审计，并提供证明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84" w:type="dxa"/>
            <w:vMerge w:val="continue"/>
            <w:noWrap w:val="0"/>
            <w:vAlign w:val="center"/>
          </w:tcPr>
          <w:p>
            <w:pPr>
              <w:jc w:val="left"/>
              <w:rPr>
                <w:rFonts w:ascii="宋体" w:hAnsi="宋体" w:cs="Arial"/>
                <w:sz w:val="24"/>
                <w:szCs w:val="24"/>
              </w:rPr>
            </w:pPr>
          </w:p>
        </w:tc>
        <w:tc>
          <w:tcPr>
            <w:tcW w:w="6945" w:type="dxa"/>
            <w:noWrap w:val="0"/>
            <w:vAlign w:val="center"/>
          </w:tcPr>
          <w:p>
            <w:pPr>
              <w:jc w:val="left"/>
              <w:rPr>
                <w:rFonts w:ascii="宋体" w:hAnsi="宋体" w:cs="Arial"/>
                <w:color w:val="000000"/>
                <w:sz w:val="24"/>
                <w:szCs w:val="24"/>
              </w:rPr>
            </w:pPr>
            <w:r>
              <w:rPr>
                <w:rFonts w:hint="eastAsia" w:ascii="宋体" w:hAnsi="宋体" w:cs="Arial"/>
                <w:color w:val="000000"/>
                <w:sz w:val="24"/>
                <w:szCs w:val="24"/>
              </w:rPr>
              <w:t>可审计数据库的DDL(创建、修改、删除)，DML(新增、更新、删除、查询)，DCL(授权、取消权限、拒绝)和其它(事物控制、执行、set、show、use、desc、备份恢复、导入导出、应答、dbcc、声明、其它操作),用户登录注销等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84" w:type="dxa"/>
            <w:vMerge w:val="continue"/>
            <w:noWrap w:val="0"/>
            <w:vAlign w:val="center"/>
          </w:tcPr>
          <w:p>
            <w:pPr>
              <w:jc w:val="left"/>
              <w:rPr>
                <w:rFonts w:ascii="宋体" w:hAnsi="宋体" w:cs="Arial"/>
                <w:sz w:val="24"/>
                <w:szCs w:val="24"/>
              </w:rPr>
            </w:pPr>
          </w:p>
        </w:tc>
        <w:tc>
          <w:tcPr>
            <w:tcW w:w="6945" w:type="dxa"/>
            <w:noWrap w:val="0"/>
            <w:vAlign w:val="center"/>
          </w:tcPr>
          <w:p>
            <w:pPr>
              <w:jc w:val="left"/>
              <w:rPr>
                <w:rFonts w:ascii="宋体" w:hAnsi="宋体" w:cs="Arial"/>
                <w:color w:val="000000"/>
                <w:sz w:val="24"/>
                <w:szCs w:val="24"/>
              </w:rPr>
            </w:pPr>
            <w:r>
              <w:rPr>
                <w:rFonts w:hint="eastAsia" w:ascii="宋体" w:hAnsi="宋体"/>
                <w:sz w:val="24"/>
                <w:szCs w:val="24"/>
              </w:rPr>
              <w:t>支持审计HTTP/HTTPS协议的URL、访问模式、cookie、页面内容、Post内容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84" w:type="dxa"/>
            <w:vMerge w:val="continue"/>
            <w:noWrap w:val="0"/>
            <w:vAlign w:val="center"/>
          </w:tcPr>
          <w:p>
            <w:pPr>
              <w:jc w:val="left"/>
              <w:rPr>
                <w:rFonts w:ascii="宋体" w:hAnsi="宋体" w:cs="Arial"/>
                <w:sz w:val="24"/>
                <w:szCs w:val="24"/>
              </w:rPr>
            </w:pPr>
          </w:p>
        </w:tc>
        <w:tc>
          <w:tcPr>
            <w:tcW w:w="6945" w:type="dxa"/>
            <w:noWrap w:val="0"/>
            <w:vAlign w:val="center"/>
          </w:tcPr>
          <w:p>
            <w:pPr>
              <w:jc w:val="left"/>
              <w:rPr>
                <w:rFonts w:hint="eastAsia" w:ascii="宋体" w:hAnsi="宋体"/>
                <w:sz w:val="24"/>
                <w:szCs w:val="24"/>
              </w:rPr>
            </w:pPr>
            <w:r>
              <w:rPr>
                <w:rFonts w:hint="eastAsia" w:ascii="宋体" w:hAnsi="宋体" w:cs="Arial"/>
                <w:color w:val="000000"/>
                <w:sz w:val="24"/>
                <w:szCs w:val="24"/>
              </w:rPr>
              <w:t>可审计内容细化到库、表、记录、用户、存储过程、函数等，审计内容包含sql参数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84" w:type="dxa"/>
            <w:vMerge w:val="continue"/>
            <w:noWrap w:val="0"/>
            <w:vAlign w:val="center"/>
          </w:tcPr>
          <w:p>
            <w:pPr>
              <w:jc w:val="left"/>
              <w:rPr>
                <w:rFonts w:ascii="宋体" w:hAnsi="宋体" w:cs="Arial"/>
                <w:sz w:val="24"/>
                <w:szCs w:val="24"/>
              </w:rPr>
            </w:pPr>
          </w:p>
        </w:tc>
        <w:tc>
          <w:tcPr>
            <w:tcW w:w="6945" w:type="dxa"/>
            <w:noWrap w:val="0"/>
            <w:vAlign w:val="center"/>
          </w:tcPr>
          <w:p>
            <w:pPr>
              <w:jc w:val="left"/>
              <w:rPr>
                <w:rFonts w:ascii="宋体" w:hAnsi="宋体" w:cs="Arial"/>
                <w:color w:val="000000"/>
                <w:sz w:val="24"/>
                <w:szCs w:val="24"/>
              </w:rPr>
            </w:pPr>
            <w:r>
              <w:rPr>
                <w:rFonts w:hint="eastAsia" w:ascii="宋体" w:hAnsi="宋体" w:cs="Arial"/>
                <w:color w:val="000000"/>
                <w:sz w:val="24"/>
                <w:szCs w:val="24"/>
              </w:rPr>
              <w:t>支持与堡垒主机自动关联审计通过ssh、rdp等加密协议操作数据库行为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84" w:type="dxa"/>
            <w:vMerge w:val="restart"/>
            <w:noWrap w:val="0"/>
            <w:vAlign w:val="center"/>
          </w:tcPr>
          <w:p>
            <w:pPr>
              <w:jc w:val="left"/>
              <w:rPr>
                <w:rFonts w:ascii="宋体" w:hAnsi="宋体" w:cs="Arial"/>
                <w:sz w:val="24"/>
                <w:szCs w:val="24"/>
              </w:rPr>
            </w:pPr>
            <w:r>
              <w:rPr>
                <w:rFonts w:hint="eastAsia" w:ascii="宋体" w:hAnsi="宋体" w:cs="Arial"/>
                <w:sz w:val="24"/>
                <w:szCs w:val="24"/>
              </w:rPr>
              <w:t>审计能力</w:t>
            </w:r>
          </w:p>
        </w:tc>
        <w:tc>
          <w:tcPr>
            <w:tcW w:w="6945" w:type="dxa"/>
            <w:noWrap w:val="0"/>
            <w:vAlign w:val="center"/>
          </w:tcPr>
          <w:p>
            <w:pPr>
              <w:jc w:val="left"/>
              <w:rPr>
                <w:rFonts w:ascii="宋体" w:hAnsi="宋体" w:cs="Arial"/>
                <w:sz w:val="24"/>
                <w:szCs w:val="24"/>
              </w:rPr>
            </w:pPr>
            <w:r>
              <w:rPr>
                <w:rFonts w:hint="eastAsia" w:ascii="宋体" w:hAnsi="宋体" w:cs="Arial"/>
                <w:sz w:val="24"/>
                <w:szCs w:val="24"/>
              </w:rPr>
              <w:t>支持数据库绑定变量审计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84" w:type="dxa"/>
            <w:vMerge w:val="continue"/>
            <w:noWrap w:val="0"/>
            <w:vAlign w:val="center"/>
          </w:tcPr>
          <w:p>
            <w:pPr>
              <w:jc w:val="left"/>
              <w:rPr>
                <w:rFonts w:ascii="宋体" w:hAnsi="宋体" w:cs="Arial"/>
                <w:sz w:val="24"/>
                <w:szCs w:val="24"/>
              </w:rPr>
            </w:pPr>
          </w:p>
        </w:tc>
        <w:tc>
          <w:tcPr>
            <w:tcW w:w="6945" w:type="dxa"/>
            <w:noWrap w:val="0"/>
            <w:vAlign w:val="center"/>
          </w:tcPr>
          <w:p>
            <w:pPr>
              <w:jc w:val="left"/>
              <w:rPr>
                <w:rFonts w:ascii="宋体" w:hAnsi="宋体" w:cs="Arial"/>
                <w:sz w:val="24"/>
                <w:szCs w:val="24"/>
              </w:rPr>
            </w:pPr>
            <w:r>
              <w:rPr>
                <w:rFonts w:hint="eastAsia" w:ascii="宋体" w:hAnsi="宋体" w:cs="Arial"/>
                <w:sz w:val="24"/>
                <w:szCs w:val="24"/>
              </w:rPr>
              <w:t>支持访问数据库的源主机名、源主机用户的审计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84" w:type="dxa"/>
            <w:vMerge w:val="continue"/>
            <w:noWrap w:val="0"/>
            <w:vAlign w:val="center"/>
          </w:tcPr>
          <w:p>
            <w:pPr>
              <w:jc w:val="left"/>
              <w:rPr>
                <w:rFonts w:ascii="宋体" w:hAnsi="宋体" w:cs="Arial"/>
                <w:sz w:val="24"/>
                <w:szCs w:val="24"/>
              </w:rPr>
            </w:pPr>
          </w:p>
        </w:tc>
        <w:tc>
          <w:tcPr>
            <w:tcW w:w="6945" w:type="dxa"/>
            <w:noWrap w:val="0"/>
            <w:vAlign w:val="center"/>
          </w:tcPr>
          <w:p>
            <w:pPr>
              <w:jc w:val="left"/>
              <w:rPr>
                <w:rFonts w:ascii="宋体" w:hAnsi="宋体" w:cs="Arial"/>
                <w:sz w:val="24"/>
                <w:szCs w:val="24"/>
              </w:rPr>
            </w:pPr>
            <w:r>
              <w:rPr>
                <w:rFonts w:hint="eastAsia" w:ascii="宋体" w:hAnsi="宋体" w:cs="Arial"/>
                <w:sz w:val="24"/>
                <w:szCs w:val="24"/>
              </w:rPr>
              <w:t xml:space="preserve">支持SQL操作响应时间的审计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84" w:type="dxa"/>
            <w:vMerge w:val="continue"/>
            <w:noWrap w:val="0"/>
            <w:vAlign w:val="center"/>
          </w:tcPr>
          <w:p>
            <w:pPr>
              <w:jc w:val="left"/>
              <w:rPr>
                <w:rFonts w:ascii="宋体" w:hAnsi="宋体" w:cs="Arial"/>
                <w:sz w:val="24"/>
                <w:szCs w:val="24"/>
              </w:rPr>
            </w:pPr>
          </w:p>
        </w:tc>
        <w:tc>
          <w:tcPr>
            <w:tcW w:w="6945" w:type="dxa"/>
            <w:noWrap w:val="0"/>
            <w:vAlign w:val="center"/>
          </w:tcPr>
          <w:p>
            <w:pPr>
              <w:jc w:val="left"/>
              <w:rPr>
                <w:rFonts w:ascii="宋体" w:hAnsi="宋体" w:cs="Arial"/>
                <w:sz w:val="24"/>
                <w:szCs w:val="24"/>
              </w:rPr>
            </w:pPr>
            <w:r>
              <w:rPr>
                <w:rFonts w:hint="eastAsia" w:ascii="宋体" w:hAnsi="宋体" w:cs="Arial"/>
                <w:sz w:val="24"/>
                <w:szCs w:val="24"/>
              </w:rPr>
              <w:t>支持Select操作返回行数的审计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84" w:type="dxa"/>
            <w:vMerge w:val="continue"/>
            <w:noWrap w:val="0"/>
            <w:vAlign w:val="center"/>
          </w:tcPr>
          <w:p>
            <w:pPr>
              <w:jc w:val="left"/>
              <w:rPr>
                <w:rFonts w:ascii="宋体" w:hAnsi="宋体" w:cs="Arial"/>
                <w:sz w:val="24"/>
                <w:szCs w:val="24"/>
              </w:rPr>
            </w:pPr>
          </w:p>
        </w:tc>
        <w:tc>
          <w:tcPr>
            <w:tcW w:w="6945" w:type="dxa"/>
            <w:noWrap w:val="0"/>
            <w:vAlign w:val="center"/>
          </w:tcPr>
          <w:p>
            <w:pPr>
              <w:jc w:val="left"/>
              <w:rPr>
                <w:rFonts w:ascii="宋体" w:hAnsi="宋体" w:cs="Arial"/>
                <w:sz w:val="24"/>
                <w:szCs w:val="24"/>
              </w:rPr>
            </w:pPr>
            <w:r>
              <w:rPr>
                <w:rFonts w:hint="eastAsia" w:ascii="宋体" w:hAnsi="宋体" w:cs="Arial"/>
                <w:sz w:val="24"/>
                <w:szCs w:val="24"/>
              </w:rPr>
              <w:t>支持数据库操作类、表、视图、索引、触发器、存储过程、域、Schema、游标、事物等各种对象的SQL操作审计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84" w:type="dxa"/>
            <w:noWrap w:val="0"/>
            <w:vAlign w:val="center"/>
          </w:tcPr>
          <w:p>
            <w:pPr>
              <w:jc w:val="left"/>
              <w:rPr>
                <w:rFonts w:ascii="宋体" w:hAnsi="宋体" w:cs="Arial"/>
                <w:sz w:val="24"/>
                <w:szCs w:val="24"/>
              </w:rPr>
            </w:pPr>
            <w:r>
              <w:rPr>
                <w:rFonts w:hint="eastAsia" w:ascii="宋体" w:hAnsi="宋体" w:cs="Arial"/>
                <w:sz w:val="24"/>
                <w:szCs w:val="24"/>
              </w:rPr>
              <w:t>事件查询</w:t>
            </w:r>
          </w:p>
        </w:tc>
        <w:tc>
          <w:tcPr>
            <w:tcW w:w="6945" w:type="dxa"/>
            <w:noWrap w:val="0"/>
            <w:vAlign w:val="center"/>
          </w:tcPr>
          <w:p>
            <w:pPr>
              <w:jc w:val="left"/>
              <w:rPr>
                <w:rFonts w:hint="eastAsia" w:ascii="宋体" w:hAnsi="宋体" w:cs="Arial"/>
                <w:sz w:val="24"/>
                <w:szCs w:val="24"/>
              </w:rPr>
            </w:pPr>
            <w:r>
              <w:rPr>
                <w:rFonts w:hint="eastAsia" w:ascii="宋体" w:hAnsi="宋体" w:cs="Arial"/>
                <w:sz w:val="24"/>
                <w:szCs w:val="24"/>
              </w:rPr>
              <w:t>查询条件易于使用，审计查询条件均为非正则表达式形式进行</w:t>
            </w:r>
          </w:p>
          <w:p>
            <w:pPr>
              <w:jc w:val="left"/>
              <w:rPr>
                <w:rFonts w:hint="eastAsia" w:ascii="宋体" w:hAnsi="宋体" w:cs="Arial"/>
                <w:sz w:val="24"/>
                <w:szCs w:val="24"/>
              </w:rPr>
            </w:pPr>
            <w:r>
              <w:rPr>
                <w:rFonts w:hint="eastAsia" w:ascii="宋体" w:hAnsi="宋体" w:cs="Arial"/>
                <w:sz w:val="24"/>
                <w:szCs w:val="24"/>
              </w:rPr>
              <w:t>支持采用部分匹配模糊查询方式检索审计日志</w:t>
            </w:r>
          </w:p>
          <w:p>
            <w:pPr>
              <w:jc w:val="left"/>
              <w:rPr>
                <w:rFonts w:ascii="宋体" w:hAnsi="宋体" w:cs="Arial"/>
                <w:sz w:val="24"/>
                <w:szCs w:val="24"/>
              </w:rPr>
            </w:pPr>
            <w:r>
              <w:rPr>
                <w:rFonts w:hint="eastAsia" w:ascii="宋体" w:hAnsi="宋体" w:cs="Arial"/>
                <w:sz w:val="24"/>
                <w:szCs w:val="24"/>
              </w:rPr>
              <w:t>支持基于数据库访问日期、时间、源/目的IP、来源、数据库名、数据库表名、字段值、数据库登陆账号、SQL关键词、数据库返回码、SQL响应时间、数据库操作类型、影响行数等条件的审计查询；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2" w:hRule="atLeast"/>
        </w:trPr>
        <w:tc>
          <w:tcPr>
            <w:tcW w:w="1384" w:type="dxa"/>
            <w:noWrap w:val="0"/>
            <w:vAlign w:val="center"/>
          </w:tcPr>
          <w:p>
            <w:pPr>
              <w:jc w:val="left"/>
              <w:rPr>
                <w:rFonts w:ascii="宋体" w:hAnsi="宋体" w:cs="Arial"/>
                <w:sz w:val="24"/>
                <w:szCs w:val="24"/>
              </w:rPr>
            </w:pPr>
            <w:r>
              <w:rPr>
                <w:rFonts w:hint="eastAsia" w:ascii="宋体" w:hAnsi="宋体" w:cs="Arial"/>
                <w:sz w:val="24"/>
                <w:szCs w:val="24"/>
              </w:rPr>
              <w:t>系统自身监控</w:t>
            </w:r>
          </w:p>
        </w:tc>
        <w:tc>
          <w:tcPr>
            <w:tcW w:w="6945" w:type="dxa"/>
            <w:noWrap w:val="0"/>
            <w:vAlign w:val="center"/>
          </w:tcPr>
          <w:p>
            <w:pPr>
              <w:jc w:val="left"/>
              <w:rPr>
                <w:rFonts w:ascii="宋体" w:hAnsi="宋体" w:cs="Arial"/>
                <w:sz w:val="24"/>
                <w:szCs w:val="24"/>
              </w:rPr>
            </w:pPr>
            <w:r>
              <w:rPr>
                <w:rFonts w:hint="eastAsia" w:ascii="宋体" w:hAnsi="宋体" w:cs="Arial"/>
                <w:sz w:val="24"/>
                <w:szCs w:val="24"/>
              </w:rPr>
              <w:t>用户对本软件系统的操作都记录日志并进行持久化存储，便于追踪、审核和告警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84" w:type="dxa"/>
            <w:noWrap w:val="0"/>
            <w:vAlign w:val="center"/>
          </w:tcPr>
          <w:p>
            <w:pPr>
              <w:jc w:val="left"/>
              <w:rPr>
                <w:rFonts w:ascii="宋体" w:hAnsi="宋体" w:cs="Arial"/>
                <w:sz w:val="24"/>
                <w:szCs w:val="24"/>
              </w:rPr>
            </w:pPr>
            <w:r>
              <w:rPr>
                <w:rFonts w:hint="eastAsia" w:ascii="宋体" w:hAnsi="宋体" w:cs="Arial"/>
                <w:sz w:val="24"/>
                <w:szCs w:val="24"/>
              </w:rPr>
              <w:t>用户模式</w:t>
            </w:r>
          </w:p>
        </w:tc>
        <w:tc>
          <w:tcPr>
            <w:tcW w:w="6945" w:type="dxa"/>
            <w:noWrap w:val="0"/>
            <w:vAlign w:val="center"/>
          </w:tcPr>
          <w:p>
            <w:pPr>
              <w:jc w:val="left"/>
              <w:rPr>
                <w:rFonts w:ascii="宋体" w:hAnsi="宋体" w:cs="Arial"/>
                <w:sz w:val="24"/>
                <w:szCs w:val="24"/>
              </w:rPr>
            </w:pPr>
            <w:r>
              <w:rPr>
                <w:rFonts w:hint="eastAsia" w:ascii="宋体" w:hAnsi="宋体" w:cs="Arial"/>
                <w:sz w:val="24"/>
                <w:szCs w:val="24"/>
              </w:rPr>
              <w:t>采用B/S架构管理，支持中文界面，使用安全https访问管理中心，支持系统安全配置（会话锁定、超时退出、IP地址访问控制、密码复杂性管理、验证码登陆等措施）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84" w:type="dxa"/>
            <w:noWrap w:val="0"/>
            <w:vAlign w:val="top"/>
          </w:tcPr>
          <w:p>
            <w:pPr>
              <w:jc w:val="left"/>
              <w:rPr>
                <w:rFonts w:ascii="宋体" w:hAnsi="宋体" w:cs="Arial"/>
                <w:sz w:val="24"/>
                <w:szCs w:val="24"/>
              </w:rPr>
            </w:pPr>
            <w:r>
              <w:rPr>
                <w:rFonts w:hint="eastAsia" w:ascii="宋体" w:hAnsi="宋体" w:cs="Arial"/>
                <w:sz w:val="24"/>
                <w:szCs w:val="24"/>
              </w:rPr>
              <w:t>采集方式</w:t>
            </w:r>
          </w:p>
        </w:tc>
        <w:tc>
          <w:tcPr>
            <w:tcW w:w="6945" w:type="dxa"/>
            <w:noWrap w:val="0"/>
            <w:vAlign w:val="top"/>
          </w:tcPr>
          <w:p>
            <w:pPr>
              <w:jc w:val="left"/>
              <w:rPr>
                <w:rFonts w:ascii="宋体" w:hAnsi="宋体" w:cs="Arial"/>
                <w:sz w:val="24"/>
                <w:szCs w:val="24"/>
              </w:rPr>
            </w:pPr>
            <w:r>
              <w:rPr>
                <w:rFonts w:hint="eastAsia" w:ascii="宋体" w:hAnsi="宋体" w:cs="Arial"/>
                <w:sz w:val="24"/>
                <w:szCs w:val="24"/>
              </w:rPr>
              <w:t>采用旁路侦听方式接入获取数据，在不改变网络结构的情况下精确监控，不会对网络内部的流量与数据信息造成任何瓶颈，设备本身运转与否都不影响网络的正常工作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84" w:type="dxa"/>
            <w:noWrap w:val="0"/>
            <w:vAlign w:val="center"/>
          </w:tcPr>
          <w:p>
            <w:pPr>
              <w:jc w:val="left"/>
              <w:rPr>
                <w:rFonts w:ascii="宋体" w:hAnsi="宋体" w:cs="Arial"/>
                <w:sz w:val="24"/>
                <w:szCs w:val="24"/>
              </w:rPr>
            </w:pPr>
            <w:r>
              <w:rPr>
                <w:rFonts w:hint="eastAsia" w:ascii="宋体" w:hAnsi="宋体" w:cs="宋体"/>
                <w:kern w:val="0"/>
                <w:sz w:val="24"/>
                <w:szCs w:val="24"/>
              </w:rPr>
              <w:t>资质要求</w:t>
            </w:r>
          </w:p>
        </w:tc>
        <w:tc>
          <w:tcPr>
            <w:tcW w:w="6945" w:type="dxa"/>
            <w:noWrap w:val="0"/>
            <w:vAlign w:val="center"/>
          </w:tcPr>
          <w:p>
            <w:pPr>
              <w:jc w:val="left"/>
              <w:rPr>
                <w:rFonts w:ascii="宋体" w:hAnsi="宋体" w:cs="Arial"/>
                <w:color w:val="000000"/>
                <w:sz w:val="24"/>
                <w:szCs w:val="24"/>
              </w:rPr>
            </w:pPr>
            <w:r>
              <w:rPr>
                <w:rFonts w:hint="eastAsia" w:ascii="宋体" w:hAnsi="宋体" w:cs="Arial"/>
                <w:color w:val="000000"/>
                <w:sz w:val="24"/>
                <w:szCs w:val="24"/>
              </w:rPr>
              <w:t>要求具备中华人民共和国公安部颁发的《计算机信息系统安全专用产品销售许可证》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384" w:type="dxa"/>
            <w:noWrap w:val="0"/>
            <w:vAlign w:val="center"/>
          </w:tcPr>
          <w:p>
            <w:pPr>
              <w:jc w:val="left"/>
              <w:rPr>
                <w:rFonts w:ascii="宋体" w:hAnsi="宋体" w:cs="Arial"/>
                <w:sz w:val="24"/>
                <w:szCs w:val="24"/>
              </w:rPr>
            </w:pPr>
            <w:r>
              <w:rPr>
                <w:rFonts w:hint="eastAsia" w:ascii="宋体" w:hAnsi="宋体" w:cs="宋体"/>
                <w:kern w:val="0"/>
                <w:sz w:val="24"/>
                <w:szCs w:val="24"/>
              </w:rPr>
              <w:t>质保</w:t>
            </w:r>
          </w:p>
        </w:tc>
        <w:tc>
          <w:tcPr>
            <w:tcW w:w="6945" w:type="dxa"/>
            <w:noWrap w:val="0"/>
            <w:vAlign w:val="center"/>
          </w:tcPr>
          <w:p>
            <w:pPr>
              <w:jc w:val="left"/>
              <w:rPr>
                <w:rFonts w:hint="eastAsia" w:ascii="宋体" w:hAnsi="宋体" w:cs="Arial"/>
                <w:color w:val="000000"/>
                <w:sz w:val="24"/>
                <w:szCs w:val="24"/>
              </w:rPr>
            </w:pPr>
            <w:r>
              <w:rPr>
                <w:rFonts w:hint="eastAsia" w:ascii="等线" w:hAnsi="等线" w:cs="宋体"/>
                <w:sz w:val="24"/>
                <w:szCs w:val="24"/>
                <w:lang w:val="en-US" w:eastAsia="zh-CN"/>
              </w:rPr>
              <w:t>中标后，签订合同前</w:t>
            </w:r>
            <w:r>
              <w:rPr>
                <w:rFonts w:hint="eastAsia" w:ascii="宋体" w:hAnsi="宋体" w:cs="宋体"/>
                <w:kern w:val="0"/>
                <w:sz w:val="24"/>
                <w:szCs w:val="24"/>
              </w:rPr>
              <w:t>提供设备五年原厂商质保服务承诺函及授权书。</w:t>
            </w:r>
          </w:p>
        </w:tc>
      </w:tr>
    </w:tbl>
    <w:p>
      <w:pPr>
        <w:outlineLvl w:val="1"/>
        <w:rPr>
          <w:rFonts w:hint="eastAsia" w:ascii="宋体" w:hAnsi="宋体"/>
          <w:b/>
          <w:bCs/>
          <w:color w:val="000000"/>
          <w:sz w:val="24"/>
          <w:szCs w:val="24"/>
        </w:rPr>
      </w:pPr>
    </w:p>
    <w:p>
      <w:pPr>
        <w:outlineLvl w:val="1"/>
        <w:rPr>
          <w:rFonts w:hint="eastAsia" w:ascii="宋体" w:hAnsi="宋体"/>
          <w:b/>
          <w:bCs/>
          <w:color w:val="000000"/>
          <w:sz w:val="24"/>
          <w:szCs w:val="24"/>
        </w:rPr>
      </w:pPr>
      <w:r>
        <w:rPr>
          <w:rFonts w:hint="eastAsia" w:ascii="宋体" w:hAnsi="宋体"/>
          <w:b/>
          <w:bCs/>
          <w:color w:val="000000"/>
          <w:sz w:val="24"/>
          <w:szCs w:val="24"/>
        </w:rPr>
        <w:t>27.漏洞扫描</w:t>
      </w:r>
    </w:p>
    <w:tbl>
      <w:tblPr>
        <w:tblStyle w:val="23"/>
        <w:tblW w:w="8329" w:type="dxa"/>
        <w:jc w:val="center"/>
        <w:tblInd w:w="0" w:type="dxa"/>
        <w:tblLayout w:type="fixed"/>
        <w:tblCellMar>
          <w:top w:w="0" w:type="dxa"/>
          <w:left w:w="108" w:type="dxa"/>
          <w:bottom w:w="0" w:type="dxa"/>
          <w:right w:w="108" w:type="dxa"/>
        </w:tblCellMar>
      </w:tblPr>
      <w:tblGrid>
        <w:gridCol w:w="1243"/>
        <w:gridCol w:w="7086"/>
      </w:tblGrid>
      <w:tr>
        <w:tblPrEx>
          <w:tblLayout w:type="fixed"/>
          <w:tblCellMar>
            <w:top w:w="0" w:type="dxa"/>
            <w:left w:w="108" w:type="dxa"/>
            <w:bottom w:w="0" w:type="dxa"/>
            <w:right w:w="108" w:type="dxa"/>
          </w:tblCellMar>
        </w:tblPrEx>
        <w:trPr>
          <w:jc w:val="center"/>
        </w:trPr>
        <w:tc>
          <w:tcPr>
            <w:tcW w:w="12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b/>
                <w:sz w:val="24"/>
                <w:szCs w:val="24"/>
              </w:rPr>
            </w:pPr>
            <w:r>
              <w:rPr>
                <w:rFonts w:hint="eastAsia" w:ascii="仿宋" w:hAnsi="仿宋" w:eastAsia="仿宋"/>
                <w:b/>
                <w:sz w:val="24"/>
                <w:szCs w:val="24"/>
              </w:rPr>
              <w:t>指标项</w:t>
            </w:r>
          </w:p>
        </w:tc>
        <w:tc>
          <w:tcPr>
            <w:tcW w:w="7086" w:type="dxa"/>
            <w:tcBorders>
              <w:top w:val="single" w:color="auto" w:sz="4" w:space="0"/>
              <w:left w:val="nil"/>
              <w:bottom w:val="single" w:color="auto" w:sz="4" w:space="0"/>
              <w:right w:val="single" w:color="auto" w:sz="4" w:space="0"/>
            </w:tcBorders>
            <w:noWrap w:val="0"/>
            <w:vAlign w:val="center"/>
          </w:tcPr>
          <w:p>
            <w:pPr>
              <w:jc w:val="center"/>
              <w:rPr>
                <w:rFonts w:ascii="仿宋" w:hAnsi="仿宋" w:eastAsia="仿宋"/>
                <w:b/>
                <w:sz w:val="24"/>
                <w:szCs w:val="24"/>
              </w:rPr>
            </w:pPr>
            <w:r>
              <w:rPr>
                <w:rFonts w:hint="eastAsia" w:ascii="仿宋" w:hAnsi="仿宋" w:eastAsia="仿宋"/>
                <w:b/>
                <w:sz w:val="24"/>
                <w:szCs w:val="24"/>
              </w:rPr>
              <w:t>指标要求</w:t>
            </w:r>
          </w:p>
        </w:tc>
      </w:tr>
      <w:tr>
        <w:tblPrEx>
          <w:tblLayout w:type="fixed"/>
          <w:tblCellMar>
            <w:top w:w="0" w:type="dxa"/>
            <w:left w:w="108" w:type="dxa"/>
            <w:bottom w:w="0" w:type="dxa"/>
            <w:right w:w="108" w:type="dxa"/>
          </w:tblCellMar>
        </w:tblPrEx>
        <w:trPr>
          <w:jc w:val="center"/>
        </w:trPr>
        <w:tc>
          <w:tcPr>
            <w:tcW w:w="12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硬件规格</w:t>
            </w:r>
          </w:p>
        </w:tc>
        <w:tc>
          <w:tcPr>
            <w:tcW w:w="7086" w:type="dxa"/>
            <w:tcBorders>
              <w:top w:val="single" w:color="auto" w:sz="4" w:space="0"/>
              <w:left w:val="nil"/>
              <w:bottom w:val="single" w:color="auto" w:sz="4" w:space="0"/>
              <w:right w:val="single" w:color="auto" w:sz="4" w:space="0"/>
            </w:tcBorders>
            <w:noWrap w:val="0"/>
            <w:vAlign w:val="center"/>
          </w:tcPr>
          <w:p>
            <w:pPr>
              <w:spacing w:line="276" w:lineRule="auto"/>
              <w:rPr>
                <w:rFonts w:ascii="宋体" w:hAnsi="宋体" w:cs="Arial"/>
                <w:color w:val="000000"/>
                <w:sz w:val="24"/>
                <w:szCs w:val="24"/>
              </w:rPr>
            </w:pPr>
            <w:r>
              <w:rPr>
                <w:rFonts w:hint="eastAsia" w:ascii="宋体" w:hAnsi="宋体" w:cs="Arial"/>
                <w:color w:val="000000"/>
                <w:sz w:val="24"/>
                <w:szCs w:val="24"/>
              </w:rPr>
              <w:t>标准2U硬件平台，RJ45串口≥1，GE网口≥2，USB口≥2，双电源，硬盘≥1T</w:t>
            </w:r>
          </w:p>
        </w:tc>
      </w:tr>
      <w:tr>
        <w:tblPrEx>
          <w:tblLayout w:type="fixed"/>
          <w:tblCellMar>
            <w:top w:w="0" w:type="dxa"/>
            <w:left w:w="108" w:type="dxa"/>
            <w:bottom w:w="0" w:type="dxa"/>
            <w:right w:w="108" w:type="dxa"/>
          </w:tblCellMar>
        </w:tblPrEx>
        <w:trPr>
          <w:trHeight w:val="285" w:hRule="atLeast"/>
          <w:jc w:val="center"/>
        </w:trPr>
        <w:tc>
          <w:tcPr>
            <w:tcW w:w="12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szCs w:val="24"/>
              </w:rPr>
            </w:pPr>
            <w:r>
              <w:rPr>
                <w:rFonts w:ascii="宋体" w:hAnsi="宋体" w:cs="宋体"/>
                <w:color w:val="000000"/>
                <w:kern w:val="0"/>
                <w:sz w:val="24"/>
                <w:szCs w:val="24"/>
              </w:rPr>
              <w:t>部署方式</w:t>
            </w:r>
          </w:p>
        </w:tc>
        <w:tc>
          <w:tcPr>
            <w:tcW w:w="7086" w:type="dxa"/>
            <w:tcBorders>
              <w:top w:val="single" w:color="auto" w:sz="4" w:space="0"/>
              <w:left w:val="nil"/>
              <w:bottom w:val="single" w:color="auto" w:sz="4" w:space="0"/>
              <w:right w:val="single" w:color="auto" w:sz="4" w:space="0"/>
            </w:tcBorders>
            <w:noWrap w:val="0"/>
            <w:vAlign w:val="center"/>
          </w:tcPr>
          <w:p>
            <w:pPr>
              <w:spacing w:line="276" w:lineRule="auto"/>
              <w:rPr>
                <w:rFonts w:ascii="宋体" w:hAnsi="宋体" w:cs="Arial"/>
                <w:color w:val="000000"/>
                <w:sz w:val="24"/>
                <w:szCs w:val="24"/>
              </w:rPr>
            </w:pPr>
            <w:r>
              <w:rPr>
                <w:rFonts w:ascii="宋体" w:hAnsi="宋体" w:cs="Arial"/>
                <w:color w:val="000000"/>
                <w:sz w:val="24"/>
                <w:szCs w:val="24"/>
              </w:rPr>
              <w:t>支持旁路部署，无需改变原有的网络架构</w:t>
            </w:r>
          </w:p>
        </w:tc>
      </w:tr>
      <w:tr>
        <w:tblPrEx>
          <w:tblLayout w:type="fixed"/>
          <w:tblCellMar>
            <w:top w:w="0" w:type="dxa"/>
            <w:left w:w="108" w:type="dxa"/>
            <w:bottom w:w="0" w:type="dxa"/>
            <w:right w:w="108" w:type="dxa"/>
          </w:tblCellMar>
        </w:tblPrEx>
        <w:trPr>
          <w:trHeight w:val="184" w:hRule="atLeast"/>
          <w:jc w:val="center"/>
        </w:trPr>
        <w:tc>
          <w:tcPr>
            <w:tcW w:w="12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szCs w:val="24"/>
              </w:rPr>
            </w:pPr>
            <w:r>
              <w:rPr>
                <w:rFonts w:ascii="宋体" w:hAnsi="宋体" w:cs="宋体"/>
                <w:color w:val="000000"/>
                <w:kern w:val="0"/>
                <w:sz w:val="24"/>
                <w:szCs w:val="24"/>
              </w:rPr>
              <w:t>扫描对象</w:t>
            </w:r>
          </w:p>
        </w:tc>
        <w:tc>
          <w:tcPr>
            <w:tcW w:w="7086" w:type="dxa"/>
            <w:tcBorders>
              <w:top w:val="single" w:color="auto" w:sz="4" w:space="0"/>
              <w:left w:val="nil"/>
              <w:bottom w:val="single" w:color="auto" w:sz="4" w:space="0"/>
              <w:right w:val="single" w:color="auto" w:sz="4" w:space="0"/>
            </w:tcBorders>
            <w:noWrap w:val="0"/>
            <w:vAlign w:val="center"/>
          </w:tcPr>
          <w:p>
            <w:pPr>
              <w:spacing w:line="276" w:lineRule="auto"/>
              <w:rPr>
                <w:rFonts w:ascii="宋体" w:hAnsi="宋体" w:cs="Arial"/>
                <w:color w:val="000000"/>
                <w:sz w:val="24"/>
                <w:szCs w:val="24"/>
              </w:rPr>
            </w:pPr>
            <w:r>
              <w:rPr>
                <w:rFonts w:hint="eastAsia" w:ascii="宋体" w:hAnsi="宋体" w:cs="Arial"/>
                <w:color w:val="000000"/>
                <w:sz w:val="24"/>
                <w:szCs w:val="24"/>
              </w:rPr>
              <w:t>主机、</w:t>
            </w:r>
            <w:r>
              <w:rPr>
                <w:rFonts w:ascii="宋体" w:hAnsi="宋体" w:cs="Arial"/>
                <w:color w:val="000000"/>
                <w:sz w:val="24"/>
                <w:szCs w:val="24"/>
              </w:rPr>
              <w:t>软件漏洞扫描</w:t>
            </w:r>
          </w:p>
        </w:tc>
      </w:tr>
      <w:tr>
        <w:tblPrEx>
          <w:tblLayout w:type="fixed"/>
          <w:tblCellMar>
            <w:top w:w="0" w:type="dxa"/>
            <w:left w:w="108" w:type="dxa"/>
            <w:bottom w:w="0" w:type="dxa"/>
            <w:right w:w="108" w:type="dxa"/>
          </w:tblCellMar>
        </w:tblPrEx>
        <w:trPr>
          <w:trHeight w:val="184" w:hRule="atLeast"/>
          <w:jc w:val="center"/>
        </w:trPr>
        <w:tc>
          <w:tcPr>
            <w:tcW w:w="124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szCs w:val="24"/>
              </w:rPr>
            </w:pPr>
            <w:r>
              <w:rPr>
                <w:rFonts w:ascii="宋体" w:hAnsi="宋体" w:cs="宋体"/>
                <w:color w:val="000000"/>
                <w:kern w:val="0"/>
                <w:sz w:val="24"/>
                <w:szCs w:val="24"/>
              </w:rPr>
              <w:t>功能要求</w:t>
            </w:r>
          </w:p>
        </w:tc>
        <w:tc>
          <w:tcPr>
            <w:tcW w:w="7086"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ascii="宋体" w:hAnsi="宋体" w:cs="Arial"/>
                <w:color w:val="000000"/>
                <w:sz w:val="24"/>
                <w:szCs w:val="24"/>
              </w:rPr>
            </w:pPr>
            <w:r>
              <w:rPr>
                <w:rFonts w:ascii="宋体" w:hAnsi="宋体" w:cs="Arial"/>
                <w:color w:val="000000"/>
                <w:sz w:val="24"/>
                <w:szCs w:val="24"/>
              </w:rPr>
              <w:t>产品要求界面友好，并有详尽的技术支持文档，所有图形界面要求中文。</w:t>
            </w:r>
          </w:p>
        </w:tc>
      </w:tr>
      <w:tr>
        <w:tblPrEx>
          <w:tblLayout w:type="fixed"/>
          <w:tblCellMar>
            <w:top w:w="0" w:type="dxa"/>
            <w:left w:w="108" w:type="dxa"/>
            <w:bottom w:w="0" w:type="dxa"/>
            <w:right w:w="108" w:type="dxa"/>
          </w:tblCellMar>
        </w:tblPrEx>
        <w:trPr>
          <w:trHeight w:val="184" w:hRule="atLeast"/>
          <w:jc w:val="center"/>
        </w:trPr>
        <w:tc>
          <w:tcPr>
            <w:tcW w:w="124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000000"/>
                <w:kern w:val="0"/>
                <w:sz w:val="24"/>
                <w:szCs w:val="24"/>
              </w:rPr>
            </w:pPr>
          </w:p>
        </w:tc>
        <w:tc>
          <w:tcPr>
            <w:tcW w:w="7086"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ascii="宋体" w:hAnsi="宋体" w:cs="Arial"/>
                <w:color w:val="000000"/>
                <w:sz w:val="24"/>
                <w:szCs w:val="24"/>
              </w:rPr>
            </w:pPr>
            <w:r>
              <w:rPr>
                <w:rFonts w:ascii="宋体" w:hAnsi="宋体" w:cs="Arial"/>
                <w:color w:val="000000"/>
                <w:sz w:val="24"/>
                <w:szCs w:val="24"/>
              </w:rPr>
              <w:t>系统为B/</w:t>
            </w:r>
            <w:r>
              <w:rPr>
                <w:rFonts w:hint="eastAsia" w:ascii="宋体" w:hAnsi="宋体" w:cs="Arial"/>
                <w:color w:val="000000"/>
                <w:sz w:val="24"/>
                <w:szCs w:val="24"/>
              </w:rPr>
              <w:t>S架构，</w:t>
            </w:r>
            <w:r>
              <w:rPr>
                <w:rFonts w:ascii="宋体" w:hAnsi="宋体" w:cs="Arial"/>
                <w:color w:val="000000"/>
                <w:sz w:val="24"/>
                <w:szCs w:val="24"/>
              </w:rPr>
              <w:t>并采用SSL加密通信方式，用户可以通过</w:t>
            </w:r>
            <w:r>
              <w:rPr>
                <w:rFonts w:hint="eastAsia" w:ascii="宋体" w:hAnsi="宋体" w:cs="Arial"/>
                <w:color w:val="000000"/>
                <w:sz w:val="24"/>
                <w:szCs w:val="24"/>
              </w:rPr>
              <w:t>浏览器</w:t>
            </w:r>
            <w:r>
              <w:rPr>
                <w:rFonts w:ascii="宋体" w:hAnsi="宋体" w:cs="Arial"/>
                <w:color w:val="000000"/>
                <w:sz w:val="24"/>
                <w:szCs w:val="24"/>
              </w:rPr>
              <w:t>远程方便对产品</w:t>
            </w:r>
            <w:r>
              <w:rPr>
                <w:rFonts w:hint="eastAsia" w:ascii="宋体" w:hAnsi="宋体" w:cs="Arial"/>
                <w:color w:val="000000"/>
                <w:sz w:val="24"/>
                <w:szCs w:val="24"/>
              </w:rPr>
              <w:t>访问操作，支持多用户同时登陆操作</w:t>
            </w:r>
            <w:r>
              <w:rPr>
                <w:rFonts w:ascii="宋体" w:hAnsi="宋体" w:cs="Arial"/>
                <w:color w:val="000000"/>
                <w:sz w:val="24"/>
                <w:szCs w:val="24"/>
              </w:rPr>
              <w:t>。</w:t>
            </w:r>
          </w:p>
        </w:tc>
      </w:tr>
      <w:tr>
        <w:tblPrEx>
          <w:tblLayout w:type="fixed"/>
          <w:tblCellMar>
            <w:top w:w="0" w:type="dxa"/>
            <w:left w:w="108" w:type="dxa"/>
            <w:bottom w:w="0" w:type="dxa"/>
            <w:right w:w="108" w:type="dxa"/>
          </w:tblCellMar>
        </w:tblPrEx>
        <w:trPr>
          <w:trHeight w:val="184" w:hRule="atLeast"/>
          <w:jc w:val="center"/>
        </w:trPr>
        <w:tc>
          <w:tcPr>
            <w:tcW w:w="124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000000"/>
                <w:kern w:val="0"/>
                <w:sz w:val="24"/>
                <w:szCs w:val="24"/>
              </w:rPr>
            </w:pPr>
          </w:p>
        </w:tc>
        <w:tc>
          <w:tcPr>
            <w:tcW w:w="7086"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ascii="宋体" w:hAnsi="宋体" w:cs="Arial"/>
                <w:color w:val="000000"/>
                <w:sz w:val="24"/>
                <w:szCs w:val="24"/>
              </w:rPr>
            </w:pPr>
            <w:r>
              <w:rPr>
                <w:rFonts w:ascii="宋体" w:hAnsi="宋体" w:cs="Arial"/>
                <w:color w:val="000000"/>
                <w:sz w:val="24"/>
                <w:szCs w:val="24"/>
              </w:rPr>
              <w:t>提供分布式部署，上级管理设备能够方便查看下级设备状态。</w:t>
            </w:r>
          </w:p>
        </w:tc>
      </w:tr>
      <w:tr>
        <w:tblPrEx>
          <w:tblLayout w:type="fixed"/>
          <w:tblCellMar>
            <w:top w:w="0" w:type="dxa"/>
            <w:left w:w="108" w:type="dxa"/>
            <w:bottom w:w="0" w:type="dxa"/>
            <w:right w:w="108" w:type="dxa"/>
          </w:tblCellMar>
        </w:tblPrEx>
        <w:trPr>
          <w:trHeight w:val="184" w:hRule="atLeast"/>
          <w:jc w:val="center"/>
        </w:trPr>
        <w:tc>
          <w:tcPr>
            <w:tcW w:w="124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仿宋" w:hAnsi="仿宋" w:eastAsia="仿宋" w:cs="宋体"/>
                <w:color w:val="000000"/>
                <w:kern w:val="0"/>
                <w:sz w:val="24"/>
                <w:szCs w:val="24"/>
              </w:rPr>
            </w:pPr>
          </w:p>
        </w:tc>
        <w:tc>
          <w:tcPr>
            <w:tcW w:w="7086" w:type="dxa"/>
            <w:tcBorders>
              <w:top w:val="single" w:color="auto" w:sz="4" w:space="0"/>
              <w:left w:val="single" w:color="auto" w:sz="4" w:space="0"/>
              <w:bottom w:val="single" w:color="auto" w:sz="4" w:space="0"/>
              <w:right w:val="single" w:color="auto" w:sz="4" w:space="0"/>
            </w:tcBorders>
            <w:noWrap w:val="0"/>
            <w:vAlign w:val="center"/>
          </w:tcPr>
          <w:p>
            <w:pPr>
              <w:spacing w:line="276" w:lineRule="auto"/>
              <w:rPr>
                <w:rFonts w:ascii="宋体" w:hAnsi="宋体" w:cs="Arial"/>
                <w:color w:val="000000"/>
                <w:sz w:val="24"/>
                <w:szCs w:val="24"/>
              </w:rPr>
            </w:pPr>
            <w:r>
              <w:rPr>
                <w:rFonts w:ascii="宋体" w:hAnsi="宋体" w:cs="Arial"/>
                <w:color w:val="000000"/>
                <w:sz w:val="24"/>
                <w:szCs w:val="24"/>
              </w:rPr>
              <w:t>提供三权分立的账户体系，支持上下级部门管理，非上下级的不同部门任务、资产隔离。</w:t>
            </w:r>
          </w:p>
        </w:tc>
      </w:tr>
      <w:tr>
        <w:tblPrEx>
          <w:tblLayout w:type="fixed"/>
          <w:tblCellMar>
            <w:top w:w="0" w:type="dxa"/>
            <w:left w:w="108" w:type="dxa"/>
            <w:bottom w:w="0" w:type="dxa"/>
            <w:right w:w="108" w:type="dxa"/>
          </w:tblCellMar>
        </w:tblPrEx>
        <w:trPr>
          <w:trHeight w:val="184" w:hRule="atLeast"/>
          <w:jc w:val="center"/>
        </w:trPr>
        <w:tc>
          <w:tcPr>
            <w:tcW w:w="1243" w:type="dxa"/>
            <w:vMerge w:val="continue"/>
            <w:tcBorders>
              <w:top w:val="single" w:color="auto" w:sz="4" w:space="0"/>
              <w:left w:val="single" w:color="auto" w:sz="4" w:space="0"/>
              <w:right w:val="single" w:color="auto" w:sz="4" w:space="0"/>
            </w:tcBorders>
            <w:noWrap w:val="0"/>
            <w:vAlign w:val="center"/>
          </w:tcPr>
          <w:p>
            <w:pPr>
              <w:jc w:val="center"/>
              <w:rPr>
                <w:rFonts w:ascii="仿宋" w:hAnsi="仿宋" w:eastAsia="仿宋" w:cs="宋体"/>
                <w:color w:val="000000"/>
                <w:kern w:val="0"/>
                <w:sz w:val="24"/>
                <w:szCs w:val="24"/>
              </w:rPr>
            </w:pPr>
          </w:p>
        </w:tc>
        <w:tc>
          <w:tcPr>
            <w:tcW w:w="7086" w:type="dxa"/>
            <w:tcBorders>
              <w:top w:val="single" w:color="auto" w:sz="4" w:space="0"/>
              <w:left w:val="nil"/>
              <w:bottom w:val="single" w:color="auto" w:sz="4" w:space="0"/>
              <w:right w:val="single" w:color="auto" w:sz="4" w:space="0"/>
            </w:tcBorders>
            <w:noWrap w:val="0"/>
            <w:vAlign w:val="center"/>
          </w:tcPr>
          <w:p>
            <w:pPr>
              <w:spacing w:line="276" w:lineRule="auto"/>
              <w:rPr>
                <w:rFonts w:ascii="宋体" w:hAnsi="宋体" w:cs="Arial"/>
                <w:color w:val="000000"/>
                <w:sz w:val="24"/>
                <w:szCs w:val="24"/>
              </w:rPr>
            </w:pPr>
            <w:r>
              <w:rPr>
                <w:rFonts w:ascii="宋体" w:hAnsi="宋体" w:cs="Arial"/>
                <w:color w:val="000000"/>
                <w:sz w:val="24"/>
                <w:szCs w:val="24"/>
              </w:rPr>
              <w:t>提供审计功能，能够对登陆日志、操作日常进行记录和查询，并可以将日志导入导出操作。</w:t>
            </w:r>
          </w:p>
        </w:tc>
      </w:tr>
      <w:tr>
        <w:tblPrEx>
          <w:tblLayout w:type="fixed"/>
          <w:tblCellMar>
            <w:top w:w="0" w:type="dxa"/>
            <w:left w:w="108" w:type="dxa"/>
            <w:bottom w:w="0" w:type="dxa"/>
            <w:right w:w="108" w:type="dxa"/>
          </w:tblCellMar>
        </w:tblPrEx>
        <w:trPr>
          <w:trHeight w:val="184" w:hRule="atLeast"/>
          <w:jc w:val="center"/>
        </w:trPr>
        <w:tc>
          <w:tcPr>
            <w:tcW w:w="1243" w:type="dxa"/>
            <w:vMerge w:val="continue"/>
            <w:tcBorders>
              <w:left w:val="single" w:color="auto" w:sz="4" w:space="0"/>
              <w:right w:val="single" w:color="auto" w:sz="4" w:space="0"/>
            </w:tcBorders>
            <w:noWrap w:val="0"/>
            <w:vAlign w:val="center"/>
          </w:tcPr>
          <w:p>
            <w:pPr>
              <w:jc w:val="center"/>
              <w:rPr>
                <w:rFonts w:ascii="仿宋" w:hAnsi="仿宋" w:eastAsia="仿宋" w:cs="宋体"/>
                <w:color w:val="000000"/>
                <w:kern w:val="0"/>
                <w:sz w:val="24"/>
                <w:szCs w:val="24"/>
              </w:rPr>
            </w:pPr>
          </w:p>
        </w:tc>
        <w:tc>
          <w:tcPr>
            <w:tcW w:w="7086" w:type="dxa"/>
            <w:tcBorders>
              <w:top w:val="single" w:color="auto" w:sz="4" w:space="0"/>
              <w:left w:val="nil"/>
              <w:bottom w:val="single" w:color="auto" w:sz="4" w:space="0"/>
              <w:right w:val="single" w:color="auto" w:sz="4" w:space="0"/>
            </w:tcBorders>
            <w:noWrap w:val="0"/>
            <w:vAlign w:val="center"/>
          </w:tcPr>
          <w:p>
            <w:pPr>
              <w:spacing w:line="276" w:lineRule="auto"/>
              <w:rPr>
                <w:rFonts w:ascii="宋体" w:hAnsi="宋体" w:cs="Arial"/>
                <w:color w:val="000000"/>
                <w:sz w:val="24"/>
                <w:szCs w:val="24"/>
              </w:rPr>
            </w:pPr>
            <w:r>
              <w:rPr>
                <w:rFonts w:ascii="宋体" w:hAnsi="宋体" w:cs="Arial"/>
                <w:color w:val="000000"/>
                <w:sz w:val="24"/>
                <w:szCs w:val="24"/>
              </w:rPr>
              <w:t>提供日志</w:t>
            </w:r>
            <w:r>
              <w:rPr>
                <w:rFonts w:hint="eastAsia" w:ascii="宋体" w:hAnsi="宋体" w:cs="Arial"/>
                <w:color w:val="000000"/>
                <w:sz w:val="24"/>
                <w:szCs w:val="24"/>
              </w:rPr>
              <w:t>自动审计功能，根据指定的审计标准自动、定时审计；并将审计结果发送到指定邮箱当中</w:t>
            </w:r>
            <w:r>
              <w:rPr>
                <w:rFonts w:ascii="宋体" w:hAnsi="宋体" w:cs="Arial"/>
                <w:color w:val="000000"/>
                <w:sz w:val="24"/>
                <w:szCs w:val="24"/>
              </w:rPr>
              <w:t>。</w:t>
            </w:r>
          </w:p>
        </w:tc>
      </w:tr>
      <w:tr>
        <w:tblPrEx>
          <w:tblLayout w:type="fixed"/>
          <w:tblCellMar>
            <w:top w:w="0" w:type="dxa"/>
            <w:left w:w="108" w:type="dxa"/>
            <w:bottom w:w="0" w:type="dxa"/>
            <w:right w:w="108" w:type="dxa"/>
          </w:tblCellMar>
        </w:tblPrEx>
        <w:trPr>
          <w:trHeight w:val="184" w:hRule="atLeast"/>
          <w:jc w:val="center"/>
        </w:trPr>
        <w:tc>
          <w:tcPr>
            <w:tcW w:w="1243" w:type="dxa"/>
            <w:vMerge w:val="continue"/>
            <w:tcBorders>
              <w:left w:val="single" w:color="auto" w:sz="4" w:space="0"/>
              <w:right w:val="single" w:color="auto" w:sz="4" w:space="0"/>
            </w:tcBorders>
            <w:noWrap w:val="0"/>
            <w:vAlign w:val="center"/>
          </w:tcPr>
          <w:p>
            <w:pPr>
              <w:jc w:val="center"/>
              <w:rPr>
                <w:rFonts w:ascii="仿宋" w:hAnsi="仿宋" w:eastAsia="仿宋" w:cs="宋体"/>
                <w:color w:val="000000"/>
                <w:kern w:val="0"/>
                <w:sz w:val="24"/>
                <w:szCs w:val="24"/>
              </w:rPr>
            </w:pPr>
          </w:p>
        </w:tc>
        <w:tc>
          <w:tcPr>
            <w:tcW w:w="7086" w:type="dxa"/>
            <w:tcBorders>
              <w:top w:val="single" w:color="auto" w:sz="4" w:space="0"/>
              <w:left w:val="nil"/>
              <w:bottom w:val="single" w:color="auto" w:sz="4" w:space="0"/>
              <w:right w:val="single" w:color="auto" w:sz="4" w:space="0"/>
            </w:tcBorders>
            <w:noWrap w:val="0"/>
            <w:vAlign w:val="center"/>
          </w:tcPr>
          <w:p>
            <w:pPr>
              <w:spacing w:line="276" w:lineRule="auto"/>
              <w:rPr>
                <w:rFonts w:ascii="宋体" w:hAnsi="宋体" w:cs="Arial"/>
                <w:color w:val="000000"/>
                <w:sz w:val="24"/>
                <w:szCs w:val="24"/>
              </w:rPr>
            </w:pPr>
            <w:r>
              <w:rPr>
                <w:rFonts w:hint="eastAsia" w:ascii="宋体" w:hAnsi="宋体" w:cs="Arial"/>
                <w:color w:val="000000"/>
                <w:sz w:val="24"/>
                <w:szCs w:val="24"/>
              </w:rPr>
              <w:t>漏洞策略库大于20</w:t>
            </w:r>
            <w:r>
              <w:rPr>
                <w:rFonts w:ascii="宋体" w:hAnsi="宋体" w:cs="Arial"/>
                <w:color w:val="000000"/>
                <w:sz w:val="24"/>
                <w:szCs w:val="24"/>
              </w:rPr>
              <w:t>000</w:t>
            </w:r>
            <w:r>
              <w:rPr>
                <w:rFonts w:hint="eastAsia" w:ascii="宋体" w:hAnsi="宋体" w:cs="Arial"/>
                <w:color w:val="000000"/>
                <w:sz w:val="24"/>
                <w:szCs w:val="24"/>
              </w:rPr>
              <w:t>条；</w:t>
            </w:r>
            <w:r>
              <w:rPr>
                <w:rFonts w:ascii="宋体" w:hAnsi="宋体" w:cs="Arial"/>
                <w:color w:val="000000"/>
                <w:sz w:val="24"/>
                <w:szCs w:val="24"/>
              </w:rPr>
              <w:t xml:space="preserve"> </w:t>
            </w:r>
          </w:p>
        </w:tc>
      </w:tr>
      <w:tr>
        <w:tblPrEx>
          <w:tblLayout w:type="fixed"/>
          <w:tblCellMar>
            <w:top w:w="0" w:type="dxa"/>
            <w:left w:w="108" w:type="dxa"/>
            <w:bottom w:w="0" w:type="dxa"/>
            <w:right w:w="108" w:type="dxa"/>
          </w:tblCellMar>
        </w:tblPrEx>
        <w:trPr>
          <w:trHeight w:val="184" w:hRule="atLeast"/>
          <w:jc w:val="center"/>
        </w:trPr>
        <w:tc>
          <w:tcPr>
            <w:tcW w:w="1243" w:type="dxa"/>
            <w:vMerge w:val="continue"/>
            <w:tcBorders>
              <w:left w:val="single" w:color="auto" w:sz="4" w:space="0"/>
              <w:right w:val="single" w:color="auto" w:sz="4" w:space="0"/>
            </w:tcBorders>
            <w:noWrap w:val="0"/>
            <w:vAlign w:val="center"/>
          </w:tcPr>
          <w:p>
            <w:pPr>
              <w:jc w:val="center"/>
              <w:rPr>
                <w:rFonts w:ascii="仿宋" w:hAnsi="仿宋" w:eastAsia="仿宋" w:cs="宋体"/>
                <w:color w:val="000000"/>
                <w:kern w:val="0"/>
                <w:sz w:val="24"/>
                <w:szCs w:val="24"/>
              </w:rPr>
            </w:pPr>
          </w:p>
        </w:tc>
        <w:tc>
          <w:tcPr>
            <w:tcW w:w="7086" w:type="dxa"/>
            <w:tcBorders>
              <w:top w:val="single" w:color="auto" w:sz="4" w:space="0"/>
              <w:left w:val="nil"/>
              <w:bottom w:val="single" w:color="auto" w:sz="4" w:space="0"/>
              <w:right w:val="single" w:color="auto" w:sz="4" w:space="0"/>
            </w:tcBorders>
            <w:noWrap w:val="0"/>
            <w:vAlign w:val="center"/>
          </w:tcPr>
          <w:p>
            <w:pPr>
              <w:spacing w:line="276" w:lineRule="auto"/>
              <w:rPr>
                <w:rFonts w:ascii="宋体" w:hAnsi="宋体" w:cs="Arial"/>
                <w:color w:val="000000"/>
                <w:sz w:val="24"/>
                <w:szCs w:val="24"/>
              </w:rPr>
            </w:pPr>
            <w:r>
              <w:rPr>
                <w:rFonts w:hint="eastAsia" w:ascii="宋体" w:hAnsi="宋体" w:cs="Arial"/>
                <w:color w:val="000000"/>
                <w:sz w:val="24"/>
                <w:szCs w:val="24"/>
              </w:rPr>
              <w:t>系统内置不同的策略模板如针对Linux、Windows操作系统等模板，同时允许用户定制扫描策略；用户可定义扫描范围、定义扫描端口、扫描使用的参数集等具体扫描选项。</w:t>
            </w:r>
          </w:p>
        </w:tc>
      </w:tr>
      <w:tr>
        <w:tblPrEx>
          <w:tblLayout w:type="fixed"/>
          <w:tblCellMar>
            <w:top w:w="0" w:type="dxa"/>
            <w:left w:w="108" w:type="dxa"/>
            <w:bottom w:w="0" w:type="dxa"/>
            <w:right w:w="108" w:type="dxa"/>
          </w:tblCellMar>
        </w:tblPrEx>
        <w:trPr>
          <w:trHeight w:val="184" w:hRule="atLeast"/>
          <w:jc w:val="center"/>
        </w:trPr>
        <w:tc>
          <w:tcPr>
            <w:tcW w:w="1243" w:type="dxa"/>
            <w:vMerge w:val="continue"/>
            <w:tcBorders>
              <w:left w:val="single" w:color="auto" w:sz="4" w:space="0"/>
              <w:right w:val="single" w:color="auto" w:sz="4" w:space="0"/>
            </w:tcBorders>
            <w:noWrap w:val="0"/>
            <w:vAlign w:val="center"/>
          </w:tcPr>
          <w:p>
            <w:pPr>
              <w:jc w:val="center"/>
              <w:rPr>
                <w:rFonts w:ascii="仿宋" w:hAnsi="仿宋" w:eastAsia="仿宋" w:cs="宋体"/>
                <w:color w:val="000000"/>
                <w:kern w:val="0"/>
                <w:sz w:val="24"/>
                <w:szCs w:val="24"/>
              </w:rPr>
            </w:pPr>
          </w:p>
        </w:tc>
        <w:tc>
          <w:tcPr>
            <w:tcW w:w="7086" w:type="dxa"/>
            <w:tcBorders>
              <w:top w:val="single" w:color="auto" w:sz="4" w:space="0"/>
              <w:left w:val="nil"/>
              <w:bottom w:val="single" w:color="auto" w:sz="4" w:space="0"/>
              <w:right w:val="single" w:color="auto" w:sz="4" w:space="0"/>
            </w:tcBorders>
            <w:noWrap w:val="0"/>
            <w:vAlign w:val="center"/>
          </w:tcPr>
          <w:p>
            <w:pPr>
              <w:spacing w:line="276" w:lineRule="auto"/>
              <w:rPr>
                <w:rFonts w:ascii="宋体" w:hAnsi="宋体" w:cs="Arial"/>
                <w:color w:val="000000"/>
                <w:sz w:val="24"/>
                <w:szCs w:val="24"/>
              </w:rPr>
            </w:pPr>
            <w:r>
              <w:rPr>
                <w:rFonts w:hint="eastAsia" w:ascii="宋体" w:hAnsi="宋体" w:cs="Arial"/>
                <w:color w:val="000000"/>
                <w:sz w:val="24"/>
                <w:szCs w:val="24"/>
              </w:rPr>
              <w:t>支持Windows系列操作系统，支持Linux主流操作系统（Centos、Redhat、Debian、Fedora、Ubuntu、Suse等），支持Unix主流操作系统（AIX、HPUX、Solaris等）；</w:t>
            </w:r>
          </w:p>
        </w:tc>
      </w:tr>
      <w:tr>
        <w:tblPrEx>
          <w:tblLayout w:type="fixed"/>
          <w:tblCellMar>
            <w:top w:w="0" w:type="dxa"/>
            <w:left w:w="108" w:type="dxa"/>
            <w:bottom w:w="0" w:type="dxa"/>
            <w:right w:w="108" w:type="dxa"/>
          </w:tblCellMar>
        </w:tblPrEx>
        <w:trPr>
          <w:trHeight w:val="184" w:hRule="atLeast"/>
          <w:jc w:val="center"/>
        </w:trPr>
        <w:tc>
          <w:tcPr>
            <w:tcW w:w="1243" w:type="dxa"/>
            <w:vMerge w:val="continue"/>
            <w:tcBorders>
              <w:left w:val="single" w:color="auto" w:sz="4" w:space="0"/>
              <w:right w:val="single" w:color="auto" w:sz="4" w:space="0"/>
            </w:tcBorders>
            <w:noWrap w:val="0"/>
            <w:vAlign w:val="center"/>
          </w:tcPr>
          <w:p>
            <w:pPr>
              <w:jc w:val="center"/>
              <w:rPr>
                <w:rFonts w:ascii="仿宋" w:hAnsi="仿宋" w:eastAsia="仿宋" w:cs="宋体"/>
                <w:color w:val="000000"/>
                <w:kern w:val="0"/>
                <w:sz w:val="24"/>
                <w:szCs w:val="24"/>
              </w:rPr>
            </w:pPr>
          </w:p>
        </w:tc>
        <w:tc>
          <w:tcPr>
            <w:tcW w:w="7086" w:type="dxa"/>
            <w:tcBorders>
              <w:top w:val="single" w:color="auto" w:sz="4" w:space="0"/>
              <w:left w:val="nil"/>
              <w:bottom w:val="single" w:color="auto" w:sz="4" w:space="0"/>
              <w:right w:val="single" w:color="auto" w:sz="4" w:space="0"/>
            </w:tcBorders>
            <w:noWrap w:val="0"/>
            <w:vAlign w:val="center"/>
          </w:tcPr>
          <w:p>
            <w:pPr>
              <w:spacing w:line="276" w:lineRule="auto"/>
              <w:rPr>
                <w:rFonts w:ascii="宋体" w:hAnsi="宋体" w:cs="Arial"/>
                <w:color w:val="000000"/>
                <w:sz w:val="24"/>
                <w:szCs w:val="24"/>
              </w:rPr>
            </w:pPr>
            <w:r>
              <w:rPr>
                <w:rFonts w:hint="eastAsia" w:ascii="宋体" w:hAnsi="宋体" w:cs="Arial"/>
                <w:color w:val="000000"/>
                <w:sz w:val="24"/>
                <w:szCs w:val="24"/>
              </w:rPr>
              <w:t>支持对Web、FTP、电子邮件等应用系统、Apache等web中间件服务器以及Office等常用软件进行漏洞扫描；</w:t>
            </w:r>
          </w:p>
        </w:tc>
      </w:tr>
      <w:tr>
        <w:tblPrEx>
          <w:tblLayout w:type="fixed"/>
          <w:tblCellMar>
            <w:top w:w="0" w:type="dxa"/>
            <w:left w:w="108" w:type="dxa"/>
            <w:bottom w:w="0" w:type="dxa"/>
            <w:right w:w="108" w:type="dxa"/>
          </w:tblCellMar>
        </w:tblPrEx>
        <w:trPr>
          <w:trHeight w:val="184" w:hRule="atLeast"/>
          <w:jc w:val="center"/>
        </w:trPr>
        <w:tc>
          <w:tcPr>
            <w:tcW w:w="1243" w:type="dxa"/>
            <w:vMerge w:val="continue"/>
            <w:tcBorders>
              <w:left w:val="single" w:color="auto" w:sz="4" w:space="0"/>
              <w:right w:val="single" w:color="auto" w:sz="4" w:space="0"/>
            </w:tcBorders>
            <w:noWrap w:val="0"/>
            <w:vAlign w:val="center"/>
          </w:tcPr>
          <w:p>
            <w:pPr>
              <w:jc w:val="center"/>
              <w:rPr>
                <w:rFonts w:ascii="仿宋" w:hAnsi="仿宋" w:eastAsia="仿宋" w:cs="宋体"/>
                <w:color w:val="000000"/>
                <w:kern w:val="0"/>
                <w:sz w:val="24"/>
                <w:szCs w:val="24"/>
              </w:rPr>
            </w:pPr>
          </w:p>
        </w:tc>
        <w:tc>
          <w:tcPr>
            <w:tcW w:w="7086" w:type="dxa"/>
            <w:tcBorders>
              <w:top w:val="single" w:color="auto" w:sz="4" w:space="0"/>
              <w:left w:val="nil"/>
              <w:bottom w:val="single" w:color="auto" w:sz="4" w:space="0"/>
              <w:right w:val="single" w:color="auto" w:sz="4" w:space="0"/>
            </w:tcBorders>
            <w:noWrap w:val="0"/>
            <w:vAlign w:val="center"/>
          </w:tcPr>
          <w:p>
            <w:pPr>
              <w:spacing w:line="276" w:lineRule="auto"/>
              <w:rPr>
                <w:rFonts w:ascii="宋体" w:hAnsi="宋体" w:cs="Arial"/>
                <w:color w:val="000000"/>
                <w:sz w:val="24"/>
                <w:szCs w:val="24"/>
              </w:rPr>
            </w:pPr>
            <w:r>
              <w:rPr>
                <w:rFonts w:ascii="宋体" w:hAnsi="宋体" w:cs="Arial"/>
                <w:color w:val="000000"/>
                <w:sz w:val="24"/>
                <w:szCs w:val="24"/>
              </w:rPr>
              <w:t>可以自定义扫描端口范围、端口扫描策略</w:t>
            </w:r>
          </w:p>
        </w:tc>
      </w:tr>
      <w:tr>
        <w:tblPrEx>
          <w:tblLayout w:type="fixed"/>
          <w:tblCellMar>
            <w:top w:w="0" w:type="dxa"/>
            <w:left w:w="108" w:type="dxa"/>
            <w:bottom w:w="0" w:type="dxa"/>
            <w:right w:w="108" w:type="dxa"/>
          </w:tblCellMar>
        </w:tblPrEx>
        <w:trPr>
          <w:trHeight w:val="184" w:hRule="atLeast"/>
          <w:jc w:val="center"/>
        </w:trPr>
        <w:tc>
          <w:tcPr>
            <w:tcW w:w="1243" w:type="dxa"/>
            <w:vMerge w:val="continue"/>
            <w:tcBorders>
              <w:left w:val="single" w:color="auto" w:sz="4" w:space="0"/>
              <w:right w:val="single" w:color="auto" w:sz="4" w:space="0"/>
            </w:tcBorders>
            <w:noWrap w:val="0"/>
            <w:vAlign w:val="center"/>
          </w:tcPr>
          <w:p>
            <w:pPr>
              <w:jc w:val="center"/>
              <w:rPr>
                <w:rFonts w:ascii="仿宋" w:hAnsi="仿宋" w:eastAsia="仿宋" w:cs="宋体"/>
                <w:color w:val="000000"/>
                <w:kern w:val="0"/>
                <w:sz w:val="24"/>
                <w:szCs w:val="24"/>
              </w:rPr>
            </w:pPr>
          </w:p>
        </w:tc>
        <w:tc>
          <w:tcPr>
            <w:tcW w:w="7086" w:type="dxa"/>
            <w:tcBorders>
              <w:top w:val="single" w:color="auto" w:sz="4" w:space="0"/>
              <w:left w:val="nil"/>
              <w:bottom w:val="single" w:color="auto" w:sz="4" w:space="0"/>
              <w:right w:val="single" w:color="auto" w:sz="4" w:space="0"/>
            </w:tcBorders>
            <w:noWrap w:val="0"/>
            <w:vAlign w:val="center"/>
          </w:tcPr>
          <w:p>
            <w:pPr>
              <w:spacing w:line="276" w:lineRule="auto"/>
              <w:rPr>
                <w:rFonts w:ascii="宋体" w:hAnsi="宋体" w:cs="Arial"/>
                <w:color w:val="000000"/>
                <w:sz w:val="24"/>
                <w:szCs w:val="24"/>
              </w:rPr>
            </w:pPr>
            <w:r>
              <w:rPr>
                <w:rFonts w:hint="eastAsia" w:ascii="宋体" w:hAnsi="宋体" w:cs="Arial"/>
                <w:color w:val="000000"/>
                <w:sz w:val="24"/>
                <w:szCs w:val="24"/>
              </w:rPr>
              <w:t>提供采用SMB、SSH等协议对Windows、Linux系统进行登录</w:t>
            </w:r>
            <w:r>
              <w:rPr>
                <w:rFonts w:ascii="宋体" w:hAnsi="宋体" w:cs="Arial"/>
                <w:color w:val="000000"/>
                <w:sz w:val="24"/>
                <w:szCs w:val="24"/>
              </w:rPr>
              <w:t>授权</w:t>
            </w:r>
            <w:r>
              <w:rPr>
                <w:rFonts w:hint="eastAsia" w:ascii="宋体" w:hAnsi="宋体" w:cs="Arial"/>
                <w:color w:val="000000"/>
                <w:sz w:val="24"/>
                <w:szCs w:val="24"/>
              </w:rPr>
              <w:t xml:space="preserve">扫描。 </w:t>
            </w:r>
          </w:p>
        </w:tc>
      </w:tr>
      <w:tr>
        <w:tblPrEx>
          <w:tblLayout w:type="fixed"/>
          <w:tblCellMar>
            <w:top w:w="0" w:type="dxa"/>
            <w:left w:w="108" w:type="dxa"/>
            <w:bottom w:w="0" w:type="dxa"/>
            <w:right w:w="108" w:type="dxa"/>
          </w:tblCellMar>
        </w:tblPrEx>
        <w:trPr>
          <w:trHeight w:val="184" w:hRule="atLeast"/>
          <w:jc w:val="center"/>
        </w:trPr>
        <w:tc>
          <w:tcPr>
            <w:tcW w:w="1243" w:type="dxa"/>
            <w:vMerge w:val="continue"/>
            <w:tcBorders>
              <w:left w:val="single" w:color="auto" w:sz="4" w:space="0"/>
              <w:right w:val="single" w:color="auto" w:sz="4" w:space="0"/>
            </w:tcBorders>
            <w:noWrap w:val="0"/>
            <w:vAlign w:val="center"/>
          </w:tcPr>
          <w:p>
            <w:pPr>
              <w:jc w:val="center"/>
              <w:rPr>
                <w:rFonts w:ascii="仿宋" w:hAnsi="仿宋" w:eastAsia="仿宋" w:cs="宋体"/>
                <w:color w:val="000000"/>
                <w:kern w:val="0"/>
                <w:sz w:val="24"/>
                <w:szCs w:val="24"/>
              </w:rPr>
            </w:pPr>
          </w:p>
        </w:tc>
        <w:tc>
          <w:tcPr>
            <w:tcW w:w="7086" w:type="dxa"/>
            <w:tcBorders>
              <w:top w:val="single" w:color="auto" w:sz="4" w:space="0"/>
              <w:left w:val="nil"/>
              <w:bottom w:val="single" w:color="auto" w:sz="4" w:space="0"/>
              <w:right w:val="single" w:color="auto" w:sz="4" w:space="0"/>
            </w:tcBorders>
            <w:noWrap w:val="0"/>
            <w:vAlign w:val="center"/>
          </w:tcPr>
          <w:p>
            <w:pPr>
              <w:spacing w:line="276" w:lineRule="auto"/>
              <w:rPr>
                <w:rFonts w:ascii="宋体" w:hAnsi="宋体" w:cs="Arial"/>
                <w:color w:val="000000"/>
                <w:sz w:val="24"/>
                <w:szCs w:val="24"/>
              </w:rPr>
            </w:pPr>
            <w:r>
              <w:rPr>
                <w:rFonts w:ascii="宋体" w:hAnsi="宋体" w:cs="Arial"/>
                <w:color w:val="000000"/>
                <w:sz w:val="24"/>
                <w:szCs w:val="24"/>
              </w:rPr>
              <w:t>具备弱口令扫描功能，提供多种弱口令扫描协议，包括</w:t>
            </w:r>
            <w:r>
              <w:rPr>
                <w:rFonts w:hint="eastAsia" w:ascii="宋体" w:hAnsi="宋体" w:cs="Arial"/>
                <w:color w:val="000000"/>
                <w:sz w:val="24"/>
                <w:szCs w:val="24"/>
              </w:rPr>
              <w:t>SMB、RDP、SSH、TELNET、FTP、SMTP、IMAP、POP3、MySQL、MSSQL、REDIS、RTSP</w:t>
            </w:r>
            <w:r>
              <w:rPr>
                <w:rFonts w:ascii="宋体" w:hAnsi="宋体" w:cs="Arial"/>
                <w:color w:val="000000"/>
                <w:sz w:val="24"/>
                <w:szCs w:val="24"/>
              </w:rPr>
              <w:t>等协议进行弱口令扫描，允许用户自定义用户、密码字典。</w:t>
            </w:r>
          </w:p>
        </w:tc>
      </w:tr>
      <w:tr>
        <w:tblPrEx>
          <w:tblLayout w:type="fixed"/>
          <w:tblCellMar>
            <w:top w:w="0" w:type="dxa"/>
            <w:left w:w="108" w:type="dxa"/>
            <w:bottom w:w="0" w:type="dxa"/>
            <w:right w:w="108" w:type="dxa"/>
          </w:tblCellMar>
        </w:tblPrEx>
        <w:trPr>
          <w:trHeight w:val="184" w:hRule="atLeast"/>
          <w:jc w:val="center"/>
        </w:trPr>
        <w:tc>
          <w:tcPr>
            <w:tcW w:w="1243" w:type="dxa"/>
            <w:vMerge w:val="continue"/>
            <w:tcBorders>
              <w:left w:val="single" w:color="auto" w:sz="4" w:space="0"/>
              <w:right w:val="single" w:color="auto" w:sz="4" w:space="0"/>
            </w:tcBorders>
            <w:noWrap w:val="0"/>
            <w:vAlign w:val="center"/>
          </w:tcPr>
          <w:p>
            <w:pPr>
              <w:jc w:val="center"/>
              <w:rPr>
                <w:rFonts w:ascii="仿宋" w:hAnsi="仿宋" w:eastAsia="仿宋" w:cs="宋体"/>
                <w:color w:val="000000"/>
                <w:kern w:val="0"/>
                <w:sz w:val="24"/>
                <w:szCs w:val="24"/>
              </w:rPr>
            </w:pPr>
          </w:p>
        </w:tc>
        <w:tc>
          <w:tcPr>
            <w:tcW w:w="7086" w:type="dxa"/>
            <w:tcBorders>
              <w:top w:val="single" w:color="auto" w:sz="4" w:space="0"/>
              <w:left w:val="nil"/>
              <w:bottom w:val="single" w:color="auto" w:sz="4" w:space="0"/>
              <w:right w:val="single" w:color="auto" w:sz="4" w:space="0"/>
            </w:tcBorders>
            <w:noWrap w:val="0"/>
            <w:vAlign w:val="center"/>
          </w:tcPr>
          <w:p>
            <w:pPr>
              <w:spacing w:line="276" w:lineRule="auto"/>
              <w:rPr>
                <w:rFonts w:ascii="宋体" w:hAnsi="宋体" w:cs="Arial"/>
                <w:color w:val="000000"/>
                <w:sz w:val="24"/>
                <w:szCs w:val="24"/>
              </w:rPr>
            </w:pPr>
            <w:r>
              <w:rPr>
                <w:rFonts w:ascii="宋体" w:hAnsi="宋体" w:cs="Arial"/>
                <w:color w:val="000000"/>
                <w:sz w:val="24"/>
                <w:szCs w:val="24"/>
              </w:rPr>
              <w:t>支持发现非默认端口启动的服务，支持服务的协议识别、版本</w:t>
            </w:r>
          </w:p>
        </w:tc>
      </w:tr>
      <w:tr>
        <w:tblPrEx>
          <w:tblLayout w:type="fixed"/>
          <w:tblCellMar>
            <w:top w:w="0" w:type="dxa"/>
            <w:left w:w="108" w:type="dxa"/>
            <w:bottom w:w="0" w:type="dxa"/>
            <w:right w:w="108" w:type="dxa"/>
          </w:tblCellMar>
        </w:tblPrEx>
        <w:trPr>
          <w:trHeight w:val="184" w:hRule="atLeast"/>
          <w:jc w:val="center"/>
        </w:trPr>
        <w:tc>
          <w:tcPr>
            <w:tcW w:w="1243" w:type="dxa"/>
            <w:vMerge w:val="continue"/>
            <w:tcBorders>
              <w:left w:val="single" w:color="auto" w:sz="4" w:space="0"/>
              <w:right w:val="single" w:color="auto" w:sz="4" w:space="0"/>
            </w:tcBorders>
            <w:noWrap w:val="0"/>
            <w:vAlign w:val="center"/>
          </w:tcPr>
          <w:p>
            <w:pPr>
              <w:jc w:val="center"/>
              <w:rPr>
                <w:rFonts w:ascii="仿宋" w:hAnsi="仿宋" w:eastAsia="仿宋" w:cs="宋体"/>
                <w:color w:val="000000"/>
                <w:kern w:val="0"/>
                <w:sz w:val="24"/>
                <w:szCs w:val="24"/>
              </w:rPr>
            </w:pPr>
          </w:p>
        </w:tc>
        <w:tc>
          <w:tcPr>
            <w:tcW w:w="7086" w:type="dxa"/>
            <w:tcBorders>
              <w:top w:val="single" w:color="auto" w:sz="4" w:space="0"/>
              <w:left w:val="nil"/>
              <w:bottom w:val="single" w:color="auto" w:sz="4" w:space="0"/>
              <w:right w:val="single" w:color="auto" w:sz="4" w:space="0"/>
            </w:tcBorders>
            <w:noWrap w:val="0"/>
            <w:vAlign w:val="center"/>
          </w:tcPr>
          <w:p>
            <w:pPr>
              <w:spacing w:line="276" w:lineRule="auto"/>
              <w:rPr>
                <w:rFonts w:ascii="宋体" w:hAnsi="宋体" w:cs="Arial"/>
                <w:color w:val="000000"/>
                <w:sz w:val="24"/>
                <w:szCs w:val="24"/>
              </w:rPr>
            </w:pPr>
            <w:r>
              <w:rPr>
                <w:rFonts w:ascii="宋体" w:hAnsi="宋体" w:cs="Arial"/>
                <w:color w:val="000000"/>
                <w:sz w:val="24"/>
                <w:szCs w:val="24"/>
              </w:rPr>
              <w:t>可根据端口识别出的软件版本提供可能存在的相关漏洞列表</w:t>
            </w:r>
          </w:p>
        </w:tc>
      </w:tr>
      <w:tr>
        <w:tblPrEx>
          <w:tblLayout w:type="fixed"/>
          <w:tblCellMar>
            <w:top w:w="0" w:type="dxa"/>
            <w:left w:w="108" w:type="dxa"/>
            <w:bottom w:w="0" w:type="dxa"/>
            <w:right w:w="108" w:type="dxa"/>
          </w:tblCellMar>
        </w:tblPrEx>
        <w:trPr>
          <w:trHeight w:val="184" w:hRule="atLeast"/>
          <w:jc w:val="center"/>
        </w:trPr>
        <w:tc>
          <w:tcPr>
            <w:tcW w:w="1243" w:type="dxa"/>
            <w:vMerge w:val="continue"/>
            <w:tcBorders>
              <w:left w:val="single" w:color="auto" w:sz="4" w:space="0"/>
              <w:bottom w:val="single" w:color="auto" w:sz="4" w:space="0"/>
              <w:right w:val="single" w:color="auto" w:sz="4" w:space="0"/>
            </w:tcBorders>
            <w:noWrap w:val="0"/>
            <w:vAlign w:val="center"/>
          </w:tcPr>
          <w:p>
            <w:pPr>
              <w:jc w:val="center"/>
              <w:rPr>
                <w:rFonts w:ascii="仿宋" w:hAnsi="仿宋" w:eastAsia="仿宋" w:cs="宋体"/>
                <w:color w:val="000000"/>
                <w:kern w:val="0"/>
                <w:sz w:val="24"/>
                <w:szCs w:val="24"/>
              </w:rPr>
            </w:pPr>
          </w:p>
        </w:tc>
        <w:tc>
          <w:tcPr>
            <w:tcW w:w="7086" w:type="dxa"/>
            <w:tcBorders>
              <w:top w:val="single" w:color="auto" w:sz="4" w:space="0"/>
              <w:left w:val="nil"/>
              <w:bottom w:val="single" w:color="auto" w:sz="4" w:space="0"/>
              <w:right w:val="single" w:color="auto" w:sz="4" w:space="0"/>
            </w:tcBorders>
            <w:noWrap w:val="0"/>
            <w:vAlign w:val="center"/>
          </w:tcPr>
          <w:p>
            <w:pPr>
              <w:spacing w:line="276" w:lineRule="auto"/>
              <w:rPr>
                <w:rFonts w:ascii="宋体" w:hAnsi="宋体" w:cs="Arial"/>
                <w:color w:val="000000"/>
                <w:sz w:val="24"/>
                <w:szCs w:val="24"/>
              </w:rPr>
            </w:pPr>
            <w:r>
              <w:rPr>
                <w:rFonts w:hint="eastAsia" w:ascii="宋体" w:hAnsi="宋体" w:cs="Arial"/>
                <w:color w:val="000000"/>
                <w:sz w:val="24"/>
                <w:szCs w:val="24"/>
              </w:rPr>
              <w:t>支持HTML、WORD、PDF、XLS报告格式</w:t>
            </w:r>
          </w:p>
        </w:tc>
      </w:tr>
      <w:tr>
        <w:tblPrEx>
          <w:tblLayout w:type="fixed"/>
          <w:tblCellMar>
            <w:top w:w="0" w:type="dxa"/>
            <w:left w:w="108" w:type="dxa"/>
            <w:bottom w:w="0" w:type="dxa"/>
            <w:right w:w="108" w:type="dxa"/>
          </w:tblCellMar>
        </w:tblPrEx>
        <w:trPr>
          <w:trHeight w:val="184" w:hRule="atLeast"/>
          <w:jc w:val="center"/>
        </w:trPr>
        <w:tc>
          <w:tcPr>
            <w:tcW w:w="12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数据库弱点扫描模块</w:t>
            </w:r>
          </w:p>
        </w:tc>
        <w:tc>
          <w:tcPr>
            <w:tcW w:w="7086" w:type="dxa"/>
            <w:tcBorders>
              <w:top w:val="single" w:color="auto" w:sz="4" w:space="0"/>
              <w:left w:val="nil"/>
              <w:bottom w:val="single" w:color="auto" w:sz="4" w:space="0"/>
              <w:right w:val="single" w:color="auto" w:sz="4" w:space="0"/>
            </w:tcBorders>
            <w:noWrap w:val="0"/>
            <w:vAlign w:val="center"/>
          </w:tcPr>
          <w:p>
            <w:pPr>
              <w:spacing w:line="276" w:lineRule="auto"/>
              <w:rPr>
                <w:rFonts w:ascii="宋体" w:hAnsi="宋体" w:cs="Arial"/>
                <w:color w:val="000000"/>
                <w:sz w:val="24"/>
                <w:szCs w:val="24"/>
              </w:rPr>
            </w:pPr>
            <w:r>
              <w:rPr>
                <w:rFonts w:ascii="宋体" w:hAnsi="宋体" w:cs="Arial"/>
                <w:color w:val="000000"/>
                <w:sz w:val="24"/>
                <w:szCs w:val="24"/>
              </w:rPr>
              <w:t>支持Oracle、</w:t>
            </w:r>
            <w:r>
              <w:rPr>
                <w:rFonts w:hint="eastAsia" w:ascii="宋体" w:hAnsi="宋体" w:cs="Arial"/>
                <w:color w:val="000000"/>
                <w:sz w:val="24"/>
                <w:szCs w:val="24"/>
              </w:rPr>
              <w:t>Mysql、SQLServer、DB2、informix、达梦、人大金仓的</w:t>
            </w:r>
            <w:r>
              <w:rPr>
                <w:rFonts w:ascii="宋体" w:hAnsi="宋体" w:cs="Arial"/>
                <w:color w:val="000000"/>
                <w:sz w:val="24"/>
                <w:szCs w:val="24"/>
              </w:rPr>
              <w:t>授权</w:t>
            </w:r>
            <w:r>
              <w:rPr>
                <w:rFonts w:hint="eastAsia" w:ascii="宋体" w:hAnsi="宋体" w:cs="Arial"/>
                <w:color w:val="000000"/>
                <w:sz w:val="24"/>
                <w:szCs w:val="24"/>
              </w:rPr>
              <w:t>数据库漏洞扫描，提供产品截图；</w:t>
            </w:r>
          </w:p>
        </w:tc>
      </w:tr>
      <w:tr>
        <w:tblPrEx>
          <w:tblLayout w:type="fixed"/>
          <w:tblCellMar>
            <w:top w:w="0" w:type="dxa"/>
            <w:left w:w="108" w:type="dxa"/>
            <w:bottom w:w="0" w:type="dxa"/>
            <w:right w:w="108" w:type="dxa"/>
          </w:tblCellMar>
        </w:tblPrEx>
        <w:trPr>
          <w:trHeight w:val="573" w:hRule="atLeast"/>
          <w:jc w:val="center"/>
        </w:trPr>
        <w:tc>
          <w:tcPr>
            <w:tcW w:w="124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WEB应用弱点扫描模块</w:t>
            </w:r>
          </w:p>
        </w:tc>
        <w:tc>
          <w:tcPr>
            <w:tcW w:w="7086" w:type="dxa"/>
            <w:tcBorders>
              <w:top w:val="single" w:color="auto" w:sz="4" w:space="0"/>
              <w:left w:val="nil"/>
              <w:bottom w:val="single" w:color="auto" w:sz="4" w:space="0"/>
              <w:right w:val="single" w:color="auto" w:sz="4" w:space="0"/>
            </w:tcBorders>
            <w:noWrap w:val="0"/>
            <w:vAlign w:val="center"/>
          </w:tcPr>
          <w:p>
            <w:pPr>
              <w:spacing w:line="276" w:lineRule="auto"/>
              <w:rPr>
                <w:rFonts w:ascii="宋体" w:hAnsi="宋体" w:cs="Arial"/>
                <w:color w:val="000000"/>
                <w:sz w:val="24"/>
                <w:szCs w:val="24"/>
              </w:rPr>
            </w:pPr>
            <w:r>
              <w:rPr>
                <w:rFonts w:ascii="宋体" w:hAnsi="宋体" w:cs="Arial"/>
                <w:color w:val="000000"/>
                <w:sz w:val="24"/>
                <w:szCs w:val="24"/>
              </w:rPr>
              <w:t>支持识别国内外主流Web应用防火墙品牌</w:t>
            </w:r>
            <w:r>
              <w:rPr>
                <w:rFonts w:hint="eastAsia" w:ascii="宋体" w:hAnsi="宋体" w:cs="Arial"/>
                <w:color w:val="000000"/>
                <w:sz w:val="24"/>
                <w:szCs w:val="24"/>
              </w:rPr>
              <w:t>；</w:t>
            </w:r>
          </w:p>
        </w:tc>
      </w:tr>
      <w:tr>
        <w:tblPrEx>
          <w:tblLayout w:type="fixed"/>
          <w:tblCellMar>
            <w:top w:w="0" w:type="dxa"/>
            <w:left w:w="108" w:type="dxa"/>
            <w:bottom w:w="0" w:type="dxa"/>
            <w:right w:w="108" w:type="dxa"/>
          </w:tblCellMar>
        </w:tblPrEx>
        <w:trPr>
          <w:trHeight w:val="184" w:hRule="atLeast"/>
          <w:jc w:val="center"/>
        </w:trPr>
        <w:tc>
          <w:tcPr>
            <w:tcW w:w="1243"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szCs w:val="24"/>
              </w:rPr>
            </w:pPr>
          </w:p>
        </w:tc>
        <w:tc>
          <w:tcPr>
            <w:tcW w:w="7086" w:type="dxa"/>
            <w:tcBorders>
              <w:top w:val="single" w:color="auto" w:sz="4" w:space="0"/>
              <w:left w:val="nil"/>
              <w:bottom w:val="single" w:color="auto" w:sz="4" w:space="0"/>
              <w:right w:val="single" w:color="auto" w:sz="4" w:space="0"/>
            </w:tcBorders>
            <w:noWrap w:val="0"/>
            <w:vAlign w:val="center"/>
          </w:tcPr>
          <w:p>
            <w:pPr>
              <w:spacing w:line="276" w:lineRule="auto"/>
              <w:rPr>
                <w:rFonts w:ascii="宋体" w:hAnsi="宋体" w:cs="Arial"/>
                <w:color w:val="000000"/>
                <w:sz w:val="24"/>
                <w:szCs w:val="24"/>
              </w:rPr>
            </w:pPr>
            <w:r>
              <w:rPr>
                <w:rFonts w:hint="eastAsia" w:ascii="宋体" w:hAnsi="宋体" w:cs="Arial"/>
                <w:color w:val="000000"/>
                <w:sz w:val="24"/>
                <w:szCs w:val="24"/>
              </w:rPr>
              <w:t>支持各种WEB应用系统以及各种典型的应用漏洞进行检测（如SQL注入、Cookie注入、XPath注入、LDAP注入、跨站脚本、代码注入、表单绕过、弱口令、敏感文件和目录、管理后台、敏感数据、第三方软件等）；</w:t>
            </w:r>
          </w:p>
        </w:tc>
      </w:tr>
      <w:tr>
        <w:tblPrEx>
          <w:tblLayout w:type="fixed"/>
          <w:tblCellMar>
            <w:top w:w="0" w:type="dxa"/>
            <w:left w:w="108" w:type="dxa"/>
            <w:bottom w:w="0" w:type="dxa"/>
            <w:right w:w="108" w:type="dxa"/>
          </w:tblCellMar>
        </w:tblPrEx>
        <w:trPr>
          <w:trHeight w:val="184" w:hRule="atLeast"/>
          <w:jc w:val="center"/>
        </w:trPr>
        <w:tc>
          <w:tcPr>
            <w:tcW w:w="124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kern w:val="0"/>
                <w:sz w:val="24"/>
                <w:szCs w:val="24"/>
              </w:rPr>
            </w:pPr>
            <w:r>
              <w:rPr>
                <w:rFonts w:hint="eastAsia" w:ascii="宋体" w:hAnsi="宋体" w:cs="宋体"/>
                <w:color w:val="000000"/>
                <w:kern w:val="0"/>
                <w:sz w:val="24"/>
                <w:szCs w:val="24"/>
              </w:rPr>
              <w:t>质保</w:t>
            </w:r>
          </w:p>
        </w:tc>
        <w:tc>
          <w:tcPr>
            <w:tcW w:w="7086"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Arial"/>
                <w:color w:val="000000"/>
                <w:sz w:val="24"/>
                <w:szCs w:val="24"/>
              </w:rPr>
            </w:pPr>
            <w:r>
              <w:rPr>
                <w:rFonts w:hint="eastAsia" w:ascii="宋体" w:hAnsi="宋体" w:cs="Arial"/>
                <w:color w:val="000000"/>
                <w:sz w:val="24"/>
                <w:szCs w:val="24"/>
              </w:rPr>
              <w:t>原厂五年软硬件上门质保服务；中标后签订合同前提供原厂商质保承诺函。</w:t>
            </w:r>
          </w:p>
        </w:tc>
      </w:tr>
    </w:tbl>
    <w:p>
      <w:pPr>
        <w:outlineLvl w:val="1"/>
        <w:rPr>
          <w:rFonts w:hint="eastAsia" w:ascii="宋体" w:hAnsi="宋体"/>
          <w:b/>
          <w:bCs/>
          <w:color w:val="000000"/>
          <w:sz w:val="24"/>
          <w:szCs w:val="24"/>
        </w:rPr>
      </w:pPr>
    </w:p>
    <w:p>
      <w:pPr>
        <w:outlineLvl w:val="1"/>
        <w:rPr>
          <w:rFonts w:ascii="宋体" w:hAnsi="宋体"/>
          <w:b/>
          <w:bCs/>
          <w:color w:val="000000"/>
          <w:sz w:val="24"/>
          <w:szCs w:val="24"/>
        </w:rPr>
      </w:pPr>
      <w:r>
        <w:rPr>
          <w:rFonts w:hint="eastAsia" w:ascii="宋体" w:hAnsi="宋体"/>
          <w:b/>
          <w:bCs/>
          <w:color w:val="000000"/>
          <w:sz w:val="24"/>
          <w:szCs w:val="24"/>
        </w:rPr>
        <w:t>28.态势感知</w:t>
      </w:r>
    </w:p>
    <w:tbl>
      <w:tblPr>
        <w:tblStyle w:val="23"/>
        <w:tblW w:w="8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43"/>
        <w:gridCol w:w="7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1243" w:type="dxa"/>
            <w:noWrap w:val="0"/>
            <w:tcMar>
              <w:top w:w="0" w:type="dxa"/>
              <w:left w:w="108" w:type="dxa"/>
              <w:bottom w:w="0" w:type="dxa"/>
              <w:right w:w="108" w:type="dxa"/>
            </w:tcMar>
            <w:vAlign w:val="center"/>
          </w:tcPr>
          <w:p>
            <w:pPr>
              <w:widowControl/>
              <w:jc w:val="left"/>
              <w:rPr>
                <w:rFonts w:ascii="宋体" w:hAnsi="宋体"/>
                <w:kern w:val="0"/>
                <w:sz w:val="24"/>
                <w:szCs w:val="24"/>
              </w:rPr>
            </w:pPr>
            <w:r>
              <w:rPr>
                <w:rFonts w:hint="eastAsia" w:ascii="宋体" w:hAnsi="宋体" w:cs="宋体"/>
                <w:color w:val="000000"/>
                <w:sz w:val="24"/>
                <w:szCs w:val="24"/>
              </w:rPr>
              <w:t>技术指标</w:t>
            </w:r>
          </w:p>
        </w:tc>
        <w:tc>
          <w:tcPr>
            <w:tcW w:w="7034" w:type="dxa"/>
            <w:noWrap w:val="0"/>
            <w:tcMar>
              <w:top w:w="0" w:type="dxa"/>
              <w:left w:w="108" w:type="dxa"/>
              <w:bottom w:w="0" w:type="dxa"/>
              <w:right w:w="108" w:type="dxa"/>
            </w:tcMar>
            <w:vAlign w:val="center"/>
          </w:tcPr>
          <w:p>
            <w:pPr>
              <w:widowControl/>
              <w:adjustRightInd w:val="0"/>
              <w:jc w:val="center"/>
              <w:rPr>
                <w:rFonts w:ascii="宋体" w:hAnsi="宋体" w:cs="Arial"/>
                <w:kern w:val="0"/>
                <w:sz w:val="24"/>
                <w:szCs w:val="24"/>
              </w:rPr>
            </w:pPr>
            <w:r>
              <w:rPr>
                <w:rFonts w:hint="eastAsia" w:ascii="宋体" w:hAnsi="宋体" w:cs="宋体"/>
                <w:color w:val="000000"/>
                <w:sz w:val="24"/>
                <w:szCs w:val="24"/>
              </w:rPr>
              <w:t>设备技术要求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1243" w:type="dxa"/>
            <w:vMerge w:val="restart"/>
            <w:noWrap w:val="0"/>
            <w:tcMar>
              <w:top w:w="0" w:type="dxa"/>
              <w:left w:w="108" w:type="dxa"/>
              <w:bottom w:w="0" w:type="dxa"/>
              <w:right w:w="108" w:type="dxa"/>
            </w:tcMar>
            <w:vAlign w:val="center"/>
          </w:tcPr>
          <w:p>
            <w:pPr>
              <w:widowControl/>
              <w:jc w:val="left"/>
              <w:rPr>
                <w:rFonts w:ascii="宋体" w:hAnsi="宋体" w:cs="宋体"/>
                <w:color w:val="000000"/>
                <w:sz w:val="24"/>
                <w:szCs w:val="24"/>
              </w:rPr>
            </w:pPr>
            <w:r>
              <w:rPr>
                <w:rFonts w:hint="eastAsia" w:ascii="宋体" w:hAnsi="宋体" w:cs="宋体"/>
                <w:color w:val="000000"/>
                <w:sz w:val="24"/>
                <w:szCs w:val="24"/>
              </w:rPr>
              <w:t>▲硬件配置要求</w:t>
            </w:r>
          </w:p>
        </w:tc>
        <w:tc>
          <w:tcPr>
            <w:tcW w:w="7034" w:type="dxa"/>
            <w:noWrap w:val="0"/>
            <w:tcMar>
              <w:top w:w="0" w:type="dxa"/>
              <w:left w:w="108" w:type="dxa"/>
              <w:bottom w:w="0" w:type="dxa"/>
              <w:right w:w="108" w:type="dxa"/>
            </w:tcMar>
            <w:vAlign w:val="center"/>
          </w:tcPr>
          <w:p>
            <w:pPr>
              <w:widowControl/>
              <w:adjustRightInd w:val="0"/>
              <w:jc w:val="left"/>
              <w:rPr>
                <w:rFonts w:ascii="宋体" w:hAnsi="宋体" w:cs="宋体"/>
                <w:color w:val="000000"/>
                <w:sz w:val="24"/>
                <w:szCs w:val="24"/>
              </w:rPr>
            </w:pPr>
            <w:r>
              <w:rPr>
                <w:rFonts w:hint="eastAsia" w:ascii="宋体" w:hAnsi="宋体" w:cs="宋体"/>
                <w:color w:val="000000"/>
                <w:sz w:val="24"/>
                <w:szCs w:val="24"/>
              </w:rPr>
              <w:t>CPU： 2颗≥1</w:t>
            </w:r>
            <w:r>
              <w:rPr>
                <w:rFonts w:ascii="宋体" w:hAnsi="宋体" w:cs="宋体"/>
                <w:color w:val="000000"/>
                <w:sz w:val="24"/>
                <w:szCs w:val="24"/>
              </w:rPr>
              <w:t>0</w:t>
            </w:r>
            <w:r>
              <w:rPr>
                <w:rFonts w:hint="eastAsia" w:ascii="宋体" w:hAnsi="宋体" w:cs="宋体"/>
                <w:color w:val="000000"/>
                <w:sz w:val="24"/>
                <w:szCs w:val="24"/>
              </w:rPr>
              <w:t>核CPU主频2</w:t>
            </w:r>
            <w:r>
              <w:rPr>
                <w:rFonts w:ascii="宋体" w:hAnsi="宋体" w:cs="宋体"/>
                <w:color w:val="000000"/>
                <w:sz w:val="24"/>
                <w:szCs w:val="24"/>
              </w:rPr>
              <w:t>.20GH</w:t>
            </w:r>
            <w:r>
              <w:rPr>
                <w:rFonts w:hint="eastAsia" w:ascii="宋体" w:hAnsi="宋体" w:cs="宋体"/>
                <w:color w:val="000000"/>
                <w:sz w:val="24"/>
                <w:szCs w:val="24"/>
              </w:rPr>
              <w:t>z以上；</w:t>
            </w:r>
          </w:p>
          <w:p>
            <w:pPr>
              <w:widowControl/>
              <w:adjustRightInd w:val="0"/>
              <w:jc w:val="left"/>
              <w:rPr>
                <w:rFonts w:ascii="宋体" w:hAnsi="宋体" w:cs="宋体"/>
                <w:color w:val="000000"/>
                <w:sz w:val="24"/>
                <w:szCs w:val="24"/>
              </w:rPr>
            </w:pPr>
            <w:r>
              <w:rPr>
                <w:rFonts w:hint="eastAsia" w:ascii="宋体" w:hAnsi="宋体" w:cs="宋体"/>
                <w:color w:val="000000"/>
                <w:sz w:val="24"/>
                <w:szCs w:val="24"/>
              </w:rPr>
              <w:t>内存：≥256G。</w:t>
            </w:r>
          </w:p>
          <w:p>
            <w:pPr>
              <w:widowControl/>
              <w:adjustRightInd w:val="0"/>
              <w:jc w:val="left"/>
              <w:rPr>
                <w:rFonts w:ascii="宋体" w:hAnsi="宋体" w:cs="宋体"/>
                <w:color w:val="000000"/>
                <w:sz w:val="24"/>
                <w:szCs w:val="24"/>
              </w:rPr>
            </w:pPr>
            <w:r>
              <w:rPr>
                <w:rFonts w:hint="eastAsia" w:ascii="宋体" w:hAnsi="宋体" w:cs="宋体"/>
                <w:color w:val="000000"/>
                <w:sz w:val="24"/>
                <w:szCs w:val="24"/>
              </w:rPr>
              <w:t>系统盘：</w:t>
            </w:r>
            <w:r>
              <w:rPr>
                <w:rFonts w:hint="eastAsia" w:ascii="宋体" w:hAnsi="宋体" w:cs="宋体"/>
                <w:color w:val="FF0000"/>
                <w:sz w:val="24"/>
                <w:szCs w:val="24"/>
                <w:lang w:val="en-US" w:eastAsia="zh-CN"/>
              </w:rPr>
              <w:t>60</w:t>
            </w:r>
            <w:r>
              <w:rPr>
                <w:rFonts w:hint="eastAsia" w:ascii="宋体" w:hAnsi="宋体" w:cs="宋体"/>
                <w:color w:val="FF0000"/>
                <w:sz w:val="24"/>
                <w:szCs w:val="24"/>
              </w:rPr>
              <w:t>0GB</w:t>
            </w:r>
            <w:r>
              <w:rPr>
                <w:rFonts w:hint="eastAsia" w:ascii="宋体" w:hAnsi="宋体" w:cs="宋体"/>
                <w:color w:val="000000"/>
                <w:sz w:val="24"/>
                <w:szCs w:val="24"/>
              </w:rPr>
              <w:t>及以上固态硬盘2块，并提供Raid</w:t>
            </w:r>
            <w:r>
              <w:rPr>
                <w:rFonts w:ascii="宋体" w:hAnsi="宋体" w:cs="宋体"/>
                <w:color w:val="000000"/>
                <w:sz w:val="24"/>
                <w:szCs w:val="24"/>
              </w:rPr>
              <w:t xml:space="preserve"> </w:t>
            </w:r>
            <w:r>
              <w:rPr>
                <w:rFonts w:hint="eastAsia" w:ascii="宋体" w:hAnsi="宋体" w:cs="宋体"/>
                <w:color w:val="000000"/>
                <w:sz w:val="24"/>
                <w:szCs w:val="24"/>
              </w:rPr>
              <w:t>进行备份。</w:t>
            </w:r>
          </w:p>
          <w:p>
            <w:pPr>
              <w:widowControl/>
              <w:adjustRightInd w:val="0"/>
              <w:jc w:val="left"/>
              <w:rPr>
                <w:rFonts w:ascii="宋体" w:hAnsi="宋体" w:cs="宋体"/>
                <w:color w:val="000000"/>
                <w:sz w:val="24"/>
                <w:szCs w:val="24"/>
              </w:rPr>
            </w:pPr>
            <w:r>
              <w:rPr>
                <w:rFonts w:hint="eastAsia" w:ascii="宋体" w:hAnsi="宋体" w:cs="宋体"/>
                <w:color w:val="000000"/>
                <w:sz w:val="24"/>
                <w:szCs w:val="24"/>
              </w:rPr>
              <w:t>存储盘：48T</w:t>
            </w:r>
            <w:r>
              <w:rPr>
                <w:rFonts w:ascii="宋体" w:hAnsi="宋体" w:cs="宋体"/>
                <w:color w:val="000000"/>
                <w:sz w:val="24"/>
                <w:szCs w:val="24"/>
              </w:rPr>
              <w:t>B</w:t>
            </w:r>
            <w:r>
              <w:rPr>
                <w:rFonts w:hint="eastAsia" w:ascii="宋体" w:hAnsi="宋体" w:cs="宋体"/>
                <w:color w:val="000000"/>
                <w:sz w:val="24"/>
                <w:szCs w:val="24"/>
              </w:rPr>
              <w:t>企业级SATA盘；</w:t>
            </w:r>
          </w:p>
          <w:p>
            <w:pPr>
              <w:widowControl/>
              <w:adjustRightInd w:val="0"/>
              <w:jc w:val="left"/>
              <w:rPr>
                <w:rFonts w:ascii="宋体" w:hAnsi="宋体" w:cs="宋体"/>
                <w:color w:val="000000"/>
                <w:sz w:val="24"/>
                <w:szCs w:val="24"/>
              </w:rPr>
            </w:pPr>
            <w:r>
              <w:rPr>
                <w:rFonts w:hint="eastAsia" w:ascii="宋体" w:hAnsi="宋体" w:cs="宋体"/>
                <w:color w:val="000000"/>
                <w:sz w:val="24"/>
                <w:szCs w:val="24"/>
              </w:rPr>
              <w:t>网卡：≥2个千兆电口及2个万兆光口</w:t>
            </w:r>
          </w:p>
          <w:p>
            <w:pPr>
              <w:widowControl/>
              <w:adjustRightInd w:val="0"/>
              <w:jc w:val="left"/>
              <w:rPr>
                <w:rFonts w:hint="eastAsia" w:ascii="宋体" w:hAnsi="宋体" w:cs="宋体"/>
                <w:color w:val="000000"/>
                <w:sz w:val="24"/>
                <w:szCs w:val="24"/>
              </w:rPr>
            </w:pPr>
            <w:r>
              <w:rPr>
                <w:rFonts w:hint="eastAsia" w:ascii="宋体" w:hAnsi="宋体" w:cs="宋体"/>
                <w:color w:val="000000"/>
                <w:sz w:val="24"/>
                <w:szCs w:val="24"/>
              </w:rPr>
              <w:t>电源：冗余电源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1243" w:type="dxa"/>
            <w:vMerge w:val="continue"/>
            <w:noWrap w:val="0"/>
            <w:tcMar>
              <w:top w:w="0" w:type="dxa"/>
              <w:left w:w="108" w:type="dxa"/>
              <w:bottom w:w="0" w:type="dxa"/>
              <w:right w:w="108" w:type="dxa"/>
            </w:tcMar>
            <w:vAlign w:val="center"/>
          </w:tcPr>
          <w:p>
            <w:pPr>
              <w:widowControl/>
              <w:jc w:val="left"/>
              <w:rPr>
                <w:rFonts w:hint="eastAsia" w:ascii="宋体" w:hAnsi="宋体"/>
                <w:sz w:val="24"/>
                <w:szCs w:val="24"/>
              </w:rPr>
            </w:pPr>
          </w:p>
        </w:tc>
        <w:tc>
          <w:tcPr>
            <w:tcW w:w="7034" w:type="dxa"/>
            <w:noWrap w:val="0"/>
            <w:tcMar>
              <w:top w:w="0" w:type="dxa"/>
              <w:left w:w="108" w:type="dxa"/>
              <w:bottom w:w="0" w:type="dxa"/>
              <w:right w:w="108" w:type="dxa"/>
            </w:tcMar>
            <w:vAlign w:val="center"/>
          </w:tcPr>
          <w:p>
            <w:pPr>
              <w:widowControl/>
              <w:adjustRightInd w:val="0"/>
              <w:jc w:val="left"/>
              <w:rPr>
                <w:rFonts w:hint="eastAsia" w:ascii="宋体" w:hAnsi="宋体"/>
                <w:sz w:val="24"/>
                <w:szCs w:val="24"/>
              </w:rPr>
            </w:pPr>
            <w:r>
              <w:rPr>
                <w:rFonts w:hint="eastAsia" w:ascii="宋体" w:hAnsi="宋体"/>
                <w:sz w:val="24"/>
                <w:szCs w:val="24"/>
              </w:rPr>
              <w:t>支持集群部署，基于大数据架构可水平扩展至多台设备集群。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1243" w:type="dxa"/>
            <w:noWrap w:val="0"/>
            <w:tcMar>
              <w:top w:w="0" w:type="dxa"/>
              <w:left w:w="108" w:type="dxa"/>
              <w:bottom w:w="0" w:type="dxa"/>
              <w:right w:w="108" w:type="dxa"/>
            </w:tcMar>
            <w:vAlign w:val="center"/>
          </w:tcPr>
          <w:p>
            <w:pPr>
              <w:widowControl/>
              <w:jc w:val="left"/>
              <w:rPr>
                <w:rFonts w:hint="eastAsia"/>
                <w:sz w:val="24"/>
                <w:szCs w:val="24"/>
              </w:rPr>
            </w:pPr>
            <w:r>
              <w:rPr>
                <w:rFonts w:hint="eastAsia" w:ascii="宋体" w:hAnsi="宋体"/>
                <w:sz w:val="24"/>
                <w:szCs w:val="24"/>
              </w:rPr>
              <w:t>性能规格</w:t>
            </w:r>
          </w:p>
        </w:tc>
        <w:tc>
          <w:tcPr>
            <w:tcW w:w="7034" w:type="dxa"/>
            <w:noWrap w:val="0"/>
            <w:tcMar>
              <w:top w:w="0" w:type="dxa"/>
              <w:left w:w="108" w:type="dxa"/>
              <w:bottom w:w="0" w:type="dxa"/>
              <w:right w:w="108" w:type="dxa"/>
            </w:tcMar>
            <w:vAlign w:val="center"/>
          </w:tcPr>
          <w:p>
            <w:pPr>
              <w:widowControl/>
              <w:adjustRightInd w:val="0"/>
              <w:jc w:val="left"/>
              <w:rPr>
                <w:rFonts w:hint="eastAsia" w:ascii="宋体" w:hAnsi="宋体"/>
                <w:sz w:val="24"/>
                <w:szCs w:val="24"/>
              </w:rPr>
            </w:pPr>
            <w:r>
              <w:rPr>
                <w:rFonts w:hint="eastAsia" w:ascii="宋体" w:hAnsi="宋体"/>
                <w:sz w:val="24"/>
                <w:szCs w:val="24"/>
              </w:rPr>
              <w:t>升级后达到能够实时深度解析≥6Gbps的网络流量吞吐量；</w:t>
            </w:r>
          </w:p>
          <w:p>
            <w:pPr>
              <w:widowControl/>
              <w:adjustRightInd w:val="0"/>
              <w:jc w:val="left"/>
              <w:rPr>
                <w:rFonts w:hint="eastAsia" w:ascii="宋体" w:hAnsi="宋体"/>
                <w:sz w:val="24"/>
                <w:szCs w:val="24"/>
              </w:rPr>
            </w:pPr>
            <w:r>
              <w:rPr>
                <w:rFonts w:hint="eastAsia" w:ascii="宋体" w:hAnsi="宋体"/>
                <w:sz w:val="24"/>
                <w:szCs w:val="24"/>
              </w:rPr>
              <w:t>数据采集和处理性能≥10000EPS，每条数据大小&gt;1KB；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1243" w:type="dxa"/>
            <w:vMerge w:val="restart"/>
            <w:noWrap w:val="0"/>
            <w:tcMar>
              <w:top w:w="0" w:type="dxa"/>
              <w:left w:w="108" w:type="dxa"/>
              <w:bottom w:w="0" w:type="dxa"/>
              <w:right w:w="108" w:type="dxa"/>
            </w:tcMar>
            <w:vAlign w:val="center"/>
          </w:tcPr>
          <w:p>
            <w:pPr>
              <w:widowControl/>
              <w:ind w:firstLine="240" w:firstLineChars="100"/>
              <w:jc w:val="left"/>
              <w:rPr>
                <w:rFonts w:hint="eastAsia" w:ascii="宋体" w:hAnsi="宋体"/>
                <w:sz w:val="24"/>
                <w:szCs w:val="24"/>
              </w:rPr>
            </w:pPr>
            <w:r>
              <w:rPr>
                <w:rFonts w:hint="eastAsia" w:ascii="宋体" w:hAnsi="宋体" w:cs="宋体"/>
                <w:sz w:val="24"/>
                <w:szCs w:val="24"/>
              </w:rPr>
              <w:t>数据接入</w:t>
            </w:r>
          </w:p>
        </w:tc>
        <w:tc>
          <w:tcPr>
            <w:tcW w:w="7034" w:type="dxa"/>
            <w:noWrap w:val="0"/>
            <w:tcMar>
              <w:top w:w="0" w:type="dxa"/>
              <w:left w:w="108" w:type="dxa"/>
              <w:bottom w:w="0" w:type="dxa"/>
              <w:right w:w="108" w:type="dxa"/>
            </w:tcMar>
            <w:vAlign w:val="center"/>
          </w:tcPr>
          <w:p>
            <w:pPr>
              <w:widowControl/>
              <w:adjustRightInd w:val="0"/>
              <w:jc w:val="left"/>
              <w:rPr>
                <w:rFonts w:hint="eastAsia" w:ascii="宋体" w:hAnsi="宋体" w:cs="宋体"/>
                <w:sz w:val="24"/>
                <w:szCs w:val="24"/>
              </w:rPr>
            </w:pPr>
            <w:r>
              <w:rPr>
                <w:rFonts w:hint="eastAsia" w:ascii="宋体" w:hAnsi="宋体" w:cs="宋体"/>
                <w:sz w:val="24"/>
                <w:szCs w:val="24"/>
              </w:rPr>
              <w:t xml:space="preserve">支持接入并管理日志采集器、流量采集器，可支持第三方采集器接入；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1243" w:type="dxa"/>
            <w:vMerge w:val="continue"/>
            <w:noWrap w:val="0"/>
            <w:tcMar>
              <w:top w:w="0" w:type="dxa"/>
              <w:left w:w="108" w:type="dxa"/>
              <w:bottom w:w="0" w:type="dxa"/>
              <w:right w:w="108" w:type="dxa"/>
            </w:tcMar>
            <w:vAlign w:val="center"/>
          </w:tcPr>
          <w:p>
            <w:pPr>
              <w:widowControl/>
              <w:jc w:val="left"/>
              <w:rPr>
                <w:rFonts w:hint="eastAsia" w:ascii="宋体" w:hAnsi="宋体" w:cs="宋体"/>
                <w:sz w:val="24"/>
                <w:szCs w:val="24"/>
              </w:rPr>
            </w:pPr>
          </w:p>
        </w:tc>
        <w:tc>
          <w:tcPr>
            <w:tcW w:w="7034" w:type="dxa"/>
            <w:noWrap w:val="0"/>
            <w:tcMar>
              <w:top w:w="0" w:type="dxa"/>
              <w:left w:w="108" w:type="dxa"/>
              <w:bottom w:w="0" w:type="dxa"/>
              <w:right w:w="108" w:type="dxa"/>
            </w:tcMar>
            <w:vAlign w:val="center"/>
          </w:tcPr>
          <w:p>
            <w:pPr>
              <w:widowControl/>
              <w:adjustRightInd w:val="0"/>
              <w:jc w:val="left"/>
              <w:rPr>
                <w:rFonts w:hint="eastAsia" w:ascii="宋体" w:hAnsi="宋体" w:cs="宋体"/>
                <w:sz w:val="24"/>
                <w:szCs w:val="24"/>
              </w:rPr>
            </w:pPr>
            <w:r>
              <w:rPr>
                <w:rFonts w:hint="eastAsia" w:ascii="宋体" w:hAnsi="宋体" w:cs="宋体"/>
                <w:sz w:val="24"/>
                <w:szCs w:val="24"/>
              </w:rPr>
              <w:t>支持对日志采集器进行采集配置并下发；提供Syslog、SNMP Trap、Netflow、JDBC、WMI、FTP、SFTP、agent等采集方式；支持对网络设备、主机系统等安全日志、网络流量以及业务信息等多种数据源的采集</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1243" w:type="dxa"/>
            <w:vMerge w:val="continue"/>
            <w:noWrap w:val="0"/>
            <w:tcMar>
              <w:top w:w="0" w:type="dxa"/>
              <w:left w:w="108" w:type="dxa"/>
              <w:bottom w:w="0" w:type="dxa"/>
              <w:right w:w="108" w:type="dxa"/>
            </w:tcMar>
            <w:vAlign w:val="center"/>
          </w:tcPr>
          <w:p>
            <w:pPr>
              <w:widowControl/>
              <w:jc w:val="left"/>
              <w:rPr>
                <w:rFonts w:hint="eastAsia" w:ascii="宋体" w:hAnsi="宋体" w:cs="宋体"/>
                <w:sz w:val="24"/>
                <w:szCs w:val="24"/>
              </w:rPr>
            </w:pPr>
          </w:p>
        </w:tc>
        <w:tc>
          <w:tcPr>
            <w:tcW w:w="7034" w:type="dxa"/>
            <w:noWrap w:val="0"/>
            <w:tcMar>
              <w:top w:w="0" w:type="dxa"/>
              <w:left w:w="108" w:type="dxa"/>
              <w:bottom w:w="0" w:type="dxa"/>
              <w:right w:w="108" w:type="dxa"/>
            </w:tcMar>
            <w:vAlign w:val="center"/>
          </w:tcPr>
          <w:p>
            <w:pPr>
              <w:widowControl/>
              <w:adjustRightInd w:val="0"/>
              <w:jc w:val="left"/>
              <w:rPr>
                <w:rFonts w:hint="eastAsia" w:ascii="宋体" w:hAnsi="宋体" w:cs="宋体"/>
                <w:sz w:val="24"/>
                <w:szCs w:val="24"/>
              </w:rPr>
            </w:pPr>
            <w:r>
              <w:rPr>
                <w:rFonts w:hint="eastAsia" w:ascii="宋体" w:hAnsi="宋体" w:cs="宋体"/>
                <w:sz w:val="24"/>
                <w:szCs w:val="24"/>
              </w:rPr>
              <w:t>支持通过多种类型的安全、泛安全类数据接入采集，应包括但不限于设备日志数据、流量数据、弱点漏洞数据、系统性能数据、威胁情报数据、资产人员数据；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1243" w:type="dxa"/>
            <w:vMerge w:val="continue"/>
            <w:noWrap w:val="0"/>
            <w:tcMar>
              <w:top w:w="0" w:type="dxa"/>
              <w:left w:w="108" w:type="dxa"/>
              <w:bottom w:w="0" w:type="dxa"/>
              <w:right w:w="108" w:type="dxa"/>
            </w:tcMar>
            <w:vAlign w:val="center"/>
          </w:tcPr>
          <w:p>
            <w:pPr>
              <w:widowControl/>
              <w:jc w:val="left"/>
              <w:rPr>
                <w:rFonts w:hint="eastAsia" w:ascii="宋体" w:hAnsi="宋体" w:cs="宋体"/>
                <w:sz w:val="24"/>
                <w:szCs w:val="24"/>
              </w:rPr>
            </w:pPr>
          </w:p>
        </w:tc>
        <w:tc>
          <w:tcPr>
            <w:tcW w:w="7034" w:type="dxa"/>
            <w:noWrap w:val="0"/>
            <w:tcMar>
              <w:top w:w="0" w:type="dxa"/>
              <w:left w:w="108" w:type="dxa"/>
              <w:bottom w:w="0" w:type="dxa"/>
              <w:right w:w="108" w:type="dxa"/>
            </w:tcMar>
            <w:vAlign w:val="center"/>
          </w:tcPr>
          <w:p>
            <w:pPr>
              <w:widowControl/>
              <w:adjustRightInd w:val="0"/>
              <w:jc w:val="left"/>
              <w:rPr>
                <w:rFonts w:hint="eastAsia" w:ascii="宋体" w:hAnsi="宋体" w:cs="宋体"/>
                <w:sz w:val="24"/>
                <w:szCs w:val="24"/>
              </w:rPr>
            </w:pPr>
            <w:r>
              <w:rPr>
                <w:rFonts w:hint="eastAsia" w:ascii="宋体" w:hAnsi="宋体" w:cs="宋体"/>
                <w:sz w:val="24"/>
                <w:szCs w:val="24"/>
              </w:rPr>
              <w:t>支持通过流量采集设备采集接入全流量数据，包含流量中的请求包和返回包等信息，并可在数据检索中体现包信息；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1243" w:type="dxa"/>
            <w:vMerge w:val="continue"/>
            <w:noWrap w:val="0"/>
            <w:tcMar>
              <w:top w:w="0" w:type="dxa"/>
              <w:left w:w="108" w:type="dxa"/>
              <w:bottom w:w="0" w:type="dxa"/>
              <w:right w:w="108" w:type="dxa"/>
            </w:tcMar>
            <w:vAlign w:val="center"/>
          </w:tcPr>
          <w:p>
            <w:pPr>
              <w:widowControl/>
              <w:jc w:val="left"/>
              <w:rPr>
                <w:rFonts w:hint="eastAsia" w:ascii="宋体" w:hAnsi="宋体" w:cs="宋体"/>
                <w:sz w:val="24"/>
                <w:szCs w:val="24"/>
              </w:rPr>
            </w:pPr>
          </w:p>
        </w:tc>
        <w:tc>
          <w:tcPr>
            <w:tcW w:w="7034" w:type="dxa"/>
            <w:noWrap w:val="0"/>
            <w:tcMar>
              <w:top w:w="0" w:type="dxa"/>
              <w:left w:w="108" w:type="dxa"/>
              <w:bottom w:w="0" w:type="dxa"/>
              <w:right w:w="108" w:type="dxa"/>
            </w:tcMar>
            <w:vAlign w:val="center"/>
          </w:tcPr>
          <w:p>
            <w:pPr>
              <w:widowControl/>
              <w:adjustRightInd w:val="0"/>
              <w:jc w:val="left"/>
              <w:rPr>
                <w:rFonts w:hint="eastAsia" w:ascii="宋体" w:hAnsi="宋体" w:cs="宋体"/>
                <w:sz w:val="24"/>
                <w:szCs w:val="24"/>
              </w:rPr>
            </w:pPr>
            <w:r>
              <w:rPr>
                <w:rFonts w:hint="eastAsia" w:ascii="宋体" w:hAnsi="宋体" w:cs="宋体"/>
                <w:sz w:val="24"/>
                <w:szCs w:val="24"/>
              </w:rPr>
              <w:t>支持接入文本格式、CVS等格式的文件数据，可通过模板文件的填写导入实现资产数据的导入和管理；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1243" w:type="dxa"/>
            <w:vMerge w:val="restart"/>
            <w:noWrap w:val="0"/>
            <w:tcMar>
              <w:top w:w="0" w:type="dxa"/>
              <w:left w:w="108" w:type="dxa"/>
              <w:bottom w:w="0" w:type="dxa"/>
              <w:right w:w="108" w:type="dxa"/>
            </w:tcMar>
            <w:vAlign w:val="center"/>
          </w:tcPr>
          <w:p>
            <w:pPr>
              <w:widowControl/>
              <w:jc w:val="left"/>
              <w:rPr>
                <w:rFonts w:hint="eastAsia" w:ascii="宋体" w:hAnsi="宋体" w:cs="宋体"/>
                <w:sz w:val="24"/>
                <w:szCs w:val="24"/>
              </w:rPr>
            </w:pPr>
            <w:r>
              <w:rPr>
                <w:rFonts w:hint="eastAsia" w:ascii="宋体" w:hAnsi="宋体" w:cs="宋体"/>
                <w:sz w:val="24"/>
                <w:szCs w:val="24"/>
              </w:rPr>
              <w:t>日志类型</w:t>
            </w:r>
          </w:p>
        </w:tc>
        <w:tc>
          <w:tcPr>
            <w:tcW w:w="7034" w:type="dxa"/>
            <w:noWrap w:val="0"/>
            <w:tcMar>
              <w:top w:w="0" w:type="dxa"/>
              <w:left w:w="108" w:type="dxa"/>
              <w:bottom w:w="0" w:type="dxa"/>
              <w:right w:w="108" w:type="dxa"/>
            </w:tcMar>
            <w:vAlign w:val="center"/>
          </w:tcPr>
          <w:p>
            <w:pPr>
              <w:rPr>
                <w:rFonts w:hint="eastAsia" w:ascii="宋体" w:hAnsi="宋体" w:cs="宋体"/>
                <w:sz w:val="24"/>
                <w:szCs w:val="24"/>
              </w:rPr>
            </w:pPr>
            <w:r>
              <w:rPr>
                <w:rFonts w:hint="eastAsia" w:ascii="宋体" w:hAnsi="宋体" w:cs="宋体"/>
                <w:sz w:val="24"/>
                <w:szCs w:val="24"/>
              </w:rPr>
              <w:t xml:space="preserve">支持自定义日志类型功能，可在线对其字段信息、存储类型、存储时间、分区方式、位置等基础属性信息进行配置，从而达到分类存储日志的目的；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1243" w:type="dxa"/>
            <w:vMerge w:val="continue"/>
            <w:noWrap w:val="0"/>
            <w:tcMar>
              <w:top w:w="0" w:type="dxa"/>
              <w:left w:w="108" w:type="dxa"/>
              <w:bottom w:w="0" w:type="dxa"/>
              <w:right w:w="108" w:type="dxa"/>
            </w:tcMar>
            <w:vAlign w:val="center"/>
          </w:tcPr>
          <w:p>
            <w:pPr>
              <w:widowControl/>
              <w:jc w:val="left"/>
              <w:rPr>
                <w:rFonts w:hint="eastAsia" w:ascii="宋体" w:hAnsi="宋体"/>
                <w:sz w:val="24"/>
                <w:szCs w:val="24"/>
              </w:rPr>
            </w:pPr>
          </w:p>
        </w:tc>
        <w:tc>
          <w:tcPr>
            <w:tcW w:w="7034" w:type="dxa"/>
            <w:noWrap w:val="0"/>
            <w:tcMar>
              <w:top w:w="0" w:type="dxa"/>
              <w:left w:w="108" w:type="dxa"/>
              <w:bottom w:w="0" w:type="dxa"/>
              <w:right w:w="108" w:type="dxa"/>
            </w:tcMar>
            <w:vAlign w:val="center"/>
          </w:tcPr>
          <w:p>
            <w:pPr>
              <w:rPr>
                <w:rFonts w:hint="eastAsia" w:ascii="宋体" w:hAnsi="宋体" w:cs="宋体"/>
                <w:sz w:val="24"/>
                <w:szCs w:val="24"/>
              </w:rPr>
            </w:pPr>
            <w:r>
              <w:rPr>
                <w:rFonts w:hint="eastAsia" w:ascii="宋体" w:hAnsi="宋体" w:cs="宋体"/>
                <w:sz w:val="24"/>
                <w:szCs w:val="24"/>
              </w:rPr>
              <w:t>支持本地威胁情报的检索，检索类型支持域名、IP地址、文件MD5值；能够自定义威胁情报，支持类型包含IP、MD5、域名、URL、IP地址:Port、IP地址：URI、IP:Port/URI、域名:Port、域名:Port/URI。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1243" w:type="dxa"/>
            <w:noWrap w:val="0"/>
            <w:tcMar>
              <w:top w:w="0" w:type="dxa"/>
              <w:left w:w="108" w:type="dxa"/>
              <w:bottom w:w="0" w:type="dxa"/>
              <w:right w:w="108" w:type="dxa"/>
            </w:tcMar>
            <w:vAlign w:val="center"/>
          </w:tcPr>
          <w:p>
            <w:pPr>
              <w:widowControl/>
              <w:jc w:val="left"/>
              <w:rPr>
                <w:rFonts w:hint="eastAsia" w:ascii="宋体" w:hAnsi="宋体"/>
                <w:sz w:val="24"/>
                <w:szCs w:val="24"/>
              </w:rPr>
            </w:pPr>
            <w:r>
              <w:rPr>
                <w:rFonts w:hint="eastAsia" w:ascii="宋体" w:hAnsi="宋体" w:cs="宋体"/>
                <w:sz w:val="24"/>
                <w:szCs w:val="24"/>
              </w:rPr>
              <w:t>资产管理</w:t>
            </w:r>
          </w:p>
        </w:tc>
        <w:tc>
          <w:tcPr>
            <w:tcW w:w="7034" w:type="dxa"/>
            <w:noWrap w:val="0"/>
            <w:tcMar>
              <w:top w:w="0" w:type="dxa"/>
              <w:left w:w="108" w:type="dxa"/>
              <w:bottom w:w="0" w:type="dxa"/>
              <w:right w:w="108" w:type="dxa"/>
            </w:tcMar>
            <w:vAlign w:val="center"/>
          </w:tcPr>
          <w:p>
            <w:pPr>
              <w:rPr>
                <w:rFonts w:ascii="宋体" w:hAnsi="宋体" w:cs="宋体"/>
                <w:sz w:val="24"/>
                <w:szCs w:val="24"/>
              </w:rPr>
            </w:pPr>
            <w:r>
              <w:rPr>
                <w:rFonts w:hint="eastAsia" w:ascii="宋体" w:hAnsi="宋体" w:cs="宋体"/>
                <w:sz w:val="24"/>
                <w:szCs w:val="24"/>
              </w:rPr>
              <w:t>支持管理资产主机设备、网络设备、安全设备、应用系统等资产类型管理；</w:t>
            </w:r>
          </w:p>
          <w:p>
            <w:pPr>
              <w:rPr>
                <w:rFonts w:ascii="宋体" w:hAnsi="宋体" w:cs="宋体"/>
                <w:sz w:val="24"/>
                <w:szCs w:val="24"/>
              </w:rPr>
            </w:pPr>
            <w:r>
              <w:rPr>
                <w:rFonts w:hint="eastAsia" w:ascii="宋体" w:hAnsi="宋体" w:cs="宋体"/>
                <w:sz w:val="24"/>
                <w:szCs w:val="24"/>
              </w:rPr>
              <w:t>支持资产详情信息的展示，能够展现资产基础信息（资产名称、IP地址、分组、厂家、型号、操作系统类型、物理地址、资产使用状态等）；</w:t>
            </w:r>
          </w:p>
          <w:p>
            <w:pPr>
              <w:rPr>
                <w:rFonts w:hint="eastAsia" w:ascii="宋体" w:hAnsi="宋体" w:cs="宋体"/>
                <w:sz w:val="24"/>
                <w:szCs w:val="24"/>
              </w:rPr>
            </w:pPr>
            <w:r>
              <w:rPr>
                <w:rFonts w:hint="eastAsia" w:ascii="宋体" w:hAnsi="宋体" w:cs="宋体"/>
                <w:sz w:val="24"/>
                <w:szCs w:val="24"/>
              </w:rPr>
              <w:t>支持资产服务信息管理，支持对服务的IP地址、端口号、服务名、服务版本、协议、Banner等服务属性进行管理，支持对IPV6资产的管理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1243" w:type="dxa"/>
            <w:vMerge w:val="restart"/>
            <w:noWrap w:val="0"/>
            <w:tcMar>
              <w:top w:w="0" w:type="dxa"/>
              <w:left w:w="108" w:type="dxa"/>
              <w:bottom w:w="0" w:type="dxa"/>
              <w:right w:w="108" w:type="dxa"/>
            </w:tcMar>
            <w:vAlign w:val="center"/>
          </w:tcPr>
          <w:p>
            <w:pPr>
              <w:widowControl/>
              <w:jc w:val="left"/>
              <w:rPr>
                <w:rFonts w:hint="eastAsia" w:ascii="宋体" w:hAnsi="宋体" w:cs="宋体"/>
                <w:sz w:val="24"/>
                <w:szCs w:val="24"/>
              </w:rPr>
            </w:pPr>
            <w:r>
              <w:rPr>
                <w:rFonts w:hint="eastAsia" w:ascii="宋体" w:hAnsi="宋体"/>
                <w:sz w:val="24"/>
                <w:szCs w:val="24"/>
              </w:rPr>
              <w:t>威胁预警</w:t>
            </w:r>
          </w:p>
        </w:tc>
        <w:tc>
          <w:tcPr>
            <w:tcW w:w="7034" w:type="dxa"/>
            <w:noWrap w:val="0"/>
            <w:tcMar>
              <w:top w:w="0" w:type="dxa"/>
              <w:left w:w="108" w:type="dxa"/>
              <w:bottom w:w="0" w:type="dxa"/>
              <w:right w:w="108" w:type="dxa"/>
            </w:tcMar>
            <w:vAlign w:val="center"/>
          </w:tcPr>
          <w:p>
            <w:pPr>
              <w:rPr>
                <w:rFonts w:hint="eastAsia" w:ascii="宋体" w:hAnsi="宋体" w:cs="宋体"/>
                <w:sz w:val="24"/>
                <w:szCs w:val="24"/>
              </w:rPr>
            </w:pPr>
            <w:r>
              <w:rPr>
                <w:rFonts w:hint="eastAsia" w:ascii="宋体" w:hAnsi="宋体"/>
                <w:sz w:val="24"/>
                <w:szCs w:val="24"/>
              </w:rPr>
              <w:t>支持对重大网络安全事件（如永恒之蓝，Struts 2漏洞利用等新生大面积爆发的严重事件）进行威胁预警。通过厂商对重大网络安全事件的追踪生成预警包，并赋能分发给用户。支持通过预警包导入完成网络安全事件的影响面评估，并持续的跟进事态的发展，快速完成重大网络安全事件的预警及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1243" w:type="dxa"/>
            <w:vMerge w:val="continue"/>
            <w:noWrap w:val="0"/>
            <w:tcMar>
              <w:top w:w="0" w:type="dxa"/>
              <w:left w:w="108" w:type="dxa"/>
              <w:bottom w:w="0" w:type="dxa"/>
              <w:right w:w="108" w:type="dxa"/>
            </w:tcMar>
            <w:vAlign w:val="center"/>
          </w:tcPr>
          <w:p>
            <w:pPr>
              <w:widowControl/>
              <w:jc w:val="left"/>
              <w:rPr>
                <w:rFonts w:hint="eastAsia" w:ascii="宋体" w:hAnsi="宋体"/>
                <w:sz w:val="24"/>
                <w:szCs w:val="24"/>
              </w:rPr>
            </w:pPr>
          </w:p>
        </w:tc>
        <w:tc>
          <w:tcPr>
            <w:tcW w:w="7034" w:type="dxa"/>
            <w:noWrap w:val="0"/>
            <w:tcMar>
              <w:top w:w="0" w:type="dxa"/>
              <w:left w:w="108" w:type="dxa"/>
              <w:bottom w:w="0" w:type="dxa"/>
              <w:right w:w="108" w:type="dxa"/>
            </w:tcMar>
            <w:vAlign w:val="center"/>
          </w:tcPr>
          <w:p>
            <w:pPr>
              <w:rPr>
                <w:rFonts w:hint="eastAsia" w:ascii="宋体" w:hAnsi="宋体"/>
                <w:sz w:val="24"/>
                <w:szCs w:val="24"/>
              </w:rPr>
            </w:pPr>
            <w:r>
              <w:rPr>
                <w:rFonts w:hint="eastAsia" w:ascii="宋体" w:hAnsi="宋体"/>
                <w:sz w:val="24"/>
                <w:szCs w:val="24"/>
              </w:rPr>
              <w:t>支持隐蔽信道检测，包括dns信道、端口反弹等对外通讯方式。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1243" w:type="dxa"/>
            <w:vMerge w:val="continue"/>
            <w:noWrap w:val="0"/>
            <w:tcMar>
              <w:top w:w="0" w:type="dxa"/>
              <w:left w:w="108" w:type="dxa"/>
              <w:bottom w:w="0" w:type="dxa"/>
              <w:right w:w="108" w:type="dxa"/>
            </w:tcMar>
            <w:vAlign w:val="center"/>
          </w:tcPr>
          <w:p>
            <w:pPr>
              <w:widowControl/>
              <w:jc w:val="left"/>
              <w:rPr>
                <w:rFonts w:hint="eastAsia" w:ascii="宋体" w:hAnsi="宋体"/>
                <w:sz w:val="24"/>
                <w:szCs w:val="24"/>
              </w:rPr>
            </w:pPr>
          </w:p>
        </w:tc>
        <w:tc>
          <w:tcPr>
            <w:tcW w:w="7034" w:type="dxa"/>
            <w:noWrap w:val="0"/>
            <w:tcMar>
              <w:top w:w="0" w:type="dxa"/>
              <w:left w:w="108" w:type="dxa"/>
              <w:bottom w:w="0" w:type="dxa"/>
              <w:right w:w="108" w:type="dxa"/>
            </w:tcMar>
            <w:vAlign w:val="center"/>
          </w:tcPr>
          <w:p>
            <w:pPr>
              <w:rPr>
                <w:rFonts w:hint="eastAsia" w:ascii="宋体" w:hAnsi="宋体"/>
                <w:sz w:val="24"/>
                <w:szCs w:val="24"/>
              </w:rPr>
            </w:pPr>
            <w:r>
              <w:rPr>
                <w:rFonts w:hint="eastAsia" w:ascii="宋体" w:hAnsi="宋体"/>
                <w:sz w:val="24"/>
                <w:szCs w:val="24"/>
              </w:rPr>
              <w:t>WEBSHELL检测模型&gt;10种，能够分别检测WEBSHELL上传、植入、控制阶段；</w:t>
            </w:r>
          </w:p>
          <w:p>
            <w:pPr>
              <w:rPr>
                <w:rFonts w:hint="eastAsia" w:ascii="宋体" w:hAnsi="宋体"/>
                <w:sz w:val="24"/>
                <w:szCs w:val="24"/>
              </w:rPr>
            </w:pPr>
            <w:r>
              <w:rPr>
                <w:rFonts w:hint="eastAsia" w:ascii="宋体" w:hAnsi="宋体"/>
                <w:sz w:val="24"/>
                <w:szCs w:val="24"/>
              </w:rPr>
              <w:t>SQL注入、命令注入、跨站脚本、代码注入、协议错误攻击检测模型&gt;1000种；</w:t>
            </w:r>
          </w:p>
          <w:p>
            <w:pPr>
              <w:rPr>
                <w:rFonts w:hint="eastAsia" w:ascii="宋体" w:hAnsi="宋体"/>
                <w:sz w:val="24"/>
                <w:szCs w:val="24"/>
              </w:rPr>
            </w:pPr>
            <w:r>
              <w:rPr>
                <w:rFonts w:hint="eastAsia" w:ascii="宋体" w:hAnsi="宋体"/>
                <w:sz w:val="24"/>
                <w:szCs w:val="24"/>
              </w:rPr>
              <w:t>支持对HTTP、Telnet、FTP、POP3、SMTP、IMAP等协议进行弱口令检测。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1243" w:type="dxa"/>
            <w:vMerge w:val="continue"/>
            <w:noWrap w:val="0"/>
            <w:tcMar>
              <w:top w:w="0" w:type="dxa"/>
              <w:left w:w="108" w:type="dxa"/>
              <w:bottom w:w="0" w:type="dxa"/>
              <w:right w:w="108" w:type="dxa"/>
            </w:tcMar>
            <w:vAlign w:val="center"/>
          </w:tcPr>
          <w:p>
            <w:pPr>
              <w:widowControl/>
              <w:jc w:val="left"/>
              <w:rPr>
                <w:rFonts w:hint="eastAsia" w:ascii="宋体" w:hAnsi="宋体"/>
                <w:sz w:val="24"/>
                <w:szCs w:val="24"/>
              </w:rPr>
            </w:pPr>
          </w:p>
        </w:tc>
        <w:tc>
          <w:tcPr>
            <w:tcW w:w="7034" w:type="dxa"/>
            <w:noWrap w:val="0"/>
            <w:tcMar>
              <w:top w:w="0" w:type="dxa"/>
              <w:left w:w="108" w:type="dxa"/>
              <w:bottom w:w="0" w:type="dxa"/>
              <w:right w:w="108" w:type="dxa"/>
            </w:tcMar>
            <w:vAlign w:val="center"/>
          </w:tcPr>
          <w:p>
            <w:pPr>
              <w:rPr>
                <w:rFonts w:ascii="宋体" w:hAnsi="宋体"/>
                <w:sz w:val="24"/>
                <w:szCs w:val="24"/>
              </w:rPr>
            </w:pPr>
            <w:r>
              <w:rPr>
                <w:rFonts w:ascii="宋体" w:hAnsi="宋体"/>
                <w:sz w:val="24"/>
                <w:szCs w:val="24"/>
              </w:rPr>
              <w:t>支持钓鱼邮件检测，对社工类攻击进行检测，检测内容包括：邮件头欺骗、邮件发件人欺骗、邮件钓鱼欺骗、邮件恶意链接</w:t>
            </w:r>
            <w:r>
              <w:rPr>
                <w:rFonts w:hint="eastAsia" w:ascii="宋体" w:hAnsi="宋体"/>
                <w:sz w:val="24"/>
                <w:szCs w:val="24"/>
              </w:rPr>
              <w:t>；</w:t>
            </w:r>
          </w:p>
          <w:p>
            <w:pPr>
              <w:rPr>
                <w:rFonts w:hint="eastAsia" w:ascii="宋体" w:hAnsi="宋体"/>
                <w:sz w:val="24"/>
                <w:szCs w:val="24"/>
              </w:rPr>
            </w:pPr>
            <w:r>
              <w:rPr>
                <w:rFonts w:ascii="宋体" w:hAnsi="宋体"/>
                <w:sz w:val="24"/>
                <w:szCs w:val="24"/>
              </w:rPr>
              <w:t>支持垃圾邮件检测</w:t>
            </w:r>
            <w:r>
              <w:rPr>
                <w:rFonts w:hint="eastAsia" w:ascii="宋体" w:hAnsi="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1243" w:type="dxa"/>
            <w:vMerge w:val="restart"/>
            <w:noWrap w:val="0"/>
            <w:tcMar>
              <w:top w:w="0" w:type="dxa"/>
              <w:left w:w="108" w:type="dxa"/>
              <w:bottom w:w="0" w:type="dxa"/>
              <w:right w:w="108" w:type="dxa"/>
            </w:tcMar>
            <w:vAlign w:val="center"/>
          </w:tcPr>
          <w:p>
            <w:pPr>
              <w:widowControl/>
              <w:jc w:val="left"/>
              <w:rPr>
                <w:rFonts w:hint="eastAsia" w:ascii="宋体" w:hAnsi="宋体" w:cs="宋体"/>
                <w:sz w:val="24"/>
                <w:szCs w:val="24"/>
              </w:rPr>
            </w:pPr>
            <w:r>
              <w:rPr>
                <w:rFonts w:hint="eastAsia" w:ascii="宋体" w:hAnsi="宋体" w:cs="宋体"/>
                <w:sz w:val="24"/>
                <w:szCs w:val="24"/>
              </w:rPr>
              <w:t>拓扑管理</w:t>
            </w:r>
          </w:p>
        </w:tc>
        <w:tc>
          <w:tcPr>
            <w:tcW w:w="7034" w:type="dxa"/>
            <w:noWrap w:val="0"/>
            <w:tcMar>
              <w:top w:w="0" w:type="dxa"/>
              <w:left w:w="108" w:type="dxa"/>
              <w:bottom w:w="0" w:type="dxa"/>
              <w:right w:w="108" w:type="dxa"/>
            </w:tcMar>
            <w:vAlign w:val="center"/>
          </w:tcPr>
          <w:p>
            <w:pPr>
              <w:rPr>
                <w:rFonts w:hint="eastAsia" w:ascii="宋体" w:hAnsi="宋体" w:cs="宋体"/>
                <w:sz w:val="24"/>
                <w:szCs w:val="24"/>
              </w:rPr>
            </w:pPr>
            <w:r>
              <w:rPr>
                <w:rFonts w:hint="eastAsia" w:ascii="宋体" w:hAnsi="宋体" w:cs="宋体"/>
                <w:sz w:val="24"/>
                <w:szCs w:val="24"/>
              </w:rPr>
              <w:t>支持逻辑拓扑的绘制，提供在线拓扑绘制工具,可手动进行逻辑拓扑的绘制</w:t>
            </w:r>
            <w:r>
              <w:rPr>
                <w:rFonts w:hint="eastAsia" w:ascii="宋体" w:hAnsi="宋体" w:cs="宋体"/>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1243" w:type="dxa"/>
            <w:vMerge w:val="continue"/>
            <w:noWrap w:val="0"/>
            <w:tcMar>
              <w:top w:w="0" w:type="dxa"/>
              <w:left w:w="108" w:type="dxa"/>
              <w:bottom w:w="0" w:type="dxa"/>
              <w:right w:w="108" w:type="dxa"/>
            </w:tcMar>
            <w:vAlign w:val="center"/>
          </w:tcPr>
          <w:p>
            <w:pPr>
              <w:widowControl/>
              <w:jc w:val="left"/>
              <w:rPr>
                <w:rFonts w:hint="eastAsia" w:ascii="宋体" w:hAnsi="宋体" w:cs="宋体"/>
                <w:sz w:val="24"/>
                <w:szCs w:val="24"/>
              </w:rPr>
            </w:pPr>
          </w:p>
        </w:tc>
        <w:tc>
          <w:tcPr>
            <w:tcW w:w="7034" w:type="dxa"/>
            <w:noWrap w:val="0"/>
            <w:tcMar>
              <w:top w:w="0" w:type="dxa"/>
              <w:left w:w="108" w:type="dxa"/>
              <w:bottom w:w="0" w:type="dxa"/>
              <w:right w:w="108" w:type="dxa"/>
            </w:tcMar>
            <w:vAlign w:val="center"/>
          </w:tcPr>
          <w:p>
            <w:pPr>
              <w:rPr>
                <w:rFonts w:hint="eastAsia" w:ascii="宋体" w:hAnsi="宋体" w:cs="宋体"/>
                <w:sz w:val="24"/>
                <w:szCs w:val="24"/>
              </w:rPr>
            </w:pPr>
            <w:r>
              <w:rPr>
                <w:rFonts w:hint="eastAsia" w:ascii="宋体" w:hAnsi="宋体" w:cs="宋体"/>
                <w:sz w:val="24"/>
                <w:szCs w:val="24"/>
              </w:rPr>
              <w:t>支持导入背景图，支持（PNG、BMP、JPG、JPEG）四种文件格式；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1243" w:type="dxa"/>
            <w:vMerge w:val="continue"/>
            <w:noWrap w:val="0"/>
            <w:tcMar>
              <w:top w:w="0" w:type="dxa"/>
              <w:left w:w="108" w:type="dxa"/>
              <w:bottom w:w="0" w:type="dxa"/>
              <w:right w:w="108" w:type="dxa"/>
            </w:tcMar>
            <w:vAlign w:val="center"/>
          </w:tcPr>
          <w:p>
            <w:pPr>
              <w:widowControl/>
              <w:jc w:val="left"/>
              <w:rPr>
                <w:rFonts w:hint="eastAsia" w:ascii="宋体" w:hAnsi="宋体" w:cs="宋体"/>
                <w:sz w:val="24"/>
                <w:szCs w:val="24"/>
              </w:rPr>
            </w:pPr>
          </w:p>
        </w:tc>
        <w:tc>
          <w:tcPr>
            <w:tcW w:w="7034" w:type="dxa"/>
            <w:noWrap w:val="0"/>
            <w:tcMar>
              <w:top w:w="0" w:type="dxa"/>
              <w:left w:w="108" w:type="dxa"/>
              <w:bottom w:w="0" w:type="dxa"/>
              <w:right w:w="108" w:type="dxa"/>
            </w:tcMar>
            <w:vAlign w:val="center"/>
          </w:tcPr>
          <w:p>
            <w:pPr>
              <w:rPr>
                <w:rFonts w:hint="eastAsia" w:ascii="宋体" w:hAnsi="宋体" w:cs="宋体"/>
                <w:sz w:val="24"/>
                <w:szCs w:val="24"/>
              </w:rPr>
            </w:pPr>
            <w:r>
              <w:rPr>
                <w:rFonts w:hint="eastAsia" w:ascii="宋体" w:hAnsi="宋体" w:cs="宋体"/>
                <w:sz w:val="24"/>
                <w:szCs w:val="24"/>
              </w:rPr>
              <w:t>支持拓扑图的整体拖拽和缩放操作，支持对单个节点施放操作，支持关联拓扑下钻；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1243" w:type="dxa"/>
            <w:vMerge w:val="continue"/>
            <w:noWrap w:val="0"/>
            <w:tcMar>
              <w:top w:w="0" w:type="dxa"/>
              <w:left w:w="108" w:type="dxa"/>
              <w:bottom w:w="0" w:type="dxa"/>
              <w:right w:w="108" w:type="dxa"/>
            </w:tcMar>
            <w:vAlign w:val="center"/>
          </w:tcPr>
          <w:p>
            <w:pPr>
              <w:widowControl/>
              <w:jc w:val="left"/>
              <w:rPr>
                <w:rFonts w:hint="eastAsia" w:ascii="宋体" w:hAnsi="宋体" w:cs="宋体"/>
                <w:sz w:val="24"/>
                <w:szCs w:val="24"/>
              </w:rPr>
            </w:pPr>
          </w:p>
        </w:tc>
        <w:tc>
          <w:tcPr>
            <w:tcW w:w="7034" w:type="dxa"/>
            <w:noWrap w:val="0"/>
            <w:tcMar>
              <w:top w:w="0" w:type="dxa"/>
              <w:left w:w="108" w:type="dxa"/>
              <w:bottom w:w="0" w:type="dxa"/>
              <w:right w:w="108" w:type="dxa"/>
            </w:tcMar>
            <w:vAlign w:val="center"/>
          </w:tcPr>
          <w:p>
            <w:pPr>
              <w:rPr>
                <w:rFonts w:hint="eastAsia" w:ascii="宋体" w:hAnsi="宋体" w:cs="宋体"/>
                <w:sz w:val="24"/>
                <w:szCs w:val="24"/>
              </w:rPr>
            </w:pPr>
            <w:r>
              <w:rPr>
                <w:rFonts w:hint="eastAsia" w:ascii="宋体" w:hAnsi="宋体" w:cs="宋体"/>
                <w:sz w:val="24"/>
                <w:szCs w:val="24"/>
              </w:rPr>
              <w:t>支持拓扑图节点属性信息的显示与隐藏，支持查看节点的详细信息；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1243" w:type="dxa"/>
            <w:vMerge w:val="restart"/>
            <w:noWrap w:val="0"/>
            <w:tcMar>
              <w:top w:w="0" w:type="dxa"/>
              <w:left w:w="108" w:type="dxa"/>
              <w:bottom w:w="0" w:type="dxa"/>
              <w:right w:w="108" w:type="dxa"/>
            </w:tcMar>
            <w:vAlign w:val="center"/>
          </w:tcPr>
          <w:p>
            <w:pPr>
              <w:widowControl/>
              <w:jc w:val="left"/>
              <w:rPr>
                <w:rFonts w:hint="eastAsia" w:ascii="宋体" w:hAnsi="宋体" w:cs="宋体"/>
                <w:sz w:val="24"/>
                <w:szCs w:val="24"/>
              </w:rPr>
            </w:pPr>
            <w:r>
              <w:rPr>
                <w:rFonts w:hint="eastAsia" w:ascii="宋体" w:hAnsi="宋体" w:cs="宋体"/>
                <w:sz w:val="24"/>
                <w:szCs w:val="24"/>
              </w:rPr>
              <w:t>资产风险评估</w:t>
            </w:r>
          </w:p>
        </w:tc>
        <w:tc>
          <w:tcPr>
            <w:tcW w:w="7034" w:type="dxa"/>
            <w:noWrap w:val="0"/>
            <w:tcMar>
              <w:top w:w="0" w:type="dxa"/>
              <w:left w:w="108" w:type="dxa"/>
              <w:bottom w:w="0" w:type="dxa"/>
              <w:right w:w="108" w:type="dxa"/>
            </w:tcMar>
            <w:vAlign w:val="center"/>
          </w:tcPr>
          <w:p>
            <w:pPr>
              <w:rPr>
                <w:rFonts w:hint="eastAsia" w:ascii="宋体" w:hAnsi="宋体" w:cs="宋体"/>
                <w:sz w:val="24"/>
                <w:szCs w:val="24"/>
              </w:rPr>
            </w:pPr>
            <w:r>
              <w:rPr>
                <w:rFonts w:hint="eastAsia" w:ascii="宋体" w:hAnsi="宋体" w:cs="宋体"/>
                <w:sz w:val="24"/>
                <w:szCs w:val="24"/>
              </w:rPr>
              <w:t>支持按照单一资产进行资产风险评估列表展示，内容至少包含“资产名称、资产风险值、资产告警数、资产脆弱性数、资产失陷状态标识”等信息；支持按照单一资产图形化展示资产告警及脆弱性数量，可按照趋势、等级、处置状态等信息系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1243" w:type="dxa"/>
            <w:vMerge w:val="continue"/>
            <w:noWrap w:val="0"/>
            <w:tcMar>
              <w:top w:w="0" w:type="dxa"/>
              <w:left w:w="108" w:type="dxa"/>
              <w:bottom w:w="0" w:type="dxa"/>
              <w:right w:w="108" w:type="dxa"/>
            </w:tcMar>
            <w:vAlign w:val="center"/>
          </w:tcPr>
          <w:p>
            <w:pPr>
              <w:widowControl/>
              <w:jc w:val="left"/>
              <w:rPr>
                <w:rFonts w:hint="eastAsia" w:ascii="宋体" w:hAnsi="宋体"/>
                <w:sz w:val="24"/>
                <w:szCs w:val="24"/>
              </w:rPr>
            </w:pPr>
          </w:p>
        </w:tc>
        <w:tc>
          <w:tcPr>
            <w:tcW w:w="7034" w:type="dxa"/>
            <w:noWrap w:val="0"/>
            <w:tcMar>
              <w:top w:w="0" w:type="dxa"/>
              <w:left w:w="108" w:type="dxa"/>
              <w:bottom w:w="0" w:type="dxa"/>
              <w:right w:w="108" w:type="dxa"/>
            </w:tcMar>
            <w:vAlign w:val="center"/>
          </w:tcPr>
          <w:p>
            <w:pPr>
              <w:rPr>
                <w:rFonts w:hint="eastAsia" w:ascii="宋体" w:hAnsi="宋体" w:cs="宋体"/>
                <w:sz w:val="24"/>
                <w:szCs w:val="24"/>
              </w:rPr>
            </w:pPr>
            <w:r>
              <w:rPr>
                <w:rFonts w:hint="eastAsia" w:ascii="宋体" w:hAnsi="宋体" w:cs="宋体"/>
                <w:sz w:val="24"/>
                <w:szCs w:val="24"/>
              </w:rPr>
              <w:t>支持按照资产分组进行资产组风险评估列表展示，内容至少包含“资产组名称、资产组风险值、资产组告警数、资产组脆弱性数、资产组失陷主机”等信息；支持按照资产分组图形化展示告警及脆弱性数量，可按照趋势、等级、处置状态等信息系进行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1243" w:type="dxa"/>
            <w:noWrap w:val="0"/>
            <w:tcMar>
              <w:top w:w="0" w:type="dxa"/>
              <w:left w:w="108" w:type="dxa"/>
              <w:bottom w:w="0" w:type="dxa"/>
              <w:right w:w="108" w:type="dxa"/>
            </w:tcMar>
            <w:vAlign w:val="center"/>
          </w:tcPr>
          <w:p>
            <w:pPr>
              <w:widowControl/>
              <w:jc w:val="left"/>
              <w:rPr>
                <w:rFonts w:hint="eastAsia" w:ascii="宋体" w:hAnsi="宋体" w:cs="宋体"/>
                <w:sz w:val="24"/>
                <w:szCs w:val="24"/>
              </w:rPr>
            </w:pPr>
            <w:r>
              <w:rPr>
                <w:rFonts w:hint="eastAsia" w:ascii="宋体" w:hAnsi="宋体" w:cs="宋体"/>
                <w:sz w:val="24"/>
                <w:szCs w:val="24"/>
              </w:rPr>
              <w:t>联动处置</w:t>
            </w:r>
          </w:p>
        </w:tc>
        <w:tc>
          <w:tcPr>
            <w:tcW w:w="7034" w:type="dxa"/>
            <w:noWrap w:val="0"/>
            <w:tcMar>
              <w:top w:w="0" w:type="dxa"/>
              <w:left w:w="108" w:type="dxa"/>
              <w:bottom w:w="0" w:type="dxa"/>
              <w:right w:w="108" w:type="dxa"/>
            </w:tcMar>
            <w:vAlign w:val="center"/>
          </w:tcPr>
          <w:p>
            <w:pPr>
              <w:rPr>
                <w:rFonts w:hint="eastAsia" w:ascii="宋体" w:hAnsi="宋体" w:cs="宋体"/>
                <w:sz w:val="24"/>
                <w:szCs w:val="24"/>
              </w:rPr>
            </w:pPr>
            <w:r>
              <w:rPr>
                <w:rFonts w:hint="eastAsia" w:ascii="宋体" w:hAnsi="宋体"/>
                <w:sz w:val="24"/>
                <w:szCs w:val="24"/>
              </w:rPr>
              <w:t>支持与现有网络内现有防火墙、终端安全管理产品进行联动处置能力，当发现失陷主机、恶意域名等威胁事件后，可以及时给联动设备下发阻断或告警的安全防护策略动作且防护策略支持对生效时长的配置，支持的联动处置消息类型包括IPv4地址；</w:t>
            </w:r>
            <w:r>
              <w:rPr>
                <w:rFonts w:hint="eastAsia" w:ascii="宋体" w:hAnsi="宋体" w:cs="宋体"/>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01" w:hRule="atLeast"/>
          <w:jc w:val="center"/>
        </w:trPr>
        <w:tc>
          <w:tcPr>
            <w:tcW w:w="1243" w:type="dxa"/>
            <w:noWrap w:val="0"/>
            <w:tcMar>
              <w:top w:w="0" w:type="dxa"/>
              <w:left w:w="108" w:type="dxa"/>
              <w:bottom w:w="0" w:type="dxa"/>
              <w:right w:w="108" w:type="dxa"/>
            </w:tcMar>
            <w:vAlign w:val="center"/>
          </w:tcPr>
          <w:p>
            <w:pPr>
              <w:widowControl/>
              <w:jc w:val="left"/>
              <w:rPr>
                <w:rFonts w:hint="eastAsia" w:ascii="宋体" w:hAnsi="宋体" w:cs="宋体"/>
                <w:sz w:val="24"/>
                <w:szCs w:val="24"/>
              </w:rPr>
            </w:pPr>
            <w:r>
              <w:rPr>
                <w:rFonts w:hint="eastAsia" w:ascii="宋体" w:hAnsi="宋体" w:cs="宋体"/>
                <w:sz w:val="24"/>
                <w:szCs w:val="24"/>
              </w:rPr>
              <w:t>威胁</w:t>
            </w:r>
            <w:r>
              <w:rPr>
                <w:rFonts w:ascii="宋体" w:hAnsi="宋体" w:cs="宋体"/>
                <w:sz w:val="24"/>
                <w:szCs w:val="24"/>
              </w:rPr>
              <w:t>展示</w:t>
            </w:r>
          </w:p>
        </w:tc>
        <w:tc>
          <w:tcPr>
            <w:tcW w:w="7034" w:type="dxa"/>
            <w:noWrap w:val="0"/>
            <w:tcMar>
              <w:top w:w="0" w:type="dxa"/>
              <w:left w:w="108" w:type="dxa"/>
              <w:bottom w:w="0" w:type="dxa"/>
              <w:right w:w="108" w:type="dxa"/>
            </w:tcMar>
            <w:vAlign w:val="center"/>
          </w:tcPr>
          <w:p>
            <w:pPr>
              <w:rPr>
                <w:rFonts w:ascii="宋体" w:hAnsi="宋体" w:cs="宋体"/>
                <w:sz w:val="24"/>
                <w:szCs w:val="24"/>
              </w:rPr>
            </w:pPr>
            <w:r>
              <w:rPr>
                <w:rFonts w:hint="eastAsia" w:ascii="宋体" w:hAnsi="宋体" w:cs="宋体"/>
                <w:sz w:val="24"/>
                <w:szCs w:val="24"/>
              </w:rPr>
              <w:t>支持展示预警事件中攻击者、受害者、既是攻击者也是受害者的IP之间关系。</w:t>
            </w:r>
          </w:p>
          <w:p>
            <w:pPr>
              <w:rPr>
                <w:rFonts w:ascii="宋体" w:hAnsi="宋体" w:cs="宋体"/>
                <w:sz w:val="24"/>
                <w:szCs w:val="24"/>
              </w:rPr>
            </w:pPr>
            <w:r>
              <w:rPr>
                <w:rFonts w:hint="eastAsia" w:ascii="宋体" w:hAnsi="宋体" w:cs="宋体"/>
                <w:sz w:val="24"/>
                <w:szCs w:val="24"/>
              </w:rPr>
              <w:t>支持统计预警事件中影响资产的统计，包括风险资产、受攻击资产、失陷资产的统计。</w:t>
            </w:r>
          </w:p>
          <w:p>
            <w:pPr>
              <w:rPr>
                <w:rFonts w:hint="eastAsia" w:ascii="宋体" w:hAnsi="宋体" w:cs="宋体"/>
                <w:sz w:val="24"/>
                <w:szCs w:val="24"/>
              </w:rPr>
            </w:pPr>
            <w:r>
              <w:rPr>
                <w:rFonts w:hint="eastAsia" w:ascii="宋体" w:hAnsi="宋体" w:cs="宋体"/>
                <w:sz w:val="24"/>
                <w:szCs w:val="24"/>
              </w:rPr>
              <w:t>支持展示当前威胁预警事件对资产造成的影响趋势，包括风险资产、受攻击资产、失陷资产的影响趋势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1243" w:type="dxa"/>
            <w:vMerge w:val="restart"/>
            <w:noWrap w:val="0"/>
            <w:tcMar>
              <w:top w:w="0" w:type="dxa"/>
              <w:left w:w="108" w:type="dxa"/>
              <w:bottom w:w="0" w:type="dxa"/>
              <w:right w:w="108" w:type="dxa"/>
            </w:tcMar>
            <w:vAlign w:val="center"/>
          </w:tcPr>
          <w:p>
            <w:pPr>
              <w:jc w:val="left"/>
              <w:rPr>
                <w:rFonts w:hint="eastAsia" w:ascii="宋体" w:hAnsi="宋体" w:cs="宋体"/>
                <w:sz w:val="24"/>
                <w:szCs w:val="24"/>
              </w:rPr>
            </w:pPr>
            <w:r>
              <w:rPr>
                <w:rFonts w:hint="eastAsia" w:ascii="宋体" w:hAnsi="宋体" w:cs="宋体"/>
                <w:sz w:val="24"/>
                <w:szCs w:val="24"/>
              </w:rPr>
              <w:t>登录管理</w:t>
            </w:r>
          </w:p>
        </w:tc>
        <w:tc>
          <w:tcPr>
            <w:tcW w:w="7034" w:type="dxa"/>
            <w:noWrap w:val="0"/>
            <w:tcMar>
              <w:top w:w="0" w:type="dxa"/>
              <w:left w:w="108" w:type="dxa"/>
              <w:bottom w:w="0" w:type="dxa"/>
              <w:right w:w="108" w:type="dxa"/>
            </w:tcMar>
            <w:vAlign w:val="center"/>
          </w:tcPr>
          <w:p>
            <w:pPr>
              <w:rPr>
                <w:rFonts w:hint="eastAsia" w:ascii="宋体" w:hAnsi="宋体" w:cs="宋体"/>
                <w:sz w:val="24"/>
                <w:szCs w:val="24"/>
              </w:rPr>
            </w:pPr>
            <w:r>
              <w:rPr>
                <w:rFonts w:hint="eastAsia" w:ascii="宋体" w:hAnsi="宋体" w:cs="宋体"/>
                <w:sz w:val="24"/>
                <w:szCs w:val="24"/>
              </w:rPr>
              <w:t>提供三权分立的用户管理能力：配置员、用户管理员、审计员相互独立，支持根据对象属性自定义划分系统管理角色和一般用户角色，按照数据和功能分级灵活设置用户权限。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1243" w:type="dxa"/>
            <w:vMerge w:val="continue"/>
            <w:noWrap w:val="0"/>
            <w:tcMar>
              <w:top w:w="0" w:type="dxa"/>
              <w:left w:w="108" w:type="dxa"/>
              <w:bottom w:w="0" w:type="dxa"/>
              <w:right w:w="108" w:type="dxa"/>
            </w:tcMar>
            <w:vAlign w:val="center"/>
          </w:tcPr>
          <w:p>
            <w:pPr>
              <w:jc w:val="left"/>
              <w:rPr>
                <w:rFonts w:hint="eastAsia" w:ascii="宋体" w:hAnsi="宋体" w:cs="宋体"/>
                <w:sz w:val="24"/>
                <w:szCs w:val="24"/>
              </w:rPr>
            </w:pPr>
          </w:p>
        </w:tc>
        <w:tc>
          <w:tcPr>
            <w:tcW w:w="7034" w:type="dxa"/>
            <w:noWrap w:val="0"/>
            <w:tcMar>
              <w:top w:w="0" w:type="dxa"/>
              <w:left w:w="108" w:type="dxa"/>
              <w:bottom w:w="0" w:type="dxa"/>
              <w:right w:w="108" w:type="dxa"/>
            </w:tcMar>
            <w:vAlign w:val="center"/>
          </w:tcPr>
          <w:p>
            <w:pPr>
              <w:rPr>
                <w:rFonts w:hint="eastAsia" w:ascii="宋体" w:hAnsi="宋体"/>
                <w:sz w:val="24"/>
                <w:szCs w:val="24"/>
              </w:rPr>
            </w:pPr>
            <w:r>
              <w:rPr>
                <w:rFonts w:hint="eastAsia" w:ascii="宋体" w:hAnsi="宋体"/>
                <w:sz w:val="24"/>
                <w:szCs w:val="24"/>
              </w:rPr>
              <w:t>支持用户角色管理，可以为不同角色赋予不同系统功能模块及数据的读写权限，未赋予此模块读写权限的用户，将无此功能模块的显示或配置的权限。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1243" w:type="dxa"/>
            <w:vMerge w:val="continue"/>
            <w:noWrap w:val="0"/>
            <w:tcMar>
              <w:top w:w="0" w:type="dxa"/>
              <w:left w:w="108" w:type="dxa"/>
              <w:bottom w:w="0" w:type="dxa"/>
              <w:right w:w="108" w:type="dxa"/>
            </w:tcMar>
            <w:vAlign w:val="center"/>
          </w:tcPr>
          <w:p>
            <w:pPr>
              <w:widowControl/>
              <w:jc w:val="left"/>
              <w:rPr>
                <w:rFonts w:hint="eastAsia" w:ascii="宋体" w:hAnsi="宋体" w:cs="宋体"/>
                <w:sz w:val="24"/>
                <w:szCs w:val="24"/>
              </w:rPr>
            </w:pPr>
          </w:p>
        </w:tc>
        <w:tc>
          <w:tcPr>
            <w:tcW w:w="7034" w:type="dxa"/>
            <w:noWrap w:val="0"/>
            <w:tcMar>
              <w:top w:w="0" w:type="dxa"/>
              <w:left w:w="108" w:type="dxa"/>
              <w:bottom w:w="0" w:type="dxa"/>
              <w:right w:w="108" w:type="dxa"/>
            </w:tcMar>
            <w:vAlign w:val="center"/>
          </w:tcPr>
          <w:p>
            <w:pPr>
              <w:rPr>
                <w:rFonts w:ascii="宋体" w:hAnsi="宋体"/>
                <w:sz w:val="24"/>
                <w:szCs w:val="24"/>
              </w:rPr>
            </w:pPr>
            <w:r>
              <w:rPr>
                <w:rFonts w:hint="eastAsia" w:ascii="宋体" w:hAnsi="宋体"/>
                <w:sz w:val="24"/>
                <w:szCs w:val="24"/>
              </w:rPr>
              <w:t>支持双因子认证方式登录系统，认证方式支持短信和邮箱。</w:t>
            </w:r>
          </w:p>
          <w:p>
            <w:pPr>
              <w:rPr>
                <w:rFonts w:hint="eastAsia" w:ascii="宋体" w:hAnsi="宋体"/>
                <w:sz w:val="24"/>
                <w:szCs w:val="24"/>
              </w:rPr>
            </w:pPr>
            <w:r>
              <w:rPr>
                <w:rFonts w:hint="eastAsia" w:ascii="宋体" w:hAnsi="宋体"/>
                <w:sz w:val="24"/>
                <w:szCs w:val="24"/>
              </w:rPr>
              <w:t>支持对登录的并发会话数的设置，限制同时登陆系统的用户数量。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1243" w:type="dxa"/>
            <w:noWrap w:val="0"/>
            <w:tcMar>
              <w:top w:w="0" w:type="dxa"/>
              <w:left w:w="108" w:type="dxa"/>
              <w:bottom w:w="0" w:type="dxa"/>
              <w:right w:w="108" w:type="dxa"/>
            </w:tcMar>
            <w:vAlign w:val="center"/>
          </w:tcPr>
          <w:p>
            <w:pPr>
              <w:jc w:val="left"/>
              <w:rPr>
                <w:rFonts w:hint="eastAsia" w:ascii="宋体" w:hAnsi="宋体" w:cs="宋体"/>
                <w:sz w:val="24"/>
                <w:szCs w:val="24"/>
              </w:rPr>
            </w:pPr>
            <w:r>
              <w:rPr>
                <w:rFonts w:hint="eastAsia" w:ascii="宋体" w:hAnsi="宋体" w:cs="宋体"/>
                <w:sz w:val="24"/>
                <w:szCs w:val="24"/>
              </w:rPr>
              <w:t>资质要求</w:t>
            </w:r>
          </w:p>
        </w:tc>
        <w:tc>
          <w:tcPr>
            <w:tcW w:w="7034" w:type="dxa"/>
            <w:noWrap w:val="0"/>
            <w:tcMar>
              <w:top w:w="0" w:type="dxa"/>
              <w:left w:w="108" w:type="dxa"/>
              <w:bottom w:w="0" w:type="dxa"/>
              <w:right w:w="108" w:type="dxa"/>
            </w:tcMar>
            <w:vAlign w:val="center"/>
          </w:tcPr>
          <w:p>
            <w:pPr>
              <w:rPr>
                <w:rFonts w:hint="eastAsia" w:ascii="宋体" w:hAnsi="宋体" w:cs="宋体"/>
                <w:sz w:val="24"/>
                <w:szCs w:val="24"/>
              </w:rPr>
            </w:pPr>
            <w:r>
              <w:rPr>
                <w:rFonts w:hint="eastAsia" w:ascii="宋体" w:hAnsi="宋体" w:cs="宋体"/>
                <w:color w:val="FF0000"/>
                <w:sz w:val="24"/>
                <w:szCs w:val="24"/>
              </w:rPr>
              <w:t>产品具备公安部销售许可证。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1243" w:type="dxa"/>
            <w:noWrap w:val="0"/>
            <w:tcMar>
              <w:top w:w="0" w:type="dxa"/>
              <w:left w:w="108" w:type="dxa"/>
              <w:bottom w:w="0" w:type="dxa"/>
              <w:right w:w="108" w:type="dxa"/>
            </w:tcMar>
            <w:vAlign w:val="center"/>
          </w:tcPr>
          <w:p>
            <w:pPr>
              <w:widowControl/>
              <w:jc w:val="left"/>
              <w:rPr>
                <w:rFonts w:hint="eastAsia" w:ascii="宋体" w:hAnsi="宋体" w:cs="宋体"/>
                <w:sz w:val="24"/>
                <w:szCs w:val="24"/>
              </w:rPr>
            </w:pPr>
            <w:r>
              <w:rPr>
                <w:rFonts w:ascii="宋体" w:hAnsi="宋体" w:cs="宋体"/>
                <w:b/>
                <w:bCs/>
                <w:kern w:val="0"/>
                <w:sz w:val="24"/>
                <w:szCs w:val="24"/>
              </w:rPr>
              <w:t>其它</w:t>
            </w:r>
          </w:p>
        </w:tc>
        <w:tc>
          <w:tcPr>
            <w:tcW w:w="7034" w:type="dxa"/>
            <w:noWrap w:val="0"/>
            <w:tcMar>
              <w:top w:w="0" w:type="dxa"/>
              <w:left w:w="108" w:type="dxa"/>
              <w:bottom w:w="0" w:type="dxa"/>
              <w:right w:w="108" w:type="dxa"/>
            </w:tcMar>
            <w:vAlign w:val="center"/>
          </w:tcPr>
          <w:p>
            <w:pPr>
              <w:rPr>
                <w:rFonts w:hint="eastAsia" w:ascii="宋体" w:hAnsi="宋体" w:cs="宋体"/>
                <w:sz w:val="24"/>
                <w:szCs w:val="24"/>
              </w:rPr>
            </w:pPr>
            <w:r>
              <w:rPr>
                <w:rFonts w:hint="eastAsia" w:ascii="等线" w:hAnsi="等线" w:cs="宋体"/>
                <w:sz w:val="24"/>
              </w:rPr>
              <w:t>原厂五年质保，中标后签订合同前提供原厂商质保承诺函。</w:t>
            </w:r>
          </w:p>
        </w:tc>
      </w:tr>
    </w:tbl>
    <w:p>
      <w:pPr>
        <w:outlineLvl w:val="1"/>
        <w:rPr>
          <w:rFonts w:hint="eastAsia" w:ascii="宋体" w:hAnsi="宋体"/>
          <w:b/>
          <w:bCs/>
          <w:color w:val="000000"/>
          <w:sz w:val="24"/>
          <w:szCs w:val="24"/>
        </w:rPr>
      </w:pPr>
    </w:p>
    <w:p>
      <w:pPr>
        <w:outlineLvl w:val="1"/>
        <w:rPr>
          <w:rFonts w:hint="eastAsia" w:ascii="宋体" w:hAnsi="宋体"/>
          <w:b/>
          <w:bCs/>
          <w:color w:val="000000"/>
          <w:sz w:val="24"/>
          <w:szCs w:val="24"/>
        </w:rPr>
      </w:pPr>
      <w:r>
        <w:rPr>
          <w:rFonts w:hint="eastAsia" w:ascii="宋体" w:hAnsi="宋体"/>
          <w:b/>
          <w:bCs/>
          <w:color w:val="000000"/>
          <w:sz w:val="24"/>
          <w:szCs w:val="24"/>
        </w:rPr>
        <w:t>29.网络管理</w:t>
      </w:r>
    </w:p>
    <w:tbl>
      <w:tblPr>
        <w:tblStyle w:val="23"/>
        <w:tblW w:w="8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4"/>
        <w:gridCol w:w="6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noWrap w:val="0"/>
            <w:vAlign w:val="top"/>
          </w:tcPr>
          <w:p>
            <w:pPr>
              <w:ind w:firstLine="241" w:firstLineChars="100"/>
              <w:rPr>
                <w:b/>
                <w:sz w:val="24"/>
                <w:szCs w:val="24"/>
              </w:rPr>
            </w:pPr>
            <w:r>
              <w:rPr>
                <w:rFonts w:hint="eastAsia"/>
                <w:b/>
                <w:sz w:val="24"/>
                <w:szCs w:val="24"/>
              </w:rPr>
              <w:t>指标项</w:t>
            </w:r>
          </w:p>
        </w:tc>
        <w:tc>
          <w:tcPr>
            <w:tcW w:w="6973" w:type="dxa"/>
            <w:noWrap w:val="0"/>
            <w:vAlign w:val="top"/>
          </w:tcPr>
          <w:p>
            <w:pPr>
              <w:ind w:firstLine="420"/>
              <w:jc w:val="center"/>
              <w:rPr>
                <w:b/>
                <w:sz w:val="24"/>
                <w:szCs w:val="24"/>
              </w:rPr>
            </w:pPr>
            <w:r>
              <w:rPr>
                <w:rFonts w:hint="eastAsia"/>
                <w:b/>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noWrap w:val="0"/>
            <w:vAlign w:val="center"/>
          </w:tcPr>
          <w:p>
            <w:pPr>
              <w:rPr>
                <w:sz w:val="24"/>
                <w:szCs w:val="24"/>
              </w:rPr>
            </w:pPr>
            <w:r>
              <w:rPr>
                <w:rFonts w:hint="eastAsia"/>
                <w:sz w:val="24"/>
                <w:szCs w:val="24"/>
              </w:rPr>
              <w:t>硬件要求</w:t>
            </w:r>
          </w:p>
        </w:tc>
        <w:tc>
          <w:tcPr>
            <w:tcW w:w="6973" w:type="dxa"/>
            <w:noWrap w:val="0"/>
            <w:vAlign w:val="top"/>
          </w:tcPr>
          <w:p>
            <w:pPr>
              <w:jc w:val="left"/>
              <w:rPr>
                <w:rFonts w:ascii="宋体" w:hAnsi="宋体"/>
                <w:sz w:val="24"/>
                <w:szCs w:val="24"/>
              </w:rPr>
            </w:pPr>
            <w:r>
              <w:rPr>
                <w:rFonts w:hint="eastAsia" w:ascii="宋体" w:hAnsi="宋体"/>
                <w:sz w:val="24"/>
                <w:szCs w:val="24"/>
              </w:rPr>
              <w:t>CPU</w:t>
            </w:r>
            <w:r>
              <w:rPr>
                <w:rFonts w:ascii="宋体" w:hAnsi="宋体"/>
                <w:sz w:val="24"/>
                <w:szCs w:val="24"/>
              </w:rPr>
              <w:t xml:space="preserve"> </w:t>
            </w:r>
            <w:r>
              <w:rPr>
                <w:rFonts w:hint="eastAsia" w:ascii="宋体" w:hAnsi="宋体"/>
                <w:sz w:val="24"/>
                <w:szCs w:val="24"/>
              </w:rPr>
              <w:t>≥2.2GHz 10核心 20线程*2，内存≥64G，GRAID卡≥2，可用存储空间不低于1T，千兆电口≥4个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Merge w:val="restart"/>
            <w:noWrap w:val="0"/>
            <w:vAlign w:val="center"/>
          </w:tcPr>
          <w:p>
            <w:pPr>
              <w:rPr>
                <w:sz w:val="24"/>
                <w:szCs w:val="24"/>
              </w:rPr>
            </w:pPr>
            <w:r>
              <w:rPr>
                <w:rFonts w:hint="eastAsia"/>
                <w:sz w:val="24"/>
                <w:szCs w:val="24"/>
              </w:rPr>
              <w:t>功能要求</w:t>
            </w:r>
          </w:p>
        </w:tc>
        <w:tc>
          <w:tcPr>
            <w:tcW w:w="6973" w:type="dxa"/>
            <w:noWrap w:val="0"/>
            <w:vAlign w:val="top"/>
          </w:tcPr>
          <w:p>
            <w:pPr>
              <w:ind w:firstLine="420"/>
              <w:jc w:val="left"/>
              <w:rPr>
                <w:rFonts w:ascii="宋体" w:hAnsi="宋体"/>
                <w:sz w:val="24"/>
                <w:szCs w:val="24"/>
              </w:rPr>
            </w:pPr>
            <w:r>
              <w:rPr>
                <w:rFonts w:hint="eastAsia" w:ascii="宋体" w:hAnsi="宋体"/>
                <w:sz w:val="24"/>
                <w:szCs w:val="24"/>
              </w:rPr>
              <w:t>分布式部署：要求资源拓扑、告警、性能等功能模块支持多服务器分布式虚拟化部署，可实现负载分担，满足大规模网络环境的统一管理。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Merge w:val="continue"/>
            <w:noWrap w:val="0"/>
            <w:vAlign w:val="center"/>
          </w:tcPr>
          <w:p>
            <w:pPr>
              <w:ind w:firstLine="420"/>
              <w:rPr>
                <w:sz w:val="24"/>
                <w:szCs w:val="24"/>
              </w:rPr>
            </w:pPr>
          </w:p>
        </w:tc>
        <w:tc>
          <w:tcPr>
            <w:tcW w:w="6973" w:type="dxa"/>
            <w:noWrap w:val="0"/>
            <w:vAlign w:val="top"/>
          </w:tcPr>
          <w:p>
            <w:pPr>
              <w:ind w:firstLine="420"/>
              <w:jc w:val="left"/>
              <w:rPr>
                <w:rFonts w:ascii="宋体" w:hAnsi="宋体"/>
                <w:sz w:val="24"/>
                <w:szCs w:val="24"/>
              </w:rPr>
            </w:pPr>
            <w:r>
              <w:rPr>
                <w:rFonts w:hint="eastAsia" w:ascii="宋体" w:hAnsi="宋体"/>
                <w:sz w:val="24"/>
                <w:szCs w:val="24"/>
              </w:rPr>
              <w:t>用户分权管理：可以为不同的管理员设置不同的用户名、密码，并限制管理员的管理权限和管理范围，实现用户分权管理。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Merge w:val="continue"/>
            <w:noWrap w:val="0"/>
            <w:vAlign w:val="center"/>
          </w:tcPr>
          <w:p>
            <w:pPr>
              <w:ind w:firstLine="420"/>
              <w:rPr>
                <w:sz w:val="24"/>
                <w:szCs w:val="24"/>
              </w:rPr>
            </w:pPr>
          </w:p>
        </w:tc>
        <w:tc>
          <w:tcPr>
            <w:tcW w:w="6973" w:type="dxa"/>
            <w:noWrap w:val="0"/>
            <w:vAlign w:val="top"/>
          </w:tcPr>
          <w:p>
            <w:pPr>
              <w:ind w:firstLine="420"/>
              <w:jc w:val="left"/>
              <w:rPr>
                <w:rFonts w:ascii="宋体" w:hAnsi="宋体"/>
                <w:sz w:val="24"/>
                <w:szCs w:val="24"/>
              </w:rPr>
            </w:pPr>
            <w:r>
              <w:rPr>
                <w:rFonts w:hint="eastAsia" w:ascii="宋体" w:hAnsi="宋体"/>
                <w:sz w:val="24"/>
                <w:szCs w:val="24"/>
              </w:rPr>
              <w:t>多平台支持：支持Windows、Linux平台、麒麟等国产操作系统，及MS SQL、Oracle、达梦等数据库，支持B/S架构。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Merge w:val="continue"/>
            <w:noWrap w:val="0"/>
            <w:vAlign w:val="center"/>
          </w:tcPr>
          <w:p>
            <w:pPr>
              <w:ind w:firstLine="420"/>
              <w:rPr>
                <w:sz w:val="24"/>
                <w:szCs w:val="24"/>
              </w:rPr>
            </w:pPr>
          </w:p>
        </w:tc>
        <w:tc>
          <w:tcPr>
            <w:tcW w:w="6973" w:type="dxa"/>
            <w:noWrap w:val="0"/>
            <w:vAlign w:val="top"/>
          </w:tcPr>
          <w:p>
            <w:pPr>
              <w:ind w:firstLine="420"/>
              <w:jc w:val="left"/>
              <w:rPr>
                <w:rFonts w:ascii="宋体" w:hAnsi="宋体"/>
                <w:sz w:val="24"/>
                <w:szCs w:val="24"/>
              </w:rPr>
            </w:pPr>
            <w:r>
              <w:rPr>
                <w:rFonts w:hint="eastAsia" w:ascii="宋体" w:hAnsi="宋体"/>
                <w:sz w:val="24"/>
                <w:szCs w:val="24"/>
              </w:rPr>
              <w:t>自动发现拓扑：自动发现网络中的所有网络设备，并在拓扑中显示出来，支持拓扑图自定义修改，包括设备、链路等。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Merge w:val="continue"/>
            <w:noWrap w:val="0"/>
            <w:vAlign w:val="center"/>
          </w:tcPr>
          <w:p>
            <w:pPr>
              <w:ind w:firstLine="420"/>
              <w:rPr>
                <w:sz w:val="24"/>
                <w:szCs w:val="24"/>
              </w:rPr>
            </w:pPr>
          </w:p>
        </w:tc>
        <w:tc>
          <w:tcPr>
            <w:tcW w:w="6973" w:type="dxa"/>
            <w:noWrap w:val="0"/>
            <w:vAlign w:val="top"/>
          </w:tcPr>
          <w:p>
            <w:pPr>
              <w:ind w:firstLine="420"/>
              <w:jc w:val="left"/>
              <w:rPr>
                <w:rFonts w:ascii="宋体" w:hAnsi="宋体"/>
                <w:sz w:val="24"/>
                <w:szCs w:val="24"/>
              </w:rPr>
            </w:pPr>
            <w:r>
              <w:rPr>
                <w:rFonts w:hint="eastAsia" w:ascii="宋体" w:hAnsi="宋体"/>
                <w:sz w:val="24"/>
                <w:szCs w:val="24"/>
              </w:rPr>
              <w:t>支持IP拓扑、二层拓扑、自定义拓扑视图（支持网络区域的任意划分、命名、拖拽、折叠和展开）、全景拓扑、Vxlan拓扑、邻居拓扑、LLDP-MED拓扑、流量拓扑、数据中心拓扑、数据中心机架拓扑、IRF拓扑、MDC虚拟网络拓扑、MDC和IRF组合拓扑等多种拓扑类型；二层拓扑支持多协议，包括Bridge、NDP、CDP、MSTP、STP、LLDP、DISMAN-PING等二层协议，支持聚合链路，支持第三方的设备；拓扑可融合链路状态、设备告警等多种信息。并支持以GIS地图为拓扑背景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Merge w:val="continue"/>
            <w:noWrap w:val="0"/>
            <w:vAlign w:val="center"/>
          </w:tcPr>
          <w:p>
            <w:pPr>
              <w:ind w:firstLine="420"/>
              <w:rPr>
                <w:sz w:val="24"/>
                <w:szCs w:val="24"/>
              </w:rPr>
            </w:pPr>
          </w:p>
        </w:tc>
        <w:tc>
          <w:tcPr>
            <w:tcW w:w="6973" w:type="dxa"/>
            <w:noWrap w:val="0"/>
            <w:vAlign w:val="top"/>
          </w:tcPr>
          <w:p>
            <w:pPr>
              <w:ind w:firstLine="420"/>
              <w:jc w:val="left"/>
              <w:rPr>
                <w:rFonts w:ascii="宋体" w:hAnsi="宋体"/>
                <w:sz w:val="24"/>
                <w:szCs w:val="24"/>
              </w:rPr>
            </w:pPr>
            <w:r>
              <w:rPr>
                <w:rFonts w:hint="eastAsia" w:ascii="宋体" w:hAnsi="宋体"/>
                <w:sz w:val="24"/>
                <w:szCs w:val="24"/>
              </w:rPr>
              <w:t>故障管理：支持对全网设备告警的实时监控和统一浏览；支持多种提醒方式，如告警实时提醒（告警板）、告警音响提示；支持多种转发方式，比如转E-mail，转短信，转上级网管或其它网管等。支持告警分析，可以屏蔽重复告警、闪断告警，支持告警自动确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Merge w:val="continue"/>
            <w:noWrap w:val="0"/>
            <w:vAlign w:val="center"/>
          </w:tcPr>
          <w:p>
            <w:pPr>
              <w:ind w:firstLine="420"/>
              <w:rPr>
                <w:sz w:val="24"/>
                <w:szCs w:val="24"/>
              </w:rPr>
            </w:pPr>
          </w:p>
        </w:tc>
        <w:tc>
          <w:tcPr>
            <w:tcW w:w="6973" w:type="dxa"/>
            <w:noWrap w:val="0"/>
            <w:vAlign w:val="top"/>
          </w:tcPr>
          <w:p>
            <w:pPr>
              <w:ind w:firstLine="420"/>
              <w:jc w:val="left"/>
              <w:rPr>
                <w:rFonts w:ascii="宋体" w:hAnsi="宋体"/>
                <w:sz w:val="24"/>
                <w:szCs w:val="24"/>
              </w:rPr>
            </w:pPr>
            <w:r>
              <w:rPr>
                <w:rFonts w:hint="eastAsia" w:ascii="宋体" w:hAnsi="宋体"/>
                <w:sz w:val="24"/>
                <w:szCs w:val="24"/>
              </w:rPr>
              <w:t>告警智能分析，包括告警分类关联分析、告警多源关联分析、告警拓扑根源分析、告警网络影响度分析。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Merge w:val="continue"/>
            <w:noWrap w:val="0"/>
            <w:vAlign w:val="center"/>
          </w:tcPr>
          <w:p>
            <w:pPr>
              <w:ind w:firstLine="420"/>
              <w:rPr>
                <w:sz w:val="24"/>
                <w:szCs w:val="24"/>
              </w:rPr>
            </w:pPr>
          </w:p>
        </w:tc>
        <w:tc>
          <w:tcPr>
            <w:tcW w:w="6973" w:type="dxa"/>
            <w:noWrap w:val="0"/>
            <w:vAlign w:val="top"/>
          </w:tcPr>
          <w:p>
            <w:pPr>
              <w:ind w:firstLine="420"/>
              <w:jc w:val="left"/>
              <w:rPr>
                <w:rFonts w:ascii="宋体" w:hAnsi="宋体"/>
                <w:sz w:val="24"/>
                <w:szCs w:val="24"/>
              </w:rPr>
            </w:pPr>
            <w:r>
              <w:rPr>
                <w:rFonts w:hint="eastAsia" w:ascii="宋体" w:hAnsi="宋体"/>
                <w:sz w:val="24"/>
                <w:szCs w:val="24"/>
              </w:rPr>
              <w:t>提供直观的设备的面板视图：支持设备面板的显示、定时刷新、面板缩放功能，通过面板管理，网络管理人员可以直观地看到设备、板卡、端口的工作状态；并提供基于设备面板的设备、单板、端口配置功能。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Merge w:val="continue"/>
            <w:noWrap w:val="0"/>
            <w:vAlign w:val="center"/>
          </w:tcPr>
          <w:p>
            <w:pPr>
              <w:ind w:firstLine="420"/>
              <w:rPr>
                <w:sz w:val="24"/>
                <w:szCs w:val="24"/>
              </w:rPr>
            </w:pPr>
          </w:p>
        </w:tc>
        <w:tc>
          <w:tcPr>
            <w:tcW w:w="6973" w:type="dxa"/>
            <w:noWrap w:val="0"/>
            <w:vAlign w:val="top"/>
          </w:tcPr>
          <w:p>
            <w:pPr>
              <w:ind w:firstLine="420"/>
              <w:jc w:val="left"/>
              <w:rPr>
                <w:rFonts w:ascii="宋体" w:hAnsi="宋体"/>
                <w:sz w:val="24"/>
                <w:szCs w:val="24"/>
              </w:rPr>
            </w:pPr>
            <w:r>
              <w:rPr>
                <w:rFonts w:hint="eastAsia" w:ascii="宋体" w:hAnsi="宋体"/>
                <w:sz w:val="24"/>
                <w:szCs w:val="24"/>
              </w:rPr>
              <w:t>支持虚拟网络资源管理、虚拟网络拓扑展示、虚拟网络告警管理、虚拟网络性能监控、虚拟交换机配置管理、虚拟网络配置迁移管理。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Merge w:val="continue"/>
            <w:noWrap w:val="0"/>
            <w:vAlign w:val="center"/>
          </w:tcPr>
          <w:p>
            <w:pPr>
              <w:ind w:firstLine="420"/>
              <w:rPr>
                <w:sz w:val="24"/>
                <w:szCs w:val="24"/>
              </w:rPr>
            </w:pPr>
          </w:p>
        </w:tc>
        <w:tc>
          <w:tcPr>
            <w:tcW w:w="6973" w:type="dxa"/>
            <w:noWrap w:val="0"/>
            <w:vAlign w:val="top"/>
          </w:tcPr>
          <w:p>
            <w:pPr>
              <w:ind w:firstLine="420"/>
              <w:jc w:val="left"/>
              <w:rPr>
                <w:rFonts w:ascii="宋体" w:hAnsi="宋体"/>
                <w:sz w:val="24"/>
                <w:szCs w:val="24"/>
              </w:rPr>
            </w:pPr>
            <w:r>
              <w:rPr>
                <w:rFonts w:hint="eastAsia" w:ascii="宋体" w:hAnsi="宋体"/>
                <w:sz w:val="24"/>
                <w:szCs w:val="24"/>
              </w:rPr>
              <w:t>多厂商设备配置及软件管理：支持H3C/HUAWEI/3COM/CISCO/HP设备的批量配置和软件管理，包括的软件版本和软件库中最新可用的软件，更新设备的软件。支持220+设备厂商，8000+设备款型。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Merge w:val="continue"/>
            <w:noWrap w:val="0"/>
            <w:vAlign w:val="center"/>
          </w:tcPr>
          <w:p>
            <w:pPr>
              <w:ind w:firstLine="420"/>
              <w:rPr>
                <w:sz w:val="24"/>
                <w:szCs w:val="24"/>
              </w:rPr>
            </w:pPr>
          </w:p>
        </w:tc>
        <w:tc>
          <w:tcPr>
            <w:tcW w:w="6973" w:type="dxa"/>
            <w:noWrap w:val="0"/>
            <w:vAlign w:val="top"/>
          </w:tcPr>
          <w:p>
            <w:pPr>
              <w:ind w:firstLine="420"/>
              <w:jc w:val="left"/>
              <w:rPr>
                <w:rFonts w:ascii="宋体" w:hAnsi="宋体"/>
                <w:sz w:val="24"/>
                <w:szCs w:val="24"/>
              </w:rPr>
            </w:pPr>
            <w:r>
              <w:rPr>
                <w:rFonts w:hint="eastAsia" w:ascii="宋体" w:hAnsi="宋体"/>
                <w:sz w:val="24"/>
                <w:szCs w:val="24"/>
              </w:rPr>
              <w:t>支持管理第三方设备：新设备注册，告警注册，新性能指标注册，新Syslog解析注册，Mib编译，第三方设备配置管理-CLI下发，配置管理-配置备份、软件升级（使用TCL/ Expect /Perl模板自定制），第三方设备管理系统集成。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Merge w:val="continue"/>
            <w:noWrap w:val="0"/>
            <w:vAlign w:val="center"/>
          </w:tcPr>
          <w:p>
            <w:pPr>
              <w:ind w:firstLine="420"/>
              <w:rPr>
                <w:sz w:val="24"/>
                <w:szCs w:val="24"/>
              </w:rPr>
            </w:pPr>
          </w:p>
        </w:tc>
        <w:tc>
          <w:tcPr>
            <w:tcW w:w="6973" w:type="dxa"/>
            <w:noWrap w:val="0"/>
            <w:vAlign w:val="top"/>
          </w:tcPr>
          <w:p>
            <w:pPr>
              <w:ind w:firstLine="420"/>
              <w:jc w:val="left"/>
              <w:rPr>
                <w:rFonts w:ascii="宋体" w:hAnsi="宋体"/>
                <w:sz w:val="24"/>
                <w:szCs w:val="24"/>
              </w:rPr>
            </w:pPr>
            <w:r>
              <w:rPr>
                <w:rFonts w:hint="eastAsia" w:ascii="宋体" w:hAnsi="宋体"/>
                <w:sz w:val="24"/>
                <w:szCs w:val="24"/>
              </w:rPr>
              <w:t>二次开发接口：提供基于REST、SOAP的接口开放能力。并提供北向SNMP接口。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vMerge w:val="continue"/>
            <w:noWrap w:val="0"/>
            <w:vAlign w:val="center"/>
          </w:tcPr>
          <w:p>
            <w:pPr>
              <w:ind w:firstLine="420"/>
              <w:rPr>
                <w:sz w:val="24"/>
                <w:szCs w:val="24"/>
              </w:rPr>
            </w:pPr>
          </w:p>
        </w:tc>
        <w:tc>
          <w:tcPr>
            <w:tcW w:w="6973" w:type="dxa"/>
            <w:noWrap w:val="0"/>
            <w:vAlign w:val="top"/>
          </w:tcPr>
          <w:p>
            <w:pPr>
              <w:ind w:firstLine="420"/>
              <w:jc w:val="left"/>
              <w:rPr>
                <w:rFonts w:ascii="宋体" w:hAnsi="宋体"/>
                <w:sz w:val="24"/>
                <w:szCs w:val="24"/>
              </w:rPr>
            </w:pPr>
            <w:r>
              <w:rPr>
                <w:rFonts w:hint="eastAsia" w:ascii="宋体" w:hAnsi="宋体"/>
                <w:sz w:val="24"/>
                <w:szCs w:val="24"/>
              </w:rPr>
              <w:t>本次实配可管理网络及安全设备≥200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04" w:type="dxa"/>
            <w:noWrap w:val="0"/>
            <w:vAlign w:val="center"/>
          </w:tcPr>
          <w:p>
            <w:pPr>
              <w:ind w:firstLine="420"/>
              <w:rPr>
                <w:sz w:val="24"/>
                <w:szCs w:val="24"/>
              </w:rPr>
            </w:pPr>
            <w:r>
              <w:rPr>
                <w:rFonts w:hint="eastAsia"/>
                <w:sz w:val="24"/>
                <w:szCs w:val="24"/>
              </w:rPr>
              <w:t>质保</w:t>
            </w:r>
          </w:p>
        </w:tc>
        <w:tc>
          <w:tcPr>
            <w:tcW w:w="6973" w:type="dxa"/>
            <w:noWrap w:val="0"/>
            <w:vAlign w:val="center"/>
          </w:tcPr>
          <w:p>
            <w:pPr>
              <w:jc w:val="left"/>
              <w:rPr>
                <w:rFonts w:ascii="宋体" w:hAnsi="宋体"/>
                <w:sz w:val="24"/>
                <w:szCs w:val="24"/>
              </w:rPr>
            </w:pPr>
            <w:r>
              <w:rPr>
                <w:rFonts w:hint="eastAsia" w:ascii="宋体" w:hAnsi="宋体"/>
                <w:sz w:val="24"/>
                <w:szCs w:val="24"/>
              </w:rPr>
              <w:t>原厂五年软硬件上门质保服务；中标后签订合同前提供原厂商质保承诺函。</w:t>
            </w:r>
          </w:p>
        </w:tc>
      </w:tr>
    </w:tbl>
    <w:p>
      <w:pPr>
        <w:outlineLvl w:val="1"/>
        <w:rPr>
          <w:rFonts w:hint="eastAsia" w:ascii="宋体" w:hAnsi="宋体"/>
          <w:b/>
          <w:bCs/>
          <w:color w:val="000000"/>
          <w:sz w:val="24"/>
          <w:szCs w:val="24"/>
        </w:rPr>
      </w:pPr>
      <w:r>
        <w:rPr>
          <w:rFonts w:hint="eastAsia" w:ascii="宋体" w:hAnsi="宋体"/>
          <w:b/>
          <w:bCs/>
          <w:color w:val="000000"/>
          <w:sz w:val="24"/>
          <w:szCs w:val="24"/>
        </w:rPr>
        <w:t>29.终端安全管理平台</w:t>
      </w:r>
    </w:p>
    <w:tbl>
      <w:tblPr>
        <w:tblStyle w:val="23"/>
        <w:tblW w:w="8415" w:type="dxa"/>
        <w:tblInd w:w="108" w:type="dxa"/>
        <w:tblLayout w:type="fixed"/>
        <w:tblCellMar>
          <w:top w:w="0" w:type="dxa"/>
          <w:left w:w="108" w:type="dxa"/>
          <w:bottom w:w="0" w:type="dxa"/>
          <w:right w:w="108" w:type="dxa"/>
        </w:tblCellMar>
      </w:tblPr>
      <w:tblGrid>
        <w:gridCol w:w="1276"/>
        <w:gridCol w:w="7139"/>
      </w:tblGrid>
      <w:tr>
        <w:tblPrEx>
          <w:tblLayout w:type="fixed"/>
          <w:tblCellMar>
            <w:top w:w="0" w:type="dxa"/>
            <w:left w:w="108" w:type="dxa"/>
            <w:bottom w:w="0" w:type="dxa"/>
            <w:right w:w="108" w:type="dxa"/>
          </w:tblCellMar>
        </w:tblPrEx>
        <w:trPr>
          <w:trHeight w:val="276" w:hRule="atLeast"/>
        </w:trPr>
        <w:tc>
          <w:tcPr>
            <w:tcW w:w="127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b/>
                <w:bCs/>
                <w:color w:val="000000"/>
                <w:kern w:val="0"/>
                <w:sz w:val="24"/>
                <w:szCs w:val="24"/>
              </w:rPr>
            </w:pPr>
            <w:r>
              <w:rPr>
                <w:rFonts w:hint="eastAsia" w:ascii="宋体" w:hAnsi="宋体" w:cs="宋体"/>
                <w:b/>
                <w:bCs/>
                <w:color w:val="000000"/>
                <w:kern w:val="0"/>
                <w:sz w:val="24"/>
                <w:szCs w:val="24"/>
              </w:rPr>
              <w:t>指标项</w:t>
            </w:r>
          </w:p>
        </w:tc>
        <w:tc>
          <w:tcPr>
            <w:tcW w:w="7139" w:type="dxa"/>
            <w:tcBorders>
              <w:top w:val="single" w:color="auto" w:sz="4" w:space="0"/>
              <w:left w:val="nil"/>
              <w:bottom w:val="single" w:color="auto" w:sz="4" w:space="0"/>
              <w:right w:val="single" w:color="auto" w:sz="4" w:space="0"/>
            </w:tcBorders>
            <w:noWrap w:val="0"/>
            <w:vAlign w:val="center"/>
          </w:tcPr>
          <w:p>
            <w:pPr>
              <w:widowControl/>
              <w:spacing w:line="360" w:lineRule="auto"/>
              <w:jc w:val="center"/>
              <w:rPr>
                <w:rFonts w:hint="eastAsia" w:ascii="宋体" w:hAnsi="宋体" w:cs="宋体"/>
                <w:b/>
                <w:bCs/>
                <w:color w:val="000000"/>
                <w:kern w:val="0"/>
                <w:sz w:val="24"/>
                <w:szCs w:val="24"/>
              </w:rPr>
            </w:pPr>
            <w:r>
              <w:rPr>
                <w:rFonts w:hint="eastAsia" w:ascii="宋体" w:hAnsi="宋体" w:cs="宋体"/>
                <w:b/>
                <w:bCs/>
                <w:color w:val="000000"/>
                <w:kern w:val="0"/>
                <w:sz w:val="24"/>
                <w:szCs w:val="24"/>
              </w:rPr>
              <w:t>技术要求</w:t>
            </w:r>
          </w:p>
        </w:tc>
      </w:tr>
      <w:tr>
        <w:tblPrEx>
          <w:tblLayout w:type="fixed"/>
          <w:tblCellMar>
            <w:top w:w="0" w:type="dxa"/>
            <w:left w:w="108" w:type="dxa"/>
            <w:bottom w:w="0" w:type="dxa"/>
            <w:right w:w="108" w:type="dxa"/>
          </w:tblCellMar>
        </w:tblPrEx>
        <w:trPr>
          <w:trHeight w:val="648" w:hRule="atLeast"/>
        </w:trPr>
        <w:tc>
          <w:tcPr>
            <w:tcW w:w="1276"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360" w:lineRule="auto"/>
              <w:jc w:val="center"/>
              <w:rPr>
                <w:rFonts w:hint="eastAsia" w:ascii="宋体" w:hAnsi="宋体" w:cs="宋体"/>
                <w:color w:val="000000"/>
                <w:kern w:val="0"/>
                <w:sz w:val="24"/>
                <w:szCs w:val="24"/>
              </w:rPr>
            </w:pPr>
            <w:r>
              <w:rPr>
                <w:rFonts w:hint="eastAsia" w:ascii="宋体" w:hAnsi="宋体" w:cs="宋体"/>
                <w:color w:val="000000"/>
                <w:kern w:val="0"/>
                <w:sz w:val="24"/>
                <w:szCs w:val="24"/>
              </w:rPr>
              <w:t>内网安全管理（基本功能）</w:t>
            </w:r>
          </w:p>
        </w:tc>
        <w:tc>
          <w:tcPr>
            <w:tcW w:w="7139" w:type="dxa"/>
            <w:tcBorders>
              <w:top w:val="nil"/>
              <w:left w:val="single" w:color="auto" w:sz="4" w:space="0"/>
              <w:bottom w:val="single" w:color="auto" w:sz="4" w:space="0"/>
              <w:right w:val="single" w:color="auto" w:sz="4" w:space="0"/>
            </w:tcBorders>
            <w:noWrap w:val="0"/>
            <w:vAlign w:val="center"/>
          </w:tcPr>
          <w:p>
            <w:pPr>
              <w:rPr>
                <w:rFonts w:ascii="宋体" w:hAnsi="宋体" w:cs="宋体"/>
                <w:color w:val="000000"/>
                <w:kern w:val="0"/>
                <w:sz w:val="24"/>
                <w:szCs w:val="24"/>
              </w:rPr>
            </w:pPr>
            <w:r>
              <w:rPr>
                <w:rFonts w:hint="eastAsia" w:ascii="宋体" w:hAnsi="宋体" w:cs="宋体"/>
                <w:color w:val="000000"/>
                <w:kern w:val="0"/>
                <w:sz w:val="24"/>
                <w:szCs w:val="24"/>
              </w:rPr>
              <w:t>支持与数字证书捆绑注册，能获取数字证书的信息；</w:t>
            </w:r>
          </w:p>
          <w:p>
            <w:pPr>
              <w:rPr>
                <w:rFonts w:hint="eastAsia" w:ascii="宋体" w:hAnsi="宋体" w:cs="宋体"/>
                <w:color w:val="000000"/>
                <w:kern w:val="0"/>
                <w:sz w:val="24"/>
                <w:szCs w:val="24"/>
              </w:rPr>
            </w:pPr>
            <w:r>
              <w:rPr>
                <w:rFonts w:hint="eastAsia" w:ascii="宋体" w:hAnsi="宋体" w:cs="宋体"/>
                <w:color w:val="000000"/>
                <w:kern w:val="0"/>
                <w:sz w:val="24"/>
                <w:szCs w:val="24"/>
              </w:rPr>
              <w:t xml:space="preserve">支持带界面注册、静默注册、不带界面有进度有提醒注册； </w:t>
            </w:r>
          </w:p>
        </w:tc>
      </w:tr>
      <w:tr>
        <w:tblPrEx>
          <w:tblLayout w:type="fixed"/>
          <w:tblCellMar>
            <w:top w:w="0" w:type="dxa"/>
            <w:left w:w="108" w:type="dxa"/>
            <w:bottom w:w="0" w:type="dxa"/>
            <w:right w:w="108" w:type="dxa"/>
          </w:tblCellMar>
        </w:tblPrEx>
        <w:trPr>
          <w:trHeight w:val="276" w:hRule="atLeast"/>
        </w:trPr>
        <w:tc>
          <w:tcPr>
            <w:tcW w:w="127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60" w:lineRule="auto"/>
              <w:jc w:val="left"/>
              <w:rPr>
                <w:rFonts w:ascii="宋体" w:hAnsi="宋体" w:cs="宋体"/>
                <w:color w:val="000000"/>
                <w:kern w:val="0"/>
                <w:sz w:val="24"/>
                <w:szCs w:val="24"/>
              </w:rPr>
            </w:pPr>
          </w:p>
        </w:tc>
        <w:tc>
          <w:tcPr>
            <w:tcW w:w="7139"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实配1500个前端终端准入管理</w:t>
            </w:r>
          </w:p>
        </w:tc>
      </w:tr>
      <w:tr>
        <w:tblPrEx>
          <w:tblLayout w:type="fixed"/>
          <w:tblCellMar>
            <w:top w:w="0" w:type="dxa"/>
            <w:left w:w="108" w:type="dxa"/>
            <w:bottom w:w="0" w:type="dxa"/>
            <w:right w:w="108" w:type="dxa"/>
          </w:tblCellMar>
        </w:tblPrEx>
        <w:trPr>
          <w:trHeight w:val="276" w:hRule="atLeast"/>
        </w:trPr>
        <w:tc>
          <w:tcPr>
            <w:tcW w:w="127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60" w:lineRule="auto"/>
              <w:jc w:val="left"/>
              <w:rPr>
                <w:rFonts w:ascii="宋体" w:hAnsi="宋体" w:cs="宋体"/>
                <w:color w:val="000000"/>
                <w:kern w:val="0"/>
                <w:sz w:val="24"/>
                <w:szCs w:val="24"/>
              </w:rPr>
            </w:pPr>
          </w:p>
        </w:tc>
        <w:tc>
          <w:tcPr>
            <w:tcW w:w="7139" w:type="dxa"/>
            <w:tcBorders>
              <w:top w:val="nil"/>
              <w:left w:val="single" w:color="auto" w:sz="4" w:space="0"/>
              <w:bottom w:val="single" w:color="auto" w:sz="4" w:space="0"/>
              <w:right w:val="single" w:color="auto" w:sz="4" w:space="0"/>
            </w:tcBorders>
            <w:noWrap w:val="0"/>
            <w:vAlign w:val="center"/>
          </w:tcPr>
          <w:p>
            <w:pPr>
              <w:rPr>
                <w:rFonts w:hint="eastAsia"/>
                <w:sz w:val="24"/>
                <w:szCs w:val="24"/>
              </w:rPr>
            </w:pPr>
            <w:r>
              <w:rPr>
                <w:rFonts w:hint="eastAsia" w:ascii="宋体" w:hAnsi="宋体" w:cs="宋体"/>
                <w:color w:val="000000"/>
                <w:kern w:val="0"/>
                <w:sz w:val="24"/>
                <w:szCs w:val="24"/>
              </w:rPr>
              <w:t>策略管理：系统支持根据用户和根据设备两种模式的策略下发，还可根据用户所在组、IP地址、操作系、统、自定义检索等多种方式进行策略分发</w:t>
            </w:r>
          </w:p>
        </w:tc>
      </w:tr>
      <w:tr>
        <w:tblPrEx>
          <w:tblLayout w:type="fixed"/>
          <w:tblCellMar>
            <w:top w:w="0" w:type="dxa"/>
            <w:left w:w="108" w:type="dxa"/>
            <w:bottom w:w="0" w:type="dxa"/>
            <w:right w:w="108" w:type="dxa"/>
          </w:tblCellMar>
        </w:tblPrEx>
        <w:trPr>
          <w:trHeight w:val="648" w:hRule="atLeast"/>
        </w:trPr>
        <w:tc>
          <w:tcPr>
            <w:tcW w:w="127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60" w:lineRule="auto"/>
              <w:jc w:val="left"/>
              <w:rPr>
                <w:rFonts w:ascii="宋体" w:hAnsi="宋体" w:cs="宋体"/>
                <w:color w:val="000000"/>
                <w:kern w:val="0"/>
                <w:sz w:val="24"/>
                <w:szCs w:val="24"/>
              </w:rPr>
            </w:pPr>
          </w:p>
        </w:tc>
        <w:tc>
          <w:tcPr>
            <w:tcW w:w="7139"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策略采用下载到本地执行的方式，断网重连后终端再次获取最新策略，同时上报离线期间审计记录。终端安全程序可自动侦测网络连接情况，根据连接内网/未连接内网可执行不同的安全策略</w:t>
            </w:r>
          </w:p>
        </w:tc>
      </w:tr>
      <w:tr>
        <w:tblPrEx>
          <w:tblLayout w:type="fixed"/>
          <w:tblCellMar>
            <w:top w:w="0" w:type="dxa"/>
            <w:left w:w="108" w:type="dxa"/>
            <w:bottom w:w="0" w:type="dxa"/>
            <w:right w:w="108" w:type="dxa"/>
          </w:tblCellMar>
        </w:tblPrEx>
        <w:trPr>
          <w:trHeight w:val="648" w:hRule="atLeast"/>
        </w:trPr>
        <w:tc>
          <w:tcPr>
            <w:tcW w:w="127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60" w:lineRule="auto"/>
              <w:jc w:val="left"/>
              <w:rPr>
                <w:rFonts w:ascii="宋体" w:hAnsi="宋体" w:cs="宋体"/>
                <w:color w:val="000000"/>
                <w:kern w:val="0"/>
                <w:sz w:val="24"/>
                <w:szCs w:val="24"/>
              </w:rPr>
            </w:pPr>
          </w:p>
        </w:tc>
        <w:tc>
          <w:tcPr>
            <w:tcW w:w="7139"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具备独立审计账户、管理账户，权限各自独立。提供系统运行审计和操作审计机制，系统管理员登录要求支持IP地址访问限定，只有获得授权的计算机才能进入系统控制台</w:t>
            </w:r>
          </w:p>
        </w:tc>
      </w:tr>
      <w:tr>
        <w:tblPrEx>
          <w:tblLayout w:type="fixed"/>
          <w:tblCellMar>
            <w:top w:w="0" w:type="dxa"/>
            <w:left w:w="108" w:type="dxa"/>
            <w:bottom w:w="0" w:type="dxa"/>
            <w:right w:w="108" w:type="dxa"/>
          </w:tblCellMar>
        </w:tblPrEx>
        <w:trPr>
          <w:trHeight w:val="432" w:hRule="atLeast"/>
        </w:trPr>
        <w:tc>
          <w:tcPr>
            <w:tcW w:w="127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60" w:lineRule="auto"/>
              <w:jc w:val="left"/>
              <w:rPr>
                <w:rFonts w:ascii="宋体" w:hAnsi="宋体" w:cs="宋体"/>
                <w:color w:val="000000"/>
                <w:kern w:val="0"/>
                <w:sz w:val="24"/>
                <w:szCs w:val="24"/>
              </w:rPr>
            </w:pPr>
          </w:p>
        </w:tc>
        <w:tc>
          <w:tcPr>
            <w:tcW w:w="7139"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硬件变化管理：系统要求支持设备硬件变化行为报警；支持对未注册设备、注册程序卸载行为的报警</w:t>
            </w:r>
          </w:p>
        </w:tc>
      </w:tr>
      <w:tr>
        <w:tblPrEx>
          <w:tblLayout w:type="fixed"/>
          <w:tblCellMar>
            <w:top w:w="0" w:type="dxa"/>
            <w:left w:w="108" w:type="dxa"/>
            <w:bottom w:w="0" w:type="dxa"/>
            <w:right w:w="108" w:type="dxa"/>
          </w:tblCellMar>
        </w:tblPrEx>
        <w:trPr>
          <w:trHeight w:val="432" w:hRule="atLeast"/>
        </w:trPr>
        <w:tc>
          <w:tcPr>
            <w:tcW w:w="127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60" w:lineRule="auto"/>
              <w:jc w:val="left"/>
              <w:rPr>
                <w:rFonts w:ascii="宋体" w:hAnsi="宋体" w:cs="宋体"/>
                <w:color w:val="000000"/>
                <w:kern w:val="0"/>
                <w:sz w:val="24"/>
                <w:szCs w:val="24"/>
              </w:rPr>
            </w:pPr>
          </w:p>
        </w:tc>
        <w:tc>
          <w:tcPr>
            <w:tcW w:w="7139"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系统兼容Intel vPro主动管理技术。（需提供功能截图）</w:t>
            </w:r>
          </w:p>
        </w:tc>
      </w:tr>
      <w:tr>
        <w:tblPrEx>
          <w:tblLayout w:type="fixed"/>
          <w:tblCellMar>
            <w:top w:w="0" w:type="dxa"/>
            <w:left w:w="108" w:type="dxa"/>
            <w:bottom w:w="0" w:type="dxa"/>
            <w:right w:w="108" w:type="dxa"/>
          </w:tblCellMar>
        </w:tblPrEx>
        <w:trPr>
          <w:trHeight w:val="276" w:hRule="atLeast"/>
        </w:trPr>
        <w:tc>
          <w:tcPr>
            <w:tcW w:w="127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60" w:lineRule="auto"/>
              <w:jc w:val="left"/>
              <w:rPr>
                <w:rFonts w:ascii="宋体" w:hAnsi="宋体" w:cs="宋体"/>
                <w:color w:val="000000"/>
                <w:kern w:val="0"/>
                <w:sz w:val="24"/>
                <w:szCs w:val="24"/>
              </w:rPr>
            </w:pPr>
          </w:p>
        </w:tc>
        <w:tc>
          <w:tcPr>
            <w:tcW w:w="7139"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终端支持代理软件和IE代理禁用功能</w:t>
            </w:r>
          </w:p>
        </w:tc>
      </w:tr>
      <w:tr>
        <w:tblPrEx>
          <w:tblLayout w:type="fixed"/>
          <w:tblCellMar>
            <w:top w:w="0" w:type="dxa"/>
            <w:left w:w="108" w:type="dxa"/>
            <w:bottom w:w="0" w:type="dxa"/>
            <w:right w:w="108" w:type="dxa"/>
          </w:tblCellMar>
        </w:tblPrEx>
        <w:trPr>
          <w:trHeight w:val="276" w:hRule="atLeast"/>
        </w:trPr>
        <w:tc>
          <w:tcPr>
            <w:tcW w:w="127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60" w:lineRule="auto"/>
              <w:jc w:val="left"/>
              <w:rPr>
                <w:rFonts w:ascii="宋体" w:hAnsi="宋体" w:cs="宋体"/>
                <w:color w:val="000000"/>
                <w:kern w:val="0"/>
                <w:sz w:val="24"/>
                <w:szCs w:val="24"/>
              </w:rPr>
            </w:pPr>
          </w:p>
        </w:tc>
        <w:tc>
          <w:tcPr>
            <w:tcW w:w="7139"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要求支持网管统一管理的主机防火墙功能</w:t>
            </w:r>
          </w:p>
        </w:tc>
      </w:tr>
      <w:tr>
        <w:tblPrEx>
          <w:tblLayout w:type="fixed"/>
          <w:tblCellMar>
            <w:top w:w="0" w:type="dxa"/>
            <w:left w:w="108" w:type="dxa"/>
            <w:bottom w:w="0" w:type="dxa"/>
            <w:right w:w="108" w:type="dxa"/>
          </w:tblCellMar>
        </w:tblPrEx>
        <w:trPr>
          <w:trHeight w:val="864" w:hRule="atLeast"/>
        </w:trPr>
        <w:tc>
          <w:tcPr>
            <w:tcW w:w="127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60" w:lineRule="auto"/>
              <w:jc w:val="left"/>
              <w:rPr>
                <w:rFonts w:ascii="宋体" w:hAnsi="宋体" w:cs="宋体"/>
                <w:color w:val="000000"/>
                <w:kern w:val="0"/>
                <w:sz w:val="24"/>
                <w:szCs w:val="24"/>
              </w:rPr>
            </w:pPr>
          </w:p>
        </w:tc>
        <w:tc>
          <w:tcPr>
            <w:tcW w:w="7139"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支持进程管理功能：支持对（包括软件厂商名、源文件产品名、源文件名、进程名等）的进程进行黑白名单的控制，黑名单内进程自动被禁止，白名单内进程自动启动。（需提供功能截图）</w:t>
            </w:r>
          </w:p>
        </w:tc>
      </w:tr>
      <w:tr>
        <w:tblPrEx>
          <w:tblLayout w:type="fixed"/>
          <w:tblCellMar>
            <w:top w:w="0" w:type="dxa"/>
            <w:left w:w="108" w:type="dxa"/>
            <w:bottom w:w="0" w:type="dxa"/>
            <w:right w:w="108" w:type="dxa"/>
          </w:tblCellMar>
        </w:tblPrEx>
        <w:trPr>
          <w:trHeight w:val="276" w:hRule="atLeast"/>
        </w:trPr>
        <w:tc>
          <w:tcPr>
            <w:tcW w:w="127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60" w:lineRule="auto"/>
              <w:jc w:val="left"/>
              <w:rPr>
                <w:rFonts w:ascii="宋体" w:hAnsi="宋体" w:cs="宋体"/>
                <w:color w:val="000000"/>
                <w:kern w:val="0"/>
                <w:sz w:val="24"/>
                <w:szCs w:val="24"/>
              </w:rPr>
            </w:pPr>
          </w:p>
        </w:tc>
        <w:tc>
          <w:tcPr>
            <w:tcW w:w="7139"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具备对客户端流量的控制和采样，能够设定终端流量阈值</w:t>
            </w:r>
          </w:p>
        </w:tc>
      </w:tr>
      <w:tr>
        <w:tblPrEx>
          <w:tblLayout w:type="fixed"/>
          <w:tblCellMar>
            <w:top w:w="0" w:type="dxa"/>
            <w:left w:w="108" w:type="dxa"/>
            <w:bottom w:w="0" w:type="dxa"/>
            <w:right w:w="108" w:type="dxa"/>
          </w:tblCellMar>
        </w:tblPrEx>
        <w:trPr>
          <w:trHeight w:val="432" w:hRule="atLeast"/>
        </w:trPr>
        <w:tc>
          <w:tcPr>
            <w:tcW w:w="127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60" w:lineRule="auto"/>
              <w:jc w:val="left"/>
              <w:rPr>
                <w:rFonts w:ascii="宋体" w:hAnsi="宋体" w:cs="宋体"/>
                <w:color w:val="000000"/>
                <w:kern w:val="0"/>
                <w:sz w:val="24"/>
                <w:szCs w:val="24"/>
              </w:rPr>
            </w:pPr>
          </w:p>
        </w:tc>
        <w:tc>
          <w:tcPr>
            <w:tcW w:w="7139"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可定期自动将客户端指定文件备份到服务器、支持增量备份。（需提供功能截图）</w:t>
            </w:r>
          </w:p>
        </w:tc>
      </w:tr>
      <w:tr>
        <w:tblPrEx>
          <w:tblLayout w:type="fixed"/>
          <w:tblCellMar>
            <w:top w:w="0" w:type="dxa"/>
            <w:left w:w="108" w:type="dxa"/>
            <w:bottom w:w="0" w:type="dxa"/>
            <w:right w:w="108" w:type="dxa"/>
          </w:tblCellMar>
        </w:tblPrEx>
        <w:trPr>
          <w:trHeight w:val="432" w:hRule="atLeast"/>
        </w:trPr>
        <w:tc>
          <w:tcPr>
            <w:tcW w:w="1276" w:type="dxa"/>
            <w:vMerge w:val="restart"/>
            <w:tcBorders>
              <w:top w:val="single" w:color="auto" w:sz="4" w:space="0"/>
              <w:left w:val="single" w:color="auto" w:sz="4" w:space="0"/>
              <w:right w:val="single" w:color="auto" w:sz="4" w:space="0"/>
            </w:tcBorders>
            <w:noWrap w:val="0"/>
            <w:vAlign w:val="center"/>
          </w:tcPr>
          <w:p>
            <w:pPr>
              <w:widowControl/>
              <w:spacing w:line="360" w:lineRule="auto"/>
              <w:jc w:val="left"/>
              <w:rPr>
                <w:rFonts w:ascii="宋体" w:hAnsi="宋体" w:cs="宋体"/>
                <w:color w:val="000000"/>
                <w:kern w:val="0"/>
                <w:sz w:val="24"/>
                <w:szCs w:val="24"/>
              </w:rPr>
            </w:pPr>
            <w:r>
              <w:rPr>
                <w:rFonts w:ascii="宋体" w:hAnsi="宋体" w:cs="宋体"/>
                <w:color w:val="000000"/>
                <w:kern w:val="0"/>
                <w:sz w:val="24"/>
                <w:szCs w:val="24"/>
              </w:rPr>
              <w:t>资产管理</w:t>
            </w:r>
          </w:p>
        </w:tc>
        <w:tc>
          <w:tcPr>
            <w:tcW w:w="7139"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支持每日统计设备注册状态，并支持按区域、按部门进行统计查询，包含：IP设备总数、应注册数、已注册数、保护数、非应注册数、应注册未注册数、应注册未注册已保护数、注册率；</w:t>
            </w:r>
          </w:p>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支持定时对设备类型进行统计，并支持按区域、按部门进行统计查询；</w:t>
            </w:r>
          </w:p>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支持每日统计杀毒软件安装情况，包括：未安装杀毒软件设备数、杀毒软件覆盖率，并支持按区域、按部门进行统计查询。</w:t>
            </w:r>
          </w:p>
        </w:tc>
      </w:tr>
      <w:tr>
        <w:tblPrEx>
          <w:tblLayout w:type="fixed"/>
          <w:tblCellMar>
            <w:top w:w="0" w:type="dxa"/>
            <w:left w:w="108" w:type="dxa"/>
            <w:bottom w:w="0" w:type="dxa"/>
            <w:right w:w="108" w:type="dxa"/>
          </w:tblCellMar>
        </w:tblPrEx>
        <w:trPr>
          <w:trHeight w:val="432" w:hRule="atLeast"/>
        </w:trPr>
        <w:tc>
          <w:tcPr>
            <w:tcW w:w="1276" w:type="dxa"/>
            <w:vMerge w:val="continue"/>
            <w:tcBorders>
              <w:left w:val="single" w:color="auto" w:sz="4" w:space="0"/>
              <w:right w:val="single" w:color="auto" w:sz="4" w:space="0"/>
            </w:tcBorders>
            <w:noWrap w:val="0"/>
            <w:vAlign w:val="center"/>
          </w:tcPr>
          <w:p>
            <w:pPr>
              <w:widowControl/>
              <w:spacing w:line="360" w:lineRule="auto"/>
              <w:jc w:val="left"/>
              <w:rPr>
                <w:rFonts w:ascii="宋体" w:hAnsi="宋体" w:cs="宋体"/>
                <w:color w:val="000000"/>
                <w:kern w:val="0"/>
                <w:sz w:val="24"/>
                <w:szCs w:val="24"/>
              </w:rPr>
            </w:pPr>
          </w:p>
        </w:tc>
        <w:tc>
          <w:tcPr>
            <w:tcW w:w="7139"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支持注册IP审核,需展示信息包含：IP地址、MAC地址、责任人、联系电话、所属部门、设备所在地、审核状态、申请时间，其中待审核数据支持操作审核通过、审核不通过。</w:t>
            </w:r>
          </w:p>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支持注册审核开关配置，开启注册审核后，新安装终端代理程序的设备需管理员审核通过后允许入网。</w:t>
            </w:r>
          </w:p>
          <w:p>
            <w:pPr>
              <w:rPr>
                <w:rFonts w:hint="eastAsia"/>
                <w:sz w:val="24"/>
                <w:szCs w:val="24"/>
              </w:rPr>
            </w:pPr>
            <w:r>
              <w:rPr>
                <w:rFonts w:hint="eastAsia" w:ascii="宋体" w:hAnsi="宋体" w:cs="宋体"/>
                <w:color w:val="000000"/>
                <w:kern w:val="0"/>
                <w:sz w:val="24"/>
                <w:szCs w:val="24"/>
              </w:rPr>
              <w:t>支持与数字证书捆绑注册，能获取数字证书的信息；</w:t>
            </w:r>
          </w:p>
        </w:tc>
      </w:tr>
      <w:tr>
        <w:tblPrEx>
          <w:tblLayout w:type="fixed"/>
          <w:tblCellMar>
            <w:top w:w="0" w:type="dxa"/>
            <w:left w:w="108" w:type="dxa"/>
            <w:bottom w:w="0" w:type="dxa"/>
            <w:right w:w="108" w:type="dxa"/>
          </w:tblCellMar>
        </w:tblPrEx>
        <w:trPr>
          <w:trHeight w:val="432" w:hRule="atLeast"/>
        </w:trPr>
        <w:tc>
          <w:tcPr>
            <w:tcW w:w="1276" w:type="dxa"/>
            <w:vMerge w:val="continue"/>
            <w:tcBorders>
              <w:left w:val="single" w:color="auto" w:sz="4" w:space="0"/>
              <w:right w:val="single" w:color="auto" w:sz="4" w:space="0"/>
            </w:tcBorders>
            <w:noWrap w:val="0"/>
            <w:vAlign w:val="center"/>
          </w:tcPr>
          <w:p>
            <w:pPr>
              <w:widowControl/>
              <w:spacing w:line="360" w:lineRule="auto"/>
              <w:jc w:val="left"/>
              <w:rPr>
                <w:rFonts w:ascii="宋体" w:hAnsi="宋体" w:cs="宋体"/>
                <w:color w:val="000000"/>
                <w:kern w:val="0"/>
                <w:sz w:val="24"/>
                <w:szCs w:val="24"/>
              </w:rPr>
            </w:pPr>
          </w:p>
        </w:tc>
        <w:tc>
          <w:tcPr>
            <w:tcW w:w="7139"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支持按设备类型、按区域/部门、按自定义组、按硬件配置对管辖区域内设备信息进行查询，设备信息包括基础信息（如：IP地址、MAC地址、责任人、联系电话、所属部门、设备类型、注册状态、在线状态、保护状态、阻断状态、锁定状态）、扩展信息（如：生产厂商）、开放端口情况、在线/离线审计；</w:t>
            </w:r>
          </w:p>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支持设备操作：保护/取消保护、阻断/取消阻断、编辑、删除、导出、添加自定义组、设备部门重置、指定天数的未上线设备删除；</w:t>
            </w:r>
          </w:p>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支持IP使用整理：取消IP配置与部门划分不一致的设备保护状态；</w:t>
            </w:r>
          </w:p>
        </w:tc>
      </w:tr>
      <w:tr>
        <w:tblPrEx>
          <w:tblLayout w:type="fixed"/>
          <w:tblCellMar>
            <w:top w:w="0" w:type="dxa"/>
            <w:left w:w="108" w:type="dxa"/>
            <w:bottom w:w="0" w:type="dxa"/>
            <w:right w:w="108" w:type="dxa"/>
          </w:tblCellMar>
        </w:tblPrEx>
        <w:trPr>
          <w:trHeight w:val="432" w:hRule="atLeast"/>
        </w:trPr>
        <w:tc>
          <w:tcPr>
            <w:tcW w:w="1276" w:type="dxa"/>
            <w:vMerge w:val="continue"/>
            <w:tcBorders>
              <w:left w:val="single" w:color="auto" w:sz="4" w:space="0"/>
              <w:right w:val="single" w:color="auto" w:sz="4" w:space="0"/>
            </w:tcBorders>
            <w:noWrap w:val="0"/>
            <w:vAlign w:val="center"/>
          </w:tcPr>
          <w:p>
            <w:pPr>
              <w:widowControl/>
              <w:spacing w:line="360" w:lineRule="auto"/>
              <w:jc w:val="left"/>
              <w:rPr>
                <w:rFonts w:ascii="宋体" w:hAnsi="宋体" w:cs="宋体"/>
                <w:color w:val="000000"/>
                <w:kern w:val="0"/>
                <w:sz w:val="24"/>
                <w:szCs w:val="24"/>
              </w:rPr>
            </w:pPr>
          </w:p>
        </w:tc>
        <w:tc>
          <w:tcPr>
            <w:tcW w:w="7139"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对已注册设备支持实时点对点控制，包含：离线临时解绑、在线临时解绑、编辑IP、消息推送、屏幕控制、卸载终端、查看软件、查看硬件、查看服务、查看端口、查看进程、查看策略、查看计算机账户、查看服务端防护日志。</w:t>
            </w:r>
          </w:p>
        </w:tc>
      </w:tr>
      <w:tr>
        <w:tblPrEx>
          <w:tblLayout w:type="fixed"/>
          <w:tblCellMar>
            <w:top w:w="0" w:type="dxa"/>
            <w:left w:w="108" w:type="dxa"/>
            <w:bottom w:w="0" w:type="dxa"/>
            <w:right w:w="108" w:type="dxa"/>
          </w:tblCellMar>
        </w:tblPrEx>
        <w:trPr>
          <w:trHeight w:val="432" w:hRule="atLeast"/>
        </w:trPr>
        <w:tc>
          <w:tcPr>
            <w:tcW w:w="1276" w:type="dxa"/>
            <w:vMerge w:val="continue"/>
            <w:tcBorders>
              <w:left w:val="single" w:color="auto" w:sz="4" w:space="0"/>
              <w:right w:val="single" w:color="auto" w:sz="4" w:space="0"/>
            </w:tcBorders>
            <w:noWrap w:val="0"/>
            <w:vAlign w:val="center"/>
          </w:tcPr>
          <w:p>
            <w:pPr>
              <w:widowControl/>
              <w:spacing w:line="360" w:lineRule="auto"/>
              <w:jc w:val="left"/>
              <w:rPr>
                <w:rFonts w:ascii="宋体" w:hAnsi="宋体" w:cs="宋体"/>
                <w:color w:val="000000"/>
                <w:kern w:val="0"/>
                <w:sz w:val="24"/>
                <w:szCs w:val="24"/>
              </w:rPr>
            </w:pPr>
          </w:p>
        </w:tc>
        <w:tc>
          <w:tcPr>
            <w:tcW w:w="7139"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提供ARP阻断功能，支持生效范围及例外设备的配置；可查看阻断日志，内容包含IP地址、MAC地址、最后一次阻断时间。</w:t>
            </w:r>
          </w:p>
        </w:tc>
      </w:tr>
      <w:tr>
        <w:tblPrEx>
          <w:tblLayout w:type="fixed"/>
          <w:tblCellMar>
            <w:top w:w="0" w:type="dxa"/>
            <w:left w:w="108" w:type="dxa"/>
            <w:bottom w:w="0" w:type="dxa"/>
            <w:right w:w="108" w:type="dxa"/>
          </w:tblCellMar>
        </w:tblPrEx>
        <w:trPr>
          <w:trHeight w:val="432" w:hRule="atLeast"/>
        </w:trPr>
        <w:tc>
          <w:tcPr>
            <w:tcW w:w="1276" w:type="dxa"/>
            <w:vMerge w:val="continue"/>
            <w:tcBorders>
              <w:left w:val="single" w:color="auto" w:sz="4" w:space="0"/>
              <w:right w:val="single" w:color="auto" w:sz="4" w:space="0"/>
            </w:tcBorders>
            <w:noWrap w:val="0"/>
            <w:vAlign w:val="center"/>
          </w:tcPr>
          <w:p>
            <w:pPr>
              <w:widowControl/>
              <w:spacing w:line="360" w:lineRule="auto"/>
              <w:jc w:val="left"/>
              <w:rPr>
                <w:rFonts w:ascii="宋体" w:hAnsi="宋体" w:cs="宋体"/>
                <w:color w:val="000000"/>
                <w:kern w:val="0"/>
                <w:sz w:val="24"/>
                <w:szCs w:val="24"/>
              </w:rPr>
            </w:pPr>
          </w:p>
        </w:tc>
        <w:tc>
          <w:tcPr>
            <w:tcW w:w="7139"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发现所有已注册设备的软件安装情况，包含：类型、名称、版本、发布者；支持软件分布设备查询。</w:t>
            </w:r>
          </w:p>
        </w:tc>
      </w:tr>
      <w:tr>
        <w:tblPrEx>
          <w:tblLayout w:type="fixed"/>
          <w:tblCellMar>
            <w:top w:w="0" w:type="dxa"/>
            <w:left w:w="108" w:type="dxa"/>
            <w:bottom w:w="0" w:type="dxa"/>
            <w:right w:w="108" w:type="dxa"/>
          </w:tblCellMar>
        </w:tblPrEx>
        <w:trPr>
          <w:trHeight w:val="432" w:hRule="atLeast"/>
        </w:trPr>
        <w:tc>
          <w:tcPr>
            <w:tcW w:w="1276" w:type="dxa"/>
            <w:vMerge w:val="continue"/>
            <w:tcBorders>
              <w:left w:val="single" w:color="auto" w:sz="4" w:space="0"/>
              <w:bottom w:val="single" w:color="000000" w:sz="4" w:space="0"/>
              <w:right w:val="single" w:color="auto" w:sz="4" w:space="0"/>
            </w:tcBorders>
            <w:noWrap w:val="0"/>
            <w:vAlign w:val="center"/>
          </w:tcPr>
          <w:p>
            <w:pPr>
              <w:widowControl/>
              <w:spacing w:line="360" w:lineRule="auto"/>
              <w:jc w:val="left"/>
              <w:rPr>
                <w:rFonts w:ascii="宋体" w:hAnsi="宋体" w:cs="宋体"/>
                <w:color w:val="000000"/>
                <w:kern w:val="0"/>
                <w:sz w:val="24"/>
                <w:szCs w:val="24"/>
              </w:rPr>
            </w:pPr>
          </w:p>
        </w:tc>
        <w:tc>
          <w:tcPr>
            <w:tcW w:w="7139"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发现管控范围内的网络服务，并将服务分类为：WEB服务、数据库服务、网络基础服务、资源共享服务、操作系统服务、其他服务；</w:t>
            </w:r>
          </w:p>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网络服务信息包含：服务类型、服务名称、描述、端口号、协议类别、协议名称；</w:t>
            </w:r>
          </w:p>
        </w:tc>
      </w:tr>
      <w:tr>
        <w:tblPrEx>
          <w:tblLayout w:type="fixed"/>
          <w:tblCellMar>
            <w:top w:w="0" w:type="dxa"/>
            <w:left w:w="108" w:type="dxa"/>
            <w:bottom w:w="0" w:type="dxa"/>
            <w:right w:w="108" w:type="dxa"/>
          </w:tblCellMar>
        </w:tblPrEx>
        <w:trPr>
          <w:trHeight w:val="1080" w:hRule="atLeast"/>
        </w:trPr>
        <w:tc>
          <w:tcPr>
            <w:tcW w:w="1276" w:type="dxa"/>
            <w:vMerge w:val="restart"/>
            <w:tcBorders>
              <w:top w:val="nil"/>
              <w:left w:val="single" w:color="auto" w:sz="4" w:space="0"/>
              <w:bottom w:val="single" w:color="000000" w:sz="4" w:space="0"/>
              <w:right w:val="single" w:color="auto" w:sz="4" w:space="0"/>
            </w:tcBorders>
            <w:noWrap w:val="0"/>
            <w:vAlign w:val="center"/>
          </w:tcPr>
          <w:p>
            <w:pPr>
              <w:widowControl/>
              <w:spacing w:line="360" w:lineRule="auto"/>
              <w:jc w:val="center"/>
              <w:rPr>
                <w:rFonts w:hint="eastAsia" w:ascii="宋体" w:hAnsi="宋体" w:cs="宋体"/>
                <w:color w:val="000000"/>
                <w:kern w:val="0"/>
                <w:sz w:val="24"/>
                <w:szCs w:val="24"/>
              </w:rPr>
            </w:pPr>
            <w:r>
              <w:rPr>
                <w:rFonts w:hint="eastAsia" w:ascii="宋体" w:hAnsi="宋体" w:cs="宋体"/>
                <w:color w:val="000000"/>
                <w:kern w:val="0"/>
                <w:sz w:val="24"/>
                <w:szCs w:val="24"/>
              </w:rPr>
              <w:t>主机监控审计</w:t>
            </w:r>
          </w:p>
        </w:tc>
        <w:tc>
          <w:tcPr>
            <w:tcW w:w="7139"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支持对设定目录文件的操作审计，包括文件创建、打印、读写、复制、改名、删除、移动等的记录，同时将信息上报管理信息库供查询；具备对终端的系统、软件和共享等目录中的文件具有保护功能，设定访问、删除、修改权限；支持全盘文件禁止删除，审计自定义文件扩展名。（需提供功能截图）</w:t>
            </w:r>
          </w:p>
        </w:tc>
      </w:tr>
      <w:tr>
        <w:tblPrEx>
          <w:tblLayout w:type="fixed"/>
          <w:tblCellMar>
            <w:top w:w="0" w:type="dxa"/>
            <w:left w:w="108" w:type="dxa"/>
            <w:bottom w:w="0" w:type="dxa"/>
            <w:right w:w="108" w:type="dxa"/>
          </w:tblCellMar>
        </w:tblPrEx>
        <w:trPr>
          <w:trHeight w:val="432" w:hRule="atLeast"/>
        </w:trPr>
        <w:tc>
          <w:tcPr>
            <w:tcW w:w="1276"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left"/>
              <w:rPr>
                <w:rFonts w:ascii="宋体" w:hAnsi="宋体" w:cs="宋体"/>
                <w:color w:val="000000"/>
                <w:kern w:val="0"/>
                <w:sz w:val="24"/>
                <w:szCs w:val="24"/>
              </w:rPr>
            </w:pPr>
          </w:p>
        </w:tc>
        <w:tc>
          <w:tcPr>
            <w:tcW w:w="7139"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具备对用户的网页访问行为进行控制并对用户访问的网页进行本地审计和记录上报。能够设置访问域名或IP的黑白名单</w:t>
            </w:r>
          </w:p>
        </w:tc>
      </w:tr>
      <w:tr>
        <w:tblPrEx>
          <w:tblLayout w:type="fixed"/>
          <w:tblCellMar>
            <w:top w:w="0" w:type="dxa"/>
            <w:left w:w="108" w:type="dxa"/>
            <w:bottom w:w="0" w:type="dxa"/>
            <w:right w:w="108" w:type="dxa"/>
          </w:tblCellMar>
        </w:tblPrEx>
        <w:trPr>
          <w:trHeight w:val="1080" w:hRule="atLeast"/>
        </w:trPr>
        <w:tc>
          <w:tcPr>
            <w:tcW w:w="1276"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left"/>
              <w:rPr>
                <w:rFonts w:ascii="宋体" w:hAnsi="宋体" w:cs="宋体"/>
                <w:color w:val="000000"/>
                <w:kern w:val="0"/>
                <w:sz w:val="24"/>
                <w:szCs w:val="24"/>
              </w:rPr>
            </w:pPr>
          </w:p>
        </w:tc>
        <w:tc>
          <w:tcPr>
            <w:tcW w:w="7139"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具备对主机刻录行为进行管理和审计的功能，能够审计终端刻录行为，客户端集成专用刻录软件，自动屏蔽其他刻录软件和系统自带刻录功能，只能通过专用软件刻录；具备普通刻录和封口刻录的功能；刻录前需要输入操作人的账号密码以验证身份。（需提供功能截图）</w:t>
            </w:r>
          </w:p>
        </w:tc>
      </w:tr>
      <w:tr>
        <w:tblPrEx>
          <w:tblLayout w:type="fixed"/>
          <w:tblCellMar>
            <w:top w:w="0" w:type="dxa"/>
            <w:left w:w="108" w:type="dxa"/>
            <w:bottom w:w="0" w:type="dxa"/>
            <w:right w:w="108" w:type="dxa"/>
          </w:tblCellMar>
        </w:tblPrEx>
        <w:trPr>
          <w:trHeight w:val="276" w:hRule="atLeast"/>
        </w:trPr>
        <w:tc>
          <w:tcPr>
            <w:tcW w:w="1276" w:type="dxa"/>
            <w:vMerge w:val="continue"/>
            <w:tcBorders>
              <w:top w:val="nil"/>
              <w:left w:val="single" w:color="auto" w:sz="4" w:space="0"/>
              <w:bottom w:val="single" w:color="000000" w:sz="4" w:space="0"/>
              <w:right w:val="single" w:color="auto" w:sz="4" w:space="0"/>
            </w:tcBorders>
            <w:noWrap w:val="0"/>
            <w:vAlign w:val="center"/>
          </w:tcPr>
          <w:p>
            <w:pPr>
              <w:widowControl/>
              <w:spacing w:line="360" w:lineRule="auto"/>
              <w:jc w:val="left"/>
              <w:rPr>
                <w:rFonts w:ascii="宋体" w:hAnsi="宋体" w:cs="宋体"/>
                <w:color w:val="000000"/>
                <w:kern w:val="0"/>
                <w:sz w:val="24"/>
                <w:szCs w:val="24"/>
              </w:rPr>
            </w:pPr>
          </w:p>
        </w:tc>
        <w:tc>
          <w:tcPr>
            <w:tcW w:w="7139"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具体审计用户/组权限更改，操作系统内用户/组的增、删操作</w:t>
            </w:r>
          </w:p>
        </w:tc>
      </w:tr>
      <w:tr>
        <w:tblPrEx>
          <w:tblLayout w:type="fixed"/>
          <w:tblCellMar>
            <w:top w:w="0" w:type="dxa"/>
            <w:left w:w="108" w:type="dxa"/>
            <w:bottom w:w="0" w:type="dxa"/>
            <w:right w:w="108" w:type="dxa"/>
          </w:tblCellMar>
        </w:tblPrEx>
        <w:trPr>
          <w:trHeight w:val="432" w:hRule="atLeast"/>
        </w:trPr>
        <w:tc>
          <w:tcPr>
            <w:tcW w:w="1276" w:type="dxa"/>
            <w:vMerge w:val="restart"/>
            <w:tcBorders>
              <w:top w:val="nil"/>
              <w:left w:val="single" w:color="auto" w:sz="4" w:space="0"/>
              <w:bottom w:val="nil"/>
              <w:right w:val="single" w:color="auto" w:sz="4" w:space="0"/>
            </w:tcBorders>
            <w:noWrap w:val="0"/>
            <w:vAlign w:val="center"/>
          </w:tcPr>
          <w:p>
            <w:pPr>
              <w:widowControl/>
              <w:spacing w:line="360" w:lineRule="auto"/>
              <w:jc w:val="center"/>
              <w:rPr>
                <w:rFonts w:hint="eastAsia" w:ascii="宋体" w:hAnsi="宋体" w:cs="宋体"/>
                <w:color w:val="000000"/>
                <w:kern w:val="0"/>
                <w:sz w:val="24"/>
                <w:szCs w:val="24"/>
              </w:rPr>
            </w:pPr>
            <w:r>
              <w:rPr>
                <w:rFonts w:hint="eastAsia" w:ascii="宋体" w:hAnsi="宋体" w:cs="宋体"/>
                <w:color w:val="000000"/>
                <w:kern w:val="0"/>
                <w:sz w:val="24"/>
                <w:szCs w:val="24"/>
              </w:rPr>
              <w:t>补丁管理</w:t>
            </w:r>
          </w:p>
        </w:tc>
        <w:tc>
          <w:tcPr>
            <w:tcW w:w="7139"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具备补丁自动分发安装，同时支持默认和用户自定义补丁分发策略，并自主配置分发</w:t>
            </w:r>
          </w:p>
        </w:tc>
      </w:tr>
      <w:tr>
        <w:tblPrEx>
          <w:tblLayout w:type="fixed"/>
          <w:tblCellMar>
            <w:top w:w="0" w:type="dxa"/>
            <w:left w:w="108" w:type="dxa"/>
            <w:bottom w:w="0" w:type="dxa"/>
            <w:right w:w="108" w:type="dxa"/>
          </w:tblCellMar>
        </w:tblPrEx>
        <w:trPr>
          <w:trHeight w:val="648" w:hRule="atLeast"/>
        </w:trPr>
        <w:tc>
          <w:tcPr>
            <w:tcW w:w="1276" w:type="dxa"/>
            <w:vMerge w:val="continue"/>
            <w:tcBorders>
              <w:top w:val="nil"/>
              <w:left w:val="single" w:color="auto" w:sz="4" w:space="0"/>
              <w:bottom w:val="nil"/>
              <w:right w:val="single" w:color="auto" w:sz="4" w:space="0"/>
            </w:tcBorders>
            <w:noWrap w:val="0"/>
            <w:vAlign w:val="center"/>
          </w:tcPr>
          <w:p>
            <w:pPr>
              <w:widowControl/>
              <w:spacing w:line="360" w:lineRule="auto"/>
              <w:jc w:val="left"/>
              <w:rPr>
                <w:rFonts w:ascii="宋体" w:hAnsi="宋体" w:cs="宋体"/>
                <w:color w:val="000000"/>
                <w:kern w:val="0"/>
                <w:sz w:val="24"/>
                <w:szCs w:val="24"/>
              </w:rPr>
            </w:pPr>
          </w:p>
        </w:tc>
        <w:tc>
          <w:tcPr>
            <w:tcW w:w="7139"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具备终端代理转发技术，未下载补丁的终端可从已下载补丁的终端获取补丁，从而缓解服务器压力，提高补丁分发效率。（需提供功能截图）</w:t>
            </w:r>
          </w:p>
        </w:tc>
      </w:tr>
      <w:tr>
        <w:tblPrEx>
          <w:tblLayout w:type="fixed"/>
          <w:tblCellMar>
            <w:top w:w="0" w:type="dxa"/>
            <w:left w:w="108" w:type="dxa"/>
            <w:bottom w:w="0" w:type="dxa"/>
            <w:right w:w="108" w:type="dxa"/>
          </w:tblCellMar>
        </w:tblPrEx>
        <w:trPr>
          <w:trHeight w:val="864" w:hRule="atLeast"/>
        </w:trPr>
        <w:tc>
          <w:tcPr>
            <w:tcW w:w="1276" w:type="dxa"/>
            <w:vMerge w:val="continue"/>
            <w:tcBorders>
              <w:top w:val="nil"/>
              <w:left w:val="single" w:color="auto" w:sz="4" w:space="0"/>
              <w:bottom w:val="nil"/>
              <w:right w:val="single" w:color="auto" w:sz="4" w:space="0"/>
            </w:tcBorders>
            <w:noWrap w:val="0"/>
            <w:vAlign w:val="center"/>
          </w:tcPr>
          <w:p>
            <w:pPr>
              <w:widowControl/>
              <w:spacing w:line="360" w:lineRule="auto"/>
              <w:jc w:val="left"/>
              <w:rPr>
                <w:rFonts w:ascii="宋体" w:hAnsi="宋体" w:cs="宋体"/>
                <w:color w:val="000000"/>
                <w:kern w:val="0"/>
                <w:sz w:val="24"/>
                <w:szCs w:val="24"/>
              </w:rPr>
            </w:pPr>
          </w:p>
        </w:tc>
        <w:tc>
          <w:tcPr>
            <w:tcW w:w="7139"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具备补丁内网自动测试功能，即用户可自主选定内网部分设备为补丁安装测试设备，系统将新获得的补丁自动发送给这些设备，在测试设备安装指定时间间隔后再自动分发给其他设备。（需提供功能截图）</w:t>
            </w:r>
          </w:p>
        </w:tc>
      </w:tr>
      <w:tr>
        <w:tblPrEx>
          <w:tblLayout w:type="fixed"/>
          <w:tblCellMar>
            <w:top w:w="0" w:type="dxa"/>
            <w:left w:w="108" w:type="dxa"/>
            <w:bottom w:w="0" w:type="dxa"/>
            <w:right w:w="108" w:type="dxa"/>
          </w:tblCellMar>
        </w:tblPrEx>
        <w:trPr>
          <w:trHeight w:val="432" w:hRule="atLeast"/>
        </w:trPr>
        <w:tc>
          <w:tcPr>
            <w:tcW w:w="1276" w:type="dxa"/>
            <w:vMerge w:val="continue"/>
            <w:tcBorders>
              <w:top w:val="nil"/>
              <w:left w:val="single" w:color="auto" w:sz="4" w:space="0"/>
              <w:bottom w:val="nil"/>
              <w:right w:val="single" w:color="auto" w:sz="4" w:space="0"/>
            </w:tcBorders>
            <w:noWrap w:val="0"/>
            <w:vAlign w:val="center"/>
          </w:tcPr>
          <w:p>
            <w:pPr>
              <w:widowControl/>
              <w:spacing w:line="360" w:lineRule="auto"/>
              <w:jc w:val="left"/>
              <w:rPr>
                <w:rFonts w:ascii="宋体" w:hAnsi="宋体" w:cs="宋体"/>
                <w:color w:val="000000"/>
                <w:kern w:val="0"/>
                <w:sz w:val="24"/>
                <w:szCs w:val="24"/>
              </w:rPr>
            </w:pPr>
          </w:p>
        </w:tc>
        <w:tc>
          <w:tcPr>
            <w:tcW w:w="7139"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具备文件分发功能，能自动向终端分发各类文件和可执行程序，支持后台静默安装和运行分发的程序</w:t>
            </w:r>
          </w:p>
        </w:tc>
      </w:tr>
      <w:tr>
        <w:tblPrEx>
          <w:tblLayout w:type="fixed"/>
          <w:tblCellMar>
            <w:top w:w="0" w:type="dxa"/>
            <w:left w:w="108" w:type="dxa"/>
            <w:bottom w:w="0" w:type="dxa"/>
            <w:right w:w="108" w:type="dxa"/>
          </w:tblCellMar>
        </w:tblPrEx>
        <w:trPr>
          <w:trHeight w:val="432" w:hRule="atLeast"/>
        </w:trPr>
        <w:tc>
          <w:tcPr>
            <w:tcW w:w="1276" w:type="dxa"/>
            <w:vMerge w:val="continue"/>
            <w:tcBorders>
              <w:top w:val="nil"/>
              <w:left w:val="single" w:color="auto" w:sz="4" w:space="0"/>
              <w:bottom w:val="nil"/>
              <w:right w:val="single" w:color="auto" w:sz="4" w:space="0"/>
            </w:tcBorders>
            <w:noWrap w:val="0"/>
            <w:vAlign w:val="center"/>
          </w:tcPr>
          <w:p>
            <w:pPr>
              <w:widowControl/>
              <w:spacing w:line="360" w:lineRule="auto"/>
              <w:jc w:val="left"/>
              <w:rPr>
                <w:rFonts w:ascii="宋体" w:hAnsi="宋体" w:cs="宋体"/>
                <w:color w:val="000000"/>
                <w:kern w:val="0"/>
                <w:sz w:val="24"/>
                <w:szCs w:val="24"/>
              </w:rPr>
            </w:pPr>
          </w:p>
        </w:tc>
        <w:tc>
          <w:tcPr>
            <w:tcW w:w="7139"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能够通过文件、进程等信息判断分发的程序是否下载并安装成功，能够统计文件分发结果。（需提供功能截图）</w:t>
            </w:r>
          </w:p>
        </w:tc>
      </w:tr>
      <w:tr>
        <w:tblPrEx>
          <w:tblLayout w:type="fixed"/>
          <w:tblCellMar>
            <w:top w:w="0" w:type="dxa"/>
            <w:left w:w="108" w:type="dxa"/>
            <w:bottom w:w="0" w:type="dxa"/>
            <w:right w:w="108" w:type="dxa"/>
          </w:tblCellMar>
        </w:tblPrEx>
        <w:trPr>
          <w:trHeight w:val="276" w:hRule="atLeast"/>
        </w:trPr>
        <w:tc>
          <w:tcPr>
            <w:tcW w:w="1276" w:type="dxa"/>
            <w:vMerge w:val="restart"/>
            <w:tcBorders>
              <w:top w:val="single" w:color="auto" w:sz="4" w:space="0"/>
              <w:left w:val="single" w:color="auto" w:sz="4" w:space="0"/>
              <w:bottom w:val="nil"/>
              <w:right w:val="single" w:color="auto" w:sz="4" w:space="0"/>
            </w:tcBorders>
            <w:noWrap w:val="0"/>
            <w:vAlign w:val="center"/>
          </w:tcPr>
          <w:p>
            <w:pPr>
              <w:widowControl/>
              <w:spacing w:line="360" w:lineRule="auto"/>
              <w:jc w:val="center"/>
              <w:rPr>
                <w:rFonts w:hint="eastAsia" w:ascii="宋体" w:hAnsi="宋体" w:cs="宋体"/>
                <w:color w:val="000000"/>
                <w:kern w:val="0"/>
                <w:sz w:val="24"/>
                <w:szCs w:val="24"/>
              </w:rPr>
            </w:pPr>
            <w:r>
              <w:rPr>
                <w:rFonts w:hint="eastAsia" w:ascii="宋体" w:hAnsi="宋体" w:cs="宋体"/>
                <w:color w:val="000000"/>
                <w:kern w:val="0"/>
                <w:sz w:val="24"/>
                <w:szCs w:val="24"/>
              </w:rPr>
              <w:t>移动存储介质管理</w:t>
            </w:r>
          </w:p>
        </w:tc>
        <w:tc>
          <w:tcPr>
            <w:tcW w:w="7139"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支持U盘、移动硬盘、存储卡等存储设备注册管理</w:t>
            </w:r>
          </w:p>
        </w:tc>
      </w:tr>
      <w:tr>
        <w:tblPrEx>
          <w:tblLayout w:type="fixed"/>
          <w:tblCellMar>
            <w:top w:w="0" w:type="dxa"/>
            <w:left w:w="108" w:type="dxa"/>
            <w:bottom w:w="0" w:type="dxa"/>
            <w:right w:w="108" w:type="dxa"/>
          </w:tblCellMar>
        </w:tblPrEx>
        <w:trPr>
          <w:trHeight w:val="648" w:hRule="atLeast"/>
        </w:trPr>
        <w:tc>
          <w:tcPr>
            <w:tcW w:w="1276" w:type="dxa"/>
            <w:vMerge w:val="continue"/>
            <w:tcBorders>
              <w:top w:val="single" w:color="auto" w:sz="4" w:space="0"/>
              <w:left w:val="single" w:color="auto" w:sz="4" w:space="0"/>
              <w:bottom w:val="nil"/>
              <w:right w:val="single" w:color="auto" w:sz="4" w:space="0"/>
            </w:tcBorders>
            <w:noWrap w:val="0"/>
            <w:vAlign w:val="center"/>
          </w:tcPr>
          <w:p>
            <w:pPr>
              <w:widowControl/>
              <w:spacing w:line="360" w:lineRule="auto"/>
              <w:jc w:val="left"/>
              <w:rPr>
                <w:rFonts w:ascii="宋体" w:hAnsi="宋体" w:cs="宋体"/>
                <w:color w:val="000000"/>
                <w:kern w:val="0"/>
                <w:sz w:val="24"/>
                <w:szCs w:val="24"/>
              </w:rPr>
            </w:pPr>
          </w:p>
        </w:tc>
        <w:tc>
          <w:tcPr>
            <w:tcW w:w="7139"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注册登记与加密处理。对于处于敏感信息的移动存储介质，在使用之前需进行登记注册和加密处理。登记信息包括：使用人、使用部门、联系电话等等</w:t>
            </w:r>
          </w:p>
        </w:tc>
      </w:tr>
      <w:tr>
        <w:tblPrEx>
          <w:tblLayout w:type="fixed"/>
          <w:tblCellMar>
            <w:top w:w="0" w:type="dxa"/>
            <w:left w:w="108" w:type="dxa"/>
            <w:bottom w:w="0" w:type="dxa"/>
            <w:right w:w="108" w:type="dxa"/>
          </w:tblCellMar>
        </w:tblPrEx>
        <w:trPr>
          <w:trHeight w:val="432" w:hRule="atLeast"/>
        </w:trPr>
        <w:tc>
          <w:tcPr>
            <w:tcW w:w="1276" w:type="dxa"/>
            <w:vMerge w:val="continue"/>
            <w:tcBorders>
              <w:top w:val="single" w:color="auto" w:sz="4" w:space="0"/>
              <w:left w:val="single" w:color="auto" w:sz="4" w:space="0"/>
              <w:bottom w:val="nil"/>
              <w:right w:val="single" w:color="auto" w:sz="4" w:space="0"/>
            </w:tcBorders>
            <w:noWrap w:val="0"/>
            <w:vAlign w:val="center"/>
          </w:tcPr>
          <w:p>
            <w:pPr>
              <w:widowControl/>
              <w:spacing w:line="360" w:lineRule="auto"/>
              <w:jc w:val="left"/>
              <w:rPr>
                <w:rFonts w:ascii="宋体" w:hAnsi="宋体" w:cs="宋体"/>
                <w:color w:val="000000"/>
                <w:kern w:val="0"/>
                <w:sz w:val="24"/>
                <w:szCs w:val="24"/>
              </w:rPr>
            </w:pPr>
          </w:p>
        </w:tc>
        <w:tc>
          <w:tcPr>
            <w:tcW w:w="7139"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支持多标签管理，相互隔离网络的U盘可写入不同的标签，杜绝不同网络之间U盘交叉使用。（需提供功能截图）</w:t>
            </w:r>
          </w:p>
        </w:tc>
      </w:tr>
      <w:tr>
        <w:tblPrEx>
          <w:tblLayout w:type="fixed"/>
          <w:tblCellMar>
            <w:top w:w="0" w:type="dxa"/>
            <w:left w:w="108" w:type="dxa"/>
            <w:bottom w:w="0" w:type="dxa"/>
            <w:right w:w="108" w:type="dxa"/>
          </w:tblCellMar>
        </w:tblPrEx>
        <w:trPr>
          <w:trHeight w:val="276" w:hRule="atLeast"/>
        </w:trPr>
        <w:tc>
          <w:tcPr>
            <w:tcW w:w="1276" w:type="dxa"/>
            <w:vMerge w:val="continue"/>
            <w:tcBorders>
              <w:top w:val="single" w:color="auto" w:sz="4" w:space="0"/>
              <w:left w:val="single" w:color="auto" w:sz="4" w:space="0"/>
              <w:bottom w:val="nil"/>
              <w:right w:val="single" w:color="auto" w:sz="4" w:space="0"/>
            </w:tcBorders>
            <w:noWrap w:val="0"/>
            <w:vAlign w:val="center"/>
          </w:tcPr>
          <w:p>
            <w:pPr>
              <w:widowControl/>
              <w:spacing w:line="360" w:lineRule="auto"/>
              <w:jc w:val="left"/>
              <w:rPr>
                <w:rFonts w:ascii="宋体" w:hAnsi="宋体" w:cs="宋体"/>
                <w:color w:val="000000"/>
                <w:kern w:val="0"/>
                <w:sz w:val="24"/>
                <w:szCs w:val="24"/>
              </w:rPr>
            </w:pPr>
          </w:p>
        </w:tc>
        <w:tc>
          <w:tcPr>
            <w:tcW w:w="7139"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支持标签U盘双分区。（需提供功能截图）</w:t>
            </w:r>
          </w:p>
        </w:tc>
      </w:tr>
      <w:tr>
        <w:tblPrEx>
          <w:tblLayout w:type="fixed"/>
          <w:tblCellMar>
            <w:top w:w="0" w:type="dxa"/>
            <w:left w:w="108" w:type="dxa"/>
            <w:bottom w:w="0" w:type="dxa"/>
            <w:right w:w="108" w:type="dxa"/>
          </w:tblCellMar>
        </w:tblPrEx>
        <w:trPr>
          <w:trHeight w:val="432" w:hRule="atLeast"/>
        </w:trPr>
        <w:tc>
          <w:tcPr>
            <w:tcW w:w="1276" w:type="dxa"/>
            <w:vMerge w:val="continue"/>
            <w:tcBorders>
              <w:top w:val="single" w:color="auto" w:sz="4" w:space="0"/>
              <w:left w:val="single" w:color="auto" w:sz="4" w:space="0"/>
              <w:bottom w:val="nil"/>
              <w:right w:val="single" w:color="auto" w:sz="4" w:space="0"/>
            </w:tcBorders>
            <w:noWrap w:val="0"/>
            <w:vAlign w:val="center"/>
          </w:tcPr>
          <w:p>
            <w:pPr>
              <w:widowControl/>
              <w:spacing w:line="360" w:lineRule="auto"/>
              <w:jc w:val="left"/>
              <w:rPr>
                <w:rFonts w:ascii="宋体" w:hAnsi="宋体" w:cs="宋体"/>
                <w:color w:val="000000"/>
                <w:kern w:val="0"/>
                <w:sz w:val="24"/>
                <w:szCs w:val="24"/>
              </w:rPr>
            </w:pPr>
          </w:p>
        </w:tc>
        <w:tc>
          <w:tcPr>
            <w:tcW w:w="7139"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系统支持多标签管理，同一网络不同部门的U盘可写入不同的标签，从而实现同一网络不同部门之间U盘交叉使用的权限控制</w:t>
            </w:r>
          </w:p>
        </w:tc>
      </w:tr>
      <w:tr>
        <w:tblPrEx>
          <w:tblLayout w:type="fixed"/>
          <w:tblCellMar>
            <w:top w:w="0" w:type="dxa"/>
            <w:left w:w="108" w:type="dxa"/>
            <w:bottom w:w="0" w:type="dxa"/>
            <w:right w:w="108" w:type="dxa"/>
          </w:tblCellMar>
        </w:tblPrEx>
        <w:trPr>
          <w:trHeight w:val="648" w:hRule="atLeast"/>
        </w:trPr>
        <w:tc>
          <w:tcPr>
            <w:tcW w:w="1276"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360" w:lineRule="auto"/>
              <w:jc w:val="center"/>
              <w:rPr>
                <w:rFonts w:hint="eastAsia" w:ascii="宋体" w:hAnsi="宋体" w:cs="宋体"/>
                <w:color w:val="000000"/>
                <w:kern w:val="0"/>
                <w:sz w:val="24"/>
                <w:szCs w:val="24"/>
              </w:rPr>
            </w:pPr>
            <w:r>
              <w:rPr>
                <w:rFonts w:hint="eastAsia" w:ascii="宋体" w:hAnsi="宋体" w:cs="宋体"/>
                <w:color w:val="000000"/>
                <w:kern w:val="0"/>
                <w:sz w:val="24"/>
                <w:szCs w:val="24"/>
              </w:rPr>
              <w:t>非法外联监控</w:t>
            </w:r>
          </w:p>
        </w:tc>
        <w:tc>
          <w:tcPr>
            <w:tcW w:w="7139"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能快速发现和控制网络中的非法外联行为，阻断终端通过多网卡、WIFI、3G/4G网卡、手机等多种方式网络非法外联访问，杜绝网络非法外联行为发生</w:t>
            </w:r>
          </w:p>
        </w:tc>
      </w:tr>
      <w:tr>
        <w:tblPrEx>
          <w:tblLayout w:type="fixed"/>
          <w:tblCellMar>
            <w:top w:w="0" w:type="dxa"/>
            <w:left w:w="108" w:type="dxa"/>
            <w:bottom w:w="0" w:type="dxa"/>
            <w:right w:w="108" w:type="dxa"/>
          </w:tblCellMar>
        </w:tblPrEx>
        <w:trPr>
          <w:trHeight w:val="648" w:hRule="atLeast"/>
        </w:trPr>
        <w:tc>
          <w:tcPr>
            <w:tcW w:w="127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60" w:lineRule="auto"/>
              <w:jc w:val="left"/>
              <w:rPr>
                <w:rFonts w:ascii="宋体" w:hAnsi="宋体" w:cs="宋体"/>
                <w:color w:val="000000"/>
                <w:kern w:val="0"/>
                <w:sz w:val="24"/>
                <w:szCs w:val="24"/>
              </w:rPr>
            </w:pPr>
          </w:p>
        </w:tc>
        <w:tc>
          <w:tcPr>
            <w:tcW w:w="7139"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系统支持违规联网监测和取证功能，可发现内网设备违规联入互联网的行为，并进行报警和阻断，审计终端违规外联的路由情况。（需提供功能截图）</w:t>
            </w:r>
          </w:p>
        </w:tc>
      </w:tr>
      <w:tr>
        <w:tblPrEx>
          <w:tblLayout w:type="fixed"/>
          <w:tblCellMar>
            <w:top w:w="0" w:type="dxa"/>
            <w:left w:w="108" w:type="dxa"/>
            <w:bottom w:w="0" w:type="dxa"/>
            <w:right w:w="108" w:type="dxa"/>
          </w:tblCellMar>
        </w:tblPrEx>
        <w:trPr>
          <w:trHeight w:val="648" w:hRule="atLeast"/>
        </w:trPr>
        <w:tc>
          <w:tcPr>
            <w:tcW w:w="127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spacing w:line="360" w:lineRule="auto"/>
              <w:jc w:val="left"/>
              <w:rPr>
                <w:rFonts w:ascii="宋体" w:hAnsi="宋体" w:cs="宋体"/>
                <w:color w:val="000000"/>
                <w:kern w:val="0"/>
                <w:sz w:val="24"/>
                <w:szCs w:val="24"/>
              </w:rPr>
            </w:pPr>
          </w:p>
        </w:tc>
        <w:tc>
          <w:tcPr>
            <w:tcW w:w="7139" w:type="dxa"/>
            <w:tcBorders>
              <w:top w:val="nil"/>
              <w:left w:val="single" w:color="auto" w:sz="4" w:space="0"/>
              <w:bottom w:val="single" w:color="auto" w:sz="4" w:space="0"/>
              <w:right w:val="single" w:color="auto" w:sz="4" w:space="0"/>
            </w:tcBorders>
            <w:noWrap w:val="0"/>
            <w:vAlign w:val="center"/>
          </w:tcPr>
          <w:p>
            <w:pPr>
              <w:widowControl/>
              <w:spacing w:line="360" w:lineRule="auto"/>
              <w:rPr>
                <w:rFonts w:hint="eastAsia" w:ascii="宋体" w:hAnsi="宋体" w:cs="宋体"/>
                <w:color w:val="000000"/>
                <w:kern w:val="0"/>
                <w:sz w:val="24"/>
                <w:szCs w:val="24"/>
              </w:rPr>
            </w:pPr>
            <w:r>
              <w:rPr>
                <w:rFonts w:hint="eastAsia" w:ascii="宋体" w:hAnsi="宋体" w:cs="宋体"/>
                <w:color w:val="000000"/>
                <w:kern w:val="0"/>
                <w:sz w:val="24"/>
                <w:szCs w:val="24"/>
              </w:rPr>
              <w:t>支持扩展部署模式，在互联网扩展部署外网报警服务器，终端违规接入互联网自动与服务器通信，上报终端信息，实现违规外联强审计和抗抵赖。（需提供功能截图）</w:t>
            </w:r>
          </w:p>
        </w:tc>
      </w:tr>
    </w:tbl>
    <w:p>
      <w:pPr>
        <w:rPr>
          <w:rFonts w:hint="eastAsia"/>
          <w:sz w:val="24"/>
          <w:szCs w:val="24"/>
        </w:rPr>
      </w:pPr>
    </w:p>
    <w:p>
      <w:pPr>
        <w:outlineLvl w:val="1"/>
        <w:rPr>
          <w:sz w:val="24"/>
          <w:szCs w:val="24"/>
        </w:rPr>
      </w:pPr>
      <w:r>
        <w:rPr>
          <w:rFonts w:hint="eastAsia" w:ascii="宋体" w:hAnsi="宋体"/>
          <w:b/>
          <w:bCs/>
          <w:color w:val="000000"/>
          <w:sz w:val="24"/>
          <w:szCs w:val="24"/>
        </w:rPr>
        <w:t>30.杀毒软件管控平台（含非法外联管控）</w:t>
      </w:r>
    </w:p>
    <w:tbl>
      <w:tblPr>
        <w:tblStyle w:val="23"/>
        <w:tblW w:w="84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91"/>
        <w:gridCol w:w="7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51" w:hRule="atLeast"/>
          <w:jc w:val="center"/>
        </w:trPr>
        <w:tc>
          <w:tcPr>
            <w:tcW w:w="1191" w:type="dxa"/>
            <w:noWrap w:val="0"/>
            <w:tcMar>
              <w:top w:w="0" w:type="dxa"/>
              <w:left w:w="108" w:type="dxa"/>
              <w:bottom w:w="0" w:type="dxa"/>
              <w:right w:w="108" w:type="dxa"/>
            </w:tcMar>
            <w:vAlign w:val="center"/>
          </w:tcPr>
          <w:p>
            <w:pPr>
              <w:widowControl/>
              <w:jc w:val="left"/>
              <w:rPr>
                <w:rFonts w:ascii="宋体" w:hAnsi="宋体"/>
                <w:kern w:val="0"/>
                <w:sz w:val="24"/>
                <w:szCs w:val="24"/>
              </w:rPr>
            </w:pPr>
            <w:r>
              <w:rPr>
                <w:rFonts w:hint="eastAsia" w:ascii="宋体" w:hAnsi="宋体" w:cs="宋体"/>
                <w:color w:val="000000"/>
                <w:sz w:val="24"/>
                <w:szCs w:val="24"/>
              </w:rPr>
              <w:t>技术指标</w:t>
            </w:r>
          </w:p>
        </w:tc>
        <w:tc>
          <w:tcPr>
            <w:tcW w:w="7228" w:type="dxa"/>
            <w:noWrap w:val="0"/>
            <w:tcMar>
              <w:top w:w="0" w:type="dxa"/>
              <w:left w:w="108" w:type="dxa"/>
              <w:bottom w:w="0" w:type="dxa"/>
              <w:right w:w="108" w:type="dxa"/>
            </w:tcMar>
            <w:vAlign w:val="center"/>
          </w:tcPr>
          <w:p>
            <w:pPr>
              <w:widowControl/>
              <w:adjustRightInd w:val="0"/>
              <w:jc w:val="center"/>
              <w:rPr>
                <w:rFonts w:ascii="宋体" w:hAnsi="宋体" w:cs="Arial"/>
                <w:kern w:val="0"/>
                <w:sz w:val="24"/>
                <w:szCs w:val="24"/>
              </w:rPr>
            </w:pPr>
            <w:r>
              <w:rPr>
                <w:rFonts w:hint="eastAsia" w:ascii="宋体" w:hAnsi="宋体" w:cs="宋体"/>
                <w:color w:val="000000"/>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1191" w:type="dxa"/>
            <w:vMerge w:val="restart"/>
            <w:noWrap w:val="0"/>
            <w:tcMar>
              <w:top w:w="0" w:type="dxa"/>
              <w:left w:w="108" w:type="dxa"/>
              <w:bottom w:w="0" w:type="dxa"/>
              <w:right w:w="108" w:type="dxa"/>
            </w:tcMar>
            <w:vAlign w:val="center"/>
          </w:tcPr>
          <w:p>
            <w:pPr>
              <w:widowControl/>
              <w:jc w:val="left"/>
              <w:rPr>
                <w:rFonts w:hint="eastAsia" w:ascii="宋体" w:hAnsi="宋体" w:cs="宋体"/>
                <w:kern w:val="0"/>
                <w:sz w:val="24"/>
                <w:szCs w:val="24"/>
              </w:rPr>
            </w:pPr>
            <w:r>
              <w:rPr>
                <w:rFonts w:hint="eastAsia" w:ascii="宋体" w:hAnsi="宋体" w:cs="宋体"/>
                <w:kern w:val="0"/>
                <w:sz w:val="24"/>
                <w:szCs w:val="24"/>
              </w:rPr>
              <w:t>客户端安装要求</w:t>
            </w:r>
          </w:p>
        </w:tc>
        <w:tc>
          <w:tcPr>
            <w:tcW w:w="7228" w:type="dxa"/>
            <w:noWrap w:val="0"/>
            <w:tcMar>
              <w:top w:w="0" w:type="dxa"/>
              <w:left w:w="108" w:type="dxa"/>
              <w:bottom w:w="0" w:type="dxa"/>
              <w:right w:w="108" w:type="dxa"/>
            </w:tcMar>
            <w:vAlign w:val="center"/>
          </w:tcPr>
          <w:p>
            <w:pPr>
              <w:widowControl/>
              <w:adjustRightInd w:val="0"/>
              <w:jc w:val="left"/>
              <w:rPr>
                <w:rFonts w:hint="eastAsia" w:ascii="宋体" w:hAnsi="宋体" w:cs="宋体"/>
                <w:kern w:val="0"/>
                <w:sz w:val="24"/>
                <w:szCs w:val="24"/>
              </w:rPr>
            </w:pPr>
            <w:r>
              <w:rPr>
                <w:rFonts w:hint="eastAsia" w:ascii="宋体" w:hAnsi="宋体" w:cs="宋体"/>
                <w:kern w:val="0"/>
                <w:sz w:val="24"/>
                <w:szCs w:val="24"/>
              </w:rPr>
              <w:t>操作系统支持： Windows 7/ 8/10/2008/2012/linux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1191" w:type="dxa"/>
            <w:vMerge w:val="continue"/>
            <w:noWrap w:val="0"/>
            <w:tcMar>
              <w:top w:w="0" w:type="dxa"/>
              <w:left w:w="108" w:type="dxa"/>
              <w:bottom w:w="0" w:type="dxa"/>
              <w:right w:w="108" w:type="dxa"/>
            </w:tcMar>
            <w:vAlign w:val="center"/>
          </w:tcPr>
          <w:p>
            <w:pPr>
              <w:widowControl/>
              <w:jc w:val="left"/>
              <w:rPr>
                <w:rFonts w:hint="eastAsia" w:ascii="宋体" w:hAnsi="宋体" w:cs="宋体"/>
                <w:kern w:val="0"/>
                <w:sz w:val="24"/>
                <w:szCs w:val="24"/>
              </w:rPr>
            </w:pPr>
          </w:p>
        </w:tc>
        <w:tc>
          <w:tcPr>
            <w:tcW w:w="7228" w:type="dxa"/>
            <w:noWrap w:val="0"/>
            <w:tcMar>
              <w:top w:w="0" w:type="dxa"/>
              <w:left w:w="108" w:type="dxa"/>
              <w:bottom w:w="0" w:type="dxa"/>
              <w:right w:w="108" w:type="dxa"/>
            </w:tcMar>
            <w:vAlign w:val="center"/>
          </w:tcPr>
          <w:p>
            <w:pPr>
              <w:widowControl/>
              <w:adjustRightInd w:val="0"/>
              <w:jc w:val="left"/>
              <w:rPr>
                <w:rFonts w:hint="eastAsia" w:ascii="宋体" w:hAnsi="宋体" w:cs="宋体"/>
                <w:kern w:val="0"/>
                <w:sz w:val="24"/>
                <w:szCs w:val="24"/>
              </w:rPr>
            </w:pPr>
            <w:r>
              <w:rPr>
                <w:rFonts w:hint="eastAsia" w:ascii="宋体" w:hAnsi="宋体" w:cs="宋体"/>
                <w:kern w:val="0"/>
                <w:sz w:val="24"/>
                <w:szCs w:val="24"/>
              </w:rPr>
              <w:t>提供</w:t>
            </w:r>
            <w:r>
              <w:rPr>
                <w:rFonts w:hint="eastAsia" w:ascii="宋体" w:hAnsi="宋体" w:cs="宋体"/>
                <w:color w:val="FF0000"/>
                <w:kern w:val="0"/>
                <w:sz w:val="24"/>
                <w:szCs w:val="24"/>
                <w:lang w:val="en-US" w:eastAsia="zh-CN"/>
              </w:rPr>
              <w:t>1000</w:t>
            </w:r>
            <w:r>
              <w:rPr>
                <w:rFonts w:hint="eastAsia" w:ascii="宋体" w:hAnsi="宋体" w:cs="宋体"/>
                <w:kern w:val="0"/>
                <w:sz w:val="24"/>
                <w:szCs w:val="24"/>
              </w:rPr>
              <w:t>个Windows客户端授权,</w:t>
            </w:r>
            <w:r>
              <w:rPr>
                <w:rFonts w:hint="eastAsia" w:ascii="宋体" w:hAnsi="宋体" w:cs="宋体"/>
                <w:color w:val="FF0000"/>
                <w:kern w:val="0"/>
                <w:sz w:val="24"/>
                <w:szCs w:val="24"/>
                <w:lang w:val="en-US" w:eastAsia="zh-CN"/>
              </w:rPr>
              <w:t>100</w:t>
            </w:r>
            <w:r>
              <w:rPr>
                <w:rFonts w:hint="eastAsia" w:ascii="宋体" w:hAnsi="宋体" w:cs="宋体"/>
                <w:kern w:val="0"/>
                <w:sz w:val="24"/>
                <w:szCs w:val="24"/>
              </w:rPr>
              <w:t>个linux授权。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1191" w:type="dxa"/>
            <w:vMerge w:val="restart"/>
            <w:noWrap w:val="0"/>
            <w:tcMar>
              <w:top w:w="0" w:type="dxa"/>
              <w:left w:w="108" w:type="dxa"/>
              <w:bottom w:w="0" w:type="dxa"/>
              <w:right w:w="108" w:type="dxa"/>
            </w:tcMar>
            <w:vAlign w:val="center"/>
          </w:tcPr>
          <w:p>
            <w:pPr>
              <w:widowControl/>
              <w:jc w:val="left"/>
              <w:rPr>
                <w:rFonts w:hint="eastAsia" w:ascii="宋体" w:hAnsi="宋体" w:cs="宋体"/>
                <w:kern w:val="0"/>
                <w:sz w:val="24"/>
                <w:szCs w:val="24"/>
              </w:rPr>
            </w:pPr>
            <w:r>
              <w:rPr>
                <w:rFonts w:hint="eastAsia" w:ascii="宋体" w:hAnsi="宋体" w:cs="宋体"/>
                <w:kern w:val="0"/>
                <w:sz w:val="24"/>
                <w:szCs w:val="24"/>
              </w:rPr>
              <w:t>系统管理</w:t>
            </w:r>
          </w:p>
        </w:tc>
        <w:tc>
          <w:tcPr>
            <w:tcW w:w="7228" w:type="dxa"/>
            <w:noWrap w:val="0"/>
            <w:tcMar>
              <w:top w:w="0" w:type="dxa"/>
              <w:left w:w="108" w:type="dxa"/>
              <w:bottom w:w="0" w:type="dxa"/>
              <w:right w:w="108" w:type="dxa"/>
            </w:tcMar>
            <w:vAlign w:val="center"/>
          </w:tcPr>
          <w:p>
            <w:pPr>
              <w:widowControl/>
              <w:adjustRightInd w:val="0"/>
              <w:jc w:val="left"/>
              <w:rPr>
                <w:rFonts w:hint="eastAsia" w:ascii="宋体" w:hAnsi="宋体" w:cs="宋体"/>
                <w:kern w:val="0"/>
                <w:sz w:val="24"/>
                <w:szCs w:val="24"/>
              </w:rPr>
            </w:pPr>
            <w:r>
              <w:rPr>
                <w:rFonts w:hint="eastAsia" w:ascii="宋体" w:hAnsi="宋体" w:cs="宋体"/>
                <w:kern w:val="0"/>
                <w:sz w:val="24"/>
                <w:szCs w:val="24"/>
              </w:rPr>
              <w:t>控制中心：采用B/S架构管理端，具备设备分组管理、策略制定下发、全网健康状况监测、统一杀毒、统一漏洞修复、统一管控、统一终端准入合规、终端软件管理、硬件资产管理以及各种报表和查询等功能；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1191" w:type="dxa"/>
            <w:vMerge w:val="continue"/>
            <w:noWrap w:val="0"/>
            <w:tcMar>
              <w:top w:w="0" w:type="dxa"/>
              <w:left w:w="108" w:type="dxa"/>
              <w:bottom w:w="0" w:type="dxa"/>
              <w:right w:w="108" w:type="dxa"/>
            </w:tcMar>
            <w:vAlign w:val="center"/>
          </w:tcPr>
          <w:p>
            <w:pPr>
              <w:widowControl/>
              <w:jc w:val="left"/>
              <w:rPr>
                <w:rFonts w:hint="eastAsia" w:ascii="宋体" w:hAnsi="宋体" w:cs="宋体"/>
                <w:kern w:val="0"/>
                <w:sz w:val="24"/>
                <w:szCs w:val="24"/>
              </w:rPr>
            </w:pPr>
          </w:p>
        </w:tc>
        <w:tc>
          <w:tcPr>
            <w:tcW w:w="7228" w:type="dxa"/>
            <w:noWrap w:val="0"/>
            <w:tcMar>
              <w:top w:w="0" w:type="dxa"/>
              <w:left w:w="108" w:type="dxa"/>
              <w:bottom w:w="0" w:type="dxa"/>
              <w:right w:w="108" w:type="dxa"/>
            </w:tcMar>
            <w:vAlign w:val="center"/>
          </w:tcPr>
          <w:p>
            <w:pPr>
              <w:widowControl/>
              <w:adjustRightInd w:val="0"/>
              <w:jc w:val="left"/>
              <w:rPr>
                <w:rFonts w:hint="eastAsia" w:ascii="宋体" w:hAnsi="宋体" w:cs="宋体"/>
                <w:kern w:val="0"/>
                <w:sz w:val="24"/>
                <w:szCs w:val="24"/>
              </w:rPr>
            </w:pPr>
            <w:r>
              <w:rPr>
                <w:rFonts w:hint="eastAsia" w:ascii="宋体" w:hAnsi="宋体" w:cs="宋体"/>
                <w:kern w:val="0"/>
                <w:sz w:val="24"/>
                <w:szCs w:val="24"/>
              </w:rPr>
              <w:t>客户端提供控制中心管理所需的相关数据信息，通讯可选择非明文方式；</w:t>
            </w:r>
            <w:r>
              <w:rPr>
                <w:rFonts w:hint="eastAsia" w:ascii="宋体" w:hAnsi="宋体" w:cs="宋体"/>
                <w:kern w:val="0"/>
                <w:sz w:val="24"/>
                <w:szCs w:val="24"/>
              </w:rPr>
              <w:br w:type="textWrapping"/>
            </w:r>
            <w:r>
              <w:rPr>
                <w:rFonts w:hint="eastAsia" w:ascii="宋体" w:hAnsi="宋体" w:cs="宋体"/>
                <w:kern w:val="0"/>
                <w:sz w:val="24"/>
                <w:szCs w:val="24"/>
              </w:rPr>
              <w:t>客户端执行最终的木马病毒查杀、漏洞修复等安全操作；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1191" w:type="dxa"/>
            <w:vMerge w:val="continue"/>
            <w:noWrap w:val="0"/>
            <w:tcMar>
              <w:top w:w="0" w:type="dxa"/>
              <w:left w:w="108" w:type="dxa"/>
              <w:bottom w:w="0" w:type="dxa"/>
              <w:right w:w="108" w:type="dxa"/>
            </w:tcMar>
            <w:vAlign w:val="center"/>
          </w:tcPr>
          <w:p>
            <w:pPr>
              <w:widowControl/>
              <w:jc w:val="left"/>
              <w:rPr>
                <w:rFonts w:hint="eastAsia" w:ascii="宋体" w:hAnsi="宋体" w:cs="宋体"/>
                <w:kern w:val="0"/>
                <w:sz w:val="24"/>
                <w:szCs w:val="24"/>
              </w:rPr>
            </w:pPr>
          </w:p>
        </w:tc>
        <w:tc>
          <w:tcPr>
            <w:tcW w:w="7228" w:type="dxa"/>
            <w:noWrap w:val="0"/>
            <w:tcMar>
              <w:top w:w="0" w:type="dxa"/>
              <w:left w:w="108" w:type="dxa"/>
              <w:bottom w:w="0" w:type="dxa"/>
              <w:right w:w="108" w:type="dxa"/>
            </w:tcMar>
            <w:vAlign w:val="center"/>
          </w:tcPr>
          <w:p>
            <w:pPr>
              <w:widowControl/>
              <w:adjustRightInd w:val="0"/>
              <w:jc w:val="left"/>
              <w:rPr>
                <w:rFonts w:hint="eastAsia" w:ascii="宋体" w:hAnsi="宋体" w:cs="宋体"/>
                <w:kern w:val="0"/>
                <w:sz w:val="24"/>
                <w:szCs w:val="24"/>
              </w:rPr>
            </w:pPr>
            <w:r>
              <w:rPr>
                <w:rFonts w:hint="eastAsia" w:ascii="宋体" w:hAnsi="宋体" w:cs="宋体"/>
                <w:kern w:val="0"/>
                <w:sz w:val="24"/>
                <w:szCs w:val="24"/>
              </w:rPr>
              <w:t>支持自定义默认分组的终端默认功能模块,包括产品功能模块及实用工具等；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1191" w:type="dxa"/>
            <w:vMerge w:val="continue"/>
            <w:noWrap w:val="0"/>
            <w:tcMar>
              <w:top w:w="0" w:type="dxa"/>
              <w:left w:w="108" w:type="dxa"/>
              <w:bottom w:w="0" w:type="dxa"/>
              <w:right w:w="108" w:type="dxa"/>
            </w:tcMar>
            <w:vAlign w:val="center"/>
          </w:tcPr>
          <w:p>
            <w:pPr>
              <w:widowControl/>
              <w:jc w:val="left"/>
              <w:rPr>
                <w:rFonts w:hint="eastAsia" w:ascii="宋体" w:hAnsi="宋体" w:cs="宋体"/>
                <w:kern w:val="0"/>
                <w:sz w:val="24"/>
                <w:szCs w:val="24"/>
              </w:rPr>
            </w:pPr>
          </w:p>
        </w:tc>
        <w:tc>
          <w:tcPr>
            <w:tcW w:w="7228" w:type="dxa"/>
            <w:noWrap w:val="0"/>
            <w:tcMar>
              <w:top w:w="0" w:type="dxa"/>
              <w:left w:w="108" w:type="dxa"/>
              <w:bottom w:w="0" w:type="dxa"/>
              <w:right w:w="108" w:type="dxa"/>
            </w:tcMar>
            <w:vAlign w:val="center"/>
          </w:tcPr>
          <w:p>
            <w:pPr>
              <w:widowControl/>
              <w:adjustRightInd w:val="0"/>
              <w:jc w:val="left"/>
              <w:rPr>
                <w:rFonts w:hint="eastAsia" w:ascii="宋体" w:hAnsi="宋体" w:cs="宋体"/>
                <w:kern w:val="0"/>
                <w:sz w:val="24"/>
                <w:szCs w:val="24"/>
              </w:rPr>
            </w:pPr>
            <w:r>
              <w:rPr>
                <w:rFonts w:hint="eastAsia" w:ascii="宋体" w:hAnsi="宋体" w:cs="宋体"/>
                <w:kern w:val="0"/>
                <w:sz w:val="24"/>
                <w:szCs w:val="24"/>
              </w:rPr>
              <w:t>支持控制中心防暴力破解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1191" w:type="dxa"/>
            <w:vMerge w:val="continue"/>
            <w:noWrap w:val="0"/>
            <w:tcMar>
              <w:top w:w="0" w:type="dxa"/>
              <w:left w:w="108" w:type="dxa"/>
              <w:bottom w:w="0" w:type="dxa"/>
              <w:right w:w="108" w:type="dxa"/>
            </w:tcMar>
            <w:vAlign w:val="center"/>
          </w:tcPr>
          <w:p>
            <w:pPr>
              <w:widowControl/>
              <w:jc w:val="left"/>
              <w:rPr>
                <w:rFonts w:hint="eastAsia" w:ascii="宋体" w:hAnsi="宋体" w:cs="宋体"/>
                <w:kern w:val="0"/>
                <w:sz w:val="24"/>
                <w:szCs w:val="24"/>
              </w:rPr>
            </w:pPr>
          </w:p>
        </w:tc>
        <w:tc>
          <w:tcPr>
            <w:tcW w:w="7228" w:type="dxa"/>
            <w:noWrap w:val="0"/>
            <w:tcMar>
              <w:top w:w="0" w:type="dxa"/>
              <w:left w:w="108" w:type="dxa"/>
              <w:bottom w:w="0" w:type="dxa"/>
              <w:right w:w="108" w:type="dxa"/>
            </w:tcMar>
            <w:vAlign w:val="center"/>
          </w:tcPr>
          <w:p>
            <w:pPr>
              <w:widowControl/>
              <w:adjustRightInd w:val="0"/>
              <w:jc w:val="left"/>
              <w:rPr>
                <w:rFonts w:hint="eastAsia" w:ascii="宋体" w:hAnsi="宋体" w:cs="宋体"/>
                <w:kern w:val="0"/>
                <w:sz w:val="24"/>
                <w:szCs w:val="24"/>
              </w:rPr>
            </w:pPr>
            <w:r>
              <w:rPr>
                <w:rFonts w:hint="eastAsia" w:ascii="宋体" w:hAnsi="宋体" w:cs="宋体"/>
                <w:kern w:val="0"/>
                <w:sz w:val="24"/>
                <w:szCs w:val="24"/>
              </w:rPr>
              <w:t>支持加密的控制中心远程访问，支持管理账户并发、密码有效期、鉴别失败锁定等设置；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1191" w:type="dxa"/>
            <w:vMerge w:val="continue"/>
            <w:noWrap w:val="0"/>
            <w:tcMar>
              <w:top w:w="0" w:type="dxa"/>
              <w:left w:w="108" w:type="dxa"/>
              <w:bottom w:w="0" w:type="dxa"/>
              <w:right w:w="108" w:type="dxa"/>
            </w:tcMar>
            <w:vAlign w:val="center"/>
          </w:tcPr>
          <w:p>
            <w:pPr>
              <w:widowControl/>
              <w:jc w:val="left"/>
              <w:rPr>
                <w:rFonts w:hint="eastAsia" w:ascii="宋体" w:hAnsi="宋体" w:cs="宋体"/>
                <w:kern w:val="0"/>
                <w:sz w:val="24"/>
                <w:szCs w:val="24"/>
              </w:rPr>
            </w:pPr>
          </w:p>
        </w:tc>
        <w:tc>
          <w:tcPr>
            <w:tcW w:w="7228" w:type="dxa"/>
            <w:noWrap w:val="0"/>
            <w:tcMar>
              <w:top w:w="0" w:type="dxa"/>
              <w:left w:w="108" w:type="dxa"/>
              <w:bottom w:w="0" w:type="dxa"/>
              <w:right w:w="108" w:type="dxa"/>
            </w:tcMar>
            <w:vAlign w:val="center"/>
          </w:tcPr>
          <w:p>
            <w:pPr>
              <w:widowControl/>
              <w:adjustRightInd w:val="0"/>
              <w:jc w:val="left"/>
              <w:rPr>
                <w:rFonts w:hint="eastAsia" w:ascii="宋体" w:hAnsi="宋体" w:cs="宋体"/>
                <w:kern w:val="0"/>
                <w:sz w:val="24"/>
                <w:szCs w:val="24"/>
              </w:rPr>
            </w:pPr>
            <w:r>
              <w:rPr>
                <w:rFonts w:hint="eastAsia" w:ascii="宋体" w:hAnsi="宋体" w:cs="宋体"/>
                <w:kern w:val="0"/>
                <w:sz w:val="24"/>
                <w:szCs w:val="24"/>
              </w:rPr>
              <w:t>支持根据分组、计算机名称、IP地址、操作系统、在线状态等条件的组合筛选出符合条件的终端进行管理；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58" w:hRule="atLeast"/>
          <w:jc w:val="center"/>
        </w:trPr>
        <w:tc>
          <w:tcPr>
            <w:tcW w:w="1191" w:type="dxa"/>
            <w:vMerge w:val="restart"/>
            <w:noWrap w:val="0"/>
            <w:tcMar>
              <w:top w:w="0" w:type="dxa"/>
              <w:left w:w="108" w:type="dxa"/>
              <w:bottom w:w="0" w:type="dxa"/>
              <w:right w:w="108" w:type="dxa"/>
            </w:tcMar>
            <w:vAlign w:val="center"/>
          </w:tcPr>
          <w:p>
            <w:pPr>
              <w:widowControl/>
              <w:jc w:val="left"/>
              <w:rPr>
                <w:rFonts w:hint="eastAsia" w:ascii="宋体" w:hAnsi="宋体" w:cs="宋体"/>
                <w:kern w:val="0"/>
                <w:sz w:val="24"/>
                <w:szCs w:val="24"/>
              </w:rPr>
            </w:pPr>
            <w:r>
              <w:rPr>
                <w:rFonts w:hint="eastAsia" w:ascii="宋体" w:hAnsi="宋体" w:cs="宋体"/>
                <w:kern w:val="0"/>
                <w:sz w:val="24"/>
                <w:szCs w:val="24"/>
              </w:rPr>
              <w:t>终端安全管控</w:t>
            </w:r>
          </w:p>
        </w:tc>
        <w:tc>
          <w:tcPr>
            <w:tcW w:w="7228" w:type="dxa"/>
            <w:noWrap w:val="0"/>
            <w:tcMar>
              <w:top w:w="0" w:type="dxa"/>
              <w:left w:w="108" w:type="dxa"/>
              <w:bottom w:w="0" w:type="dxa"/>
              <w:right w:w="108" w:type="dxa"/>
            </w:tcMar>
            <w:vAlign w:val="center"/>
          </w:tcPr>
          <w:p>
            <w:pPr>
              <w:adjustRightInd w:val="0"/>
              <w:jc w:val="left"/>
              <w:rPr>
                <w:rFonts w:hint="eastAsia" w:ascii="宋体" w:hAnsi="宋体" w:cs="宋体"/>
                <w:kern w:val="0"/>
                <w:sz w:val="24"/>
                <w:szCs w:val="24"/>
              </w:rPr>
            </w:pPr>
            <w:r>
              <w:rPr>
                <w:rFonts w:hint="eastAsia" w:ascii="宋体" w:hAnsi="宋体" w:cs="宋体"/>
                <w:kern w:val="0"/>
                <w:sz w:val="24"/>
                <w:szCs w:val="24"/>
              </w:rPr>
              <w:t>支持tcp、ping、域名解析三种外联探测方式，支持自定义探测地址，探测频率，支持外联告警断网，支持终端互联网出口IP探测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9" w:hRule="atLeast"/>
          <w:jc w:val="center"/>
        </w:trPr>
        <w:tc>
          <w:tcPr>
            <w:tcW w:w="1191" w:type="dxa"/>
            <w:vMerge w:val="continue"/>
            <w:noWrap w:val="0"/>
            <w:tcMar>
              <w:top w:w="0" w:type="dxa"/>
              <w:left w:w="108" w:type="dxa"/>
              <w:bottom w:w="0" w:type="dxa"/>
              <w:right w:w="108" w:type="dxa"/>
            </w:tcMar>
            <w:vAlign w:val="center"/>
          </w:tcPr>
          <w:p>
            <w:pPr>
              <w:widowControl/>
              <w:jc w:val="left"/>
              <w:rPr>
                <w:rFonts w:hint="eastAsia" w:ascii="宋体" w:hAnsi="宋体" w:cs="宋体"/>
                <w:kern w:val="0"/>
                <w:sz w:val="24"/>
                <w:szCs w:val="24"/>
              </w:rPr>
            </w:pPr>
          </w:p>
        </w:tc>
        <w:tc>
          <w:tcPr>
            <w:tcW w:w="7228" w:type="dxa"/>
            <w:noWrap w:val="0"/>
            <w:tcMar>
              <w:top w:w="0" w:type="dxa"/>
              <w:left w:w="108" w:type="dxa"/>
              <w:bottom w:w="0" w:type="dxa"/>
              <w:right w:w="108" w:type="dxa"/>
            </w:tcMar>
            <w:vAlign w:val="center"/>
          </w:tcPr>
          <w:p>
            <w:pPr>
              <w:widowControl/>
              <w:adjustRightInd w:val="0"/>
              <w:jc w:val="left"/>
              <w:rPr>
                <w:rFonts w:hint="eastAsia" w:ascii="宋体" w:hAnsi="宋体" w:cs="宋体"/>
                <w:kern w:val="0"/>
                <w:sz w:val="24"/>
                <w:szCs w:val="24"/>
              </w:rPr>
            </w:pPr>
            <w:r>
              <w:rPr>
                <w:rFonts w:hint="eastAsia" w:ascii="宋体" w:hAnsi="宋体" w:cs="宋体"/>
                <w:kern w:val="0"/>
                <w:sz w:val="24"/>
                <w:szCs w:val="24"/>
              </w:rPr>
              <w:t>可监控指定终端网络、应用程序的上传，下载速度与流量；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1191" w:type="dxa"/>
            <w:vMerge w:val="continue"/>
            <w:noWrap w:val="0"/>
            <w:tcMar>
              <w:top w:w="0" w:type="dxa"/>
              <w:left w:w="108" w:type="dxa"/>
              <w:bottom w:w="0" w:type="dxa"/>
              <w:right w:w="108" w:type="dxa"/>
            </w:tcMar>
            <w:vAlign w:val="center"/>
          </w:tcPr>
          <w:p>
            <w:pPr>
              <w:widowControl/>
              <w:jc w:val="left"/>
              <w:rPr>
                <w:rFonts w:hint="eastAsia" w:ascii="宋体" w:hAnsi="宋体" w:cs="宋体"/>
                <w:kern w:val="0"/>
                <w:sz w:val="24"/>
                <w:szCs w:val="24"/>
              </w:rPr>
            </w:pPr>
          </w:p>
        </w:tc>
        <w:tc>
          <w:tcPr>
            <w:tcW w:w="7228" w:type="dxa"/>
            <w:noWrap w:val="0"/>
            <w:tcMar>
              <w:top w:w="0" w:type="dxa"/>
              <w:left w:w="108" w:type="dxa"/>
              <w:bottom w:w="0" w:type="dxa"/>
              <w:right w:w="108" w:type="dxa"/>
            </w:tcMar>
            <w:vAlign w:val="center"/>
          </w:tcPr>
          <w:p>
            <w:pPr>
              <w:widowControl/>
              <w:adjustRightInd w:val="0"/>
              <w:jc w:val="left"/>
              <w:rPr>
                <w:rFonts w:hint="eastAsia" w:ascii="宋体" w:hAnsi="宋体" w:cs="宋体"/>
                <w:kern w:val="0"/>
                <w:sz w:val="24"/>
                <w:szCs w:val="24"/>
              </w:rPr>
            </w:pPr>
            <w:r>
              <w:rPr>
                <w:rFonts w:hint="eastAsia" w:ascii="宋体" w:hAnsi="宋体" w:cs="宋体"/>
                <w:kern w:val="0"/>
                <w:sz w:val="24"/>
                <w:szCs w:val="24"/>
              </w:rPr>
              <w:t>支持冗余有线网卡、无线网卡、3G网卡、MODEM、ADSL、ISDN等设备的外联控制；违规外联发生时可针对内外网连接状态分别设置违规处理措施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1191" w:type="dxa"/>
            <w:vMerge w:val="continue"/>
            <w:noWrap w:val="0"/>
            <w:tcMar>
              <w:top w:w="0" w:type="dxa"/>
              <w:left w:w="108" w:type="dxa"/>
              <w:bottom w:w="0" w:type="dxa"/>
              <w:right w:w="108" w:type="dxa"/>
            </w:tcMar>
            <w:vAlign w:val="center"/>
          </w:tcPr>
          <w:p>
            <w:pPr>
              <w:widowControl/>
              <w:jc w:val="left"/>
              <w:rPr>
                <w:rFonts w:hint="eastAsia" w:ascii="宋体" w:hAnsi="宋体" w:cs="宋体"/>
                <w:kern w:val="0"/>
                <w:sz w:val="24"/>
                <w:szCs w:val="24"/>
              </w:rPr>
            </w:pPr>
          </w:p>
        </w:tc>
        <w:tc>
          <w:tcPr>
            <w:tcW w:w="7228" w:type="dxa"/>
            <w:noWrap w:val="0"/>
            <w:tcMar>
              <w:top w:w="0" w:type="dxa"/>
              <w:left w:w="108" w:type="dxa"/>
              <w:bottom w:w="0" w:type="dxa"/>
              <w:right w:w="108" w:type="dxa"/>
            </w:tcMar>
            <w:vAlign w:val="center"/>
          </w:tcPr>
          <w:p>
            <w:pPr>
              <w:widowControl/>
              <w:adjustRightInd w:val="0"/>
              <w:jc w:val="left"/>
              <w:rPr>
                <w:rFonts w:hint="eastAsia" w:ascii="宋体" w:hAnsi="宋体" w:cs="宋体"/>
                <w:kern w:val="0"/>
                <w:sz w:val="24"/>
                <w:szCs w:val="24"/>
              </w:rPr>
            </w:pPr>
            <w:r>
              <w:rPr>
                <w:rFonts w:hint="eastAsia" w:ascii="宋体" w:hAnsi="宋体" w:cs="宋体"/>
                <w:kern w:val="0"/>
                <w:sz w:val="24"/>
                <w:szCs w:val="24"/>
              </w:rPr>
              <w:t>支持对终端各种外设（USB存储、硬盘、存储卡、光驱、打印机、扫描仪、摄像头、手机、平板等）、接口（USB口、串口、并口、1394、PCMIA）设置使用权限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1191" w:type="dxa"/>
            <w:vMerge w:val="continue"/>
            <w:noWrap w:val="0"/>
            <w:tcMar>
              <w:top w:w="0" w:type="dxa"/>
              <w:left w:w="108" w:type="dxa"/>
              <w:bottom w:w="0" w:type="dxa"/>
              <w:right w:w="108" w:type="dxa"/>
            </w:tcMar>
            <w:vAlign w:val="center"/>
          </w:tcPr>
          <w:p>
            <w:pPr>
              <w:widowControl/>
              <w:jc w:val="left"/>
              <w:rPr>
                <w:rFonts w:hint="eastAsia" w:ascii="宋体" w:hAnsi="宋体" w:cs="宋体"/>
                <w:kern w:val="0"/>
                <w:sz w:val="24"/>
                <w:szCs w:val="24"/>
              </w:rPr>
            </w:pPr>
          </w:p>
        </w:tc>
        <w:tc>
          <w:tcPr>
            <w:tcW w:w="7228" w:type="dxa"/>
            <w:noWrap w:val="0"/>
            <w:tcMar>
              <w:top w:w="0" w:type="dxa"/>
              <w:left w:w="108" w:type="dxa"/>
              <w:bottom w:w="0" w:type="dxa"/>
              <w:right w:w="108" w:type="dxa"/>
            </w:tcMar>
            <w:vAlign w:val="center"/>
          </w:tcPr>
          <w:p>
            <w:pPr>
              <w:widowControl/>
              <w:adjustRightInd w:val="0"/>
              <w:jc w:val="left"/>
              <w:rPr>
                <w:rFonts w:hint="eastAsia" w:ascii="宋体" w:hAnsi="宋体" w:cs="宋体"/>
                <w:kern w:val="0"/>
                <w:sz w:val="24"/>
                <w:szCs w:val="24"/>
              </w:rPr>
            </w:pPr>
            <w:r>
              <w:rPr>
                <w:rFonts w:hint="eastAsia" w:ascii="宋体" w:hAnsi="宋体" w:cs="宋体"/>
                <w:kern w:val="0"/>
                <w:sz w:val="24"/>
                <w:szCs w:val="24"/>
              </w:rPr>
              <w:t>支持自定义外设黑白名单，且支持分组执行、支持以设备名称或者PID/VID例外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1191" w:type="dxa"/>
            <w:vMerge w:val="continue"/>
            <w:noWrap w:val="0"/>
            <w:tcMar>
              <w:top w:w="0" w:type="dxa"/>
              <w:left w:w="108" w:type="dxa"/>
              <w:bottom w:w="0" w:type="dxa"/>
              <w:right w:w="108" w:type="dxa"/>
            </w:tcMar>
            <w:vAlign w:val="center"/>
          </w:tcPr>
          <w:p>
            <w:pPr>
              <w:widowControl/>
              <w:jc w:val="left"/>
              <w:rPr>
                <w:rFonts w:hint="eastAsia" w:ascii="宋体" w:hAnsi="宋体" w:cs="宋体"/>
                <w:kern w:val="0"/>
                <w:sz w:val="24"/>
                <w:szCs w:val="24"/>
              </w:rPr>
            </w:pPr>
          </w:p>
        </w:tc>
        <w:tc>
          <w:tcPr>
            <w:tcW w:w="7228" w:type="dxa"/>
            <w:noWrap w:val="0"/>
            <w:tcMar>
              <w:top w:w="0" w:type="dxa"/>
              <w:left w:w="108" w:type="dxa"/>
              <w:bottom w:w="0" w:type="dxa"/>
              <w:right w:w="108" w:type="dxa"/>
            </w:tcMar>
            <w:vAlign w:val="center"/>
          </w:tcPr>
          <w:p>
            <w:pPr>
              <w:widowControl/>
              <w:adjustRightInd w:val="0"/>
              <w:jc w:val="left"/>
              <w:rPr>
                <w:rFonts w:hint="eastAsia" w:ascii="宋体" w:hAnsi="宋体" w:cs="宋体"/>
                <w:kern w:val="0"/>
                <w:sz w:val="24"/>
                <w:szCs w:val="24"/>
              </w:rPr>
            </w:pPr>
            <w:r>
              <w:rPr>
                <w:rFonts w:hint="eastAsia" w:ascii="宋体" w:hAnsi="宋体" w:cs="宋体"/>
                <w:kern w:val="0"/>
                <w:sz w:val="24"/>
                <w:szCs w:val="24"/>
              </w:rPr>
              <w:t>支持对终端桌面系统的账号密码、本地安全策略、控制面板、屏保与壁纸、浏览器安全、杀毒软件检查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1191" w:type="dxa"/>
            <w:vMerge w:val="continue"/>
            <w:noWrap w:val="0"/>
            <w:tcMar>
              <w:top w:w="0" w:type="dxa"/>
              <w:left w:w="108" w:type="dxa"/>
              <w:bottom w:w="0" w:type="dxa"/>
              <w:right w:w="108" w:type="dxa"/>
            </w:tcMar>
            <w:vAlign w:val="center"/>
          </w:tcPr>
          <w:p>
            <w:pPr>
              <w:widowControl/>
              <w:jc w:val="left"/>
              <w:rPr>
                <w:rFonts w:hint="eastAsia" w:ascii="宋体" w:hAnsi="宋体" w:cs="宋体"/>
                <w:kern w:val="0"/>
                <w:sz w:val="24"/>
                <w:szCs w:val="24"/>
              </w:rPr>
            </w:pPr>
          </w:p>
        </w:tc>
        <w:tc>
          <w:tcPr>
            <w:tcW w:w="7228" w:type="dxa"/>
            <w:noWrap w:val="0"/>
            <w:tcMar>
              <w:top w:w="0" w:type="dxa"/>
              <w:left w:w="108" w:type="dxa"/>
              <w:bottom w:w="0" w:type="dxa"/>
              <w:right w:w="108" w:type="dxa"/>
            </w:tcMar>
            <w:vAlign w:val="center"/>
          </w:tcPr>
          <w:p>
            <w:pPr>
              <w:widowControl/>
              <w:adjustRightInd w:val="0"/>
              <w:jc w:val="left"/>
              <w:rPr>
                <w:rFonts w:hint="eastAsia" w:ascii="宋体" w:hAnsi="宋体" w:cs="宋体"/>
                <w:kern w:val="0"/>
                <w:sz w:val="24"/>
                <w:szCs w:val="24"/>
              </w:rPr>
            </w:pPr>
            <w:r>
              <w:rPr>
                <w:rFonts w:hint="eastAsia" w:ascii="宋体" w:hAnsi="宋体" w:cs="宋体"/>
                <w:kern w:val="0"/>
                <w:sz w:val="24"/>
                <w:szCs w:val="24"/>
              </w:rPr>
              <w:t>病毒库与补丁库支持与上级集联，及时更新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1" w:hRule="atLeast"/>
          <w:jc w:val="center"/>
        </w:trPr>
        <w:tc>
          <w:tcPr>
            <w:tcW w:w="1191" w:type="dxa"/>
            <w:noWrap w:val="0"/>
            <w:tcMar>
              <w:top w:w="0" w:type="dxa"/>
              <w:left w:w="108" w:type="dxa"/>
              <w:bottom w:w="0" w:type="dxa"/>
              <w:right w:w="108" w:type="dxa"/>
            </w:tcMar>
            <w:vAlign w:val="center"/>
          </w:tcPr>
          <w:p>
            <w:pPr>
              <w:widowControl/>
              <w:jc w:val="left"/>
              <w:rPr>
                <w:rFonts w:ascii="等线" w:hAnsi="等线"/>
                <w:sz w:val="24"/>
                <w:szCs w:val="24"/>
              </w:rPr>
            </w:pPr>
            <w:r>
              <w:rPr>
                <w:rFonts w:hint="eastAsia" w:ascii="宋体" w:hAnsi="宋体" w:cs="宋体"/>
                <w:kern w:val="0"/>
                <w:sz w:val="24"/>
                <w:szCs w:val="24"/>
              </w:rPr>
              <w:t>服务</w:t>
            </w:r>
          </w:p>
        </w:tc>
        <w:tc>
          <w:tcPr>
            <w:tcW w:w="7228" w:type="dxa"/>
            <w:noWrap w:val="0"/>
            <w:tcMar>
              <w:top w:w="0" w:type="dxa"/>
              <w:left w:w="108" w:type="dxa"/>
              <w:bottom w:w="0" w:type="dxa"/>
              <w:right w:w="108" w:type="dxa"/>
            </w:tcMar>
            <w:vAlign w:val="center"/>
          </w:tcPr>
          <w:p>
            <w:pPr>
              <w:widowControl/>
              <w:jc w:val="left"/>
              <w:rPr>
                <w:rFonts w:hint="eastAsia" w:ascii="宋体" w:hAnsi="宋体"/>
                <w:sz w:val="24"/>
                <w:szCs w:val="24"/>
              </w:rPr>
            </w:pPr>
            <w:r>
              <w:rPr>
                <w:rFonts w:hint="eastAsia" w:ascii="等线" w:hAnsi="等线" w:cs="宋体"/>
                <w:sz w:val="24"/>
              </w:rPr>
              <w:t>原厂五年质保，中标后签订合同前提供原厂商质保承诺函。</w:t>
            </w:r>
          </w:p>
        </w:tc>
      </w:tr>
    </w:tbl>
    <w:p>
      <w:pPr>
        <w:rPr>
          <w:rFonts w:hint="eastAsia" w:ascii="宋体" w:hAnsi="宋体"/>
          <w:b/>
          <w:sz w:val="24"/>
          <w:szCs w:val="24"/>
        </w:rPr>
      </w:pPr>
      <w:r>
        <w:rPr>
          <w:rFonts w:hint="eastAsia" w:ascii="宋体" w:hAnsi="宋体"/>
          <w:b/>
          <w:sz w:val="24"/>
          <w:szCs w:val="24"/>
        </w:rPr>
        <w:t>31.</w:t>
      </w:r>
      <w:r>
        <w:rPr>
          <w:rFonts w:ascii="宋体" w:hAnsi="宋体"/>
          <w:b/>
          <w:sz w:val="24"/>
          <w:szCs w:val="24"/>
        </w:rPr>
        <w:t>PKI/PMI系统</w:t>
      </w:r>
    </w:p>
    <w:tbl>
      <w:tblPr>
        <w:tblStyle w:val="23"/>
        <w:tblW w:w="83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7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noWrap w:val="0"/>
            <w:vAlign w:val="top"/>
          </w:tcPr>
          <w:p>
            <w:pPr>
              <w:jc w:val="center"/>
              <w:rPr>
                <w:rFonts w:hint="eastAsia" w:ascii="宋体" w:hAnsi="宋体" w:eastAsia="宋体" w:cs="宋体"/>
                <w:b/>
                <w:sz w:val="24"/>
                <w:szCs w:val="24"/>
              </w:rPr>
            </w:pPr>
            <w:r>
              <w:rPr>
                <w:rFonts w:hint="eastAsia" w:ascii="宋体" w:hAnsi="宋体" w:eastAsia="宋体" w:cs="宋体"/>
                <w:b/>
                <w:sz w:val="24"/>
                <w:szCs w:val="24"/>
              </w:rPr>
              <w:t>指标项</w:t>
            </w:r>
          </w:p>
        </w:tc>
        <w:tc>
          <w:tcPr>
            <w:tcW w:w="7086" w:type="dxa"/>
            <w:noWrap w:val="0"/>
            <w:vAlign w:val="top"/>
          </w:tcPr>
          <w:p>
            <w:pPr>
              <w:jc w:val="center"/>
              <w:rPr>
                <w:rFonts w:hint="eastAsia" w:ascii="宋体" w:hAnsi="宋体" w:eastAsia="宋体" w:cs="宋体"/>
                <w:b/>
                <w:sz w:val="24"/>
                <w:szCs w:val="24"/>
              </w:rPr>
            </w:pPr>
            <w:r>
              <w:rPr>
                <w:rFonts w:hint="eastAsia" w:ascii="宋体" w:hAnsi="宋体" w:eastAsia="宋体" w:cs="宋体"/>
                <w:b/>
                <w:sz w:val="24"/>
                <w:szCs w:val="24"/>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noWrap w:val="0"/>
            <w:vAlign w:val="top"/>
          </w:tcPr>
          <w:p>
            <w:pPr>
              <w:jc w:val="center"/>
              <w:rPr>
                <w:rFonts w:hint="eastAsia" w:ascii="宋体" w:hAnsi="宋体" w:eastAsia="宋体" w:cs="宋体"/>
                <w:b/>
                <w:sz w:val="24"/>
                <w:szCs w:val="24"/>
              </w:rPr>
            </w:pPr>
            <w:r>
              <w:rPr>
                <w:rFonts w:hint="eastAsia" w:ascii="宋体" w:hAnsi="宋体" w:eastAsia="宋体" w:cs="宋体"/>
                <w:kern w:val="0"/>
                <w:sz w:val="24"/>
                <w:szCs w:val="24"/>
              </w:rPr>
              <w:t>★</w:t>
            </w:r>
            <w:r>
              <w:rPr>
                <w:rFonts w:hint="eastAsia" w:ascii="宋体" w:hAnsi="宋体" w:eastAsia="宋体" w:cs="宋体"/>
                <w:sz w:val="24"/>
                <w:szCs w:val="24"/>
              </w:rPr>
              <w:t>基本要求</w:t>
            </w:r>
          </w:p>
        </w:tc>
        <w:tc>
          <w:tcPr>
            <w:tcW w:w="7086"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为了安全认证网关能够与身份认证服务器系统兼容联动用户属性信息和策略发布，须同一品牌。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restart"/>
            <w:noWrap w:val="0"/>
            <w:vAlign w:val="center"/>
          </w:tcPr>
          <w:p>
            <w:pPr>
              <w:jc w:val="center"/>
              <w:rPr>
                <w:rFonts w:hint="eastAsia" w:ascii="宋体" w:hAnsi="宋体" w:eastAsia="宋体" w:cs="宋体"/>
                <w:kern w:val="0"/>
                <w:sz w:val="24"/>
                <w:szCs w:val="24"/>
              </w:rPr>
            </w:pPr>
            <w:r>
              <w:rPr>
                <w:rFonts w:hint="eastAsia" w:ascii="宋体" w:hAnsi="宋体" w:eastAsia="宋体" w:cs="宋体"/>
                <w:sz w:val="24"/>
                <w:szCs w:val="24"/>
              </w:rPr>
              <w:t>集中认证网关</w:t>
            </w:r>
          </w:p>
        </w:tc>
        <w:tc>
          <w:tcPr>
            <w:tcW w:w="7086" w:type="dxa"/>
            <w:noWrap w:val="0"/>
            <w:vAlign w:val="top"/>
          </w:tcPr>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设备规格性能：标准2U安全专用设备，</w:t>
            </w:r>
            <w:r>
              <w:rPr>
                <w:rFonts w:hint="eastAsia" w:ascii="宋体" w:hAnsi="宋体" w:cs="宋体"/>
                <w:color w:val="FF0000"/>
                <w:kern w:val="0"/>
                <w:sz w:val="24"/>
                <w:szCs w:val="24"/>
                <w:lang w:val="en-US" w:eastAsia="zh-CN" w:bidi="ar"/>
              </w:rPr>
              <w:t>4</w:t>
            </w:r>
            <w:r>
              <w:rPr>
                <w:rFonts w:hint="eastAsia" w:ascii="宋体" w:hAnsi="宋体" w:eastAsia="宋体" w:cs="宋体"/>
                <w:kern w:val="0"/>
                <w:sz w:val="24"/>
                <w:szCs w:val="24"/>
                <w:lang w:bidi="ar"/>
              </w:rPr>
              <w:t>个千兆网口，冗余电源；最大新建连接数（RSA）：5000次/秒;最大新建连接数（SM2）：5000次秒;每秒完成交易数(TPS)：25000次/秒;最大并发连接数：10000;最大吞吐流量：≥850Mbps。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noWrap w:val="0"/>
            <w:vAlign w:val="center"/>
          </w:tcPr>
          <w:p>
            <w:pPr>
              <w:jc w:val="center"/>
              <w:rPr>
                <w:rFonts w:hint="eastAsia" w:ascii="宋体" w:hAnsi="宋体" w:eastAsia="宋体" w:cs="宋体"/>
                <w:kern w:val="0"/>
                <w:sz w:val="24"/>
                <w:szCs w:val="24"/>
              </w:rPr>
            </w:pPr>
          </w:p>
        </w:tc>
        <w:tc>
          <w:tcPr>
            <w:tcW w:w="7086"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系统同时支持国密SM2算法和RSA算法。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noWrap w:val="0"/>
            <w:vAlign w:val="center"/>
          </w:tcPr>
          <w:p>
            <w:pPr>
              <w:jc w:val="center"/>
              <w:rPr>
                <w:rFonts w:hint="eastAsia" w:ascii="宋体" w:hAnsi="宋体" w:eastAsia="宋体" w:cs="宋体"/>
                <w:kern w:val="0"/>
                <w:sz w:val="24"/>
                <w:szCs w:val="24"/>
              </w:rPr>
            </w:pPr>
          </w:p>
        </w:tc>
        <w:tc>
          <w:tcPr>
            <w:tcW w:w="7086"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支持RSA/SM2证书自适应，系统配置RSA和SM2两张证书，并同时启用，根据客户端的算法能力进行自动适应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noWrap w:val="0"/>
            <w:vAlign w:val="center"/>
          </w:tcPr>
          <w:p>
            <w:pPr>
              <w:jc w:val="center"/>
              <w:rPr>
                <w:rFonts w:hint="eastAsia" w:ascii="宋体" w:hAnsi="宋体" w:eastAsia="宋体" w:cs="宋体"/>
                <w:kern w:val="0"/>
                <w:sz w:val="24"/>
                <w:szCs w:val="24"/>
              </w:rPr>
            </w:pPr>
          </w:p>
        </w:tc>
        <w:tc>
          <w:tcPr>
            <w:tcW w:w="7086" w:type="dxa"/>
            <w:noWrap w:val="0"/>
            <w:vAlign w:val="top"/>
          </w:tcPr>
          <w:p>
            <w:pPr>
              <w:rPr>
                <w:rFonts w:hint="eastAsia"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sz w:val="24"/>
                <w:szCs w:val="24"/>
              </w:rPr>
              <w:t>支持多种认证策略方式、使用的协议、加密强度、以及是否传递相关信息等进行控制满足不同需要。（提供相关功能截图）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noWrap w:val="0"/>
            <w:vAlign w:val="center"/>
          </w:tcPr>
          <w:p>
            <w:pPr>
              <w:jc w:val="center"/>
              <w:rPr>
                <w:rFonts w:hint="eastAsia" w:ascii="宋体" w:hAnsi="宋体" w:eastAsia="宋体" w:cs="宋体"/>
                <w:kern w:val="0"/>
                <w:sz w:val="24"/>
                <w:szCs w:val="24"/>
              </w:rPr>
            </w:pPr>
          </w:p>
        </w:tc>
        <w:tc>
          <w:tcPr>
            <w:tcW w:w="7086"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支持多应用类型支持，可以对B/S应用进行安全防护外，对于FTP、Telnet、SSH、远程桌面、SMTP、POP3等多种非B/S应用也可以进行安全防护。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noWrap w:val="0"/>
            <w:vAlign w:val="center"/>
          </w:tcPr>
          <w:p>
            <w:pPr>
              <w:jc w:val="center"/>
              <w:rPr>
                <w:rFonts w:hint="eastAsia" w:ascii="宋体" w:hAnsi="宋体" w:eastAsia="宋体" w:cs="宋体"/>
                <w:kern w:val="0"/>
                <w:sz w:val="24"/>
                <w:szCs w:val="24"/>
              </w:rPr>
            </w:pPr>
          </w:p>
        </w:tc>
        <w:tc>
          <w:tcPr>
            <w:tcW w:w="7086"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支持认证服务连接模式正反代理、协议类型、数据流向，定义多个服务，根据业务实际需求可灵活多变支持。（提供相关功能截图）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noWrap w:val="0"/>
            <w:vAlign w:val="center"/>
          </w:tcPr>
          <w:p>
            <w:pPr>
              <w:jc w:val="center"/>
              <w:rPr>
                <w:rFonts w:hint="eastAsia" w:ascii="宋体" w:hAnsi="宋体" w:eastAsia="宋体" w:cs="宋体"/>
                <w:kern w:val="0"/>
                <w:sz w:val="24"/>
                <w:szCs w:val="24"/>
              </w:rPr>
            </w:pPr>
          </w:p>
        </w:tc>
        <w:tc>
          <w:tcPr>
            <w:tcW w:w="7086"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支持多服务功能，支持创建多个SSL服务，保护不同的应用服务，也支持同一个SSL服务保护多个应用服务。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noWrap w:val="0"/>
            <w:vAlign w:val="center"/>
          </w:tcPr>
          <w:p>
            <w:pPr>
              <w:jc w:val="center"/>
              <w:rPr>
                <w:rFonts w:hint="eastAsia" w:ascii="宋体" w:hAnsi="宋体" w:eastAsia="宋体" w:cs="宋体"/>
                <w:kern w:val="0"/>
                <w:sz w:val="24"/>
                <w:szCs w:val="24"/>
              </w:rPr>
            </w:pPr>
          </w:p>
        </w:tc>
        <w:tc>
          <w:tcPr>
            <w:tcW w:w="7086"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支持与</w:t>
            </w:r>
            <w:r>
              <w:rPr>
                <w:rFonts w:hint="eastAsia" w:ascii="宋体" w:hAnsi="宋体" w:eastAsia="宋体" w:cs="宋体"/>
                <w:kern w:val="0"/>
                <w:sz w:val="24"/>
                <w:szCs w:val="24"/>
                <w:lang w:bidi="ar"/>
              </w:rPr>
              <w:t>数字证书认证系统</w:t>
            </w:r>
            <w:r>
              <w:rPr>
                <w:rFonts w:hint="eastAsia" w:ascii="宋体" w:hAnsi="宋体" w:eastAsia="宋体" w:cs="宋体"/>
                <w:sz w:val="24"/>
                <w:szCs w:val="24"/>
              </w:rPr>
              <w:t>无缝兼容同步获取证书CRL吊销列表及黑名单，对用户证书有效性验证。提供黑名单服务配置、LDAP服务配置、黑名单上传下载配置、黑名单自动更新、黑名单管理（提供相关功能截图）。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noWrap w:val="0"/>
            <w:vAlign w:val="center"/>
          </w:tcPr>
          <w:p>
            <w:pPr>
              <w:jc w:val="center"/>
              <w:rPr>
                <w:rFonts w:hint="eastAsia" w:ascii="宋体" w:hAnsi="宋体" w:eastAsia="宋体" w:cs="宋体"/>
                <w:kern w:val="0"/>
                <w:sz w:val="24"/>
                <w:szCs w:val="24"/>
              </w:rPr>
            </w:pPr>
          </w:p>
        </w:tc>
        <w:tc>
          <w:tcPr>
            <w:tcW w:w="7086"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支持认证一致性，通过特有的HTTP注入技术将根据不同的公安行业用户的证书信息传送给后台应用，使应用无需证书接口开发就可以方便的获取用户证书信息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noWrap w:val="0"/>
            <w:vAlign w:val="center"/>
          </w:tcPr>
          <w:p>
            <w:pPr>
              <w:jc w:val="center"/>
              <w:rPr>
                <w:rFonts w:hint="eastAsia" w:ascii="宋体" w:hAnsi="宋体" w:eastAsia="宋体" w:cs="宋体"/>
                <w:kern w:val="0"/>
                <w:sz w:val="24"/>
                <w:szCs w:val="24"/>
              </w:rPr>
            </w:pPr>
          </w:p>
        </w:tc>
        <w:tc>
          <w:tcPr>
            <w:tcW w:w="7086" w:type="dxa"/>
            <w:noWrap w:val="0"/>
            <w:vAlign w:val="top"/>
          </w:tcPr>
          <w:p>
            <w:pPr>
              <w:rPr>
                <w:rFonts w:hint="eastAsia" w:ascii="宋体" w:hAnsi="宋体" w:eastAsia="宋体" w:cs="宋体"/>
                <w:sz w:val="24"/>
                <w:szCs w:val="24"/>
              </w:rPr>
            </w:pPr>
            <w:r>
              <w:rPr>
                <w:rFonts w:hint="eastAsia" w:ascii="宋体" w:hAnsi="宋体" w:eastAsia="宋体" w:cs="宋体"/>
                <w:kern w:val="0"/>
                <w:sz w:val="24"/>
                <w:szCs w:val="24"/>
              </w:rPr>
              <w:t>★</w:t>
            </w:r>
            <w:r>
              <w:rPr>
                <w:rFonts w:hint="eastAsia" w:ascii="宋体" w:hAnsi="宋体" w:eastAsia="宋体" w:cs="宋体"/>
                <w:sz w:val="24"/>
                <w:szCs w:val="24"/>
              </w:rPr>
              <w:t>支持证书信息绑定，将信息绑定到cookie、URL和HTTP的位置，也可绑定文件类型，支持自定义，显示对绑定内容和站点列表的查看。（提供相关功能截图）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noWrap w:val="0"/>
            <w:vAlign w:val="center"/>
          </w:tcPr>
          <w:p>
            <w:pPr>
              <w:jc w:val="center"/>
              <w:rPr>
                <w:rFonts w:hint="eastAsia" w:ascii="宋体" w:hAnsi="宋体" w:eastAsia="宋体" w:cs="宋体"/>
                <w:kern w:val="0"/>
                <w:sz w:val="24"/>
                <w:szCs w:val="24"/>
              </w:rPr>
            </w:pPr>
          </w:p>
        </w:tc>
        <w:tc>
          <w:tcPr>
            <w:tcW w:w="7086"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支持访问控制功能，实现URL级别的访问控制，对于不同用户、不同角色实现不同的控制。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noWrap w:val="0"/>
            <w:vAlign w:val="center"/>
          </w:tcPr>
          <w:p>
            <w:pPr>
              <w:jc w:val="center"/>
              <w:rPr>
                <w:rFonts w:hint="eastAsia" w:ascii="宋体" w:hAnsi="宋体" w:eastAsia="宋体" w:cs="宋体"/>
                <w:kern w:val="0"/>
                <w:sz w:val="24"/>
                <w:szCs w:val="24"/>
              </w:rPr>
            </w:pPr>
          </w:p>
        </w:tc>
        <w:tc>
          <w:tcPr>
            <w:tcW w:w="7086"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支持单点登录，采用用户映射技术，将证书映射为原有系统中的账户并进行自动登录，应用无需修改的情况下实现单点登录。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noWrap w:val="0"/>
            <w:vAlign w:val="center"/>
          </w:tcPr>
          <w:p>
            <w:pPr>
              <w:jc w:val="center"/>
              <w:rPr>
                <w:rFonts w:hint="eastAsia" w:ascii="宋体" w:hAnsi="宋体" w:eastAsia="宋体" w:cs="宋体"/>
                <w:kern w:val="0"/>
                <w:sz w:val="24"/>
                <w:szCs w:val="24"/>
              </w:rPr>
            </w:pPr>
          </w:p>
        </w:tc>
        <w:tc>
          <w:tcPr>
            <w:tcW w:w="7086"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支持策略统一下发，系统实现客户端策略的统一下发，用户无需对客户端进行任何配置。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noWrap w:val="0"/>
            <w:vAlign w:val="center"/>
          </w:tcPr>
          <w:p>
            <w:pPr>
              <w:jc w:val="center"/>
              <w:rPr>
                <w:rFonts w:hint="eastAsia" w:ascii="宋体" w:hAnsi="宋体" w:eastAsia="宋体" w:cs="宋体"/>
                <w:kern w:val="0"/>
                <w:sz w:val="24"/>
                <w:szCs w:val="24"/>
              </w:rPr>
            </w:pPr>
          </w:p>
        </w:tc>
        <w:tc>
          <w:tcPr>
            <w:tcW w:w="7086"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支持与</w:t>
            </w:r>
            <w:r>
              <w:rPr>
                <w:rFonts w:hint="eastAsia" w:ascii="宋体" w:hAnsi="宋体" w:eastAsia="宋体" w:cs="宋体"/>
                <w:kern w:val="0"/>
                <w:sz w:val="24"/>
                <w:szCs w:val="24"/>
                <w:lang w:bidi="ar"/>
              </w:rPr>
              <w:t>数字证书认证系统无缝兼容同步用户注册信息、机构角色，结合证书状态动态策略发布，实现对用户使用证书的权限监管。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noWrap w:val="0"/>
            <w:vAlign w:val="center"/>
          </w:tcPr>
          <w:p>
            <w:pPr>
              <w:jc w:val="center"/>
              <w:rPr>
                <w:rFonts w:hint="eastAsia" w:ascii="宋体" w:hAnsi="宋体" w:eastAsia="宋体" w:cs="宋体"/>
                <w:kern w:val="0"/>
                <w:sz w:val="24"/>
                <w:szCs w:val="24"/>
              </w:rPr>
            </w:pPr>
          </w:p>
        </w:tc>
        <w:tc>
          <w:tcPr>
            <w:tcW w:w="7086"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支持信息统计，系统能够对用户连接数、应用访问情况，系统资源占用等信息进行详细统计。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noWrap w:val="0"/>
            <w:vAlign w:val="center"/>
          </w:tcPr>
          <w:p>
            <w:pPr>
              <w:jc w:val="center"/>
              <w:rPr>
                <w:rFonts w:hint="eastAsia" w:ascii="宋体" w:hAnsi="宋体" w:eastAsia="宋体" w:cs="宋体"/>
                <w:kern w:val="0"/>
                <w:sz w:val="24"/>
                <w:szCs w:val="24"/>
              </w:rPr>
            </w:pPr>
          </w:p>
        </w:tc>
        <w:tc>
          <w:tcPr>
            <w:tcW w:w="7086"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支持性能检测功能，系统支持对CPU、内存、磁盘容量、连接数、进程等资源情况的收集，便于系统的维护和问题定位。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noWrap w:val="0"/>
            <w:vAlign w:val="center"/>
          </w:tcPr>
          <w:p>
            <w:pPr>
              <w:jc w:val="center"/>
              <w:rPr>
                <w:rFonts w:hint="eastAsia" w:ascii="宋体" w:hAnsi="宋体" w:eastAsia="宋体" w:cs="宋体"/>
                <w:kern w:val="0"/>
                <w:sz w:val="24"/>
                <w:szCs w:val="24"/>
              </w:rPr>
            </w:pPr>
          </w:p>
        </w:tc>
        <w:tc>
          <w:tcPr>
            <w:tcW w:w="7086"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具备自主研发知识产权的软件著作权证书。</w:t>
            </w:r>
          </w:p>
          <w:p>
            <w:pPr>
              <w:rPr>
                <w:rFonts w:hint="eastAsia" w:ascii="宋体" w:hAnsi="宋体" w:eastAsia="宋体" w:cs="宋体"/>
                <w:kern w:val="0"/>
                <w:sz w:val="24"/>
                <w:szCs w:val="24"/>
              </w:rPr>
            </w:pPr>
            <w:r>
              <w:rPr>
                <w:rFonts w:hint="eastAsia" w:ascii="宋体" w:hAnsi="宋体" w:eastAsia="宋体" w:cs="宋体"/>
                <w:color w:val="FF0000"/>
                <w:sz w:val="24"/>
                <w:szCs w:val="24"/>
              </w:rPr>
              <w:t>具备符合通过公安部测试的集中认证网关产品目录中的产品。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restart"/>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lang w:bidi="ar"/>
              </w:rPr>
              <w:t>身份认证服务器</w:t>
            </w:r>
          </w:p>
        </w:tc>
        <w:tc>
          <w:tcPr>
            <w:tcW w:w="7086" w:type="dxa"/>
            <w:noWrap w:val="0"/>
            <w:vAlign w:val="top"/>
          </w:tcPr>
          <w:p>
            <w:pPr>
              <w:widowControl/>
              <w:adjustRightInd w:val="0"/>
              <w:snapToGrid w:val="0"/>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性能指标：平均响应时间（申请单张证书 ms）：&lt;500ms；单位时间最大处理能力：&gt;6000张/小时；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noWrap w:val="0"/>
            <w:vAlign w:val="center"/>
          </w:tcPr>
          <w:p>
            <w:pPr>
              <w:jc w:val="center"/>
              <w:rPr>
                <w:rFonts w:hint="eastAsia" w:ascii="宋体" w:hAnsi="宋体" w:eastAsia="宋体" w:cs="宋体"/>
                <w:kern w:val="0"/>
                <w:sz w:val="24"/>
                <w:szCs w:val="24"/>
              </w:rPr>
            </w:pPr>
          </w:p>
        </w:tc>
        <w:tc>
          <w:tcPr>
            <w:tcW w:w="7086" w:type="dxa"/>
            <w:noWrap w:val="0"/>
            <w:vAlign w:val="top"/>
          </w:tcPr>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自主知识产权，符合国密算法标准规范，同和符合国际通用标准规范，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noWrap w:val="0"/>
            <w:vAlign w:val="center"/>
          </w:tcPr>
          <w:p>
            <w:pPr>
              <w:jc w:val="center"/>
              <w:rPr>
                <w:rFonts w:hint="eastAsia" w:ascii="宋体" w:hAnsi="宋体" w:eastAsia="宋体" w:cs="宋体"/>
                <w:kern w:val="0"/>
                <w:sz w:val="24"/>
                <w:szCs w:val="24"/>
              </w:rPr>
            </w:pPr>
          </w:p>
        </w:tc>
        <w:tc>
          <w:tcPr>
            <w:tcW w:w="7086" w:type="dxa"/>
            <w:noWrap w:val="0"/>
            <w:vAlign w:val="top"/>
          </w:tcPr>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支持RSA算法和国密SM2算法的数字证书发放；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noWrap w:val="0"/>
            <w:vAlign w:val="center"/>
          </w:tcPr>
          <w:p>
            <w:pPr>
              <w:jc w:val="center"/>
              <w:rPr>
                <w:rFonts w:hint="eastAsia" w:ascii="宋体" w:hAnsi="宋体" w:eastAsia="宋体" w:cs="宋体"/>
                <w:kern w:val="0"/>
                <w:sz w:val="24"/>
                <w:szCs w:val="24"/>
              </w:rPr>
            </w:pPr>
          </w:p>
        </w:tc>
        <w:tc>
          <w:tcPr>
            <w:tcW w:w="7086" w:type="dxa"/>
            <w:noWrap w:val="0"/>
            <w:vAlign w:val="top"/>
          </w:tcPr>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完全自有的一体化管理和证书的命周期管理，内含用户注册、证书签发、证书发布、密钥管理等核心功能；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noWrap w:val="0"/>
            <w:vAlign w:val="center"/>
          </w:tcPr>
          <w:p>
            <w:pPr>
              <w:jc w:val="center"/>
              <w:rPr>
                <w:rFonts w:hint="eastAsia" w:ascii="宋体" w:hAnsi="宋体" w:eastAsia="宋体" w:cs="宋体"/>
                <w:kern w:val="0"/>
                <w:sz w:val="24"/>
                <w:szCs w:val="24"/>
              </w:rPr>
            </w:pPr>
          </w:p>
        </w:tc>
        <w:tc>
          <w:tcPr>
            <w:tcW w:w="7086" w:type="dxa"/>
            <w:noWrap w:val="0"/>
            <w:vAlign w:val="top"/>
          </w:tcPr>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基于B/S结构的管理界面，采用https安全远程管理机制进行安全登录；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noWrap w:val="0"/>
            <w:vAlign w:val="center"/>
          </w:tcPr>
          <w:p>
            <w:pPr>
              <w:jc w:val="center"/>
              <w:rPr>
                <w:rFonts w:hint="eastAsia" w:ascii="宋体" w:hAnsi="宋体" w:eastAsia="宋体" w:cs="宋体"/>
                <w:kern w:val="0"/>
                <w:sz w:val="24"/>
                <w:szCs w:val="24"/>
              </w:rPr>
            </w:pPr>
          </w:p>
        </w:tc>
        <w:tc>
          <w:tcPr>
            <w:tcW w:w="7086" w:type="dxa"/>
            <w:noWrap w:val="0"/>
            <w:vAlign w:val="top"/>
          </w:tcPr>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支持遵循 X.509 V3 的证书格式标准，并且支持 SSL 协议和 S/MIME 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noWrap w:val="0"/>
            <w:vAlign w:val="center"/>
          </w:tcPr>
          <w:p>
            <w:pPr>
              <w:jc w:val="center"/>
              <w:rPr>
                <w:rFonts w:hint="eastAsia" w:ascii="宋体" w:hAnsi="宋体" w:eastAsia="宋体" w:cs="宋体"/>
                <w:kern w:val="0"/>
                <w:sz w:val="24"/>
                <w:szCs w:val="24"/>
              </w:rPr>
            </w:pPr>
          </w:p>
        </w:tc>
        <w:tc>
          <w:tcPr>
            <w:tcW w:w="7086" w:type="dxa"/>
            <w:noWrap w:val="0"/>
            <w:vAlign w:val="top"/>
          </w:tcPr>
          <w:p>
            <w:pPr>
              <w:widowControl/>
              <w:adjustRightInd w:val="0"/>
              <w:snapToGrid w:val="0"/>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支持证书签发：签发各种实体证书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noWrap w:val="0"/>
            <w:vAlign w:val="center"/>
          </w:tcPr>
          <w:p>
            <w:pPr>
              <w:jc w:val="center"/>
              <w:rPr>
                <w:rFonts w:hint="eastAsia" w:ascii="宋体" w:hAnsi="宋体" w:eastAsia="宋体" w:cs="宋体"/>
                <w:kern w:val="0"/>
                <w:sz w:val="24"/>
                <w:szCs w:val="24"/>
              </w:rPr>
            </w:pPr>
          </w:p>
        </w:tc>
        <w:tc>
          <w:tcPr>
            <w:tcW w:w="7086" w:type="dxa"/>
            <w:noWrap w:val="0"/>
            <w:vAlign w:val="top"/>
          </w:tcPr>
          <w:p>
            <w:pPr>
              <w:widowControl/>
              <w:adjustRightInd w:val="0"/>
              <w:snapToGrid w:val="0"/>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支持证书延期：根据要求延期证书，包括由注册发起的证书延期功能；由用户发起的在线证书延期申请功能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noWrap w:val="0"/>
            <w:vAlign w:val="center"/>
          </w:tcPr>
          <w:p>
            <w:pPr>
              <w:jc w:val="center"/>
              <w:rPr>
                <w:rFonts w:hint="eastAsia" w:ascii="宋体" w:hAnsi="宋体" w:eastAsia="宋体" w:cs="宋体"/>
                <w:kern w:val="0"/>
                <w:sz w:val="24"/>
                <w:szCs w:val="24"/>
              </w:rPr>
            </w:pPr>
          </w:p>
        </w:tc>
        <w:tc>
          <w:tcPr>
            <w:tcW w:w="7086" w:type="dxa"/>
            <w:noWrap w:val="0"/>
            <w:vAlign w:val="top"/>
          </w:tcPr>
          <w:p>
            <w:pPr>
              <w:widowControl/>
              <w:adjustRightInd w:val="0"/>
              <w:snapToGrid w:val="0"/>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支持证书更新：能够根据要求，实现证书的更新。包括证书用户信息更新，用户的密钥的更新等。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noWrap w:val="0"/>
            <w:vAlign w:val="center"/>
          </w:tcPr>
          <w:p>
            <w:pPr>
              <w:jc w:val="center"/>
              <w:rPr>
                <w:rFonts w:hint="eastAsia" w:ascii="宋体" w:hAnsi="宋体" w:eastAsia="宋体" w:cs="宋体"/>
                <w:kern w:val="0"/>
                <w:sz w:val="24"/>
                <w:szCs w:val="24"/>
              </w:rPr>
            </w:pPr>
          </w:p>
        </w:tc>
        <w:tc>
          <w:tcPr>
            <w:tcW w:w="7086" w:type="dxa"/>
            <w:noWrap w:val="0"/>
            <w:vAlign w:val="top"/>
          </w:tcPr>
          <w:p>
            <w:pPr>
              <w:widowControl/>
              <w:adjustRightInd w:val="0"/>
              <w:snapToGrid w:val="0"/>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支持证书的冻结和解冻：由管理方发起，对证书进行冻结，使证书列入黑名单，暂时因为失效而无法使用；同时，也可对被冻结的证书进行解冻操作，使该证书恢复正常的使用功能。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noWrap w:val="0"/>
            <w:vAlign w:val="center"/>
          </w:tcPr>
          <w:p>
            <w:pPr>
              <w:jc w:val="center"/>
              <w:rPr>
                <w:rFonts w:hint="eastAsia" w:ascii="宋体" w:hAnsi="宋体" w:eastAsia="宋体" w:cs="宋体"/>
                <w:kern w:val="0"/>
                <w:sz w:val="24"/>
                <w:szCs w:val="24"/>
              </w:rPr>
            </w:pPr>
          </w:p>
        </w:tc>
        <w:tc>
          <w:tcPr>
            <w:tcW w:w="7086" w:type="dxa"/>
            <w:noWrap w:val="0"/>
            <w:vAlign w:val="top"/>
          </w:tcPr>
          <w:p>
            <w:pPr>
              <w:widowControl/>
              <w:adjustRightInd w:val="0"/>
              <w:snapToGrid w:val="0"/>
              <w:jc w:val="left"/>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支持证书废除：吊销实体证书，分为CA中心强制废除和用户申请废除。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noWrap w:val="0"/>
            <w:vAlign w:val="center"/>
          </w:tcPr>
          <w:p>
            <w:pPr>
              <w:jc w:val="center"/>
              <w:rPr>
                <w:rFonts w:hint="eastAsia" w:ascii="宋体" w:hAnsi="宋体" w:eastAsia="宋体" w:cs="宋体"/>
                <w:kern w:val="0"/>
                <w:sz w:val="24"/>
                <w:szCs w:val="24"/>
              </w:rPr>
            </w:pPr>
          </w:p>
        </w:tc>
        <w:tc>
          <w:tcPr>
            <w:tcW w:w="7086" w:type="dxa"/>
            <w:noWrap w:val="0"/>
            <w:vAlign w:val="top"/>
          </w:tcPr>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支持证书恢复：CA中心根据系统策略，由注册管理员将废除原因为“暂时不使用”的已废除的用户证书进行恢复操作。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noWrap w:val="0"/>
            <w:vAlign w:val="center"/>
          </w:tcPr>
          <w:p>
            <w:pPr>
              <w:jc w:val="center"/>
              <w:rPr>
                <w:rFonts w:hint="eastAsia" w:ascii="宋体" w:hAnsi="宋体" w:eastAsia="宋体" w:cs="宋体"/>
                <w:kern w:val="0"/>
                <w:sz w:val="24"/>
                <w:szCs w:val="24"/>
              </w:rPr>
            </w:pPr>
          </w:p>
        </w:tc>
        <w:tc>
          <w:tcPr>
            <w:tcW w:w="7086" w:type="dxa"/>
            <w:noWrap w:val="0"/>
            <w:vAlign w:val="top"/>
          </w:tcPr>
          <w:p>
            <w:pPr>
              <w:jc w:val="left"/>
              <w:rPr>
                <w:rFonts w:hint="eastAsia" w:ascii="宋体" w:hAnsi="宋体" w:eastAsia="宋体" w:cs="宋体"/>
                <w:kern w:val="0"/>
                <w:sz w:val="24"/>
                <w:szCs w:val="24"/>
              </w:rPr>
            </w:pPr>
            <w:r>
              <w:rPr>
                <w:rFonts w:hint="eastAsia" w:ascii="宋体" w:hAnsi="宋体" w:eastAsia="宋体" w:cs="宋体"/>
                <w:kern w:val="0"/>
                <w:sz w:val="24"/>
                <w:szCs w:val="24"/>
                <w:lang w:bidi="ar"/>
              </w:rPr>
              <w:t>支持系统内置LDAP服务，基于LDAP证书发布，基于LDAP和HTTP的CRL发布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noWrap w:val="0"/>
            <w:vAlign w:val="center"/>
          </w:tcPr>
          <w:p>
            <w:pPr>
              <w:jc w:val="center"/>
              <w:rPr>
                <w:rFonts w:hint="eastAsia" w:ascii="宋体" w:hAnsi="宋体" w:eastAsia="宋体" w:cs="宋体"/>
                <w:kern w:val="0"/>
                <w:sz w:val="24"/>
                <w:szCs w:val="24"/>
              </w:rPr>
            </w:pPr>
          </w:p>
        </w:tc>
        <w:tc>
          <w:tcPr>
            <w:tcW w:w="7086" w:type="dxa"/>
            <w:noWrap w:val="0"/>
            <w:vAlign w:val="top"/>
          </w:tcPr>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支持配合根CA部署为二级CA的模式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noWrap w:val="0"/>
            <w:vAlign w:val="center"/>
          </w:tcPr>
          <w:p>
            <w:pPr>
              <w:jc w:val="center"/>
              <w:rPr>
                <w:rFonts w:hint="eastAsia" w:ascii="宋体" w:hAnsi="宋体" w:eastAsia="宋体" w:cs="宋体"/>
                <w:kern w:val="0"/>
                <w:sz w:val="24"/>
                <w:szCs w:val="24"/>
              </w:rPr>
            </w:pPr>
          </w:p>
        </w:tc>
        <w:tc>
          <w:tcPr>
            <w:tcW w:w="7086" w:type="dxa"/>
            <w:noWrap w:val="0"/>
            <w:vAlign w:val="top"/>
          </w:tcPr>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支持签发多应用用户证书，SSL 客户端证书，设备证书，VPN 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noWrap w:val="0"/>
            <w:vAlign w:val="center"/>
          </w:tcPr>
          <w:p>
            <w:pPr>
              <w:jc w:val="center"/>
              <w:rPr>
                <w:rFonts w:hint="eastAsia" w:ascii="宋体" w:hAnsi="宋体" w:eastAsia="宋体" w:cs="宋体"/>
                <w:kern w:val="0"/>
                <w:sz w:val="24"/>
                <w:szCs w:val="24"/>
              </w:rPr>
            </w:pPr>
          </w:p>
        </w:tc>
        <w:tc>
          <w:tcPr>
            <w:tcW w:w="7086" w:type="dxa"/>
            <w:noWrap w:val="0"/>
            <w:vAlign w:val="top"/>
          </w:tcPr>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支持签发电子邮件证书和对应的证书发布模式，可以使用OutLook，Foxmail、安全电子邮件等进行电子邮件的加密和签名。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noWrap w:val="0"/>
            <w:vAlign w:val="center"/>
          </w:tcPr>
          <w:p>
            <w:pPr>
              <w:jc w:val="center"/>
              <w:rPr>
                <w:rFonts w:hint="eastAsia" w:ascii="宋体" w:hAnsi="宋体" w:eastAsia="宋体" w:cs="宋体"/>
                <w:kern w:val="0"/>
                <w:sz w:val="24"/>
                <w:szCs w:val="24"/>
              </w:rPr>
            </w:pPr>
          </w:p>
        </w:tc>
        <w:tc>
          <w:tcPr>
            <w:tcW w:w="7086" w:type="dxa"/>
            <w:noWrap w:val="0"/>
            <w:vAlign w:val="top"/>
          </w:tcPr>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具有灵活的策略配置机制，可新增证书策略；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noWrap w:val="0"/>
            <w:vAlign w:val="center"/>
          </w:tcPr>
          <w:p>
            <w:pPr>
              <w:jc w:val="center"/>
              <w:rPr>
                <w:rFonts w:hint="eastAsia" w:ascii="宋体" w:hAnsi="宋体" w:eastAsia="宋体" w:cs="宋体"/>
                <w:kern w:val="0"/>
                <w:sz w:val="24"/>
                <w:szCs w:val="24"/>
              </w:rPr>
            </w:pPr>
          </w:p>
        </w:tc>
        <w:tc>
          <w:tcPr>
            <w:tcW w:w="7086" w:type="dxa"/>
            <w:noWrap w:val="0"/>
            <w:vAlign w:val="top"/>
          </w:tcPr>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支持使用CSP和SKF接口签发双证书，无缝接入新的证书介质；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noWrap w:val="0"/>
            <w:vAlign w:val="center"/>
          </w:tcPr>
          <w:p>
            <w:pPr>
              <w:jc w:val="center"/>
              <w:rPr>
                <w:rFonts w:hint="eastAsia" w:ascii="宋体" w:hAnsi="宋体" w:eastAsia="宋体" w:cs="宋体"/>
                <w:kern w:val="0"/>
                <w:sz w:val="24"/>
                <w:szCs w:val="24"/>
              </w:rPr>
            </w:pPr>
          </w:p>
        </w:tc>
        <w:tc>
          <w:tcPr>
            <w:tcW w:w="7086" w:type="dxa"/>
            <w:noWrap w:val="0"/>
            <w:vAlign w:val="top"/>
          </w:tcPr>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跨平台支持多种RSA、SM2算的的多种密码机和密码卡；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noWrap w:val="0"/>
            <w:vAlign w:val="center"/>
          </w:tcPr>
          <w:p>
            <w:pPr>
              <w:jc w:val="center"/>
              <w:rPr>
                <w:rFonts w:hint="eastAsia" w:ascii="宋体" w:hAnsi="宋体" w:eastAsia="宋体" w:cs="宋体"/>
                <w:kern w:val="0"/>
                <w:sz w:val="24"/>
                <w:szCs w:val="24"/>
              </w:rPr>
            </w:pPr>
          </w:p>
        </w:tc>
        <w:tc>
          <w:tcPr>
            <w:tcW w:w="7086" w:type="dxa"/>
            <w:noWrap w:val="0"/>
            <w:vAlign w:val="top"/>
          </w:tcPr>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支持系统管理：包含系统备份/恢复、系统在线升级、系统日志查询、License在线升级、管理员管理、网络配置等；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noWrap w:val="0"/>
            <w:vAlign w:val="center"/>
          </w:tcPr>
          <w:p>
            <w:pPr>
              <w:jc w:val="center"/>
              <w:rPr>
                <w:rFonts w:hint="eastAsia" w:ascii="宋体" w:hAnsi="宋体" w:eastAsia="宋体" w:cs="宋体"/>
                <w:kern w:val="0"/>
                <w:sz w:val="24"/>
                <w:szCs w:val="24"/>
              </w:rPr>
            </w:pPr>
          </w:p>
        </w:tc>
        <w:tc>
          <w:tcPr>
            <w:tcW w:w="7086" w:type="dxa"/>
            <w:noWrap w:val="0"/>
            <w:vAlign w:val="top"/>
          </w:tcPr>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支持10000license并支持继续扩容；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vMerge w:val="continue"/>
            <w:noWrap w:val="0"/>
            <w:vAlign w:val="center"/>
          </w:tcPr>
          <w:p>
            <w:pPr>
              <w:jc w:val="center"/>
              <w:rPr>
                <w:rFonts w:hint="eastAsia" w:ascii="宋体" w:hAnsi="宋体" w:eastAsia="宋体" w:cs="宋体"/>
                <w:kern w:val="0"/>
                <w:sz w:val="24"/>
                <w:szCs w:val="24"/>
              </w:rPr>
            </w:pPr>
          </w:p>
        </w:tc>
        <w:tc>
          <w:tcPr>
            <w:tcW w:w="7086" w:type="dxa"/>
            <w:noWrap w:val="0"/>
            <w:vAlign w:val="top"/>
          </w:tcPr>
          <w:p>
            <w:pPr>
              <w:rPr>
                <w:rFonts w:hint="eastAsia" w:ascii="宋体" w:hAnsi="宋体" w:eastAsia="宋体" w:cs="宋体"/>
                <w:sz w:val="24"/>
                <w:szCs w:val="24"/>
              </w:rPr>
            </w:pPr>
            <w:r>
              <w:rPr>
                <w:rFonts w:hint="eastAsia" w:ascii="宋体" w:hAnsi="宋体" w:eastAsia="宋体" w:cs="宋体"/>
                <w:sz w:val="24"/>
                <w:szCs w:val="24"/>
              </w:rPr>
              <w:t>具备自主研发知识产权的软件著作权证书。</w:t>
            </w:r>
          </w:p>
          <w:p>
            <w:pPr>
              <w:rPr>
                <w:rFonts w:hint="eastAsia" w:ascii="宋体" w:hAnsi="宋体" w:eastAsia="宋体" w:cs="宋体"/>
                <w:kern w:val="0"/>
                <w:sz w:val="24"/>
                <w:szCs w:val="24"/>
                <w:lang w:bidi="ar"/>
              </w:rPr>
            </w:pPr>
            <w:r>
              <w:rPr>
                <w:rFonts w:hint="eastAsia" w:ascii="宋体" w:hAnsi="宋体" w:eastAsia="宋体" w:cs="宋体"/>
                <w:kern w:val="0"/>
                <w:sz w:val="24"/>
                <w:szCs w:val="24"/>
                <w:lang w:bidi="ar"/>
              </w:rPr>
              <w:t>具备商用密码产品认证证书和计算机信息系统安全专用产品销售许可证。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43" w:type="dxa"/>
            <w:noWrap w:val="0"/>
            <w:vAlign w:val="center"/>
          </w:tcPr>
          <w:p>
            <w:pPr>
              <w:jc w:val="center"/>
              <w:rPr>
                <w:rFonts w:hint="eastAsia" w:ascii="宋体" w:hAnsi="宋体" w:eastAsia="宋体" w:cs="宋体"/>
                <w:kern w:val="0"/>
                <w:sz w:val="24"/>
                <w:szCs w:val="24"/>
              </w:rPr>
            </w:pPr>
            <w:r>
              <w:rPr>
                <w:rFonts w:hint="eastAsia" w:ascii="宋体" w:hAnsi="宋体" w:eastAsia="宋体" w:cs="宋体"/>
                <w:kern w:val="0"/>
                <w:sz w:val="24"/>
                <w:szCs w:val="24"/>
              </w:rPr>
              <w:t>质保</w:t>
            </w:r>
          </w:p>
        </w:tc>
        <w:tc>
          <w:tcPr>
            <w:tcW w:w="7086" w:type="dxa"/>
            <w:noWrap w:val="0"/>
            <w:vAlign w:val="center"/>
          </w:tcPr>
          <w:p>
            <w:pPr>
              <w:rPr>
                <w:rFonts w:hint="eastAsia" w:ascii="宋体" w:hAnsi="宋体" w:eastAsia="宋体" w:cs="宋体"/>
                <w:kern w:val="0"/>
                <w:sz w:val="24"/>
                <w:szCs w:val="24"/>
              </w:rPr>
            </w:pPr>
            <w:r>
              <w:rPr>
                <w:rFonts w:hint="eastAsia" w:ascii="宋体" w:hAnsi="宋体" w:eastAsia="宋体" w:cs="宋体"/>
                <w:sz w:val="24"/>
                <w:szCs w:val="24"/>
              </w:rPr>
              <w:t>原厂五年软硬件上门质保服务；中标后签订合同前提供原厂商质保承诺函。</w:t>
            </w:r>
          </w:p>
        </w:tc>
      </w:tr>
    </w:tbl>
    <w:p>
      <w:pPr>
        <w:rPr>
          <w:rFonts w:hint="eastAsia" w:ascii="宋体" w:hAnsi="宋体"/>
          <w:b/>
          <w:sz w:val="24"/>
          <w:szCs w:val="24"/>
        </w:rPr>
      </w:pPr>
      <w:r>
        <w:rPr>
          <w:rFonts w:hint="eastAsia" w:ascii="宋体" w:hAnsi="宋体"/>
          <w:b/>
          <w:sz w:val="24"/>
          <w:szCs w:val="24"/>
        </w:rPr>
        <w:t>32.显示器</w:t>
      </w:r>
    </w:p>
    <w:tbl>
      <w:tblPr>
        <w:tblStyle w:val="23"/>
        <w:tblW w:w="83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7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76" w:type="dxa"/>
            <w:noWrap w:val="0"/>
            <w:vAlign w:val="center"/>
          </w:tcPr>
          <w:p>
            <w:pPr>
              <w:jc w:val="center"/>
              <w:rPr>
                <w:rFonts w:ascii="仿宋" w:hAnsi="仿宋" w:eastAsia="仿宋" w:cs="宋体"/>
                <w:kern w:val="0"/>
                <w:sz w:val="24"/>
                <w:szCs w:val="24"/>
              </w:rPr>
            </w:pPr>
            <w:r>
              <w:rPr>
                <w:rFonts w:hint="eastAsia" w:ascii="宋体" w:hAnsi="宋体" w:cs="宋体"/>
                <w:color w:val="000000"/>
                <w:kern w:val="0"/>
                <w:sz w:val="24"/>
                <w:szCs w:val="24"/>
                <w:lang w:bidi="ar"/>
              </w:rPr>
              <w:t>显示器</w:t>
            </w:r>
          </w:p>
        </w:tc>
        <w:tc>
          <w:tcPr>
            <w:tcW w:w="7084" w:type="dxa"/>
            <w:noWrap w:val="0"/>
            <w:vAlign w:val="center"/>
          </w:tcPr>
          <w:p>
            <w:pPr>
              <w:rPr>
                <w:rFonts w:ascii="仿宋" w:hAnsi="仿宋" w:eastAsia="仿宋" w:cs="宋体"/>
                <w:kern w:val="0"/>
                <w:sz w:val="24"/>
                <w:szCs w:val="24"/>
              </w:rPr>
            </w:pPr>
            <w:r>
              <w:rPr>
                <w:rFonts w:hint="eastAsia" w:ascii="宋体" w:hAnsi="宋体" w:cs="宋体"/>
                <w:color w:val="000000"/>
                <w:kern w:val="0"/>
                <w:sz w:val="24"/>
                <w:szCs w:val="24"/>
                <w:lang w:bidi="ar"/>
              </w:rPr>
              <w:t>工业显示器，》75寸，》1080P，支持VGA\HDMI\DVI等多种接口，提供支架及底座。</w:t>
            </w:r>
          </w:p>
        </w:tc>
      </w:tr>
    </w:tbl>
    <w:p>
      <w:pPr>
        <w:pStyle w:val="2"/>
        <w:ind w:firstLine="0"/>
        <w:rPr>
          <w:rFonts w:hint="eastAsia" w:ascii="宋体" w:hAnsi="宋体"/>
          <w:b/>
          <w:sz w:val="24"/>
          <w:szCs w:val="24"/>
        </w:rPr>
      </w:pPr>
      <w:r>
        <w:rPr>
          <w:rFonts w:hint="eastAsia" w:ascii="宋体" w:hAnsi="宋体"/>
          <w:b/>
          <w:sz w:val="24"/>
          <w:szCs w:val="24"/>
        </w:rPr>
        <w:t>33.集成服务</w:t>
      </w:r>
    </w:p>
    <w:tbl>
      <w:tblPr>
        <w:tblStyle w:val="23"/>
        <w:tblW w:w="83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8"/>
        <w:gridCol w:w="7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8" w:type="dxa"/>
            <w:vMerge w:val="restart"/>
            <w:noWrap w:val="0"/>
            <w:vAlign w:val="center"/>
          </w:tcPr>
          <w:p>
            <w:pPr>
              <w:jc w:val="center"/>
              <w:rPr>
                <w:rFonts w:ascii="仿宋" w:hAnsi="仿宋" w:eastAsia="仿宋" w:cs="宋体"/>
                <w:kern w:val="0"/>
                <w:sz w:val="24"/>
                <w:szCs w:val="24"/>
              </w:rPr>
            </w:pPr>
            <w:r>
              <w:rPr>
                <w:rFonts w:ascii="宋体" w:hAnsi="宋体" w:cs="宋体"/>
                <w:color w:val="000000"/>
                <w:kern w:val="0"/>
                <w:sz w:val="24"/>
                <w:szCs w:val="24"/>
                <w:lang w:bidi="ar"/>
              </w:rPr>
              <w:t>集成服务</w:t>
            </w:r>
          </w:p>
        </w:tc>
        <w:tc>
          <w:tcPr>
            <w:tcW w:w="7041" w:type="dxa"/>
            <w:noWrap w:val="0"/>
            <w:vAlign w:val="center"/>
          </w:tcPr>
          <w:p>
            <w:pPr>
              <w:rPr>
                <w:rFonts w:ascii="宋体" w:hAnsi="宋体" w:cs="宋体"/>
                <w:sz w:val="24"/>
                <w:szCs w:val="24"/>
              </w:rPr>
            </w:pPr>
            <w:r>
              <w:rPr>
                <w:rFonts w:hint="eastAsia" w:ascii="宋体" w:hAnsi="宋体" w:cs="宋体"/>
                <w:sz w:val="24"/>
                <w:szCs w:val="24"/>
              </w:rPr>
              <w:t>本项目所有硬件产品要求提供原厂商工程师安装、配置服务，以及定期巡检服务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8" w:type="dxa"/>
            <w:vMerge w:val="continue"/>
            <w:noWrap w:val="0"/>
            <w:vAlign w:val="center"/>
          </w:tcPr>
          <w:p>
            <w:pPr>
              <w:jc w:val="center"/>
              <w:rPr>
                <w:rFonts w:ascii="宋体" w:hAnsi="宋体" w:cs="宋体"/>
                <w:color w:val="000000"/>
                <w:kern w:val="0"/>
                <w:sz w:val="24"/>
                <w:szCs w:val="24"/>
                <w:lang w:bidi="ar"/>
              </w:rPr>
            </w:pPr>
          </w:p>
        </w:tc>
        <w:tc>
          <w:tcPr>
            <w:tcW w:w="7041" w:type="dxa"/>
            <w:noWrap w:val="0"/>
            <w:vAlign w:val="center"/>
          </w:tcPr>
          <w:p>
            <w:pPr>
              <w:rPr>
                <w:rFonts w:hint="default" w:ascii="宋体" w:hAnsi="宋体" w:eastAsia="宋体" w:cs="宋体"/>
                <w:sz w:val="24"/>
                <w:lang w:val="en-US" w:eastAsia="zh-CN"/>
              </w:rPr>
            </w:pPr>
            <w:r>
              <w:rPr>
                <w:rFonts w:hint="eastAsia" w:ascii="宋体" w:hAnsi="宋体" w:cs="宋体"/>
                <w:sz w:val="24"/>
              </w:rPr>
              <w:t>相关可信组件必须实现与上级公安机关安全访问平台对接，按公安部规定实现访问相互认证。</w:t>
            </w:r>
            <w:r>
              <w:rPr>
                <w:rFonts w:hint="eastAsia" w:ascii="宋体" w:hAnsi="宋体" w:cs="宋体"/>
                <w:sz w:val="24"/>
                <w:lang w:eastAsia="zh-CN"/>
              </w:rPr>
              <w:t>（</w:t>
            </w:r>
            <w:r>
              <w:rPr>
                <w:rFonts w:hint="eastAsia" w:ascii="宋体" w:hAnsi="宋体" w:cs="宋体"/>
                <w:sz w:val="24"/>
                <w:lang w:val="en-US" w:eastAsia="zh-CN"/>
              </w:rPr>
              <w:t>免费对接）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8" w:type="dxa"/>
            <w:vMerge w:val="continue"/>
            <w:noWrap w:val="0"/>
            <w:vAlign w:val="center"/>
          </w:tcPr>
          <w:p>
            <w:pPr>
              <w:jc w:val="center"/>
              <w:rPr>
                <w:rFonts w:ascii="宋体" w:hAnsi="宋体" w:cs="宋体"/>
                <w:color w:val="000000"/>
                <w:kern w:val="0"/>
                <w:sz w:val="24"/>
                <w:szCs w:val="24"/>
                <w:lang w:bidi="ar"/>
              </w:rPr>
            </w:pPr>
          </w:p>
        </w:tc>
        <w:tc>
          <w:tcPr>
            <w:tcW w:w="7041" w:type="dxa"/>
            <w:noWrap w:val="0"/>
            <w:vAlign w:val="center"/>
          </w:tcPr>
          <w:p>
            <w:pPr>
              <w:rPr>
                <w:rFonts w:hint="eastAsia" w:ascii="宋体" w:hAnsi="宋体" w:cs="宋体"/>
                <w:sz w:val="24"/>
                <w:szCs w:val="24"/>
              </w:rPr>
            </w:pPr>
            <w:r>
              <w:rPr>
                <w:rFonts w:hint="eastAsia" w:ascii="宋体" w:hAnsi="宋体" w:cs="宋体"/>
                <w:sz w:val="24"/>
              </w:rPr>
              <w:t>可信代理控制服务、可信接入代理、可信API代理和可信环境感知代理等设备之间对接、联调、优化。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8" w:type="dxa"/>
            <w:vMerge w:val="continue"/>
            <w:noWrap w:val="0"/>
            <w:vAlign w:val="center"/>
          </w:tcPr>
          <w:p>
            <w:pPr>
              <w:jc w:val="center"/>
              <w:rPr>
                <w:rFonts w:ascii="宋体" w:hAnsi="宋体" w:cs="宋体"/>
                <w:color w:val="000000"/>
                <w:kern w:val="0"/>
                <w:sz w:val="24"/>
                <w:szCs w:val="24"/>
                <w:lang w:bidi="ar"/>
              </w:rPr>
            </w:pPr>
          </w:p>
        </w:tc>
        <w:tc>
          <w:tcPr>
            <w:tcW w:w="7041" w:type="dxa"/>
            <w:noWrap w:val="0"/>
            <w:vAlign w:val="center"/>
          </w:tcPr>
          <w:p>
            <w:pPr>
              <w:rPr>
                <w:rFonts w:hint="eastAsia" w:ascii="宋体" w:hAnsi="宋体" w:cs="宋体"/>
                <w:sz w:val="24"/>
                <w:szCs w:val="24"/>
              </w:rPr>
            </w:pPr>
            <w:r>
              <w:rPr>
                <w:rFonts w:hint="eastAsia" w:ascii="宋体" w:hAnsi="宋体" w:cs="宋体"/>
                <w:sz w:val="24"/>
              </w:rPr>
              <w:t>公安机关以外单位VPN接入电路访问公安业务对接；与网安、技侦数据中心的网络融合。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8" w:type="dxa"/>
            <w:vMerge w:val="continue"/>
            <w:noWrap w:val="0"/>
            <w:vAlign w:val="center"/>
          </w:tcPr>
          <w:p>
            <w:pPr>
              <w:jc w:val="center"/>
              <w:rPr>
                <w:rFonts w:ascii="宋体" w:hAnsi="宋体" w:cs="宋体"/>
                <w:color w:val="000000"/>
                <w:kern w:val="0"/>
                <w:sz w:val="24"/>
                <w:szCs w:val="24"/>
                <w:lang w:bidi="ar"/>
              </w:rPr>
            </w:pPr>
          </w:p>
        </w:tc>
        <w:tc>
          <w:tcPr>
            <w:tcW w:w="7041" w:type="dxa"/>
            <w:noWrap w:val="0"/>
            <w:vAlign w:val="center"/>
          </w:tcPr>
          <w:p>
            <w:pPr>
              <w:rPr>
                <w:rFonts w:hint="eastAsia" w:ascii="宋体" w:hAnsi="宋体" w:cs="宋体"/>
                <w:sz w:val="24"/>
                <w:szCs w:val="24"/>
              </w:rPr>
            </w:pPr>
            <w:r>
              <w:rPr>
                <w:rFonts w:hint="eastAsia" w:ascii="宋体" w:hAnsi="宋体" w:cs="宋体"/>
                <w:sz w:val="24"/>
                <w:szCs w:val="24"/>
              </w:rPr>
              <w:t>项目实施期间（设备到货后起，项目验收止），投标人提供一名固定的有经验驻场技术人员，全程联系并会同厂商工程师进行软硬件安装实施、系统部署和调试配置等工作，同时由该工程师联系和协助处理后续项目相关的细节技术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8" w:type="dxa"/>
            <w:vMerge w:val="continue"/>
            <w:noWrap w:val="0"/>
            <w:vAlign w:val="center"/>
          </w:tcPr>
          <w:p>
            <w:pPr>
              <w:jc w:val="center"/>
              <w:rPr>
                <w:rFonts w:ascii="宋体" w:hAnsi="宋体" w:cs="宋体"/>
                <w:color w:val="000000"/>
                <w:kern w:val="0"/>
                <w:sz w:val="24"/>
                <w:szCs w:val="24"/>
                <w:lang w:bidi="ar"/>
              </w:rPr>
            </w:pPr>
          </w:p>
        </w:tc>
        <w:tc>
          <w:tcPr>
            <w:tcW w:w="7041" w:type="dxa"/>
            <w:noWrap w:val="0"/>
            <w:vAlign w:val="center"/>
          </w:tcPr>
          <w:p>
            <w:pPr>
              <w:rPr>
                <w:rFonts w:ascii="宋体" w:hAnsi="宋体" w:cs="宋体"/>
                <w:sz w:val="24"/>
                <w:szCs w:val="24"/>
              </w:rPr>
            </w:pPr>
            <w:r>
              <w:rPr>
                <w:rFonts w:hint="eastAsia" w:ascii="宋体" w:hAnsi="宋体" w:cs="宋体"/>
                <w:sz w:val="24"/>
                <w:szCs w:val="24"/>
              </w:rPr>
              <w:t>实现可信代理控制系统和pki/pmi系统人员信息的联动，实现访问动态授权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8" w:type="dxa"/>
            <w:vMerge w:val="continue"/>
            <w:noWrap w:val="0"/>
            <w:vAlign w:val="center"/>
          </w:tcPr>
          <w:p>
            <w:pPr>
              <w:jc w:val="center"/>
              <w:rPr>
                <w:rFonts w:ascii="宋体" w:hAnsi="宋体" w:cs="宋体"/>
                <w:color w:val="000000"/>
                <w:kern w:val="0"/>
                <w:sz w:val="24"/>
                <w:szCs w:val="24"/>
                <w:lang w:bidi="ar"/>
              </w:rPr>
            </w:pPr>
          </w:p>
        </w:tc>
        <w:tc>
          <w:tcPr>
            <w:tcW w:w="7041" w:type="dxa"/>
            <w:noWrap w:val="0"/>
            <w:vAlign w:val="center"/>
          </w:tcPr>
          <w:p>
            <w:pPr>
              <w:rPr>
                <w:rFonts w:ascii="宋体" w:hAnsi="宋体" w:cs="宋体"/>
                <w:sz w:val="24"/>
                <w:szCs w:val="24"/>
              </w:rPr>
            </w:pPr>
            <w:r>
              <w:rPr>
                <w:rFonts w:ascii="宋体" w:hAnsi="宋体" w:cs="宋体"/>
                <w:sz w:val="24"/>
                <w:szCs w:val="24"/>
              </w:rPr>
              <w:t>安全设备系统可以将各类威胁日志送到态势感知平台实现对接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8" w:type="dxa"/>
            <w:vMerge w:val="continue"/>
            <w:noWrap w:val="0"/>
            <w:vAlign w:val="center"/>
          </w:tcPr>
          <w:p>
            <w:pPr>
              <w:jc w:val="center"/>
              <w:rPr>
                <w:rFonts w:ascii="宋体" w:hAnsi="宋体" w:cs="宋体"/>
                <w:color w:val="000000"/>
                <w:kern w:val="0"/>
                <w:sz w:val="24"/>
                <w:szCs w:val="24"/>
                <w:lang w:bidi="ar"/>
              </w:rPr>
            </w:pPr>
          </w:p>
        </w:tc>
        <w:tc>
          <w:tcPr>
            <w:tcW w:w="7041" w:type="dxa"/>
            <w:noWrap w:val="0"/>
            <w:vAlign w:val="center"/>
          </w:tcPr>
          <w:p>
            <w:pPr>
              <w:jc w:val="left"/>
              <w:rPr>
                <w:rFonts w:ascii="宋体" w:hAnsi="宋体" w:cs="宋体"/>
                <w:sz w:val="24"/>
                <w:szCs w:val="24"/>
              </w:rPr>
            </w:pPr>
            <w:r>
              <w:rPr>
                <w:rFonts w:hint="eastAsia" w:ascii="宋体" w:hAnsi="宋体" w:cs="宋体"/>
                <w:sz w:val="24"/>
                <w:szCs w:val="24"/>
              </w:rPr>
              <w:t>防火墙设备机房上架实施，提供线缆连接、安全策略配置、调试、优化等。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8" w:type="dxa"/>
            <w:vMerge w:val="continue"/>
            <w:noWrap w:val="0"/>
            <w:vAlign w:val="center"/>
          </w:tcPr>
          <w:p>
            <w:pPr>
              <w:jc w:val="center"/>
              <w:rPr>
                <w:rFonts w:ascii="宋体" w:hAnsi="宋体" w:cs="宋体"/>
                <w:color w:val="000000"/>
                <w:kern w:val="0"/>
                <w:sz w:val="24"/>
                <w:szCs w:val="24"/>
                <w:lang w:bidi="ar"/>
              </w:rPr>
            </w:pPr>
          </w:p>
        </w:tc>
        <w:tc>
          <w:tcPr>
            <w:tcW w:w="7041" w:type="dxa"/>
            <w:noWrap w:val="0"/>
            <w:vAlign w:val="center"/>
          </w:tcPr>
          <w:p>
            <w:pPr>
              <w:rPr>
                <w:rFonts w:ascii="宋体" w:hAnsi="宋体" w:cs="宋体"/>
                <w:sz w:val="24"/>
                <w:szCs w:val="24"/>
              </w:rPr>
            </w:pPr>
            <w:r>
              <w:rPr>
                <w:rFonts w:hint="eastAsia" w:ascii="宋体" w:hAnsi="宋体" w:cs="宋体"/>
                <w:sz w:val="24"/>
                <w:szCs w:val="24"/>
              </w:rPr>
              <w:t>虚拟云桌面资源服务器和万兆汇聚交换机上架实施，服务器虚拟化软件、云桌面管控系统及虚拟云桌面软件安装部署及网络配置。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8" w:type="dxa"/>
            <w:vMerge w:val="continue"/>
            <w:noWrap w:val="0"/>
            <w:vAlign w:val="center"/>
          </w:tcPr>
          <w:p>
            <w:pPr>
              <w:jc w:val="center"/>
              <w:rPr>
                <w:rFonts w:ascii="宋体" w:hAnsi="宋体" w:cs="宋体"/>
                <w:color w:val="000000"/>
                <w:kern w:val="0"/>
                <w:sz w:val="24"/>
                <w:szCs w:val="24"/>
                <w:lang w:bidi="ar"/>
              </w:rPr>
            </w:pPr>
          </w:p>
        </w:tc>
        <w:tc>
          <w:tcPr>
            <w:tcW w:w="7041" w:type="dxa"/>
            <w:noWrap w:val="0"/>
            <w:vAlign w:val="center"/>
          </w:tcPr>
          <w:p>
            <w:pPr>
              <w:rPr>
                <w:rFonts w:ascii="宋体" w:hAnsi="宋体" w:cs="宋体"/>
                <w:sz w:val="24"/>
                <w:szCs w:val="24"/>
              </w:rPr>
            </w:pPr>
            <w:r>
              <w:rPr>
                <w:rFonts w:hint="eastAsia" w:ascii="宋体" w:hAnsi="宋体" w:cs="宋体"/>
                <w:sz w:val="24"/>
                <w:szCs w:val="24"/>
              </w:rPr>
              <w:t>超融合虚拟化服务器设备上架实施，虚拟化软件、系统安装、调试、优化等。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8" w:type="dxa"/>
            <w:vMerge w:val="continue"/>
            <w:noWrap w:val="0"/>
            <w:vAlign w:val="center"/>
          </w:tcPr>
          <w:p>
            <w:pPr>
              <w:jc w:val="center"/>
              <w:rPr>
                <w:rFonts w:ascii="宋体" w:hAnsi="宋体" w:cs="宋体"/>
                <w:color w:val="000000"/>
                <w:kern w:val="0"/>
                <w:sz w:val="24"/>
                <w:szCs w:val="24"/>
                <w:lang w:bidi="ar"/>
              </w:rPr>
            </w:pPr>
          </w:p>
        </w:tc>
        <w:tc>
          <w:tcPr>
            <w:tcW w:w="7041" w:type="dxa"/>
            <w:noWrap w:val="0"/>
            <w:vAlign w:val="center"/>
          </w:tcPr>
          <w:p>
            <w:pPr>
              <w:rPr>
                <w:rFonts w:hint="eastAsia" w:ascii="宋体" w:hAnsi="宋体" w:cs="宋体"/>
                <w:sz w:val="24"/>
                <w:szCs w:val="24"/>
              </w:rPr>
            </w:pPr>
            <w:r>
              <w:rPr>
                <w:rFonts w:hint="eastAsia" w:ascii="宋体" w:hAnsi="宋体" w:cs="宋体"/>
                <w:sz w:val="24"/>
                <w:szCs w:val="24"/>
              </w:rPr>
              <w:t>审计设备架实施、完成市局现有安全设备、数据库、应用系统、网络设备等各类设备日志接入配置、联调测试和优化。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8" w:type="dxa"/>
            <w:vMerge w:val="continue"/>
            <w:noWrap w:val="0"/>
            <w:vAlign w:val="center"/>
          </w:tcPr>
          <w:p>
            <w:pPr>
              <w:jc w:val="center"/>
              <w:rPr>
                <w:rFonts w:ascii="宋体" w:hAnsi="宋体" w:cs="宋体"/>
                <w:color w:val="000000"/>
                <w:kern w:val="0"/>
                <w:sz w:val="24"/>
                <w:szCs w:val="24"/>
                <w:lang w:bidi="ar"/>
              </w:rPr>
            </w:pPr>
          </w:p>
        </w:tc>
        <w:tc>
          <w:tcPr>
            <w:tcW w:w="7041" w:type="dxa"/>
            <w:noWrap w:val="0"/>
            <w:vAlign w:val="center"/>
          </w:tcPr>
          <w:p>
            <w:pPr>
              <w:rPr>
                <w:rFonts w:hint="eastAsia" w:ascii="宋体" w:hAnsi="宋体" w:cs="宋体"/>
                <w:sz w:val="24"/>
                <w:szCs w:val="24"/>
              </w:rPr>
            </w:pPr>
            <w:r>
              <w:rPr>
                <w:rFonts w:hint="eastAsia" w:ascii="宋体" w:hAnsi="宋体" w:cs="宋体"/>
                <w:sz w:val="24"/>
                <w:szCs w:val="24"/>
              </w:rPr>
              <w:t>投标产品由于软件等其他无法适配的，硬件接口不够的，由中标人免费更换产品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8" w:type="dxa"/>
            <w:vMerge w:val="continue"/>
            <w:noWrap w:val="0"/>
            <w:vAlign w:val="center"/>
          </w:tcPr>
          <w:p>
            <w:pPr>
              <w:jc w:val="center"/>
              <w:rPr>
                <w:rFonts w:ascii="宋体" w:hAnsi="宋体" w:cs="宋体"/>
                <w:color w:val="000000"/>
                <w:kern w:val="0"/>
                <w:sz w:val="24"/>
                <w:szCs w:val="24"/>
                <w:lang w:bidi="ar"/>
              </w:rPr>
            </w:pPr>
          </w:p>
        </w:tc>
        <w:tc>
          <w:tcPr>
            <w:tcW w:w="7041" w:type="dxa"/>
            <w:noWrap w:val="0"/>
            <w:vAlign w:val="center"/>
          </w:tcPr>
          <w:p>
            <w:pPr>
              <w:rPr>
                <w:rFonts w:hint="eastAsia" w:ascii="宋体" w:hAnsi="宋体" w:cs="宋体"/>
                <w:sz w:val="24"/>
                <w:szCs w:val="24"/>
              </w:rPr>
            </w:pPr>
            <w:r>
              <w:rPr>
                <w:rFonts w:hint="eastAsia" w:ascii="宋体" w:hAnsi="宋体" w:cs="宋体"/>
                <w:sz w:val="24"/>
              </w:rPr>
              <w:t>提供6个以上(椒江)移动IDC机房的机柜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88" w:type="dxa"/>
            <w:vMerge w:val="continue"/>
            <w:noWrap w:val="0"/>
            <w:vAlign w:val="center"/>
          </w:tcPr>
          <w:p>
            <w:pPr>
              <w:jc w:val="center"/>
              <w:rPr>
                <w:rFonts w:ascii="宋体" w:hAnsi="宋体" w:cs="宋体"/>
                <w:color w:val="000000"/>
                <w:kern w:val="0"/>
                <w:sz w:val="24"/>
                <w:szCs w:val="24"/>
                <w:lang w:bidi="ar"/>
              </w:rPr>
            </w:pPr>
          </w:p>
        </w:tc>
        <w:tc>
          <w:tcPr>
            <w:tcW w:w="7041" w:type="dxa"/>
            <w:noWrap w:val="0"/>
            <w:vAlign w:val="center"/>
          </w:tcPr>
          <w:p>
            <w:pPr>
              <w:rPr>
                <w:rFonts w:ascii="宋体" w:hAnsi="宋体" w:cs="宋体"/>
                <w:sz w:val="24"/>
                <w:szCs w:val="24"/>
              </w:rPr>
            </w:pPr>
            <w:r>
              <w:rPr>
                <w:rFonts w:hint="eastAsia" w:ascii="宋体" w:hAnsi="宋体" w:cs="宋体"/>
                <w:sz w:val="24"/>
                <w:szCs w:val="24"/>
              </w:rPr>
              <w:t>本项目硬件正常运行使用集成及部署实施所需的所有网络、光纤、电源PDU、线缆及电源插座、标签耗材等由中标方提供。</w:t>
            </w:r>
          </w:p>
        </w:tc>
      </w:tr>
    </w:tbl>
    <w:p>
      <w:pPr>
        <w:pStyle w:val="31"/>
        <w:tabs>
          <w:tab w:val="left" w:pos="760"/>
        </w:tabs>
        <w:ind w:firstLine="0" w:firstLineChars="0"/>
        <w:rPr>
          <w:rFonts w:ascii="宋体" w:hAnsi="宋体"/>
          <w:b/>
          <w:color w:val="000000"/>
          <w:sz w:val="24"/>
          <w:szCs w:val="24"/>
        </w:rPr>
      </w:pPr>
    </w:p>
    <w:p>
      <w:pPr>
        <w:pStyle w:val="31"/>
        <w:tabs>
          <w:tab w:val="left" w:pos="760"/>
        </w:tabs>
        <w:ind w:firstLine="0" w:firstLineChars="0"/>
        <w:outlineLvl w:val="1"/>
        <w:rPr>
          <w:rFonts w:hint="eastAsia" w:ascii="宋体" w:hAnsi="宋体"/>
          <w:b/>
          <w:color w:val="000000"/>
          <w:sz w:val="24"/>
          <w:szCs w:val="24"/>
        </w:rPr>
      </w:pPr>
      <w:r>
        <w:rPr>
          <w:rFonts w:hint="eastAsia" w:ascii="宋体" w:hAnsi="宋体"/>
          <w:b/>
          <w:color w:val="000000"/>
          <w:sz w:val="24"/>
          <w:szCs w:val="24"/>
        </w:rPr>
        <w:t>34.</w:t>
      </w:r>
      <w:r>
        <w:rPr>
          <w:rFonts w:hint="eastAsia" w:ascii="宋体" w:hAnsi="宋体"/>
          <w:b/>
          <w:color w:val="FF0000"/>
          <w:sz w:val="24"/>
          <w:szCs w:val="24"/>
        </w:rPr>
        <w:t>三级等保测评服务1次（2.0标准）</w:t>
      </w:r>
    </w:p>
    <w:tbl>
      <w:tblPr>
        <w:tblStyle w:val="23"/>
        <w:tblW w:w="8354" w:type="dxa"/>
        <w:jc w:val="center"/>
        <w:tblInd w:w="0" w:type="dxa"/>
        <w:tblLayout w:type="fixed"/>
        <w:tblCellMar>
          <w:top w:w="0" w:type="dxa"/>
          <w:left w:w="108" w:type="dxa"/>
          <w:bottom w:w="0" w:type="dxa"/>
          <w:right w:w="108" w:type="dxa"/>
        </w:tblCellMar>
      </w:tblPr>
      <w:tblGrid>
        <w:gridCol w:w="1261"/>
        <w:gridCol w:w="7093"/>
      </w:tblGrid>
      <w:tr>
        <w:tblPrEx>
          <w:tblLayout w:type="fixed"/>
          <w:tblCellMar>
            <w:top w:w="0" w:type="dxa"/>
            <w:left w:w="108" w:type="dxa"/>
            <w:bottom w:w="0" w:type="dxa"/>
            <w:right w:w="108" w:type="dxa"/>
          </w:tblCellMar>
        </w:tblPrEx>
        <w:trPr>
          <w:trHeight w:val="355" w:hRule="atLeast"/>
          <w:jc w:val="center"/>
        </w:trPr>
        <w:tc>
          <w:tcPr>
            <w:tcW w:w="1261" w:type="dxa"/>
            <w:tcBorders>
              <w:top w:val="single" w:color="auto" w:sz="8" w:space="0"/>
              <w:left w:val="single" w:color="auto" w:sz="8" w:space="0"/>
              <w:bottom w:val="single" w:color="auto" w:sz="4" w:space="0"/>
              <w:right w:val="single" w:color="auto" w:sz="8" w:space="0"/>
            </w:tcBorders>
            <w:noWrap w:val="0"/>
            <w:vAlign w:val="center"/>
          </w:tcPr>
          <w:p>
            <w:pPr>
              <w:rPr>
                <w:rFonts w:ascii="宋体" w:hAnsi="宋体"/>
                <w:b/>
                <w:bCs/>
                <w:sz w:val="24"/>
                <w:szCs w:val="24"/>
              </w:rPr>
            </w:pPr>
            <w:r>
              <w:rPr>
                <w:rFonts w:hint="eastAsia" w:ascii="宋体" w:hAnsi="宋体"/>
                <w:b/>
                <w:bCs/>
                <w:sz w:val="24"/>
                <w:szCs w:val="24"/>
              </w:rPr>
              <w:t>指标项</w:t>
            </w:r>
          </w:p>
        </w:tc>
        <w:tc>
          <w:tcPr>
            <w:tcW w:w="7093" w:type="dxa"/>
            <w:tcBorders>
              <w:top w:val="single" w:color="auto" w:sz="8" w:space="0"/>
              <w:left w:val="nil"/>
              <w:bottom w:val="single" w:color="auto" w:sz="8" w:space="0"/>
              <w:right w:val="single" w:color="auto" w:sz="8" w:space="0"/>
            </w:tcBorders>
            <w:noWrap w:val="0"/>
            <w:vAlign w:val="center"/>
          </w:tcPr>
          <w:p>
            <w:pPr>
              <w:jc w:val="center"/>
              <w:rPr>
                <w:rFonts w:ascii="宋体" w:hAnsi="宋体"/>
                <w:b/>
                <w:bCs/>
                <w:sz w:val="24"/>
                <w:szCs w:val="24"/>
              </w:rPr>
            </w:pPr>
            <w:r>
              <w:rPr>
                <w:rFonts w:hint="eastAsia" w:ascii="宋体" w:hAnsi="宋体"/>
                <w:b/>
                <w:bCs/>
                <w:sz w:val="24"/>
                <w:szCs w:val="24"/>
              </w:rPr>
              <w:t>指标要求</w:t>
            </w:r>
          </w:p>
        </w:tc>
      </w:tr>
      <w:tr>
        <w:tblPrEx>
          <w:tblLayout w:type="fixed"/>
          <w:tblCellMar>
            <w:top w:w="0" w:type="dxa"/>
            <w:left w:w="108" w:type="dxa"/>
            <w:bottom w:w="0" w:type="dxa"/>
            <w:right w:w="108" w:type="dxa"/>
          </w:tblCellMar>
        </w:tblPrEx>
        <w:trPr>
          <w:trHeight w:val="90"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ascii="宋体" w:hAnsi="宋体" w:cs="宋体"/>
                <w:sz w:val="24"/>
                <w:szCs w:val="24"/>
              </w:rPr>
              <w:t>等保测评</w:t>
            </w:r>
          </w:p>
        </w:tc>
        <w:tc>
          <w:tcPr>
            <w:tcW w:w="709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ascii="宋体" w:hAnsi="宋体" w:cs="宋体"/>
                <w:sz w:val="24"/>
                <w:szCs w:val="24"/>
              </w:rPr>
              <w:t>安全访问平台（含安全管理中心）按</w:t>
            </w:r>
            <w:r>
              <w:rPr>
                <w:rFonts w:hint="eastAsia" w:ascii="宋体" w:hAnsi="宋体" w:cs="宋体"/>
                <w:sz w:val="24"/>
                <w:szCs w:val="24"/>
              </w:rPr>
              <w:t>三级</w:t>
            </w:r>
            <w:r>
              <w:rPr>
                <w:rFonts w:ascii="宋体" w:hAnsi="宋体" w:cs="宋体"/>
                <w:sz w:val="24"/>
                <w:szCs w:val="24"/>
              </w:rPr>
              <w:t>等保（</w:t>
            </w:r>
            <w:r>
              <w:rPr>
                <w:rFonts w:hint="eastAsia" w:ascii="宋体" w:hAnsi="宋体" w:cs="宋体"/>
                <w:sz w:val="24"/>
                <w:szCs w:val="24"/>
              </w:rPr>
              <w:t>2.0</w:t>
            </w:r>
            <w:r>
              <w:rPr>
                <w:rFonts w:ascii="宋体" w:hAnsi="宋体" w:cs="宋体"/>
                <w:sz w:val="24"/>
                <w:szCs w:val="24"/>
              </w:rPr>
              <w:t>）标准</w:t>
            </w:r>
            <w:r>
              <w:rPr>
                <w:rFonts w:hint="eastAsia" w:ascii="宋体" w:hAnsi="宋体" w:cs="宋体"/>
                <w:sz w:val="24"/>
                <w:szCs w:val="24"/>
              </w:rPr>
              <w:t>开展测评一次。</w:t>
            </w:r>
          </w:p>
        </w:tc>
      </w:tr>
    </w:tbl>
    <w:p>
      <w:pPr>
        <w:pStyle w:val="31"/>
        <w:tabs>
          <w:tab w:val="left" w:pos="760"/>
        </w:tabs>
        <w:ind w:firstLine="0" w:firstLineChars="0"/>
        <w:rPr>
          <w:rFonts w:ascii="宋体" w:hAnsi="宋体"/>
          <w:b/>
          <w:color w:val="000000"/>
          <w:sz w:val="24"/>
          <w:szCs w:val="24"/>
        </w:rPr>
      </w:pPr>
    </w:p>
    <w:p>
      <w:pPr>
        <w:pStyle w:val="31"/>
        <w:tabs>
          <w:tab w:val="left" w:pos="760"/>
        </w:tabs>
        <w:ind w:firstLine="0" w:firstLineChars="0"/>
        <w:outlineLvl w:val="1"/>
        <w:rPr>
          <w:rFonts w:ascii="宋体" w:hAnsi="宋体"/>
          <w:b/>
          <w:color w:val="000000"/>
          <w:sz w:val="24"/>
          <w:szCs w:val="24"/>
        </w:rPr>
      </w:pPr>
      <w:r>
        <w:rPr>
          <w:rFonts w:hint="eastAsia" w:ascii="宋体" w:hAnsi="宋体"/>
          <w:b/>
          <w:color w:val="000000"/>
          <w:sz w:val="24"/>
          <w:szCs w:val="24"/>
          <w:lang w:eastAsia="zh-CN"/>
        </w:rPr>
        <w:t>3</w:t>
      </w:r>
      <w:r>
        <w:rPr>
          <w:rFonts w:hint="eastAsia" w:ascii="宋体" w:hAnsi="宋体"/>
          <w:b/>
          <w:color w:val="000000"/>
          <w:sz w:val="24"/>
          <w:szCs w:val="24"/>
        </w:rPr>
        <w:t>5.运维服务</w:t>
      </w:r>
    </w:p>
    <w:tbl>
      <w:tblPr>
        <w:tblStyle w:val="23"/>
        <w:tblW w:w="8354" w:type="dxa"/>
        <w:jc w:val="center"/>
        <w:tblInd w:w="0" w:type="dxa"/>
        <w:tblLayout w:type="fixed"/>
        <w:tblCellMar>
          <w:top w:w="0" w:type="dxa"/>
          <w:left w:w="108" w:type="dxa"/>
          <w:bottom w:w="0" w:type="dxa"/>
          <w:right w:w="108" w:type="dxa"/>
        </w:tblCellMar>
      </w:tblPr>
      <w:tblGrid>
        <w:gridCol w:w="1261"/>
        <w:gridCol w:w="7093"/>
      </w:tblGrid>
      <w:tr>
        <w:tblPrEx>
          <w:tblLayout w:type="fixed"/>
          <w:tblCellMar>
            <w:top w:w="0" w:type="dxa"/>
            <w:left w:w="108" w:type="dxa"/>
            <w:bottom w:w="0" w:type="dxa"/>
            <w:right w:w="108" w:type="dxa"/>
          </w:tblCellMar>
        </w:tblPrEx>
        <w:trPr>
          <w:trHeight w:val="355" w:hRule="atLeast"/>
          <w:jc w:val="center"/>
        </w:trPr>
        <w:tc>
          <w:tcPr>
            <w:tcW w:w="1261" w:type="dxa"/>
            <w:tcBorders>
              <w:top w:val="single" w:color="auto" w:sz="8" w:space="0"/>
              <w:left w:val="single" w:color="auto" w:sz="8" w:space="0"/>
              <w:bottom w:val="single" w:color="auto" w:sz="4" w:space="0"/>
              <w:right w:val="single" w:color="auto" w:sz="8" w:space="0"/>
            </w:tcBorders>
            <w:noWrap w:val="0"/>
            <w:vAlign w:val="center"/>
          </w:tcPr>
          <w:p>
            <w:pPr>
              <w:rPr>
                <w:rFonts w:ascii="宋体" w:hAnsi="宋体"/>
                <w:b/>
                <w:bCs/>
                <w:sz w:val="24"/>
                <w:szCs w:val="24"/>
              </w:rPr>
            </w:pPr>
            <w:r>
              <w:rPr>
                <w:rFonts w:hint="eastAsia" w:ascii="宋体" w:hAnsi="宋体"/>
                <w:b/>
                <w:bCs/>
                <w:sz w:val="24"/>
                <w:szCs w:val="24"/>
              </w:rPr>
              <w:t>指标项</w:t>
            </w:r>
          </w:p>
        </w:tc>
        <w:tc>
          <w:tcPr>
            <w:tcW w:w="7093" w:type="dxa"/>
            <w:tcBorders>
              <w:top w:val="single" w:color="auto" w:sz="8" w:space="0"/>
              <w:left w:val="nil"/>
              <w:bottom w:val="single" w:color="auto" w:sz="4" w:space="0"/>
              <w:right w:val="single" w:color="auto" w:sz="8" w:space="0"/>
            </w:tcBorders>
            <w:noWrap w:val="0"/>
            <w:vAlign w:val="center"/>
          </w:tcPr>
          <w:p>
            <w:pPr>
              <w:jc w:val="center"/>
              <w:rPr>
                <w:rFonts w:ascii="宋体" w:hAnsi="宋体"/>
                <w:b/>
                <w:bCs/>
                <w:sz w:val="24"/>
                <w:szCs w:val="24"/>
              </w:rPr>
            </w:pPr>
            <w:r>
              <w:rPr>
                <w:rFonts w:hint="eastAsia" w:ascii="宋体" w:hAnsi="宋体"/>
                <w:b/>
                <w:bCs/>
                <w:sz w:val="24"/>
                <w:szCs w:val="24"/>
              </w:rPr>
              <w:t>服务要求</w:t>
            </w:r>
          </w:p>
        </w:tc>
      </w:tr>
      <w:tr>
        <w:tblPrEx>
          <w:tblLayout w:type="fixed"/>
          <w:tblCellMar>
            <w:top w:w="0" w:type="dxa"/>
            <w:left w:w="108" w:type="dxa"/>
            <w:bottom w:w="0" w:type="dxa"/>
            <w:right w:w="108" w:type="dxa"/>
          </w:tblCellMar>
        </w:tblPrEx>
        <w:trPr>
          <w:trHeight w:val="420" w:hRule="atLeast"/>
          <w:jc w:val="center"/>
        </w:trPr>
        <w:tc>
          <w:tcPr>
            <w:tcW w:w="1261"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cs="宋体"/>
                <w:sz w:val="24"/>
                <w:szCs w:val="24"/>
              </w:rPr>
              <w:t>运维要求</w:t>
            </w:r>
          </w:p>
        </w:tc>
        <w:tc>
          <w:tcPr>
            <w:tcW w:w="7093" w:type="dxa"/>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cs="宋体"/>
                <w:sz w:val="24"/>
                <w:szCs w:val="24"/>
              </w:rPr>
              <w:t>二名工程师驻点3年，分别运维安全访问平台及安全管理中心的软硬件，对网络设备和安全设备有三年以上的实际操作经验</w:t>
            </w:r>
            <w:r>
              <w:rPr>
                <w:rFonts w:hint="eastAsia" w:ascii="宋体" w:hAnsi="宋体" w:cs="宋体"/>
                <w:sz w:val="24"/>
              </w:rPr>
              <w:t>有</w:t>
            </w:r>
            <w:r>
              <w:rPr>
                <w:rFonts w:hint="eastAsia" w:ascii="宋体" w:hAnsi="宋体" w:cs="宋体"/>
                <w:sz w:val="24"/>
                <w:szCs w:val="24"/>
              </w:rPr>
              <w:t>网络和安全中级以上认证的</w:t>
            </w:r>
            <w:r>
              <w:rPr>
                <w:rFonts w:hint="eastAsia" w:ascii="宋体" w:hAnsi="宋体" w:cs="宋体"/>
                <w:sz w:val="24"/>
              </w:rPr>
              <w:t>资质证书</w:t>
            </w:r>
            <w:r>
              <w:rPr>
                <w:rFonts w:hint="eastAsia" w:ascii="宋体" w:hAnsi="宋体" w:cs="宋体"/>
                <w:sz w:val="24"/>
                <w:szCs w:val="24"/>
                <w:lang w:eastAsia="zh-CN"/>
              </w:rPr>
              <w:t>，</w:t>
            </w:r>
            <w:r>
              <w:rPr>
                <w:rFonts w:hint="eastAsia" w:ascii="宋体" w:hAnsi="宋体" w:cs="宋体"/>
                <w:sz w:val="24"/>
                <w:szCs w:val="24"/>
              </w:rPr>
              <w:t>有参加此项目现场实施的经验。</w:t>
            </w:r>
          </w:p>
        </w:tc>
      </w:tr>
    </w:tbl>
    <w:p>
      <w:pPr>
        <w:numPr>
          <w:ilvl w:val="0"/>
          <w:numId w:val="13"/>
        </w:numPr>
        <w:outlineLvl w:val="0"/>
        <w:rPr>
          <w:rFonts w:ascii="宋体" w:hAnsi="宋体" w:cs="宋体"/>
          <w:b/>
          <w:bCs/>
          <w:sz w:val="24"/>
          <w:szCs w:val="24"/>
        </w:rPr>
      </w:pPr>
      <w:r>
        <w:rPr>
          <w:rFonts w:hint="eastAsia" w:ascii="宋体" w:hAnsi="宋体" w:cs="宋体"/>
          <w:b/>
          <w:bCs/>
          <w:sz w:val="24"/>
          <w:szCs w:val="24"/>
        </w:rPr>
        <w:t>实施要求</w:t>
      </w:r>
    </w:p>
    <w:p>
      <w:pPr>
        <w:pStyle w:val="18"/>
        <w:jc w:val="left"/>
        <w:rPr>
          <w:rFonts w:hint="eastAsia"/>
          <w:sz w:val="24"/>
          <w:szCs w:val="24"/>
        </w:rPr>
      </w:pPr>
      <w:bookmarkStart w:id="35" w:name="_Toc12993"/>
      <w:r>
        <w:rPr>
          <w:rFonts w:hint="eastAsia"/>
          <w:sz w:val="24"/>
          <w:szCs w:val="24"/>
        </w:rPr>
        <w:t>4.1 项目进度要求</w:t>
      </w:r>
      <w:bookmarkEnd w:id="35"/>
      <w:r>
        <w:rPr>
          <w:rFonts w:hint="eastAsia"/>
          <w:sz w:val="24"/>
          <w:szCs w:val="24"/>
        </w:rPr>
        <w:t>（根据实际情况调整）</w:t>
      </w:r>
    </w:p>
    <w:p>
      <w:pPr>
        <w:pStyle w:val="72"/>
        <w:ind w:firstLine="480"/>
        <w:rPr>
          <w:rFonts w:ascii="宋体" w:hAnsi="宋体" w:cs="宋体"/>
          <w:sz w:val="24"/>
          <w:szCs w:val="24"/>
        </w:rPr>
      </w:pPr>
      <w:r>
        <w:rPr>
          <w:rFonts w:hint="eastAsia" w:ascii="宋体" w:hAnsi="宋体" w:cs="宋体"/>
          <w:sz w:val="24"/>
          <w:szCs w:val="24"/>
        </w:rPr>
        <w:t>投标人需承诺在合同签订后60个工作日内需完成设备到货，本项目要求中标后6个月内完成实施及部署，通过初验，进入为期3个月的试运行。中标后12个月内完成项目竣工验收。</w:t>
      </w:r>
    </w:p>
    <w:p>
      <w:pPr>
        <w:pStyle w:val="72"/>
        <w:ind w:firstLine="480"/>
        <w:rPr>
          <w:rFonts w:ascii="宋体" w:hAnsi="宋体" w:cs="宋体"/>
          <w:sz w:val="24"/>
          <w:szCs w:val="24"/>
        </w:rPr>
      </w:pPr>
      <w:r>
        <w:rPr>
          <w:rFonts w:hint="eastAsia" w:ascii="宋体" w:hAnsi="宋体" w:cs="宋体"/>
          <w:sz w:val="24"/>
          <w:szCs w:val="24"/>
        </w:rPr>
        <w:t>投标人应按照上述时间安排，制定相应的项目实施详细进度计划，确定每个实施阶段的时间表及工作目标。</w:t>
      </w:r>
    </w:p>
    <w:p>
      <w:pPr>
        <w:pStyle w:val="72"/>
        <w:ind w:firstLine="480"/>
        <w:rPr>
          <w:rFonts w:ascii="宋体" w:hAnsi="宋体" w:cs="宋体"/>
          <w:sz w:val="24"/>
          <w:szCs w:val="24"/>
        </w:rPr>
      </w:pPr>
      <w:r>
        <w:rPr>
          <w:rFonts w:hint="eastAsia" w:ascii="宋体" w:hAnsi="宋体" w:cs="宋体"/>
          <w:sz w:val="24"/>
          <w:szCs w:val="24"/>
          <w:lang w:val="zh-CN"/>
        </w:rPr>
        <w:t>如项目无法按进度要求开展，</w:t>
      </w:r>
      <w:r>
        <w:rPr>
          <w:rFonts w:hint="eastAsia" w:ascii="宋体" w:hAnsi="宋体" w:cs="宋体"/>
          <w:sz w:val="24"/>
          <w:szCs w:val="24"/>
        </w:rPr>
        <w:t>采购方</w:t>
      </w:r>
      <w:r>
        <w:rPr>
          <w:rFonts w:hint="eastAsia" w:ascii="宋体" w:hAnsi="宋体" w:cs="宋体"/>
          <w:sz w:val="24"/>
          <w:szCs w:val="24"/>
          <w:lang w:val="zh-CN"/>
        </w:rPr>
        <w:t>有权利终止合同并扣没项目履约保证金。</w:t>
      </w:r>
    </w:p>
    <w:p>
      <w:pPr>
        <w:pStyle w:val="18"/>
        <w:jc w:val="left"/>
        <w:rPr>
          <w:sz w:val="24"/>
          <w:szCs w:val="24"/>
        </w:rPr>
      </w:pPr>
      <w:bookmarkStart w:id="36" w:name="_Toc24617"/>
      <w:r>
        <w:rPr>
          <w:rFonts w:hint="eastAsia"/>
          <w:sz w:val="24"/>
          <w:szCs w:val="24"/>
        </w:rPr>
        <w:t>4.2 安装、调试和验收要求</w:t>
      </w:r>
      <w:bookmarkEnd w:id="36"/>
    </w:p>
    <w:p>
      <w:pPr>
        <w:pStyle w:val="72"/>
        <w:ind w:firstLine="480"/>
        <w:rPr>
          <w:rFonts w:ascii="宋体" w:hAnsi="宋体" w:cs="宋体"/>
          <w:sz w:val="24"/>
          <w:szCs w:val="24"/>
        </w:rPr>
      </w:pPr>
      <w:r>
        <w:rPr>
          <w:rFonts w:hint="eastAsia" w:ascii="宋体" w:hAnsi="宋体" w:cs="宋体"/>
          <w:sz w:val="24"/>
          <w:szCs w:val="24"/>
        </w:rPr>
        <w:t>1、中标方有责任检查安装现场是否符合产品安装条件。</w:t>
      </w:r>
    </w:p>
    <w:p>
      <w:pPr>
        <w:pStyle w:val="72"/>
        <w:ind w:firstLine="480"/>
        <w:rPr>
          <w:rFonts w:ascii="宋体" w:hAnsi="宋体" w:cs="宋体"/>
          <w:sz w:val="24"/>
          <w:szCs w:val="24"/>
        </w:rPr>
      </w:pPr>
      <w:r>
        <w:rPr>
          <w:rFonts w:hint="eastAsia" w:ascii="宋体" w:hAnsi="宋体" w:cs="宋体"/>
          <w:sz w:val="24"/>
          <w:szCs w:val="24"/>
        </w:rPr>
        <w:t>2、货物到达买方指定的现场后，将由中标方与采购方、监理方共同开箱清点，并进行签字确认。若有差异，应由中标方承担责任。</w:t>
      </w:r>
    </w:p>
    <w:p>
      <w:pPr>
        <w:pStyle w:val="72"/>
        <w:ind w:firstLine="480"/>
        <w:rPr>
          <w:rFonts w:hint="default" w:ascii="宋体" w:hAnsi="宋体" w:eastAsia="宋体" w:cs="宋体"/>
          <w:sz w:val="24"/>
          <w:szCs w:val="24"/>
          <w:lang w:val="en-US" w:eastAsia="zh-CN"/>
        </w:rPr>
      </w:pPr>
      <w:r>
        <w:rPr>
          <w:rFonts w:hint="eastAsia" w:ascii="宋体" w:hAnsi="宋体" w:cs="宋体"/>
          <w:sz w:val="24"/>
          <w:szCs w:val="24"/>
        </w:rPr>
        <w:t>3、产品实施过程中，如果牵涉到与第三方系统集成工作，中标方应与其他供应商无推诿合作，并提供必要的技术支持。</w:t>
      </w:r>
    </w:p>
    <w:p>
      <w:pPr>
        <w:pStyle w:val="72"/>
        <w:ind w:firstLine="480"/>
        <w:rPr>
          <w:rFonts w:ascii="宋体" w:hAnsi="宋体" w:cs="宋体"/>
          <w:sz w:val="24"/>
          <w:szCs w:val="24"/>
        </w:rPr>
      </w:pPr>
      <w:r>
        <w:rPr>
          <w:rFonts w:hint="eastAsia" w:ascii="宋体" w:hAnsi="宋体" w:cs="宋体"/>
          <w:sz w:val="24"/>
          <w:szCs w:val="24"/>
        </w:rPr>
        <w:t>4、中标方应保证其提供的货物在正确安装、正常使用和保养条件下，在使用寿命期内应具有满意的性能，中标方应对由于设计、工艺或材料的缺陷而产生的故障负完全责任。</w:t>
      </w:r>
    </w:p>
    <w:p>
      <w:pPr>
        <w:pStyle w:val="72"/>
        <w:ind w:firstLine="480"/>
        <w:rPr>
          <w:rFonts w:ascii="宋体" w:hAnsi="宋体" w:cs="宋体"/>
          <w:sz w:val="24"/>
          <w:szCs w:val="24"/>
        </w:rPr>
      </w:pPr>
      <w:r>
        <w:rPr>
          <w:rFonts w:hint="eastAsia" w:ascii="宋体" w:hAnsi="宋体" w:cs="宋体"/>
          <w:sz w:val="24"/>
          <w:szCs w:val="24"/>
        </w:rPr>
        <w:t>5、系统验收合格的条件必须至少满足以下三个要求：已提供了合同的全部货物和资料、完成了系统集成工作，通过了系统联合测试；试运行期间，系统运行稳定、正常，性能满足合同及招标文件、中标方投标文件要求。</w:t>
      </w:r>
    </w:p>
    <w:p>
      <w:pPr>
        <w:pStyle w:val="18"/>
        <w:jc w:val="left"/>
        <w:rPr>
          <w:sz w:val="24"/>
          <w:szCs w:val="24"/>
        </w:rPr>
      </w:pPr>
      <w:bookmarkStart w:id="37" w:name="_Toc2263"/>
      <w:r>
        <w:rPr>
          <w:rFonts w:hint="eastAsia"/>
          <w:sz w:val="24"/>
          <w:szCs w:val="24"/>
        </w:rPr>
        <w:t>4.3 人员培训要求</w:t>
      </w:r>
      <w:bookmarkEnd w:id="37"/>
    </w:p>
    <w:p>
      <w:pPr>
        <w:pStyle w:val="72"/>
        <w:ind w:firstLine="480"/>
        <w:rPr>
          <w:rFonts w:hint="eastAsia" w:ascii="宋体" w:hAnsi="宋体" w:cs="宋体"/>
          <w:sz w:val="24"/>
          <w:szCs w:val="24"/>
        </w:rPr>
      </w:pPr>
      <w:r>
        <w:rPr>
          <w:rFonts w:hint="eastAsia" w:ascii="宋体" w:hAnsi="宋体" w:cs="宋体"/>
          <w:sz w:val="24"/>
          <w:szCs w:val="24"/>
        </w:rPr>
        <w:t>中标方应安排技术人员对用户进行免费培训或技术指导。培训人数不少于3人，次数不少于5次，培训时间不少于20小时。培训内容主要为本项目采购的各软硬件产品，培训目标要求使用户能够独立进行日常管理和维护。人员培训费用计入投标总价。</w:t>
      </w:r>
    </w:p>
    <w:p>
      <w:pPr>
        <w:pStyle w:val="18"/>
        <w:jc w:val="left"/>
        <w:rPr>
          <w:sz w:val="24"/>
          <w:szCs w:val="24"/>
        </w:rPr>
      </w:pPr>
      <w:bookmarkStart w:id="38" w:name="_Toc22539"/>
      <w:r>
        <w:rPr>
          <w:rFonts w:hint="eastAsia"/>
          <w:sz w:val="24"/>
          <w:szCs w:val="24"/>
        </w:rPr>
        <w:t>4.4 技术支持及售后服务要求</w:t>
      </w:r>
      <w:bookmarkEnd w:id="38"/>
    </w:p>
    <w:p>
      <w:pPr>
        <w:pStyle w:val="72"/>
        <w:ind w:firstLine="480"/>
        <w:rPr>
          <w:rFonts w:ascii="宋体" w:hAnsi="宋体" w:cs="宋体"/>
          <w:sz w:val="24"/>
          <w:szCs w:val="24"/>
        </w:rPr>
      </w:pPr>
      <w:r>
        <w:rPr>
          <w:rFonts w:hint="eastAsia" w:ascii="宋体" w:hAnsi="宋体" w:cs="宋体"/>
          <w:sz w:val="24"/>
          <w:szCs w:val="24"/>
        </w:rPr>
        <w:t>1、采购需求文件中无特别说明的，所有软硬件产品要求提供原厂五年免费质保，并需在合同签订后提供原厂免费质保服务承诺函（加盖原厂公章）。承诺函需承诺质保期内软硬件免费质保，且免费提供最新的软件版本及特征库等升级服务。硬件设备和商品化软件维保期、定制化软件维保期从项目验收合格之日算起。</w:t>
      </w:r>
    </w:p>
    <w:p>
      <w:pPr>
        <w:pStyle w:val="72"/>
        <w:ind w:firstLine="480"/>
        <w:rPr>
          <w:rFonts w:ascii="宋体" w:hAnsi="宋体" w:cs="宋体"/>
          <w:sz w:val="24"/>
          <w:szCs w:val="24"/>
        </w:rPr>
      </w:pPr>
      <w:r>
        <w:rPr>
          <w:rFonts w:hint="eastAsia" w:ascii="宋体" w:hAnsi="宋体" w:cs="宋体"/>
          <w:sz w:val="24"/>
          <w:szCs w:val="24"/>
        </w:rPr>
        <w:t xml:space="preserve">2、在保修期内由于设备本身质量原因造成的任何损伤或损坏，中标方须免费负责修理或更换。 </w:t>
      </w:r>
    </w:p>
    <w:p>
      <w:pPr>
        <w:pStyle w:val="72"/>
        <w:ind w:firstLine="480"/>
        <w:rPr>
          <w:rFonts w:ascii="宋体" w:hAnsi="宋体" w:cs="宋体"/>
          <w:sz w:val="24"/>
          <w:szCs w:val="24"/>
        </w:rPr>
      </w:pPr>
      <w:r>
        <w:rPr>
          <w:rFonts w:hint="eastAsia" w:ascii="宋体" w:hAnsi="宋体" w:cs="宋体"/>
          <w:sz w:val="24"/>
          <w:szCs w:val="24"/>
        </w:rPr>
        <w:t>3、对于出现紧急故障情况，中标方应承诺商务时间30分钟内响应，一般故障2小时内响应，</w:t>
      </w:r>
      <w:r>
        <w:rPr>
          <w:rFonts w:hint="eastAsia" w:ascii="宋体" w:hAnsi="宋体" w:cs="宋体"/>
          <w:color w:val="FF0000"/>
          <w:sz w:val="24"/>
          <w:szCs w:val="24"/>
          <w:lang w:val="en-US" w:eastAsia="zh-CN"/>
        </w:rPr>
        <w:t>6</w:t>
      </w:r>
      <w:r>
        <w:rPr>
          <w:rFonts w:hint="eastAsia" w:ascii="宋体" w:hAnsi="宋体" w:cs="宋体"/>
          <w:sz w:val="24"/>
          <w:szCs w:val="24"/>
        </w:rPr>
        <w:t>小时内到达现场，重大故障1小时内响应，2小时内到现场服务，</w:t>
      </w:r>
      <w:r>
        <w:rPr>
          <w:rFonts w:hint="eastAsia" w:ascii="宋体" w:hAnsi="宋体" w:cs="宋体"/>
          <w:b w:val="0"/>
          <w:bCs w:val="0"/>
          <w:color w:val="000000" w:themeColor="text1"/>
          <w:sz w:val="24"/>
          <w:szCs w:val="24"/>
          <w14:textFill>
            <w14:solidFill>
              <w14:schemeClr w14:val="tx1"/>
            </w14:solidFill>
          </w14:textFill>
        </w:rPr>
        <w:t>4</w:t>
      </w:r>
      <w:r>
        <w:rPr>
          <w:rFonts w:hint="eastAsia" w:ascii="宋体" w:hAnsi="宋体" w:cs="宋体"/>
          <w:sz w:val="24"/>
          <w:szCs w:val="24"/>
        </w:rPr>
        <w:t>个小时内解决问题；不能修复的，12小时内提供备品、备件或备机等措施，以保证用户的正常使用。</w:t>
      </w:r>
    </w:p>
    <w:p>
      <w:pPr>
        <w:pStyle w:val="72"/>
        <w:ind w:firstLine="480"/>
        <w:rPr>
          <w:rFonts w:ascii="宋体" w:hAnsi="宋体" w:cs="宋体"/>
          <w:strike w:val="0"/>
          <w:dstrike w:val="0"/>
          <w:color w:val="auto"/>
          <w:sz w:val="24"/>
          <w:szCs w:val="24"/>
        </w:rPr>
      </w:pPr>
      <w:r>
        <w:rPr>
          <w:rFonts w:hint="eastAsia" w:ascii="宋体" w:hAnsi="宋体" w:cs="宋体"/>
          <w:strike w:val="0"/>
          <w:dstrike w:val="0"/>
          <w:color w:val="auto"/>
          <w:sz w:val="24"/>
          <w:szCs w:val="24"/>
        </w:rPr>
        <w:t>4、在保修期结束前，须由中标方工程师和采购方代表进行一次全面检查，任何缺陷必须由中标方负责修理，在修理之后，中标方应将缺陷原因、修理内容、完成修理及恢复正常的时间和日期等报告给采购方。</w:t>
      </w:r>
    </w:p>
    <w:p>
      <w:pPr>
        <w:pStyle w:val="72"/>
        <w:ind w:firstLine="480"/>
        <w:rPr>
          <w:rFonts w:hint="eastAsia" w:ascii="宋体" w:hAnsi="宋体" w:cs="宋体"/>
          <w:sz w:val="24"/>
          <w:szCs w:val="24"/>
        </w:rPr>
      </w:pPr>
      <w:r>
        <w:rPr>
          <w:rFonts w:hint="eastAsia" w:ascii="宋体" w:hAnsi="宋体" w:cs="宋体"/>
          <w:sz w:val="24"/>
          <w:szCs w:val="24"/>
        </w:rPr>
        <w:t xml:space="preserve">5、中标方须作出无推诿承诺。即中标方应提供特殊措施，无论由于哪一方产生的问题而使系统发生不正常情况时，并在得到采购方通知后，须立即派工程师到场，使系统尽快恢复正常。 </w:t>
      </w:r>
    </w:p>
    <w:p>
      <w:pPr>
        <w:pStyle w:val="72"/>
        <w:ind w:firstLine="480"/>
        <w:rPr>
          <w:rFonts w:hint="eastAsia" w:ascii="宋体" w:hAnsi="宋体" w:cs="宋体"/>
          <w:sz w:val="24"/>
          <w:szCs w:val="24"/>
        </w:rPr>
      </w:pPr>
      <w:r>
        <w:rPr>
          <w:rFonts w:hint="eastAsia" w:ascii="宋体" w:hAnsi="宋体" w:cs="宋体"/>
          <w:sz w:val="24"/>
          <w:szCs w:val="24"/>
        </w:rPr>
        <w:t>6、要求服务工作人员对工作中涉及到的用户的数据、文件等任何资料进行保密。因工作人员的行为造成泄密等问题由中标单位承担相应的责任；</w:t>
      </w:r>
    </w:p>
    <w:p>
      <w:pPr>
        <w:pStyle w:val="18"/>
        <w:jc w:val="left"/>
        <w:rPr>
          <w:sz w:val="24"/>
          <w:szCs w:val="24"/>
        </w:rPr>
      </w:pPr>
      <w:bookmarkStart w:id="39" w:name="_Toc15079"/>
      <w:r>
        <w:rPr>
          <w:rFonts w:hint="eastAsia"/>
          <w:sz w:val="24"/>
          <w:szCs w:val="24"/>
        </w:rPr>
        <w:t>4.5 项目验收要求</w:t>
      </w:r>
      <w:bookmarkEnd w:id="39"/>
    </w:p>
    <w:p>
      <w:pPr>
        <w:pStyle w:val="72"/>
        <w:ind w:firstLine="480"/>
        <w:rPr>
          <w:rFonts w:ascii="宋体" w:hAnsi="宋体" w:cs="宋体"/>
          <w:sz w:val="24"/>
          <w:szCs w:val="24"/>
        </w:rPr>
      </w:pPr>
      <w:r>
        <w:rPr>
          <w:rFonts w:hint="eastAsia" w:ascii="宋体" w:hAnsi="宋体" w:cs="宋体"/>
          <w:sz w:val="24"/>
          <w:szCs w:val="24"/>
        </w:rPr>
        <w:t>项目的验收包括初步验收、试运行和竣工验收。</w:t>
      </w:r>
    </w:p>
    <w:p>
      <w:pPr>
        <w:pStyle w:val="72"/>
        <w:ind w:firstLine="480"/>
        <w:outlineLvl w:val="2"/>
        <w:rPr>
          <w:rFonts w:ascii="宋体" w:hAnsi="宋体" w:cs="宋体"/>
          <w:sz w:val="24"/>
          <w:szCs w:val="24"/>
        </w:rPr>
      </w:pPr>
      <w:r>
        <w:rPr>
          <w:rFonts w:hint="eastAsia" w:ascii="宋体" w:hAnsi="宋体" w:cs="宋体"/>
          <w:sz w:val="24"/>
          <w:szCs w:val="24"/>
        </w:rPr>
        <w:t>1）项目初验</w:t>
      </w:r>
    </w:p>
    <w:p>
      <w:pPr>
        <w:pStyle w:val="72"/>
        <w:ind w:firstLine="480"/>
        <w:rPr>
          <w:rFonts w:hint="eastAsia" w:ascii="宋体" w:hAnsi="宋体" w:cs="宋体"/>
          <w:sz w:val="24"/>
          <w:szCs w:val="24"/>
        </w:rPr>
      </w:pPr>
      <w:r>
        <w:rPr>
          <w:rFonts w:hint="eastAsia" w:ascii="宋体" w:hAnsi="宋体" w:cs="宋体"/>
          <w:sz w:val="24"/>
          <w:szCs w:val="24"/>
        </w:rPr>
        <w:t>项目初验前，中标方应首先对系统进行自测，并将系统自测报告提交采购方和监理方审查。中标方依本合同约定向采购方提交成果及相关文档，并向采购方提出初验申请。采购方接到中标方初验申请后，组织相关单位进行初验，初验合格后联合签署初验报告。</w:t>
      </w:r>
    </w:p>
    <w:p>
      <w:pPr>
        <w:pStyle w:val="72"/>
        <w:ind w:firstLine="480"/>
        <w:outlineLvl w:val="2"/>
        <w:rPr>
          <w:rFonts w:ascii="宋体" w:hAnsi="宋体" w:cs="宋体"/>
          <w:sz w:val="24"/>
          <w:szCs w:val="24"/>
        </w:rPr>
      </w:pPr>
      <w:r>
        <w:rPr>
          <w:rFonts w:hint="eastAsia" w:ascii="宋体" w:hAnsi="宋体" w:cs="宋体"/>
          <w:sz w:val="24"/>
          <w:szCs w:val="24"/>
        </w:rPr>
        <w:t>2）试运行</w:t>
      </w:r>
    </w:p>
    <w:p>
      <w:pPr>
        <w:pStyle w:val="72"/>
        <w:ind w:firstLine="480"/>
        <w:rPr>
          <w:rFonts w:ascii="宋体" w:hAnsi="宋体" w:cs="宋体"/>
          <w:sz w:val="24"/>
          <w:szCs w:val="24"/>
        </w:rPr>
      </w:pPr>
      <w:r>
        <w:rPr>
          <w:rFonts w:hint="eastAsia" w:ascii="宋体" w:hAnsi="宋体" w:cs="宋体"/>
          <w:sz w:val="24"/>
          <w:szCs w:val="24"/>
        </w:rPr>
        <w:t>初验合格后，系统进入试运行，试运行时间为3个月。</w:t>
      </w:r>
    </w:p>
    <w:p>
      <w:pPr>
        <w:pStyle w:val="72"/>
        <w:ind w:firstLine="480"/>
        <w:outlineLvl w:val="2"/>
        <w:rPr>
          <w:rFonts w:ascii="宋体" w:hAnsi="宋体" w:cs="宋体"/>
          <w:sz w:val="24"/>
          <w:szCs w:val="24"/>
        </w:rPr>
      </w:pPr>
      <w:r>
        <w:rPr>
          <w:rFonts w:hint="eastAsia" w:ascii="宋体" w:hAnsi="宋体" w:cs="宋体"/>
          <w:sz w:val="24"/>
          <w:szCs w:val="24"/>
        </w:rPr>
        <w:t>3）终验</w:t>
      </w:r>
    </w:p>
    <w:p>
      <w:pPr>
        <w:pStyle w:val="72"/>
        <w:ind w:firstLine="480"/>
        <w:rPr>
          <w:rFonts w:hint="eastAsia" w:ascii="宋体" w:hAnsi="宋体" w:cs="宋体"/>
          <w:sz w:val="24"/>
          <w:szCs w:val="24"/>
        </w:rPr>
      </w:pPr>
      <w:r>
        <w:rPr>
          <w:rFonts w:hint="eastAsia" w:ascii="宋体" w:hAnsi="宋体" w:cs="宋体"/>
          <w:sz w:val="24"/>
          <w:szCs w:val="24"/>
        </w:rPr>
        <w:t>系统通过试运行后，中标方向采购方提出终验申请，采购方组织相关单位进行系统的终验。系统终验通过，进入正式运行阶段。系统终验收合格的条件必须至少满足以下三个要求：已提供了合同要求的全部设备、软件和资料；试运行时性能满足合同及招标文件、中标方投标文件要求；性能测试和试运行验收时出现的问题已被解决。</w:t>
      </w:r>
    </w:p>
    <w:p>
      <w:pPr>
        <w:pStyle w:val="72"/>
        <w:ind w:firstLine="480"/>
        <w:outlineLvl w:val="2"/>
        <w:rPr>
          <w:rFonts w:hint="eastAsia" w:ascii="宋体" w:hAnsi="宋体" w:cs="宋体"/>
          <w:sz w:val="24"/>
          <w:szCs w:val="24"/>
        </w:rPr>
      </w:pPr>
      <w:r>
        <w:rPr>
          <w:rFonts w:hint="eastAsia" w:ascii="宋体" w:hAnsi="宋体" w:cs="宋体"/>
          <w:sz w:val="24"/>
          <w:szCs w:val="24"/>
        </w:rPr>
        <w:t>4）验收相关功能及性能指标</w:t>
      </w:r>
    </w:p>
    <w:p>
      <w:pPr>
        <w:pStyle w:val="72"/>
        <w:ind w:firstLine="480"/>
        <w:rPr>
          <w:rFonts w:hint="eastAsia" w:ascii="宋体" w:hAnsi="宋体" w:cs="宋体"/>
          <w:sz w:val="24"/>
          <w:szCs w:val="24"/>
        </w:rPr>
      </w:pPr>
      <w:r>
        <w:rPr>
          <w:rFonts w:hint="eastAsia" w:ascii="宋体" w:hAnsi="宋体" w:cs="宋体"/>
          <w:sz w:val="24"/>
          <w:szCs w:val="24"/>
        </w:rPr>
        <w:t>可信接入代理：应用通过可信接入代理发布，实现访问控制和加密传输。</w:t>
      </w:r>
    </w:p>
    <w:p>
      <w:pPr>
        <w:pStyle w:val="72"/>
        <w:ind w:firstLine="480"/>
        <w:rPr>
          <w:rFonts w:hint="eastAsia" w:ascii="宋体" w:hAnsi="宋体" w:cs="宋体"/>
          <w:sz w:val="24"/>
          <w:szCs w:val="24"/>
        </w:rPr>
      </w:pPr>
      <w:r>
        <w:rPr>
          <w:rFonts w:hint="eastAsia" w:ascii="宋体" w:hAnsi="宋体" w:cs="宋体"/>
          <w:sz w:val="24"/>
          <w:szCs w:val="24"/>
        </w:rPr>
        <w:t xml:space="preserve">可信API代理：实现应用前置区与后置区网络间高效的API方式数据交互。 </w:t>
      </w:r>
    </w:p>
    <w:p>
      <w:pPr>
        <w:pStyle w:val="72"/>
        <w:ind w:firstLine="480"/>
        <w:rPr>
          <w:rFonts w:hint="eastAsia" w:ascii="宋体" w:hAnsi="宋体" w:cs="宋体"/>
          <w:sz w:val="24"/>
          <w:szCs w:val="24"/>
        </w:rPr>
      </w:pPr>
      <w:r>
        <w:rPr>
          <w:rFonts w:hint="eastAsia" w:ascii="宋体" w:hAnsi="宋体" w:cs="宋体"/>
          <w:sz w:val="24"/>
          <w:szCs w:val="24"/>
        </w:rPr>
        <w:t>虚拟桌面：使用虚拟桌面、水印等防止敏感应用和数据泄露。</w:t>
      </w:r>
    </w:p>
    <w:p>
      <w:pPr>
        <w:pStyle w:val="72"/>
        <w:ind w:firstLine="480"/>
        <w:rPr>
          <w:rFonts w:hint="eastAsia" w:ascii="宋体" w:hAnsi="宋体" w:cs="宋体"/>
          <w:sz w:val="24"/>
          <w:szCs w:val="24"/>
        </w:rPr>
      </w:pPr>
      <w:r>
        <w:rPr>
          <w:rFonts w:hint="eastAsia" w:ascii="宋体" w:hAnsi="宋体" w:cs="宋体"/>
          <w:sz w:val="24"/>
          <w:szCs w:val="24"/>
        </w:rPr>
        <w:t>软硬件设备功能需满足采购需求标明的参数和指标。</w:t>
      </w:r>
    </w:p>
    <w:p>
      <w:pPr>
        <w:pStyle w:val="72"/>
        <w:ind w:firstLine="480"/>
        <w:rPr>
          <w:rFonts w:hint="eastAsia" w:ascii="宋体" w:hAnsi="宋体" w:cs="宋体"/>
          <w:sz w:val="24"/>
          <w:szCs w:val="24"/>
        </w:rPr>
      </w:pPr>
      <w:r>
        <w:rPr>
          <w:rFonts w:hint="eastAsia" w:ascii="宋体" w:hAnsi="宋体" w:cs="宋体"/>
          <w:sz w:val="24"/>
          <w:szCs w:val="24"/>
        </w:rPr>
        <w:t>云桌面并发用户：支持300个并发用户。</w:t>
      </w:r>
    </w:p>
    <w:p>
      <w:pPr>
        <w:pStyle w:val="72"/>
        <w:ind w:firstLine="480"/>
        <w:rPr>
          <w:rFonts w:ascii="宋体" w:hAnsi="宋体" w:cs="宋体"/>
          <w:sz w:val="24"/>
          <w:szCs w:val="24"/>
        </w:rPr>
      </w:pPr>
      <w:r>
        <w:rPr>
          <w:rFonts w:hint="eastAsia" w:ascii="宋体" w:hAnsi="宋体" w:cs="宋体"/>
          <w:sz w:val="24"/>
          <w:szCs w:val="24"/>
        </w:rPr>
        <w:t>公安接入网用户应用访问时延≦200ms。</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ind w:left="0" w:leftChars="0" w:firstLine="0" w:firstLineChars="0"/>
        <w:rPr>
          <w:rFonts w:hint="default"/>
          <w:b/>
          <w:bCs w:val="0"/>
          <w:sz w:val="24"/>
          <w:szCs w:val="24"/>
          <w:lang w:val="en-US" w:eastAsia="zh-CN"/>
        </w:rPr>
      </w:pPr>
      <w:r>
        <w:rPr>
          <w:rFonts w:hint="eastAsia" w:ascii="黑体" w:hAnsi="黑体" w:eastAsia="黑体"/>
          <w:b/>
          <w:bCs w:val="0"/>
          <w:sz w:val="24"/>
          <w:szCs w:val="24"/>
          <w:lang w:val="en-US" w:eastAsia="zh-CN"/>
        </w:rPr>
        <w:t>第二标段：</w:t>
      </w:r>
      <w:r>
        <w:rPr>
          <w:rFonts w:hint="eastAsia" w:ascii="宋体" w:hAnsi="宋体"/>
          <w:b/>
          <w:bCs w:val="0"/>
          <w:color w:val="auto"/>
          <w:kern w:val="0"/>
          <w:sz w:val="24"/>
          <w:szCs w:val="24"/>
          <w:lang w:val="en-US" w:eastAsia="zh-CN"/>
        </w:rPr>
        <w:t>智慧**-虚拟化平台扩容</w:t>
      </w:r>
    </w:p>
    <w:p>
      <w:pPr>
        <w:pStyle w:val="2"/>
      </w:pPr>
    </w:p>
    <w:p>
      <w:pPr>
        <w:tabs>
          <w:tab w:val="left" w:pos="8280"/>
        </w:tabs>
        <w:autoSpaceDE w:val="0"/>
        <w:autoSpaceDN w:val="0"/>
        <w:adjustRightInd w:val="0"/>
        <w:spacing w:line="360" w:lineRule="auto"/>
        <w:ind w:right="25"/>
        <w:rPr>
          <w:rFonts w:hAnsi="宋体"/>
          <w:b/>
          <w:sz w:val="24"/>
        </w:rPr>
      </w:pPr>
      <w:r>
        <w:rPr>
          <w:rFonts w:hint="eastAsia" w:ascii="宋体" w:hAnsi="宋体"/>
          <w:b/>
          <w:sz w:val="24"/>
        </w:rPr>
        <w:t>1、项目建设背景</w:t>
      </w:r>
    </w:p>
    <w:p>
      <w:pPr>
        <w:pStyle w:val="73"/>
        <w:ind w:firstLine="480"/>
      </w:pPr>
      <w:r>
        <w:rPr>
          <w:rFonts w:hint="eastAsia"/>
        </w:rPr>
        <w:t>近年来，台州市公安局信息化应用多部署在虚拟化平台上，随着科技业务迅猛增长，虚拟化平台的计算资源和存储资源已趋饱和；另外我局小型机上也运行十多年，设备逐步老化，故障风险逐步增加。因此，拟对现有虚拟化平台进行扩容，满足未来业务需求；并对原部署在小型机的应用、数据库进行迁移，确保公安核心业务高速稳定运行。</w:t>
      </w:r>
    </w:p>
    <w:p>
      <w:pPr>
        <w:tabs>
          <w:tab w:val="left" w:pos="8280"/>
        </w:tabs>
        <w:autoSpaceDE w:val="0"/>
        <w:autoSpaceDN w:val="0"/>
        <w:adjustRightInd w:val="0"/>
        <w:spacing w:line="360" w:lineRule="auto"/>
        <w:ind w:right="25"/>
        <w:rPr>
          <w:rFonts w:ascii="宋体" w:hAnsi="宋体"/>
          <w:b/>
          <w:sz w:val="24"/>
        </w:rPr>
      </w:pPr>
      <w:r>
        <w:rPr>
          <w:rFonts w:ascii="宋体" w:hAnsi="宋体"/>
          <w:b/>
          <w:sz w:val="24"/>
        </w:rPr>
        <w:t>2</w:t>
      </w:r>
      <w:r>
        <w:rPr>
          <w:rFonts w:hint="eastAsia" w:ascii="宋体" w:hAnsi="宋体"/>
          <w:b/>
          <w:sz w:val="24"/>
        </w:rPr>
        <w:t>、采购清单</w:t>
      </w:r>
    </w:p>
    <w:tbl>
      <w:tblPr>
        <w:tblStyle w:val="23"/>
        <w:tblW w:w="48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2946"/>
        <w:gridCol w:w="1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jc w:val="center"/>
        </w:trPr>
        <w:tc>
          <w:tcPr>
            <w:tcW w:w="638" w:type="dxa"/>
            <w:vAlign w:val="center"/>
          </w:tcPr>
          <w:p>
            <w:pPr>
              <w:widowControl/>
              <w:jc w:val="center"/>
              <w:rPr>
                <w:rFonts w:ascii="宋体" w:hAnsi="宋体" w:cs="宋体"/>
                <w:b/>
                <w:bCs/>
                <w:szCs w:val="21"/>
              </w:rPr>
            </w:pPr>
            <w:r>
              <w:rPr>
                <w:rFonts w:hint="eastAsia" w:ascii="宋体" w:hAnsi="宋体" w:cs="宋体"/>
                <w:b/>
                <w:bCs/>
                <w:szCs w:val="21"/>
              </w:rPr>
              <w:t>序号</w:t>
            </w:r>
          </w:p>
        </w:tc>
        <w:tc>
          <w:tcPr>
            <w:tcW w:w="2946" w:type="dxa"/>
            <w:vAlign w:val="center"/>
          </w:tcPr>
          <w:p>
            <w:pPr>
              <w:widowControl/>
              <w:jc w:val="center"/>
              <w:rPr>
                <w:rFonts w:ascii="宋体" w:hAnsi="宋体" w:cs="宋体"/>
                <w:b/>
                <w:bCs/>
                <w:szCs w:val="21"/>
              </w:rPr>
            </w:pPr>
            <w:r>
              <w:rPr>
                <w:rFonts w:hint="eastAsia" w:ascii="宋体" w:hAnsi="宋体" w:cs="宋体"/>
                <w:b/>
                <w:bCs/>
                <w:szCs w:val="21"/>
              </w:rPr>
              <w:t>产品名称</w:t>
            </w:r>
          </w:p>
        </w:tc>
        <w:tc>
          <w:tcPr>
            <w:tcW w:w="1271" w:type="dxa"/>
            <w:vAlign w:val="center"/>
          </w:tcPr>
          <w:p>
            <w:pPr>
              <w:widowControl/>
              <w:jc w:val="center"/>
              <w:rPr>
                <w:rFonts w:ascii="宋体" w:hAnsi="宋体" w:cs="宋体"/>
                <w:b/>
                <w:bCs/>
                <w:szCs w:val="21"/>
              </w:rPr>
            </w:pPr>
            <w:r>
              <w:rPr>
                <w:rFonts w:hint="eastAsia" w:ascii="宋体" w:hAnsi="宋体" w:cs="宋体"/>
                <w:b/>
                <w:bCs/>
                <w:szCs w:val="21"/>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38" w:type="dxa"/>
            <w:vAlign w:val="center"/>
          </w:tcPr>
          <w:p>
            <w:pPr>
              <w:spacing w:line="360" w:lineRule="auto"/>
              <w:jc w:val="center"/>
              <w:rPr>
                <w:rFonts w:ascii="宋体" w:hAnsi="宋体" w:cs="宋体"/>
                <w:szCs w:val="21"/>
              </w:rPr>
            </w:pPr>
            <w:r>
              <w:rPr>
                <w:rFonts w:hint="eastAsia" w:ascii="宋体" w:hAnsi="宋体" w:cs="宋体"/>
                <w:szCs w:val="21"/>
              </w:rPr>
              <w:t>1</w:t>
            </w:r>
          </w:p>
        </w:tc>
        <w:tc>
          <w:tcPr>
            <w:tcW w:w="2946" w:type="dxa"/>
            <w:vAlign w:val="center"/>
          </w:tcPr>
          <w:p>
            <w:pPr>
              <w:spacing w:line="360" w:lineRule="auto"/>
              <w:jc w:val="center"/>
              <w:rPr>
                <w:rFonts w:ascii="宋体" w:hAnsi="宋体" w:cs="宋体"/>
                <w:szCs w:val="21"/>
              </w:rPr>
            </w:pPr>
            <w:r>
              <w:rPr>
                <w:rFonts w:hint="eastAsia" w:ascii="宋体" w:hAnsi="宋体" w:cs="宋体"/>
                <w:szCs w:val="21"/>
              </w:rPr>
              <w:t>核心数据库存储（核心产品）</w:t>
            </w:r>
          </w:p>
        </w:tc>
        <w:tc>
          <w:tcPr>
            <w:tcW w:w="1271" w:type="dxa"/>
            <w:vAlign w:val="center"/>
          </w:tcPr>
          <w:p>
            <w:pPr>
              <w:spacing w:line="360" w:lineRule="auto"/>
              <w:jc w:val="center"/>
              <w:rPr>
                <w:rFonts w:ascii="宋体" w:hAnsi="宋体" w:cs="宋体"/>
                <w:szCs w:val="21"/>
              </w:rPr>
            </w:pPr>
            <w:r>
              <w:rPr>
                <w:rFonts w:hint="eastAsia" w:ascii="宋体" w:hAnsi="宋体" w:cs="宋体"/>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38" w:type="dxa"/>
            <w:vAlign w:val="center"/>
          </w:tcPr>
          <w:p>
            <w:pPr>
              <w:spacing w:line="360" w:lineRule="auto"/>
              <w:jc w:val="center"/>
              <w:rPr>
                <w:rFonts w:ascii="宋体" w:hAnsi="宋体" w:cs="宋体"/>
                <w:szCs w:val="21"/>
              </w:rPr>
            </w:pPr>
            <w:r>
              <w:rPr>
                <w:rFonts w:hint="eastAsia" w:ascii="宋体" w:hAnsi="宋体" w:cs="宋体"/>
                <w:szCs w:val="21"/>
              </w:rPr>
              <w:t>2</w:t>
            </w:r>
          </w:p>
        </w:tc>
        <w:tc>
          <w:tcPr>
            <w:tcW w:w="2946" w:type="dxa"/>
            <w:vAlign w:val="center"/>
          </w:tcPr>
          <w:p>
            <w:pPr>
              <w:spacing w:line="360" w:lineRule="auto"/>
              <w:jc w:val="center"/>
              <w:rPr>
                <w:rFonts w:ascii="宋体" w:hAnsi="宋体" w:cs="宋体"/>
                <w:szCs w:val="21"/>
              </w:rPr>
            </w:pPr>
            <w:r>
              <w:rPr>
                <w:rFonts w:hint="eastAsia" w:ascii="宋体" w:hAnsi="宋体" w:cs="宋体"/>
                <w:szCs w:val="21"/>
              </w:rPr>
              <w:t>虚拟化平台存储</w:t>
            </w:r>
          </w:p>
        </w:tc>
        <w:tc>
          <w:tcPr>
            <w:tcW w:w="1271" w:type="dxa"/>
            <w:vAlign w:val="center"/>
          </w:tcPr>
          <w:p>
            <w:pPr>
              <w:spacing w:line="360" w:lineRule="auto"/>
              <w:jc w:val="center"/>
              <w:rPr>
                <w:rFonts w:ascii="宋体" w:hAnsi="宋体" w:cs="宋体"/>
                <w:szCs w:val="21"/>
              </w:rPr>
            </w:pPr>
            <w:r>
              <w:rPr>
                <w:rFonts w:hint="eastAsia" w:ascii="宋体" w:hAnsi="宋体" w:cs="宋体"/>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38" w:type="dxa"/>
            <w:vAlign w:val="center"/>
          </w:tcPr>
          <w:p>
            <w:pPr>
              <w:spacing w:line="360" w:lineRule="auto"/>
              <w:jc w:val="center"/>
              <w:rPr>
                <w:rFonts w:ascii="宋体" w:hAnsi="宋体" w:cs="宋体"/>
                <w:szCs w:val="21"/>
              </w:rPr>
            </w:pPr>
            <w:r>
              <w:rPr>
                <w:rFonts w:hint="eastAsia" w:ascii="宋体" w:hAnsi="宋体" w:cs="宋体"/>
                <w:szCs w:val="21"/>
              </w:rPr>
              <w:t>3</w:t>
            </w:r>
          </w:p>
        </w:tc>
        <w:tc>
          <w:tcPr>
            <w:tcW w:w="2946" w:type="dxa"/>
            <w:vAlign w:val="center"/>
          </w:tcPr>
          <w:p>
            <w:pPr>
              <w:spacing w:line="360" w:lineRule="auto"/>
              <w:jc w:val="center"/>
              <w:rPr>
                <w:rFonts w:ascii="宋体" w:hAnsi="宋体" w:cs="宋体"/>
                <w:szCs w:val="21"/>
              </w:rPr>
            </w:pPr>
            <w:r>
              <w:rPr>
                <w:rFonts w:hint="eastAsia" w:ascii="宋体" w:hAnsi="宋体" w:cs="宋体"/>
                <w:szCs w:val="21"/>
              </w:rPr>
              <w:t>数据库服务器</w:t>
            </w:r>
          </w:p>
        </w:tc>
        <w:tc>
          <w:tcPr>
            <w:tcW w:w="1271" w:type="dxa"/>
            <w:vAlign w:val="center"/>
          </w:tcPr>
          <w:p>
            <w:pPr>
              <w:spacing w:line="360" w:lineRule="auto"/>
              <w:jc w:val="center"/>
              <w:rPr>
                <w:rFonts w:ascii="宋体" w:hAnsi="宋体" w:cs="宋体"/>
                <w:szCs w:val="21"/>
              </w:rPr>
            </w:pPr>
            <w:r>
              <w:rPr>
                <w:rFonts w:hint="eastAsia" w:ascii="宋体" w:hAnsi="宋体" w:cs="宋体"/>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38" w:type="dxa"/>
            <w:vAlign w:val="center"/>
          </w:tcPr>
          <w:p>
            <w:pPr>
              <w:spacing w:line="360" w:lineRule="auto"/>
              <w:jc w:val="center"/>
              <w:rPr>
                <w:rFonts w:ascii="宋体" w:hAnsi="宋体" w:cs="宋体"/>
                <w:szCs w:val="21"/>
              </w:rPr>
            </w:pPr>
            <w:r>
              <w:rPr>
                <w:rFonts w:ascii="宋体" w:hAnsi="宋体" w:cs="宋体"/>
                <w:szCs w:val="21"/>
              </w:rPr>
              <w:t>4</w:t>
            </w:r>
          </w:p>
        </w:tc>
        <w:tc>
          <w:tcPr>
            <w:tcW w:w="2946" w:type="dxa"/>
            <w:vAlign w:val="center"/>
          </w:tcPr>
          <w:p>
            <w:pPr>
              <w:spacing w:line="360" w:lineRule="auto"/>
              <w:jc w:val="center"/>
              <w:rPr>
                <w:rFonts w:ascii="宋体" w:hAnsi="宋体" w:cs="宋体"/>
                <w:szCs w:val="21"/>
              </w:rPr>
            </w:pPr>
            <w:r>
              <w:rPr>
                <w:rFonts w:hint="eastAsia" w:ascii="宋体" w:hAnsi="宋体" w:cs="宋体"/>
                <w:szCs w:val="21"/>
              </w:rPr>
              <w:t>虚拟机服务器</w:t>
            </w:r>
          </w:p>
        </w:tc>
        <w:tc>
          <w:tcPr>
            <w:tcW w:w="1271" w:type="dxa"/>
            <w:vAlign w:val="center"/>
          </w:tcPr>
          <w:p>
            <w:pPr>
              <w:spacing w:line="360" w:lineRule="auto"/>
              <w:jc w:val="center"/>
              <w:rPr>
                <w:rFonts w:ascii="宋体" w:hAnsi="宋体" w:cs="宋体"/>
                <w:szCs w:val="21"/>
              </w:rPr>
            </w:pPr>
            <w:r>
              <w:rPr>
                <w:rFonts w:ascii="宋体" w:hAnsi="宋体" w:cs="宋体"/>
                <w:szCs w:val="21"/>
              </w:rPr>
              <w:t>12</w:t>
            </w:r>
            <w:r>
              <w:rPr>
                <w:rFonts w:hint="eastAsia" w:ascii="宋体" w:hAnsi="宋体" w:cs="宋体"/>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38" w:type="dxa"/>
            <w:vAlign w:val="center"/>
          </w:tcPr>
          <w:p>
            <w:pPr>
              <w:spacing w:line="360" w:lineRule="auto"/>
              <w:jc w:val="center"/>
              <w:rPr>
                <w:rFonts w:ascii="宋体" w:hAnsi="宋体" w:cs="宋体"/>
                <w:szCs w:val="21"/>
              </w:rPr>
            </w:pPr>
            <w:r>
              <w:rPr>
                <w:rFonts w:hint="eastAsia" w:ascii="宋体" w:hAnsi="宋体" w:cs="宋体"/>
                <w:szCs w:val="21"/>
              </w:rPr>
              <w:t>5</w:t>
            </w:r>
          </w:p>
        </w:tc>
        <w:tc>
          <w:tcPr>
            <w:tcW w:w="2946" w:type="dxa"/>
            <w:vAlign w:val="center"/>
          </w:tcPr>
          <w:p>
            <w:pPr>
              <w:spacing w:line="360" w:lineRule="auto"/>
              <w:jc w:val="center"/>
              <w:rPr>
                <w:rFonts w:ascii="宋体" w:hAnsi="宋体" w:cs="宋体"/>
                <w:szCs w:val="21"/>
              </w:rPr>
            </w:pPr>
            <w:r>
              <w:rPr>
                <w:rFonts w:hint="eastAsia" w:ascii="宋体" w:hAnsi="宋体" w:cs="宋体"/>
                <w:szCs w:val="21"/>
              </w:rPr>
              <w:t>G</w:t>
            </w:r>
            <w:r>
              <w:rPr>
                <w:rFonts w:ascii="宋体" w:hAnsi="宋体" w:cs="宋体"/>
                <w:szCs w:val="21"/>
              </w:rPr>
              <w:t>PU</w:t>
            </w:r>
            <w:r>
              <w:rPr>
                <w:rFonts w:hint="eastAsia" w:ascii="宋体" w:hAnsi="宋体" w:cs="宋体"/>
                <w:szCs w:val="21"/>
              </w:rPr>
              <w:t>服务器</w:t>
            </w:r>
          </w:p>
        </w:tc>
        <w:tc>
          <w:tcPr>
            <w:tcW w:w="1271" w:type="dxa"/>
            <w:vAlign w:val="center"/>
          </w:tcPr>
          <w:p>
            <w:pPr>
              <w:spacing w:line="360" w:lineRule="auto"/>
              <w:jc w:val="center"/>
              <w:rPr>
                <w:rFonts w:ascii="宋体" w:hAnsi="宋体" w:cs="宋体"/>
                <w:szCs w:val="21"/>
              </w:rPr>
            </w:pPr>
            <w:r>
              <w:rPr>
                <w:rFonts w:hint="eastAsia" w:ascii="宋体" w:hAnsi="宋体" w:cs="宋体"/>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38" w:type="dxa"/>
            <w:vAlign w:val="center"/>
          </w:tcPr>
          <w:p>
            <w:pPr>
              <w:spacing w:line="360" w:lineRule="auto"/>
              <w:jc w:val="center"/>
              <w:rPr>
                <w:rFonts w:ascii="宋体" w:hAnsi="宋体" w:cs="宋体"/>
                <w:szCs w:val="21"/>
              </w:rPr>
            </w:pPr>
            <w:r>
              <w:rPr>
                <w:rFonts w:hint="eastAsia" w:ascii="宋体" w:hAnsi="宋体" w:cs="宋体"/>
                <w:szCs w:val="21"/>
              </w:rPr>
              <w:t>6</w:t>
            </w:r>
          </w:p>
        </w:tc>
        <w:tc>
          <w:tcPr>
            <w:tcW w:w="2946" w:type="dxa"/>
            <w:vAlign w:val="center"/>
          </w:tcPr>
          <w:p>
            <w:pPr>
              <w:spacing w:line="360" w:lineRule="auto"/>
              <w:jc w:val="center"/>
              <w:rPr>
                <w:rFonts w:ascii="宋体" w:hAnsi="宋体" w:cs="宋体"/>
                <w:szCs w:val="21"/>
              </w:rPr>
            </w:pPr>
            <w:r>
              <w:rPr>
                <w:rFonts w:hint="eastAsia" w:ascii="宋体" w:hAnsi="宋体" w:cs="宋体"/>
                <w:szCs w:val="21"/>
              </w:rPr>
              <w:t>光纤交换机</w:t>
            </w:r>
          </w:p>
        </w:tc>
        <w:tc>
          <w:tcPr>
            <w:tcW w:w="1271" w:type="dxa"/>
            <w:vAlign w:val="center"/>
          </w:tcPr>
          <w:p>
            <w:pPr>
              <w:spacing w:line="360" w:lineRule="auto"/>
              <w:jc w:val="center"/>
              <w:rPr>
                <w:rFonts w:ascii="宋体" w:hAnsi="宋体" w:cs="宋体"/>
                <w:szCs w:val="21"/>
              </w:rPr>
            </w:pPr>
            <w:r>
              <w:rPr>
                <w:rFonts w:hint="eastAsia" w:ascii="宋体" w:hAnsi="宋体" w:cs="宋体"/>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38" w:type="dxa"/>
            <w:vAlign w:val="center"/>
          </w:tcPr>
          <w:p>
            <w:pPr>
              <w:spacing w:line="360" w:lineRule="auto"/>
              <w:jc w:val="center"/>
              <w:rPr>
                <w:rFonts w:ascii="宋体" w:hAnsi="宋体" w:cs="宋体"/>
                <w:szCs w:val="21"/>
              </w:rPr>
            </w:pPr>
            <w:r>
              <w:rPr>
                <w:rFonts w:ascii="宋体" w:hAnsi="宋体" w:cs="宋体"/>
                <w:szCs w:val="21"/>
              </w:rPr>
              <w:t>7</w:t>
            </w:r>
          </w:p>
        </w:tc>
        <w:tc>
          <w:tcPr>
            <w:tcW w:w="2946" w:type="dxa"/>
            <w:vAlign w:val="center"/>
          </w:tcPr>
          <w:p>
            <w:pPr>
              <w:spacing w:line="360" w:lineRule="auto"/>
              <w:jc w:val="center"/>
              <w:rPr>
                <w:rFonts w:ascii="宋体" w:hAnsi="宋体" w:cs="宋体"/>
                <w:szCs w:val="21"/>
              </w:rPr>
            </w:pPr>
            <w:r>
              <w:rPr>
                <w:rFonts w:hint="eastAsia" w:ascii="宋体" w:hAnsi="宋体" w:cs="宋体"/>
                <w:szCs w:val="21"/>
              </w:rPr>
              <w:t>备份一体机扩容</w:t>
            </w:r>
          </w:p>
        </w:tc>
        <w:tc>
          <w:tcPr>
            <w:tcW w:w="1271" w:type="dxa"/>
            <w:vAlign w:val="center"/>
          </w:tcPr>
          <w:p>
            <w:pPr>
              <w:spacing w:line="360" w:lineRule="auto"/>
              <w:jc w:val="center"/>
              <w:rPr>
                <w:rFonts w:ascii="宋体" w:hAnsi="宋体" w:cs="宋体"/>
                <w:szCs w:val="21"/>
              </w:rPr>
            </w:pPr>
            <w:r>
              <w:rPr>
                <w:rFonts w:hint="eastAsia" w:ascii="宋体" w:hAnsi="宋体" w:cs="宋体"/>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38" w:type="dxa"/>
            <w:vAlign w:val="center"/>
          </w:tcPr>
          <w:p>
            <w:pPr>
              <w:spacing w:line="360" w:lineRule="auto"/>
              <w:jc w:val="center"/>
              <w:rPr>
                <w:rFonts w:ascii="宋体" w:hAnsi="宋体" w:cs="宋体"/>
                <w:szCs w:val="21"/>
              </w:rPr>
            </w:pPr>
            <w:r>
              <w:rPr>
                <w:rFonts w:ascii="宋体" w:hAnsi="宋体" w:cs="宋体"/>
                <w:szCs w:val="21"/>
              </w:rPr>
              <w:t>8</w:t>
            </w:r>
          </w:p>
        </w:tc>
        <w:tc>
          <w:tcPr>
            <w:tcW w:w="2946" w:type="dxa"/>
            <w:vAlign w:val="center"/>
          </w:tcPr>
          <w:p>
            <w:pPr>
              <w:spacing w:line="360" w:lineRule="auto"/>
              <w:jc w:val="center"/>
              <w:rPr>
                <w:rFonts w:ascii="宋体" w:hAnsi="宋体" w:cs="宋体"/>
                <w:szCs w:val="21"/>
              </w:rPr>
            </w:pPr>
            <w:r>
              <w:rPr>
                <w:rFonts w:hint="eastAsia" w:ascii="宋体" w:hAnsi="宋体" w:cs="宋体"/>
                <w:szCs w:val="21"/>
              </w:rPr>
              <w:t>网卡扩容</w:t>
            </w:r>
          </w:p>
        </w:tc>
        <w:tc>
          <w:tcPr>
            <w:tcW w:w="1271" w:type="dxa"/>
            <w:vAlign w:val="center"/>
          </w:tcPr>
          <w:p>
            <w:pPr>
              <w:spacing w:line="360" w:lineRule="auto"/>
              <w:jc w:val="center"/>
              <w:rPr>
                <w:rFonts w:ascii="宋体" w:hAnsi="宋体" w:cs="宋体"/>
                <w:szCs w:val="21"/>
              </w:rPr>
            </w:pPr>
            <w:r>
              <w:rPr>
                <w:rFonts w:ascii="宋体" w:hAnsi="宋体" w:cs="宋体"/>
                <w:szCs w:val="21"/>
              </w:rPr>
              <w:t>6</w:t>
            </w:r>
            <w:r>
              <w:rPr>
                <w:rFonts w:hint="eastAsia" w:ascii="宋体" w:hAnsi="宋体" w:cs="宋体"/>
                <w:szCs w:val="21"/>
              </w:rPr>
              <w:t>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38" w:type="dxa"/>
            <w:vAlign w:val="center"/>
          </w:tcPr>
          <w:p>
            <w:pPr>
              <w:spacing w:line="360" w:lineRule="auto"/>
              <w:jc w:val="center"/>
              <w:rPr>
                <w:rFonts w:ascii="宋体" w:hAnsi="宋体" w:cs="宋体"/>
                <w:szCs w:val="21"/>
              </w:rPr>
            </w:pPr>
            <w:r>
              <w:rPr>
                <w:rFonts w:ascii="宋体" w:hAnsi="宋体" w:cs="宋体"/>
                <w:szCs w:val="21"/>
              </w:rPr>
              <w:t>9</w:t>
            </w:r>
          </w:p>
        </w:tc>
        <w:tc>
          <w:tcPr>
            <w:tcW w:w="2946" w:type="dxa"/>
            <w:vAlign w:val="center"/>
          </w:tcPr>
          <w:p>
            <w:pPr>
              <w:spacing w:line="360" w:lineRule="auto"/>
              <w:jc w:val="center"/>
              <w:rPr>
                <w:rFonts w:ascii="宋体" w:hAnsi="宋体" w:cs="宋体"/>
                <w:szCs w:val="21"/>
              </w:rPr>
            </w:pPr>
            <w:r>
              <w:rPr>
                <w:rFonts w:hint="eastAsia" w:ascii="宋体" w:hAnsi="宋体" w:cs="宋体"/>
                <w:szCs w:val="21"/>
              </w:rPr>
              <w:t>核心交换机</w:t>
            </w:r>
          </w:p>
        </w:tc>
        <w:tc>
          <w:tcPr>
            <w:tcW w:w="1271" w:type="dxa"/>
            <w:vAlign w:val="center"/>
          </w:tcPr>
          <w:p>
            <w:pPr>
              <w:spacing w:line="360" w:lineRule="auto"/>
              <w:jc w:val="center"/>
              <w:rPr>
                <w:rFonts w:ascii="宋体" w:hAnsi="宋体" w:cs="宋体"/>
                <w:szCs w:val="21"/>
              </w:rPr>
            </w:pPr>
            <w:r>
              <w:rPr>
                <w:rFonts w:hint="eastAsia" w:ascii="宋体" w:hAnsi="宋体" w:cs="宋体"/>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38" w:type="dxa"/>
            <w:vAlign w:val="center"/>
          </w:tcPr>
          <w:p>
            <w:pPr>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0</w:t>
            </w:r>
          </w:p>
        </w:tc>
        <w:tc>
          <w:tcPr>
            <w:tcW w:w="2946" w:type="dxa"/>
            <w:vAlign w:val="center"/>
          </w:tcPr>
          <w:p>
            <w:pPr>
              <w:spacing w:line="360" w:lineRule="auto"/>
              <w:jc w:val="center"/>
              <w:rPr>
                <w:rFonts w:ascii="宋体" w:hAnsi="宋体" w:cs="宋体"/>
                <w:szCs w:val="21"/>
              </w:rPr>
            </w:pPr>
            <w:r>
              <w:rPr>
                <w:rFonts w:hint="eastAsia" w:ascii="宋体" w:hAnsi="宋体" w:cs="宋体"/>
                <w:szCs w:val="21"/>
              </w:rPr>
              <w:t>核心交换机扩容</w:t>
            </w:r>
          </w:p>
        </w:tc>
        <w:tc>
          <w:tcPr>
            <w:tcW w:w="1271" w:type="dxa"/>
            <w:vAlign w:val="center"/>
          </w:tcPr>
          <w:p>
            <w:pPr>
              <w:spacing w:line="360" w:lineRule="auto"/>
              <w:jc w:val="center"/>
              <w:rPr>
                <w:rFonts w:ascii="宋体" w:hAnsi="宋体" w:cs="宋体"/>
                <w:szCs w:val="21"/>
              </w:rPr>
            </w:pPr>
            <w:r>
              <w:rPr>
                <w:rFonts w:hint="eastAsia" w:ascii="宋体" w:hAnsi="宋体" w:cs="宋体"/>
                <w:szCs w:val="21"/>
              </w:rPr>
              <w:t>1块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38" w:type="dxa"/>
            <w:vAlign w:val="center"/>
          </w:tcPr>
          <w:p>
            <w:pPr>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1</w:t>
            </w:r>
          </w:p>
        </w:tc>
        <w:tc>
          <w:tcPr>
            <w:tcW w:w="2946" w:type="dxa"/>
            <w:vAlign w:val="center"/>
          </w:tcPr>
          <w:p>
            <w:pPr>
              <w:spacing w:line="360" w:lineRule="auto"/>
              <w:jc w:val="center"/>
              <w:rPr>
                <w:rFonts w:ascii="宋体" w:hAnsi="宋体" w:cs="宋体"/>
                <w:szCs w:val="21"/>
              </w:rPr>
            </w:pPr>
            <w:r>
              <w:rPr>
                <w:rFonts w:hint="eastAsia" w:ascii="宋体" w:hAnsi="宋体" w:cs="宋体"/>
                <w:szCs w:val="21"/>
              </w:rPr>
              <w:t>下一代防火墙</w:t>
            </w:r>
          </w:p>
        </w:tc>
        <w:tc>
          <w:tcPr>
            <w:tcW w:w="1271" w:type="dxa"/>
            <w:vAlign w:val="center"/>
          </w:tcPr>
          <w:p>
            <w:pPr>
              <w:spacing w:line="360" w:lineRule="auto"/>
              <w:jc w:val="center"/>
              <w:rPr>
                <w:rFonts w:ascii="宋体" w:hAnsi="宋体" w:cs="宋体"/>
                <w:szCs w:val="21"/>
              </w:rPr>
            </w:pPr>
            <w:r>
              <w:rPr>
                <w:rFonts w:hint="eastAsia" w:ascii="宋体" w:hAnsi="宋体" w:cs="宋体"/>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38" w:type="dxa"/>
            <w:vAlign w:val="center"/>
          </w:tcPr>
          <w:p>
            <w:pPr>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2</w:t>
            </w:r>
          </w:p>
        </w:tc>
        <w:tc>
          <w:tcPr>
            <w:tcW w:w="2946" w:type="dxa"/>
            <w:vAlign w:val="center"/>
          </w:tcPr>
          <w:p>
            <w:pPr>
              <w:spacing w:line="360" w:lineRule="auto"/>
              <w:jc w:val="center"/>
              <w:rPr>
                <w:rFonts w:ascii="宋体" w:hAnsi="宋体" w:cs="宋体"/>
                <w:szCs w:val="21"/>
              </w:rPr>
            </w:pPr>
            <w:r>
              <w:rPr>
                <w:rFonts w:hint="eastAsia" w:ascii="宋体" w:hAnsi="宋体" w:cs="宋体"/>
                <w:szCs w:val="21"/>
              </w:rPr>
              <w:t>堡垒机</w:t>
            </w:r>
          </w:p>
        </w:tc>
        <w:tc>
          <w:tcPr>
            <w:tcW w:w="1271" w:type="dxa"/>
            <w:vAlign w:val="center"/>
          </w:tcPr>
          <w:p>
            <w:pPr>
              <w:spacing w:line="360" w:lineRule="auto"/>
              <w:jc w:val="center"/>
              <w:rPr>
                <w:rFonts w:ascii="宋体" w:hAnsi="宋体" w:cs="宋体"/>
                <w:szCs w:val="21"/>
              </w:rPr>
            </w:pPr>
            <w:r>
              <w:rPr>
                <w:rFonts w:hint="eastAsia" w:ascii="宋体" w:hAnsi="宋体" w:cs="宋体"/>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38" w:type="dxa"/>
            <w:vAlign w:val="center"/>
          </w:tcPr>
          <w:p>
            <w:pPr>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3</w:t>
            </w:r>
          </w:p>
        </w:tc>
        <w:tc>
          <w:tcPr>
            <w:tcW w:w="2946" w:type="dxa"/>
            <w:vAlign w:val="center"/>
          </w:tcPr>
          <w:p>
            <w:pPr>
              <w:spacing w:line="360" w:lineRule="auto"/>
              <w:jc w:val="center"/>
              <w:rPr>
                <w:rFonts w:ascii="宋体" w:hAnsi="宋体" w:cs="宋体"/>
                <w:szCs w:val="21"/>
              </w:rPr>
            </w:pPr>
            <w:r>
              <w:rPr>
                <w:rFonts w:hint="eastAsia" w:ascii="宋体" w:hAnsi="宋体" w:cs="宋体"/>
                <w:szCs w:val="21"/>
              </w:rPr>
              <w:t>综合日志审计系统</w:t>
            </w:r>
          </w:p>
        </w:tc>
        <w:tc>
          <w:tcPr>
            <w:tcW w:w="1271" w:type="dxa"/>
            <w:vAlign w:val="center"/>
          </w:tcPr>
          <w:p>
            <w:pPr>
              <w:spacing w:line="360" w:lineRule="auto"/>
              <w:jc w:val="center"/>
              <w:rPr>
                <w:rFonts w:ascii="宋体" w:hAnsi="宋体" w:cs="宋体"/>
                <w:szCs w:val="21"/>
              </w:rPr>
            </w:pPr>
            <w:r>
              <w:rPr>
                <w:rFonts w:hint="eastAsia" w:ascii="宋体" w:hAnsi="宋体" w:cs="宋体"/>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38" w:type="dxa"/>
            <w:vAlign w:val="center"/>
          </w:tcPr>
          <w:p>
            <w:pPr>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4</w:t>
            </w:r>
          </w:p>
        </w:tc>
        <w:tc>
          <w:tcPr>
            <w:tcW w:w="2946" w:type="dxa"/>
            <w:vAlign w:val="center"/>
          </w:tcPr>
          <w:p>
            <w:pPr>
              <w:spacing w:line="360" w:lineRule="auto"/>
              <w:jc w:val="center"/>
              <w:rPr>
                <w:rFonts w:ascii="宋体" w:hAnsi="宋体" w:cs="宋体"/>
                <w:szCs w:val="21"/>
              </w:rPr>
            </w:pPr>
            <w:r>
              <w:rPr>
                <w:rFonts w:hint="eastAsia" w:ascii="宋体" w:hAnsi="宋体" w:cs="宋体"/>
                <w:szCs w:val="21"/>
              </w:rPr>
              <w:t>数据库审计系统</w:t>
            </w:r>
          </w:p>
        </w:tc>
        <w:tc>
          <w:tcPr>
            <w:tcW w:w="1271" w:type="dxa"/>
            <w:vAlign w:val="center"/>
          </w:tcPr>
          <w:p>
            <w:pPr>
              <w:spacing w:line="360" w:lineRule="auto"/>
              <w:jc w:val="center"/>
              <w:rPr>
                <w:rFonts w:ascii="宋体" w:hAnsi="宋体" w:cs="宋体"/>
                <w:szCs w:val="21"/>
              </w:rPr>
            </w:pPr>
            <w:r>
              <w:rPr>
                <w:rFonts w:hint="eastAsia" w:ascii="宋体" w:hAnsi="宋体" w:cs="宋体"/>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38" w:type="dxa"/>
            <w:vAlign w:val="center"/>
          </w:tcPr>
          <w:p>
            <w:pPr>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5</w:t>
            </w:r>
          </w:p>
        </w:tc>
        <w:tc>
          <w:tcPr>
            <w:tcW w:w="2946" w:type="dxa"/>
            <w:vAlign w:val="center"/>
          </w:tcPr>
          <w:p>
            <w:pPr>
              <w:spacing w:line="360" w:lineRule="auto"/>
              <w:jc w:val="center"/>
              <w:rPr>
                <w:rFonts w:ascii="宋体" w:hAnsi="宋体" w:cs="宋体"/>
                <w:szCs w:val="21"/>
              </w:rPr>
            </w:pPr>
            <w:r>
              <w:rPr>
                <w:rFonts w:hint="eastAsia" w:ascii="宋体" w:hAnsi="宋体" w:cs="宋体"/>
                <w:szCs w:val="21"/>
              </w:rPr>
              <w:t>准入控制系统</w:t>
            </w:r>
          </w:p>
        </w:tc>
        <w:tc>
          <w:tcPr>
            <w:tcW w:w="1271" w:type="dxa"/>
            <w:vAlign w:val="center"/>
          </w:tcPr>
          <w:p>
            <w:pPr>
              <w:spacing w:line="360" w:lineRule="auto"/>
              <w:jc w:val="center"/>
              <w:rPr>
                <w:rFonts w:ascii="宋体" w:hAnsi="宋体" w:cs="宋体"/>
                <w:szCs w:val="21"/>
              </w:rPr>
            </w:pPr>
            <w:r>
              <w:rPr>
                <w:rFonts w:hint="eastAsia" w:ascii="宋体" w:hAnsi="宋体" w:cs="宋体"/>
                <w:szCs w:val="21"/>
              </w:rPr>
              <w:t>1台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jc w:val="center"/>
        </w:trPr>
        <w:tc>
          <w:tcPr>
            <w:tcW w:w="638" w:type="dxa"/>
            <w:vAlign w:val="center"/>
          </w:tcPr>
          <w:p>
            <w:pPr>
              <w:spacing w:line="360" w:lineRule="auto"/>
              <w:jc w:val="center"/>
              <w:rPr>
                <w:rFonts w:ascii="宋体" w:hAnsi="宋体" w:cs="宋体"/>
                <w:szCs w:val="21"/>
              </w:rPr>
            </w:pPr>
            <w:r>
              <w:rPr>
                <w:rFonts w:hint="eastAsia" w:ascii="宋体" w:hAnsi="宋体" w:cs="宋体"/>
                <w:szCs w:val="21"/>
              </w:rPr>
              <w:t>1</w:t>
            </w:r>
            <w:r>
              <w:rPr>
                <w:rFonts w:ascii="宋体" w:hAnsi="宋体" w:cs="宋体"/>
                <w:szCs w:val="21"/>
              </w:rPr>
              <w:t>6</w:t>
            </w:r>
          </w:p>
        </w:tc>
        <w:tc>
          <w:tcPr>
            <w:tcW w:w="2946" w:type="dxa"/>
            <w:vAlign w:val="center"/>
          </w:tcPr>
          <w:p>
            <w:pPr>
              <w:spacing w:line="360" w:lineRule="auto"/>
              <w:jc w:val="center"/>
              <w:rPr>
                <w:rFonts w:ascii="宋体" w:hAnsi="宋体" w:cs="宋体"/>
                <w:szCs w:val="21"/>
              </w:rPr>
            </w:pPr>
            <w:r>
              <w:rPr>
                <w:rFonts w:hint="eastAsia" w:ascii="宋体" w:hAnsi="宋体" w:cs="宋体"/>
                <w:kern w:val="0"/>
                <w:szCs w:val="21"/>
                <w:lang w:bidi="ar"/>
              </w:rPr>
              <w:t>终端安全管理平台</w:t>
            </w:r>
          </w:p>
        </w:tc>
        <w:tc>
          <w:tcPr>
            <w:tcW w:w="1271" w:type="dxa"/>
            <w:vAlign w:val="center"/>
          </w:tcPr>
          <w:p>
            <w:pPr>
              <w:spacing w:line="360" w:lineRule="auto"/>
              <w:jc w:val="center"/>
              <w:rPr>
                <w:rFonts w:ascii="宋体" w:hAnsi="宋体" w:cs="宋体"/>
                <w:szCs w:val="21"/>
              </w:rPr>
            </w:pPr>
            <w:r>
              <w:rPr>
                <w:rFonts w:hint="eastAsia" w:ascii="宋体" w:hAnsi="宋体" w:cs="宋体"/>
                <w:szCs w:val="21"/>
              </w:rPr>
              <w:t>1套</w:t>
            </w:r>
          </w:p>
        </w:tc>
      </w:tr>
    </w:tbl>
    <w:p/>
    <w:p>
      <w:pPr>
        <w:tabs>
          <w:tab w:val="left" w:pos="8280"/>
        </w:tabs>
        <w:autoSpaceDE w:val="0"/>
        <w:autoSpaceDN w:val="0"/>
        <w:adjustRightInd w:val="0"/>
        <w:spacing w:line="360" w:lineRule="auto"/>
        <w:ind w:right="25"/>
        <w:rPr>
          <w:rFonts w:ascii="宋体" w:hAnsi="宋体"/>
          <w:b/>
          <w:sz w:val="24"/>
        </w:rPr>
      </w:pPr>
      <w:r>
        <w:rPr>
          <w:rFonts w:ascii="宋体" w:hAnsi="宋体"/>
          <w:b/>
          <w:sz w:val="24"/>
        </w:rPr>
        <w:t>3</w:t>
      </w:r>
      <w:r>
        <w:rPr>
          <w:rFonts w:hint="eastAsia" w:ascii="宋体" w:hAnsi="宋体"/>
          <w:b/>
          <w:sz w:val="24"/>
        </w:rPr>
        <w:t>、技术规格参数</w:t>
      </w:r>
    </w:p>
    <w:p>
      <w:pPr>
        <w:rPr>
          <w:rFonts w:ascii="宋体" w:hAnsi="宋体"/>
          <w:b/>
          <w:sz w:val="24"/>
        </w:rPr>
      </w:pPr>
      <w:r>
        <w:rPr>
          <w:rFonts w:ascii="宋体" w:hAnsi="宋体"/>
          <w:b/>
          <w:sz w:val="24"/>
        </w:rPr>
        <w:t>3.1</w:t>
      </w:r>
      <w:r>
        <w:rPr>
          <w:rFonts w:hint="eastAsia" w:ascii="宋体" w:hAnsi="宋体"/>
          <w:b/>
          <w:sz w:val="24"/>
        </w:rPr>
        <w:t>核心数据库存储（2台）</w:t>
      </w:r>
    </w:p>
    <w:tbl>
      <w:tblPr>
        <w:tblStyle w:val="2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8"/>
        <w:gridCol w:w="6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848" w:type="dxa"/>
            <w:vAlign w:val="center"/>
          </w:tcPr>
          <w:p>
            <w:pPr>
              <w:spacing w:line="360" w:lineRule="auto"/>
              <w:jc w:val="center"/>
              <w:rPr>
                <w:rFonts w:ascii="宋体" w:hAnsi="宋体" w:cs="宋体"/>
                <w:b/>
                <w:szCs w:val="21"/>
              </w:rPr>
            </w:pPr>
            <w:r>
              <w:rPr>
                <w:rFonts w:ascii="宋体" w:hAnsi="宋体" w:cs="宋体"/>
                <w:b/>
                <w:szCs w:val="21"/>
              </w:rPr>
              <w:t>指标项</w:t>
            </w:r>
          </w:p>
        </w:tc>
        <w:tc>
          <w:tcPr>
            <w:tcW w:w="6680" w:type="dxa"/>
            <w:vAlign w:val="center"/>
          </w:tcPr>
          <w:p>
            <w:pPr>
              <w:spacing w:line="360" w:lineRule="auto"/>
              <w:jc w:val="center"/>
              <w:rPr>
                <w:rFonts w:ascii="宋体" w:hAnsi="宋体" w:cs="宋体"/>
                <w:b/>
                <w:szCs w:val="21"/>
              </w:rPr>
            </w:pPr>
            <w:r>
              <w:rPr>
                <w:rFonts w:hint="eastAsia" w:ascii="宋体" w:hAnsi="宋体" w:cs="宋体"/>
                <w:b/>
                <w:szCs w:val="21"/>
              </w:rPr>
              <w:t>配置及参数要求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848" w:type="dxa"/>
            <w:vAlign w:val="center"/>
          </w:tcPr>
          <w:p>
            <w:pPr>
              <w:spacing w:line="360" w:lineRule="auto"/>
              <w:rPr>
                <w:rFonts w:ascii="宋体" w:hAnsi="宋体" w:cs="宋体"/>
                <w:szCs w:val="21"/>
              </w:rPr>
            </w:pPr>
            <w:r>
              <w:rPr>
                <w:rFonts w:hint="eastAsia" w:ascii="宋体" w:hAnsi="宋体" w:cs="宋体"/>
                <w:szCs w:val="21"/>
              </w:rPr>
              <w:t>品牌</w:t>
            </w:r>
          </w:p>
        </w:tc>
        <w:tc>
          <w:tcPr>
            <w:tcW w:w="6680" w:type="dxa"/>
            <w:vAlign w:val="center"/>
          </w:tcPr>
          <w:p>
            <w:pPr>
              <w:spacing w:line="360" w:lineRule="auto"/>
              <w:rPr>
                <w:rFonts w:ascii="宋体" w:hAnsi="宋体" w:cs="宋体"/>
                <w:szCs w:val="21"/>
              </w:rPr>
            </w:pPr>
            <w:r>
              <w:rPr>
                <w:rFonts w:hint="eastAsia" w:ascii="宋体" w:hAnsi="宋体" w:cs="宋体"/>
                <w:szCs w:val="21"/>
              </w:rPr>
              <w:t>国产知名品牌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848" w:type="dxa"/>
            <w:vAlign w:val="center"/>
          </w:tcPr>
          <w:p>
            <w:pPr>
              <w:spacing w:line="360" w:lineRule="auto"/>
              <w:rPr>
                <w:rFonts w:ascii="宋体" w:hAnsi="宋体" w:cs="宋体"/>
                <w:szCs w:val="21"/>
              </w:rPr>
            </w:pPr>
            <w:r>
              <w:rPr>
                <w:rFonts w:ascii="宋体" w:hAnsi="宋体" w:cs="宋体"/>
                <w:szCs w:val="21"/>
              </w:rPr>
              <w:t>控制器</w:t>
            </w:r>
          </w:p>
        </w:tc>
        <w:tc>
          <w:tcPr>
            <w:tcW w:w="6680" w:type="dxa"/>
            <w:vAlign w:val="center"/>
          </w:tcPr>
          <w:p>
            <w:pPr>
              <w:spacing w:line="360" w:lineRule="auto"/>
              <w:rPr>
                <w:rFonts w:hint="default" w:ascii="宋体" w:hAnsi="宋体" w:eastAsia="宋体" w:cs="宋体"/>
                <w:szCs w:val="21"/>
                <w:lang w:val="en-US" w:eastAsia="zh-CN"/>
              </w:rPr>
            </w:pPr>
            <w:r>
              <w:rPr>
                <w:rFonts w:ascii="宋体" w:hAnsi="宋体" w:cs="宋体"/>
                <w:szCs w:val="21"/>
              </w:rPr>
              <w:t>配置</w:t>
            </w:r>
            <w:r>
              <w:rPr>
                <w:rFonts w:hint="eastAsia" w:ascii="宋体" w:hAnsi="宋体" w:cs="宋体"/>
                <w:szCs w:val="21"/>
              </w:rPr>
              <w:t>双活控制器（非AP模式），支持控制器扩展，最大支持</w:t>
            </w:r>
            <w:r>
              <w:rPr>
                <w:rFonts w:ascii="宋体" w:hAnsi="宋体" w:cs="宋体"/>
                <w:szCs w:val="21"/>
              </w:rPr>
              <w:t>≥4</w:t>
            </w:r>
            <w:r>
              <w:rPr>
                <w:rFonts w:hint="eastAsia" w:ascii="宋体" w:hAnsi="宋体" w:cs="宋体"/>
                <w:szCs w:val="21"/>
              </w:rPr>
              <w:t>控，提供相关功能证明截图或第三方测试报告。</w:t>
            </w:r>
            <w:r>
              <w:rPr>
                <w:rFonts w:hint="eastAsia" w:ascii="宋体" w:hAnsi="宋体" w:cs="宋体"/>
                <w:szCs w:val="21"/>
                <w:lang w:val="en-US" w:eastAsia="zh-CN"/>
              </w:rPr>
              <w:t>每个控制器</w:t>
            </w:r>
            <w:r>
              <w:rPr>
                <w:rFonts w:hint="eastAsia" w:ascii="宋体" w:hAnsi="宋体" w:cs="宋体"/>
                <w:szCs w:val="21"/>
              </w:rPr>
              <w:t>物理</w:t>
            </w:r>
            <w:r>
              <w:rPr>
                <w:rFonts w:hint="eastAsia" w:ascii="宋体" w:hAnsi="宋体" w:cs="宋体"/>
                <w:szCs w:val="21"/>
                <w:lang w:val="en-US" w:eastAsia="zh-CN"/>
              </w:rPr>
              <w:t>CPU</w:t>
            </w:r>
            <w:r>
              <w:rPr>
                <w:rFonts w:hint="eastAsia" w:ascii="宋体" w:hAnsi="宋体" w:cs="宋体"/>
                <w:szCs w:val="21"/>
              </w:rPr>
              <w:t>核心数</w:t>
            </w:r>
            <w:r>
              <w:rPr>
                <w:rFonts w:hint="eastAsia" w:ascii="宋体" w:hAnsi="宋体" w:cs="宋体"/>
                <w:szCs w:val="21"/>
                <w:lang w:val="en-US" w:eastAsia="zh-CN"/>
              </w:rPr>
              <w:t>不少于1</w:t>
            </w:r>
            <w:r>
              <w:rPr>
                <w:rFonts w:hint="eastAsia" w:ascii="宋体" w:hAnsi="宋体" w:cs="宋体"/>
                <w:szCs w:val="21"/>
              </w:rPr>
              <w:t>0核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 w:hRule="atLeast"/>
        </w:trPr>
        <w:tc>
          <w:tcPr>
            <w:tcW w:w="1848" w:type="dxa"/>
            <w:vAlign w:val="center"/>
          </w:tcPr>
          <w:p>
            <w:pPr>
              <w:spacing w:line="360" w:lineRule="auto"/>
              <w:rPr>
                <w:rFonts w:ascii="宋体" w:hAnsi="宋体" w:cs="宋体"/>
                <w:szCs w:val="21"/>
              </w:rPr>
            </w:pPr>
            <w:r>
              <w:rPr>
                <w:rFonts w:ascii="宋体" w:hAnsi="宋体" w:cs="宋体"/>
                <w:szCs w:val="21"/>
              </w:rPr>
              <w:t>存储缓存容量</w:t>
            </w:r>
          </w:p>
        </w:tc>
        <w:tc>
          <w:tcPr>
            <w:tcW w:w="6680" w:type="dxa"/>
            <w:vAlign w:val="center"/>
          </w:tcPr>
          <w:p>
            <w:pPr>
              <w:spacing w:line="360" w:lineRule="auto"/>
              <w:rPr>
                <w:rFonts w:ascii="宋体" w:hAnsi="宋体" w:cs="宋体"/>
                <w:szCs w:val="21"/>
              </w:rPr>
            </w:pPr>
            <w:r>
              <w:rPr>
                <w:rFonts w:ascii="宋体" w:hAnsi="宋体" w:cs="宋体"/>
                <w:szCs w:val="21"/>
              </w:rPr>
              <w:t>缓存容量配置≥256GB（不含性能加速卡</w:t>
            </w:r>
            <w:r>
              <w:rPr>
                <w:rFonts w:hint="eastAsia" w:ascii="宋体" w:hAnsi="宋体" w:cs="宋体"/>
                <w:szCs w:val="21"/>
              </w:rPr>
              <w:t>或</w:t>
            </w:r>
            <w:r>
              <w:rPr>
                <w:rFonts w:ascii="宋体" w:hAnsi="宋体" w:cs="宋体"/>
                <w:szCs w:val="21"/>
              </w:rPr>
              <w:t>SSD</w:t>
            </w:r>
            <w:r>
              <w:rPr>
                <w:rFonts w:hint="eastAsia" w:ascii="宋体" w:hAnsi="宋体" w:cs="宋体"/>
                <w:szCs w:val="21"/>
              </w:rPr>
              <w:t>缓存</w:t>
            </w:r>
            <w:r>
              <w:rPr>
                <w:rFonts w:ascii="宋体" w:hAnsi="宋体" w:cs="宋体"/>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848" w:type="dxa"/>
            <w:vAlign w:val="center"/>
          </w:tcPr>
          <w:p>
            <w:pPr>
              <w:spacing w:line="360" w:lineRule="auto"/>
              <w:rPr>
                <w:rFonts w:ascii="宋体" w:hAnsi="宋体" w:cs="宋体"/>
                <w:szCs w:val="21"/>
              </w:rPr>
            </w:pPr>
            <w:r>
              <w:rPr>
                <w:rFonts w:ascii="宋体" w:hAnsi="宋体" w:cs="宋体"/>
                <w:szCs w:val="21"/>
              </w:rPr>
              <w:t>前端主机通道接口</w:t>
            </w:r>
          </w:p>
        </w:tc>
        <w:tc>
          <w:tcPr>
            <w:tcW w:w="6680" w:type="dxa"/>
            <w:vAlign w:val="center"/>
          </w:tcPr>
          <w:p>
            <w:pPr>
              <w:spacing w:line="360" w:lineRule="auto"/>
              <w:rPr>
                <w:rFonts w:ascii="宋体" w:hAnsi="宋体" w:cs="宋体"/>
                <w:szCs w:val="21"/>
              </w:rPr>
            </w:pPr>
            <w:r>
              <w:rPr>
                <w:rFonts w:hint="eastAsia" w:ascii="宋体" w:hAnsi="宋体" w:cs="宋体"/>
                <w:szCs w:val="21"/>
              </w:rPr>
              <w:t>支持8/</w:t>
            </w:r>
            <w:r>
              <w:rPr>
                <w:rFonts w:ascii="宋体" w:hAnsi="宋体" w:cs="宋体"/>
                <w:szCs w:val="21"/>
              </w:rPr>
              <w:t>16/32Gbps FC</w:t>
            </w:r>
            <w:r>
              <w:rPr>
                <w:rFonts w:hint="eastAsia" w:ascii="宋体" w:hAnsi="宋体" w:cs="宋体"/>
                <w:szCs w:val="21"/>
              </w:rPr>
              <w:t>作为前端通道端口类型；</w:t>
            </w:r>
          </w:p>
          <w:p>
            <w:pPr>
              <w:spacing w:line="360" w:lineRule="auto"/>
              <w:rPr>
                <w:rFonts w:ascii="宋体" w:hAnsi="宋体" w:cs="宋体"/>
                <w:szCs w:val="21"/>
              </w:rPr>
            </w:pPr>
            <w:r>
              <w:rPr>
                <w:rFonts w:ascii="宋体" w:hAnsi="宋体" w:cs="宋体"/>
                <w:szCs w:val="21"/>
              </w:rPr>
              <w:t>配置</w:t>
            </w:r>
            <w:r>
              <w:rPr>
                <w:rFonts w:hint="eastAsia" w:ascii="宋体" w:hAnsi="宋体" w:cs="宋体"/>
                <w:szCs w:val="21"/>
              </w:rPr>
              <w:t>≥</w:t>
            </w:r>
            <w:r>
              <w:rPr>
                <w:rFonts w:ascii="宋体" w:hAnsi="宋体" w:cs="宋体"/>
                <w:szCs w:val="21"/>
              </w:rPr>
              <w:t>8*16Gb FC接口（FC接口满配多模光模块）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848" w:type="dxa"/>
            <w:vAlign w:val="center"/>
          </w:tcPr>
          <w:p>
            <w:pPr>
              <w:spacing w:line="360" w:lineRule="auto"/>
              <w:rPr>
                <w:rFonts w:ascii="宋体" w:hAnsi="宋体" w:cs="宋体"/>
                <w:szCs w:val="21"/>
              </w:rPr>
            </w:pPr>
            <w:r>
              <w:rPr>
                <w:rFonts w:ascii="宋体" w:hAnsi="宋体" w:cs="宋体"/>
                <w:szCs w:val="21"/>
              </w:rPr>
              <w:t>配置硬盘</w:t>
            </w:r>
          </w:p>
        </w:tc>
        <w:tc>
          <w:tcPr>
            <w:tcW w:w="6680" w:type="dxa"/>
            <w:vAlign w:val="center"/>
          </w:tcPr>
          <w:p>
            <w:pPr>
              <w:spacing w:line="360" w:lineRule="auto"/>
              <w:rPr>
                <w:rFonts w:ascii="宋体" w:hAnsi="宋体" w:cs="宋体"/>
                <w:szCs w:val="21"/>
              </w:rPr>
            </w:pPr>
            <w:r>
              <w:rPr>
                <w:rFonts w:ascii="宋体" w:hAnsi="宋体" w:cs="宋体"/>
                <w:szCs w:val="21"/>
              </w:rPr>
              <w:t>配置企业级 SSD硬盘（SAS接口，非SATA接口），配置≥24块SSD硬盘，单盘容量≥1.92TB；SAS 10K RPM</w:t>
            </w:r>
            <w:r>
              <w:rPr>
                <w:rFonts w:hint="eastAsia" w:ascii="宋体" w:hAnsi="宋体" w:cs="宋体"/>
                <w:szCs w:val="21"/>
              </w:rPr>
              <w:t>硬盘配置裸容量</w:t>
            </w:r>
            <w:r>
              <w:rPr>
                <w:rFonts w:ascii="宋体" w:hAnsi="宋体" w:cs="宋体"/>
                <w:szCs w:val="21"/>
              </w:rPr>
              <w:t>≥194T</w:t>
            </w:r>
            <w:r>
              <w:rPr>
                <w:rFonts w:hint="eastAsia" w:ascii="宋体" w:hAnsi="宋体" w:cs="宋体"/>
                <w:szCs w:val="21"/>
              </w:rPr>
              <w:t>，单盘容量</w:t>
            </w:r>
            <w:r>
              <w:rPr>
                <w:rFonts w:ascii="宋体" w:hAnsi="宋体" w:cs="宋体"/>
                <w:szCs w:val="21"/>
              </w:rPr>
              <w:t>≥1.8TB</w:t>
            </w:r>
            <w:r>
              <w:rPr>
                <w:rFonts w:hint="eastAsia" w:ascii="宋体" w:hAnsi="宋体" w:cs="宋体"/>
                <w:szCs w:val="21"/>
              </w:rPr>
              <w:t>。</w:t>
            </w:r>
          </w:p>
          <w:p>
            <w:pPr>
              <w:spacing w:line="360" w:lineRule="auto"/>
              <w:rPr>
                <w:rFonts w:ascii="宋体" w:hAnsi="宋体" w:cs="宋体"/>
                <w:szCs w:val="21"/>
              </w:rPr>
            </w:pPr>
            <w:r>
              <w:rPr>
                <w:rFonts w:ascii="宋体" w:hAnsi="宋体" w:cs="宋体"/>
                <w:szCs w:val="21"/>
              </w:rPr>
              <w:t>最大支持磁盘插槽个数≥480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848" w:type="dxa"/>
            <w:vAlign w:val="center"/>
          </w:tcPr>
          <w:p>
            <w:pPr>
              <w:spacing w:line="360" w:lineRule="auto"/>
              <w:rPr>
                <w:rFonts w:ascii="宋体" w:hAnsi="宋体" w:cs="宋体"/>
                <w:szCs w:val="21"/>
              </w:rPr>
            </w:pPr>
            <w:r>
              <w:rPr>
                <w:rFonts w:ascii="宋体" w:hAnsi="宋体" w:cs="宋体"/>
                <w:szCs w:val="21"/>
              </w:rPr>
              <w:t>支持RAID</w:t>
            </w:r>
          </w:p>
        </w:tc>
        <w:tc>
          <w:tcPr>
            <w:tcW w:w="6680" w:type="dxa"/>
            <w:vAlign w:val="center"/>
          </w:tcPr>
          <w:p>
            <w:pPr>
              <w:spacing w:line="360" w:lineRule="auto"/>
              <w:rPr>
                <w:rFonts w:ascii="宋体" w:hAnsi="宋体" w:cs="宋体"/>
                <w:szCs w:val="21"/>
              </w:rPr>
            </w:pPr>
            <w:r>
              <w:rPr>
                <w:rFonts w:ascii="宋体" w:hAnsi="宋体" w:cs="宋体"/>
                <w:szCs w:val="21"/>
              </w:rPr>
              <w:t>支持RAID 1、RAID 10、RAID50、RAID 5、RAID6等可选配置</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848" w:type="dxa"/>
            <w:vAlign w:val="center"/>
          </w:tcPr>
          <w:p>
            <w:pPr>
              <w:spacing w:line="360" w:lineRule="auto"/>
              <w:rPr>
                <w:rFonts w:ascii="宋体" w:hAnsi="宋体" w:cs="宋体"/>
                <w:szCs w:val="21"/>
              </w:rPr>
            </w:pPr>
            <w:r>
              <w:rPr>
                <w:rFonts w:hint="eastAsia" w:ascii="宋体" w:hAnsi="宋体" w:cs="宋体"/>
                <w:szCs w:val="21"/>
              </w:rPr>
              <w:t>S</w:t>
            </w:r>
            <w:r>
              <w:rPr>
                <w:rFonts w:ascii="宋体" w:hAnsi="宋体" w:cs="宋体"/>
                <w:szCs w:val="21"/>
              </w:rPr>
              <w:t>AN</w:t>
            </w:r>
            <w:r>
              <w:rPr>
                <w:rFonts w:hint="eastAsia" w:ascii="宋体" w:hAnsi="宋体" w:cs="宋体"/>
                <w:szCs w:val="21"/>
              </w:rPr>
              <w:t>功能特性</w:t>
            </w:r>
          </w:p>
        </w:tc>
        <w:tc>
          <w:tcPr>
            <w:tcW w:w="6680" w:type="dxa"/>
            <w:vAlign w:val="center"/>
          </w:tcPr>
          <w:p>
            <w:pPr>
              <w:spacing w:line="360" w:lineRule="auto"/>
              <w:rPr>
                <w:rFonts w:ascii="宋体" w:hAnsi="宋体" w:cs="宋体"/>
                <w:szCs w:val="21"/>
              </w:rPr>
            </w:pPr>
            <w:r>
              <w:rPr>
                <w:rFonts w:hint="eastAsia" w:ascii="宋体" w:hAnsi="宋体" w:cs="宋体"/>
                <w:szCs w:val="21"/>
              </w:rPr>
              <w:t>配置精简配置功能；</w:t>
            </w:r>
          </w:p>
          <w:p>
            <w:pPr>
              <w:spacing w:line="360" w:lineRule="auto"/>
              <w:rPr>
                <w:rFonts w:ascii="宋体" w:hAnsi="宋体" w:cs="宋体"/>
                <w:szCs w:val="21"/>
              </w:rPr>
            </w:pPr>
            <w:r>
              <w:rPr>
                <w:rFonts w:hint="eastAsia" w:ascii="宋体" w:hAnsi="宋体" w:cs="宋体"/>
                <w:szCs w:val="21"/>
              </w:rPr>
              <w:t>配置数据迁移功能，支持存储系统内和存储系统间的业务数据在线迁移，兼容异构存储间数据迁移，配置相应许可。</w:t>
            </w:r>
          </w:p>
          <w:p>
            <w:pPr>
              <w:spacing w:line="360" w:lineRule="auto"/>
              <w:rPr>
                <w:rFonts w:ascii="宋体" w:hAnsi="宋体" w:cs="宋体"/>
                <w:szCs w:val="21"/>
              </w:rPr>
            </w:pPr>
            <w:r>
              <w:rPr>
                <w:rFonts w:hint="eastAsia" w:ascii="宋体" w:hAnsi="宋体" w:cs="宋体"/>
                <w:szCs w:val="21"/>
              </w:rPr>
              <w:t>配置数据</w:t>
            </w:r>
            <w:r>
              <w:rPr>
                <w:rFonts w:ascii="宋体" w:hAnsi="宋体" w:cs="宋体"/>
                <w:szCs w:val="21"/>
              </w:rPr>
              <w:t>分</w:t>
            </w:r>
            <w:r>
              <w:rPr>
                <w:rFonts w:hint="eastAsia" w:ascii="宋体" w:hAnsi="宋体" w:cs="宋体"/>
                <w:szCs w:val="21"/>
              </w:rPr>
              <w:t>层功能，</w:t>
            </w:r>
            <w:r>
              <w:rPr>
                <w:rFonts w:ascii="宋体" w:hAnsi="宋体" w:cs="宋体"/>
                <w:szCs w:val="21"/>
              </w:rPr>
              <w:t>提供图形化的自动分层策略调整工具</w:t>
            </w:r>
            <w:r>
              <w:rPr>
                <w:rFonts w:hint="eastAsia" w:ascii="宋体" w:hAnsi="宋体" w:cs="宋体"/>
                <w:szCs w:val="21"/>
              </w:rPr>
              <w:t>，</w:t>
            </w:r>
            <w:r>
              <w:rPr>
                <w:rFonts w:ascii="宋体" w:hAnsi="宋体" w:cs="宋体"/>
                <w:szCs w:val="21"/>
              </w:rPr>
              <w:t>能够对数据分层的时间窗口和分层方式进行调整</w:t>
            </w:r>
            <w:r>
              <w:rPr>
                <w:rFonts w:hint="eastAsia" w:ascii="宋体" w:hAnsi="宋体" w:cs="宋体"/>
                <w:szCs w:val="21"/>
              </w:rPr>
              <w:t>。</w:t>
            </w:r>
          </w:p>
          <w:p>
            <w:pPr>
              <w:spacing w:line="360" w:lineRule="auto"/>
              <w:rPr>
                <w:rFonts w:ascii="宋体" w:hAnsi="宋体" w:cs="宋体"/>
                <w:szCs w:val="21"/>
              </w:rPr>
            </w:pPr>
            <w:r>
              <w:rPr>
                <w:rFonts w:ascii="宋体" w:hAnsi="宋体" w:cs="宋体"/>
                <w:szCs w:val="21"/>
              </w:rPr>
              <w:t>提供SSD、SAS、NL-SAS三级分级配置界面截图</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可支持QoS功能，提供图像化管理界面, 能够按照IOPS、吞吐量、响应时间等维度进行策略调整。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848" w:type="dxa"/>
            <w:vAlign w:val="center"/>
          </w:tcPr>
          <w:p>
            <w:pPr>
              <w:spacing w:line="360" w:lineRule="auto"/>
              <w:rPr>
                <w:rFonts w:ascii="宋体" w:hAnsi="宋体" w:cs="宋体"/>
                <w:szCs w:val="21"/>
              </w:rPr>
            </w:pPr>
            <w:r>
              <w:rPr>
                <w:rFonts w:ascii="宋体" w:hAnsi="宋体" w:cs="宋体"/>
                <w:szCs w:val="21"/>
              </w:rPr>
              <w:t>双活功能</w:t>
            </w:r>
          </w:p>
        </w:tc>
        <w:tc>
          <w:tcPr>
            <w:tcW w:w="6680" w:type="dxa"/>
            <w:vAlign w:val="center"/>
          </w:tcPr>
          <w:p>
            <w:pPr>
              <w:spacing w:line="360" w:lineRule="auto"/>
              <w:rPr>
                <w:rFonts w:ascii="宋体" w:hAnsi="宋体" w:cs="宋体"/>
                <w:color w:val="auto"/>
                <w:szCs w:val="21"/>
              </w:rPr>
            </w:pPr>
            <w:r>
              <w:rPr>
                <w:rFonts w:ascii="宋体" w:hAnsi="宋体" w:cs="宋体"/>
                <w:color w:val="auto"/>
                <w:szCs w:val="21"/>
              </w:rPr>
              <w:t>配置存储双活功能</w:t>
            </w:r>
          </w:p>
          <w:p>
            <w:pPr>
              <w:spacing w:line="360" w:lineRule="auto"/>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）提供双活架构，实现两套核心存储数据双活，任何一套设备宕机均不影响上层业务系统运行</w:t>
            </w:r>
            <w:r>
              <w:rPr>
                <w:rFonts w:hint="eastAsia" w:ascii="宋体" w:hAnsi="宋体" w:cs="宋体"/>
                <w:color w:val="auto"/>
                <w:szCs w:val="21"/>
              </w:rPr>
              <w:t>（业务不中断）</w:t>
            </w:r>
            <w:r>
              <w:rPr>
                <w:rFonts w:ascii="宋体" w:hAnsi="宋体" w:cs="宋体"/>
                <w:color w:val="auto"/>
                <w:szCs w:val="21"/>
              </w:rPr>
              <w:t>。</w:t>
            </w:r>
            <w:r>
              <w:rPr>
                <w:rFonts w:hint="eastAsia" w:ascii="宋体" w:hAnsi="宋体" w:cs="宋体"/>
                <w:color w:val="auto"/>
                <w:szCs w:val="21"/>
              </w:rPr>
              <w:t>提供权威第三方检测报告。</w:t>
            </w:r>
          </w:p>
          <w:p>
            <w:pPr>
              <w:spacing w:line="360" w:lineRule="auto"/>
              <w:rPr>
                <w:rFonts w:ascii="宋体" w:hAnsi="宋体" w:cs="宋体"/>
                <w:color w:val="auto"/>
                <w:szCs w:val="21"/>
              </w:rPr>
            </w:pPr>
            <w:r>
              <w:rPr>
                <w:rFonts w:ascii="宋体" w:hAnsi="宋体" w:cs="宋体"/>
                <w:color w:val="auto"/>
                <w:szCs w:val="21"/>
              </w:rPr>
              <w:t>2）双活架构需要</w:t>
            </w:r>
            <w:r>
              <w:rPr>
                <w:rFonts w:hint="eastAsia" w:ascii="宋体" w:hAnsi="宋体" w:cs="宋体"/>
                <w:color w:val="auto"/>
                <w:szCs w:val="21"/>
              </w:rPr>
              <w:t>配置</w:t>
            </w:r>
            <w:r>
              <w:rPr>
                <w:rFonts w:ascii="宋体" w:hAnsi="宋体" w:cs="宋体"/>
                <w:color w:val="auto"/>
                <w:szCs w:val="21"/>
              </w:rPr>
              <w:t>独立的仲裁设备。仲裁设备故障时，不影响业务运行，同时双活卷仍能保持数据实时一致；</w:t>
            </w:r>
          </w:p>
          <w:p>
            <w:pPr>
              <w:spacing w:line="360" w:lineRule="auto"/>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）配置</w:t>
            </w:r>
            <w:r>
              <w:rPr>
                <w:rFonts w:hint="eastAsia" w:ascii="宋体" w:hAnsi="宋体" w:cs="宋体"/>
                <w:color w:val="auto"/>
                <w:szCs w:val="21"/>
              </w:rPr>
              <w:t>无限容量的</w:t>
            </w:r>
            <w:r>
              <w:rPr>
                <w:rFonts w:ascii="宋体" w:hAnsi="宋体" w:cs="宋体"/>
                <w:color w:val="auto"/>
                <w:szCs w:val="21"/>
              </w:rPr>
              <w:t>双活许可</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848" w:type="dxa"/>
            <w:vAlign w:val="center"/>
          </w:tcPr>
          <w:p>
            <w:pPr>
              <w:spacing w:line="360" w:lineRule="auto"/>
              <w:rPr>
                <w:rFonts w:ascii="宋体" w:hAnsi="宋体" w:cs="宋体"/>
                <w:szCs w:val="21"/>
              </w:rPr>
            </w:pPr>
            <w:r>
              <w:rPr>
                <w:rFonts w:hint="eastAsia" w:ascii="宋体" w:hAnsi="宋体" w:cs="宋体"/>
                <w:color w:val="auto"/>
                <w:szCs w:val="21"/>
              </w:rPr>
              <w:t>数据压缩功能</w:t>
            </w:r>
          </w:p>
        </w:tc>
        <w:tc>
          <w:tcPr>
            <w:tcW w:w="6680" w:type="dxa"/>
            <w:vAlign w:val="center"/>
          </w:tcPr>
          <w:p>
            <w:pPr>
              <w:spacing w:line="360" w:lineRule="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具备数据压缩功能（响应时需要明确实现方式）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848" w:type="dxa"/>
            <w:vAlign w:val="center"/>
          </w:tcPr>
          <w:p>
            <w:pPr>
              <w:spacing w:line="360" w:lineRule="auto"/>
              <w:rPr>
                <w:rFonts w:ascii="宋体" w:hAnsi="宋体" w:cs="宋体"/>
                <w:szCs w:val="21"/>
              </w:rPr>
            </w:pPr>
            <w:r>
              <w:rPr>
                <w:rFonts w:ascii="宋体" w:hAnsi="宋体" w:cs="宋体"/>
                <w:szCs w:val="21"/>
              </w:rPr>
              <w:t>可靠性</w:t>
            </w:r>
          </w:p>
        </w:tc>
        <w:tc>
          <w:tcPr>
            <w:tcW w:w="6680" w:type="dxa"/>
            <w:vAlign w:val="center"/>
          </w:tcPr>
          <w:p>
            <w:pPr>
              <w:spacing w:line="360" w:lineRule="auto"/>
              <w:rPr>
                <w:rFonts w:ascii="宋体" w:hAnsi="宋体" w:cs="宋体"/>
                <w:color w:val="auto"/>
                <w:szCs w:val="21"/>
              </w:rPr>
            </w:pPr>
            <w:r>
              <w:rPr>
                <w:rFonts w:ascii="宋体" w:hAnsi="宋体" w:cs="宋体"/>
                <w:color w:val="auto"/>
                <w:szCs w:val="21"/>
              </w:rPr>
              <w:t>磁盘、电源可不停机热插拔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848" w:type="dxa"/>
            <w:vAlign w:val="center"/>
          </w:tcPr>
          <w:p>
            <w:pPr>
              <w:spacing w:line="360" w:lineRule="auto"/>
              <w:rPr>
                <w:rFonts w:ascii="宋体" w:hAnsi="宋体" w:cs="宋体"/>
                <w:szCs w:val="21"/>
              </w:rPr>
            </w:pPr>
            <w:r>
              <w:rPr>
                <w:rFonts w:ascii="宋体" w:hAnsi="宋体" w:cs="宋体"/>
                <w:szCs w:val="21"/>
              </w:rPr>
              <w:t>多路径软件</w:t>
            </w:r>
          </w:p>
        </w:tc>
        <w:tc>
          <w:tcPr>
            <w:tcW w:w="6680" w:type="dxa"/>
            <w:vAlign w:val="center"/>
          </w:tcPr>
          <w:p>
            <w:pPr>
              <w:spacing w:line="360" w:lineRule="auto"/>
              <w:rPr>
                <w:rFonts w:ascii="宋体" w:hAnsi="宋体" w:cs="宋体"/>
                <w:szCs w:val="21"/>
              </w:rPr>
            </w:pPr>
            <w:r>
              <w:rPr>
                <w:rFonts w:hint="eastAsia" w:ascii="宋体" w:hAnsi="宋体" w:cs="宋体"/>
                <w:szCs w:val="21"/>
              </w:rPr>
              <w:t>支持</w:t>
            </w:r>
            <w:r>
              <w:rPr>
                <w:rFonts w:ascii="宋体" w:hAnsi="宋体" w:cs="宋体"/>
                <w:szCs w:val="21"/>
              </w:rPr>
              <w:t>多路径软件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848" w:type="dxa"/>
            <w:vAlign w:val="center"/>
          </w:tcPr>
          <w:p>
            <w:pPr>
              <w:spacing w:line="360" w:lineRule="auto"/>
              <w:rPr>
                <w:rFonts w:ascii="宋体" w:hAnsi="宋体" w:cs="宋体"/>
                <w:szCs w:val="21"/>
              </w:rPr>
            </w:pPr>
            <w:r>
              <w:rPr>
                <w:rFonts w:ascii="宋体" w:hAnsi="宋体" w:cs="宋体"/>
                <w:szCs w:val="21"/>
              </w:rPr>
              <w:t>服务</w:t>
            </w:r>
          </w:p>
        </w:tc>
        <w:tc>
          <w:tcPr>
            <w:tcW w:w="6680" w:type="dxa"/>
            <w:vAlign w:val="center"/>
          </w:tcPr>
          <w:p>
            <w:pPr>
              <w:spacing w:line="360" w:lineRule="auto"/>
              <w:rPr>
                <w:rFonts w:ascii="宋体" w:hAnsi="宋体" w:cs="宋体"/>
                <w:szCs w:val="21"/>
              </w:rPr>
            </w:pPr>
            <w:r>
              <w:rPr>
                <w:rFonts w:ascii="宋体" w:hAnsi="宋体" w:cs="宋体"/>
                <w:szCs w:val="21"/>
              </w:rPr>
              <w:t>提供五年原厂维保服务</w:t>
            </w:r>
            <w:r>
              <w:rPr>
                <w:rFonts w:hint="eastAsia" w:ascii="宋体" w:hAnsi="宋体" w:cs="宋体"/>
                <w:szCs w:val="21"/>
              </w:rPr>
              <w:t>；</w:t>
            </w:r>
          </w:p>
          <w:p>
            <w:pPr>
              <w:spacing w:line="360" w:lineRule="auto"/>
              <w:rPr>
                <w:rFonts w:hint="eastAsia" w:ascii="宋体" w:hAnsi="宋体" w:eastAsia="宋体" w:cs="宋体"/>
                <w:szCs w:val="21"/>
                <w:lang w:eastAsia="zh-CN"/>
              </w:rPr>
            </w:pPr>
            <w:r>
              <w:rPr>
                <w:rFonts w:ascii="宋体" w:hAnsi="宋体" w:cs="宋体"/>
                <w:szCs w:val="21"/>
              </w:rPr>
              <w:t>提供原厂存储双活实施服务</w:t>
            </w:r>
            <w:r>
              <w:rPr>
                <w:rFonts w:hint="eastAsia" w:ascii="宋体" w:hAnsi="宋体" w:cs="宋体"/>
                <w:szCs w:val="21"/>
                <w:lang w:eastAsia="zh-CN"/>
              </w:rPr>
              <w:t>；</w:t>
            </w:r>
          </w:p>
        </w:tc>
      </w:tr>
    </w:tbl>
    <w:p/>
    <w:p>
      <w:pPr>
        <w:pStyle w:val="71"/>
        <w:rPr>
          <w:rFonts w:ascii="宋体" w:hAnsi="宋体"/>
          <w:b/>
          <w:kern w:val="2"/>
          <w:sz w:val="24"/>
          <w:szCs w:val="24"/>
        </w:rPr>
      </w:pPr>
      <w:r>
        <w:rPr>
          <w:rFonts w:ascii="宋体" w:hAnsi="宋体"/>
          <w:b/>
          <w:kern w:val="2"/>
          <w:sz w:val="24"/>
          <w:szCs w:val="24"/>
        </w:rPr>
        <w:t>3.2</w:t>
      </w:r>
      <w:r>
        <w:rPr>
          <w:rFonts w:hint="eastAsia" w:ascii="宋体" w:hAnsi="宋体"/>
          <w:b/>
          <w:kern w:val="2"/>
          <w:sz w:val="24"/>
          <w:szCs w:val="24"/>
        </w:rPr>
        <w:t>虚拟化平台存储（2台）</w:t>
      </w:r>
    </w:p>
    <w:tbl>
      <w:tblPr>
        <w:tblStyle w:val="2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7"/>
        <w:gridCol w:w="5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77" w:type="dxa"/>
            <w:vAlign w:val="center"/>
          </w:tcPr>
          <w:p>
            <w:pPr>
              <w:spacing w:line="360" w:lineRule="auto"/>
              <w:jc w:val="center"/>
              <w:rPr>
                <w:rFonts w:ascii="宋体" w:hAnsi="宋体" w:cs="宋体"/>
                <w:b/>
                <w:szCs w:val="21"/>
              </w:rPr>
            </w:pPr>
            <w:r>
              <w:rPr>
                <w:rFonts w:ascii="宋体" w:hAnsi="宋体" w:cs="宋体"/>
                <w:b/>
                <w:szCs w:val="21"/>
              </w:rPr>
              <w:t>指标项</w:t>
            </w:r>
          </w:p>
        </w:tc>
        <w:tc>
          <w:tcPr>
            <w:tcW w:w="5751" w:type="dxa"/>
            <w:vAlign w:val="center"/>
          </w:tcPr>
          <w:p>
            <w:pPr>
              <w:spacing w:line="360" w:lineRule="auto"/>
              <w:jc w:val="center"/>
              <w:rPr>
                <w:rFonts w:ascii="宋体" w:hAnsi="宋体" w:cs="宋体"/>
                <w:b/>
                <w:szCs w:val="21"/>
              </w:rPr>
            </w:pPr>
            <w:r>
              <w:rPr>
                <w:rFonts w:hint="eastAsia" w:ascii="宋体" w:hAnsi="宋体" w:cs="宋体"/>
                <w:b/>
                <w:szCs w:val="21"/>
              </w:rPr>
              <w:t>配置及参数要求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77" w:type="dxa"/>
            <w:vAlign w:val="center"/>
          </w:tcPr>
          <w:p>
            <w:pPr>
              <w:spacing w:line="360" w:lineRule="auto"/>
              <w:rPr>
                <w:rFonts w:ascii="宋体" w:hAnsi="宋体" w:cs="宋体"/>
                <w:szCs w:val="21"/>
              </w:rPr>
            </w:pPr>
            <w:r>
              <w:rPr>
                <w:rFonts w:hint="eastAsia" w:ascii="宋体" w:hAnsi="宋体" w:cs="宋体"/>
                <w:szCs w:val="21"/>
              </w:rPr>
              <w:t>品牌</w:t>
            </w:r>
          </w:p>
        </w:tc>
        <w:tc>
          <w:tcPr>
            <w:tcW w:w="5751" w:type="dxa"/>
            <w:vAlign w:val="center"/>
          </w:tcPr>
          <w:p>
            <w:pPr>
              <w:spacing w:line="360" w:lineRule="auto"/>
              <w:rPr>
                <w:rFonts w:ascii="宋体" w:hAnsi="宋体" w:cs="宋体"/>
                <w:szCs w:val="21"/>
              </w:rPr>
            </w:pPr>
            <w:r>
              <w:rPr>
                <w:rFonts w:hint="eastAsia" w:ascii="宋体" w:hAnsi="宋体" w:cs="宋体"/>
                <w:szCs w:val="21"/>
              </w:rPr>
              <w:t>国产知名品牌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77" w:type="dxa"/>
            <w:vAlign w:val="center"/>
          </w:tcPr>
          <w:p>
            <w:pPr>
              <w:spacing w:line="360" w:lineRule="auto"/>
              <w:rPr>
                <w:rFonts w:ascii="宋体" w:hAnsi="宋体" w:cs="宋体"/>
                <w:szCs w:val="21"/>
              </w:rPr>
            </w:pPr>
            <w:r>
              <w:rPr>
                <w:rFonts w:ascii="宋体" w:hAnsi="宋体" w:cs="宋体"/>
                <w:szCs w:val="21"/>
              </w:rPr>
              <w:t>控制器</w:t>
            </w:r>
          </w:p>
        </w:tc>
        <w:tc>
          <w:tcPr>
            <w:tcW w:w="5751" w:type="dxa"/>
            <w:vAlign w:val="center"/>
          </w:tcPr>
          <w:p>
            <w:pPr>
              <w:spacing w:line="360" w:lineRule="auto"/>
              <w:rPr>
                <w:rFonts w:ascii="宋体" w:hAnsi="宋体" w:cs="宋体"/>
                <w:szCs w:val="21"/>
              </w:rPr>
            </w:pPr>
            <w:r>
              <w:rPr>
                <w:rFonts w:ascii="宋体" w:hAnsi="宋体" w:cs="宋体"/>
                <w:szCs w:val="21"/>
              </w:rPr>
              <w:t>配置</w:t>
            </w:r>
            <w:r>
              <w:rPr>
                <w:rFonts w:hint="eastAsia" w:ascii="宋体" w:hAnsi="宋体" w:cs="宋体"/>
                <w:szCs w:val="21"/>
              </w:rPr>
              <w:t>双活控制器（非AP模式），支持控制器扩展，最大支持</w:t>
            </w:r>
            <w:r>
              <w:rPr>
                <w:rFonts w:ascii="宋体" w:hAnsi="宋体" w:cs="宋体"/>
                <w:szCs w:val="21"/>
              </w:rPr>
              <w:t>≥4</w:t>
            </w:r>
            <w:r>
              <w:rPr>
                <w:rFonts w:hint="eastAsia" w:ascii="宋体" w:hAnsi="宋体" w:cs="宋体"/>
                <w:szCs w:val="21"/>
              </w:rPr>
              <w:t>控，提供相关功能证明截图或第三方测试报告。</w:t>
            </w:r>
            <w:r>
              <w:rPr>
                <w:rFonts w:hint="eastAsia" w:ascii="宋体" w:hAnsi="宋体" w:cs="宋体"/>
                <w:szCs w:val="21"/>
                <w:highlight w:val="none"/>
                <w:shd w:val="clear"/>
                <w:lang w:val="en-US" w:eastAsia="zh-CN"/>
              </w:rPr>
              <w:t>每个控制器</w:t>
            </w:r>
            <w:r>
              <w:rPr>
                <w:rFonts w:hint="eastAsia" w:ascii="宋体" w:hAnsi="宋体" w:cs="宋体"/>
                <w:color w:val="000000" w:themeColor="text1"/>
                <w:szCs w:val="21"/>
                <w:highlight w:val="none"/>
                <w:shd w:val="clear"/>
                <w14:textFill>
                  <w14:solidFill>
                    <w14:schemeClr w14:val="tx1"/>
                  </w14:solidFill>
                </w14:textFill>
              </w:rPr>
              <w:t>物理</w:t>
            </w:r>
            <w:r>
              <w:rPr>
                <w:rFonts w:hint="eastAsia" w:ascii="宋体" w:hAnsi="宋体" w:cs="宋体"/>
                <w:color w:val="000000" w:themeColor="text1"/>
                <w:szCs w:val="21"/>
                <w:highlight w:val="none"/>
                <w:shd w:val="clear"/>
                <w:lang w:val="en-US" w:eastAsia="zh-CN"/>
                <w14:textFill>
                  <w14:solidFill>
                    <w14:schemeClr w14:val="tx1"/>
                  </w14:solidFill>
                </w14:textFill>
              </w:rPr>
              <w:t>CPU</w:t>
            </w:r>
            <w:r>
              <w:rPr>
                <w:rFonts w:hint="eastAsia" w:ascii="宋体" w:hAnsi="宋体" w:cs="宋体"/>
                <w:color w:val="000000" w:themeColor="text1"/>
                <w:szCs w:val="21"/>
                <w:highlight w:val="none"/>
                <w:shd w:val="clear"/>
                <w14:textFill>
                  <w14:solidFill>
                    <w14:schemeClr w14:val="tx1"/>
                  </w14:solidFill>
                </w14:textFill>
              </w:rPr>
              <w:t>核心数</w:t>
            </w:r>
            <w:r>
              <w:rPr>
                <w:rFonts w:hint="eastAsia" w:ascii="宋体" w:hAnsi="宋体" w:cs="宋体"/>
                <w:color w:val="000000" w:themeColor="text1"/>
                <w:szCs w:val="21"/>
                <w:highlight w:val="none"/>
                <w:shd w:val="clear"/>
                <w:lang w:val="en-US" w:eastAsia="zh-CN"/>
                <w14:textFill>
                  <w14:solidFill>
                    <w14:schemeClr w14:val="tx1"/>
                  </w14:solidFill>
                </w14:textFill>
              </w:rPr>
              <w:t>不少于1</w:t>
            </w:r>
            <w:r>
              <w:rPr>
                <w:rFonts w:ascii="宋体" w:hAnsi="宋体" w:cs="宋体"/>
                <w:color w:val="000000" w:themeColor="text1"/>
                <w:szCs w:val="21"/>
                <w:highlight w:val="none"/>
                <w:shd w:val="clear"/>
                <w14:textFill>
                  <w14:solidFill>
                    <w14:schemeClr w14:val="tx1"/>
                  </w14:solidFill>
                </w14:textFill>
              </w:rPr>
              <w:t>0</w:t>
            </w:r>
            <w:r>
              <w:rPr>
                <w:rFonts w:hint="eastAsia" w:ascii="宋体" w:hAnsi="宋体" w:cs="宋体"/>
                <w:color w:val="000000" w:themeColor="text1"/>
                <w:szCs w:val="21"/>
                <w:highlight w:val="none"/>
                <w:shd w:val="clear"/>
                <w14:textFill>
                  <w14:solidFill>
                    <w14:schemeClr w14:val="tx1"/>
                  </w14:solidFill>
                </w14:textFill>
              </w:rPr>
              <w:t>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77" w:type="dxa"/>
            <w:vAlign w:val="center"/>
          </w:tcPr>
          <w:p>
            <w:pPr>
              <w:spacing w:line="360" w:lineRule="auto"/>
              <w:rPr>
                <w:rFonts w:ascii="宋体" w:hAnsi="宋体" w:cs="宋体"/>
                <w:szCs w:val="21"/>
              </w:rPr>
            </w:pPr>
            <w:r>
              <w:rPr>
                <w:rFonts w:ascii="宋体" w:hAnsi="宋体" w:cs="宋体"/>
                <w:szCs w:val="21"/>
              </w:rPr>
              <w:t>存储缓存容量</w:t>
            </w:r>
          </w:p>
        </w:tc>
        <w:tc>
          <w:tcPr>
            <w:tcW w:w="5751" w:type="dxa"/>
            <w:vAlign w:val="center"/>
          </w:tcPr>
          <w:p>
            <w:pPr>
              <w:spacing w:line="360" w:lineRule="auto"/>
              <w:rPr>
                <w:rFonts w:ascii="宋体" w:hAnsi="宋体" w:cs="宋体"/>
                <w:szCs w:val="21"/>
              </w:rPr>
            </w:pPr>
            <w:r>
              <w:rPr>
                <w:rFonts w:ascii="宋体" w:hAnsi="宋体" w:cs="宋体"/>
                <w:szCs w:val="21"/>
              </w:rPr>
              <w:t>缓存容量配置≥256GB（不含性能加速卡</w:t>
            </w:r>
            <w:r>
              <w:rPr>
                <w:rFonts w:hint="eastAsia" w:ascii="宋体" w:hAnsi="宋体" w:cs="宋体"/>
                <w:szCs w:val="21"/>
              </w:rPr>
              <w:t>或</w:t>
            </w:r>
            <w:r>
              <w:rPr>
                <w:rFonts w:ascii="宋体" w:hAnsi="宋体" w:cs="宋体"/>
                <w:szCs w:val="21"/>
              </w:rPr>
              <w:t>SSD</w:t>
            </w:r>
            <w:r>
              <w:rPr>
                <w:rFonts w:hint="eastAsia" w:ascii="宋体" w:hAnsi="宋体" w:cs="宋体"/>
                <w:szCs w:val="21"/>
              </w:rPr>
              <w:t>缓存</w:t>
            </w:r>
            <w:r>
              <w:rPr>
                <w:rFonts w:ascii="宋体" w:hAnsi="宋体" w:cs="宋体"/>
                <w:szCs w:val="21"/>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77" w:type="dxa"/>
            <w:vAlign w:val="center"/>
          </w:tcPr>
          <w:p>
            <w:pPr>
              <w:spacing w:line="360" w:lineRule="auto"/>
              <w:rPr>
                <w:rFonts w:ascii="宋体" w:hAnsi="宋体" w:cs="宋体"/>
                <w:szCs w:val="21"/>
              </w:rPr>
            </w:pPr>
            <w:r>
              <w:rPr>
                <w:rFonts w:ascii="宋体" w:hAnsi="宋体" w:cs="宋体"/>
                <w:szCs w:val="21"/>
              </w:rPr>
              <w:t>前端主机通道接口</w:t>
            </w:r>
          </w:p>
        </w:tc>
        <w:tc>
          <w:tcPr>
            <w:tcW w:w="5751" w:type="dxa"/>
            <w:vAlign w:val="center"/>
          </w:tcPr>
          <w:p>
            <w:pPr>
              <w:spacing w:line="360" w:lineRule="auto"/>
              <w:rPr>
                <w:rFonts w:ascii="宋体" w:hAnsi="宋体" w:cs="宋体"/>
                <w:szCs w:val="21"/>
              </w:rPr>
            </w:pPr>
            <w:r>
              <w:rPr>
                <w:rFonts w:hint="eastAsia" w:ascii="宋体" w:hAnsi="宋体" w:cs="宋体"/>
                <w:szCs w:val="21"/>
              </w:rPr>
              <w:t>支持8/</w:t>
            </w:r>
            <w:r>
              <w:rPr>
                <w:rFonts w:ascii="宋体" w:hAnsi="宋体" w:cs="宋体"/>
                <w:szCs w:val="21"/>
              </w:rPr>
              <w:t>16/32Gbps FC</w:t>
            </w:r>
            <w:r>
              <w:rPr>
                <w:rFonts w:hint="eastAsia" w:ascii="宋体" w:hAnsi="宋体" w:cs="宋体"/>
                <w:szCs w:val="21"/>
              </w:rPr>
              <w:t>作为前端通道端口类型；</w:t>
            </w:r>
          </w:p>
          <w:p>
            <w:pPr>
              <w:spacing w:line="360" w:lineRule="auto"/>
              <w:rPr>
                <w:rFonts w:ascii="宋体" w:hAnsi="宋体" w:cs="宋体"/>
                <w:szCs w:val="21"/>
              </w:rPr>
            </w:pPr>
            <w:r>
              <w:rPr>
                <w:rFonts w:ascii="宋体" w:hAnsi="宋体" w:cs="宋体"/>
                <w:szCs w:val="21"/>
              </w:rPr>
              <w:t>配置</w:t>
            </w:r>
            <w:r>
              <w:rPr>
                <w:rFonts w:hint="eastAsia" w:ascii="宋体" w:hAnsi="宋体" w:cs="宋体"/>
                <w:szCs w:val="21"/>
              </w:rPr>
              <w:t>≥</w:t>
            </w:r>
            <w:r>
              <w:rPr>
                <w:rFonts w:ascii="宋体" w:hAnsi="宋体" w:cs="宋体"/>
                <w:szCs w:val="21"/>
              </w:rPr>
              <w:t>8*16Gb FC接口（FC接口满配多模光模块）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77" w:type="dxa"/>
            <w:vAlign w:val="center"/>
          </w:tcPr>
          <w:p>
            <w:pPr>
              <w:spacing w:line="360" w:lineRule="auto"/>
              <w:rPr>
                <w:rFonts w:ascii="宋体" w:hAnsi="宋体" w:cs="宋体"/>
                <w:szCs w:val="21"/>
              </w:rPr>
            </w:pPr>
            <w:r>
              <w:rPr>
                <w:rFonts w:ascii="宋体" w:hAnsi="宋体" w:cs="宋体"/>
                <w:szCs w:val="21"/>
              </w:rPr>
              <w:t>配置硬盘</w:t>
            </w:r>
          </w:p>
        </w:tc>
        <w:tc>
          <w:tcPr>
            <w:tcW w:w="5751" w:type="dxa"/>
            <w:vAlign w:val="center"/>
          </w:tcPr>
          <w:p>
            <w:pPr>
              <w:spacing w:line="360" w:lineRule="auto"/>
              <w:rPr>
                <w:rFonts w:ascii="宋体" w:hAnsi="宋体" w:cs="宋体"/>
                <w:szCs w:val="21"/>
              </w:rPr>
            </w:pPr>
            <w:r>
              <w:rPr>
                <w:rFonts w:ascii="宋体" w:hAnsi="宋体" w:cs="宋体"/>
                <w:szCs w:val="21"/>
              </w:rPr>
              <w:t>配置企业级 SSD硬盘（SAS接口，非SATA接口），配置≥18块SSD硬盘，单盘容量≥1.92TB；SAS 10K RPM</w:t>
            </w:r>
            <w:r>
              <w:rPr>
                <w:rFonts w:hint="eastAsia" w:ascii="宋体" w:hAnsi="宋体" w:cs="宋体"/>
                <w:szCs w:val="21"/>
              </w:rPr>
              <w:t>硬盘配置裸容量</w:t>
            </w:r>
            <w:r>
              <w:rPr>
                <w:rFonts w:ascii="宋体" w:hAnsi="宋体" w:cs="宋体"/>
                <w:szCs w:val="21"/>
              </w:rPr>
              <w:t>≥162T</w:t>
            </w:r>
            <w:r>
              <w:rPr>
                <w:rFonts w:hint="eastAsia" w:ascii="宋体" w:hAnsi="宋体" w:cs="宋体"/>
                <w:szCs w:val="21"/>
              </w:rPr>
              <w:t>，单盘容量</w:t>
            </w:r>
            <w:r>
              <w:rPr>
                <w:rFonts w:ascii="宋体" w:hAnsi="宋体" w:cs="宋体"/>
                <w:szCs w:val="21"/>
              </w:rPr>
              <w:t>≥1.8TB</w:t>
            </w:r>
          </w:p>
          <w:p>
            <w:pPr>
              <w:spacing w:line="360" w:lineRule="auto"/>
              <w:rPr>
                <w:rFonts w:ascii="宋体" w:hAnsi="宋体" w:cs="宋体"/>
                <w:szCs w:val="21"/>
              </w:rPr>
            </w:pPr>
            <w:r>
              <w:rPr>
                <w:rFonts w:ascii="宋体" w:hAnsi="宋体" w:cs="宋体"/>
                <w:szCs w:val="21"/>
              </w:rPr>
              <w:t>最大支持磁盘插槽个数≥480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77" w:type="dxa"/>
            <w:vAlign w:val="center"/>
          </w:tcPr>
          <w:p>
            <w:pPr>
              <w:spacing w:line="360" w:lineRule="auto"/>
              <w:rPr>
                <w:rFonts w:ascii="宋体" w:hAnsi="宋体" w:cs="宋体"/>
                <w:szCs w:val="21"/>
              </w:rPr>
            </w:pPr>
            <w:r>
              <w:rPr>
                <w:rFonts w:ascii="宋体" w:hAnsi="宋体" w:cs="宋体"/>
                <w:szCs w:val="21"/>
              </w:rPr>
              <w:t>支持RAID</w:t>
            </w:r>
          </w:p>
        </w:tc>
        <w:tc>
          <w:tcPr>
            <w:tcW w:w="5751" w:type="dxa"/>
            <w:vAlign w:val="center"/>
          </w:tcPr>
          <w:p>
            <w:pPr>
              <w:spacing w:line="360" w:lineRule="auto"/>
              <w:rPr>
                <w:rFonts w:ascii="宋体" w:hAnsi="宋体" w:cs="宋体"/>
                <w:szCs w:val="21"/>
              </w:rPr>
            </w:pPr>
            <w:r>
              <w:rPr>
                <w:rFonts w:ascii="宋体" w:hAnsi="宋体" w:cs="宋体"/>
                <w:szCs w:val="21"/>
              </w:rPr>
              <w:t>支持RAID 1、RAID 10、RAID50、RAID 5、RAID6等可选配置</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77" w:type="dxa"/>
            <w:vAlign w:val="center"/>
          </w:tcPr>
          <w:p>
            <w:pPr>
              <w:spacing w:line="360" w:lineRule="auto"/>
              <w:rPr>
                <w:rFonts w:ascii="宋体" w:hAnsi="宋体" w:cs="宋体"/>
                <w:szCs w:val="21"/>
              </w:rPr>
            </w:pPr>
            <w:r>
              <w:rPr>
                <w:rFonts w:hint="eastAsia" w:ascii="宋体" w:hAnsi="宋体" w:cs="宋体"/>
                <w:szCs w:val="21"/>
              </w:rPr>
              <w:t>S</w:t>
            </w:r>
            <w:r>
              <w:rPr>
                <w:rFonts w:ascii="宋体" w:hAnsi="宋体" w:cs="宋体"/>
                <w:szCs w:val="21"/>
              </w:rPr>
              <w:t>AN</w:t>
            </w:r>
            <w:r>
              <w:rPr>
                <w:rFonts w:hint="eastAsia" w:ascii="宋体" w:hAnsi="宋体" w:cs="宋体"/>
                <w:szCs w:val="21"/>
              </w:rPr>
              <w:t>功能特性</w:t>
            </w:r>
          </w:p>
        </w:tc>
        <w:tc>
          <w:tcPr>
            <w:tcW w:w="5751" w:type="dxa"/>
            <w:vAlign w:val="center"/>
          </w:tcPr>
          <w:p>
            <w:pPr>
              <w:spacing w:line="360" w:lineRule="auto"/>
              <w:rPr>
                <w:rFonts w:ascii="宋体" w:hAnsi="宋体" w:cs="宋体"/>
                <w:szCs w:val="21"/>
              </w:rPr>
            </w:pPr>
            <w:r>
              <w:rPr>
                <w:rFonts w:hint="eastAsia" w:ascii="宋体" w:hAnsi="宋体" w:cs="宋体"/>
                <w:szCs w:val="21"/>
              </w:rPr>
              <w:t>配置精简配置功能；</w:t>
            </w:r>
          </w:p>
          <w:p>
            <w:pPr>
              <w:spacing w:line="360" w:lineRule="auto"/>
              <w:rPr>
                <w:rFonts w:ascii="宋体" w:hAnsi="宋体" w:cs="宋体"/>
                <w:szCs w:val="21"/>
              </w:rPr>
            </w:pPr>
            <w:r>
              <w:rPr>
                <w:rFonts w:hint="eastAsia" w:ascii="宋体" w:hAnsi="宋体" w:cs="宋体"/>
                <w:szCs w:val="21"/>
              </w:rPr>
              <w:t>配置数据迁移功能，支持存储系统内和存储系统间的业务数据在线迁移，兼容异构存储间数据迁移，配置相应许可。</w:t>
            </w:r>
          </w:p>
          <w:p>
            <w:pPr>
              <w:spacing w:line="360" w:lineRule="auto"/>
              <w:rPr>
                <w:rFonts w:ascii="宋体" w:hAnsi="宋体" w:cs="宋体"/>
                <w:szCs w:val="21"/>
              </w:rPr>
            </w:pPr>
            <w:r>
              <w:rPr>
                <w:rFonts w:hint="eastAsia" w:ascii="宋体" w:hAnsi="宋体" w:cs="宋体"/>
                <w:szCs w:val="21"/>
              </w:rPr>
              <w:t>配置数据</w:t>
            </w:r>
            <w:r>
              <w:rPr>
                <w:rFonts w:ascii="宋体" w:hAnsi="宋体" w:cs="宋体"/>
                <w:szCs w:val="21"/>
              </w:rPr>
              <w:t>分</w:t>
            </w:r>
            <w:r>
              <w:rPr>
                <w:rFonts w:hint="eastAsia" w:ascii="宋体" w:hAnsi="宋体" w:cs="宋体"/>
                <w:szCs w:val="21"/>
              </w:rPr>
              <w:t>层功能，</w:t>
            </w:r>
            <w:r>
              <w:rPr>
                <w:rFonts w:ascii="宋体" w:hAnsi="宋体" w:cs="宋体"/>
                <w:szCs w:val="21"/>
              </w:rPr>
              <w:t>提供图形化的自动分层策略调整工具</w:t>
            </w:r>
            <w:r>
              <w:rPr>
                <w:rFonts w:hint="eastAsia" w:ascii="宋体" w:hAnsi="宋体" w:cs="宋体"/>
                <w:szCs w:val="21"/>
              </w:rPr>
              <w:t>，</w:t>
            </w:r>
            <w:r>
              <w:rPr>
                <w:rFonts w:ascii="宋体" w:hAnsi="宋体" w:cs="宋体"/>
                <w:szCs w:val="21"/>
              </w:rPr>
              <w:t>能够对数据分层的时间窗口和分层方式进行调整</w:t>
            </w:r>
            <w:r>
              <w:rPr>
                <w:rFonts w:hint="eastAsia" w:ascii="宋体" w:hAnsi="宋体" w:cs="宋体"/>
                <w:szCs w:val="21"/>
              </w:rPr>
              <w:t>。</w:t>
            </w:r>
          </w:p>
          <w:p>
            <w:pPr>
              <w:spacing w:line="360" w:lineRule="auto"/>
              <w:rPr>
                <w:rFonts w:ascii="宋体" w:hAnsi="宋体" w:cs="宋体"/>
                <w:szCs w:val="21"/>
              </w:rPr>
            </w:pPr>
            <w:r>
              <w:rPr>
                <w:rFonts w:ascii="宋体" w:hAnsi="宋体" w:cs="宋体"/>
                <w:szCs w:val="21"/>
              </w:rPr>
              <w:t>提供SSD、SAS、NL-SAS三级分级配置界面截图</w:t>
            </w:r>
            <w:r>
              <w:rPr>
                <w:rFonts w:hint="eastAsia" w:ascii="宋体" w:hAnsi="宋体" w:cs="宋体"/>
                <w:szCs w:val="21"/>
              </w:rPr>
              <w:t>。</w:t>
            </w:r>
          </w:p>
          <w:p>
            <w:pPr>
              <w:spacing w:line="360" w:lineRule="auto"/>
              <w:rPr>
                <w:rFonts w:ascii="宋体" w:hAnsi="宋体" w:cs="宋体"/>
                <w:szCs w:val="21"/>
              </w:rPr>
            </w:pPr>
            <w:r>
              <w:rPr>
                <w:rFonts w:hint="eastAsia" w:ascii="宋体" w:hAnsi="宋体" w:cs="宋体"/>
                <w:szCs w:val="21"/>
              </w:rPr>
              <w:t>可支持QoS功能，提供图像化管理界面, 能够按照IOPS、吞吐量、响应时间等维度进行策略调整。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77" w:type="dxa"/>
            <w:vAlign w:val="center"/>
          </w:tcPr>
          <w:p>
            <w:pPr>
              <w:spacing w:line="360" w:lineRule="auto"/>
              <w:rPr>
                <w:rFonts w:ascii="宋体" w:hAnsi="宋体" w:cs="宋体"/>
                <w:color w:val="auto"/>
                <w:szCs w:val="21"/>
              </w:rPr>
            </w:pPr>
            <w:r>
              <w:rPr>
                <w:rFonts w:ascii="宋体" w:hAnsi="宋体" w:cs="宋体"/>
                <w:color w:val="auto"/>
                <w:szCs w:val="21"/>
              </w:rPr>
              <w:t>双活功能</w:t>
            </w:r>
          </w:p>
        </w:tc>
        <w:tc>
          <w:tcPr>
            <w:tcW w:w="5751" w:type="dxa"/>
            <w:vAlign w:val="center"/>
          </w:tcPr>
          <w:p>
            <w:pPr>
              <w:spacing w:line="360" w:lineRule="auto"/>
              <w:rPr>
                <w:rFonts w:ascii="宋体" w:hAnsi="宋体" w:cs="宋体"/>
                <w:color w:val="auto"/>
                <w:szCs w:val="21"/>
              </w:rPr>
            </w:pPr>
            <w:r>
              <w:rPr>
                <w:rFonts w:ascii="宋体" w:hAnsi="宋体" w:cs="宋体"/>
                <w:color w:val="auto"/>
                <w:szCs w:val="21"/>
              </w:rPr>
              <w:t>配置存储双活功能</w:t>
            </w:r>
          </w:p>
          <w:p>
            <w:pPr>
              <w:spacing w:line="360" w:lineRule="auto"/>
              <w:rPr>
                <w:rFonts w:ascii="宋体" w:hAnsi="宋体" w:cs="宋体"/>
                <w:color w:val="auto"/>
                <w:szCs w:val="21"/>
              </w:rPr>
            </w:pPr>
            <w:r>
              <w:rPr>
                <w:rFonts w:hint="eastAsia" w:ascii="宋体" w:hAnsi="宋体" w:cs="宋体"/>
                <w:color w:val="auto"/>
                <w:szCs w:val="21"/>
              </w:rPr>
              <w:t>1）</w:t>
            </w:r>
            <w:r>
              <w:rPr>
                <w:rFonts w:ascii="宋体" w:hAnsi="宋体" w:cs="宋体"/>
                <w:color w:val="auto"/>
                <w:szCs w:val="21"/>
              </w:rPr>
              <w:t>提供双活架构，实现两套核心存储数据双活，任何一套设备宕机均不影响上层业务系统运行</w:t>
            </w:r>
            <w:r>
              <w:rPr>
                <w:rFonts w:hint="eastAsia" w:ascii="宋体" w:hAnsi="宋体" w:cs="宋体"/>
                <w:color w:val="auto"/>
                <w:szCs w:val="21"/>
              </w:rPr>
              <w:t>（业务不中断）</w:t>
            </w:r>
            <w:r>
              <w:rPr>
                <w:rFonts w:ascii="宋体" w:hAnsi="宋体" w:cs="宋体"/>
                <w:color w:val="auto"/>
                <w:szCs w:val="21"/>
              </w:rPr>
              <w:t>。</w:t>
            </w:r>
            <w:r>
              <w:rPr>
                <w:rFonts w:hint="eastAsia" w:ascii="宋体" w:hAnsi="宋体" w:cs="宋体"/>
                <w:color w:val="auto"/>
                <w:szCs w:val="21"/>
              </w:rPr>
              <w:t>提供权威第三方检测报告。</w:t>
            </w:r>
          </w:p>
          <w:p>
            <w:pPr>
              <w:spacing w:line="360" w:lineRule="auto"/>
              <w:rPr>
                <w:rFonts w:ascii="宋体" w:hAnsi="宋体" w:cs="宋体"/>
                <w:color w:val="auto"/>
                <w:szCs w:val="21"/>
              </w:rPr>
            </w:pPr>
            <w:r>
              <w:rPr>
                <w:rFonts w:ascii="宋体" w:hAnsi="宋体" w:cs="宋体"/>
                <w:color w:val="auto"/>
                <w:szCs w:val="21"/>
              </w:rPr>
              <w:t>2）双活架构需要</w:t>
            </w:r>
            <w:r>
              <w:rPr>
                <w:rFonts w:hint="eastAsia" w:ascii="宋体" w:hAnsi="宋体" w:cs="宋体"/>
                <w:color w:val="auto"/>
                <w:szCs w:val="21"/>
              </w:rPr>
              <w:t>配置</w:t>
            </w:r>
            <w:r>
              <w:rPr>
                <w:rFonts w:ascii="宋体" w:hAnsi="宋体" w:cs="宋体"/>
                <w:color w:val="auto"/>
                <w:szCs w:val="21"/>
              </w:rPr>
              <w:t>独立的仲裁设备。仲裁设备故障时，不影响业务运行，同时双活卷仍能保持数据实时一致；</w:t>
            </w:r>
          </w:p>
          <w:p>
            <w:pPr>
              <w:spacing w:line="360" w:lineRule="auto"/>
              <w:rPr>
                <w:rFonts w:ascii="宋体" w:hAnsi="宋体" w:cs="宋体"/>
                <w:color w:val="auto"/>
                <w:szCs w:val="21"/>
              </w:rPr>
            </w:pPr>
            <w:r>
              <w:rPr>
                <w:rFonts w:hint="eastAsia" w:ascii="宋体" w:hAnsi="宋体" w:cs="宋体"/>
                <w:color w:val="auto"/>
                <w:szCs w:val="21"/>
              </w:rPr>
              <w:t>3</w:t>
            </w:r>
            <w:r>
              <w:rPr>
                <w:rFonts w:ascii="宋体" w:hAnsi="宋体" w:cs="宋体"/>
                <w:color w:val="auto"/>
                <w:szCs w:val="21"/>
              </w:rPr>
              <w:t>） 配置</w:t>
            </w:r>
            <w:r>
              <w:rPr>
                <w:rFonts w:hint="eastAsia" w:ascii="宋体" w:hAnsi="宋体" w:cs="宋体"/>
                <w:color w:val="auto"/>
                <w:szCs w:val="21"/>
              </w:rPr>
              <w:t>无限容量的</w:t>
            </w:r>
            <w:r>
              <w:rPr>
                <w:rFonts w:ascii="宋体" w:hAnsi="宋体" w:cs="宋体"/>
                <w:color w:val="auto"/>
                <w:szCs w:val="21"/>
              </w:rPr>
              <w:t>双活许可</w:t>
            </w:r>
            <w:r>
              <w:rPr>
                <w:rFonts w:hint="eastAsia" w:ascii="宋体" w:hAnsi="宋体" w:cs="宋体"/>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77" w:type="dxa"/>
            <w:vAlign w:val="center"/>
          </w:tcPr>
          <w:p>
            <w:pPr>
              <w:spacing w:line="360" w:lineRule="auto"/>
              <w:rPr>
                <w:rFonts w:ascii="宋体" w:hAnsi="宋体" w:cs="宋体"/>
                <w:color w:val="auto"/>
                <w:szCs w:val="21"/>
              </w:rPr>
            </w:pPr>
            <w:r>
              <w:rPr>
                <w:rFonts w:hint="eastAsia" w:ascii="宋体" w:hAnsi="宋体" w:cs="宋体"/>
                <w:color w:val="auto"/>
                <w:szCs w:val="21"/>
              </w:rPr>
              <w:t>数据压缩功能</w:t>
            </w:r>
          </w:p>
        </w:tc>
        <w:tc>
          <w:tcPr>
            <w:tcW w:w="5751" w:type="dxa"/>
            <w:vAlign w:val="center"/>
          </w:tcPr>
          <w:p>
            <w:pPr>
              <w:spacing w:line="360" w:lineRule="auto"/>
              <w:rPr>
                <w:rFonts w:ascii="宋体" w:hAnsi="宋体" w:cs="宋体"/>
                <w:color w:val="auto"/>
                <w:szCs w:val="21"/>
              </w:rPr>
            </w:pPr>
            <w:r>
              <w:rPr>
                <w:rFonts w:hint="eastAsia" w:ascii="宋体" w:hAnsi="宋体" w:cs="宋体"/>
                <w:color w:val="auto"/>
                <w:szCs w:val="21"/>
                <w:lang w:val="en-US" w:eastAsia="zh-CN"/>
              </w:rPr>
              <w:t>具备数据压缩功能（响应时需要明确实现方式）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77" w:type="dxa"/>
            <w:vAlign w:val="center"/>
          </w:tcPr>
          <w:p>
            <w:pPr>
              <w:spacing w:line="360" w:lineRule="auto"/>
              <w:rPr>
                <w:rFonts w:ascii="宋体" w:hAnsi="宋体" w:cs="宋体"/>
                <w:szCs w:val="21"/>
              </w:rPr>
            </w:pPr>
            <w:r>
              <w:rPr>
                <w:rFonts w:ascii="宋体" w:hAnsi="宋体" w:cs="宋体"/>
                <w:szCs w:val="21"/>
              </w:rPr>
              <w:t>可靠性</w:t>
            </w:r>
          </w:p>
        </w:tc>
        <w:tc>
          <w:tcPr>
            <w:tcW w:w="5751" w:type="dxa"/>
            <w:vAlign w:val="center"/>
          </w:tcPr>
          <w:p>
            <w:pPr>
              <w:spacing w:line="360" w:lineRule="auto"/>
              <w:rPr>
                <w:rFonts w:ascii="宋体" w:hAnsi="宋体" w:cs="宋体"/>
                <w:szCs w:val="21"/>
              </w:rPr>
            </w:pPr>
            <w:r>
              <w:rPr>
                <w:rFonts w:ascii="宋体" w:hAnsi="宋体" w:cs="宋体"/>
                <w:szCs w:val="21"/>
              </w:rPr>
              <w:t>磁盘、电源可不停机热插拔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77" w:type="dxa"/>
            <w:vAlign w:val="center"/>
          </w:tcPr>
          <w:p>
            <w:pPr>
              <w:spacing w:line="360" w:lineRule="auto"/>
              <w:rPr>
                <w:rFonts w:ascii="宋体" w:hAnsi="宋体" w:cs="宋体"/>
                <w:szCs w:val="21"/>
              </w:rPr>
            </w:pPr>
            <w:r>
              <w:rPr>
                <w:rFonts w:ascii="宋体" w:hAnsi="宋体" w:cs="宋体"/>
                <w:szCs w:val="21"/>
              </w:rPr>
              <w:t>多路径软件</w:t>
            </w:r>
          </w:p>
        </w:tc>
        <w:tc>
          <w:tcPr>
            <w:tcW w:w="5751" w:type="dxa"/>
            <w:vAlign w:val="center"/>
          </w:tcPr>
          <w:p>
            <w:pPr>
              <w:spacing w:line="360" w:lineRule="auto"/>
              <w:rPr>
                <w:rFonts w:ascii="宋体" w:hAnsi="宋体" w:cs="宋体"/>
                <w:szCs w:val="21"/>
              </w:rPr>
            </w:pPr>
            <w:r>
              <w:rPr>
                <w:rFonts w:hint="eastAsia" w:ascii="宋体" w:hAnsi="宋体" w:cs="宋体"/>
                <w:szCs w:val="21"/>
              </w:rPr>
              <w:t>支持</w:t>
            </w:r>
            <w:r>
              <w:rPr>
                <w:rFonts w:ascii="宋体" w:hAnsi="宋体" w:cs="宋体"/>
                <w:szCs w:val="21"/>
              </w:rPr>
              <w:t>多路径软件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77" w:type="dxa"/>
            <w:vAlign w:val="center"/>
          </w:tcPr>
          <w:p>
            <w:pPr>
              <w:spacing w:line="360" w:lineRule="auto"/>
              <w:rPr>
                <w:rFonts w:ascii="宋体" w:hAnsi="宋体" w:cs="宋体"/>
                <w:szCs w:val="21"/>
              </w:rPr>
            </w:pPr>
            <w:r>
              <w:rPr>
                <w:rFonts w:ascii="宋体" w:hAnsi="宋体" w:cs="宋体"/>
                <w:szCs w:val="21"/>
              </w:rPr>
              <w:t>服务</w:t>
            </w:r>
          </w:p>
        </w:tc>
        <w:tc>
          <w:tcPr>
            <w:tcW w:w="5751" w:type="dxa"/>
            <w:vAlign w:val="center"/>
          </w:tcPr>
          <w:p>
            <w:pPr>
              <w:spacing w:line="360" w:lineRule="auto"/>
              <w:rPr>
                <w:rFonts w:ascii="宋体" w:hAnsi="宋体" w:cs="宋体"/>
                <w:szCs w:val="21"/>
              </w:rPr>
            </w:pPr>
            <w:r>
              <w:rPr>
                <w:rFonts w:ascii="宋体" w:hAnsi="宋体" w:cs="宋体"/>
                <w:szCs w:val="21"/>
              </w:rPr>
              <w:t>提供五年原厂维保服务</w:t>
            </w:r>
            <w:r>
              <w:rPr>
                <w:rFonts w:hint="eastAsia" w:ascii="宋体" w:hAnsi="宋体" w:cs="宋体"/>
                <w:szCs w:val="21"/>
              </w:rPr>
              <w:t>；</w:t>
            </w:r>
          </w:p>
          <w:p>
            <w:pPr>
              <w:spacing w:line="360" w:lineRule="auto"/>
              <w:rPr>
                <w:rFonts w:hint="eastAsia" w:ascii="宋体" w:hAnsi="宋体" w:eastAsia="宋体" w:cs="宋体"/>
                <w:szCs w:val="21"/>
                <w:lang w:eastAsia="zh-CN"/>
              </w:rPr>
            </w:pPr>
            <w:r>
              <w:rPr>
                <w:rFonts w:ascii="宋体" w:hAnsi="宋体" w:cs="宋体"/>
                <w:szCs w:val="21"/>
              </w:rPr>
              <w:t>提供原厂存储双活实施服务</w:t>
            </w:r>
            <w:r>
              <w:rPr>
                <w:rFonts w:hint="eastAsia" w:ascii="宋体" w:hAnsi="宋体" w:cs="宋体"/>
                <w:szCs w:val="21"/>
                <w:lang w:eastAsia="zh-CN"/>
              </w:rPr>
              <w:t>；</w:t>
            </w:r>
          </w:p>
        </w:tc>
      </w:tr>
    </w:tbl>
    <w:p/>
    <w:p>
      <w:pPr>
        <w:pStyle w:val="71"/>
        <w:rPr>
          <w:rFonts w:ascii="宋体" w:hAnsi="宋体"/>
          <w:b/>
          <w:kern w:val="2"/>
          <w:sz w:val="24"/>
          <w:szCs w:val="24"/>
        </w:rPr>
      </w:pPr>
      <w:r>
        <w:rPr>
          <w:rFonts w:hint="eastAsia" w:ascii="宋体" w:hAnsi="宋体"/>
          <w:b/>
          <w:kern w:val="2"/>
          <w:sz w:val="24"/>
          <w:szCs w:val="24"/>
        </w:rPr>
        <w:t>3</w:t>
      </w:r>
      <w:r>
        <w:rPr>
          <w:rFonts w:ascii="宋体" w:hAnsi="宋体"/>
          <w:b/>
          <w:kern w:val="2"/>
          <w:sz w:val="24"/>
          <w:szCs w:val="24"/>
        </w:rPr>
        <w:t>.3</w:t>
      </w:r>
      <w:r>
        <w:rPr>
          <w:rFonts w:hint="eastAsia" w:ascii="宋体" w:hAnsi="宋体"/>
          <w:b/>
          <w:kern w:val="2"/>
          <w:sz w:val="24"/>
          <w:szCs w:val="24"/>
        </w:rPr>
        <w:t>数据库服务器（4台）</w:t>
      </w:r>
    </w:p>
    <w:tbl>
      <w:tblPr>
        <w:tblStyle w:val="23"/>
        <w:tblW w:w="852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73"/>
        <w:gridCol w:w="63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2173" w:type="dxa"/>
            <w:shd w:val="clear" w:color="auto" w:fill="auto"/>
          </w:tcPr>
          <w:p>
            <w:pPr>
              <w:spacing w:line="360" w:lineRule="auto"/>
              <w:jc w:val="center"/>
              <w:rPr>
                <w:rFonts w:ascii="宋体" w:hAnsi="宋体" w:cs="宋体"/>
                <w:b/>
                <w:szCs w:val="21"/>
              </w:rPr>
            </w:pPr>
            <w:r>
              <w:rPr>
                <w:rFonts w:ascii="宋体" w:hAnsi="宋体" w:cs="宋体"/>
                <w:b/>
                <w:szCs w:val="21"/>
              </w:rPr>
              <w:t>指标</w:t>
            </w:r>
            <w:r>
              <w:rPr>
                <w:rFonts w:hint="eastAsia" w:ascii="宋体" w:hAnsi="宋体" w:cs="宋体"/>
                <w:b/>
                <w:szCs w:val="21"/>
              </w:rPr>
              <w:t>项</w:t>
            </w:r>
          </w:p>
        </w:tc>
        <w:tc>
          <w:tcPr>
            <w:tcW w:w="6355" w:type="dxa"/>
            <w:shd w:val="clear" w:color="auto" w:fill="auto"/>
          </w:tcPr>
          <w:p>
            <w:pPr>
              <w:spacing w:line="360" w:lineRule="auto"/>
              <w:jc w:val="center"/>
              <w:rPr>
                <w:rFonts w:ascii="宋体" w:hAnsi="宋体" w:cs="宋体"/>
                <w:b/>
                <w:szCs w:val="21"/>
              </w:rPr>
            </w:pPr>
            <w:r>
              <w:rPr>
                <w:rFonts w:hint="eastAsia" w:ascii="宋体" w:hAnsi="宋体" w:cs="宋体"/>
                <w:b/>
                <w:szCs w:val="21"/>
              </w:rPr>
              <w:t>配置及参数要求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2173" w:type="dxa"/>
            <w:shd w:val="clear" w:color="auto" w:fill="auto"/>
          </w:tcPr>
          <w:p>
            <w:pPr>
              <w:spacing w:line="360" w:lineRule="auto"/>
              <w:rPr>
                <w:rFonts w:ascii="宋体" w:hAnsi="宋体" w:cs="宋体"/>
                <w:szCs w:val="21"/>
              </w:rPr>
            </w:pPr>
            <w:r>
              <w:rPr>
                <w:rFonts w:hint="eastAsia" w:ascii="宋体" w:hAnsi="宋体" w:cs="宋体"/>
                <w:szCs w:val="21"/>
              </w:rPr>
              <w:t>品牌</w:t>
            </w:r>
          </w:p>
        </w:tc>
        <w:tc>
          <w:tcPr>
            <w:tcW w:w="6355" w:type="dxa"/>
            <w:shd w:val="clear" w:color="auto" w:fill="auto"/>
          </w:tcPr>
          <w:p>
            <w:pPr>
              <w:spacing w:line="360" w:lineRule="auto"/>
              <w:rPr>
                <w:rFonts w:ascii="宋体" w:hAnsi="宋体" w:cs="宋体"/>
                <w:szCs w:val="21"/>
              </w:rPr>
            </w:pPr>
            <w:r>
              <w:rPr>
                <w:rFonts w:hint="eastAsia" w:ascii="宋体" w:hAnsi="宋体" w:cs="宋体"/>
                <w:szCs w:val="21"/>
              </w:rPr>
              <w:t>国产知名品牌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2173" w:type="dxa"/>
            <w:tcBorders>
              <w:top w:val="single" w:color="auto" w:sz="6" w:space="0"/>
              <w:left w:val="single" w:color="auto" w:sz="6" w:space="0"/>
              <w:bottom w:val="single" w:color="auto" w:sz="6" w:space="0"/>
              <w:right w:val="single" w:color="auto" w:sz="6" w:space="0"/>
            </w:tcBorders>
            <w:shd w:val="clear" w:color="auto" w:fill="auto"/>
          </w:tcPr>
          <w:p>
            <w:pPr>
              <w:spacing w:line="360" w:lineRule="auto"/>
              <w:rPr>
                <w:rFonts w:ascii="宋体" w:hAnsi="宋体" w:cs="宋体"/>
                <w:szCs w:val="21"/>
              </w:rPr>
            </w:pPr>
            <w:r>
              <w:rPr>
                <w:rFonts w:hint="eastAsia" w:ascii="宋体" w:hAnsi="宋体" w:cs="宋体"/>
                <w:szCs w:val="21"/>
              </w:rPr>
              <w:t>形态</w:t>
            </w:r>
          </w:p>
        </w:tc>
        <w:tc>
          <w:tcPr>
            <w:tcW w:w="6355" w:type="dxa"/>
            <w:tcBorders>
              <w:top w:val="single" w:color="auto" w:sz="6" w:space="0"/>
              <w:left w:val="single" w:color="auto" w:sz="6" w:space="0"/>
              <w:bottom w:val="single" w:color="auto" w:sz="6" w:space="0"/>
              <w:right w:val="single" w:color="auto" w:sz="6" w:space="0"/>
            </w:tcBorders>
            <w:shd w:val="clear" w:color="auto" w:fill="auto"/>
          </w:tcPr>
          <w:p>
            <w:pPr>
              <w:spacing w:line="360" w:lineRule="auto"/>
              <w:rPr>
                <w:rFonts w:ascii="宋体" w:hAnsi="宋体" w:cs="宋体"/>
                <w:szCs w:val="21"/>
              </w:rPr>
            </w:pPr>
            <w:r>
              <w:rPr>
                <w:rFonts w:hint="eastAsia" w:ascii="宋体" w:hAnsi="宋体" w:cs="宋体"/>
                <w:szCs w:val="21"/>
              </w:rPr>
              <w:t xml:space="preserve">2U </w:t>
            </w:r>
            <w:r>
              <w:rPr>
                <w:rFonts w:ascii="宋体" w:hAnsi="宋体" w:cs="宋体"/>
                <w:szCs w:val="21"/>
              </w:rPr>
              <w:t>4</w:t>
            </w:r>
            <w:r>
              <w:rPr>
                <w:rFonts w:hint="eastAsia" w:ascii="宋体" w:hAnsi="宋体" w:cs="宋体"/>
                <w:szCs w:val="21"/>
              </w:rPr>
              <w:t>路机架服务器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9" w:hRule="atLeast"/>
        </w:trPr>
        <w:tc>
          <w:tcPr>
            <w:tcW w:w="2173" w:type="dxa"/>
            <w:shd w:val="clear" w:color="auto" w:fill="auto"/>
            <w:vAlign w:val="center"/>
          </w:tcPr>
          <w:p>
            <w:pPr>
              <w:spacing w:line="360" w:lineRule="auto"/>
              <w:rPr>
                <w:rFonts w:ascii="宋体" w:hAnsi="宋体" w:cs="宋体"/>
                <w:szCs w:val="21"/>
              </w:rPr>
            </w:pPr>
            <w:r>
              <w:rPr>
                <w:rFonts w:hint="eastAsia" w:ascii="宋体" w:hAnsi="宋体" w:cs="宋体"/>
                <w:szCs w:val="21"/>
              </w:rPr>
              <w:t>CPU</w:t>
            </w:r>
          </w:p>
        </w:tc>
        <w:tc>
          <w:tcPr>
            <w:tcW w:w="6355" w:type="dxa"/>
            <w:shd w:val="clear" w:color="auto" w:fill="auto"/>
            <w:vAlign w:val="center"/>
          </w:tcPr>
          <w:p>
            <w:pPr>
              <w:spacing w:line="360" w:lineRule="auto"/>
              <w:rPr>
                <w:rFonts w:hint="eastAsia" w:ascii="宋体" w:hAnsi="宋体" w:eastAsia="宋体" w:cs="宋体"/>
                <w:szCs w:val="21"/>
                <w:lang w:eastAsia="zh-CN"/>
              </w:rPr>
            </w:pPr>
            <w:r>
              <w:rPr>
                <w:rFonts w:ascii="宋体" w:hAnsi="宋体" w:cs="宋体"/>
                <w:szCs w:val="21"/>
              </w:rPr>
              <w:t>INTEL 6248</w:t>
            </w:r>
            <w:r>
              <w:rPr>
                <w:rFonts w:hint="eastAsia" w:ascii="宋体" w:hAnsi="宋体" w:cs="宋体"/>
                <w:szCs w:val="21"/>
              </w:rPr>
              <w:t>*</w:t>
            </w:r>
            <w:r>
              <w:rPr>
                <w:rFonts w:ascii="宋体" w:hAnsi="宋体" w:cs="宋体"/>
                <w:szCs w:val="21"/>
              </w:rPr>
              <w:t>4</w:t>
            </w:r>
            <w:r>
              <w:rPr>
                <w:rFonts w:hint="eastAsia" w:ascii="宋体" w:hAnsi="宋体" w:cs="宋体"/>
                <w:szCs w:val="21"/>
                <w:lang w:eastAsia="zh-CN"/>
              </w:rPr>
              <w:t>（</w:t>
            </w:r>
            <w:r>
              <w:rPr>
                <w:rFonts w:hint="eastAsia" w:ascii="宋体" w:hAnsi="宋体" w:cs="宋体"/>
                <w:szCs w:val="21"/>
                <w:lang w:val="en-US" w:eastAsia="zh-CN"/>
              </w:rPr>
              <w:t>不低于</w:t>
            </w:r>
            <w:r>
              <w:rPr>
                <w:rFonts w:hint="eastAsia" w:ascii="宋体" w:hAnsi="宋体" w:cs="宋体"/>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2173" w:type="dxa"/>
            <w:shd w:val="clear" w:color="auto" w:fill="auto"/>
            <w:vAlign w:val="center"/>
          </w:tcPr>
          <w:p>
            <w:pPr>
              <w:spacing w:line="360" w:lineRule="auto"/>
              <w:rPr>
                <w:rFonts w:ascii="宋体" w:hAnsi="宋体" w:cs="宋体"/>
                <w:szCs w:val="21"/>
              </w:rPr>
            </w:pPr>
            <w:r>
              <w:rPr>
                <w:rFonts w:hint="eastAsia" w:ascii="宋体" w:hAnsi="宋体" w:cs="宋体"/>
                <w:szCs w:val="21"/>
              </w:rPr>
              <w:t>内存实配规格</w:t>
            </w:r>
          </w:p>
        </w:tc>
        <w:tc>
          <w:tcPr>
            <w:tcW w:w="6355" w:type="dxa"/>
            <w:shd w:val="clear" w:color="auto" w:fill="auto"/>
            <w:vAlign w:val="center"/>
          </w:tcPr>
          <w:p>
            <w:pPr>
              <w:spacing w:line="360" w:lineRule="auto"/>
              <w:rPr>
                <w:rFonts w:ascii="宋体" w:hAnsi="宋体" w:cs="宋体"/>
                <w:szCs w:val="21"/>
              </w:rPr>
            </w:pPr>
            <w:r>
              <w:rPr>
                <w:rFonts w:hint="eastAsia" w:ascii="宋体" w:hAnsi="宋体" w:cs="宋体"/>
                <w:szCs w:val="21"/>
              </w:rPr>
              <w:t>1</w:t>
            </w:r>
            <w:r>
              <w:rPr>
                <w:rFonts w:ascii="宋体" w:hAnsi="宋体" w:cs="宋体"/>
                <w:szCs w:val="21"/>
              </w:rPr>
              <w:t xml:space="preserve">6*32G ECC </w:t>
            </w:r>
            <w:r>
              <w:rPr>
                <w:rFonts w:hint="eastAsia" w:ascii="宋体" w:hAnsi="宋体" w:cs="宋体"/>
                <w:szCs w:val="21"/>
              </w:rPr>
              <w:t>DDR4内存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2173" w:type="dxa"/>
            <w:shd w:val="clear" w:color="auto" w:fill="auto"/>
            <w:vAlign w:val="center"/>
          </w:tcPr>
          <w:p>
            <w:pPr>
              <w:spacing w:line="360" w:lineRule="auto"/>
              <w:rPr>
                <w:rFonts w:ascii="宋体" w:hAnsi="宋体" w:cs="宋体"/>
                <w:szCs w:val="21"/>
              </w:rPr>
            </w:pPr>
            <w:r>
              <w:rPr>
                <w:rFonts w:hint="eastAsia" w:ascii="宋体" w:hAnsi="宋体" w:cs="宋体"/>
                <w:szCs w:val="21"/>
              </w:rPr>
              <w:t>实配硬盘</w:t>
            </w:r>
          </w:p>
        </w:tc>
        <w:tc>
          <w:tcPr>
            <w:tcW w:w="6355" w:type="dxa"/>
            <w:shd w:val="clear" w:color="auto" w:fill="auto"/>
            <w:vAlign w:val="center"/>
          </w:tcPr>
          <w:p>
            <w:pPr>
              <w:spacing w:line="360" w:lineRule="auto"/>
              <w:rPr>
                <w:rFonts w:ascii="宋体" w:hAnsi="宋体" w:cs="宋体"/>
                <w:szCs w:val="21"/>
              </w:rPr>
            </w:pPr>
            <w:r>
              <w:rPr>
                <w:rFonts w:ascii="宋体" w:hAnsi="宋体" w:cs="宋体"/>
                <w:szCs w:val="21"/>
              </w:rPr>
              <w:t>6</w:t>
            </w:r>
            <w:r>
              <w:rPr>
                <w:rFonts w:hint="eastAsia" w:ascii="宋体" w:hAnsi="宋体" w:cs="宋体"/>
                <w:szCs w:val="21"/>
              </w:rPr>
              <w:t>*</w:t>
            </w:r>
            <w:r>
              <w:rPr>
                <w:rFonts w:ascii="宋体" w:hAnsi="宋体" w:cs="宋体"/>
                <w:szCs w:val="21"/>
              </w:rPr>
              <w:t xml:space="preserve">1.8TB </w:t>
            </w:r>
            <w:r>
              <w:rPr>
                <w:rFonts w:hint="eastAsia" w:ascii="宋体" w:hAnsi="宋体" w:cs="宋体"/>
                <w:szCs w:val="21"/>
              </w:rPr>
              <w:t>SAS 10k 硬盘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2173" w:type="dxa"/>
            <w:shd w:val="clear" w:color="auto" w:fill="auto"/>
            <w:vAlign w:val="center"/>
          </w:tcPr>
          <w:p>
            <w:pPr>
              <w:spacing w:line="360" w:lineRule="auto"/>
              <w:rPr>
                <w:rFonts w:ascii="宋体" w:hAnsi="宋体" w:cs="宋体"/>
                <w:szCs w:val="21"/>
              </w:rPr>
            </w:pPr>
            <w:r>
              <w:rPr>
                <w:rFonts w:hint="eastAsia" w:ascii="宋体" w:hAnsi="宋体" w:cs="宋体"/>
                <w:szCs w:val="21"/>
              </w:rPr>
              <w:t>阵列控制器</w:t>
            </w:r>
          </w:p>
        </w:tc>
        <w:tc>
          <w:tcPr>
            <w:tcW w:w="6355" w:type="dxa"/>
            <w:shd w:val="clear" w:color="auto" w:fill="auto"/>
            <w:vAlign w:val="center"/>
          </w:tcPr>
          <w:p>
            <w:pPr>
              <w:spacing w:line="360" w:lineRule="auto"/>
              <w:rPr>
                <w:rFonts w:ascii="宋体" w:hAnsi="宋体" w:cs="宋体"/>
                <w:szCs w:val="21"/>
              </w:rPr>
            </w:pPr>
            <w:r>
              <w:rPr>
                <w:rFonts w:ascii="宋体" w:hAnsi="宋体" w:cs="宋体"/>
                <w:szCs w:val="21"/>
              </w:rPr>
              <w:t xml:space="preserve">SAS </w:t>
            </w:r>
            <w:r>
              <w:rPr>
                <w:rFonts w:hint="eastAsia" w:ascii="宋体" w:hAnsi="宋体" w:cs="宋体"/>
                <w:szCs w:val="21"/>
              </w:rPr>
              <w:t>RAID阵列卡；</w:t>
            </w:r>
            <w:r>
              <w:rPr>
                <w:rFonts w:ascii="宋体" w:hAnsi="宋体" w:cs="宋体"/>
                <w:szCs w:val="21"/>
              </w:rPr>
              <w:t>2</w:t>
            </w:r>
            <w:r>
              <w:rPr>
                <w:rFonts w:hint="eastAsia" w:ascii="宋体" w:hAnsi="宋体" w:cs="宋体"/>
                <w:szCs w:val="21"/>
              </w:rPr>
              <w:t>GB缓存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2173" w:type="dxa"/>
            <w:shd w:val="clear" w:color="auto" w:fill="auto"/>
            <w:vAlign w:val="center"/>
          </w:tcPr>
          <w:p>
            <w:pPr>
              <w:spacing w:line="360" w:lineRule="auto"/>
              <w:rPr>
                <w:rFonts w:ascii="宋体" w:hAnsi="宋体" w:cs="宋体"/>
                <w:szCs w:val="21"/>
              </w:rPr>
            </w:pPr>
            <w:r>
              <w:rPr>
                <w:rFonts w:hint="eastAsia" w:ascii="宋体" w:hAnsi="宋体" w:cs="宋体"/>
                <w:szCs w:val="21"/>
              </w:rPr>
              <w:t>PCI I/O插槽</w:t>
            </w:r>
          </w:p>
        </w:tc>
        <w:tc>
          <w:tcPr>
            <w:tcW w:w="6355" w:type="dxa"/>
            <w:shd w:val="clear" w:color="auto" w:fill="auto"/>
            <w:vAlign w:val="center"/>
          </w:tcPr>
          <w:p>
            <w:pPr>
              <w:spacing w:line="360" w:lineRule="auto"/>
              <w:rPr>
                <w:rFonts w:ascii="宋体" w:hAnsi="宋体" w:cs="宋体"/>
                <w:szCs w:val="21"/>
              </w:rPr>
            </w:pPr>
            <w:r>
              <w:rPr>
                <w:rFonts w:hint="eastAsia" w:ascii="宋体" w:hAnsi="宋体" w:cs="宋体"/>
                <w:szCs w:val="21"/>
              </w:rPr>
              <w:t>提供≥</w:t>
            </w:r>
            <w:r>
              <w:rPr>
                <w:rFonts w:ascii="宋体" w:hAnsi="宋体" w:cs="宋体"/>
                <w:szCs w:val="21"/>
              </w:rPr>
              <w:t>6</w:t>
            </w:r>
            <w:r>
              <w:rPr>
                <w:rFonts w:hint="eastAsia" w:ascii="宋体" w:hAnsi="宋体" w:cs="宋体"/>
                <w:szCs w:val="21"/>
              </w:rPr>
              <w:t>个标准PCIE3.0插槽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2173" w:type="dxa"/>
            <w:shd w:val="clear" w:color="auto" w:fill="auto"/>
            <w:vAlign w:val="center"/>
          </w:tcPr>
          <w:p>
            <w:pPr>
              <w:spacing w:line="360" w:lineRule="auto"/>
              <w:rPr>
                <w:rFonts w:ascii="宋体" w:hAnsi="宋体" w:cs="宋体"/>
                <w:szCs w:val="21"/>
              </w:rPr>
            </w:pPr>
            <w:r>
              <w:rPr>
                <w:rFonts w:hint="eastAsia" w:ascii="宋体" w:hAnsi="宋体" w:cs="宋体"/>
                <w:szCs w:val="21"/>
              </w:rPr>
              <w:t>网卡</w:t>
            </w:r>
          </w:p>
        </w:tc>
        <w:tc>
          <w:tcPr>
            <w:tcW w:w="6355" w:type="dxa"/>
            <w:shd w:val="clear" w:color="auto" w:fill="auto"/>
            <w:vAlign w:val="center"/>
          </w:tcPr>
          <w:p>
            <w:pPr>
              <w:spacing w:line="360" w:lineRule="auto"/>
              <w:rPr>
                <w:rFonts w:ascii="宋体" w:hAnsi="宋体" w:cs="宋体"/>
                <w:szCs w:val="21"/>
              </w:rPr>
            </w:pPr>
            <w:r>
              <w:rPr>
                <w:rFonts w:hint="eastAsia" w:ascii="宋体" w:hAnsi="宋体" w:cs="宋体"/>
                <w:szCs w:val="21"/>
              </w:rPr>
              <w:t>配置</w:t>
            </w:r>
            <w:r>
              <w:rPr>
                <w:rFonts w:ascii="宋体" w:hAnsi="宋体" w:cs="宋体"/>
                <w:szCs w:val="21"/>
              </w:rPr>
              <w:t>4</w:t>
            </w:r>
            <w:r>
              <w:rPr>
                <w:rFonts w:hint="eastAsia" w:ascii="宋体" w:hAnsi="宋体" w:cs="宋体"/>
                <w:szCs w:val="21"/>
              </w:rPr>
              <w:t>个万兆光口（含光模块）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2" w:hRule="atLeast"/>
        </w:trPr>
        <w:tc>
          <w:tcPr>
            <w:tcW w:w="2173" w:type="dxa"/>
            <w:shd w:val="clear" w:color="auto" w:fill="auto"/>
            <w:vAlign w:val="center"/>
          </w:tcPr>
          <w:p>
            <w:pPr>
              <w:spacing w:line="360" w:lineRule="auto"/>
              <w:rPr>
                <w:rFonts w:ascii="宋体" w:hAnsi="宋体" w:cs="宋体"/>
                <w:szCs w:val="21"/>
              </w:rPr>
            </w:pPr>
            <w:r>
              <w:rPr>
                <w:rFonts w:ascii="宋体" w:hAnsi="宋体" w:cs="宋体"/>
                <w:szCs w:val="21"/>
              </w:rPr>
              <w:t>HBA</w:t>
            </w:r>
            <w:r>
              <w:rPr>
                <w:rFonts w:hint="eastAsia" w:ascii="宋体" w:hAnsi="宋体" w:cs="宋体"/>
                <w:szCs w:val="21"/>
              </w:rPr>
              <w:t>卡</w:t>
            </w:r>
          </w:p>
        </w:tc>
        <w:tc>
          <w:tcPr>
            <w:tcW w:w="6355" w:type="dxa"/>
            <w:shd w:val="clear" w:color="auto" w:fill="auto"/>
            <w:vAlign w:val="center"/>
          </w:tcPr>
          <w:p>
            <w:pPr>
              <w:spacing w:line="360" w:lineRule="auto"/>
              <w:rPr>
                <w:rFonts w:ascii="宋体" w:hAnsi="宋体" w:cs="宋体"/>
                <w:szCs w:val="21"/>
              </w:rPr>
            </w:pPr>
            <w:r>
              <w:rPr>
                <w:rFonts w:hint="eastAsia" w:ascii="宋体" w:hAnsi="宋体" w:cs="宋体"/>
                <w:szCs w:val="21"/>
              </w:rPr>
              <w:t>2块双口16Gb HBA卡（含光模块）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2" w:hRule="atLeast"/>
        </w:trPr>
        <w:tc>
          <w:tcPr>
            <w:tcW w:w="2173" w:type="dxa"/>
            <w:shd w:val="clear" w:color="auto" w:fill="auto"/>
            <w:vAlign w:val="center"/>
          </w:tcPr>
          <w:p>
            <w:pPr>
              <w:spacing w:line="360" w:lineRule="auto"/>
              <w:rPr>
                <w:rFonts w:ascii="宋体" w:hAnsi="宋体" w:cs="宋体"/>
                <w:szCs w:val="21"/>
              </w:rPr>
            </w:pPr>
            <w:r>
              <w:rPr>
                <w:rFonts w:hint="eastAsia" w:ascii="宋体" w:hAnsi="宋体" w:cs="宋体"/>
                <w:kern w:val="0"/>
                <w:sz w:val="20"/>
                <w:szCs w:val="20"/>
              </w:rPr>
              <w:t>NVME固态盘</w:t>
            </w:r>
          </w:p>
        </w:tc>
        <w:tc>
          <w:tcPr>
            <w:tcW w:w="6355" w:type="dxa"/>
            <w:shd w:val="clear" w:color="auto" w:fill="auto"/>
            <w:vAlign w:val="center"/>
          </w:tcPr>
          <w:p>
            <w:pPr>
              <w:spacing w:line="360" w:lineRule="auto"/>
              <w:rPr>
                <w:rFonts w:hint="eastAsia" w:ascii="宋体" w:hAnsi="宋体" w:eastAsia="宋体" w:cs="宋体"/>
                <w:szCs w:val="21"/>
                <w:lang w:eastAsia="zh-CN"/>
              </w:rPr>
            </w:pPr>
            <w:r>
              <w:rPr>
                <w:rFonts w:hint="eastAsia" w:ascii="宋体" w:hAnsi="宋体" w:cs="宋体"/>
                <w:kern w:val="0"/>
                <w:sz w:val="20"/>
                <w:szCs w:val="20"/>
              </w:rPr>
              <w:t>PCI-E接口，不少于7TB</w:t>
            </w:r>
            <w:r>
              <w:rPr>
                <w:rFonts w:hint="eastAsia" w:ascii="宋体" w:hAnsi="宋体" w:cs="宋体"/>
                <w:kern w:val="0"/>
                <w:sz w:val="20"/>
                <w:szCs w:val="20"/>
                <w:lang w:eastAsia="zh-CN"/>
              </w:rPr>
              <w:t>，</w:t>
            </w:r>
            <w:r>
              <w:rPr>
                <w:rFonts w:hint="eastAsia" w:ascii="宋体" w:hAnsi="宋体" w:eastAsia="宋体" w:cs="宋体"/>
                <w:i w:val="0"/>
                <w:caps w:val="0"/>
                <w:color w:val="auto"/>
                <w:spacing w:val="0"/>
                <w:sz w:val="21"/>
                <w:szCs w:val="21"/>
                <w:shd w:val="clear" w:fill="FFFFFF"/>
              </w:rPr>
              <w:t>读带宽不少于5GB/S</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2" w:hRule="atLeast"/>
        </w:trPr>
        <w:tc>
          <w:tcPr>
            <w:tcW w:w="2173" w:type="dxa"/>
            <w:shd w:val="clear" w:color="auto" w:fill="auto"/>
            <w:vAlign w:val="center"/>
          </w:tcPr>
          <w:p>
            <w:pPr>
              <w:spacing w:line="360" w:lineRule="auto"/>
              <w:rPr>
                <w:rFonts w:ascii="宋体" w:hAnsi="宋体" w:cs="宋体"/>
                <w:szCs w:val="21"/>
              </w:rPr>
            </w:pPr>
            <w:r>
              <w:rPr>
                <w:rFonts w:hint="eastAsia" w:ascii="宋体" w:hAnsi="宋体" w:cs="宋体"/>
                <w:szCs w:val="21"/>
              </w:rPr>
              <w:t>电源</w:t>
            </w:r>
          </w:p>
        </w:tc>
        <w:tc>
          <w:tcPr>
            <w:tcW w:w="6355" w:type="dxa"/>
            <w:shd w:val="clear" w:color="auto" w:fill="auto"/>
            <w:vAlign w:val="center"/>
          </w:tcPr>
          <w:p>
            <w:pPr>
              <w:spacing w:line="360" w:lineRule="auto"/>
              <w:rPr>
                <w:rFonts w:ascii="宋体" w:hAnsi="宋体" w:cs="宋体"/>
                <w:szCs w:val="21"/>
              </w:rPr>
            </w:pPr>
            <w:r>
              <w:rPr>
                <w:rFonts w:hint="eastAsia" w:ascii="宋体" w:hAnsi="宋体" w:cs="宋体"/>
                <w:szCs w:val="21"/>
              </w:rPr>
              <w:t>满配热插拔冗余电源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2173" w:type="dxa"/>
            <w:shd w:val="clear" w:color="auto" w:fill="auto"/>
            <w:vAlign w:val="center"/>
          </w:tcPr>
          <w:p>
            <w:pPr>
              <w:spacing w:line="360" w:lineRule="auto"/>
              <w:rPr>
                <w:rFonts w:ascii="宋体" w:hAnsi="宋体" w:cs="宋体"/>
                <w:szCs w:val="21"/>
              </w:rPr>
            </w:pPr>
            <w:r>
              <w:rPr>
                <w:rFonts w:hint="eastAsia" w:ascii="宋体" w:hAnsi="宋体" w:cs="宋体"/>
                <w:szCs w:val="21"/>
              </w:rPr>
              <w:t>风扇</w:t>
            </w:r>
          </w:p>
        </w:tc>
        <w:tc>
          <w:tcPr>
            <w:tcW w:w="6355" w:type="dxa"/>
            <w:shd w:val="clear" w:color="auto" w:fill="auto"/>
            <w:vAlign w:val="center"/>
          </w:tcPr>
          <w:p>
            <w:pPr>
              <w:spacing w:line="360" w:lineRule="auto"/>
              <w:rPr>
                <w:rFonts w:ascii="宋体" w:hAnsi="宋体" w:cs="宋体"/>
                <w:szCs w:val="21"/>
              </w:rPr>
            </w:pPr>
            <w:r>
              <w:rPr>
                <w:rFonts w:hint="eastAsia" w:ascii="宋体" w:hAnsi="宋体" w:cs="宋体"/>
                <w:szCs w:val="21"/>
              </w:rPr>
              <w:t>满配热插拔冗余风扇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2173" w:type="dxa"/>
            <w:shd w:val="clear" w:color="auto" w:fill="auto"/>
            <w:vAlign w:val="center"/>
          </w:tcPr>
          <w:p>
            <w:pPr>
              <w:spacing w:line="360" w:lineRule="auto"/>
              <w:rPr>
                <w:rFonts w:ascii="宋体" w:hAnsi="宋体" w:cs="宋体"/>
                <w:szCs w:val="21"/>
              </w:rPr>
            </w:pPr>
            <w:r>
              <w:rPr>
                <w:rFonts w:hint="eastAsia" w:ascii="宋体" w:hAnsi="宋体" w:cs="宋体"/>
                <w:szCs w:val="21"/>
              </w:rPr>
              <w:t>产品资质</w:t>
            </w:r>
          </w:p>
        </w:tc>
        <w:tc>
          <w:tcPr>
            <w:tcW w:w="6355" w:type="dxa"/>
            <w:shd w:val="clear" w:color="auto" w:fill="auto"/>
            <w:vAlign w:val="center"/>
          </w:tcPr>
          <w:p>
            <w:pPr>
              <w:spacing w:line="360" w:lineRule="auto"/>
              <w:rPr>
                <w:rFonts w:ascii="宋体" w:hAnsi="宋体" w:cs="宋体"/>
                <w:szCs w:val="21"/>
              </w:rPr>
            </w:pPr>
            <w:r>
              <w:rPr>
                <w:rFonts w:hint="eastAsia" w:ascii="宋体" w:hAnsi="宋体" w:cs="宋体"/>
                <w:szCs w:val="21"/>
              </w:rPr>
              <w:t>中国环境标志产品认证证书（中国）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2173" w:type="dxa"/>
            <w:shd w:val="clear" w:color="auto" w:fill="auto"/>
            <w:vAlign w:val="center"/>
          </w:tcPr>
          <w:p>
            <w:pPr>
              <w:spacing w:line="360" w:lineRule="auto"/>
              <w:rPr>
                <w:rFonts w:ascii="宋体" w:hAnsi="宋体" w:cs="宋体"/>
                <w:szCs w:val="21"/>
              </w:rPr>
            </w:pPr>
            <w:r>
              <w:rPr>
                <w:rFonts w:hint="eastAsia" w:ascii="宋体" w:hAnsi="宋体" w:cs="宋体"/>
                <w:szCs w:val="21"/>
              </w:rPr>
              <w:t>服务</w:t>
            </w:r>
          </w:p>
        </w:tc>
        <w:tc>
          <w:tcPr>
            <w:tcW w:w="6355" w:type="dxa"/>
            <w:shd w:val="clear" w:color="auto" w:fill="auto"/>
            <w:vAlign w:val="center"/>
          </w:tcPr>
          <w:p>
            <w:pPr>
              <w:spacing w:line="360" w:lineRule="auto"/>
              <w:rPr>
                <w:rFonts w:ascii="宋体" w:hAnsi="宋体" w:cs="宋体"/>
                <w:szCs w:val="21"/>
              </w:rPr>
            </w:pPr>
            <w:r>
              <w:rPr>
                <w:rFonts w:hint="eastAsia" w:ascii="宋体" w:hAnsi="宋体" w:cs="宋体"/>
                <w:szCs w:val="21"/>
              </w:rPr>
              <w:t>五年原厂商质保服务</w:t>
            </w:r>
          </w:p>
        </w:tc>
      </w:tr>
    </w:tbl>
    <w:p/>
    <w:p>
      <w:pPr>
        <w:pStyle w:val="71"/>
        <w:rPr>
          <w:rFonts w:ascii="宋体" w:hAnsi="宋体"/>
          <w:b/>
          <w:kern w:val="2"/>
          <w:sz w:val="24"/>
          <w:szCs w:val="24"/>
        </w:rPr>
      </w:pPr>
      <w:r>
        <w:rPr>
          <w:rFonts w:hint="eastAsia" w:ascii="宋体" w:hAnsi="宋体"/>
          <w:b/>
          <w:kern w:val="2"/>
          <w:sz w:val="24"/>
          <w:szCs w:val="24"/>
        </w:rPr>
        <w:t>3</w:t>
      </w:r>
      <w:r>
        <w:rPr>
          <w:rFonts w:ascii="宋体" w:hAnsi="宋体"/>
          <w:b/>
          <w:kern w:val="2"/>
          <w:sz w:val="24"/>
          <w:szCs w:val="24"/>
        </w:rPr>
        <w:t>.</w:t>
      </w:r>
      <w:r>
        <w:rPr>
          <w:rFonts w:hint="eastAsia" w:ascii="宋体" w:hAnsi="宋体"/>
          <w:b/>
          <w:kern w:val="2"/>
          <w:sz w:val="24"/>
          <w:szCs w:val="24"/>
        </w:rPr>
        <w:t>4虚拟机服务器（12台）</w:t>
      </w:r>
    </w:p>
    <w:tbl>
      <w:tblPr>
        <w:tblStyle w:val="23"/>
        <w:tblW w:w="852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73"/>
        <w:gridCol w:w="63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2173" w:type="dxa"/>
            <w:shd w:val="clear" w:color="auto" w:fill="auto"/>
            <w:vAlign w:val="center"/>
          </w:tcPr>
          <w:p>
            <w:pPr>
              <w:spacing w:line="360" w:lineRule="auto"/>
              <w:jc w:val="center"/>
              <w:rPr>
                <w:rFonts w:ascii="宋体" w:hAnsi="宋体" w:cs="宋体"/>
                <w:b/>
                <w:szCs w:val="21"/>
              </w:rPr>
            </w:pPr>
            <w:r>
              <w:rPr>
                <w:rFonts w:ascii="宋体" w:hAnsi="宋体" w:cs="宋体"/>
                <w:b/>
                <w:szCs w:val="21"/>
              </w:rPr>
              <w:t>指标</w:t>
            </w:r>
            <w:r>
              <w:rPr>
                <w:rFonts w:hint="eastAsia" w:ascii="宋体" w:hAnsi="宋体" w:cs="宋体"/>
                <w:b/>
                <w:szCs w:val="21"/>
              </w:rPr>
              <w:t>项</w:t>
            </w:r>
          </w:p>
        </w:tc>
        <w:tc>
          <w:tcPr>
            <w:tcW w:w="6355" w:type="dxa"/>
            <w:shd w:val="clear" w:color="auto" w:fill="auto"/>
            <w:vAlign w:val="center"/>
          </w:tcPr>
          <w:p>
            <w:pPr>
              <w:spacing w:line="360" w:lineRule="auto"/>
              <w:jc w:val="center"/>
              <w:rPr>
                <w:rFonts w:ascii="宋体" w:hAnsi="宋体" w:cs="宋体"/>
                <w:b/>
                <w:szCs w:val="21"/>
              </w:rPr>
            </w:pPr>
            <w:r>
              <w:rPr>
                <w:rFonts w:hint="eastAsia" w:ascii="宋体" w:hAnsi="宋体" w:cs="宋体"/>
                <w:b/>
                <w:szCs w:val="21"/>
              </w:rPr>
              <w:t>配置及参数要求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2173" w:type="dxa"/>
            <w:shd w:val="clear" w:color="auto" w:fill="auto"/>
          </w:tcPr>
          <w:p>
            <w:pPr>
              <w:spacing w:line="360" w:lineRule="auto"/>
              <w:rPr>
                <w:rFonts w:ascii="宋体" w:hAnsi="宋体" w:cs="宋体"/>
                <w:szCs w:val="21"/>
              </w:rPr>
            </w:pPr>
            <w:r>
              <w:rPr>
                <w:rFonts w:hint="eastAsia" w:ascii="宋体" w:hAnsi="宋体" w:cs="宋体"/>
                <w:szCs w:val="21"/>
              </w:rPr>
              <w:t>品牌</w:t>
            </w:r>
          </w:p>
        </w:tc>
        <w:tc>
          <w:tcPr>
            <w:tcW w:w="6355" w:type="dxa"/>
            <w:shd w:val="clear" w:color="auto" w:fill="auto"/>
          </w:tcPr>
          <w:p>
            <w:pPr>
              <w:spacing w:line="360" w:lineRule="auto"/>
              <w:rPr>
                <w:rFonts w:ascii="宋体" w:hAnsi="宋体" w:cs="宋体"/>
                <w:szCs w:val="21"/>
              </w:rPr>
            </w:pPr>
            <w:r>
              <w:rPr>
                <w:rFonts w:hint="eastAsia" w:ascii="宋体" w:hAnsi="宋体" w:cs="宋体"/>
                <w:szCs w:val="21"/>
              </w:rPr>
              <w:t>国产知名品牌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2173" w:type="dxa"/>
            <w:shd w:val="clear" w:color="auto" w:fill="auto"/>
          </w:tcPr>
          <w:p>
            <w:pPr>
              <w:spacing w:line="360" w:lineRule="auto"/>
              <w:rPr>
                <w:rFonts w:ascii="宋体" w:hAnsi="宋体" w:cs="宋体"/>
                <w:szCs w:val="21"/>
              </w:rPr>
            </w:pPr>
            <w:r>
              <w:rPr>
                <w:rFonts w:hint="eastAsia" w:ascii="宋体" w:hAnsi="宋体" w:cs="宋体"/>
                <w:szCs w:val="21"/>
              </w:rPr>
              <w:t>形态</w:t>
            </w:r>
          </w:p>
        </w:tc>
        <w:tc>
          <w:tcPr>
            <w:tcW w:w="6355" w:type="dxa"/>
            <w:shd w:val="clear" w:color="auto" w:fill="auto"/>
          </w:tcPr>
          <w:p>
            <w:pPr>
              <w:spacing w:line="360" w:lineRule="auto"/>
              <w:rPr>
                <w:rFonts w:ascii="宋体" w:hAnsi="宋体" w:cs="宋体"/>
                <w:szCs w:val="21"/>
              </w:rPr>
            </w:pPr>
            <w:r>
              <w:rPr>
                <w:rFonts w:hint="eastAsia" w:ascii="宋体" w:hAnsi="宋体" w:cs="宋体"/>
                <w:szCs w:val="21"/>
              </w:rPr>
              <w:t xml:space="preserve">2U </w:t>
            </w:r>
            <w:r>
              <w:rPr>
                <w:rFonts w:ascii="宋体" w:hAnsi="宋体" w:cs="宋体"/>
                <w:szCs w:val="21"/>
              </w:rPr>
              <w:t>2</w:t>
            </w:r>
            <w:r>
              <w:rPr>
                <w:rFonts w:hint="eastAsia" w:ascii="宋体" w:hAnsi="宋体" w:cs="宋体"/>
                <w:szCs w:val="21"/>
              </w:rPr>
              <w:t>路机架服务器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2173" w:type="dxa"/>
            <w:shd w:val="clear" w:color="auto" w:fill="auto"/>
            <w:vAlign w:val="center"/>
          </w:tcPr>
          <w:p>
            <w:pPr>
              <w:spacing w:line="360" w:lineRule="auto"/>
              <w:rPr>
                <w:rFonts w:ascii="宋体" w:hAnsi="宋体" w:cs="宋体"/>
                <w:szCs w:val="21"/>
              </w:rPr>
            </w:pPr>
            <w:r>
              <w:rPr>
                <w:rFonts w:hint="eastAsia" w:ascii="宋体" w:hAnsi="宋体" w:cs="宋体"/>
                <w:szCs w:val="21"/>
              </w:rPr>
              <w:t>CPU</w:t>
            </w:r>
          </w:p>
        </w:tc>
        <w:tc>
          <w:tcPr>
            <w:tcW w:w="6355" w:type="dxa"/>
            <w:shd w:val="clear" w:color="auto" w:fill="auto"/>
            <w:vAlign w:val="center"/>
          </w:tcPr>
          <w:p>
            <w:pPr>
              <w:spacing w:line="360" w:lineRule="auto"/>
              <w:rPr>
                <w:rFonts w:ascii="宋体" w:hAnsi="宋体" w:cs="宋体"/>
                <w:szCs w:val="21"/>
              </w:rPr>
            </w:pPr>
            <w:r>
              <w:rPr>
                <w:rFonts w:ascii="宋体" w:hAnsi="宋体" w:cs="宋体"/>
                <w:szCs w:val="21"/>
              </w:rPr>
              <w:t>INTEL 5218</w:t>
            </w:r>
            <w:r>
              <w:rPr>
                <w:rFonts w:hint="eastAsia" w:ascii="宋体" w:hAnsi="宋体" w:cs="宋体"/>
                <w:szCs w:val="21"/>
              </w:rPr>
              <w:t>*</w:t>
            </w:r>
            <w:r>
              <w:rPr>
                <w:rFonts w:ascii="宋体" w:hAnsi="宋体" w:cs="宋体"/>
                <w:szCs w:val="21"/>
              </w:rPr>
              <w:t>2</w:t>
            </w:r>
            <w:r>
              <w:rPr>
                <w:rFonts w:hint="eastAsia" w:ascii="宋体" w:hAnsi="宋体" w:cs="宋体"/>
                <w:szCs w:val="21"/>
                <w:lang w:eastAsia="zh-CN"/>
              </w:rPr>
              <w:t>（</w:t>
            </w:r>
            <w:r>
              <w:rPr>
                <w:rFonts w:hint="eastAsia" w:ascii="宋体" w:hAnsi="宋体" w:cs="宋体"/>
                <w:szCs w:val="21"/>
                <w:lang w:val="en-US" w:eastAsia="zh-CN"/>
              </w:rPr>
              <w:t>不低于</w:t>
            </w:r>
            <w:r>
              <w:rPr>
                <w:rFonts w:hint="eastAsia" w:ascii="宋体" w:hAnsi="宋体" w:cs="宋体"/>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2173" w:type="dxa"/>
            <w:shd w:val="clear" w:color="auto" w:fill="auto"/>
            <w:vAlign w:val="center"/>
          </w:tcPr>
          <w:p>
            <w:pPr>
              <w:spacing w:line="360" w:lineRule="auto"/>
              <w:rPr>
                <w:rFonts w:ascii="宋体" w:hAnsi="宋体" w:cs="宋体"/>
                <w:szCs w:val="21"/>
              </w:rPr>
            </w:pPr>
            <w:r>
              <w:rPr>
                <w:rFonts w:hint="eastAsia" w:ascii="宋体" w:hAnsi="宋体" w:cs="宋体"/>
                <w:szCs w:val="21"/>
              </w:rPr>
              <w:t>内存实配规格</w:t>
            </w:r>
          </w:p>
        </w:tc>
        <w:tc>
          <w:tcPr>
            <w:tcW w:w="6355" w:type="dxa"/>
            <w:shd w:val="clear" w:color="auto" w:fill="auto"/>
            <w:vAlign w:val="center"/>
          </w:tcPr>
          <w:p>
            <w:pPr>
              <w:spacing w:line="360" w:lineRule="auto"/>
              <w:rPr>
                <w:rFonts w:ascii="宋体" w:hAnsi="宋体" w:cs="宋体"/>
                <w:szCs w:val="21"/>
              </w:rPr>
            </w:pPr>
            <w:r>
              <w:rPr>
                <w:rFonts w:hint="eastAsia" w:ascii="宋体" w:hAnsi="宋体" w:cs="宋体"/>
                <w:szCs w:val="21"/>
              </w:rPr>
              <w:t>1</w:t>
            </w:r>
            <w:r>
              <w:rPr>
                <w:rFonts w:ascii="宋体" w:hAnsi="宋体" w:cs="宋体"/>
                <w:szCs w:val="21"/>
              </w:rPr>
              <w:t xml:space="preserve">6*32G ECC </w:t>
            </w:r>
            <w:r>
              <w:rPr>
                <w:rFonts w:hint="eastAsia" w:ascii="宋体" w:hAnsi="宋体" w:cs="宋体"/>
                <w:szCs w:val="21"/>
              </w:rPr>
              <w:t>DDR4内存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2173" w:type="dxa"/>
            <w:shd w:val="clear" w:color="auto" w:fill="auto"/>
            <w:vAlign w:val="center"/>
          </w:tcPr>
          <w:p>
            <w:pPr>
              <w:spacing w:line="360" w:lineRule="auto"/>
              <w:rPr>
                <w:rFonts w:ascii="宋体" w:hAnsi="宋体" w:cs="宋体"/>
                <w:szCs w:val="21"/>
              </w:rPr>
            </w:pPr>
            <w:r>
              <w:rPr>
                <w:rFonts w:hint="eastAsia" w:ascii="宋体" w:hAnsi="宋体" w:cs="宋体"/>
                <w:szCs w:val="21"/>
              </w:rPr>
              <w:t>实配硬盘</w:t>
            </w:r>
          </w:p>
        </w:tc>
        <w:tc>
          <w:tcPr>
            <w:tcW w:w="6355" w:type="dxa"/>
            <w:shd w:val="clear" w:color="auto" w:fill="auto"/>
            <w:vAlign w:val="center"/>
          </w:tcPr>
          <w:p>
            <w:pPr>
              <w:spacing w:line="360" w:lineRule="auto"/>
              <w:rPr>
                <w:rFonts w:ascii="宋体" w:hAnsi="宋体" w:cs="宋体"/>
                <w:szCs w:val="21"/>
              </w:rPr>
            </w:pPr>
            <w:r>
              <w:rPr>
                <w:rFonts w:ascii="宋体" w:hAnsi="宋体" w:cs="宋体"/>
                <w:szCs w:val="21"/>
              </w:rPr>
              <w:t>3</w:t>
            </w:r>
            <w:r>
              <w:rPr>
                <w:rFonts w:hint="eastAsia" w:ascii="宋体" w:hAnsi="宋体" w:cs="宋体"/>
                <w:szCs w:val="21"/>
              </w:rPr>
              <w:t>*</w:t>
            </w:r>
            <w:r>
              <w:rPr>
                <w:rFonts w:ascii="宋体" w:hAnsi="宋体" w:cs="宋体"/>
                <w:szCs w:val="21"/>
              </w:rPr>
              <w:t xml:space="preserve">600GB </w:t>
            </w:r>
            <w:r>
              <w:rPr>
                <w:rFonts w:hint="eastAsia" w:ascii="宋体" w:hAnsi="宋体" w:cs="宋体"/>
                <w:szCs w:val="21"/>
              </w:rPr>
              <w:t>SAS 10k 硬盘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2173" w:type="dxa"/>
            <w:shd w:val="clear" w:color="auto" w:fill="auto"/>
            <w:vAlign w:val="center"/>
          </w:tcPr>
          <w:p>
            <w:pPr>
              <w:spacing w:line="360" w:lineRule="auto"/>
              <w:rPr>
                <w:rFonts w:ascii="宋体" w:hAnsi="宋体" w:cs="宋体"/>
                <w:szCs w:val="21"/>
              </w:rPr>
            </w:pPr>
            <w:r>
              <w:rPr>
                <w:rFonts w:hint="eastAsia" w:ascii="宋体" w:hAnsi="宋体" w:cs="宋体"/>
                <w:szCs w:val="21"/>
              </w:rPr>
              <w:t>阵列控制器</w:t>
            </w:r>
          </w:p>
        </w:tc>
        <w:tc>
          <w:tcPr>
            <w:tcW w:w="6355" w:type="dxa"/>
            <w:shd w:val="clear" w:color="auto" w:fill="auto"/>
            <w:vAlign w:val="center"/>
          </w:tcPr>
          <w:p>
            <w:pPr>
              <w:spacing w:line="360" w:lineRule="auto"/>
              <w:rPr>
                <w:rFonts w:ascii="宋体" w:hAnsi="宋体" w:cs="宋体"/>
                <w:szCs w:val="21"/>
              </w:rPr>
            </w:pPr>
            <w:r>
              <w:rPr>
                <w:rFonts w:ascii="宋体" w:hAnsi="宋体" w:cs="宋体"/>
                <w:szCs w:val="21"/>
              </w:rPr>
              <w:t xml:space="preserve">SAS </w:t>
            </w:r>
            <w:r>
              <w:rPr>
                <w:rFonts w:hint="eastAsia" w:ascii="宋体" w:hAnsi="宋体" w:cs="宋体"/>
                <w:szCs w:val="21"/>
              </w:rPr>
              <w:t>RAID阵列卡；</w:t>
            </w:r>
            <w:r>
              <w:rPr>
                <w:rFonts w:ascii="宋体" w:hAnsi="宋体" w:cs="宋体"/>
                <w:szCs w:val="21"/>
              </w:rPr>
              <w:t>2</w:t>
            </w:r>
            <w:r>
              <w:rPr>
                <w:rFonts w:hint="eastAsia" w:ascii="宋体" w:hAnsi="宋体" w:cs="宋体"/>
                <w:szCs w:val="21"/>
              </w:rPr>
              <w:t>GB缓存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2173" w:type="dxa"/>
            <w:shd w:val="clear" w:color="auto" w:fill="auto"/>
            <w:vAlign w:val="center"/>
          </w:tcPr>
          <w:p>
            <w:pPr>
              <w:spacing w:line="360" w:lineRule="auto"/>
              <w:rPr>
                <w:rFonts w:ascii="宋体" w:hAnsi="宋体" w:cs="宋体"/>
                <w:szCs w:val="21"/>
              </w:rPr>
            </w:pPr>
            <w:r>
              <w:rPr>
                <w:rFonts w:hint="eastAsia" w:ascii="宋体" w:hAnsi="宋体" w:cs="宋体"/>
                <w:szCs w:val="21"/>
              </w:rPr>
              <w:t>PCI I/O插槽</w:t>
            </w:r>
          </w:p>
        </w:tc>
        <w:tc>
          <w:tcPr>
            <w:tcW w:w="6355" w:type="dxa"/>
            <w:shd w:val="clear" w:color="auto" w:fill="auto"/>
            <w:vAlign w:val="center"/>
          </w:tcPr>
          <w:p>
            <w:pPr>
              <w:spacing w:line="360" w:lineRule="auto"/>
              <w:rPr>
                <w:rFonts w:ascii="宋体" w:hAnsi="宋体" w:cs="宋体"/>
                <w:szCs w:val="21"/>
              </w:rPr>
            </w:pPr>
            <w:r>
              <w:rPr>
                <w:rFonts w:hint="eastAsia" w:ascii="宋体" w:hAnsi="宋体" w:cs="宋体"/>
                <w:szCs w:val="21"/>
              </w:rPr>
              <w:t>提供≥</w:t>
            </w:r>
            <w:r>
              <w:rPr>
                <w:rFonts w:ascii="宋体" w:hAnsi="宋体" w:cs="宋体"/>
                <w:szCs w:val="21"/>
              </w:rPr>
              <w:t>6</w:t>
            </w:r>
            <w:r>
              <w:rPr>
                <w:rFonts w:hint="eastAsia" w:ascii="宋体" w:hAnsi="宋体" w:cs="宋体"/>
                <w:szCs w:val="21"/>
              </w:rPr>
              <w:t>个标准PCIE3.0插槽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2173" w:type="dxa"/>
            <w:shd w:val="clear" w:color="auto" w:fill="auto"/>
            <w:vAlign w:val="center"/>
          </w:tcPr>
          <w:p>
            <w:pPr>
              <w:spacing w:line="360" w:lineRule="auto"/>
              <w:rPr>
                <w:rFonts w:ascii="宋体" w:hAnsi="宋体" w:cs="宋体"/>
                <w:szCs w:val="21"/>
              </w:rPr>
            </w:pPr>
            <w:r>
              <w:rPr>
                <w:rFonts w:hint="eastAsia" w:ascii="宋体" w:hAnsi="宋体" w:cs="宋体"/>
                <w:szCs w:val="21"/>
              </w:rPr>
              <w:t>网卡</w:t>
            </w:r>
          </w:p>
        </w:tc>
        <w:tc>
          <w:tcPr>
            <w:tcW w:w="6355" w:type="dxa"/>
            <w:shd w:val="clear" w:color="auto" w:fill="auto"/>
            <w:vAlign w:val="center"/>
          </w:tcPr>
          <w:p>
            <w:pPr>
              <w:spacing w:line="360" w:lineRule="auto"/>
              <w:rPr>
                <w:rFonts w:ascii="宋体" w:hAnsi="宋体" w:cs="宋体"/>
                <w:szCs w:val="21"/>
              </w:rPr>
            </w:pPr>
            <w:r>
              <w:rPr>
                <w:rFonts w:hint="eastAsia" w:ascii="宋体" w:hAnsi="宋体" w:cs="宋体"/>
                <w:szCs w:val="21"/>
              </w:rPr>
              <w:t>配置</w:t>
            </w:r>
            <w:r>
              <w:rPr>
                <w:rFonts w:ascii="宋体" w:hAnsi="宋体" w:cs="宋体"/>
                <w:szCs w:val="21"/>
              </w:rPr>
              <w:t>4</w:t>
            </w:r>
            <w:r>
              <w:rPr>
                <w:rFonts w:hint="eastAsia" w:ascii="宋体" w:hAnsi="宋体" w:cs="宋体"/>
                <w:szCs w:val="21"/>
              </w:rPr>
              <w:t>个万兆光口（含光模块）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2" w:hRule="atLeast"/>
        </w:trPr>
        <w:tc>
          <w:tcPr>
            <w:tcW w:w="2173" w:type="dxa"/>
            <w:shd w:val="clear" w:color="auto" w:fill="auto"/>
            <w:vAlign w:val="center"/>
          </w:tcPr>
          <w:p>
            <w:pPr>
              <w:spacing w:line="360" w:lineRule="auto"/>
              <w:rPr>
                <w:rFonts w:ascii="宋体" w:hAnsi="宋体" w:cs="宋体"/>
                <w:szCs w:val="21"/>
              </w:rPr>
            </w:pPr>
            <w:r>
              <w:rPr>
                <w:rFonts w:ascii="宋体" w:hAnsi="宋体" w:cs="宋体"/>
                <w:szCs w:val="21"/>
              </w:rPr>
              <w:t>HBA</w:t>
            </w:r>
            <w:r>
              <w:rPr>
                <w:rFonts w:hint="eastAsia" w:ascii="宋体" w:hAnsi="宋体" w:cs="宋体"/>
                <w:szCs w:val="21"/>
              </w:rPr>
              <w:t>卡</w:t>
            </w:r>
          </w:p>
        </w:tc>
        <w:tc>
          <w:tcPr>
            <w:tcW w:w="6355" w:type="dxa"/>
            <w:shd w:val="clear" w:color="auto" w:fill="auto"/>
            <w:vAlign w:val="center"/>
          </w:tcPr>
          <w:p>
            <w:pPr>
              <w:spacing w:line="360" w:lineRule="auto"/>
              <w:rPr>
                <w:rFonts w:ascii="宋体" w:hAnsi="宋体" w:cs="宋体"/>
                <w:szCs w:val="21"/>
              </w:rPr>
            </w:pPr>
            <w:r>
              <w:rPr>
                <w:rFonts w:hint="eastAsia" w:ascii="宋体" w:hAnsi="宋体" w:cs="宋体"/>
                <w:szCs w:val="21"/>
              </w:rPr>
              <w:t>2块双口16Gb HBA卡（含光模块）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2" w:hRule="atLeast"/>
        </w:trPr>
        <w:tc>
          <w:tcPr>
            <w:tcW w:w="2173" w:type="dxa"/>
            <w:shd w:val="clear" w:color="auto" w:fill="auto"/>
            <w:vAlign w:val="center"/>
          </w:tcPr>
          <w:p>
            <w:pPr>
              <w:spacing w:line="360" w:lineRule="auto"/>
              <w:rPr>
                <w:rFonts w:ascii="宋体" w:hAnsi="宋体" w:cs="宋体"/>
                <w:szCs w:val="21"/>
              </w:rPr>
            </w:pPr>
            <w:r>
              <w:rPr>
                <w:rFonts w:hint="eastAsia" w:ascii="宋体" w:hAnsi="宋体" w:cs="宋体"/>
                <w:szCs w:val="21"/>
              </w:rPr>
              <w:t>电源</w:t>
            </w:r>
          </w:p>
        </w:tc>
        <w:tc>
          <w:tcPr>
            <w:tcW w:w="6355" w:type="dxa"/>
            <w:shd w:val="clear" w:color="auto" w:fill="auto"/>
            <w:vAlign w:val="center"/>
          </w:tcPr>
          <w:p>
            <w:pPr>
              <w:spacing w:line="360" w:lineRule="auto"/>
              <w:rPr>
                <w:rFonts w:ascii="宋体" w:hAnsi="宋体" w:cs="宋体"/>
                <w:szCs w:val="21"/>
              </w:rPr>
            </w:pPr>
            <w:r>
              <w:rPr>
                <w:rFonts w:hint="eastAsia" w:ascii="宋体" w:hAnsi="宋体" w:cs="宋体"/>
                <w:szCs w:val="21"/>
              </w:rPr>
              <w:t>满配热插拔冗余电源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2173" w:type="dxa"/>
            <w:shd w:val="clear" w:color="auto" w:fill="auto"/>
            <w:vAlign w:val="center"/>
          </w:tcPr>
          <w:p>
            <w:pPr>
              <w:spacing w:line="360" w:lineRule="auto"/>
              <w:rPr>
                <w:rFonts w:ascii="宋体" w:hAnsi="宋体" w:cs="宋体"/>
                <w:szCs w:val="21"/>
              </w:rPr>
            </w:pPr>
            <w:r>
              <w:rPr>
                <w:rFonts w:hint="eastAsia" w:ascii="宋体" w:hAnsi="宋体" w:cs="宋体"/>
                <w:szCs w:val="21"/>
              </w:rPr>
              <w:t>风扇</w:t>
            </w:r>
          </w:p>
        </w:tc>
        <w:tc>
          <w:tcPr>
            <w:tcW w:w="6355" w:type="dxa"/>
            <w:shd w:val="clear" w:color="auto" w:fill="auto"/>
            <w:vAlign w:val="center"/>
          </w:tcPr>
          <w:p>
            <w:pPr>
              <w:spacing w:line="360" w:lineRule="auto"/>
              <w:rPr>
                <w:rFonts w:ascii="宋体" w:hAnsi="宋体" w:cs="宋体"/>
                <w:szCs w:val="21"/>
              </w:rPr>
            </w:pPr>
            <w:r>
              <w:rPr>
                <w:rFonts w:hint="eastAsia" w:ascii="宋体" w:hAnsi="宋体" w:cs="宋体"/>
                <w:szCs w:val="21"/>
              </w:rPr>
              <w:t>满配热插拔冗余风扇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2173" w:type="dxa"/>
            <w:shd w:val="clear" w:color="auto" w:fill="auto"/>
            <w:vAlign w:val="center"/>
          </w:tcPr>
          <w:p>
            <w:pPr>
              <w:spacing w:line="360" w:lineRule="auto"/>
              <w:rPr>
                <w:rFonts w:ascii="宋体" w:hAnsi="宋体" w:cs="宋体"/>
                <w:szCs w:val="21"/>
              </w:rPr>
            </w:pPr>
            <w:r>
              <w:rPr>
                <w:rFonts w:hint="eastAsia" w:ascii="宋体" w:hAnsi="宋体" w:cs="宋体"/>
                <w:szCs w:val="21"/>
              </w:rPr>
              <w:t>产品资质</w:t>
            </w:r>
          </w:p>
        </w:tc>
        <w:tc>
          <w:tcPr>
            <w:tcW w:w="6355" w:type="dxa"/>
            <w:shd w:val="clear" w:color="auto" w:fill="auto"/>
            <w:vAlign w:val="center"/>
          </w:tcPr>
          <w:p>
            <w:pPr>
              <w:spacing w:line="360" w:lineRule="auto"/>
              <w:rPr>
                <w:rFonts w:ascii="宋体" w:hAnsi="宋体" w:cs="宋体"/>
                <w:szCs w:val="21"/>
              </w:rPr>
            </w:pPr>
            <w:r>
              <w:rPr>
                <w:rFonts w:hint="eastAsia" w:ascii="宋体" w:hAnsi="宋体" w:cs="宋体"/>
                <w:szCs w:val="21"/>
              </w:rPr>
              <w:t>中国环境标志产品认证证书（中国）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2173" w:type="dxa"/>
            <w:shd w:val="clear" w:color="auto" w:fill="auto"/>
            <w:vAlign w:val="center"/>
          </w:tcPr>
          <w:p>
            <w:pPr>
              <w:spacing w:line="360" w:lineRule="auto"/>
              <w:rPr>
                <w:rFonts w:ascii="宋体" w:hAnsi="宋体" w:cs="宋体"/>
                <w:szCs w:val="21"/>
              </w:rPr>
            </w:pPr>
            <w:r>
              <w:rPr>
                <w:rFonts w:hint="eastAsia" w:ascii="宋体" w:hAnsi="宋体" w:cs="宋体"/>
                <w:szCs w:val="21"/>
              </w:rPr>
              <w:t>服务</w:t>
            </w:r>
          </w:p>
        </w:tc>
        <w:tc>
          <w:tcPr>
            <w:tcW w:w="6355" w:type="dxa"/>
            <w:shd w:val="clear" w:color="auto" w:fill="auto"/>
            <w:vAlign w:val="center"/>
          </w:tcPr>
          <w:p>
            <w:pPr>
              <w:spacing w:line="360" w:lineRule="auto"/>
              <w:rPr>
                <w:rFonts w:ascii="宋体" w:hAnsi="宋体" w:cs="宋体"/>
                <w:szCs w:val="21"/>
              </w:rPr>
            </w:pPr>
            <w:r>
              <w:rPr>
                <w:rFonts w:hint="eastAsia" w:ascii="宋体" w:hAnsi="宋体" w:cs="宋体"/>
                <w:szCs w:val="21"/>
              </w:rPr>
              <w:t>五年原厂商质保服务</w:t>
            </w:r>
          </w:p>
        </w:tc>
      </w:tr>
    </w:tbl>
    <w:p/>
    <w:p>
      <w:pPr>
        <w:pStyle w:val="71"/>
        <w:rPr>
          <w:rFonts w:ascii="宋体" w:hAnsi="宋体"/>
          <w:b/>
          <w:kern w:val="2"/>
          <w:sz w:val="24"/>
          <w:szCs w:val="24"/>
        </w:rPr>
      </w:pPr>
      <w:r>
        <w:rPr>
          <w:rFonts w:ascii="宋体" w:hAnsi="宋体"/>
          <w:b/>
          <w:kern w:val="2"/>
          <w:sz w:val="24"/>
          <w:szCs w:val="24"/>
        </w:rPr>
        <w:t xml:space="preserve">3.5 </w:t>
      </w:r>
      <w:r>
        <w:rPr>
          <w:rFonts w:hint="eastAsia" w:ascii="宋体" w:hAnsi="宋体"/>
          <w:b/>
          <w:kern w:val="2"/>
          <w:sz w:val="24"/>
          <w:szCs w:val="24"/>
        </w:rPr>
        <w:t>G</w:t>
      </w:r>
      <w:r>
        <w:rPr>
          <w:rFonts w:ascii="宋体" w:hAnsi="宋体"/>
          <w:b/>
          <w:kern w:val="2"/>
          <w:sz w:val="24"/>
          <w:szCs w:val="24"/>
        </w:rPr>
        <w:t>PU</w:t>
      </w:r>
      <w:r>
        <w:rPr>
          <w:rFonts w:hint="eastAsia" w:ascii="宋体" w:hAnsi="宋体"/>
          <w:b/>
          <w:kern w:val="2"/>
          <w:sz w:val="24"/>
          <w:szCs w:val="24"/>
        </w:rPr>
        <w:t>服务器（</w:t>
      </w:r>
      <w:r>
        <w:rPr>
          <w:rFonts w:ascii="宋体" w:hAnsi="宋体"/>
          <w:b/>
          <w:kern w:val="2"/>
          <w:sz w:val="24"/>
          <w:szCs w:val="24"/>
        </w:rPr>
        <w:t>1</w:t>
      </w:r>
      <w:r>
        <w:rPr>
          <w:rFonts w:hint="eastAsia" w:ascii="宋体" w:hAnsi="宋体"/>
          <w:b/>
          <w:kern w:val="2"/>
          <w:sz w:val="24"/>
          <w:szCs w:val="24"/>
        </w:rPr>
        <w:t>台）</w:t>
      </w:r>
    </w:p>
    <w:tbl>
      <w:tblPr>
        <w:tblStyle w:val="23"/>
        <w:tblW w:w="852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173"/>
        <w:gridCol w:w="63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2173" w:type="dxa"/>
            <w:shd w:val="clear" w:color="auto" w:fill="auto"/>
          </w:tcPr>
          <w:p>
            <w:pPr>
              <w:spacing w:line="360" w:lineRule="auto"/>
              <w:jc w:val="center"/>
              <w:rPr>
                <w:rFonts w:ascii="宋体" w:hAnsi="宋体" w:cs="宋体"/>
                <w:b/>
                <w:szCs w:val="21"/>
              </w:rPr>
            </w:pPr>
            <w:r>
              <w:rPr>
                <w:rFonts w:ascii="宋体" w:hAnsi="宋体" w:cs="宋体"/>
                <w:b/>
                <w:szCs w:val="21"/>
              </w:rPr>
              <w:t>指标</w:t>
            </w:r>
            <w:r>
              <w:rPr>
                <w:rFonts w:hint="eastAsia" w:ascii="宋体" w:hAnsi="宋体" w:cs="宋体"/>
                <w:b/>
                <w:szCs w:val="21"/>
              </w:rPr>
              <w:t>项</w:t>
            </w:r>
          </w:p>
        </w:tc>
        <w:tc>
          <w:tcPr>
            <w:tcW w:w="6355" w:type="dxa"/>
            <w:shd w:val="clear" w:color="auto" w:fill="auto"/>
          </w:tcPr>
          <w:p>
            <w:pPr>
              <w:spacing w:line="360" w:lineRule="auto"/>
              <w:jc w:val="center"/>
              <w:rPr>
                <w:rFonts w:ascii="宋体" w:hAnsi="宋体" w:cs="宋体"/>
                <w:b/>
                <w:szCs w:val="21"/>
              </w:rPr>
            </w:pPr>
            <w:r>
              <w:rPr>
                <w:rFonts w:hint="eastAsia" w:ascii="宋体" w:hAnsi="宋体" w:cs="宋体"/>
                <w:b/>
                <w:szCs w:val="21"/>
              </w:rPr>
              <w:t>配置及参数要求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2173" w:type="dxa"/>
            <w:shd w:val="clear" w:color="auto" w:fill="auto"/>
          </w:tcPr>
          <w:p>
            <w:pPr>
              <w:spacing w:line="360" w:lineRule="auto"/>
              <w:rPr>
                <w:rFonts w:ascii="宋体" w:hAnsi="宋体" w:cs="宋体"/>
                <w:szCs w:val="21"/>
              </w:rPr>
            </w:pPr>
            <w:r>
              <w:rPr>
                <w:rFonts w:hint="eastAsia" w:ascii="宋体" w:hAnsi="宋体" w:cs="宋体"/>
                <w:szCs w:val="21"/>
              </w:rPr>
              <w:t>品牌</w:t>
            </w:r>
          </w:p>
        </w:tc>
        <w:tc>
          <w:tcPr>
            <w:tcW w:w="6355" w:type="dxa"/>
            <w:shd w:val="clear" w:color="auto" w:fill="auto"/>
          </w:tcPr>
          <w:p>
            <w:pPr>
              <w:spacing w:line="360" w:lineRule="auto"/>
              <w:rPr>
                <w:rFonts w:ascii="宋体" w:hAnsi="宋体" w:cs="宋体"/>
                <w:szCs w:val="21"/>
              </w:rPr>
            </w:pPr>
            <w:r>
              <w:rPr>
                <w:rFonts w:hint="eastAsia" w:ascii="宋体" w:hAnsi="宋体" w:cs="宋体"/>
                <w:szCs w:val="21"/>
              </w:rPr>
              <w:t>国产知名品牌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2173" w:type="dxa"/>
            <w:shd w:val="clear" w:color="auto" w:fill="auto"/>
          </w:tcPr>
          <w:p>
            <w:pPr>
              <w:spacing w:line="360" w:lineRule="auto"/>
              <w:rPr>
                <w:rFonts w:ascii="宋体" w:hAnsi="宋体" w:cs="宋体"/>
                <w:szCs w:val="21"/>
              </w:rPr>
            </w:pPr>
            <w:r>
              <w:rPr>
                <w:rFonts w:hint="eastAsia" w:ascii="宋体" w:hAnsi="宋体" w:cs="宋体"/>
                <w:szCs w:val="21"/>
              </w:rPr>
              <w:t>形态</w:t>
            </w:r>
          </w:p>
        </w:tc>
        <w:tc>
          <w:tcPr>
            <w:tcW w:w="6355" w:type="dxa"/>
            <w:shd w:val="clear" w:color="auto" w:fill="auto"/>
          </w:tcPr>
          <w:p>
            <w:pPr>
              <w:spacing w:line="360" w:lineRule="auto"/>
              <w:rPr>
                <w:rFonts w:ascii="宋体" w:hAnsi="宋体" w:cs="宋体"/>
                <w:szCs w:val="21"/>
              </w:rPr>
            </w:pPr>
            <w:r>
              <w:rPr>
                <w:rFonts w:hint="eastAsia" w:ascii="宋体" w:hAnsi="宋体" w:cs="宋体"/>
                <w:szCs w:val="21"/>
              </w:rPr>
              <w:t xml:space="preserve">2U </w:t>
            </w:r>
            <w:r>
              <w:rPr>
                <w:rFonts w:ascii="宋体" w:hAnsi="宋体" w:cs="宋体"/>
                <w:szCs w:val="21"/>
              </w:rPr>
              <w:t>2</w:t>
            </w:r>
            <w:r>
              <w:rPr>
                <w:rFonts w:hint="eastAsia" w:ascii="宋体" w:hAnsi="宋体" w:cs="宋体"/>
                <w:szCs w:val="21"/>
              </w:rPr>
              <w:t>路机架服务器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2173" w:type="dxa"/>
            <w:shd w:val="clear" w:color="auto" w:fill="auto"/>
            <w:vAlign w:val="center"/>
          </w:tcPr>
          <w:p>
            <w:pPr>
              <w:spacing w:line="360" w:lineRule="auto"/>
              <w:rPr>
                <w:rFonts w:ascii="宋体" w:hAnsi="宋体" w:cs="宋体"/>
                <w:szCs w:val="21"/>
              </w:rPr>
            </w:pPr>
            <w:r>
              <w:rPr>
                <w:rFonts w:hint="eastAsia" w:ascii="宋体" w:hAnsi="宋体" w:cs="宋体"/>
                <w:szCs w:val="21"/>
              </w:rPr>
              <w:t>CPU</w:t>
            </w:r>
          </w:p>
        </w:tc>
        <w:tc>
          <w:tcPr>
            <w:tcW w:w="6355" w:type="dxa"/>
            <w:shd w:val="clear" w:color="auto" w:fill="auto"/>
            <w:vAlign w:val="center"/>
          </w:tcPr>
          <w:p>
            <w:pPr>
              <w:spacing w:line="360" w:lineRule="auto"/>
              <w:rPr>
                <w:rFonts w:ascii="宋体" w:hAnsi="宋体" w:cs="宋体"/>
                <w:szCs w:val="21"/>
              </w:rPr>
            </w:pPr>
            <w:r>
              <w:rPr>
                <w:rFonts w:ascii="宋体" w:hAnsi="宋体" w:cs="宋体"/>
                <w:szCs w:val="21"/>
              </w:rPr>
              <w:t>INTEL 4210</w:t>
            </w:r>
            <w:r>
              <w:rPr>
                <w:rFonts w:hint="eastAsia" w:ascii="宋体" w:hAnsi="宋体" w:cs="宋体"/>
                <w:szCs w:val="21"/>
              </w:rPr>
              <w:t>R*</w:t>
            </w:r>
            <w:r>
              <w:rPr>
                <w:rFonts w:ascii="宋体" w:hAnsi="宋体" w:cs="宋体"/>
                <w:szCs w:val="21"/>
              </w:rPr>
              <w:t>2</w:t>
            </w:r>
            <w:r>
              <w:rPr>
                <w:rFonts w:hint="eastAsia" w:ascii="宋体" w:hAnsi="宋体" w:cs="宋体"/>
                <w:szCs w:val="21"/>
                <w:lang w:eastAsia="zh-CN"/>
              </w:rPr>
              <w:t>（</w:t>
            </w:r>
            <w:r>
              <w:rPr>
                <w:rFonts w:hint="eastAsia" w:ascii="宋体" w:hAnsi="宋体" w:cs="宋体"/>
                <w:szCs w:val="21"/>
                <w:lang w:val="en-US" w:eastAsia="zh-CN"/>
              </w:rPr>
              <w:t>不低于</w:t>
            </w:r>
            <w:r>
              <w:rPr>
                <w:rFonts w:hint="eastAsia" w:ascii="宋体" w:hAnsi="宋体" w:cs="宋体"/>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2173" w:type="dxa"/>
            <w:shd w:val="clear" w:color="auto" w:fill="auto"/>
            <w:vAlign w:val="center"/>
          </w:tcPr>
          <w:p>
            <w:pPr>
              <w:spacing w:line="360" w:lineRule="auto"/>
              <w:rPr>
                <w:rFonts w:ascii="宋体" w:hAnsi="宋体" w:cs="宋体"/>
                <w:szCs w:val="21"/>
              </w:rPr>
            </w:pPr>
            <w:r>
              <w:rPr>
                <w:rFonts w:hint="eastAsia" w:ascii="宋体" w:hAnsi="宋体" w:cs="宋体"/>
                <w:szCs w:val="21"/>
              </w:rPr>
              <w:t>内存实配规格</w:t>
            </w:r>
          </w:p>
        </w:tc>
        <w:tc>
          <w:tcPr>
            <w:tcW w:w="6355" w:type="dxa"/>
            <w:shd w:val="clear" w:color="auto" w:fill="auto"/>
            <w:vAlign w:val="center"/>
          </w:tcPr>
          <w:p>
            <w:pPr>
              <w:spacing w:line="360" w:lineRule="auto"/>
              <w:rPr>
                <w:rFonts w:ascii="宋体" w:hAnsi="宋体" w:cs="宋体"/>
                <w:szCs w:val="21"/>
              </w:rPr>
            </w:pPr>
            <w:r>
              <w:rPr>
                <w:rFonts w:ascii="宋体" w:hAnsi="宋体" w:cs="宋体"/>
                <w:szCs w:val="21"/>
              </w:rPr>
              <w:t>2*32</w:t>
            </w:r>
            <w:r>
              <w:rPr>
                <w:rFonts w:hint="eastAsia" w:ascii="宋体" w:hAnsi="宋体" w:cs="宋体"/>
                <w:szCs w:val="21"/>
              </w:rPr>
              <w:t>G</w:t>
            </w:r>
            <w:r>
              <w:rPr>
                <w:rFonts w:ascii="宋体" w:hAnsi="宋体" w:cs="宋体"/>
                <w:szCs w:val="21"/>
              </w:rPr>
              <w:t xml:space="preserve"> ECC </w:t>
            </w:r>
            <w:r>
              <w:rPr>
                <w:rFonts w:hint="eastAsia" w:ascii="宋体" w:hAnsi="宋体" w:cs="宋体"/>
                <w:szCs w:val="21"/>
              </w:rPr>
              <w:t>DDR4内存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2173" w:type="dxa"/>
            <w:shd w:val="clear" w:color="auto" w:fill="auto"/>
            <w:vAlign w:val="center"/>
          </w:tcPr>
          <w:p>
            <w:pPr>
              <w:spacing w:line="360" w:lineRule="auto"/>
              <w:rPr>
                <w:rFonts w:ascii="宋体" w:hAnsi="宋体" w:cs="宋体"/>
                <w:szCs w:val="21"/>
              </w:rPr>
            </w:pPr>
            <w:r>
              <w:rPr>
                <w:rFonts w:hint="eastAsia" w:ascii="宋体" w:hAnsi="宋体" w:cs="宋体"/>
                <w:szCs w:val="21"/>
              </w:rPr>
              <w:t>实配硬盘</w:t>
            </w:r>
          </w:p>
        </w:tc>
        <w:tc>
          <w:tcPr>
            <w:tcW w:w="6355" w:type="dxa"/>
            <w:shd w:val="clear" w:color="auto" w:fill="auto"/>
            <w:vAlign w:val="center"/>
          </w:tcPr>
          <w:p>
            <w:pPr>
              <w:spacing w:line="360" w:lineRule="auto"/>
              <w:rPr>
                <w:rFonts w:ascii="宋体" w:hAnsi="宋体" w:cs="宋体"/>
                <w:szCs w:val="21"/>
              </w:rPr>
            </w:pPr>
            <w:r>
              <w:rPr>
                <w:rFonts w:ascii="宋体" w:hAnsi="宋体" w:cs="宋体"/>
                <w:szCs w:val="21"/>
              </w:rPr>
              <w:t>4</w:t>
            </w:r>
            <w:r>
              <w:rPr>
                <w:rFonts w:hint="eastAsia" w:ascii="宋体" w:hAnsi="宋体" w:cs="宋体"/>
                <w:szCs w:val="21"/>
              </w:rPr>
              <w:t>*</w:t>
            </w:r>
            <w:r>
              <w:rPr>
                <w:rFonts w:ascii="宋体" w:hAnsi="宋体" w:cs="宋体"/>
                <w:szCs w:val="21"/>
              </w:rPr>
              <w:t>2.4</w:t>
            </w:r>
            <w:r>
              <w:rPr>
                <w:rFonts w:hint="eastAsia" w:ascii="宋体" w:hAnsi="宋体" w:cs="宋体"/>
                <w:szCs w:val="21"/>
              </w:rPr>
              <w:t>T</w:t>
            </w:r>
            <w:r>
              <w:rPr>
                <w:rFonts w:ascii="宋体" w:hAnsi="宋体" w:cs="宋体"/>
                <w:szCs w:val="21"/>
              </w:rPr>
              <w:t xml:space="preserve">B </w:t>
            </w:r>
            <w:r>
              <w:rPr>
                <w:rFonts w:hint="eastAsia" w:ascii="宋体" w:hAnsi="宋体" w:cs="宋体"/>
                <w:szCs w:val="21"/>
              </w:rPr>
              <w:t>SA</w:t>
            </w:r>
            <w:r>
              <w:rPr>
                <w:rFonts w:ascii="宋体" w:hAnsi="宋体" w:cs="宋体"/>
                <w:szCs w:val="21"/>
              </w:rPr>
              <w:t>S 10</w:t>
            </w:r>
            <w:r>
              <w:rPr>
                <w:rFonts w:hint="eastAsia" w:ascii="宋体" w:hAnsi="宋体" w:cs="宋体"/>
                <w:szCs w:val="21"/>
              </w:rPr>
              <w:t>K 硬盘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2173" w:type="dxa"/>
            <w:shd w:val="clear" w:color="auto" w:fill="auto"/>
            <w:vAlign w:val="center"/>
          </w:tcPr>
          <w:p>
            <w:pPr>
              <w:spacing w:line="360" w:lineRule="auto"/>
              <w:rPr>
                <w:rFonts w:ascii="宋体" w:hAnsi="宋体" w:cs="宋体"/>
                <w:szCs w:val="21"/>
              </w:rPr>
            </w:pPr>
            <w:r>
              <w:rPr>
                <w:rFonts w:hint="eastAsia" w:ascii="宋体" w:hAnsi="宋体" w:cs="宋体"/>
                <w:szCs w:val="21"/>
              </w:rPr>
              <w:t>阵列控制器</w:t>
            </w:r>
          </w:p>
        </w:tc>
        <w:tc>
          <w:tcPr>
            <w:tcW w:w="6355" w:type="dxa"/>
            <w:shd w:val="clear" w:color="auto" w:fill="auto"/>
            <w:vAlign w:val="center"/>
          </w:tcPr>
          <w:p>
            <w:pPr>
              <w:spacing w:line="360" w:lineRule="auto"/>
              <w:rPr>
                <w:rFonts w:ascii="宋体" w:hAnsi="宋体" w:cs="宋体"/>
                <w:szCs w:val="21"/>
              </w:rPr>
            </w:pPr>
            <w:r>
              <w:rPr>
                <w:rFonts w:hint="eastAsia" w:ascii="宋体" w:hAnsi="宋体" w:cs="宋体"/>
                <w:szCs w:val="21"/>
              </w:rPr>
              <w:t>独立阵列卡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2173" w:type="dxa"/>
            <w:shd w:val="clear" w:color="auto" w:fill="auto"/>
            <w:vAlign w:val="center"/>
          </w:tcPr>
          <w:p>
            <w:pPr>
              <w:spacing w:line="360" w:lineRule="auto"/>
              <w:rPr>
                <w:rFonts w:ascii="宋体" w:hAnsi="宋体" w:cs="宋体"/>
                <w:szCs w:val="21"/>
              </w:rPr>
            </w:pPr>
            <w:r>
              <w:rPr>
                <w:rFonts w:hint="eastAsia" w:ascii="宋体" w:hAnsi="宋体" w:cs="宋体"/>
                <w:szCs w:val="21"/>
              </w:rPr>
              <w:t>PCI I/O插槽</w:t>
            </w:r>
          </w:p>
        </w:tc>
        <w:tc>
          <w:tcPr>
            <w:tcW w:w="6355" w:type="dxa"/>
            <w:shd w:val="clear" w:color="auto" w:fill="auto"/>
            <w:vAlign w:val="center"/>
          </w:tcPr>
          <w:p>
            <w:pPr>
              <w:spacing w:line="360" w:lineRule="auto"/>
              <w:rPr>
                <w:rFonts w:ascii="宋体" w:hAnsi="宋体" w:cs="宋体"/>
                <w:szCs w:val="21"/>
              </w:rPr>
            </w:pPr>
            <w:r>
              <w:rPr>
                <w:rFonts w:hint="eastAsia" w:ascii="宋体" w:hAnsi="宋体" w:cs="宋体"/>
                <w:szCs w:val="21"/>
              </w:rPr>
              <w:t>提供≥</w:t>
            </w:r>
            <w:r>
              <w:rPr>
                <w:rFonts w:ascii="宋体" w:hAnsi="宋体" w:cs="宋体"/>
                <w:szCs w:val="21"/>
              </w:rPr>
              <w:t>6</w:t>
            </w:r>
            <w:r>
              <w:rPr>
                <w:rFonts w:hint="eastAsia" w:ascii="宋体" w:hAnsi="宋体" w:cs="宋体"/>
                <w:szCs w:val="21"/>
              </w:rPr>
              <w:t>个标准PCIE3.0插槽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2173" w:type="dxa"/>
            <w:shd w:val="clear" w:color="auto" w:fill="auto"/>
            <w:vAlign w:val="center"/>
          </w:tcPr>
          <w:p>
            <w:pPr>
              <w:spacing w:line="360" w:lineRule="auto"/>
              <w:rPr>
                <w:rFonts w:ascii="宋体" w:hAnsi="宋体" w:cs="宋体"/>
                <w:szCs w:val="21"/>
              </w:rPr>
            </w:pPr>
            <w:r>
              <w:rPr>
                <w:rFonts w:hint="eastAsia" w:ascii="宋体" w:hAnsi="宋体" w:cs="宋体"/>
                <w:szCs w:val="21"/>
              </w:rPr>
              <w:t>GPU</w:t>
            </w:r>
          </w:p>
        </w:tc>
        <w:tc>
          <w:tcPr>
            <w:tcW w:w="6355" w:type="dxa"/>
            <w:shd w:val="clear" w:color="auto" w:fill="auto"/>
            <w:vAlign w:val="center"/>
          </w:tcPr>
          <w:p>
            <w:pPr>
              <w:spacing w:line="360" w:lineRule="auto"/>
              <w:rPr>
                <w:rFonts w:ascii="宋体" w:hAnsi="宋体" w:cs="宋体"/>
                <w:szCs w:val="21"/>
              </w:rPr>
            </w:pPr>
            <w:r>
              <w:rPr>
                <w:rFonts w:hint="eastAsia" w:ascii="宋体" w:hAnsi="宋体" w:cs="宋体"/>
                <w:szCs w:val="21"/>
              </w:rPr>
              <w:t>配置Tesla</w:t>
            </w:r>
            <w:r>
              <w:rPr>
                <w:rFonts w:ascii="宋体" w:hAnsi="宋体" w:cs="宋体"/>
                <w:szCs w:val="21"/>
              </w:rPr>
              <w:t xml:space="preserve"> </w:t>
            </w:r>
            <w:r>
              <w:rPr>
                <w:rFonts w:hint="eastAsia" w:ascii="宋体" w:hAnsi="宋体" w:cs="宋体"/>
                <w:szCs w:val="21"/>
              </w:rPr>
              <w:t>GPU板卡，显存≥</w:t>
            </w:r>
            <w:r>
              <w:rPr>
                <w:rFonts w:ascii="宋体" w:hAnsi="宋体" w:cs="宋体"/>
                <w:szCs w:val="21"/>
              </w:rPr>
              <w:t>32</w:t>
            </w:r>
            <w:r>
              <w:rPr>
                <w:rFonts w:hint="eastAsia" w:ascii="宋体" w:hAnsi="宋体" w:cs="宋体"/>
                <w:szCs w:val="21"/>
              </w:rPr>
              <w:t>G</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22" w:hRule="atLeast"/>
        </w:trPr>
        <w:tc>
          <w:tcPr>
            <w:tcW w:w="2173" w:type="dxa"/>
            <w:shd w:val="clear" w:color="auto" w:fill="auto"/>
            <w:vAlign w:val="center"/>
          </w:tcPr>
          <w:p>
            <w:pPr>
              <w:spacing w:line="360" w:lineRule="auto"/>
              <w:rPr>
                <w:rFonts w:ascii="宋体" w:hAnsi="宋体" w:cs="宋体"/>
                <w:szCs w:val="21"/>
              </w:rPr>
            </w:pPr>
            <w:r>
              <w:rPr>
                <w:rFonts w:ascii="宋体" w:hAnsi="宋体" w:cs="宋体"/>
                <w:szCs w:val="21"/>
              </w:rPr>
              <w:t>HBA</w:t>
            </w:r>
            <w:r>
              <w:rPr>
                <w:rFonts w:hint="eastAsia" w:ascii="宋体" w:hAnsi="宋体" w:cs="宋体"/>
                <w:szCs w:val="21"/>
              </w:rPr>
              <w:t>卡</w:t>
            </w:r>
          </w:p>
        </w:tc>
        <w:tc>
          <w:tcPr>
            <w:tcW w:w="6355" w:type="dxa"/>
            <w:shd w:val="clear" w:color="auto" w:fill="auto"/>
            <w:vAlign w:val="center"/>
          </w:tcPr>
          <w:p>
            <w:pPr>
              <w:spacing w:line="360" w:lineRule="auto"/>
              <w:rPr>
                <w:rFonts w:ascii="宋体" w:hAnsi="宋体" w:cs="宋体"/>
                <w:szCs w:val="21"/>
              </w:rPr>
            </w:pPr>
            <w:r>
              <w:rPr>
                <w:rFonts w:ascii="宋体" w:hAnsi="宋体" w:cs="宋体"/>
                <w:szCs w:val="21"/>
              </w:rPr>
              <w:t>1</w:t>
            </w:r>
            <w:r>
              <w:rPr>
                <w:rFonts w:hint="eastAsia" w:ascii="宋体" w:hAnsi="宋体" w:cs="宋体"/>
                <w:szCs w:val="21"/>
              </w:rPr>
              <w:t>块双口16Gb HBA卡（含光模块）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72" w:hRule="atLeast"/>
        </w:trPr>
        <w:tc>
          <w:tcPr>
            <w:tcW w:w="2173" w:type="dxa"/>
            <w:shd w:val="clear" w:color="auto" w:fill="auto"/>
            <w:vAlign w:val="center"/>
          </w:tcPr>
          <w:p>
            <w:pPr>
              <w:spacing w:line="360" w:lineRule="auto"/>
              <w:rPr>
                <w:rFonts w:ascii="宋体" w:hAnsi="宋体" w:cs="宋体"/>
                <w:szCs w:val="21"/>
              </w:rPr>
            </w:pPr>
            <w:r>
              <w:rPr>
                <w:rFonts w:hint="eastAsia" w:ascii="宋体" w:hAnsi="宋体" w:cs="宋体"/>
                <w:szCs w:val="21"/>
              </w:rPr>
              <w:t>电源</w:t>
            </w:r>
          </w:p>
        </w:tc>
        <w:tc>
          <w:tcPr>
            <w:tcW w:w="6355" w:type="dxa"/>
            <w:shd w:val="clear" w:color="auto" w:fill="auto"/>
            <w:vAlign w:val="center"/>
          </w:tcPr>
          <w:p>
            <w:pPr>
              <w:spacing w:line="360" w:lineRule="auto"/>
              <w:rPr>
                <w:rFonts w:ascii="宋体" w:hAnsi="宋体" w:cs="宋体"/>
                <w:szCs w:val="21"/>
              </w:rPr>
            </w:pPr>
            <w:r>
              <w:rPr>
                <w:rFonts w:hint="eastAsia" w:ascii="宋体" w:hAnsi="宋体" w:cs="宋体"/>
                <w:szCs w:val="21"/>
              </w:rPr>
              <w:t>满配热插拔冗余电源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2173" w:type="dxa"/>
            <w:shd w:val="clear" w:color="auto" w:fill="auto"/>
            <w:vAlign w:val="center"/>
          </w:tcPr>
          <w:p>
            <w:pPr>
              <w:spacing w:line="360" w:lineRule="auto"/>
              <w:rPr>
                <w:rFonts w:ascii="宋体" w:hAnsi="宋体" w:cs="宋体"/>
                <w:szCs w:val="21"/>
              </w:rPr>
            </w:pPr>
            <w:r>
              <w:rPr>
                <w:rFonts w:hint="eastAsia" w:ascii="宋体" w:hAnsi="宋体" w:cs="宋体"/>
                <w:szCs w:val="21"/>
              </w:rPr>
              <w:t>风扇</w:t>
            </w:r>
          </w:p>
        </w:tc>
        <w:tc>
          <w:tcPr>
            <w:tcW w:w="6355" w:type="dxa"/>
            <w:shd w:val="clear" w:color="auto" w:fill="auto"/>
            <w:vAlign w:val="center"/>
          </w:tcPr>
          <w:p>
            <w:pPr>
              <w:spacing w:line="360" w:lineRule="auto"/>
              <w:rPr>
                <w:rFonts w:ascii="宋体" w:hAnsi="宋体" w:cs="宋体"/>
                <w:szCs w:val="21"/>
              </w:rPr>
            </w:pPr>
            <w:r>
              <w:rPr>
                <w:rFonts w:hint="eastAsia" w:ascii="宋体" w:hAnsi="宋体" w:cs="宋体"/>
                <w:szCs w:val="21"/>
              </w:rPr>
              <w:t>满配热插拔冗余风扇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2173" w:type="dxa"/>
            <w:shd w:val="clear" w:color="auto" w:fill="auto"/>
            <w:vAlign w:val="center"/>
          </w:tcPr>
          <w:p>
            <w:pPr>
              <w:spacing w:line="360" w:lineRule="auto"/>
              <w:rPr>
                <w:rFonts w:ascii="宋体" w:hAnsi="宋体" w:cs="宋体"/>
                <w:szCs w:val="21"/>
              </w:rPr>
            </w:pPr>
            <w:r>
              <w:rPr>
                <w:rFonts w:hint="eastAsia" w:ascii="宋体" w:hAnsi="宋体" w:cs="宋体"/>
                <w:szCs w:val="21"/>
              </w:rPr>
              <w:t>产品资质</w:t>
            </w:r>
          </w:p>
        </w:tc>
        <w:tc>
          <w:tcPr>
            <w:tcW w:w="6355" w:type="dxa"/>
            <w:shd w:val="clear" w:color="auto" w:fill="auto"/>
            <w:vAlign w:val="center"/>
          </w:tcPr>
          <w:p>
            <w:pPr>
              <w:spacing w:line="360" w:lineRule="auto"/>
              <w:rPr>
                <w:rFonts w:ascii="宋体" w:hAnsi="宋体" w:cs="宋体"/>
                <w:szCs w:val="21"/>
              </w:rPr>
            </w:pPr>
            <w:r>
              <w:rPr>
                <w:rFonts w:hint="eastAsia" w:ascii="宋体" w:hAnsi="宋体" w:cs="宋体"/>
                <w:szCs w:val="21"/>
              </w:rPr>
              <w:t>中国环境标志产品认证证书（中国）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20" w:hRule="atLeast"/>
        </w:trPr>
        <w:tc>
          <w:tcPr>
            <w:tcW w:w="2173" w:type="dxa"/>
            <w:shd w:val="clear" w:color="auto" w:fill="auto"/>
            <w:vAlign w:val="center"/>
          </w:tcPr>
          <w:p>
            <w:pPr>
              <w:spacing w:line="360" w:lineRule="auto"/>
              <w:rPr>
                <w:rFonts w:ascii="宋体" w:hAnsi="宋体" w:cs="宋体"/>
                <w:szCs w:val="21"/>
              </w:rPr>
            </w:pPr>
            <w:r>
              <w:rPr>
                <w:rFonts w:hint="eastAsia" w:ascii="宋体" w:hAnsi="宋体" w:cs="宋体"/>
                <w:szCs w:val="21"/>
              </w:rPr>
              <w:t>服务</w:t>
            </w:r>
          </w:p>
        </w:tc>
        <w:tc>
          <w:tcPr>
            <w:tcW w:w="6355" w:type="dxa"/>
            <w:shd w:val="clear" w:color="auto" w:fill="auto"/>
            <w:vAlign w:val="center"/>
          </w:tcPr>
          <w:p>
            <w:pPr>
              <w:spacing w:line="360" w:lineRule="auto"/>
              <w:rPr>
                <w:rFonts w:ascii="宋体" w:hAnsi="宋体" w:cs="宋体"/>
                <w:szCs w:val="21"/>
              </w:rPr>
            </w:pPr>
            <w:r>
              <w:rPr>
                <w:rFonts w:hint="eastAsia" w:ascii="宋体" w:hAnsi="宋体" w:cs="宋体"/>
                <w:szCs w:val="21"/>
              </w:rPr>
              <w:t>五年原厂商质保服务</w:t>
            </w:r>
          </w:p>
        </w:tc>
      </w:tr>
    </w:tbl>
    <w:p/>
    <w:p>
      <w:pPr>
        <w:pStyle w:val="71"/>
        <w:rPr>
          <w:rFonts w:ascii="宋体" w:hAnsi="宋体"/>
          <w:b/>
          <w:kern w:val="2"/>
          <w:sz w:val="24"/>
          <w:szCs w:val="24"/>
        </w:rPr>
      </w:pPr>
      <w:r>
        <w:rPr>
          <w:rFonts w:ascii="宋体" w:hAnsi="宋体"/>
          <w:b/>
          <w:kern w:val="2"/>
          <w:sz w:val="24"/>
          <w:szCs w:val="24"/>
        </w:rPr>
        <w:t>3.6</w:t>
      </w:r>
      <w:r>
        <w:rPr>
          <w:rFonts w:hint="eastAsia" w:ascii="宋体" w:hAnsi="宋体"/>
          <w:b/>
          <w:kern w:val="2"/>
          <w:sz w:val="24"/>
          <w:szCs w:val="24"/>
        </w:rPr>
        <w:t>光纤交换机（2台）</w:t>
      </w:r>
    </w:p>
    <w:tbl>
      <w:tblPr>
        <w:tblStyle w:val="23"/>
        <w:tblW w:w="83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0"/>
        <w:gridCol w:w="7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140" w:type="dxa"/>
          </w:tcPr>
          <w:p>
            <w:pPr>
              <w:widowControl/>
              <w:snapToGrid w:val="0"/>
              <w:jc w:val="center"/>
              <w:rPr>
                <w:rFonts w:ascii="宋体" w:hAnsi="宋体" w:cs="宋体"/>
                <w:b/>
                <w:szCs w:val="21"/>
              </w:rPr>
            </w:pPr>
            <w:r>
              <w:rPr>
                <w:rFonts w:ascii="宋体" w:hAnsi="宋体" w:cs="宋体"/>
                <w:b/>
                <w:szCs w:val="21"/>
              </w:rPr>
              <w:t>指标</w:t>
            </w:r>
            <w:r>
              <w:rPr>
                <w:rFonts w:hint="eastAsia" w:ascii="宋体" w:hAnsi="宋体" w:cs="宋体"/>
                <w:b/>
                <w:szCs w:val="21"/>
              </w:rPr>
              <w:t>项</w:t>
            </w:r>
          </w:p>
        </w:tc>
        <w:tc>
          <w:tcPr>
            <w:tcW w:w="7182" w:type="dxa"/>
          </w:tcPr>
          <w:p>
            <w:pPr>
              <w:widowControl/>
              <w:snapToGrid w:val="0"/>
              <w:jc w:val="center"/>
              <w:rPr>
                <w:rFonts w:ascii="宋体" w:hAnsi="宋体" w:cs="宋体"/>
                <w:b/>
                <w:szCs w:val="21"/>
              </w:rPr>
            </w:pPr>
            <w:r>
              <w:rPr>
                <w:rFonts w:hint="eastAsia" w:ascii="宋体" w:hAnsi="宋体" w:cs="宋体"/>
                <w:b/>
                <w:szCs w:val="21"/>
              </w:rPr>
              <w:t>配置及参数要求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140" w:type="dxa"/>
            <w:vAlign w:val="center"/>
          </w:tcPr>
          <w:p>
            <w:pPr>
              <w:spacing w:line="360" w:lineRule="auto"/>
              <w:rPr>
                <w:rFonts w:ascii="宋体" w:hAnsi="宋体" w:cs="宋体"/>
                <w:szCs w:val="21"/>
              </w:rPr>
            </w:pPr>
            <w:r>
              <w:rPr>
                <w:rFonts w:hint="eastAsia" w:ascii="宋体" w:hAnsi="宋体" w:cs="宋体"/>
                <w:szCs w:val="21"/>
              </w:rPr>
              <w:t>类型</w:t>
            </w:r>
          </w:p>
        </w:tc>
        <w:tc>
          <w:tcPr>
            <w:tcW w:w="7182" w:type="dxa"/>
            <w:vAlign w:val="center"/>
          </w:tcPr>
          <w:p>
            <w:pPr>
              <w:spacing w:line="360" w:lineRule="auto"/>
              <w:rPr>
                <w:rFonts w:ascii="宋体" w:hAnsi="宋体" w:cs="宋体"/>
                <w:szCs w:val="21"/>
              </w:rPr>
            </w:pPr>
            <w:r>
              <w:rPr>
                <w:rFonts w:hint="eastAsia" w:ascii="宋体" w:hAnsi="宋体" w:cs="宋体"/>
                <w:szCs w:val="21"/>
              </w:rPr>
              <w:t>原厂生产，非</w:t>
            </w:r>
            <w:r>
              <w:rPr>
                <w:rFonts w:ascii="宋体" w:hAnsi="宋体" w:cs="宋体"/>
                <w:szCs w:val="21"/>
              </w:rPr>
              <w:t>OEM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140" w:type="dxa"/>
            <w:vMerge w:val="restart"/>
            <w:vAlign w:val="center"/>
          </w:tcPr>
          <w:p>
            <w:pPr>
              <w:spacing w:line="360" w:lineRule="auto"/>
              <w:rPr>
                <w:rFonts w:ascii="宋体" w:hAnsi="宋体" w:cs="宋体"/>
                <w:szCs w:val="21"/>
              </w:rPr>
            </w:pPr>
            <w:r>
              <w:rPr>
                <w:rFonts w:hint="eastAsia" w:ascii="宋体" w:hAnsi="宋体" w:cs="宋体"/>
                <w:szCs w:val="21"/>
              </w:rPr>
              <w:t>指标</w:t>
            </w:r>
          </w:p>
        </w:tc>
        <w:tc>
          <w:tcPr>
            <w:tcW w:w="7182" w:type="dxa"/>
            <w:vAlign w:val="center"/>
          </w:tcPr>
          <w:p>
            <w:pPr>
              <w:spacing w:line="360" w:lineRule="auto"/>
              <w:rPr>
                <w:rFonts w:ascii="宋体" w:hAnsi="宋体" w:cs="宋体"/>
                <w:szCs w:val="21"/>
              </w:rPr>
            </w:pPr>
            <w:r>
              <w:rPr>
                <w:rFonts w:hint="eastAsia" w:ascii="宋体" w:hAnsi="宋体" w:cs="宋体"/>
                <w:szCs w:val="21"/>
              </w:rPr>
              <w:t>单台光纤交换机最大支持≥</w:t>
            </w:r>
            <w:r>
              <w:rPr>
                <w:rFonts w:ascii="宋体" w:hAnsi="宋体" w:cs="宋体"/>
                <w:szCs w:val="21"/>
              </w:rPr>
              <w:t>48</w:t>
            </w:r>
            <w:r>
              <w:rPr>
                <w:rFonts w:hint="eastAsia" w:ascii="宋体" w:hAnsi="宋体" w:cs="宋体"/>
                <w:szCs w:val="21"/>
              </w:rPr>
              <w:t>个端口，冗余电源。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140" w:type="dxa"/>
            <w:vMerge w:val="continue"/>
            <w:vAlign w:val="center"/>
          </w:tcPr>
          <w:p>
            <w:pPr>
              <w:spacing w:line="360" w:lineRule="auto"/>
              <w:rPr>
                <w:rFonts w:ascii="宋体" w:hAnsi="宋体" w:cs="宋体"/>
                <w:szCs w:val="21"/>
              </w:rPr>
            </w:pPr>
          </w:p>
        </w:tc>
        <w:tc>
          <w:tcPr>
            <w:tcW w:w="7182" w:type="dxa"/>
            <w:vAlign w:val="center"/>
          </w:tcPr>
          <w:p>
            <w:pPr>
              <w:spacing w:line="360" w:lineRule="auto"/>
              <w:rPr>
                <w:rFonts w:ascii="宋体" w:hAnsi="宋体" w:cs="宋体"/>
                <w:szCs w:val="21"/>
              </w:rPr>
            </w:pPr>
            <w:r>
              <w:rPr>
                <w:rFonts w:hint="eastAsia" w:ascii="宋体" w:hAnsi="宋体" w:cs="宋体"/>
                <w:szCs w:val="21"/>
              </w:rPr>
              <w:t>激活</w:t>
            </w:r>
            <w:r>
              <w:rPr>
                <w:rFonts w:ascii="宋体" w:hAnsi="宋体" w:cs="宋体"/>
                <w:szCs w:val="21"/>
              </w:rPr>
              <w:t>48</w:t>
            </w:r>
            <w:r>
              <w:rPr>
                <w:rFonts w:hint="eastAsia" w:ascii="宋体" w:hAnsi="宋体" w:cs="宋体"/>
                <w:szCs w:val="21"/>
              </w:rPr>
              <w:t>端口，配置</w:t>
            </w:r>
            <w:r>
              <w:rPr>
                <w:rFonts w:ascii="宋体" w:hAnsi="宋体" w:cs="宋体"/>
                <w:szCs w:val="21"/>
              </w:rPr>
              <w:t>4</w:t>
            </w:r>
            <w:r>
              <w:rPr>
                <w:rFonts w:hint="eastAsia" w:ascii="宋体" w:hAnsi="宋体" w:cs="宋体"/>
                <w:szCs w:val="21"/>
              </w:rPr>
              <w:t>8个16</w:t>
            </w:r>
            <w:r>
              <w:rPr>
                <w:rFonts w:ascii="宋体" w:hAnsi="宋体" w:cs="宋体"/>
                <w:szCs w:val="21"/>
              </w:rPr>
              <w:t>Gb/s</w:t>
            </w:r>
            <w:r>
              <w:rPr>
                <w:rFonts w:hint="eastAsia" w:ascii="宋体" w:hAnsi="宋体" w:cs="宋体"/>
                <w:szCs w:val="21"/>
              </w:rPr>
              <w:t>短波</w:t>
            </w:r>
            <w:r>
              <w:rPr>
                <w:rFonts w:ascii="宋体" w:hAnsi="宋体" w:cs="宋体"/>
                <w:szCs w:val="21"/>
              </w:rPr>
              <w:t>SFP</w:t>
            </w:r>
            <w:r>
              <w:rPr>
                <w:rFonts w:hint="eastAsia" w:ascii="宋体" w:hAnsi="宋体" w:cs="宋体"/>
                <w:szCs w:val="21"/>
              </w:rPr>
              <w:t>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140" w:type="dxa"/>
            <w:vMerge w:val="continue"/>
            <w:vAlign w:val="center"/>
          </w:tcPr>
          <w:p>
            <w:pPr>
              <w:spacing w:line="360" w:lineRule="auto"/>
              <w:rPr>
                <w:rFonts w:ascii="宋体" w:hAnsi="宋体" w:cs="宋体"/>
                <w:szCs w:val="21"/>
              </w:rPr>
            </w:pPr>
          </w:p>
        </w:tc>
        <w:tc>
          <w:tcPr>
            <w:tcW w:w="7182" w:type="dxa"/>
            <w:vAlign w:val="center"/>
          </w:tcPr>
          <w:p>
            <w:pPr>
              <w:spacing w:line="360" w:lineRule="auto"/>
              <w:rPr>
                <w:rFonts w:ascii="宋体" w:hAnsi="宋体" w:cs="宋体"/>
                <w:szCs w:val="21"/>
              </w:rPr>
            </w:pPr>
            <w:r>
              <w:rPr>
                <w:rFonts w:hint="eastAsia" w:ascii="宋体" w:hAnsi="宋体" w:cs="宋体"/>
                <w:szCs w:val="21"/>
              </w:rPr>
              <w:t>光纤交换机架构为无阻塞，全线速最大</w:t>
            </w:r>
            <w:r>
              <w:rPr>
                <w:rFonts w:ascii="宋体" w:hAnsi="宋体" w:cs="宋体"/>
                <w:szCs w:val="21"/>
              </w:rPr>
              <w:t>16Gbps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140" w:type="dxa"/>
            <w:vMerge w:val="continue"/>
            <w:vAlign w:val="center"/>
          </w:tcPr>
          <w:p>
            <w:pPr>
              <w:spacing w:line="360" w:lineRule="auto"/>
              <w:rPr>
                <w:rFonts w:ascii="宋体" w:hAnsi="宋体" w:cs="宋体"/>
                <w:szCs w:val="21"/>
              </w:rPr>
            </w:pPr>
          </w:p>
        </w:tc>
        <w:tc>
          <w:tcPr>
            <w:tcW w:w="7182" w:type="dxa"/>
            <w:vAlign w:val="center"/>
          </w:tcPr>
          <w:p>
            <w:pPr>
              <w:spacing w:line="360" w:lineRule="auto"/>
              <w:rPr>
                <w:rFonts w:ascii="宋体" w:hAnsi="宋体" w:cs="宋体"/>
                <w:szCs w:val="21"/>
              </w:rPr>
            </w:pPr>
            <w:r>
              <w:rPr>
                <w:rFonts w:hint="eastAsia" w:ascii="宋体" w:hAnsi="宋体" w:cs="宋体"/>
                <w:szCs w:val="21"/>
              </w:rPr>
              <w:t>所有的端口上均可进行全光纤网络操作和通用端口操作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140" w:type="dxa"/>
            <w:vMerge w:val="continue"/>
            <w:vAlign w:val="center"/>
          </w:tcPr>
          <w:p>
            <w:pPr>
              <w:spacing w:line="360" w:lineRule="auto"/>
              <w:rPr>
                <w:rFonts w:ascii="宋体" w:hAnsi="宋体" w:cs="宋体"/>
                <w:szCs w:val="21"/>
              </w:rPr>
            </w:pPr>
          </w:p>
        </w:tc>
        <w:tc>
          <w:tcPr>
            <w:tcW w:w="7182" w:type="dxa"/>
            <w:vAlign w:val="center"/>
          </w:tcPr>
          <w:p>
            <w:pPr>
              <w:spacing w:line="360" w:lineRule="auto"/>
              <w:rPr>
                <w:rFonts w:ascii="宋体" w:hAnsi="宋体" w:cs="宋体"/>
                <w:szCs w:val="21"/>
              </w:rPr>
            </w:pPr>
            <w:r>
              <w:rPr>
                <w:rFonts w:hint="eastAsia" w:ascii="宋体" w:hAnsi="宋体" w:cs="宋体"/>
                <w:szCs w:val="21"/>
              </w:rPr>
              <w:t>光纤交换机最大交换能力为≥</w:t>
            </w:r>
            <w:r>
              <w:rPr>
                <w:rFonts w:ascii="宋体" w:hAnsi="宋体" w:cs="宋体"/>
                <w:szCs w:val="21"/>
              </w:rPr>
              <w:t xml:space="preserve">768 Gbit/sec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140" w:type="dxa"/>
            <w:vMerge w:val="continue"/>
            <w:vAlign w:val="center"/>
          </w:tcPr>
          <w:p>
            <w:pPr>
              <w:spacing w:line="360" w:lineRule="auto"/>
              <w:rPr>
                <w:rFonts w:ascii="宋体" w:hAnsi="宋体" w:cs="宋体"/>
                <w:szCs w:val="21"/>
              </w:rPr>
            </w:pPr>
          </w:p>
        </w:tc>
        <w:tc>
          <w:tcPr>
            <w:tcW w:w="7182" w:type="dxa"/>
            <w:vAlign w:val="center"/>
          </w:tcPr>
          <w:p>
            <w:pPr>
              <w:spacing w:line="360" w:lineRule="auto"/>
              <w:rPr>
                <w:rFonts w:ascii="宋体" w:hAnsi="宋体" w:cs="宋体"/>
                <w:szCs w:val="21"/>
              </w:rPr>
            </w:pPr>
            <w:r>
              <w:rPr>
                <w:rFonts w:hint="eastAsia" w:ascii="宋体" w:hAnsi="宋体" w:cs="宋体"/>
                <w:szCs w:val="21"/>
              </w:rPr>
              <w:t>支持基于帧的干线合并，每条</w:t>
            </w:r>
            <w:r>
              <w:rPr>
                <w:rFonts w:ascii="宋体" w:hAnsi="宋体" w:cs="宋体"/>
                <w:szCs w:val="21"/>
              </w:rPr>
              <w:t>ISL</w:t>
            </w:r>
            <w:r>
              <w:rPr>
                <w:rFonts w:hint="eastAsia" w:ascii="宋体" w:hAnsi="宋体" w:cs="宋体"/>
                <w:szCs w:val="21"/>
              </w:rPr>
              <w:t>干线最多</w:t>
            </w:r>
            <w:r>
              <w:rPr>
                <w:rFonts w:ascii="宋体" w:hAnsi="宋体" w:cs="宋体"/>
                <w:szCs w:val="21"/>
              </w:rPr>
              <w:t>8</w:t>
            </w:r>
            <w:r>
              <w:rPr>
                <w:rFonts w:hint="eastAsia" w:ascii="宋体" w:hAnsi="宋体" w:cs="宋体"/>
                <w:szCs w:val="21"/>
              </w:rPr>
              <w:t>个</w:t>
            </w:r>
            <w:r>
              <w:rPr>
                <w:rFonts w:ascii="宋体" w:hAnsi="宋体" w:cs="宋体"/>
                <w:szCs w:val="21"/>
              </w:rPr>
              <w:t>16 Gbit/sec</w:t>
            </w:r>
            <w:r>
              <w:rPr>
                <w:rFonts w:hint="eastAsia" w:ascii="宋体" w:hAnsi="宋体" w:cs="宋体"/>
                <w:szCs w:val="21"/>
              </w:rPr>
              <w:t>端口；每条</w:t>
            </w:r>
            <w:r>
              <w:rPr>
                <w:rFonts w:ascii="宋体" w:hAnsi="宋体" w:cs="宋体"/>
                <w:szCs w:val="21"/>
              </w:rPr>
              <w:t>ISL</w:t>
            </w:r>
            <w:r>
              <w:rPr>
                <w:rFonts w:hint="eastAsia" w:ascii="宋体" w:hAnsi="宋体" w:cs="宋体"/>
                <w:szCs w:val="21"/>
              </w:rPr>
              <w:t>干线最高速率达</w:t>
            </w:r>
            <w:r>
              <w:rPr>
                <w:rFonts w:ascii="宋体" w:hAnsi="宋体" w:cs="宋体"/>
                <w:szCs w:val="21"/>
              </w:rPr>
              <w:t>128 Gbit/sec (8</w:t>
            </w:r>
            <w:r>
              <w:rPr>
                <w:rFonts w:hint="eastAsia" w:ascii="宋体" w:hAnsi="宋体" w:cs="宋体"/>
                <w:szCs w:val="21"/>
              </w:rPr>
              <w:t>端口×</w:t>
            </w:r>
            <w:r>
              <w:rPr>
                <w:rFonts w:ascii="宋体" w:hAnsi="宋体" w:cs="宋体"/>
                <w:szCs w:val="21"/>
              </w:rPr>
              <w:t>16 Gbit/sec [</w:t>
            </w:r>
            <w:r>
              <w:rPr>
                <w:rFonts w:hint="eastAsia" w:ascii="宋体" w:hAnsi="宋体" w:cs="宋体"/>
                <w:szCs w:val="21"/>
              </w:rPr>
              <w:t>线速</w:t>
            </w:r>
            <w:r>
              <w:rPr>
                <w:rFonts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140" w:type="dxa"/>
            <w:vMerge w:val="continue"/>
            <w:vAlign w:val="center"/>
          </w:tcPr>
          <w:p>
            <w:pPr>
              <w:spacing w:line="360" w:lineRule="auto"/>
              <w:rPr>
                <w:rFonts w:ascii="宋体" w:hAnsi="宋体" w:cs="宋体"/>
                <w:szCs w:val="21"/>
              </w:rPr>
            </w:pPr>
          </w:p>
        </w:tc>
        <w:tc>
          <w:tcPr>
            <w:tcW w:w="7182" w:type="dxa"/>
            <w:vAlign w:val="center"/>
          </w:tcPr>
          <w:p>
            <w:pPr>
              <w:spacing w:line="360" w:lineRule="auto"/>
              <w:rPr>
                <w:rFonts w:ascii="宋体" w:hAnsi="宋体" w:cs="宋体"/>
                <w:szCs w:val="21"/>
              </w:rPr>
            </w:pPr>
            <w:r>
              <w:rPr>
                <w:rFonts w:hint="eastAsia" w:ascii="宋体" w:hAnsi="宋体" w:cs="宋体"/>
                <w:szCs w:val="21"/>
              </w:rPr>
              <w:t>支持光纤通道</w:t>
            </w:r>
            <w:r>
              <w:rPr>
                <w:rFonts w:ascii="宋体" w:hAnsi="宋体" w:cs="宋体"/>
                <w:szCs w:val="21"/>
              </w:rPr>
              <w:t>(FC)</w:t>
            </w:r>
            <w:r>
              <w:rPr>
                <w:rFonts w:hint="eastAsia" w:ascii="宋体" w:hAnsi="宋体" w:cs="宋体"/>
                <w:szCs w:val="21"/>
              </w:rPr>
              <w:t>集成路由功能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140" w:type="dxa"/>
            <w:vMerge w:val="continue"/>
            <w:vAlign w:val="center"/>
          </w:tcPr>
          <w:p>
            <w:pPr>
              <w:spacing w:line="360" w:lineRule="auto"/>
              <w:rPr>
                <w:rFonts w:ascii="宋体" w:hAnsi="宋体" w:cs="宋体"/>
                <w:szCs w:val="21"/>
              </w:rPr>
            </w:pPr>
          </w:p>
        </w:tc>
        <w:tc>
          <w:tcPr>
            <w:tcW w:w="7182" w:type="dxa"/>
            <w:vAlign w:val="center"/>
          </w:tcPr>
          <w:p>
            <w:pPr>
              <w:spacing w:line="360" w:lineRule="auto"/>
              <w:rPr>
                <w:rFonts w:ascii="宋体" w:hAnsi="宋体" w:cs="宋体"/>
                <w:szCs w:val="21"/>
              </w:rPr>
            </w:pPr>
            <w:r>
              <w:rPr>
                <w:rFonts w:hint="eastAsia" w:ascii="宋体" w:hAnsi="宋体" w:cs="宋体"/>
                <w:szCs w:val="21"/>
              </w:rPr>
              <w:t>支持高级分区、</w:t>
            </w:r>
            <w:r>
              <w:rPr>
                <w:rFonts w:ascii="宋体" w:hAnsi="宋体" w:cs="宋体"/>
                <w:szCs w:val="21"/>
              </w:rPr>
              <w:t xml:space="preserve">Web </w:t>
            </w:r>
            <w:r>
              <w:rPr>
                <w:rFonts w:hint="eastAsia" w:ascii="宋体" w:hAnsi="宋体" w:cs="宋体"/>
                <w:szCs w:val="21"/>
              </w:rPr>
              <w:t>工具的智能管理和监控、</w:t>
            </w:r>
            <w:r>
              <w:rPr>
                <w:rFonts w:ascii="宋体" w:hAnsi="宋体" w:cs="宋体"/>
                <w:szCs w:val="21"/>
              </w:rPr>
              <w:t xml:space="preserve">Fabric Watch </w:t>
            </w:r>
            <w:r>
              <w:rPr>
                <w:rFonts w:hint="eastAsia" w:ascii="宋体" w:hAnsi="宋体" w:cs="宋体"/>
                <w:szCs w:val="21"/>
              </w:rPr>
              <w:t>和性能监控功能。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140" w:type="dxa"/>
            <w:vMerge w:val="continue"/>
            <w:vAlign w:val="center"/>
          </w:tcPr>
          <w:p>
            <w:pPr>
              <w:spacing w:line="360" w:lineRule="auto"/>
              <w:rPr>
                <w:rFonts w:ascii="宋体" w:hAnsi="宋体" w:cs="宋体"/>
                <w:szCs w:val="21"/>
              </w:rPr>
            </w:pPr>
          </w:p>
        </w:tc>
        <w:tc>
          <w:tcPr>
            <w:tcW w:w="7182" w:type="dxa"/>
            <w:vAlign w:val="center"/>
          </w:tcPr>
          <w:p>
            <w:pPr>
              <w:spacing w:line="360" w:lineRule="auto"/>
              <w:rPr>
                <w:rFonts w:ascii="宋体" w:hAnsi="宋体" w:cs="宋体"/>
                <w:szCs w:val="21"/>
              </w:rPr>
            </w:pPr>
            <w:r>
              <w:rPr>
                <w:rFonts w:hint="eastAsia" w:ascii="宋体" w:hAnsi="宋体" w:cs="宋体"/>
                <w:szCs w:val="21"/>
              </w:rPr>
              <w:t>支持</w:t>
            </w:r>
            <w:r>
              <w:rPr>
                <w:rFonts w:ascii="宋体" w:hAnsi="宋体" w:cs="宋体"/>
                <w:szCs w:val="21"/>
              </w:rPr>
              <w:t>Acess Gateway</w:t>
            </w:r>
            <w:r>
              <w:rPr>
                <w:rFonts w:hint="eastAsia" w:ascii="宋体" w:hAnsi="宋体" w:cs="宋体"/>
                <w:szCs w:val="21"/>
              </w:rPr>
              <w:t>工作模式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140" w:type="dxa"/>
            <w:vMerge w:val="continue"/>
            <w:vAlign w:val="center"/>
          </w:tcPr>
          <w:p>
            <w:pPr>
              <w:spacing w:line="360" w:lineRule="auto"/>
              <w:rPr>
                <w:rFonts w:ascii="宋体" w:hAnsi="宋体" w:cs="宋体"/>
                <w:szCs w:val="21"/>
              </w:rPr>
            </w:pPr>
          </w:p>
        </w:tc>
        <w:tc>
          <w:tcPr>
            <w:tcW w:w="7182" w:type="dxa"/>
            <w:vAlign w:val="center"/>
          </w:tcPr>
          <w:p>
            <w:pPr>
              <w:spacing w:line="360" w:lineRule="auto"/>
              <w:rPr>
                <w:rFonts w:ascii="宋体" w:hAnsi="宋体" w:cs="宋体"/>
                <w:szCs w:val="21"/>
              </w:rPr>
            </w:pPr>
            <w:r>
              <w:rPr>
                <w:rFonts w:hint="eastAsia" w:ascii="宋体" w:hAnsi="宋体" w:cs="宋体"/>
                <w:szCs w:val="21"/>
              </w:rPr>
              <w:t>支持</w:t>
            </w:r>
            <w:r>
              <w:rPr>
                <w:rFonts w:ascii="宋体" w:hAnsi="宋体" w:cs="宋体"/>
                <w:szCs w:val="21"/>
              </w:rPr>
              <w:t>WINDOWS</w:t>
            </w:r>
            <w:r>
              <w:rPr>
                <w:rFonts w:hint="eastAsia" w:ascii="宋体" w:hAnsi="宋体" w:cs="宋体"/>
                <w:szCs w:val="21"/>
              </w:rPr>
              <w:t>、</w:t>
            </w:r>
            <w:r>
              <w:rPr>
                <w:rFonts w:ascii="宋体" w:hAnsi="宋体" w:cs="宋体"/>
                <w:szCs w:val="21"/>
              </w:rPr>
              <w:t>LINUX</w:t>
            </w:r>
            <w:r>
              <w:rPr>
                <w:rFonts w:hint="eastAsia" w:ascii="宋体" w:hAnsi="宋体" w:cs="宋体"/>
                <w:szCs w:val="21"/>
              </w:rPr>
              <w:t>、</w:t>
            </w:r>
            <w:r>
              <w:rPr>
                <w:rFonts w:ascii="宋体" w:hAnsi="宋体" w:cs="宋体"/>
                <w:szCs w:val="21"/>
              </w:rPr>
              <w:t>AIX</w:t>
            </w:r>
            <w:r>
              <w:rPr>
                <w:rFonts w:hint="eastAsia" w:ascii="宋体" w:hAnsi="宋体" w:cs="宋体"/>
                <w:szCs w:val="21"/>
              </w:rPr>
              <w:t>、</w:t>
            </w:r>
            <w:r>
              <w:rPr>
                <w:rFonts w:ascii="宋体" w:hAnsi="宋体" w:cs="宋体"/>
                <w:szCs w:val="21"/>
              </w:rPr>
              <w:t>HP-UNIX</w:t>
            </w:r>
            <w:r>
              <w:rPr>
                <w:rFonts w:hint="eastAsia" w:ascii="宋体" w:hAnsi="宋体" w:cs="宋体"/>
                <w:szCs w:val="21"/>
              </w:rPr>
              <w:t>等操作系统，支持</w:t>
            </w:r>
            <w:r>
              <w:rPr>
                <w:rFonts w:ascii="宋体" w:hAnsi="宋体" w:cs="宋体"/>
                <w:szCs w:val="21"/>
              </w:rPr>
              <w:t>IBM</w:t>
            </w:r>
            <w:r>
              <w:rPr>
                <w:rFonts w:hint="eastAsia" w:ascii="宋体" w:hAnsi="宋体" w:cs="宋体"/>
                <w:szCs w:val="21"/>
              </w:rPr>
              <w:t>、</w:t>
            </w:r>
            <w:r>
              <w:rPr>
                <w:rFonts w:ascii="宋体" w:hAnsi="宋体" w:cs="宋体"/>
                <w:szCs w:val="21"/>
              </w:rPr>
              <w:t>HP</w:t>
            </w:r>
            <w:r>
              <w:rPr>
                <w:rFonts w:hint="eastAsia" w:ascii="宋体" w:hAnsi="宋体" w:cs="宋体"/>
                <w:szCs w:val="21"/>
              </w:rPr>
              <w:t>、富士通、</w:t>
            </w:r>
            <w:r>
              <w:rPr>
                <w:rFonts w:ascii="宋体" w:hAnsi="宋体" w:cs="宋体"/>
                <w:szCs w:val="21"/>
              </w:rPr>
              <w:t>HDS</w:t>
            </w:r>
            <w:r>
              <w:rPr>
                <w:rFonts w:hint="eastAsia" w:ascii="宋体" w:hAnsi="宋体" w:cs="宋体"/>
                <w:szCs w:val="21"/>
              </w:rPr>
              <w:t>等主流厂商的存储阵列。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140" w:type="dxa"/>
            <w:vMerge w:val="continue"/>
            <w:vAlign w:val="center"/>
          </w:tcPr>
          <w:p>
            <w:pPr>
              <w:spacing w:line="360" w:lineRule="auto"/>
              <w:rPr>
                <w:rFonts w:ascii="宋体" w:hAnsi="宋体" w:cs="宋体"/>
                <w:szCs w:val="21"/>
              </w:rPr>
            </w:pPr>
          </w:p>
        </w:tc>
        <w:tc>
          <w:tcPr>
            <w:tcW w:w="7182" w:type="dxa"/>
            <w:vAlign w:val="center"/>
          </w:tcPr>
          <w:p>
            <w:pPr>
              <w:spacing w:line="360" w:lineRule="auto"/>
              <w:rPr>
                <w:rFonts w:ascii="宋体" w:hAnsi="宋体" w:cs="宋体"/>
                <w:szCs w:val="21"/>
              </w:rPr>
            </w:pPr>
            <w:r>
              <w:rPr>
                <w:rFonts w:hint="eastAsia" w:ascii="宋体" w:hAnsi="宋体" w:cs="宋体"/>
                <w:szCs w:val="21"/>
              </w:rPr>
              <w:t>支持</w:t>
            </w:r>
            <w:r>
              <w:rPr>
                <w:rFonts w:ascii="宋体" w:hAnsi="宋体" w:cs="宋体"/>
                <w:szCs w:val="21"/>
              </w:rPr>
              <w:t>Telnet</w:t>
            </w:r>
            <w:r>
              <w:rPr>
                <w:rFonts w:hint="eastAsia" w:ascii="宋体" w:hAnsi="宋体" w:cs="宋体"/>
                <w:szCs w:val="21"/>
              </w:rPr>
              <w:t>、</w:t>
            </w:r>
            <w:r>
              <w:rPr>
                <w:rFonts w:ascii="宋体" w:hAnsi="宋体" w:cs="宋体"/>
                <w:szCs w:val="21"/>
              </w:rPr>
              <w:t>HTTP</w:t>
            </w:r>
            <w:r>
              <w:rPr>
                <w:rFonts w:hint="eastAsia" w:ascii="宋体" w:hAnsi="宋体" w:cs="宋体"/>
                <w:szCs w:val="21"/>
              </w:rPr>
              <w:t>、</w:t>
            </w:r>
            <w:r>
              <w:rPr>
                <w:rFonts w:ascii="宋体" w:hAnsi="宋体" w:cs="宋体"/>
                <w:szCs w:val="21"/>
              </w:rPr>
              <w:t>SNMP</w:t>
            </w:r>
            <w:r>
              <w:rPr>
                <w:rFonts w:hint="eastAsia" w:ascii="宋体" w:hAnsi="宋体" w:cs="宋体"/>
                <w:szCs w:val="21"/>
              </w:rPr>
              <w:t>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0" w:hRule="atLeast"/>
          <w:jc w:val="center"/>
        </w:trPr>
        <w:tc>
          <w:tcPr>
            <w:tcW w:w="1140" w:type="dxa"/>
            <w:vMerge w:val="continue"/>
            <w:vAlign w:val="center"/>
          </w:tcPr>
          <w:p>
            <w:pPr>
              <w:spacing w:line="360" w:lineRule="auto"/>
              <w:rPr>
                <w:rFonts w:ascii="宋体" w:hAnsi="宋体" w:cs="宋体"/>
                <w:szCs w:val="21"/>
              </w:rPr>
            </w:pPr>
          </w:p>
        </w:tc>
        <w:tc>
          <w:tcPr>
            <w:tcW w:w="7182" w:type="dxa"/>
            <w:vAlign w:val="center"/>
          </w:tcPr>
          <w:p>
            <w:pPr>
              <w:spacing w:line="360" w:lineRule="auto"/>
              <w:rPr>
                <w:rFonts w:ascii="宋体" w:hAnsi="宋体" w:cs="宋体"/>
                <w:szCs w:val="21"/>
              </w:rPr>
            </w:pPr>
            <w:r>
              <w:rPr>
                <w:rFonts w:hint="eastAsia" w:ascii="宋体" w:hAnsi="宋体" w:cs="宋体"/>
                <w:szCs w:val="21"/>
              </w:rPr>
              <w:t>五年原厂保修</w:t>
            </w:r>
          </w:p>
        </w:tc>
      </w:tr>
    </w:tbl>
    <w:p>
      <w:pPr>
        <w:pStyle w:val="71"/>
        <w:spacing w:line="360" w:lineRule="auto"/>
        <w:ind w:firstLine="420"/>
        <w:rPr>
          <w:rFonts w:ascii="宋体" w:hAnsi="宋体"/>
          <w:kern w:val="2"/>
          <w:sz w:val="24"/>
          <w:szCs w:val="24"/>
        </w:rPr>
      </w:pPr>
    </w:p>
    <w:p>
      <w:pPr>
        <w:pStyle w:val="71"/>
        <w:spacing w:line="360" w:lineRule="auto"/>
        <w:rPr>
          <w:rFonts w:ascii="宋体" w:hAnsi="宋体"/>
          <w:b/>
          <w:kern w:val="2"/>
          <w:sz w:val="24"/>
          <w:szCs w:val="24"/>
        </w:rPr>
      </w:pPr>
      <w:r>
        <w:rPr>
          <w:rFonts w:ascii="宋体" w:hAnsi="宋体"/>
          <w:b/>
          <w:kern w:val="2"/>
          <w:sz w:val="24"/>
          <w:szCs w:val="24"/>
        </w:rPr>
        <w:t>3.7</w:t>
      </w:r>
      <w:r>
        <w:rPr>
          <w:rFonts w:hint="eastAsia" w:ascii="宋体" w:hAnsi="宋体"/>
          <w:b/>
          <w:kern w:val="2"/>
          <w:sz w:val="24"/>
          <w:szCs w:val="24"/>
        </w:rPr>
        <w:t>备份一体机扩容（1台）</w:t>
      </w:r>
    </w:p>
    <w:p>
      <w:pPr>
        <w:pStyle w:val="71"/>
        <w:spacing w:line="360" w:lineRule="auto"/>
        <w:ind w:firstLine="420" w:firstLineChars="200"/>
        <w:rPr>
          <w:rFonts w:ascii="宋体" w:hAnsi="宋体" w:cs="宋体"/>
        </w:rPr>
      </w:pPr>
      <w:r>
        <w:rPr>
          <w:rFonts w:hint="eastAsia" w:ascii="宋体" w:hAnsi="宋体" w:cs="宋体"/>
        </w:rPr>
        <w:t>爱数</w:t>
      </w:r>
      <w:r>
        <w:rPr>
          <w:rFonts w:ascii="宋体" w:hAnsi="宋体" w:cs="宋体"/>
        </w:rPr>
        <w:t>VX820</w:t>
      </w:r>
      <w:r>
        <w:rPr>
          <w:rFonts w:hint="eastAsia" w:ascii="宋体" w:hAnsi="宋体" w:cs="宋体"/>
        </w:rPr>
        <w:t>备份一体机增扩8块</w:t>
      </w:r>
      <w:r>
        <w:rPr>
          <w:rFonts w:ascii="宋体" w:hAnsi="宋体" w:cs="宋体"/>
        </w:rPr>
        <w:t>8T</w:t>
      </w:r>
      <w:r>
        <w:rPr>
          <w:rFonts w:hint="eastAsia" w:ascii="宋体" w:hAnsi="宋体" w:cs="宋体"/>
        </w:rPr>
        <w:t>B NL-SAS 7200转硬盘及相应的软件许可。</w:t>
      </w:r>
    </w:p>
    <w:p>
      <w:pPr>
        <w:pStyle w:val="71"/>
        <w:spacing w:line="360" w:lineRule="auto"/>
        <w:ind w:firstLine="420"/>
        <w:rPr>
          <w:rFonts w:ascii="宋体" w:hAnsi="宋体"/>
          <w:kern w:val="2"/>
          <w:sz w:val="24"/>
          <w:szCs w:val="24"/>
        </w:rPr>
      </w:pPr>
    </w:p>
    <w:p>
      <w:pPr>
        <w:pStyle w:val="71"/>
        <w:spacing w:line="360" w:lineRule="auto"/>
        <w:rPr>
          <w:rFonts w:ascii="宋体" w:hAnsi="宋体"/>
          <w:b/>
          <w:kern w:val="2"/>
          <w:sz w:val="24"/>
          <w:szCs w:val="24"/>
        </w:rPr>
      </w:pPr>
      <w:r>
        <w:rPr>
          <w:rFonts w:hint="eastAsia" w:ascii="宋体" w:hAnsi="宋体"/>
          <w:b/>
          <w:kern w:val="2"/>
          <w:sz w:val="24"/>
          <w:szCs w:val="24"/>
        </w:rPr>
        <w:t>3</w:t>
      </w:r>
      <w:r>
        <w:rPr>
          <w:rFonts w:ascii="宋体" w:hAnsi="宋体"/>
          <w:b/>
          <w:kern w:val="2"/>
          <w:sz w:val="24"/>
          <w:szCs w:val="24"/>
        </w:rPr>
        <w:t>.8</w:t>
      </w:r>
      <w:r>
        <w:rPr>
          <w:rFonts w:hint="eastAsia" w:ascii="宋体" w:hAnsi="宋体"/>
          <w:b/>
          <w:kern w:val="2"/>
          <w:sz w:val="24"/>
          <w:szCs w:val="24"/>
        </w:rPr>
        <w:t>服务器网卡扩容（</w:t>
      </w:r>
      <w:r>
        <w:rPr>
          <w:rFonts w:ascii="宋体" w:hAnsi="宋体"/>
          <w:b/>
          <w:kern w:val="2"/>
          <w:sz w:val="24"/>
          <w:szCs w:val="24"/>
        </w:rPr>
        <w:t>6</w:t>
      </w:r>
      <w:r>
        <w:rPr>
          <w:rFonts w:hint="eastAsia" w:ascii="宋体" w:hAnsi="宋体"/>
          <w:b/>
          <w:kern w:val="2"/>
          <w:sz w:val="24"/>
          <w:szCs w:val="24"/>
        </w:rPr>
        <w:t>块）</w:t>
      </w:r>
    </w:p>
    <w:p>
      <w:pPr>
        <w:pStyle w:val="71"/>
        <w:spacing w:line="360" w:lineRule="auto"/>
        <w:ind w:firstLine="420" w:firstLineChars="200"/>
        <w:rPr>
          <w:rFonts w:ascii="宋体" w:hAnsi="宋体" w:cs="宋体"/>
        </w:rPr>
      </w:pPr>
      <w:r>
        <w:rPr>
          <w:rFonts w:hint="eastAsia" w:ascii="宋体" w:hAnsi="宋体" w:cs="宋体"/>
        </w:rPr>
        <w:t>适用于联想及HPE服务器，双端口万兆网卡（含2个万兆光纤模块）及相应配件。</w:t>
      </w:r>
    </w:p>
    <w:p>
      <w:pPr>
        <w:pStyle w:val="71"/>
        <w:spacing w:line="360" w:lineRule="auto"/>
        <w:ind w:firstLine="420"/>
        <w:rPr>
          <w:rFonts w:ascii="宋体" w:hAnsi="宋体"/>
          <w:kern w:val="2"/>
          <w:sz w:val="24"/>
          <w:szCs w:val="24"/>
        </w:rPr>
      </w:pPr>
    </w:p>
    <w:p>
      <w:pPr>
        <w:pStyle w:val="71"/>
        <w:spacing w:line="360" w:lineRule="auto"/>
        <w:rPr>
          <w:rFonts w:ascii="宋体" w:hAnsi="宋体"/>
          <w:b/>
          <w:kern w:val="2"/>
          <w:sz w:val="24"/>
          <w:szCs w:val="24"/>
        </w:rPr>
      </w:pPr>
      <w:r>
        <w:rPr>
          <w:rFonts w:hint="eastAsia" w:ascii="宋体" w:hAnsi="宋体"/>
          <w:b/>
          <w:kern w:val="2"/>
          <w:sz w:val="24"/>
          <w:szCs w:val="24"/>
        </w:rPr>
        <w:t>3</w:t>
      </w:r>
      <w:r>
        <w:rPr>
          <w:rFonts w:ascii="宋体" w:hAnsi="宋体"/>
          <w:b/>
          <w:kern w:val="2"/>
          <w:sz w:val="24"/>
          <w:szCs w:val="24"/>
        </w:rPr>
        <w:t>.9</w:t>
      </w:r>
      <w:r>
        <w:rPr>
          <w:rFonts w:hint="eastAsia" w:ascii="宋体" w:hAnsi="宋体"/>
          <w:b/>
          <w:kern w:val="2"/>
          <w:sz w:val="24"/>
          <w:szCs w:val="24"/>
        </w:rPr>
        <w:t>核心交换机（1台）</w:t>
      </w:r>
    </w:p>
    <w:tbl>
      <w:tblPr>
        <w:tblStyle w:val="2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3"/>
        <w:gridCol w:w="66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3" w:type="dxa"/>
          </w:tcPr>
          <w:p>
            <w:pPr>
              <w:spacing w:line="360" w:lineRule="auto"/>
              <w:jc w:val="center"/>
              <w:rPr>
                <w:rFonts w:ascii="Verdana" w:hAnsi="Verdana" w:cs="宋体"/>
                <w:b/>
                <w:szCs w:val="21"/>
              </w:rPr>
            </w:pPr>
            <w:r>
              <w:rPr>
                <w:rFonts w:hint="eastAsia" w:ascii="Verdana" w:hAnsi="Verdana" w:cs="宋体"/>
                <w:b/>
                <w:szCs w:val="21"/>
              </w:rPr>
              <w:t>指标</w:t>
            </w:r>
          </w:p>
        </w:tc>
        <w:tc>
          <w:tcPr>
            <w:tcW w:w="6645" w:type="dxa"/>
          </w:tcPr>
          <w:p>
            <w:pPr>
              <w:spacing w:line="360" w:lineRule="auto"/>
              <w:jc w:val="center"/>
              <w:rPr>
                <w:rFonts w:ascii="Verdana" w:hAnsi="Verdana" w:cs="宋体"/>
                <w:b/>
                <w:szCs w:val="21"/>
              </w:rPr>
            </w:pPr>
            <w:r>
              <w:rPr>
                <w:rFonts w:hint="eastAsia" w:ascii="Verdana" w:hAnsi="Verdana" w:cs="宋体"/>
                <w:b/>
                <w:szCs w:val="21"/>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3" w:type="dxa"/>
            <w:vAlign w:val="center"/>
          </w:tcPr>
          <w:p>
            <w:pPr>
              <w:rPr>
                <w:rFonts w:ascii="宋体" w:hAnsi="宋体" w:cs="宋体"/>
                <w:szCs w:val="21"/>
              </w:rPr>
            </w:pPr>
            <w:r>
              <w:rPr>
                <w:rFonts w:hint="eastAsia" w:ascii="宋体" w:hAnsi="宋体" w:cs="宋体"/>
                <w:szCs w:val="21"/>
              </w:rPr>
              <w:t>设备性能</w:t>
            </w:r>
          </w:p>
        </w:tc>
        <w:tc>
          <w:tcPr>
            <w:tcW w:w="6645" w:type="dxa"/>
          </w:tcPr>
          <w:p>
            <w:pPr>
              <w:rPr>
                <w:rFonts w:ascii="宋体" w:hAnsi="宋体" w:cs="宋体"/>
                <w:color w:val="auto"/>
                <w:szCs w:val="21"/>
              </w:rPr>
            </w:pPr>
            <w:r>
              <w:rPr>
                <w:rFonts w:hint="eastAsia" w:ascii="宋体" w:hAnsi="宋体" w:cs="宋体"/>
                <w:color w:val="auto"/>
                <w:szCs w:val="21"/>
              </w:rPr>
              <w:t>交换容量≥</w:t>
            </w:r>
            <w:r>
              <w:rPr>
                <w:rFonts w:ascii="宋体" w:hAnsi="宋体" w:cs="宋体"/>
                <w:color w:val="auto"/>
                <w:szCs w:val="21"/>
              </w:rPr>
              <w:t>38.4Tbps</w:t>
            </w:r>
            <w:r>
              <w:rPr>
                <w:rFonts w:hint="eastAsia" w:ascii="宋体" w:hAnsi="宋体" w:cs="宋体"/>
                <w:color w:val="auto"/>
                <w:szCs w:val="21"/>
              </w:rPr>
              <w:t>、包转发率≥</w:t>
            </w:r>
            <w:r>
              <w:rPr>
                <w:rFonts w:ascii="宋体" w:hAnsi="宋体" w:cs="宋体"/>
                <w:color w:val="auto"/>
                <w:szCs w:val="21"/>
              </w:rPr>
              <w:t>7200Mpps</w:t>
            </w:r>
            <w:r>
              <w:rPr>
                <w:rFonts w:hint="eastAsia" w:ascii="宋体" w:hAnsi="宋体" w:cs="宋体"/>
                <w:color w:val="auto"/>
                <w:szCs w:val="21"/>
              </w:rPr>
              <w:t>（以官网低指标为准，官网参数若标注为交换容量“</w:t>
            </w:r>
            <w:r>
              <w:rPr>
                <w:rFonts w:ascii="宋体" w:hAnsi="宋体" w:cs="宋体"/>
                <w:color w:val="auto"/>
                <w:szCs w:val="21"/>
              </w:rPr>
              <w:t>A/B</w:t>
            </w:r>
            <w:r>
              <w:rPr>
                <w:rFonts w:hint="eastAsia" w:ascii="宋体" w:hAnsi="宋体" w:cs="宋体"/>
                <w:color w:val="auto"/>
                <w:szCs w:val="21"/>
              </w:rPr>
              <w:t>”，以A</w:t>
            </w:r>
            <w:r>
              <w:rPr>
                <w:rFonts w:ascii="宋体" w:hAnsi="宋体" w:cs="宋体"/>
                <w:color w:val="auto"/>
                <w:szCs w:val="21"/>
              </w:rPr>
              <w:t>/B</w:t>
            </w:r>
            <w:r>
              <w:rPr>
                <w:rFonts w:hint="eastAsia" w:ascii="宋体" w:hAnsi="宋体" w:cs="宋体"/>
                <w:color w:val="auto"/>
                <w:szCs w:val="21"/>
              </w:rPr>
              <w:t>中更小值为准）；配置主控引擎模块≥2，满足1+1冗余、冗余电源，业务槽位数≥</w:t>
            </w:r>
            <w:r>
              <w:rPr>
                <w:rFonts w:ascii="宋体" w:hAnsi="宋体" w:cs="宋体"/>
                <w:color w:val="auto"/>
                <w:szCs w:val="21"/>
              </w:rPr>
              <w:t>3</w:t>
            </w:r>
            <w:r>
              <w:rPr>
                <w:rFonts w:hint="eastAsia" w:ascii="宋体" w:hAnsi="宋体" w:cs="宋体"/>
                <w:color w:val="auto"/>
                <w:szCs w:val="21"/>
              </w:rPr>
              <w:t>，万兆光口≥</w:t>
            </w:r>
            <w:r>
              <w:rPr>
                <w:rFonts w:ascii="宋体" w:hAnsi="宋体" w:cs="宋体"/>
                <w:color w:val="auto"/>
                <w:szCs w:val="21"/>
              </w:rPr>
              <w:t>32</w:t>
            </w:r>
            <w:r>
              <w:rPr>
                <w:rFonts w:hint="eastAsia" w:ascii="宋体" w:hAnsi="宋体" w:cs="宋体"/>
                <w:color w:val="auto"/>
                <w:szCs w:val="21"/>
              </w:rPr>
              <w:t>，千兆电口≥</w:t>
            </w:r>
            <w:r>
              <w:rPr>
                <w:rFonts w:ascii="宋体" w:hAnsi="宋体" w:cs="宋体"/>
                <w:color w:val="auto"/>
                <w:szCs w:val="21"/>
              </w:rPr>
              <w:t>48</w:t>
            </w:r>
            <w:r>
              <w:rPr>
                <w:rFonts w:hint="eastAsia" w:ascii="宋体" w:hAnsi="宋体" w:cs="宋体"/>
                <w:color w:val="auto"/>
                <w:szCs w:val="21"/>
              </w:rPr>
              <w:t>，3</w:t>
            </w:r>
            <w:r>
              <w:rPr>
                <w:rFonts w:ascii="宋体" w:hAnsi="宋体" w:cs="宋体"/>
                <w:color w:val="auto"/>
                <w:szCs w:val="21"/>
              </w:rPr>
              <w:t>2</w:t>
            </w:r>
            <w:r>
              <w:rPr>
                <w:rFonts w:hint="eastAsia" w:ascii="宋体" w:hAnsi="宋体" w:cs="宋体"/>
                <w:color w:val="auto"/>
                <w:szCs w:val="21"/>
              </w:rPr>
              <w:t>个万兆多模模块；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883" w:type="dxa"/>
            <w:vAlign w:val="center"/>
          </w:tcPr>
          <w:p>
            <w:pPr>
              <w:rPr>
                <w:rFonts w:ascii="宋体" w:hAnsi="宋体" w:cs="宋体"/>
                <w:szCs w:val="21"/>
              </w:rPr>
            </w:pPr>
            <w:r>
              <w:rPr>
                <w:rFonts w:hint="eastAsia" w:ascii="宋体" w:hAnsi="宋体" w:cs="宋体"/>
                <w:szCs w:val="21"/>
              </w:rPr>
              <w:t>接口要求</w:t>
            </w:r>
          </w:p>
        </w:tc>
        <w:tc>
          <w:tcPr>
            <w:tcW w:w="6645" w:type="dxa"/>
          </w:tcPr>
          <w:p>
            <w:pPr>
              <w:rPr>
                <w:rFonts w:ascii="宋体" w:hAnsi="宋体" w:cs="宋体"/>
                <w:szCs w:val="21"/>
              </w:rPr>
            </w:pPr>
            <w:r>
              <w:rPr>
                <w:rFonts w:hint="eastAsia" w:ascii="宋体" w:hAnsi="宋体" w:cs="宋体"/>
                <w:szCs w:val="21"/>
              </w:rPr>
              <w:t>单槽位能够同时提供千兆光口、千兆电口、万兆光口，且实际可用端口总数≥48，提高槽位利用率和业务可靠性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trPr>
        <w:tc>
          <w:tcPr>
            <w:tcW w:w="1883" w:type="dxa"/>
            <w:vAlign w:val="center"/>
          </w:tcPr>
          <w:p>
            <w:pPr>
              <w:rPr>
                <w:rFonts w:ascii="宋体" w:hAnsi="宋体" w:cs="宋体"/>
                <w:szCs w:val="21"/>
              </w:rPr>
            </w:pPr>
            <w:r>
              <w:rPr>
                <w:rFonts w:hint="eastAsia" w:ascii="宋体" w:hAnsi="宋体" w:cs="宋体"/>
                <w:szCs w:val="21"/>
              </w:rPr>
              <w:t>多业务融合化</w:t>
            </w:r>
          </w:p>
        </w:tc>
        <w:tc>
          <w:tcPr>
            <w:tcW w:w="6645" w:type="dxa"/>
          </w:tcPr>
          <w:p>
            <w:pPr>
              <w:rPr>
                <w:rFonts w:ascii="宋体" w:hAnsi="宋体" w:cs="宋体"/>
                <w:szCs w:val="21"/>
              </w:rPr>
            </w:pPr>
            <w:r>
              <w:rPr>
                <w:rFonts w:hint="eastAsia" w:ascii="宋体" w:hAnsi="宋体" w:cs="宋体"/>
                <w:szCs w:val="21"/>
              </w:rPr>
              <w:t>支持扩展硬件防火墙业务板、IPS入侵防御系统业务板、负载均衡业务板、应用控制网关业务板、SSL VPN业务板、EPON业务板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83" w:type="dxa"/>
            <w:vAlign w:val="center"/>
          </w:tcPr>
          <w:p>
            <w:pPr>
              <w:rPr>
                <w:rFonts w:ascii="宋体" w:hAnsi="宋体" w:cs="宋体"/>
                <w:szCs w:val="21"/>
              </w:rPr>
            </w:pPr>
            <w:r>
              <w:rPr>
                <w:rFonts w:hint="eastAsia" w:ascii="宋体" w:hAnsi="宋体" w:cs="宋体"/>
                <w:szCs w:val="21"/>
              </w:rPr>
              <w:t>带宽控制</w:t>
            </w:r>
          </w:p>
        </w:tc>
        <w:tc>
          <w:tcPr>
            <w:tcW w:w="6645" w:type="dxa"/>
          </w:tcPr>
          <w:p>
            <w:pPr>
              <w:rPr>
                <w:rFonts w:ascii="宋体" w:hAnsi="宋体" w:cs="宋体"/>
                <w:szCs w:val="21"/>
              </w:rPr>
            </w:pPr>
            <w:r>
              <w:rPr>
                <w:rFonts w:hint="eastAsia" w:ascii="宋体" w:hAnsi="宋体" w:cs="宋体"/>
                <w:szCs w:val="21"/>
              </w:rPr>
              <w:t>支持带宽控制，控制粒度&lt;=64Kbps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83" w:type="dxa"/>
            <w:vAlign w:val="center"/>
          </w:tcPr>
          <w:p>
            <w:pPr>
              <w:rPr>
                <w:rFonts w:ascii="宋体" w:hAnsi="宋体" w:cs="宋体"/>
                <w:szCs w:val="21"/>
              </w:rPr>
            </w:pPr>
            <w:r>
              <w:rPr>
                <w:rFonts w:hint="eastAsia" w:ascii="宋体" w:hAnsi="宋体" w:cs="宋体"/>
                <w:szCs w:val="21"/>
              </w:rPr>
              <w:t>无线功能</w:t>
            </w:r>
          </w:p>
        </w:tc>
        <w:tc>
          <w:tcPr>
            <w:tcW w:w="6645" w:type="dxa"/>
          </w:tcPr>
          <w:p>
            <w:pPr>
              <w:rPr>
                <w:rFonts w:ascii="宋体" w:hAnsi="宋体" w:cs="宋体"/>
                <w:szCs w:val="21"/>
              </w:rPr>
            </w:pPr>
            <w:r>
              <w:rPr>
                <w:rFonts w:hint="eastAsia" w:ascii="宋体" w:hAnsi="宋体" w:cs="宋体"/>
                <w:szCs w:val="21"/>
              </w:rPr>
              <w:t>支持无线控制器功能，包括精细的用户控制管理、完善的RF管理及安全机制、快速漫游、超强的QoS和对IPv6的支持等，为客户组建有线无线一体化网络的提供更丰富的选择。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trPr>
        <w:tc>
          <w:tcPr>
            <w:tcW w:w="1883" w:type="dxa"/>
            <w:vAlign w:val="center"/>
          </w:tcPr>
          <w:p>
            <w:pPr>
              <w:rPr>
                <w:rFonts w:ascii="宋体" w:hAnsi="宋体" w:cs="宋体"/>
                <w:szCs w:val="21"/>
              </w:rPr>
            </w:pPr>
            <w:r>
              <w:rPr>
                <w:rFonts w:hint="eastAsia" w:ascii="宋体" w:hAnsi="宋体" w:cs="宋体"/>
                <w:szCs w:val="21"/>
              </w:rPr>
              <w:t>虚拟化技术要求</w:t>
            </w:r>
          </w:p>
        </w:tc>
        <w:tc>
          <w:tcPr>
            <w:tcW w:w="6645" w:type="dxa"/>
          </w:tcPr>
          <w:p>
            <w:pPr>
              <w:rPr>
                <w:rFonts w:ascii="宋体" w:hAnsi="宋体" w:cs="宋体"/>
                <w:szCs w:val="21"/>
              </w:rPr>
            </w:pPr>
            <w:r>
              <w:rPr>
                <w:rFonts w:hint="eastAsia" w:ascii="宋体" w:hAnsi="宋体" w:cs="宋体"/>
                <w:szCs w:val="21"/>
              </w:rPr>
              <w:t>1、多虚一技术(N:1)，支持4框虚拟化技术：可将4台物理设备虚拟化，实现流量负载分担功能，提供工信部权威第三方测试报告；</w:t>
            </w:r>
          </w:p>
          <w:p>
            <w:pPr>
              <w:rPr>
                <w:rFonts w:ascii="宋体" w:hAnsi="宋体" w:cs="宋体"/>
                <w:szCs w:val="21"/>
              </w:rPr>
            </w:pPr>
            <w:r>
              <w:rPr>
                <w:rFonts w:hint="eastAsia" w:ascii="宋体" w:hAnsi="宋体" w:cs="宋体"/>
                <w:szCs w:val="21"/>
              </w:rPr>
              <w:t>2、支持有线无线统一管理功能，提供工信部权威第三方测试报告；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1883" w:type="dxa"/>
            <w:vAlign w:val="center"/>
          </w:tcPr>
          <w:p>
            <w:pPr>
              <w:rPr>
                <w:rFonts w:ascii="宋体" w:hAnsi="宋体" w:cs="宋体"/>
                <w:szCs w:val="21"/>
              </w:rPr>
            </w:pPr>
            <w:r>
              <w:rPr>
                <w:rFonts w:hint="eastAsia" w:ascii="宋体" w:hAnsi="宋体" w:cs="宋体"/>
                <w:szCs w:val="21"/>
              </w:rPr>
              <w:t>QOS</w:t>
            </w:r>
          </w:p>
        </w:tc>
        <w:tc>
          <w:tcPr>
            <w:tcW w:w="6645" w:type="dxa"/>
          </w:tcPr>
          <w:p>
            <w:pPr>
              <w:rPr>
                <w:rFonts w:ascii="宋体" w:hAnsi="宋体" w:cs="宋体"/>
                <w:szCs w:val="21"/>
              </w:rPr>
            </w:pPr>
            <w:r>
              <w:rPr>
                <w:rFonts w:hint="eastAsia" w:ascii="宋体" w:hAnsi="宋体" w:cs="宋体"/>
                <w:szCs w:val="21"/>
              </w:rPr>
              <w:t>每端口支持8个优先级队列，3个丢弃优先级，支持SP、WRR、SP+WRR三种队列调度算法；支持精细化的流量监管，粒度可达8K；支持流量整形Shapping；支持WRED拥塞避免；支持802.1p、TOS、DSCP、EXP优先级映射；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 w:hRule="atLeast"/>
        </w:trPr>
        <w:tc>
          <w:tcPr>
            <w:tcW w:w="1883" w:type="dxa"/>
            <w:vAlign w:val="center"/>
          </w:tcPr>
          <w:p>
            <w:pPr>
              <w:rPr>
                <w:rFonts w:ascii="宋体" w:hAnsi="宋体" w:cs="宋体"/>
                <w:szCs w:val="21"/>
              </w:rPr>
            </w:pPr>
            <w:r>
              <w:rPr>
                <w:rFonts w:hint="eastAsia" w:ascii="宋体" w:hAnsi="宋体" w:cs="宋体"/>
                <w:szCs w:val="21"/>
              </w:rPr>
              <w:t>认证协议特性</w:t>
            </w:r>
          </w:p>
        </w:tc>
        <w:tc>
          <w:tcPr>
            <w:tcW w:w="6645" w:type="dxa"/>
          </w:tcPr>
          <w:p>
            <w:pPr>
              <w:rPr>
                <w:rFonts w:ascii="宋体" w:hAnsi="宋体" w:cs="宋体"/>
                <w:szCs w:val="21"/>
              </w:rPr>
            </w:pPr>
            <w:r>
              <w:rPr>
                <w:rFonts w:hint="eastAsia" w:ascii="宋体" w:hAnsi="宋体" w:cs="宋体"/>
                <w:szCs w:val="21"/>
              </w:rPr>
              <w:t>支持802.1X和802.1X Sever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trPr>
        <w:tc>
          <w:tcPr>
            <w:tcW w:w="1883" w:type="dxa"/>
            <w:vAlign w:val="center"/>
          </w:tcPr>
          <w:p>
            <w:pPr>
              <w:rPr>
                <w:rFonts w:ascii="宋体" w:hAnsi="宋体" w:cs="宋体"/>
                <w:szCs w:val="21"/>
              </w:rPr>
            </w:pPr>
            <w:r>
              <w:rPr>
                <w:rFonts w:hint="eastAsia" w:ascii="宋体" w:hAnsi="宋体" w:cs="宋体"/>
                <w:szCs w:val="21"/>
              </w:rPr>
              <w:t>跨三层互联技术</w:t>
            </w:r>
          </w:p>
        </w:tc>
        <w:tc>
          <w:tcPr>
            <w:tcW w:w="6645" w:type="dxa"/>
          </w:tcPr>
          <w:p>
            <w:pPr>
              <w:rPr>
                <w:rFonts w:ascii="宋体" w:hAnsi="宋体" w:cs="宋体"/>
                <w:szCs w:val="21"/>
              </w:rPr>
            </w:pPr>
            <w:r>
              <w:rPr>
                <w:rFonts w:hint="eastAsia" w:ascii="宋体" w:hAnsi="宋体" w:cs="宋体"/>
                <w:szCs w:val="21"/>
              </w:rPr>
              <w:t>支持主流的MAC in IP技术，如EVI，实现跨三层网络的二层互联，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3" w:type="dxa"/>
            <w:vAlign w:val="center"/>
          </w:tcPr>
          <w:p>
            <w:pPr>
              <w:rPr>
                <w:rFonts w:ascii="宋体" w:hAnsi="宋体" w:cs="宋体"/>
                <w:szCs w:val="21"/>
              </w:rPr>
            </w:pPr>
            <w:r>
              <w:rPr>
                <w:rFonts w:hint="eastAsia" w:ascii="宋体" w:hAnsi="宋体" w:cs="宋体"/>
                <w:szCs w:val="21"/>
              </w:rPr>
              <w:t>组播协议</w:t>
            </w:r>
          </w:p>
        </w:tc>
        <w:tc>
          <w:tcPr>
            <w:tcW w:w="6645" w:type="dxa"/>
          </w:tcPr>
          <w:p>
            <w:pPr>
              <w:rPr>
                <w:rFonts w:ascii="宋体" w:hAnsi="宋体" w:cs="宋体"/>
                <w:szCs w:val="21"/>
              </w:rPr>
            </w:pPr>
            <w:r>
              <w:rPr>
                <w:rFonts w:hint="eastAsia" w:ascii="宋体" w:hAnsi="宋体" w:cs="宋体"/>
                <w:szCs w:val="21"/>
              </w:rPr>
              <w:t>支持GMRP、IGMP v1/v2/v3、IGMP v1/v2/v3 Snooping、PIM-DM、PIM-SM、PIM-SSM等协议</w:t>
            </w:r>
          </w:p>
          <w:p>
            <w:pPr>
              <w:rPr>
                <w:rFonts w:ascii="宋体" w:hAnsi="宋体" w:cs="宋体"/>
                <w:szCs w:val="21"/>
              </w:rPr>
            </w:pPr>
            <w:r>
              <w:rPr>
                <w:rFonts w:hint="eastAsia" w:ascii="宋体" w:hAnsi="宋体" w:cs="宋体"/>
                <w:szCs w:val="21"/>
              </w:rPr>
              <w:t>支持MSDP，MLDv2/MLDv2 Snooping，PIM-SMv6、PIM-DMv6、PIM-SSMv6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3" w:type="dxa"/>
            <w:vAlign w:val="center"/>
          </w:tcPr>
          <w:p>
            <w:pPr>
              <w:rPr>
                <w:rFonts w:ascii="宋体" w:hAnsi="宋体" w:cs="宋体"/>
                <w:szCs w:val="21"/>
              </w:rPr>
            </w:pPr>
            <w:r>
              <w:rPr>
                <w:rFonts w:hint="eastAsia" w:ascii="宋体" w:hAnsi="宋体" w:cs="宋体"/>
                <w:szCs w:val="21"/>
              </w:rPr>
              <w:t>路由协议</w:t>
            </w:r>
          </w:p>
        </w:tc>
        <w:tc>
          <w:tcPr>
            <w:tcW w:w="6645" w:type="dxa"/>
          </w:tcPr>
          <w:p>
            <w:pPr>
              <w:rPr>
                <w:rFonts w:ascii="宋体" w:hAnsi="宋体" w:cs="宋体"/>
                <w:szCs w:val="21"/>
              </w:rPr>
            </w:pPr>
            <w:r>
              <w:rPr>
                <w:rFonts w:hint="eastAsia" w:ascii="宋体" w:hAnsi="宋体" w:cs="宋体"/>
                <w:szCs w:val="21"/>
              </w:rPr>
              <w:t>支持静态路由、RIP V1/V2、OSPF、BGP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3" w:type="dxa"/>
            <w:vAlign w:val="center"/>
          </w:tcPr>
          <w:p>
            <w:pPr>
              <w:rPr>
                <w:rFonts w:ascii="宋体" w:hAnsi="宋体" w:cs="宋体"/>
                <w:szCs w:val="21"/>
              </w:rPr>
            </w:pPr>
            <w:r>
              <w:rPr>
                <w:rFonts w:hint="eastAsia" w:ascii="宋体" w:hAnsi="宋体" w:cs="宋体"/>
                <w:szCs w:val="21"/>
              </w:rPr>
              <w:t>IPv6</w:t>
            </w:r>
          </w:p>
        </w:tc>
        <w:tc>
          <w:tcPr>
            <w:tcW w:w="6645" w:type="dxa"/>
          </w:tcPr>
          <w:p>
            <w:pPr>
              <w:rPr>
                <w:rFonts w:ascii="宋体" w:hAnsi="宋体" w:cs="宋体"/>
                <w:szCs w:val="21"/>
              </w:rPr>
            </w:pPr>
            <w:r>
              <w:rPr>
                <w:rFonts w:hint="eastAsia" w:ascii="宋体" w:hAnsi="宋体" w:cs="宋体"/>
                <w:szCs w:val="21"/>
              </w:rPr>
              <w:t>支持RIPng、OSPFv3、BGP4+、IS-ISv6协议</w:t>
            </w:r>
          </w:p>
          <w:p>
            <w:pPr>
              <w:rPr>
                <w:rFonts w:ascii="宋体" w:hAnsi="宋体" w:cs="宋体"/>
                <w:szCs w:val="21"/>
              </w:rPr>
            </w:pPr>
            <w:r>
              <w:rPr>
                <w:rFonts w:hint="eastAsia" w:ascii="宋体" w:hAnsi="宋体" w:cs="宋体"/>
                <w:szCs w:val="21"/>
              </w:rPr>
              <w:t>支持IPv6策略路由；</w:t>
            </w:r>
          </w:p>
          <w:p>
            <w:pPr>
              <w:rPr>
                <w:rFonts w:ascii="宋体" w:hAnsi="宋体" w:cs="宋体"/>
                <w:szCs w:val="21"/>
              </w:rPr>
            </w:pPr>
            <w:r>
              <w:rPr>
                <w:rFonts w:hint="eastAsia" w:ascii="宋体" w:hAnsi="宋体" w:cs="宋体"/>
                <w:szCs w:val="21"/>
              </w:rPr>
              <w:t>支持DHCPv6功能、IPv6 portal功能、IPv6管理功能；</w:t>
            </w:r>
          </w:p>
          <w:p>
            <w:pPr>
              <w:rPr>
                <w:rFonts w:ascii="宋体" w:hAnsi="宋体" w:cs="宋体"/>
                <w:szCs w:val="21"/>
              </w:rPr>
            </w:pPr>
            <w:r>
              <w:rPr>
                <w:rFonts w:hint="eastAsia" w:ascii="宋体" w:hAnsi="宋体" w:cs="宋体"/>
                <w:szCs w:val="21"/>
              </w:rPr>
              <w:t>支持基于IPv6的VXLAN二三层互通；</w:t>
            </w:r>
          </w:p>
          <w:p>
            <w:pPr>
              <w:rPr>
                <w:rFonts w:ascii="宋体" w:hAnsi="宋体" w:cs="宋体"/>
                <w:szCs w:val="21"/>
              </w:rPr>
            </w:pPr>
            <w:r>
              <w:rPr>
                <w:rFonts w:hint="eastAsia" w:ascii="宋体" w:hAnsi="宋体" w:cs="宋体"/>
                <w:szCs w:val="21"/>
              </w:rPr>
              <w:t>支持基于IPv6的VRRP功能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3" w:type="dxa"/>
            <w:vAlign w:val="center"/>
          </w:tcPr>
          <w:p>
            <w:pPr>
              <w:rPr>
                <w:rFonts w:ascii="宋体" w:hAnsi="宋体" w:cs="宋体"/>
                <w:szCs w:val="21"/>
              </w:rPr>
            </w:pPr>
            <w:r>
              <w:rPr>
                <w:rFonts w:hint="eastAsia" w:ascii="宋体" w:hAnsi="宋体" w:cs="宋体"/>
                <w:szCs w:val="21"/>
              </w:rPr>
              <w:t>网管功能一体化</w:t>
            </w:r>
          </w:p>
        </w:tc>
        <w:tc>
          <w:tcPr>
            <w:tcW w:w="6645" w:type="dxa"/>
          </w:tcPr>
          <w:p>
            <w:pPr>
              <w:rPr>
                <w:rFonts w:ascii="宋体" w:hAnsi="宋体" w:cs="宋体"/>
                <w:szCs w:val="21"/>
              </w:rPr>
            </w:pPr>
            <w:r>
              <w:rPr>
                <w:rFonts w:hint="eastAsia" w:ascii="宋体" w:hAnsi="宋体" w:cs="宋体"/>
                <w:szCs w:val="21"/>
              </w:rPr>
              <w:t>内置智能管理功能，支持通过图形化界面设备配置及命令一键下发和版本智能升级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3" w:type="dxa"/>
            <w:vAlign w:val="center"/>
          </w:tcPr>
          <w:p>
            <w:pPr>
              <w:rPr>
                <w:rFonts w:ascii="宋体" w:hAnsi="宋体" w:cs="宋体"/>
                <w:szCs w:val="21"/>
              </w:rPr>
            </w:pPr>
            <w:r>
              <w:rPr>
                <w:rFonts w:hint="eastAsia" w:ascii="宋体" w:hAnsi="宋体" w:cs="宋体"/>
                <w:szCs w:val="21"/>
              </w:rPr>
              <w:t>生成树协议</w:t>
            </w:r>
          </w:p>
        </w:tc>
        <w:tc>
          <w:tcPr>
            <w:tcW w:w="6645" w:type="dxa"/>
          </w:tcPr>
          <w:p>
            <w:pPr>
              <w:rPr>
                <w:rFonts w:ascii="宋体" w:hAnsi="宋体" w:cs="宋体"/>
                <w:szCs w:val="21"/>
              </w:rPr>
            </w:pPr>
            <w:r>
              <w:rPr>
                <w:rFonts w:hint="eastAsia" w:ascii="宋体" w:hAnsi="宋体" w:cs="宋体"/>
                <w:szCs w:val="21"/>
              </w:rPr>
              <w:t>支持IEEE 802.1d（STP）/802.1w（RSTP）/802.1s（MSTP）标准，支持BPDU guard， Root guard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3" w:type="dxa"/>
            <w:vAlign w:val="center"/>
          </w:tcPr>
          <w:p>
            <w:pPr>
              <w:rPr>
                <w:rFonts w:ascii="宋体" w:hAnsi="宋体" w:cs="宋体"/>
                <w:szCs w:val="21"/>
              </w:rPr>
            </w:pPr>
            <w:r>
              <w:rPr>
                <w:rFonts w:hint="eastAsia" w:ascii="宋体" w:hAnsi="宋体" w:cs="宋体"/>
                <w:szCs w:val="21"/>
              </w:rPr>
              <w:t>硬件加密技术</w:t>
            </w:r>
          </w:p>
        </w:tc>
        <w:tc>
          <w:tcPr>
            <w:tcW w:w="6645" w:type="dxa"/>
          </w:tcPr>
          <w:p>
            <w:pPr>
              <w:rPr>
                <w:rFonts w:ascii="宋体" w:hAnsi="宋体" w:cs="宋体"/>
                <w:szCs w:val="21"/>
              </w:rPr>
            </w:pPr>
            <w:r>
              <w:rPr>
                <w:rFonts w:hint="eastAsia" w:ascii="宋体" w:hAnsi="宋体" w:cs="宋体"/>
                <w:szCs w:val="21"/>
              </w:rPr>
              <w:t>支持硬件级加密技术Macsec技术（802.1ae）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3" w:type="dxa"/>
            <w:vAlign w:val="center"/>
          </w:tcPr>
          <w:p>
            <w:pPr>
              <w:rPr>
                <w:rFonts w:ascii="宋体" w:hAnsi="宋体" w:cs="宋体"/>
                <w:szCs w:val="21"/>
              </w:rPr>
            </w:pPr>
            <w:r>
              <w:rPr>
                <w:rFonts w:hint="eastAsia" w:ascii="宋体" w:hAnsi="宋体" w:cs="宋体"/>
                <w:szCs w:val="21"/>
              </w:rPr>
              <w:t>可靠性</w:t>
            </w:r>
          </w:p>
        </w:tc>
        <w:tc>
          <w:tcPr>
            <w:tcW w:w="6645" w:type="dxa"/>
          </w:tcPr>
          <w:p>
            <w:pPr>
              <w:rPr>
                <w:rFonts w:ascii="宋体" w:hAnsi="宋体" w:cs="宋体"/>
                <w:szCs w:val="21"/>
              </w:rPr>
            </w:pPr>
            <w:r>
              <w:rPr>
                <w:rFonts w:hint="eastAsia" w:ascii="宋体" w:hAnsi="宋体" w:cs="宋体"/>
                <w:szCs w:val="21"/>
              </w:rPr>
              <w:t>支持主控板冗余，倒换时间为0ms；支持BFD，BFD for VRRP/BGP/IS-IS/OSPF/RSVP/LDP/RIP/静态路由，BFD收敛时间&lt;50ms；支持IP FRR，满足网络收敛&lt;50ms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3" w:type="dxa"/>
            <w:vAlign w:val="center"/>
          </w:tcPr>
          <w:p>
            <w:pPr>
              <w:rPr>
                <w:rFonts w:ascii="宋体" w:hAnsi="宋体" w:cs="宋体"/>
                <w:szCs w:val="21"/>
              </w:rPr>
            </w:pPr>
            <w:r>
              <w:rPr>
                <w:rFonts w:hint="eastAsia" w:ascii="宋体" w:hAnsi="宋体" w:cs="宋体"/>
                <w:szCs w:val="21"/>
              </w:rPr>
              <w:t>设备管理</w:t>
            </w:r>
          </w:p>
        </w:tc>
        <w:tc>
          <w:tcPr>
            <w:tcW w:w="6645" w:type="dxa"/>
          </w:tcPr>
          <w:p>
            <w:pPr>
              <w:rPr>
                <w:rFonts w:ascii="宋体" w:hAnsi="宋体" w:cs="宋体"/>
                <w:szCs w:val="21"/>
              </w:rPr>
            </w:pPr>
            <w:r>
              <w:rPr>
                <w:rFonts w:hint="eastAsia" w:ascii="宋体" w:hAnsi="宋体" w:cs="宋体"/>
                <w:szCs w:val="21"/>
              </w:rPr>
              <w:t xml:space="preserve">支持SNMP V1/V2/V3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3" w:type="dxa"/>
            <w:vAlign w:val="center"/>
          </w:tcPr>
          <w:p>
            <w:pPr>
              <w:rPr>
                <w:rFonts w:ascii="宋体" w:hAnsi="宋体" w:cs="宋体"/>
                <w:szCs w:val="21"/>
              </w:rPr>
            </w:pPr>
            <w:r>
              <w:rPr>
                <w:rFonts w:hint="eastAsia" w:ascii="宋体" w:hAnsi="宋体" w:cs="宋体"/>
                <w:szCs w:val="21"/>
              </w:rPr>
              <w:t>运维管理软件</w:t>
            </w:r>
          </w:p>
        </w:tc>
        <w:tc>
          <w:tcPr>
            <w:tcW w:w="6645" w:type="dxa"/>
          </w:tcPr>
          <w:p>
            <w:pPr>
              <w:rPr>
                <w:rFonts w:ascii="宋体" w:hAnsi="宋体" w:cs="宋体"/>
                <w:szCs w:val="21"/>
              </w:rPr>
            </w:pPr>
            <w:r>
              <w:rPr>
                <w:rFonts w:hint="eastAsia" w:ascii="宋体" w:hAnsi="宋体" w:cs="宋体"/>
                <w:szCs w:val="21"/>
              </w:rPr>
              <w:t>提供一站式智能运维界面，通过智能运维门户可以提供向导式的网络运维，设备管理、故障排查、维护大全、开局助手、控制台、云图、工具宝箱等功能，提供软件功能截图；</w:t>
            </w:r>
            <w:r>
              <w:rPr>
                <w:rFonts w:ascii="宋体" w:hAnsi="宋体" w:cs="宋体"/>
                <w:szCs w:val="21"/>
              </w:rPr>
              <w:t>提供故障排查及脚本管理功能，可通过选择故障设备、选择故障类型、确定前置条件，然后通过信息收集，信息分析，提供向导式解决方法；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83" w:type="dxa"/>
            <w:vAlign w:val="center"/>
          </w:tcPr>
          <w:p>
            <w:pPr>
              <w:rPr>
                <w:rFonts w:ascii="宋体" w:hAnsi="宋体" w:cs="宋体"/>
                <w:szCs w:val="21"/>
              </w:rPr>
            </w:pPr>
            <w:r>
              <w:rPr>
                <w:rFonts w:hint="eastAsia" w:ascii="宋体" w:hAnsi="宋体" w:cs="宋体"/>
                <w:szCs w:val="21"/>
              </w:rPr>
              <w:t>资质证书</w:t>
            </w:r>
          </w:p>
        </w:tc>
        <w:tc>
          <w:tcPr>
            <w:tcW w:w="6645" w:type="dxa"/>
          </w:tcPr>
          <w:p>
            <w:pPr>
              <w:rPr>
                <w:rFonts w:ascii="宋体" w:hAnsi="宋体" w:cs="宋体"/>
                <w:color w:val="FF0000"/>
                <w:szCs w:val="21"/>
              </w:rPr>
            </w:pPr>
            <w:r>
              <w:rPr>
                <w:rFonts w:hint="eastAsia" w:ascii="宋体" w:hAnsi="宋体" w:cs="宋体"/>
                <w:color w:val="FF0000"/>
                <w:szCs w:val="21"/>
              </w:rPr>
              <w:t>提供工信部入网证书和检测报告；</w:t>
            </w:r>
          </w:p>
        </w:tc>
      </w:tr>
    </w:tbl>
    <w:p/>
    <w:p>
      <w:pPr>
        <w:pStyle w:val="71"/>
        <w:spacing w:line="360" w:lineRule="auto"/>
      </w:pPr>
      <w:r>
        <w:rPr>
          <w:rFonts w:hint="eastAsia" w:ascii="宋体" w:hAnsi="宋体"/>
          <w:b/>
          <w:kern w:val="2"/>
          <w:sz w:val="24"/>
          <w:szCs w:val="24"/>
        </w:rPr>
        <w:t>3.10核心交换机扩容（一块）</w:t>
      </w:r>
    </w:p>
    <w:p>
      <w:pPr>
        <w:pStyle w:val="71"/>
        <w:spacing w:line="360" w:lineRule="auto"/>
        <w:ind w:firstLine="420" w:firstLineChars="200"/>
        <w:rPr>
          <w:rFonts w:ascii="宋体" w:hAnsi="宋体" w:cs="宋体"/>
        </w:rPr>
      </w:pPr>
      <w:r>
        <w:rPr>
          <w:rFonts w:hint="eastAsia" w:ascii="宋体" w:hAnsi="宋体" w:cs="宋体"/>
        </w:rPr>
        <w:t>H3C S10500 核心交换机增扩一块48端口万兆以太网光接口板卡(SFP+,LC)(SG) ，含48个光模块。</w:t>
      </w:r>
    </w:p>
    <w:p>
      <w:pPr>
        <w:pStyle w:val="71"/>
        <w:spacing w:line="360" w:lineRule="auto"/>
        <w:ind w:firstLine="420" w:firstLineChars="200"/>
        <w:rPr>
          <w:rFonts w:ascii="宋体" w:hAnsi="宋体" w:cs="宋体"/>
        </w:rPr>
      </w:pPr>
    </w:p>
    <w:p>
      <w:pPr>
        <w:pStyle w:val="71"/>
        <w:spacing w:line="360" w:lineRule="auto"/>
        <w:rPr>
          <w:rFonts w:ascii="宋体" w:hAnsi="宋体"/>
          <w:b/>
          <w:kern w:val="2"/>
          <w:sz w:val="24"/>
          <w:szCs w:val="24"/>
        </w:rPr>
      </w:pPr>
      <w:r>
        <w:rPr>
          <w:rFonts w:hint="eastAsia" w:ascii="宋体" w:hAnsi="宋体"/>
          <w:b/>
          <w:kern w:val="2"/>
          <w:sz w:val="24"/>
          <w:szCs w:val="24"/>
        </w:rPr>
        <w:t>3</w:t>
      </w:r>
      <w:r>
        <w:rPr>
          <w:rFonts w:ascii="宋体" w:hAnsi="宋体"/>
          <w:b/>
          <w:kern w:val="2"/>
          <w:sz w:val="24"/>
          <w:szCs w:val="24"/>
        </w:rPr>
        <w:t>.1</w:t>
      </w:r>
      <w:r>
        <w:rPr>
          <w:rFonts w:hint="eastAsia" w:ascii="宋体" w:hAnsi="宋体"/>
          <w:b/>
          <w:kern w:val="2"/>
          <w:sz w:val="24"/>
          <w:szCs w:val="24"/>
        </w:rPr>
        <w:t>1下一代防火墙（</w:t>
      </w:r>
      <w:r>
        <w:rPr>
          <w:rFonts w:ascii="宋体" w:hAnsi="宋体"/>
          <w:b/>
          <w:kern w:val="2"/>
          <w:sz w:val="24"/>
          <w:szCs w:val="24"/>
        </w:rPr>
        <w:t>2</w:t>
      </w:r>
      <w:r>
        <w:rPr>
          <w:rFonts w:hint="eastAsia" w:ascii="宋体" w:hAnsi="宋体"/>
          <w:b/>
          <w:kern w:val="2"/>
          <w:sz w:val="24"/>
          <w:szCs w:val="24"/>
        </w:rPr>
        <w:t>台）</w:t>
      </w:r>
    </w:p>
    <w:tbl>
      <w:tblPr>
        <w:tblStyle w:val="2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6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859" w:type="dxa"/>
            <w:shd w:val="clear" w:color="000000" w:fill="auto"/>
            <w:vAlign w:val="center"/>
          </w:tcPr>
          <w:p>
            <w:pPr>
              <w:spacing w:line="360" w:lineRule="auto"/>
              <w:jc w:val="center"/>
              <w:rPr>
                <w:rFonts w:hint="eastAsia" w:ascii="宋体" w:hAnsi="宋体" w:eastAsia="宋体" w:cs="宋体"/>
                <w:b/>
                <w:szCs w:val="21"/>
              </w:rPr>
            </w:pPr>
            <w:r>
              <w:rPr>
                <w:rFonts w:hint="eastAsia" w:ascii="宋体" w:hAnsi="宋体" w:eastAsia="宋体" w:cs="宋体"/>
                <w:b/>
                <w:szCs w:val="21"/>
              </w:rPr>
              <w:t>指标</w:t>
            </w:r>
          </w:p>
        </w:tc>
        <w:tc>
          <w:tcPr>
            <w:tcW w:w="6669" w:type="dxa"/>
            <w:shd w:val="clear" w:color="000000" w:fill="auto"/>
            <w:vAlign w:val="center"/>
          </w:tcPr>
          <w:p>
            <w:pPr>
              <w:spacing w:line="360" w:lineRule="auto"/>
              <w:jc w:val="center"/>
              <w:rPr>
                <w:rFonts w:hint="eastAsia" w:ascii="宋体" w:hAnsi="宋体" w:eastAsia="宋体" w:cs="宋体"/>
                <w:b/>
                <w:szCs w:val="21"/>
              </w:rPr>
            </w:pPr>
            <w:r>
              <w:rPr>
                <w:rFonts w:hint="eastAsia" w:ascii="宋体" w:hAnsi="宋体" w:eastAsia="宋体" w:cs="宋体"/>
                <w:b/>
                <w:szCs w:val="21"/>
              </w:rPr>
              <w:t>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硬件架构</w:t>
            </w:r>
          </w:p>
        </w:tc>
        <w:tc>
          <w:tcPr>
            <w:tcW w:w="6669" w:type="dxa"/>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采用多核网络专用架构，使用64位MIPS多核处理器，非X86多核架构或ASIC架构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产品规格</w:t>
            </w:r>
          </w:p>
        </w:tc>
        <w:tc>
          <w:tcPr>
            <w:tcW w:w="6669" w:type="dxa"/>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标准1U专用千兆硬件平台，内置交流单电源，4G内存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网口数量</w:t>
            </w:r>
          </w:p>
        </w:tc>
        <w:tc>
          <w:tcPr>
            <w:tcW w:w="6669" w:type="dxa"/>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标准配置6个10/100/1000M自适应电口，4个千兆光口，1个Console口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性能</w:t>
            </w:r>
          </w:p>
        </w:tc>
        <w:tc>
          <w:tcPr>
            <w:tcW w:w="6669" w:type="dxa"/>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网络层吞吐量6G，并发连接≥200万，每秒新建连接数6万，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双机热备</w:t>
            </w:r>
          </w:p>
        </w:tc>
        <w:tc>
          <w:tcPr>
            <w:tcW w:w="6669" w:type="dxa"/>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支持路由模式、透明模式的HA高可靠性部署，可工作于主备、主主模式，会话、用户、配置可实时同步；HA高可靠性部署支持接口联动，链路探测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访问控制</w:t>
            </w:r>
          </w:p>
        </w:tc>
        <w:tc>
          <w:tcPr>
            <w:tcW w:w="6669" w:type="dxa"/>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支持一体化安全策略：可基于设备接口/安全域、地址、服务、应用、用户、时间等属性，配置入侵防御、病毒防护、URL过滤、应用过滤、会话老化时间、终端过滤等高级访问控制功能。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用户认证</w:t>
            </w:r>
          </w:p>
        </w:tc>
        <w:tc>
          <w:tcPr>
            <w:tcW w:w="6669" w:type="dxa"/>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支持本地认证、Radius认证、LDAP认证 和LDAP用户同步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SSL解密</w:t>
            </w:r>
          </w:p>
        </w:tc>
        <w:tc>
          <w:tcPr>
            <w:tcW w:w="6669" w:type="dxa"/>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支持对SSL协议进行解密，解密类型支持https和邮箱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Merge w:val="restart"/>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流量管理</w:t>
            </w:r>
          </w:p>
        </w:tc>
        <w:tc>
          <w:tcPr>
            <w:tcW w:w="6669" w:type="dxa"/>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支持基于线路和多层通道嵌套的带宽管理和流量控制功能，提供至少四层管道嵌套；支持基于地址、用户、服务、应用、时间等匹配条件进行流量控制；并支持配置保障带宽、最大带宽、每IP带宽、每用户带宽、带宽优先级等QoS动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Merge w:val="continue"/>
            <w:vAlign w:val="center"/>
          </w:tcPr>
          <w:p>
            <w:pPr>
              <w:widowControl/>
              <w:spacing w:line="360" w:lineRule="auto"/>
              <w:jc w:val="left"/>
              <w:rPr>
                <w:rFonts w:hint="eastAsia" w:ascii="宋体" w:hAnsi="宋体" w:eastAsia="宋体" w:cs="宋体"/>
                <w:kern w:val="0"/>
                <w:szCs w:val="21"/>
              </w:rPr>
            </w:pPr>
          </w:p>
        </w:tc>
        <w:tc>
          <w:tcPr>
            <w:tcW w:w="6669" w:type="dxa"/>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支持带宽动态调整技术，带宽繁忙通道支持动态借用空闲通道的带宽，避免带宽浪费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Merge w:val="restart"/>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入侵防御</w:t>
            </w:r>
          </w:p>
        </w:tc>
        <w:tc>
          <w:tcPr>
            <w:tcW w:w="6669" w:type="dxa"/>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系统定义主流攻击规则，包含用户提权、任意代码执行、木马、后门、挖矿、Web序列化、Webshell等主流防护类型。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Merge w:val="continue"/>
            <w:vAlign w:val="center"/>
          </w:tcPr>
          <w:p>
            <w:pPr>
              <w:widowControl/>
              <w:spacing w:line="360" w:lineRule="auto"/>
              <w:jc w:val="left"/>
              <w:rPr>
                <w:rFonts w:hint="eastAsia" w:ascii="宋体" w:hAnsi="宋体" w:eastAsia="宋体" w:cs="宋体"/>
                <w:kern w:val="0"/>
                <w:szCs w:val="21"/>
              </w:rPr>
            </w:pPr>
          </w:p>
        </w:tc>
        <w:tc>
          <w:tcPr>
            <w:tcW w:w="6669" w:type="dxa"/>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所投产品的漏洞防护特征库包含高危漏洞攻击特征，至少包括“永恒之蓝”、“震网三代”、“暗云3”、“Struts”、“Struts2”、“Xshell后门代码”以及对应的攻击的名称、CVEID、CNNVDID、严重性、影响的平台、类型、描述等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病毒防护</w:t>
            </w:r>
          </w:p>
        </w:tc>
        <w:tc>
          <w:tcPr>
            <w:tcW w:w="6669" w:type="dxa"/>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支持HTTP，FTP，POP3，SMTP，IMAP协议的病毒查杀，支持查杀邮件正文/附件、网页及下载文件中包含的病毒，支持3000万余种病毒的查杀，并支持在线升级和手动升级病毒库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Merge w:val="restart"/>
            <w:vAlign w:val="center"/>
          </w:tcPr>
          <w:p>
            <w:pPr>
              <w:widowControl/>
              <w:spacing w:line="360" w:lineRule="auto"/>
              <w:jc w:val="left"/>
              <w:rPr>
                <w:rFonts w:hint="eastAsia" w:ascii="宋体" w:hAnsi="宋体" w:eastAsia="宋体" w:cs="宋体"/>
                <w:kern w:val="0"/>
                <w:szCs w:val="21"/>
              </w:rPr>
            </w:pPr>
            <w:r>
              <w:rPr>
                <w:rFonts w:hint="eastAsia" w:ascii="宋体" w:hAnsi="宋体" w:eastAsia="宋体" w:cs="宋体"/>
                <w:kern w:val="0"/>
                <w:szCs w:val="21"/>
              </w:rPr>
              <w:t>产品资质</w:t>
            </w:r>
          </w:p>
        </w:tc>
        <w:tc>
          <w:tcPr>
            <w:tcW w:w="6669" w:type="dxa"/>
            <w:vAlign w:val="center"/>
          </w:tcPr>
          <w:p>
            <w:pPr>
              <w:jc w:val="left"/>
              <w:rPr>
                <w:rFonts w:hint="eastAsia" w:ascii="宋体" w:hAnsi="宋体" w:eastAsia="宋体" w:cs="宋体"/>
                <w:color w:val="FF0000"/>
                <w:kern w:val="0"/>
                <w:szCs w:val="21"/>
              </w:rPr>
            </w:pPr>
            <w:r>
              <w:rPr>
                <w:rFonts w:hint="eastAsia" w:ascii="宋体" w:hAnsi="宋体" w:eastAsia="宋体" w:cs="宋体"/>
                <w:color w:val="FF0000"/>
                <w:kern w:val="0"/>
                <w:szCs w:val="21"/>
              </w:rPr>
              <w:t>具备公安部颁发的防火墙《计算机信息系统安全专用产品销售许可证（增强级）》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Merge w:val="continue"/>
            <w:vAlign w:val="center"/>
          </w:tcPr>
          <w:p>
            <w:pPr>
              <w:widowControl/>
              <w:spacing w:line="360" w:lineRule="auto"/>
              <w:jc w:val="left"/>
              <w:rPr>
                <w:rFonts w:hint="eastAsia" w:ascii="宋体" w:hAnsi="宋体" w:eastAsia="宋体" w:cs="宋体"/>
                <w:kern w:val="0"/>
                <w:szCs w:val="21"/>
              </w:rPr>
            </w:pPr>
          </w:p>
        </w:tc>
        <w:tc>
          <w:tcPr>
            <w:tcW w:w="6669" w:type="dxa"/>
            <w:vAlign w:val="center"/>
          </w:tcPr>
          <w:p>
            <w:pPr>
              <w:jc w:val="left"/>
              <w:rPr>
                <w:rFonts w:hint="eastAsia" w:ascii="宋体" w:hAnsi="宋体" w:eastAsia="宋体" w:cs="宋体"/>
                <w:color w:val="FF0000"/>
                <w:kern w:val="0"/>
                <w:szCs w:val="21"/>
              </w:rPr>
            </w:pPr>
            <w:r>
              <w:rPr>
                <w:rFonts w:hint="eastAsia" w:ascii="宋体" w:hAnsi="宋体" w:eastAsia="宋体" w:cs="宋体"/>
                <w:color w:val="FF0000"/>
                <w:kern w:val="0"/>
                <w:szCs w:val="21"/>
              </w:rPr>
              <w:t>具备中国信息安全认证中心颁发的《中国国家信息安全产品认证证书（增强级）》</w:t>
            </w:r>
          </w:p>
        </w:tc>
      </w:tr>
    </w:tbl>
    <w:p/>
    <w:p>
      <w:pPr>
        <w:pStyle w:val="71"/>
        <w:spacing w:line="360" w:lineRule="auto"/>
        <w:rPr>
          <w:rFonts w:ascii="宋体" w:hAnsi="宋体"/>
          <w:b/>
          <w:kern w:val="2"/>
          <w:sz w:val="24"/>
          <w:szCs w:val="24"/>
        </w:rPr>
      </w:pPr>
      <w:r>
        <w:rPr>
          <w:rFonts w:hint="eastAsia" w:ascii="宋体" w:hAnsi="宋体"/>
          <w:b/>
          <w:kern w:val="2"/>
          <w:sz w:val="24"/>
          <w:szCs w:val="24"/>
        </w:rPr>
        <w:t>3</w:t>
      </w:r>
      <w:r>
        <w:rPr>
          <w:rFonts w:ascii="宋体" w:hAnsi="宋体"/>
          <w:b/>
          <w:kern w:val="2"/>
          <w:sz w:val="24"/>
          <w:szCs w:val="24"/>
        </w:rPr>
        <w:t>.12</w:t>
      </w:r>
      <w:r>
        <w:rPr>
          <w:rFonts w:hint="eastAsia" w:ascii="宋体" w:hAnsi="宋体"/>
          <w:b/>
          <w:kern w:val="2"/>
          <w:sz w:val="24"/>
          <w:szCs w:val="24"/>
        </w:rPr>
        <w:t>堡垒机（</w:t>
      </w:r>
      <w:r>
        <w:rPr>
          <w:rFonts w:ascii="宋体" w:hAnsi="宋体"/>
          <w:b/>
          <w:kern w:val="2"/>
          <w:sz w:val="24"/>
          <w:szCs w:val="24"/>
        </w:rPr>
        <w:t>1</w:t>
      </w:r>
      <w:r>
        <w:rPr>
          <w:rFonts w:hint="eastAsia" w:ascii="宋体" w:hAnsi="宋体"/>
          <w:b/>
          <w:kern w:val="2"/>
          <w:sz w:val="24"/>
          <w:szCs w:val="24"/>
        </w:rPr>
        <w:t>台）</w:t>
      </w:r>
    </w:p>
    <w:tbl>
      <w:tblPr>
        <w:tblStyle w:val="2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6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859" w:type="dxa"/>
            <w:shd w:val="clear" w:color="000000" w:fill="auto"/>
            <w:vAlign w:val="center"/>
          </w:tcPr>
          <w:p>
            <w:pPr>
              <w:spacing w:line="360" w:lineRule="auto"/>
              <w:jc w:val="center"/>
              <w:rPr>
                <w:rFonts w:ascii="宋体" w:hAnsi="宋体"/>
                <w:b/>
                <w:szCs w:val="21"/>
              </w:rPr>
            </w:pPr>
            <w:r>
              <w:rPr>
                <w:rFonts w:ascii="宋体" w:hAnsi="宋体"/>
                <w:b/>
                <w:szCs w:val="21"/>
              </w:rPr>
              <w:t>指标项</w:t>
            </w:r>
          </w:p>
        </w:tc>
        <w:tc>
          <w:tcPr>
            <w:tcW w:w="6669" w:type="dxa"/>
            <w:shd w:val="clear" w:color="000000" w:fill="auto"/>
            <w:vAlign w:val="center"/>
          </w:tcPr>
          <w:p>
            <w:pPr>
              <w:spacing w:line="360" w:lineRule="auto"/>
              <w:jc w:val="center"/>
              <w:rPr>
                <w:rFonts w:ascii="宋体" w:hAnsi="宋体"/>
                <w:b/>
                <w:szCs w:val="21"/>
              </w:rPr>
            </w:pPr>
            <w:r>
              <w:rPr>
                <w:rFonts w:hint="eastAsia" w:ascii="宋体" w:hAnsi="宋体"/>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硬件配置</w:t>
            </w:r>
          </w:p>
        </w:tc>
        <w:tc>
          <w:tcPr>
            <w:tcW w:w="6669" w:type="dxa"/>
          </w:tcPr>
          <w:p>
            <w:pPr>
              <w:widowControl/>
              <w:spacing w:line="360" w:lineRule="auto"/>
              <w:jc w:val="left"/>
              <w:rPr>
                <w:rFonts w:ascii="宋体" w:hAnsi="宋体" w:cs="宋体"/>
                <w:kern w:val="0"/>
                <w:szCs w:val="21"/>
              </w:rPr>
            </w:pPr>
            <w:r>
              <w:rPr>
                <w:rFonts w:hint="eastAsia" w:ascii="宋体" w:hAnsi="宋体" w:cs="宋体"/>
                <w:kern w:val="0"/>
                <w:szCs w:val="21"/>
              </w:rPr>
              <w:t>软硬件一体化产品，1U、磁盘空间不少于1T、单电源、至少配备6个100/1000M自适应电口，至少配备4个千兆光口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可管理设备数量</w:t>
            </w:r>
          </w:p>
        </w:tc>
        <w:tc>
          <w:tcPr>
            <w:tcW w:w="6669" w:type="dxa"/>
          </w:tcPr>
          <w:p>
            <w:pPr>
              <w:widowControl/>
              <w:spacing w:line="360" w:lineRule="auto"/>
              <w:jc w:val="left"/>
              <w:rPr>
                <w:rFonts w:ascii="宋体" w:hAnsi="宋体" w:cs="宋体"/>
                <w:kern w:val="0"/>
                <w:szCs w:val="21"/>
              </w:rPr>
            </w:pPr>
            <w:r>
              <w:rPr>
                <w:rFonts w:hint="eastAsia" w:ascii="宋体" w:hAnsi="宋体" w:cs="宋体"/>
                <w:kern w:val="0"/>
                <w:szCs w:val="21"/>
              </w:rPr>
              <w:t>可管理设备数量至少200个，运维用户无限制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并发性能</w:t>
            </w:r>
          </w:p>
        </w:tc>
        <w:tc>
          <w:tcPr>
            <w:tcW w:w="6669" w:type="dxa"/>
          </w:tcPr>
          <w:p>
            <w:pPr>
              <w:widowControl/>
              <w:spacing w:line="360" w:lineRule="auto"/>
              <w:jc w:val="left"/>
              <w:rPr>
                <w:rFonts w:ascii="宋体" w:hAnsi="宋体" w:cs="宋体"/>
                <w:kern w:val="0"/>
                <w:szCs w:val="21"/>
              </w:rPr>
            </w:pPr>
            <w:r>
              <w:rPr>
                <w:rFonts w:hint="eastAsia" w:ascii="宋体" w:hAnsi="宋体" w:cs="宋体"/>
                <w:kern w:val="0"/>
                <w:szCs w:val="21"/>
              </w:rPr>
              <w:t>单台堡垒机字符类并发会话≥200个、图形类并发会话≥50个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设备部署</w:t>
            </w:r>
          </w:p>
        </w:tc>
        <w:tc>
          <w:tcPr>
            <w:tcW w:w="6669" w:type="dxa"/>
          </w:tcPr>
          <w:p>
            <w:pPr>
              <w:widowControl/>
              <w:spacing w:line="360" w:lineRule="auto"/>
              <w:jc w:val="left"/>
              <w:rPr>
                <w:rFonts w:ascii="宋体" w:hAnsi="宋体" w:cs="宋体"/>
                <w:kern w:val="0"/>
                <w:szCs w:val="21"/>
              </w:rPr>
            </w:pPr>
            <w:r>
              <w:rPr>
                <w:rFonts w:hint="eastAsia" w:ascii="宋体" w:hAnsi="宋体" w:cs="宋体"/>
                <w:kern w:val="0"/>
                <w:szCs w:val="21"/>
              </w:rPr>
              <w:t>设备采用旁路部署，不得影响业务环境；须支持HA主备模式，管理口和心跳口须支持多链路端口绑定功能，防止单网卡或单线故障。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Merge w:val="restart"/>
            <w:vAlign w:val="center"/>
          </w:tcPr>
          <w:p>
            <w:pPr>
              <w:widowControl/>
              <w:spacing w:line="360" w:lineRule="auto"/>
              <w:jc w:val="left"/>
              <w:rPr>
                <w:rFonts w:ascii="宋体" w:hAnsi="宋体" w:cs="宋体"/>
                <w:kern w:val="0"/>
                <w:szCs w:val="21"/>
              </w:rPr>
            </w:pPr>
            <w:r>
              <w:rPr>
                <w:rFonts w:hint="eastAsia" w:ascii="宋体" w:hAnsi="宋体" w:cs="宋体"/>
                <w:kern w:val="0"/>
                <w:szCs w:val="21"/>
              </w:rPr>
              <w:t>用户管理要求</w:t>
            </w:r>
          </w:p>
        </w:tc>
        <w:tc>
          <w:tcPr>
            <w:tcW w:w="6669" w:type="dxa"/>
            <w:vAlign w:val="center"/>
          </w:tcPr>
          <w:p>
            <w:pPr>
              <w:widowControl/>
              <w:spacing w:line="360" w:lineRule="auto"/>
              <w:jc w:val="left"/>
              <w:rPr>
                <w:rFonts w:hint="eastAsia" w:ascii="宋体" w:hAnsi="宋体" w:eastAsia="宋体" w:cs="宋体"/>
                <w:kern w:val="0"/>
                <w:szCs w:val="21"/>
                <w:lang w:eastAsia="zh-CN"/>
              </w:rPr>
            </w:pPr>
            <w:r>
              <w:rPr>
                <w:rFonts w:hint="eastAsia" w:ascii="宋体" w:hAnsi="宋体" w:cs="宋体"/>
                <w:kern w:val="0"/>
                <w:szCs w:val="21"/>
              </w:rPr>
              <w:t>支持用户多角色划分功能，如系统管理员、部门管理员、运维员、审计管理员、密码管理员等，对各类角色需要进行细粒度的权限管理</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Merge w:val="continue"/>
            <w:vAlign w:val="center"/>
          </w:tcPr>
          <w:p>
            <w:pPr>
              <w:widowControl/>
              <w:spacing w:line="360" w:lineRule="auto"/>
              <w:jc w:val="left"/>
              <w:rPr>
                <w:rFonts w:ascii="宋体" w:hAnsi="宋体" w:cs="宋体"/>
                <w:kern w:val="0"/>
                <w:szCs w:val="21"/>
              </w:rPr>
            </w:pPr>
          </w:p>
        </w:tc>
        <w:tc>
          <w:tcPr>
            <w:tcW w:w="6669" w:type="dxa"/>
            <w:vAlign w:val="center"/>
          </w:tcPr>
          <w:p>
            <w:pPr>
              <w:widowControl/>
              <w:spacing w:line="360" w:lineRule="auto"/>
              <w:jc w:val="left"/>
              <w:rPr>
                <w:rFonts w:hint="eastAsia" w:ascii="宋体" w:hAnsi="宋体" w:eastAsia="宋体" w:cs="宋体"/>
                <w:kern w:val="0"/>
                <w:szCs w:val="21"/>
                <w:lang w:eastAsia="zh-CN"/>
              </w:rPr>
            </w:pPr>
            <w:r>
              <w:rPr>
                <w:rFonts w:hint="eastAsia" w:ascii="宋体" w:hAnsi="宋体" w:cs="宋体"/>
                <w:kern w:val="0"/>
                <w:szCs w:val="21"/>
              </w:rPr>
              <w:t>支持用户的批量导入/导出，按用户类型等分组方式；支持用户安全策略功能，如密码锁定次数、密码有效期、密码复杂度、用户有效期、用户登录时间限制、用户登录IP范围等</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Merge w:val="continue"/>
            <w:vAlign w:val="center"/>
          </w:tcPr>
          <w:p>
            <w:pPr>
              <w:widowControl/>
              <w:spacing w:line="360" w:lineRule="auto"/>
              <w:jc w:val="left"/>
              <w:rPr>
                <w:rFonts w:ascii="宋体" w:hAnsi="宋体" w:cs="宋体"/>
                <w:kern w:val="0"/>
                <w:szCs w:val="21"/>
              </w:rPr>
            </w:pPr>
          </w:p>
        </w:tc>
        <w:tc>
          <w:tcPr>
            <w:tcW w:w="6669"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支持按部门组织架构（至少5个层级的部门）管理用户数据、资产数据、授权数据、审计数据。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Merge w:val="continue"/>
            <w:vAlign w:val="center"/>
          </w:tcPr>
          <w:p>
            <w:pPr>
              <w:widowControl/>
              <w:spacing w:line="360" w:lineRule="auto"/>
              <w:jc w:val="left"/>
              <w:rPr>
                <w:rFonts w:ascii="宋体" w:hAnsi="宋体" w:cs="宋体"/>
                <w:kern w:val="0"/>
                <w:szCs w:val="21"/>
              </w:rPr>
            </w:pPr>
          </w:p>
        </w:tc>
        <w:tc>
          <w:tcPr>
            <w:tcW w:w="6669" w:type="dxa"/>
            <w:vAlign w:val="center"/>
          </w:tcPr>
          <w:p>
            <w:pPr>
              <w:widowControl/>
              <w:spacing w:line="360" w:lineRule="auto"/>
              <w:jc w:val="left"/>
              <w:rPr>
                <w:rFonts w:hint="eastAsia" w:ascii="宋体" w:hAnsi="宋体" w:eastAsia="宋体" w:cs="宋体"/>
                <w:kern w:val="0"/>
                <w:szCs w:val="21"/>
                <w:lang w:eastAsia="zh-CN"/>
              </w:rPr>
            </w:pPr>
            <w:r>
              <w:rPr>
                <w:rFonts w:hint="eastAsia" w:ascii="宋体" w:hAnsi="宋体" w:cs="宋体"/>
                <w:kern w:val="0"/>
                <w:szCs w:val="21"/>
              </w:rPr>
              <w:t>每个部门可以管理本部门及下级部门的用户角色：部门管理员、运维管理员、审计管理员、运维员</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Merge w:val="continue"/>
            <w:vAlign w:val="center"/>
          </w:tcPr>
          <w:p>
            <w:pPr>
              <w:widowControl/>
              <w:spacing w:line="360" w:lineRule="auto"/>
              <w:jc w:val="left"/>
              <w:rPr>
                <w:rFonts w:ascii="宋体" w:hAnsi="宋体" w:cs="宋体"/>
                <w:kern w:val="0"/>
                <w:szCs w:val="21"/>
              </w:rPr>
            </w:pPr>
          </w:p>
        </w:tc>
        <w:tc>
          <w:tcPr>
            <w:tcW w:w="6669" w:type="dxa"/>
            <w:vAlign w:val="center"/>
          </w:tcPr>
          <w:p>
            <w:pPr>
              <w:widowControl/>
              <w:spacing w:line="360" w:lineRule="auto"/>
              <w:jc w:val="left"/>
              <w:rPr>
                <w:rFonts w:hint="eastAsia" w:ascii="宋体" w:hAnsi="宋体" w:eastAsia="宋体" w:cs="宋体"/>
                <w:kern w:val="0"/>
                <w:szCs w:val="21"/>
                <w:lang w:eastAsia="zh-CN"/>
              </w:rPr>
            </w:pPr>
            <w:r>
              <w:rPr>
                <w:rFonts w:hint="eastAsia" w:ascii="宋体" w:hAnsi="宋体" w:cs="宋体"/>
                <w:kern w:val="0"/>
                <w:szCs w:val="21"/>
              </w:rPr>
              <w:t>每个部门的部门管理员可以管理本部门及下级部门的主机、授权关系、策略</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Merge w:val="continue"/>
            <w:vAlign w:val="center"/>
          </w:tcPr>
          <w:p>
            <w:pPr>
              <w:widowControl/>
              <w:spacing w:line="360" w:lineRule="auto"/>
              <w:jc w:val="left"/>
              <w:rPr>
                <w:rFonts w:ascii="宋体" w:hAnsi="宋体" w:cs="宋体"/>
                <w:kern w:val="0"/>
                <w:szCs w:val="21"/>
              </w:rPr>
            </w:pPr>
          </w:p>
        </w:tc>
        <w:tc>
          <w:tcPr>
            <w:tcW w:w="6669" w:type="dxa"/>
            <w:vAlign w:val="center"/>
          </w:tcPr>
          <w:p>
            <w:pPr>
              <w:widowControl/>
              <w:spacing w:line="360" w:lineRule="auto"/>
              <w:jc w:val="left"/>
              <w:rPr>
                <w:rFonts w:hint="eastAsia" w:ascii="宋体" w:hAnsi="宋体" w:eastAsia="宋体" w:cs="宋体"/>
                <w:kern w:val="0"/>
                <w:szCs w:val="21"/>
                <w:lang w:eastAsia="zh-CN"/>
              </w:rPr>
            </w:pPr>
            <w:r>
              <w:rPr>
                <w:rFonts w:hint="eastAsia" w:ascii="宋体" w:hAnsi="宋体" w:cs="宋体"/>
                <w:kern w:val="0"/>
                <w:szCs w:val="21"/>
              </w:rPr>
              <w:t>每个部门的审计管理员可以管理本部门及下级部门的运维会话日志</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Merge w:val="restart"/>
            <w:vAlign w:val="center"/>
          </w:tcPr>
          <w:p>
            <w:pPr>
              <w:widowControl/>
              <w:spacing w:line="360" w:lineRule="auto"/>
              <w:jc w:val="left"/>
              <w:rPr>
                <w:rFonts w:ascii="宋体" w:hAnsi="宋体" w:cs="宋体"/>
                <w:kern w:val="0"/>
                <w:szCs w:val="21"/>
              </w:rPr>
            </w:pPr>
            <w:r>
              <w:rPr>
                <w:rFonts w:hint="eastAsia" w:ascii="宋体" w:hAnsi="宋体" w:cs="宋体"/>
                <w:kern w:val="0"/>
                <w:szCs w:val="21"/>
              </w:rPr>
              <w:t>身份认证要求</w:t>
            </w:r>
          </w:p>
        </w:tc>
        <w:tc>
          <w:tcPr>
            <w:tcW w:w="6669"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支持本地、RADIUS和AD域等认证方式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Merge w:val="continue"/>
            <w:vAlign w:val="center"/>
          </w:tcPr>
          <w:p>
            <w:pPr>
              <w:widowControl/>
              <w:spacing w:line="360" w:lineRule="auto"/>
              <w:jc w:val="left"/>
              <w:rPr>
                <w:rFonts w:ascii="宋体" w:hAnsi="宋体" w:cs="宋体"/>
                <w:kern w:val="0"/>
                <w:szCs w:val="21"/>
              </w:rPr>
            </w:pPr>
          </w:p>
        </w:tc>
        <w:tc>
          <w:tcPr>
            <w:tcW w:w="6669"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 xml:space="preserve">支持与get、post、soap发送方式的http短信网关平台进行联动，实现短信动态口令双因素认证机制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Merge w:val="continue"/>
            <w:vAlign w:val="center"/>
          </w:tcPr>
          <w:p>
            <w:pPr>
              <w:widowControl/>
              <w:spacing w:line="360" w:lineRule="auto"/>
              <w:jc w:val="left"/>
              <w:rPr>
                <w:rFonts w:ascii="宋体" w:hAnsi="宋体" w:cs="宋体"/>
                <w:kern w:val="0"/>
                <w:szCs w:val="21"/>
              </w:rPr>
            </w:pPr>
          </w:p>
        </w:tc>
        <w:tc>
          <w:tcPr>
            <w:tcW w:w="6669"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支持手机APP动态口令认证方式登录堡垒机，且新用户首次登录后需强制绑定APP动态口令。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Merge w:val="continue"/>
            <w:vAlign w:val="center"/>
          </w:tcPr>
          <w:p>
            <w:pPr>
              <w:widowControl/>
              <w:spacing w:line="360" w:lineRule="auto"/>
              <w:jc w:val="left"/>
              <w:rPr>
                <w:rFonts w:ascii="宋体" w:hAnsi="宋体" w:cs="宋体"/>
                <w:kern w:val="0"/>
                <w:szCs w:val="21"/>
              </w:rPr>
            </w:pPr>
          </w:p>
        </w:tc>
        <w:tc>
          <w:tcPr>
            <w:tcW w:w="6669"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堡垒机须内嵌动态令牌和usbkey认证引擎，可同时使用动态令牌和USBkey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Merge w:val="continue"/>
            <w:vAlign w:val="center"/>
          </w:tcPr>
          <w:p>
            <w:pPr>
              <w:widowControl/>
              <w:spacing w:line="360" w:lineRule="auto"/>
              <w:jc w:val="left"/>
              <w:rPr>
                <w:rFonts w:ascii="宋体" w:hAnsi="宋体" w:cs="宋体"/>
                <w:kern w:val="0"/>
                <w:szCs w:val="21"/>
              </w:rPr>
            </w:pPr>
          </w:p>
        </w:tc>
        <w:tc>
          <w:tcPr>
            <w:tcW w:w="6669"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基于不同的用户设置不同的双因子认证模式，如user1用动态令牌、user2用USBkey、user3手机APP动态口令认证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Merge w:val="continue"/>
            <w:vAlign w:val="center"/>
          </w:tcPr>
          <w:p>
            <w:pPr>
              <w:widowControl/>
              <w:spacing w:line="360" w:lineRule="auto"/>
              <w:jc w:val="left"/>
              <w:rPr>
                <w:rFonts w:ascii="宋体" w:hAnsi="宋体" w:cs="宋体"/>
                <w:kern w:val="0"/>
                <w:szCs w:val="21"/>
              </w:rPr>
            </w:pPr>
          </w:p>
        </w:tc>
        <w:tc>
          <w:tcPr>
            <w:tcW w:w="6669"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支持域认证与双因子认证结合使用，如同时使用AD/LDAP用户名+AD/LDAP密码+手机APP动态口令登录堡垒机、同时使用AD/LDAP用户名+AD/LDAP密码+短信口令登录堡垒机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Merge w:val="continue"/>
            <w:vAlign w:val="center"/>
          </w:tcPr>
          <w:p>
            <w:pPr>
              <w:widowControl/>
              <w:spacing w:line="360" w:lineRule="auto"/>
              <w:jc w:val="left"/>
              <w:rPr>
                <w:rFonts w:ascii="宋体" w:hAnsi="宋体" w:cs="宋体"/>
                <w:kern w:val="0"/>
                <w:szCs w:val="21"/>
              </w:rPr>
            </w:pPr>
          </w:p>
        </w:tc>
        <w:tc>
          <w:tcPr>
            <w:tcW w:w="6669"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支持认证窗口的全局设置：可以选择启用哪种或者哪几种认证登录窗口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Merge w:val="restart"/>
            <w:vAlign w:val="center"/>
          </w:tcPr>
          <w:p>
            <w:pPr>
              <w:widowControl/>
              <w:spacing w:line="360" w:lineRule="auto"/>
              <w:jc w:val="left"/>
              <w:rPr>
                <w:rFonts w:ascii="宋体" w:hAnsi="宋体" w:cs="宋体"/>
                <w:kern w:val="0"/>
                <w:szCs w:val="21"/>
              </w:rPr>
            </w:pPr>
            <w:r>
              <w:rPr>
                <w:rFonts w:hint="eastAsia" w:ascii="宋体" w:hAnsi="宋体" w:cs="宋体"/>
                <w:kern w:val="0"/>
                <w:szCs w:val="21"/>
              </w:rPr>
              <w:t>设备管理要求</w:t>
            </w:r>
          </w:p>
        </w:tc>
        <w:tc>
          <w:tcPr>
            <w:tcW w:w="6669"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支持常用的运维协议：SSH、TELNET、RDP、VNC、FTP、SFTP、rlogin；可通过应用发布的方式进行协议扩展，如数据库Oracle、MSSQL、</w:t>
            </w:r>
            <w:r>
              <w:rPr>
                <w:rFonts w:ascii="宋体" w:hAnsi="宋体" w:cs="宋体"/>
                <w:kern w:val="0"/>
                <w:szCs w:val="21"/>
              </w:rPr>
              <w:t>MySQL</w:t>
            </w:r>
            <w:r>
              <w:rPr>
                <w:rFonts w:hint="eastAsia" w:ascii="宋体" w:hAnsi="宋体" w:cs="宋体"/>
                <w:kern w:val="0"/>
                <w:szCs w:val="21"/>
              </w:rPr>
              <w:t>、VMware vSphere Client、浏览器等客户端工具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Merge w:val="continue"/>
            <w:vAlign w:val="center"/>
          </w:tcPr>
          <w:p>
            <w:pPr>
              <w:widowControl/>
              <w:spacing w:line="360" w:lineRule="auto"/>
              <w:jc w:val="left"/>
              <w:rPr>
                <w:rFonts w:ascii="宋体" w:hAnsi="宋体" w:cs="宋体"/>
                <w:kern w:val="0"/>
                <w:szCs w:val="21"/>
              </w:rPr>
            </w:pPr>
          </w:p>
        </w:tc>
        <w:tc>
          <w:tcPr>
            <w:tcW w:w="6669"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支持DB2、oracle、mysql、sqlserver主流数据库协议代理运维，可直接调用本地windows系统的数据库客户端工具，支持自动登录、无需应用发布前置机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Merge w:val="continue"/>
            <w:vAlign w:val="center"/>
          </w:tcPr>
          <w:p>
            <w:pPr>
              <w:widowControl/>
              <w:spacing w:line="360" w:lineRule="auto"/>
              <w:jc w:val="left"/>
              <w:rPr>
                <w:rFonts w:ascii="宋体" w:hAnsi="宋体" w:cs="宋体"/>
                <w:kern w:val="0"/>
                <w:szCs w:val="21"/>
              </w:rPr>
            </w:pPr>
          </w:p>
        </w:tc>
        <w:tc>
          <w:tcPr>
            <w:tcW w:w="6669"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支持以云盘形式在堡垒机上存储常用文件，实现操作端、堡垒机、目标服务器三者之间文件共享，提供相关截图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自动改密</w:t>
            </w:r>
          </w:p>
        </w:tc>
        <w:tc>
          <w:tcPr>
            <w:tcW w:w="6669"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支持定期自动修改windows服务器、网络设备、linux/unix等目标设备密码功能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运维审计日志</w:t>
            </w:r>
          </w:p>
        </w:tc>
        <w:tc>
          <w:tcPr>
            <w:tcW w:w="6669"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支持对运维操作会话的在线监控、实时阻断、日志回放、起止时间、来源用户、来源IP、目标设备、协议/应用类型、命令记录、操作内容（如对文件的上传、下载、删除、修改等操作等）的详细行为日志。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安全策略</w:t>
            </w:r>
          </w:p>
        </w:tc>
        <w:tc>
          <w:tcPr>
            <w:tcW w:w="6669"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支持通过基于时间、IP/IP段、用户/用户组、设备/设备组、设备账号、命令关键字、控制动作、黑白名单等组合访问控制策略，授权用户可访问的目标设备。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Align w:val="center"/>
          </w:tcPr>
          <w:p>
            <w:pPr>
              <w:spacing w:line="360" w:lineRule="auto"/>
              <w:rPr>
                <w:rFonts w:ascii="宋体" w:hAnsi="宋体" w:cs="宋体"/>
                <w:kern w:val="0"/>
                <w:szCs w:val="21"/>
              </w:rPr>
            </w:pPr>
            <w:r>
              <w:rPr>
                <w:rFonts w:hint="eastAsia" w:ascii="宋体" w:hAnsi="宋体" w:cs="宋体"/>
                <w:kern w:val="0"/>
                <w:szCs w:val="21"/>
              </w:rPr>
              <w:t>日志报表</w:t>
            </w:r>
          </w:p>
        </w:tc>
        <w:tc>
          <w:tcPr>
            <w:tcW w:w="6669"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内置丰富的报表统计模板，显示柱状图、曲线图，且支持多格式导出</w:t>
            </w:r>
          </w:p>
        </w:tc>
      </w:tr>
    </w:tbl>
    <w:p>
      <w:pPr>
        <w:pStyle w:val="71"/>
        <w:spacing w:line="360" w:lineRule="auto"/>
        <w:rPr>
          <w:rFonts w:ascii="宋体" w:hAnsi="宋体"/>
          <w:kern w:val="2"/>
          <w:sz w:val="24"/>
          <w:szCs w:val="24"/>
        </w:rPr>
      </w:pPr>
    </w:p>
    <w:p>
      <w:pPr>
        <w:pStyle w:val="71"/>
        <w:spacing w:line="360" w:lineRule="auto"/>
        <w:rPr>
          <w:rFonts w:ascii="宋体" w:hAnsi="宋体"/>
          <w:b/>
          <w:kern w:val="2"/>
          <w:sz w:val="24"/>
          <w:szCs w:val="24"/>
        </w:rPr>
      </w:pPr>
      <w:r>
        <w:rPr>
          <w:rFonts w:hint="eastAsia" w:ascii="宋体" w:hAnsi="宋体"/>
          <w:b/>
          <w:kern w:val="2"/>
          <w:sz w:val="24"/>
          <w:szCs w:val="24"/>
        </w:rPr>
        <w:t>3</w:t>
      </w:r>
      <w:r>
        <w:rPr>
          <w:rFonts w:ascii="宋体" w:hAnsi="宋体"/>
          <w:b/>
          <w:kern w:val="2"/>
          <w:sz w:val="24"/>
          <w:szCs w:val="24"/>
        </w:rPr>
        <w:t>.13</w:t>
      </w:r>
      <w:r>
        <w:rPr>
          <w:rFonts w:hint="eastAsia" w:ascii="宋体" w:hAnsi="宋体"/>
          <w:b/>
          <w:kern w:val="2"/>
          <w:sz w:val="24"/>
          <w:szCs w:val="24"/>
        </w:rPr>
        <w:t>综合日志审计系统（</w:t>
      </w:r>
      <w:r>
        <w:rPr>
          <w:rFonts w:ascii="宋体" w:hAnsi="宋体"/>
          <w:b/>
          <w:kern w:val="2"/>
          <w:sz w:val="24"/>
          <w:szCs w:val="24"/>
        </w:rPr>
        <w:t>1</w:t>
      </w:r>
      <w:r>
        <w:rPr>
          <w:rFonts w:hint="eastAsia" w:ascii="宋体" w:hAnsi="宋体"/>
          <w:b/>
          <w:kern w:val="2"/>
          <w:sz w:val="24"/>
          <w:szCs w:val="24"/>
        </w:rPr>
        <w:t>台）</w:t>
      </w:r>
    </w:p>
    <w:tbl>
      <w:tblPr>
        <w:tblStyle w:val="2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6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859" w:type="dxa"/>
            <w:shd w:val="clear" w:color="000000" w:fill="auto"/>
            <w:vAlign w:val="center"/>
          </w:tcPr>
          <w:p>
            <w:pPr>
              <w:spacing w:line="360" w:lineRule="auto"/>
              <w:jc w:val="center"/>
              <w:rPr>
                <w:rFonts w:ascii="宋体" w:hAnsi="宋体"/>
                <w:b/>
                <w:szCs w:val="21"/>
              </w:rPr>
            </w:pPr>
            <w:r>
              <w:rPr>
                <w:rFonts w:ascii="宋体" w:hAnsi="宋体"/>
                <w:b/>
                <w:szCs w:val="21"/>
              </w:rPr>
              <w:t>指标项</w:t>
            </w:r>
          </w:p>
        </w:tc>
        <w:tc>
          <w:tcPr>
            <w:tcW w:w="6669" w:type="dxa"/>
            <w:shd w:val="clear" w:color="000000" w:fill="auto"/>
            <w:vAlign w:val="center"/>
          </w:tcPr>
          <w:p>
            <w:pPr>
              <w:spacing w:line="360" w:lineRule="auto"/>
              <w:jc w:val="center"/>
              <w:rPr>
                <w:rFonts w:ascii="宋体" w:hAnsi="宋体"/>
                <w:b/>
                <w:szCs w:val="21"/>
              </w:rPr>
            </w:pPr>
            <w:r>
              <w:rPr>
                <w:rFonts w:hint="eastAsia" w:ascii="宋体" w:hAnsi="宋体"/>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Align w:val="center"/>
          </w:tcPr>
          <w:p>
            <w:pPr>
              <w:widowControl/>
              <w:spacing w:line="360" w:lineRule="auto"/>
              <w:rPr>
                <w:rFonts w:ascii="宋体" w:hAnsi="宋体" w:cs="宋体"/>
                <w:kern w:val="0"/>
                <w:szCs w:val="21"/>
              </w:rPr>
            </w:pPr>
            <w:r>
              <w:rPr>
                <w:rFonts w:hint="eastAsia" w:ascii="宋体" w:hAnsi="宋体" w:cs="宋体"/>
                <w:kern w:val="0"/>
                <w:szCs w:val="21"/>
              </w:rPr>
              <w:t>硬件规格</w:t>
            </w:r>
          </w:p>
        </w:tc>
        <w:tc>
          <w:tcPr>
            <w:tcW w:w="6669" w:type="dxa"/>
            <w:vAlign w:val="center"/>
          </w:tcPr>
          <w:p>
            <w:pPr>
              <w:widowControl/>
              <w:spacing w:line="360" w:lineRule="auto"/>
              <w:rPr>
                <w:rFonts w:ascii="宋体" w:hAnsi="宋体" w:cs="宋体"/>
                <w:kern w:val="0"/>
                <w:szCs w:val="21"/>
              </w:rPr>
            </w:pPr>
            <w:r>
              <w:rPr>
                <w:rFonts w:hint="eastAsia" w:ascii="宋体" w:hAnsi="宋体" w:cs="宋体"/>
                <w:kern w:val="0"/>
                <w:szCs w:val="21"/>
              </w:rPr>
              <w:t>标准</w:t>
            </w:r>
            <w:r>
              <w:rPr>
                <w:rFonts w:ascii="宋体" w:hAnsi="宋体" w:cs="宋体"/>
                <w:kern w:val="0"/>
                <w:szCs w:val="21"/>
              </w:rPr>
              <w:t>2U</w:t>
            </w:r>
            <w:r>
              <w:rPr>
                <w:rFonts w:hint="eastAsia" w:ascii="宋体" w:hAnsi="宋体" w:cs="宋体"/>
                <w:kern w:val="0"/>
                <w:szCs w:val="21"/>
              </w:rPr>
              <w:t>硬件、</w:t>
            </w:r>
            <w:r>
              <w:rPr>
                <w:rFonts w:ascii="宋体" w:hAnsi="宋体" w:cs="宋体"/>
                <w:kern w:val="0"/>
                <w:szCs w:val="21"/>
              </w:rPr>
              <w:t>6</w:t>
            </w:r>
            <w:r>
              <w:rPr>
                <w:rFonts w:hint="eastAsia" w:ascii="宋体" w:hAnsi="宋体" w:cs="宋体"/>
                <w:kern w:val="0"/>
                <w:szCs w:val="21"/>
              </w:rPr>
              <w:t>个工作管理口（千兆电口），</w:t>
            </w:r>
            <w:r>
              <w:rPr>
                <w:rFonts w:ascii="宋体" w:hAnsi="宋体" w:cs="宋体"/>
                <w:kern w:val="0"/>
                <w:szCs w:val="21"/>
              </w:rPr>
              <w:t>1</w:t>
            </w:r>
            <w:r>
              <w:rPr>
                <w:rFonts w:hint="eastAsia" w:ascii="宋体" w:hAnsi="宋体" w:cs="宋体"/>
                <w:kern w:val="0"/>
                <w:szCs w:val="21"/>
              </w:rPr>
              <w:t>个</w:t>
            </w:r>
            <w:r>
              <w:rPr>
                <w:rFonts w:ascii="宋体" w:hAnsi="宋体" w:cs="宋体"/>
                <w:kern w:val="0"/>
                <w:szCs w:val="21"/>
              </w:rPr>
              <w:t>Console</w:t>
            </w:r>
            <w:r>
              <w:rPr>
                <w:rFonts w:hint="eastAsia" w:ascii="宋体" w:hAnsi="宋体" w:cs="宋体"/>
                <w:kern w:val="0"/>
                <w:szCs w:val="21"/>
              </w:rPr>
              <w:t>口；</w:t>
            </w:r>
          </w:p>
          <w:p>
            <w:pPr>
              <w:widowControl/>
              <w:spacing w:line="360" w:lineRule="auto"/>
              <w:rPr>
                <w:rFonts w:ascii="宋体" w:hAnsi="宋体" w:cs="宋体"/>
                <w:kern w:val="0"/>
                <w:szCs w:val="21"/>
              </w:rPr>
            </w:pPr>
            <w:r>
              <w:rPr>
                <w:rFonts w:hint="eastAsia" w:ascii="宋体" w:hAnsi="宋体" w:cs="宋体"/>
                <w:kern w:val="0"/>
                <w:szCs w:val="21"/>
              </w:rPr>
              <w:t>内存：</w:t>
            </w:r>
            <w:r>
              <w:rPr>
                <w:rFonts w:ascii="宋体" w:hAnsi="宋体" w:cs="宋体"/>
                <w:kern w:val="0"/>
                <w:szCs w:val="21"/>
              </w:rPr>
              <w:t>8GB</w:t>
            </w:r>
            <w:r>
              <w:rPr>
                <w:rFonts w:hint="eastAsia" w:ascii="宋体" w:hAnsi="宋体" w:cs="宋体"/>
                <w:kern w:val="0"/>
                <w:szCs w:val="21"/>
              </w:rPr>
              <w:t>，磁盘：4</w:t>
            </w:r>
            <w:r>
              <w:rPr>
                <w:rFonts w:ascii="宋体" w:hAnsi="宋体" w:cs="宋体"/>
                <w:kern w:val="0"/>
                <w:szCs w:val="21"/>
              </w:rPr>
              <w:t>T*1</w:t>
            </w:r>
            <w:r>
              <w:rPr>
                <w:rFonts w:hint="eastAsia" w:ascii="宋体" w:hAnsi="宋体" w:cs="宋体"/>
                <w:kern w:val="0"/>
                <w:szCs w:val="21"/>
              </w:rPr>
              <w:t>（不支持</w:t>
            </w:r>
            <w:r>
              <w:rPr>
                <w:rFonts w:ascii="宋体" w:hAnsi="宋体" w:cs="宋体"/>
                <w:kern w:val="0"/>
                <w:szCs w:val="21"/>
              </w:rPr>
              <w:t>raid</w:t>
            </w:r>
            <w:r>
              <w:rPr>
                <w:rFonts w:hint="eastAsia" w:ascii="宋体" w:hAnsi="宋体" w:cs="宋体"/>
                <w:kern w:val="0"/>
                <w:szCs w:val="21"/>
              </w:rPr>
              <w:t>）</w:t>
            </w:r>
          </w:p>
          <w:p>
            <w:pPr>
              <w:widowControl/>
              <w:spacing w:line="360" w:lineRule="auto"/>
              <w:rPr>
                <w:rFonts w:ascii="宋体" w:hAnsi="宋体" w:cs="宋体"/>
                <w:kern w:val="0"/>
                <w:szCs w:val="21"/>
              </w:rPr>
            </w:pPr>
            <w:r>
              <w:rPr>
                <w:rFonts w:hint="eastAsia" w:ascii="宋体" w:hAnsi="宋体" w:cs="宋体"/>
                <w:kern w:val="0"/>
                <w:szCs w:val="21"/>
              </w:rPr>
              <w:t>双电源；</w:t>
            </w:r>
          </w:p>
          <w:p>
            <w:pPr>
              <w:widowControl/>
              <w:spacing w:line="360" w:lineRule="auto"/>
              <w:rPr>
                <w:rFonts w:ascii="宋体" w:hAnsi="宋体" w:cs="宋体"/>
                <w:kern w:val="0"/>
                <w:szCs w:val="21"/>
              </w:rPr>
            </w:pPr>
            <w:r>
              <w:rPr>
                <w:rFonts w:hint="eastAsia" w:ascii="宋体" w:hAnsi="宋体" w:cs="宋体"/>
                <w:kern w:val="0"/>
                <w:szCs w:val="21"/>
              </w:rPr>
              <w:t>网口可扩展至</w:t>
            </w:r>
            <w:r>
              <w:rPr>
                <w:rFonts w:ascii="宋体" w:hAnsi="宋体" w:cs="宋体"/>
                <w:kern w:val="0"/>
                <w:szCs w:val="21"/>
              </w:rPr>
              <w:t>10</w:t>
            </w:r>
            <w:r>
              <w:rPr>
                <w:rFonts w:hint="eastAsia" w:ascii="宋体" w:hAnsi="宋体" w:cs="宋体"/>
                <w:kern w:val="0"/>
                <w:szCs w:val="21"/>
              </w:rPr>
              <w:t>个（可扩展模块：</w:t>
            </w:r>
            <w:r>
              <w:rPr>
                <w:rFonts w:ascii="宋体" w:hAnsi="宋体" w:cs="宋体"/>
                <w:kern w:val="0"/>
                <w:szCs w:val="21"/>
              </w:rPr>
              <w:t>4</w:t>
            </w:r>
            <w:r>
              <w:rPr>
                <w:rFonts w:hint="eastAsia" w:ascii="宋体" w:hAnsi="宋体" w:cs="宋体"/>
                <w:kern w:val="0"/>
                <w:szCs w:val="21"/>
              </w:rPr>
              <w:t>电、</w:t>
            </w:r>
            <w:r>
              <w:rPr>
                <w:rFonts w:ascii="宋体" w:hAnsi="宋体" w:cs="宋体"/>
                <w:kern w:val="0"/>
                <w:szCs w:val="21"/>
              </w:rPr>
              <w:t>4</w:t>
            </w:r>
            <w:r>
              <w:rPr>
                <w:rFonts w:hint="eastAsia" w:ascii="宋体" w:hAnsi="宋体" w:cs="宋体"/>
                <w:kern w:val="0"/>
                <w:szCs w:val="21"/>
              </w:rPr>
              <w:t>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Align w:val="center"/>
          </w:tcPr>
          <w:p>
            <w:pPr>
              <w:widowControl/>
              <w:spacing w:line="360" w:lineRule="auto"/>
              <w:rPr>
                <w:rFonts w:ascii="宋体" w:hAnsi="宋体" w:cs="宋体"/>
                <w:kern w:val="0"/>
                <w:szCs w:val="21"/>
              </w:rPr>
            </w:pPr>
            <w:r>
              <w:rPr>
                <w:rFonts w:hint="eastAsia" w:ascii="宋体" w:hAnsi="宋体" w:cs="宋体"/>
                <w:kern w:val="0"/>
                <w:szCs w:val="21"/>
              </w:rPr>
              <w:t>处理性能</w:t>
            </w:r>
          </w:p>
        </w:tc>
        <w:tc>
          <w:tcPr>
            <w:tcW w:w="6669" w:type="dxa"/>
            <w:vAlign w:val="center"/>
          </w:tcPr>
          <w:p>
            <w:pPr>
              <w:widowControl/>
              <w:spacing w:line="360" w:lineRule="auto"/>
              <w:rPr>
                <w:rFonts w:ascii="宋体" w:hAnsi="宋体" w:cs="宋体"/>
                <w:kern w:val="0"/>
                <w:szCs w:val="21"/>
              </w:rPr>
            </w:pPr>
            <w:r>
              <w:rPr>
                <w:rFonts w:hint="eastAsia" w:ascii="宋体" w:hAnsi="宋体" w:cs="宋体"/>
                <w:kern w:val="0"/>
                <w:szCs w:val="21"/>
              </w:rPr>
              <w:t>支持审计</w:t>
            </w:r>
            <w:r>
              <w:rPr>
                <w:rFonts w:ascii="宋体" w:hAnsi="宋体" w:cs="宋体"/>
                <w:kern w:val="0"/>
                <w:szCs w:val="21"/>
              </w:rPr>
              <w:t>100</w:t>
            </w:r>
            <w:r>
              <w:rPr>
                <w:rFonts w:hint="eastAsia" w:ascii="宋体" w:hAnsi="宋体" w:cs="宋体"/>
                <w:kern w:val="0"/>
                <w:szCs w:val="21"/>
              </w:rPr>
              <w:t>个日志源；</w:t>
            </w:r>
            <w:r>
              <w:rPr>
                <w:rFonts w:ascii="宋体" w:hAnsi="宋体" w:cs="宋体"/>
                <w:kern w:val="0"/>
                <w:szCs w:val="21"/>
              </w:rPr>
              <w:t xml:space="preserve"> </w:t>
            </w:r>
          </w:p>
          <w:p>
            <w:pPr>
              <w:widowControl/>
              <w:spacing w:line="360" w:lineRule="auto"/>
              <w:rPr>
                <w:rFonts w:ascii="宋体" w:hAnsi="宋体" w:cs="宋体"/>
                <w:kern w:val="0"/>
                <w:szCs w:val="21"/>
              </w:rPr>
            </w:pPr>
            <w:r>
              <w:rPr>
                <w:rFonts w:hint="eastAsia" w:ascii="宋体" w:hAnsi="宋体" w:cs="宋体"/>
                <w:kern w:val="0"/>
                <w:szCs w:val="21"/>
              </w:rPr>
              <w:t>平均处理能力（每秒日志解析能力</w:t>
            </w:r>
            <w:r>
              <w:rPr>
                <w:rFonts w:ascii="宋体" w:hAnsi="宋体" w:cs="宋体"/>
                <w:kern w:val="0"/>
                <w:szCs w:val="21"/>
              </w:rPr>
              <w:t>EPS</w:t>
            </w:r>
            <w:r>
              <w:rPr>
                <w:rFonts w:hint="eastAsia" w:ascii="宋体" w:hAnsi="宋体" w:cs="宋体"/>
                <w:kern w:val="0"/>
                <w:szCs w:val="21"/>
              </w:rPr>
              <w:t>）：</w:t>
            </w:r>
            <w:r>
              <w:rPr>
                <w:rFonts w:ascii="宋体" w:hAnsi="宋体" w:cs="宋体"/>
                <w:kern w:val="0"/>
                <w:szCs w:val="21"/>
              </w:rPr>
              <w:t>4000 EPS</w:t>
            </w:r>
            <w:r>
              <w:rPr>
                <w:rFonts w:hint="eastAsia" w:ascii="宋体" w:hAnsi="宋体" w:cs="宋体"/>
                <w:kern w:val="0"/>
                <w:szCs w:val="21"/>
              </w:rPr>
              <w:t>；</w:t>
            </w:r>
          </w:p>
          <w:p>
            <w:pPr>
              <w:widowControl/>
              <w:spacing w:line="360" w:lineRule="auto"/>
              <w:rPr>
                <w:rFonts w:ascii="宋体" w:hAnsi="宋体" w:cs="宋体"/>
                <w:kern w:val="0"/>
                <w:szCs w:val="21"/>
              </w:rPr>
            </w:pPr>
            <w:r>
              <w:rPr>
                <w:rFonts w:hint="eastAsia" w:ascii="宋体" w:hAnsi="宋体" w:cs="宋体"/>
                <w:kern w:val="0"/>
                <w:szCs w:val="21"/>
              </w:rPr>
              <w:t>峰值处理能力（每秒日志解析能力</w:t>
            </w:r>
            <w:r>
              <w:rPr>
                <w:rFonts w:ascii="宋体" w:hAnsi="宋体" w:cs="宋体"/>
                <w:kern w:val="0"/>
                <w:szCs w:val="21"/>
              </w:rPr>
              <w:t>EPS</w:t>
            </w:r>
            <w:r>
              <w:rPr>
                <w:rFonts w:hint="eastAsia" w:ascii="宋体" w:hAnsi="宋体" w:cs="宋体"/>
                <w:kern w:val="0"/>
                <w:szCs w:val="21"/>
              </w:rPr>
              <w:t>）：</w:t>
            </w:r>
            <w:r>
              <w:rPr>
                <w:rFonts w:ascii="宋体" w:hAnsi="宋体" w:cs="宋体"/>
                <w:kern w:val="0"/>
                <w:szCs w:val="21"/>
              </w:rPr>
              <w:t>5000 EPS</w:t>
            </w: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Align w:val="center"/>
          </w:tcPr>
          <w:p>
            <w:pPr>
              <w:widowControl/>
              <w:spacing w:line="360" w:lineRule="auto"/>
              <w:rPr>
                <w:rFonts w:ascii="宋体" w:hAnsi="宋体" w:cs="宋体"/>
                <w:kern w:val="0"/>
                <w:szCs w:val="21"/>
              </w:rPr>
            </w:pPr>
            <w:r>
              <w:rPr>
                <w:rFonts w:hint="eastAsia" w:ascii="宋体" w:hAnsi="宋体" w:cs="宋体"/>
                <w:kern w:val="0"/>
                <w:szCs w:val="21"/>
              </w:rPr>
              <w:t>日志收集</w:t>
            </w:r>
          </w:p>
        </w:tc>
        <w:tc>
          <w:tcPr>
            <w:tcW w:w="6669" w:type="dxa"/>
            <w:vAlign w:val="center"/>
          </w:tcPr>
          <w:p>
            <w:pPr>
              <w:widowControl/>
              <w:spacing w:line="360" w:lineRule="auto"/>
              <w:rPr>
                <w:rFonts w:ascii="宋体" w:hAnsi="宋体" w:cs="宋体"/>
                <w:kern w:val="0"/>
                <w:szCs w:val="21"/>
              </w:rPr>
            </w:pPr>
            <w:r>
              <w:rPr>
                <w:rFonts w:hint="eastAsia" w:ascii="宋体" w:hAnsi="宋体" w:cs="宋体"/>
                <w:kern w:val="0"/>
                <w:szCs w:val="21"/>
              </w:rPr>
              <w:t>支持Syslog、SNMP Trap、OPSec、FTP协议日志收集；</w:t>
            </w:r>
          </w:p>
          <w:p>
            <w:pPr>
              <w:widowControl/>
              <w:spacing w:line="360" w:lineRule="auto"/>
              <w:rPr>
                <w:rFonts w:ascii="宋体" w:hAnsi="宋体" w:cs="宋体"/>
                <w:kern w:val="0"/>
                <w:szCs w:val="21"/>
              </w:rPr>
            </w:pPr>
            <w:r>
              <w:rPr>
                <w:rFonts w:hint="eastAsia" w:ascii="宋体" w:hAnsi="宋体" w:cs="宋体"/>
                <w:kern w:val="0"/>
                <w:szCs w:val="21"/>
              </w:rPr>
              <w:t>支持使用代理(Agent)方式提取日志并收集；</w:t>
            </w:r>
          </w:p>
          <w:p>
            <w:pPr>
              <w:widowControl/>
              <w:spacing w:line="360" w:lineRule="auto"/>
              <w:rPr>
                <w:rFonts w:ascii="宋体" w:hAnsi="宋体" w:cs="宋体"/>
                <w:kern w:val="0"/>
                <w:szCs w:val="21"/>
              </w:rPr>
            </w:pPr>
            <w:r>
              <w:rPr>
                <w:rFonts w:hint="eastAsia" w:ascii="宋体" w:hAnsi="宋体" w:cs="宋体"/>
                <w:kern w:val="0"/>
                <w:szCs w:val="21"/>
              </w:rPr>
              <w:t>支持目前主流的网络安全设备、交换设备、路由设备、操作系统、应用系统等；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Align w:val="center"/>
          </w:tcPr>
          <w:p>
            <w:pPr>
              <w:widowControl/>
              <w:spacing w:line="360" w:lineRule="auto"/>
              <w:rPr>
                <w:rFonts w:ascii="宋体" w:hAnsi="宋体" w:cs="宋体"/>
                <w:kern w:val="0"/>
                <w:szCs w:val="21"/>
              </w:rPr>
            </w:pPr>
            <w:r>
              <w:rPr>
                <w:rFonts w:hint="eastAsia" w:ascii="宋体" w:hAnsi="宋体" w:cs="宋体"/>
                <w:kern w:val="0"/>
                <w:szCs w:val="21"/>
              </w:rPr>
              <w:t>日志分析</w:t>
            </w:r>
          </w:p>
        </w:tc>
        <w:tc>
          <w:tcPr>
            <w:tcW w:w="6669" w:type="dxa"/>
            <w:vAlign w:val="center"/>
          </w:tcPr>
          <w:p>
            <w:pPr>
              <w:widowControl/>
              <w:spacing w:line="360" w:lineRule="auto"/>
              <w:rPr>
                <w:rFonts w:ascii="宋体" w:hAnsi="宋体" w:cs="宋体"/>
                <w:kern w:val="0"/>
                <w:szCs w:val="21"/>
              </w:rPr>
            </w:pPr>
            <w:r>
              <w:rPr>
                <w:rFonts w:hint="eastAsia" w:ascii="宋体" w:hAnsi="宋体" w:cs="宋体"/>
                <w:kern w:val="0"/>
                <w:szCs w:val="21"/>
              </w:rPr>
              <w:t>可以以日志等级进行过滤；</w:t>
            </w:r>
          </w:p>
          <w:p>
            <w:pPr>
              <w:widowControl/>
              <w:spacing w:line="360" w:lineRule="auto"/>
              <w:rPr>
                <w:rFonts w:ascii="宋体" w:hAnsi="宋体" w:cs="宋体"/>
                <w:kern w:val="0"/>
                <w:szCs w:val="21"/>
              </w:rPr>
            </w:pPr>
            <w:r>
              <w:rPr>
                <w:rFonts w:hint="eastAsia" w:ascii="宋体" w:hAnsi="宋体" w:cs="宋体"/>
                <w:kern w:val="0"/>
                <w:szCs w:val="21"/>
              </w:rPr>
              <w:t>应该可以通过自定义配置将用户不关心的日志过滤掉；</w:t>
            </w:r>
          </w:p>
          <w:p>
            <w:pPr>
              <w:widowControl/>
              <w:spacing w:line="360" w:lineRule="auto"/>
              <w:rPr>
                <w:rFonts w:ascii="宋体" w:hAnsi="宋体" w:cs="宋体"/>
                <w:kern w:val="0"/>
                <w:szCs w:val="21"/>
              </w:rPr>
            </w:pPr>
            <w:r>
              <w:rPr>
                <w:rFonts w:hint="eastAsia" w:ascii="宋体" w:hAnsi="宋体" w:cs="宋体"/>
                <w:kern w:val="0"/>
                <w:szCs w:val="21"/>
              </w:rPr>
              <w:t>支持对收集到的重复的日志进行自动的聚合归并，减少日志量；</w:t>
            </w:r>
          </w:p>
          <w:p>
            <w:pPr>
              <w:widowControl/>
              <w:spacing w:line="360" w:lineRule="auto"/>
              <w:rPr>
                <w:rFonts w:ascii="宋体" w:hAnsi="宋体" w:cs="宋体"/>
                <w:kern w:val="0"/>
                <w:szCs w:val="21"/>
              </w:rPr>
            </w:pPr>
            <w:r>
              <w:rPr>
                <w:rFonts w:hint="eastAsia" w:ascii="宋体" w:hAnsi="宋体" w:cs="宋体"/>
                <w:kern w:val="0"/>
                <w:szCs w:val="21"/>
              </w:rPr>
              <w:t>支持可由用户定义和修改的日志的聚合归并逻辑规则；</w:t>
            </w:r>
          </w:p>
          <w:p>
            <w:pPr>
              <w:widowControl/>
              <w:spacing w:line="360" w:lineRule="auto"/>
              <w:rPr>
                <w:rFonts w:ascii="宋体" w:hAnsi="宋体" w:cs="宋体"/>
                <w:kern w:val="0"/>
                <w:szCs w:val="21"/>
              </w:rPr>
            </w:pPr>
            <w:r>
              <w:rPr>
                <w:rFonts w:hint="eastAsia" w:ascii="宋体" w:hAnsi="宋体" w:cs="宋体"/>
                <w:kern w:val="0"/>
                <w:szCs w:val="21"/>
              </w:rPr>
              <w:t>支持将收集到的日志转发，当原始日志设备无法设置多个日志服务器时，可以通过本系统的日志转发功能将日志转发到其他日志存储设备；</w:t>
            </w:r>
          </w:p>
          <w:p>
            <w:pPr>
              <w:widowControl/>
              <w:spacing w:line="360" w:lineRule="auto"/>
              <w:rPr>
                <w:rFonts w:ascii="宋体" w:hAnsi="宋体" w:cs="宋体"/>
                <w:kern w:val="0"/>
                <w:szCs w:val="21"/>
              </w:rPr>
            </w:pPr>
            <w:r>
              <w:rPr>
                <w:rFonts w:hint="eastAsia" w:ascii="宋体" w:hAnsi="宋体" w:cs="宋体"/>
                <w:kern w:val="0"/>
                <w:szCs w:val="21"/>
              </w:rPr>
              <w:t>支持对收集到的日志进行解析（标准化、归一化），解析规则可以根据客户要求定制扩展；</w:t>
            </w:r>
          </w:p>
          <w:p>
            <w:pPr>
              <w:widowControl/>
              <w:spacing w:line="360" w:lineRule="auto"/>
              <w:rPr>
                <w:rFonts w:ascii="宋体" w:hAnsi="宋体" w:cs="宋体"/>
                <w:kern w:val="0"/>
                <w:szCs w:val="21"/>
              </w:rPr>
            </w:pPr>
            <w:r>
              <w:rPr>
                <w:rFonts w:hint="eastAsia" w:ascii="宋体" w:hAnsi="宋体" w:cs="宋体"/>
                <w:kern w:val="0"/>
                <w:szCs w:val="21"/>
              </w:rPr>
              <w:t>可对日志进行细粒度解析，解析后的日志根据具体日志包含但不限于：日期、发生时间、接收时间、设备类型、日志类型、日志来源、威胁值、源地址、目的地址、事件类型、时间范围、操作主体、操作对象、行为方式、技术动作、技术效果、攻击类型、特征类型、协议、地理信息（公网情况）；</w:t>
            </w:r>
          </w:p>
          <w:p>
            <w:pPr>
              <w:widowControl/>
              <w:spacing w:line="360" w:lineRule="auto"/>
              <w:rPr>
                <w:rFonts w:ascii="宋体" w:hAnsi="宋体" w:cs="宋体"/>
                <w:kern w:val="0"/>
                <w:szCs w:val="21"/>
              </w:rPr>
            </w:pPr>
            <w:r>
              <w:rPr>
                <w:rFonts w:hint="eastAsia" w:ascii="宋体" w:hAnsi="宋体" w:cs="宋体"/>
                <w:kern w:val="0"/>
                <w:szCs w:val="21"/>
              </w:rPr>
              <w:t>支持基于内存的实时关联分析，跨设备的多事件关联分析；</w:t>
            </w:r>
          </w:p>
          <w:p>
            <w:pPr>
              <w:widowControl/>
              <w:spacing w:line="360" w:lineRule="auto"/>
              <w:rPr>
                <w:rFonts w:ascii="宋体" w:hAnsi="宋体" w:cs="宋体"/>
                <w:kern w:val="0"/>
                <w:szCs w:val="21"/>
              </w:rPr>
            </w:pPr>
            <w:r>
              <w:rPr>
                <w:rFonts w:hint="eastAsia" w:ascii="宋体" w:hAnsi="宋体" w:cs="宋体"/>
                <w:kern w:val="0"/>
                <w:szCs w:val="21"/>
              </w:rPr>
              <w:t>支持自定义条件的事件进行聚合；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Align w:val="center"/>
          </w:tcPr>
          <w:p>
            <w:pPr>
              <w:widowControl/>
              <w:spacing w:line="360" w:lineRule="auto"/>
              <w:rPr>
                <w:rFonts w:ascii="宋体" w:hAnsi="宋体" w:cs="宋体"/>
                <w:kern w:val="0"/>
                <w:szCs w:val="21"/>
              </w:rPr>
            </w:pPr>
            <w:r>
              <w:rPr>
                <w:rFonts w:hint="eastAsia" w:ascii="宋体" w:hAnsi="宋体" w:cs="宋体"/>
                <w:kern w:val="0"/>
                <w:szCs w:val="21"/>
              </w:rPr>
              <w:t>日志备份</w:t>
            </w:r>
          </w:p>
        </w:tc>
        <w:tc>
          <w:tcPr>
            <w:tcW w:w="6669" w:type="dxa"/>
            <w:vAlign w:val="center"/>
          </w:tcPr>
          <w:p>
            <w:pPr>
              <w:widowControl/>
              <w:spacing w:line="360" w:lineRule="auto"/>
              <w:rPr>
                <w:rFonts w:ascii="宋体" w:hAnsi="宋体" w:cs="宋体"/>
                <w:kern w:val="0"/>
                <w:szCs w:val="21"/>
              </w:rPr>
            </w:pPr>
            <w:r>
              <w:rPr>
                <w:rFonts w:hint="eastAsia" w:ascii="宋体" w:hAnsi="宋体" w:cs="宋体"/>
                <w:kern w:val="0"/>
                <w:szCs w:val="21"/>
              </w:rPr>
              <w:t>可设置日志存储备份策略。包括系统日志保存期（天）、磁盘使用率百分比；</w:t>
            </w:r>
          </w:p>
          <w:p>
            <w:pPr>
              <w:widowControl/>
              <w:spacing w:line="360" w:lineRule="auto"/>
              <w:rPr>
                <w:rFonts w:ascii="宋体" w:hAnsi="宋体" w:cs="宋体"/>
                <w:kern w:val="0"/>
                <w:szCs w:val="21"/>
              </w:rPr>
            </w:pPr>
            <w:r>
              <w:rPr>
                <w:rFonts w:hint="eastAsia" w:ascii="宋体" w:hAnsi="宋体" w:cs="宋体"/>
                <w:kern w:val="0"/>
                <w:szCs w:val="21"/>
              </w:rPr>
              <w:t>支持日志备份自动传送到远程服务器。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Align w:val="center"/>
          </w:tcPr>
          <w:p>
            <w:pPr>
              <w:widowControl/>
              <w:spacing w:line="360" w:lineRule="auto"/>
              <w:rPr>
                <w:rFonts w:ascii="宋体" w:hAnsi="宋体" w:cs="宋体"/>
                <w:kern w:val="0"/>
                <w:szCs w:val="21"/>
              </w:rPr>
            </w:pPr>
            <w:r>
              <w:rPr>
                <w:rFonts w:hint="eastAsia" w:ascii="宋体" w:hAnsi="宋体" w:cs="宋体"/>
                <w:kern w:val="0"/>
                <w:szCs w:val="21"/>
              </w:rPr>
              <w:t>日志查询</w:t>
            </w:r>
          </w:p>
        </w:tc>
        <w:tc>
          <w:tcPr>
            <w:tcW w:w="6669" w:type="dxa"/>
            <w:vAlign w:val="center"/>
          </w:tcPr>
          <w:p>
            <w:pPr>
              <w:widowControl/>
              <w:spacing w:line="360" w:lineRule="auto"/>
              <w:rPr>
                <w:rFonts w:ascii="宋体" w:hAnsi="宋体" w:cs="宋体"/>
                <w:kern w:val="0"/>
                <w:szCs w:val="21"/>
              </w:rPr>
            </w:pPr>
            <w:r>
              <w:rPr>
                <w:rFonts w:hint="eastAsia" w:ascii="宋体" w:hAnsi="宋体" w:cs="宋体"/>
                <w:kern w:val="0"/>
                <w:szCs w:val="21"/>
              </w:rPr>
              <w:t>支持B/S模式管理</w:t>
            </w:r>
          </w:p>
          <w:p>
            <w:pPr>
              <w:widowControl/>
              <w:spacing w:line="360" w:lineRule="auto"/>
              <w:rPr>
                <w:rFonts w:ascii="宋体" w:hAnsi="宋体" w:cs="宋体"/>
                <w:kern w:val="0"/>
                <w:szCs w:val="21"/>
              </w:rPr>
            </w:pPr>
            <w:r>
              <w:rPr>
                <w:rFonts w:hint="eastAsia" w:ascii="宋体" w:hAnsi="宋体" w:cs="宋体"/>
                <w:kern w:val="0"/>
                <w:szCs w:val="21"/>
              </w:rPr>
              <w:t>支持按</w:t>
            </w:r>
            <w:bookmarkStart w:id="40" w:name="OLE_LINK18"/>
            <w:bookmarkStart w:id="41" w:name="OLE_LINK19"/>
            <w:r>
              <w:rPr>
                <w:rFonts w:hint="eastAsia" w:ascii="宋体" w:hAnsi="宋体" w:cs="宋体"/>
                <w:kern w:val="0"/>
                <w:szCs w:val="21"/>
              </w:rPr>
              <w:t>日期、时间、设备类型、日志类型、日志来源、威胁值、源地址、目的地址、事件类型、时间范围、操作对象、技术方式、技术动作、技术效果、攻击类型、地理城市</w:t>
            </w:r>
            <w:bookmarkEnd w:id="40"/>
            <w:bookmarkEnd w:id="41"/>
            <w:r>
              <w:rPr>
                <w:rFonts w:hint="eastAsia" w:ascii="宋体" w:hAnsi="宋体" w:cs="宋体"/>
                <w:kern w:val="0"/>
                <w:szCs w:val="21"/>
              </w:rPr>
              <w:t>等参数进行过滤查询；</w:t>
            </w:r>
          </w:p>
          <w:p>
            <w:pPr>
              <w:widowControl/>
              <w:spacing w:line="360" w:lineRule="auto"/>
              <w:rPr>
                <w:rFonts w:ascii="宋体" w:hAnsi="宋体" w:cs="宋体"/>
                <w:kern w:val="0"/>
                <w:szCs w:val="21"/>
              </w:rPr>
            </w:pPr>
            <w:r>
              <w:rPr>
                <w:rFonts w:hint="eastAsia" w:ascii="宋体" w:hAnsi="宋体" w:cs="宋体"/>
                <w:kern w:val="0"/>
                <w:szCs w:val="21"/>
              </w:rPr>
              <w:t>支持用任意关键字对所有事件进行高性能全文检索；</w:t>
            </w:r>
          </w:p>
          <w:p>
            <w:pPr>
              <w:widowControl/>
              <w:spacing w:line="360" w:lineRule="auto"/>
              <w:rPr>
                <w:rFonts w:ascii="宋体" w:hAnsi="宋体" w:cs="宋体"/>
                <w:kern w:val="0"/>
                <w:szCs w:val="21"/>
              </w:rPr>
            </w:pPr>
            <w:r>
              <w:rPr>
                <w:rFonts w:hint="eastAsia" w:ascii="宋体" w:hAnsi="宋体" w:cs="宋体"/>
                <w:kern w:val="0"/>
                <w:szCs w:val="21"/>
              </w:rPr>
              <w:t>支持可指定多个查询条件进行组合查询；</w:t>
            </w:r>
          </w:p>
          <w:p>
            <w:pPr>
              <w:widowControl/>
              <w:spacing w:line="360" w:lineRule="auto"/>
              <w:rPr>
                <w:rFonts w:ascii="宋体" w:hAnsi="宋体" w:cs="宋体"/>
                <w:kern w:val="0"/>
                <w:szCs w:val="21"/>
              </w:rPr>
            </w:pPr>
            <w:r>
              <w:rPr>
                <w:rFonts w:hint="eastAsia" w:ascii="宋体" w:hAnsi="宋体" w:cs="宋体"/>
                <w:kern w:val="0"/>
                <w:szCs w:val="21"/>
              </w:rPr>
              <w:t>支持将查询的条件存储为查询模版，方便再次使用；</w:t>
            </w:r>
          </w:p>
          <w:p>
            <w:pPr>
              <w:widowControl/>
              <w:spacing w:line="360" w:lineRule="auto"/>
              <w:rPr>
                <w:rFonts w:ascii="宋体" w:hAnsi="宋体" w:cs="宋体"/>
                <w:kern w:val="0"/>
                <w:szCs w:val="21"/>
              </w:rPr>
            </w:pPr>
            <w:r>
              <w:rPr>
                <w:rFonts w:hint="eastAsia" w:ascii="宋体" w:hAnsi="宋体" w:cs="宋体"/>
                <w:kern w:val="0"/>
                <w:szCs w:val="21"/>
              </w:rPr>
              <w:t>极高的日志高查询性能，支持亿级的日志里根据做任意的关键字及其它的检索条件，在秒级里返回查询结果。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Align w:val="center"/>
          </w:tcPr>
          <w:p>
            <w:pPr>
              <w:widowControl/>
              <w:spacing w:line="360" w:lineRule="auto"/>
              <w:rPr>
                <w:rFonts w:ascii="宋体" w:hAnsi="宋体" w:cs="宋体"/>
                <w:kern w:val="0"/>
                <w:szCs w:val="21"/>
              </w:rPr>
            </w:pPr>
            <w:r>
              <w:rPr>
                <w:rFonts w:hint="eastAsia" w:ascii="宋体" w:hAnsi="宋体" w:cs="宋体"/>
                <w:kern w:val="0"/>
                <w:szCs w:val="21"/>
              </w:rPr>
              <w:t>告警功能</w:t>
            </w:r>
          </w:p>
        </w:tc>
        <w:tc>
          <w:tcPr>
            <w:tcW w:w="6669" w:type="dxa"/>
            <w:vAlign w:val="center"/>
          </w:tcPr>
          <w:p>
            <w:pPr>
              <w:widowControl/>
              <w:spacing w:line="360" w:lineRule="auto"/>
              <w:rPr>
                <w:rFonts w:ascii="宋体" w:hAnsi="宋体" w:cs="宋体"/>
                <w:kern w:val="0"/>
                <w:szCs w:val="21"/>
              </w:rPr>
            </w:pPr>
            <w:r>
              <w:rPr>
                <w:rFonts w:hint="eastAsia" w:ascii="宋体" w:hAnsi="宋体" w:cs="宋体"/>
                <w:kern w:val="0"/>
                <w:szCs w:val="21"/>
              </w:rPr>
              <w:t>可预设置安全告警策略；</w:t>
            </w:r>
          </w:p>
          <w:p>
            <w:pPr>
              <w:widowControl/>
              <w:spacing w:line="360" w:lineRule="auto"/>
              <w:rPr>
                <w:rFonts w:ascii="宋体" w:hAnsi="宋体" w:cs="宋体"/>
                <w:kern w:val="0"/>
                <w:szCs w:val="21"/>
              </w:rPr>
            </w:pPr>
            <w:r>
              <w:rPr>
                <w:rFonts w:hint="eastAsia" w:ascii="宋体" w:hAnsi="宋体" w:cs="宋体"/>
                <w:kern w:val="0"/>
                <w:szCs w:val="21"/>
              </w:rPr>
              <w:t>支持数据阀值设置，超过阀值将产生告警；</w:t>
            </w:r>
          </w:p>
          <w:p>
            <w:pPr>
              <w:widowControl/>
              <w:spacing w:line="360" w:lineRule="auto"/>
              <w:rPr>
                <w:rFonts w:ascii="宋体" w:hAnsi="宋体" w:cs="宋体"/>
                <w:kern w:val="0"/>
                <w:szCs w:val="21"/>
              </w:rPr>
            </w:pPr>
            <w:r>
              <w:rPr>
                <w:rFonts w:hint="eastAsia" w:ascii="宋体" w:hAnsi="宋体" w:cs="宋体"/>
                <w:kern w:val="0"/>
                <w:szCs w:val="21"/>
              </w:rPr>
              <w:t>可以通过邮件、短信和屏幕显示进行告警；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Align w:val="center"/>
          </w:tcPr>
          <w:p>
            <w:pPr>
              <w:jc w:val="left"/>
              <w:rPr>
                <w:rFonts w:ascii="宋体" w:hAnsi="宋体" w:cs="宋体"/>
                <w:kern w:val="0"/>
                <w:szCs w:val="21"/>
              </w:rPr>
            </w:pPr>
            <w:r>
              <w:rPr>
                <w:rFonts w:hint="eastAsia" w:ascii="宋体" w:hAnsi="宋体" w:cs="宋体"/>
                <w:kern w:val="0"/>
                <w:szCs w:val="21"/>
              </w:rPr>
              <w:t>日志实时分析和统计</w:t>
            </w:r>
          </w:p>
        </w:tc>
        <w:tc>
          <w:tcPr>
            <w:tcW w:w="6669" w:type="dxa"/>
            <w:vAlign w:val="center"/>
          </w:tcPr>
          <w:p>
            <w:pPr>
              <w:jc w:val="left"/>
              <w:rPr>
                <w:rFonts w:ascii="宋体" w:hAnsi="宋体" w:cs="宋体"/>
                <w:kern w:val="0"/>
                <w:szCs w:val="21"/>
              </w:rPr>
            </w:pPr>
            <w:r>
              <w:rPr>
                <w:rFonts w:hint="eastAsia" w:ascii="宋体" w:hAnsi="宋体" w:cs="宋体"/>
                <w:kern w:val="0"/>
                <w:szCs w:val="21"/>
              </w:rPr>
              <w:t>可对收集的日志进行分类实时分析和统计，从而快速识别安全事故。分析统计结果支持柱图、饼图、曲线图等形式并自动实时刷新，图表数据支持数据下钻。日志实时分析在内存中完成，不需借助数据库和文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Align w:val="center"/>
          </w:tcPr>
          <w:p>
            <w:pPr>
              <w:jc w:val="left"/>
              <w:rPr>
                <w:rFonts w:ascii="宋体" w:hAnsi="宋体" w:cs="宋体"/>
                <w:kern w:val="0"/>
                <w:szCs w:val="21"/>
              </w:rPr>
            </w:pPr>
            <w:r>
              <w:rPr>
                <w:rFonts w:hint="eastAsia" w:ascii="宋体" w:hAnsi="宋体" w:cs="宋体"/>
                <w:kern w:val="0"/>
                <w:szCs w:val="21"/>
              </w:rPr>
              <w:t>报表管理</w:t>
            </w:r>
          </w:p>
        </w:tc>
        <w:tc>
          <w:tcPr>
            <w:tcW w:w="6669" w:type="dxa"/>
            <w:vAlign w:val="center"/>
          </w:tcPr>
          <w:p>
            <w:pPr>
              <w:jc w:val="left"/>
              <w:rPr>
                <w:rFonts w:ascii="宋体" w:hAnsi="宋体" w:cs="宋体"/>
                <w:kern w:val="0"/>
                <w:szCs w:val="21"/>
              </w:rPr>
            </w:pPr>
            <w:r>
              <w:rPr>
                <w:rFonts w:hint="eastAsia" w:ascii="宋体" w:hAnsi="宋体" w:cs="宋体"/>
                <w:kern w:val="0"/>
                <w:szCs w:val="21"/>
              </w:rPr>
              <w:t>提供丰富的报表管理功能。报表可以保存为excel，文本，pdf等多种格式。提供自定义报表。报表可根据设置自动运行,调度生成日报、周报和月报。</w:t>
            </w:r>
          </w:p>
        </w:tc>
      </w:tr>
    </w:tbl>
    <w:p>
      <w:pPr>
        <w:pStyle w:val="71"/>
        <w:spacing w:line="360" w:lineRule="auto"/>
        <w:rPr>
          <w:rFonts w:ascii="宋体" w:hAnsi="宋体"/>
          <w:kern w:val="2"/>
          <w:sz w:val="24"/>
          <w:szCs w:val="24"/>
        </w:rPr>
      </w:pPr>
    </w:p>
    <w:p>
      <w:pPr>
        <w:pStyle w:val="71"/>
        <w:spacing w:line="360" w:lineRule="auto"/>
        <w:rPr>
          <w:rFonts w:ascii="宋体" w:hAnsi="宋体"/>
          <w:b/>
          <w:kern w:val="2"/>
          <w:sz w:val="24"/>
          <w:szCs w:val="24"/>
        </w:rPr>
      </w:pPr>
      <w:r>
        <w:rPr>
          <w:rFonts w:hint="eastAsia" w:ascii="宋体" w:hAnsi="宋体"/>
          <w:b/>
          <w:kern w:val="2"/>
          <w:sz w:val="24"/>
          <w:szCs w:val="24"/>
        </w:rPr>
        <w:t>3</w:t>
      </w:r>
      <w:r>
        <w:rPr>
          <w:rFonts w:ascii="宋体" w:hAnsi="宋体"/>
          <w:b/>
          <w:kern w:val="2"/>
          <w:sz w:val="24"/>
          <w:szCs w:val="24"/>
        </w:rPr>
        <w:t>.14</w:t>
      </w:r>
      <w:r>
        <w:rPr>
          <w:rFonts w:hint="eastAsia" w:ascii="宋体" w:hAnsi="宋体"/>
          <w:b/>
          <w:kern w:val="2"/>
          <w:sz w:val="24"/>
          <w:szCs w:val="24"/>
        </w:rPr>
        <w:t>数据库审计系统（1台）</w:t>
      </w:r>
    </w:p>
    <w:tbl>
      <w:tblPr>
        <w:tblStyle w:val="2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6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859" w:type="dxa"/>
            <w:shd w:val="clear" w:color="000000" w:fill="auto"/>
            <w:vAlign w:val="center"/>
          </w:tcPr>
          <w:p>
            <w:pPr>
              <w:spacing w:line="360" w:lineRule="auto"/>
              <w:jc w:val="center"/>
              <w:rPr>
                <w:rFonts w:ascii="宋体" w:hAnsi="宋体"/>
                <w:b/>
                <w:szCs w:val="21"/>
              </w:rPr>
            </w:pPr>
            <w:r>
              <w:rPr>
                <w:rFonts w:ascii="宋体" w:hAnsi="宋体"/>
                <w:b/>
                <w:szCs w:val="21"/>
              </w:rPr>
              <w:t>指标项</w:t>
            </w:r>
          </w:p>
        </w:tc>
        <w:tc>
          <w:tcPr>
            <w:tcW w:w="6669" w:type="dxa"/>
            <w:shd w:val="clear" w:color="000000" w:fill="auto"/>
            <w:vAlign w:val="center"/>
          </w:tcPr>
          <w:p>
            <w:pPr>
              <w:spacing w:line="360" w:lineRule="auto"/>
              <w:jc w:val="center"/>
              <w:rPr>
                <w:rFonts w:ascii="宋体" w:hAnsi="宋体"/>
                <w:b/>
                <w:szCs w:val="21"/>
              </w:rPr>
            </w:pPr>
            <w:r>
              <w:rPr>
                <w:rFonts w:hint="eastAsia" w:ascii="宋体" w:hAnsi="宋体"/>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硬件指标</w:t>
            </w:r>
          </w:p>
        </w:tc>
        <w:tc>
          <w:tcPr>
            <w:tcW w:w="6669" w:type="dxa"/>
          </w:tcPr>
          <w:p>
            <w:pPr>
              <w:spacing w:line="360" w:lineRule="auto"/>
              <w:jc w:val="left"/>
              <w:rPr>
                <w:rFonts w:ascii="宋体" w:hAnsi="宋体" w:cs="宋体"/>
                <w:kern w:val="0"/>
                <w:szCs w:val="21"/>
              </w:rPr>
            </w:pPr>
            <w:r>
              <w:rPr>
                <w:rFonts w:hint="eastAsia" w:ascii="宋体" w:hAnsi="宋体" w:cs="宋体"/>
                <w:kern w:val="0"/>
                <w:szCs w:val="21"/>
              </w:rPr>
              <w:t>系统：产品采用专用工控机硬件架构，标准2</w:t>
            </w:r>
            <w:r>
              <w:rPr>
                <w:rFonts w:ascii="宋体" w:hAnsi="宋体" w:cs="宋体"/>
                <w:kern w:val="0"/>
                <w:szCs w:val="21"/>
              </w:rPr>
              <w:t>U</w:t>
            </w:r>
            <w:r>
              <w:rPr>
                <w:rFonts w:hint="eastAsia" w:ascii="宋体" w:hAnsi="宋体" w:cs="宋体"/>
                <w:kern w:val="0"/>
                <w:szCs w:val="21"/>
              </w:rPr>
              <w:t>硬件，</w:t>
            </w:r>
            <w:r>
              <w:rPr>
                <w:rFonts w:ascii="宋体" w:hAnsi="宋体" w:cs="宋体"/>
                <w:kern w:val="0"/>
                <w:szCs w:val="21"/>
              </w:rPr>
              <w:t>非普通</w:t>
            </w:r>
            <w:r>
              <w:rPr>
                <w:rFonts w:hint="eastAsia" w:ascii="宋体" w:hAnsi="宋体" w:cs="宋体"/>
                <w:kern w:val="0"/>
                <w:szCs w:val="21"/>
              </w:rPr>
              <w:t>PC服务器， MTBF(平均故障间隔时间)≥</w:t>
            </w:r>
            <w:r>
              <w:rPr>
                <w:rFonts w:ascii="宋体" w:hAnsi="宋体" w:cs="宋体"/>
                <w:kern w:val="0"/>
                <w:szCs w:val="21"/>
              </w:rPr>
              <w:t>65</w:t>
            </w:r>
            <w:r>
              <w:rPr>
                <w:rFonts w:hint="eastAsia" w:ascii="宋体" w:hAnsi="宋体" w:cs="宋体"/>
                <w:kern w:val="0"/>
                <w:szCs w:val="21"/>
              </w:rPr>
              <w:t xml:space="preserve">000小时； </w:t>
            </w:r>
          </w:p>
          <w:p>
            <w:pPr>
              <w:spacing w:line="360" w:lineRule="auto"/>
              <w:jc w:val="left"/>
              <w:rPr>
                <w:rFonts w:ascii="宋体" w:hAnsi="宋体" w:cs="宋体"/>
                <w:kern w:val="0"/>
                <w:szCs w:val="21"/>
              </w:rPr>
            </w:pPr>
            <w:r>
              <w:rPr>
                <w:rFonts w:hint="eastAsia" w:ascii="宋体" w:hAnsi="宋体" w:cs="宋体"/>
                <w:kern w:val="0"/>
                <w:szCs w:val="21"/>
              </w:rPr>
              <w:t>处理器：</w:t>
            </w:r>
            <w:r>
              <w:rPr>
                <w:rFonts w:ascii="宋体" w:hAnsi="宋体" w:cs="宋体"/>
                <w:kern w:val="0"/>
                <w:szCs w:val="21"/>
              </w:rPr>
              <w:t>I</w:t>
            </w:r>
            <w:r>
              <w:rPr>
                <w:rFonts w:hint="eastAsia" w:ascii="宋体" w:hAnsi="宋体" w:cs="宋体"/>
                <w:kern w:val="0"/>
                <w:szCs w:val="21"/>
              </w:rPr>
              <w:t>ntel</w:t>
            </w:r>
            <w:r>
              <w:rPr>
                <w:rFonts w:ascii="宋体" w:hAnsi="宋体" w:cs="宋体"/>
                <w:kern w:val="0"/>
                <w:szCs w:val="21"/>
              </w:rPr>
              <w:t>高性能CPU</w:t>
            </w:r>
            <w:r>
              <w:rPr>
                <w:rFonts w:hint="eastAsia" w:ascii="宋体" w:hAnsi="宋体" w:cs="宋体"/>
                <w:kern w:val="0"/>
                <w:szCs w:val="21"/>
              </w:rPr>
              <w:t>；</w:t>
            </w:r>
          </w:p>
          <w:p>
            <w:pPr>
              <w:spacing w:line="360" w:lineRule="auto"/>
              <w:jc w:val="left"/>
              <w:rPr>
                <w:rFonts w:ascii="宋体" w:hAnsi="宋体" w:cs="宋体"/>
                <w:kern w:val="0"/>
                <w:szCs w:val="21"/>
              </w:rPr>
            </w:pPr>
            <w:r>
              <w:rPr>
                <w:rFonts w:hint="eastAsia" w:ascii="宋体" w:hAnsi="宋体" w:cs="宋体"/>
                <w:kern w:val="0"/>
                <w:szCs w:val="21"/>
              </w:rPr>
              <w:t>单电源</w:t>
            </w:r>
          </w:p>
          <w:p>
            <w:pPr>
              <w:spacing w:line="360" w:lineRule="auto"/>
              <w:jc w:val="left"/>
              <w:rPr>
                <w:rFonts w:ascii="宋体" w:hAnsi="宋体" w:cs="宋体"/>
                <w:kern w:val="0"/>
                <w:szCs w:val="21"/>
              </w:rPr>
            </w:pPr>
            <w:r>
              <w:rPr>
                <w:rFonts w:hint="eastAsia" w:ascii="宋体" w:hAnsi="宋体" w:cs="宋体"/>
                <w:kern w:val="0"/>
                <w:szCs w:val="21"/>
              </w:rPr>
              <w:t>内存≥</w:t>
            </w:r>
            <w:r>
              <w:rPr>
                <w:rFonts w:ascii="宋体" w:hAnsi="宋体" w:cs="宋体"/>
                <w:kern w:val="0"/>
                <w:szCs w:val="21"/>
              </w:rPr>
              <w:t>16GB DDR3 1600Mhz</w:t>
            </w:r>
            <w:r>
              <w:rPr>
                <w:rFonts w:hint="eastAsia" w:ascii="宋体" w:hAnsi="宋体" w:cs="宋体"/>
                <w:kern w:val="0"/>
                <w:szCs w:val="21"/>
              </w:rPr>
              <w:t>，</w:t>
            </w:r>
          </w:p>
          <w:p>
            <w:pPr>
              <w:spacing w:line="360" w:lineRule="auto"/>
              <w:jc w:val="left"/>
              <w:rPr>
                <w:rFonts w:ascii="宋体" w:hAnsi="宋体" w:cs="宋体"/>
                <w:kern w:val="0"/>
                <w:szCs w:val="21"/>
              </w:rPr>
            </w:pPr>
            <w:r>
              <w:rPr>
                <w:rFonts w:hint="eastAsia" w:ascii="宋体" w:hAnsi="宋体" w:cs="宋体"/>
                <w:kern w:val="0"/>
                <w:szCs w:val="21"/>
              </w:rPr>
              <w:t>硬盘≥8</w:t>
            </w:r>
            <w:r>
              <w:rPr>
                <w:rFonts w:ascii="宋体" w:hAnsi="宋体" w:cs="宋体"/>
                <w:kern w:val="0"/>
                <w:szCs w:val="21"/>
              </w:rPr>
              <w:t>T</w:t>
            </w:r>
            <w:r>
              <w:rPr>
                <w:rFonts w:hint="eastAsia" w:ascii="宋体" w:hAnsi="宋体" w:cs="宋体"/>
                <w:kern w:val="0"/>
                <w:szCs w:val="21"/>
              </w:rPr>
              <w:t>（4</w:t>
            </w:r>
            <w:r>
              <w:rPr>
                <w:rFonts w:ascii="宋体" w:hAnsi="宋体" w:cs="宋体"/>
                <w:kern w:val="0"/>
                <w:szCs w:val="21"/>
              </w:rPr>
              <w:t>T*2</w:t>
            </w:r>
            <w:r>
              <w:rPr>
                <w:rFonts w:hint="eastAsia" w:ascii="宋体" w:hAnsi="宋体" w:cs="宋体"/>
                <w:kern w:val="0"/>
                <w:szCs w:val="21"/>
              </w:rPr>
              <w:t>），支持</w:t>
            </w:r>
            <w:r>
              <w:rPr>
                <w:rFonts w:ascii="宋体" w:hAnsi="宋体" w:cs="宋体"/>
                <w:kern w:val="0"/>
                <w:szCs w:val="21"/>
              </w:rPr>
              <w:t>RAID1</w:t>
            </w:r>
            <w:r>
              <w:rPr>
                <w:rFonts w:hint="eastAsia" w:ascii="宋体" w:hAnsi="宋体" w:cs="宋体"/>
                <w:kern w:val="0"/>
                <w:szCs w:val="21"/>
              </w:rPr>
              <w:t>，</w:t>
            </w:r>
          </w:p>
          <w:p>
            <w:pPr>
              <w:spacing w:line="360" w:lineRule="auto"/>
              <w:jc w:val="left"/>
              <w:rPr>
                <w:rFonts w:ascii="宋体" w:hAnsi="宋体" w:cs="宋体"/>
                <w:kern w:val="0"/>
                <w:szCs w:val="21"/>
              </w:rPr>
            </w:pPr>
            <w:r>
              <w:rPr>
                <w:rFonts w:hint="eastAsia" w:ascii="宋体" w:hAnsi="宋体" w:cs="宋体"/>
                <w:kern w:val="0"/>
                <w:szCs w:val="21"/>
              </w:rPr>
              <w:t>网络端口：</w:t>
            </w:r>
          </w:p>
          <w:p>
            <w:pPr>
              <w:spacing w:line="360" w:lineRule="auto"/>
              <w:jc w:val="left"/>
              <w:rPr>
                <w:rFonts w:ascii="宋体" w:hAnsi="宋体" w:cs="宋体"/>
                <w:kern w:val="0"/>
                <w:szCs w:val="21"/>
              </w:rPr>
            </w:pPr>
            <w:r>
              <w:rPr>
                <w:rFonts w:hint="eastAsia" w:ascii="宋体" w:hAnsi="宋体" w:cs="宋体"/>
                <w:kern w:val="0"/>
                <w:szCs w:val="21"/>
              </w:rPr>
              <w:t>支持监听接口扩展，配备至少2个千兆电口管理口；</w:t>
            </w:r>
          </w:p>
          <w:p>
            <w:pPr>
              <w:spacing w:line="360" w:lineRule="auto"/>
              <w:jc w:val="left"/>
              <w:rPr>
                <w:rFonts w:ascii="宋体" w:hAnsi="宋体" w:cs="宋体"/>
                <w:kern w:val="0"/>
                <w:szCs w:val="21"/>
              </w:rPr>
            </w:pPr>
            <w:r>
              <w:rPr>
                <w:rFonts w:hint="eastAsia" w:ascii="宋体" w:hAnsi="宋体" w:cs="宋体"/>
                <w:kern w:val="0"/>
                <w:szCs w:val="21"/>
              </w:rPr>
              <w:t>支持千兆网络环境下的监听能力，标配至少4个千兆电口和4个千兆光口；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处理能力</w:t>
            </w:r>
          </w:p>
        </w:tc>
        <w:tc>
          <w:tcPr>
            <w:tcW w:w="6669" w:type="dxa"/>
          </w:tcPr>
          <w:p>
            <w:pPr>
              <w:spacing w:line="360" w:lineRule="auto"/>
              <w:jc w:val="left"/>
              <w:rPr>
                <w:rFonts w:ascii="宋体" w:hAnsi="宋体" w:cs="宋体"/>
                <w:kern w:val="0"/>
                <w:szCs w:val="21"/>
              </w:rPr>
            </w:pPr>
            <w:r>
              <w:rPr>
                <w:rFonts w:hint="eastAsia" w:ascii="宋体" w:hAnsi="宋体" w:cs="宋体"/>
                <w:kern w:val="0"/>
                <w:szCs w:val="21"/>
              </w:rPr>
              <w:t>审计性能：审计数据库数量无限制</w:t>
            </w:r>
          </w:p>
          <w:p>
            <w:pPr>
              <w:spacing w:line="360" w:lineRule="auto"/>
              <w:jc w:val="left"/>
              <w:rPr>
                <w:rFonts w:ascii="宋体" w:hAnsi="宋体" w:cs="宋体"/>
                <w:kern w:val="0"/>
                <w:szCs w:val="21"/>
              </w:rPr>
            </w:pPr>
            <w:r>
              <w:rPr>
                <w:rFonts w:hint="eastAsia" w:ascii="宋体" w:hAnsi="宋体" w:cs="宋体"/>
                <w:kern w:val="0"/>
                <w:szCs w:val="21"/>
              </w:rPr>
              <w:t>峰值</w:t>
            </w:r>
            <w:r>
              <w:rPr>
                <w:rFonts w:ascii="宋体" w:hAnsi="宋体" w:cs="宋体"/>
                <w:kern w:val="0"/>
                <w:szCs w:val="21"/>
              </w:rPr>
              <w:t>SQL</w:t>
            </w:r>
            <w:r>
              <w:rPr>
                <w:rFonts w:hint="eastAsia" w:ascii="宋体" w:hAnsi="宋体" w:cs="宋体"/>
                <w:kern w:val="0"/>
                <w:szCs w:val="21"/>
              </w:rPr>
              <w:t>处理能力≥</w:t>
            </w:r>
            <w:r>
              <w:rPr>
                <w:rFonts w:ascii="宋体" w:hAnsi="宋体" w:cs="宋体"/>
                <w:kern w:val="0"/>
                <w:szCs w:val="21"/>
              </w:rPr>
              <w:t>20,000</w:t>
            </w:r>
            <w:r>
              <w:rPr>
                <w:rFonts w:hint="eastAsia" w:ascii="宋体" w:hAnsi="宋体" w:cs="宋体"/>
                <w:kern w:val="0"/>
                <w:szCs w:val="21"/>
              </w:rPr>
              <w:t>条</w:t>
            </w:r>
            <w:r>
              <w:rPr>
                <w:rFonts w:ascii="宋体" w:hAnsi="宋体" w:cs="宋体"/>
                <w:kern w:val="0"/>
                <w:szCs w:val="21"/>
              </w:rPr>
              <w:t>/</w:t>
            </w:r>
            <w:r>
              <w:rPr>
                <w:rFonts w:hint="eastAsia" w:ascii="宋体" w:hAnsi="宋体" w:cs="宋体"/>
                <w:kern w:val="0"/>
                <w:szCs w:val="21"/>
              </w:rPr>
              <w:t>秒</w:t>
            </w:r>
            <w:r>
              <w:rPr>
                <w:rFonts w:ascii="宋体" w:hAnsi="宋体" w:cs="宋体"/>
                <w:kern w:val="0"/>
                <w:szCs w:val="21"/>
              </w:rPr>
              <w:t>;</w:t>
            </w:r>
          </w:p>
          <w:p>
            <w:pPr>
              <w:spacing w:line="360" w:lineRule="auto"/>
              <w:jc w:val="left"/>
              <w:rPr>
                <w:rFonts w:ascii="宋体" w:hAnsi="宋体" w:cs="宋体"/>
                <w:kern w:val="0"/>
                <w:szCs w:val="21"/>
              </w:rPr>
            </w:pPr>
            <w:r>
              <w:rPr>
                <w:rFonts w:hint="eastAsia" w:ascii="宋体" w:hAnsi="宋体" w:cs="宋体"/>
                <w:kern w:val="0"/>
                <w:szCs w:val="21"/>
              </w:rPr>
              <w:t>硬件最大吞吐量</w:t>
            </w:r>
            <w:r>
              <w:rPr>
                <w:rFonts w:ascii="宋体" w:hAnsi="宋体" w:cs="宋体"/>
                <w:kern w:val="0"/>
                <w:szCs w:val="21"/>
              </w:rPr>
              <w:t>2000Mbps</w:t>
            </w:r>
            <w:r>
              <w:rPr>
                <w:rFonts w:hint="eastAsia" w:ascii="宋体" w:hAnsi="宋体" w:cs="宋体"/>
                <w:kern w:val="0"/>
                <w:szCs w:val="21"/>
              </w:rPr>
              <w:t>，最大纯数据库流量</w:t>
            </w:r>
            <w:r>
              <w:rPr>
                <w:rFonts w:ascii="宋体" w:hAnsi="宋体" w:cs="宋体"/>
                <w:kern w:val="0"/>
                <w:szCs w:val="21"/>
              </w:rPr>
              <w:t>200Mbps</w:t>
            </w:r>
            <w:r>
              <w:rPr>
                <w:rFonts w:hint="eastAsia" w:ascii="宋体" w:hAnsi="宋体" w:cs="宋体"/>
                <w:kern w:val="0"/>
                <w:szCs w:val="21"/>
              </w:rPr>
              <w:t>，标配日志存储数</w:t>
            </w:r>
            <w:r>
              <w:rPr>
                <w:rFonts w:ascii="宋体" w:hAnsi="宋体" w:cs="宋体"/>
                <w:kern w:val="0"/>
                <w:szCs w:val="21"/>
              </w:rPr>
              <w:t>20</w:t>
            </w:r>
            <w:r>
              <w:rPr>
                <w:rFonts w:hint="eastAsia" w:ascii="宋体" w:hAnsi="宋体" w:cs="宋体"/>
                <w:kern w:val="0"/>
                <w:szCs w:val="21"/>
              </w:rPr>
              <w:t>亿条；</w:t>
            </w:r>
          </w:p>
          <w:p>
            <w:pPr>
              <w:spacing w:line="360" w:lineRule="auto"/>
              <w:jc w:val="left"/>
              <w:rPr>
                <w:rFonts w:ascii="宋体" w:hAnsi="宋体" w:cs="宋体"/>
                <w:kern w:val="0"/>
                <w:szCs w:val="21"/>
              </w:rPr>
            </w:pPr>
            <w:r>
              <w:rPr>
                <w:rFonts w:hint="eastAsia" w:ascii="宋体" w:hAnsi="宋体" w:cs="宋体"/>
                <w:kern w:val="0"/>
                <w:szCs w:val="21"/>
              </w:rPr>
              <w:t>审计日志检索能力≥</w:t>
            </w:r>
            <w:r>
              <w:rPr>
                <w:rFonts w:ascii="宋体" w:hAnsi="宋体" w:cs="宋体"/>
                <w:kern w:val="0"/>
                <w:szCs w:val="21"/>
              </w:rPr>
              <w:t>1500</w:t>
            </w:r>
            <w:r>
              <w:rPr>
                <w:rFonts w:hint="eastAsia" w:ascii="宋体" w:hAnsi="宋体" w:cs="宋体"/>
                <w:kern w:val="0"/>
                <w:szCs w:val="21"/>
              </w:rPr>
              <w:t>万条</w:t>
            </w:r>
            <w:r>
              <w:rPr>
                <w:rFonts w:ascii="宋体" w:hAnsi="宋体" w:cs="宋体"/>
                <w:kern w:val="0"/>
                <w:szCs w:val="21"/>
              </w:rPr>
              <w:t>/</w:t>
            </w:r>
            <w:r>
              <w:rPr>
                <w:rFonts w:hint="eastAsia" w:ascii="宋体" w:hAnsi="宋体" w:cs="宋体"/>
                <w:kern w:val="0"/>
                <w:szCs w:val="21"/>
              </w:rPr>
              <w:t>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部署方式</w:t>
            </w:r>
          </w:p>
        </w:tc>
        <w:tc>
          <w:tcPr>
            <w:tcW w:w="6669" w:type="dxa"/>
            <w:vAlign w:val="center"/>
          </w:tcPr>
          <w:p>
            <w:pPr>
              <w:spacing w:line="360" w:lineRule="auto"/>
              <w:jc w:val="left"/>
              <w:rPr>
                <w:rFonts w:ascii="宋体" w:hAnsi="宋体" w:cs="宋体"/>
                <w:kern w:val="0"/>
                <w:szCs w:val="21"/>
              </w:rPr>
            </w:pPr>
            <w:r>
              <w:rPr>
                <w:rFonts w:hint="eastAsia" w:ascii="宋体" w:hAnsi="宋体" w:cs="宋体"/>
                <w:kern w:val="0"/>
                <w:szCs w:val="21"/>
              </w:rPr>
              <w:t>旁路</w:t>
            </w:r>
            <w:r>
              <w:rPr>
                <w:rFonts w:ascii="宋体" w:hAnsi="宋体" w:cs="宋体"/>
                <w:kern w:val="0"/>
                <w:szCs w:val="21"/>
              </w:rPr>
              <w:t>部署模式下</w:t>
            </w:r>
            <w:r>
              <w:rPr>
                <w:rFonts w:hint="eastAsia" w:ascii="宋体" w:hAnsi="宋体" w:cs="宋体"/>
                <w:kern w:val="0"/>
                <w:szCs w:val="21"/>
              </w:rPr>
              <w:t>无须在被审计数据库系统上安装任何代理即可实现审计</w:t>
            </w:r>
          </w:p>
          <w:p>
            <w:pPr>
              <w:spacing w:line="360" w:lineRule="auto"/>
              <w:jc w:val="left"/>
              <w:rPr>
                <w:rFonts w:ascii="宋体" w:hAnsi="宋体" w:cs="宋体"/>
                <w:kern w:val="0"/>
                <w:szCs w:val="21"/>
              </w:rPr>
            </w:pPr>
            <w:r>
              <w:rPr>
                <w:rFonts w:ascii="宋体" w:hAnsi="宋体" w:cs="宋体"/>
                <w:kern w:val="0"/>
                <w:szCs w:val="21"/>
              </w:rPr>
              <w:t>支持</w:t>
            </w:r>
            <w:r>
              <w:rPr>
                <w:rFonts w:hint="eastAsia" w:ascii="宋体" w:hAnsi="宋体" w:cs="宋体"/>
                <w:kern w:val="0"/>
                <w:szCs w:val="21"/>
              </w:rPr>
              <w:t>在目标数据库安装</w:t>
            </w:r>
            <w:r>
              <w:rPr>
                <w:rFonts w:ascii="宋体" w:hAnsi="宋体" w:cs="宋体"/>
                <w:kern w:val="0"/>
                <w:szCs w:val="21"/>
              </w:rPr>
              <w:t>agent</w:t>
            </w:r>
            <w:r>
              <w:rPr>
                <w:rFonts w:hint="eastAsia" w:ascii="宋体" w:hAnsi="宋体" w:cs="宋体"/>
                <w:kern w:val="0"/>
                <w:szCs w:val="21"/>
              </w:rPr>
              <w:t>解决</w:t>
            </w:r>
            <w:r>
              <w:rPr>
                <w:rFonts w:ascii="宋体" w:hAnsi="宋体" w:cs="宋体"/>
                <w:kern w:val="0"/>
                <w:szCs w:val="21"/>
              </w:rPr>
              <w:t>云环境</w:t>
            </w:r>
            <w:r>
              <w:rPr>
                <w:rFonts w:hint="eastAsia" w:ascii="宋体" w:hAnsi="宋体" w:cs="宋体"/>
                <w:kern w:val="0"/>
                <w:szCs w:val="21"/>
              </w:rPr>
              <w:t>、</w:t>
            </w:r>
            <w:r>
              <w:rPr>
                <w:rFonts w:ascii="宋体" w:hAnsi="宋体" w:cs="宋体"/>
                <w:kern w:val="0"/>
                <w:szCs w:val="21"/>
              </w:rPr>
              <w:t>虚拟化环境</w:t>
            </w:r>
            <w:r>
              <w:rPr>
                <w:rFonts w:hint="eastAsia" w:ascii="宋体" w:hAnsi="宋体" w:cs="宋体"/>
                <w:kern w:val="0"/>
                <w:szCs w:val="21"/>
              </w:rPr>
              <w:t>内部</w:t>
            </w:r>
            <w:r>
              <w:rPr>
                <w:rFonts w:ascii="宋体" w:hAnsi="宋体" w:cs="宋体"/>
                <w:kern w:val="0"/>
                <w:szCs w:val="21"/>
              </w:rPr>
              <w:t>流量无法镜像</w:t>
            </w:r>
            <w:r>
              <w:rPr>
                <w:rFonts w:hint="eastAsia" w:ascii="宋体" w:hAnsi="宋体" w:cs="宋体"/>
                <w:kern w:val="0"/>
                <w:szCs w:val="21"/>
              </w:rPr>
              <w:t>场景下数据库的审计.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协议支持</w:t>
            </w:r>
          </w:p>
        </w:tc>
        <w:tc>
          <w:tcPr>
            <w:tcW w:w="6669" w:type="dxa"/>
            <w:vAlign w:val="center"/>
          </w:tcPr>
          <w:p>
            <w:pPr>
              <w:spacing w:line="360" w:lineRule="auto"/>
              <w:jc w:val="left"/>
              <w:rPr>
                <w:rFonts w:ascii="宋体" w:hAnsi="宋体" w:cs="宋体"/>
                <w:kern w:val="0"/>
                <w:szCs w:val="21"/>
              </w:rPr>
            </w:pPr>
            <w:r>
              <w:rPr>
                <w:rFonts w:hint="eastAsia" w:ascii="宋体" w:hAnsi="宋体" w:cs="宋体"/>
                <w:kern w:val="0"/>
                <w:szCs w:val="21"/>
              </w:rPr>
              <w:t>支持Oracle、SQL-Server、DB2、Informix、Sybase、MySQL</w:t>
            </w:r>
            <w:r>
              <w:rPr>
                <w:rFonts w:ascii="宋体" w:hAnsi="宋体" w:cs="宋体"/>
                <w:kern w:val="0"/>
                <w:szCs w:val="21"/>
              </w:rPr>
              <w:t>六种主流数据库审计；</w:t>
            </w:r>
          </w:p>
          <w:p>
            <w:pPr>
              <w:spacing w:line="360" w:lineRule="auto"/>
              <w:jc w:val="left"/>
              <w:rPr>
                <w:rFonts w:ascii="宋体" w:hAnsi="宋体" w:cs="宋体"/>
                <w:kern w:val="0"/>
                <w:szCs w:val="21"/>
              </w:rPr>
            </w:pPr>
            <w:r>
              <w:rPr>
                <w:rFonts w:hint="eastAsia" w:ascii="宋体" w:hAnsi="宋体" w:cs="宋体"/>
                <w:kern w:val="0"/>
                <w:szCs w:val="21"/>
              </w:rPr>
              <w:t>支持PostgreSQL、HANA、Teradata、Cache、人大金仓、达梦、南大通用数据库审计；</w:t>
            </w:r>
            <w:r>
              <w:rPr>
                <w:rFonts w:ascii="宋体" w:hAnsi="宋体" w:cs="宋体"/>
                <w:kern w:val="0"/>
                <w:szCs w:val="21"/>
              </w:rPr>
              <w:t xml:space="preserve"> </w:t>
            </w:r>
          </w:p>
          <w:p>
            <w:pPr>
              <w:spacing w:line="360" w:lineRule="auto"/>
              <w:jc w:val="left"/>
              <w:rPr>
                <w:rFonts w:ascii="宋体" w:hAnsi="宋体" w:cs="宋体"/>
                <w:kern w:val="0"/>
                <w:szCs w:val="21"/>
              </w:rPr>
            </w:pPr>
            <w:r>
              <w:rPr>
                <w:rFonts w:hint="eastAsia" w:ascii="宋体" w:hAnsi="宋体" w:cs="宋体"/>
                <w:kern w:val="0"/>
                <w:szCs w:val="21"/>
              </w:rPr>
              <w:t>支持主流业务协议 HTTP、Telnet、FTP、SMTP、POP3、DCOM；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审计功能</w:t>
            </w:r>
          </w:p>
        </w:tc>
        <w:tc>
          <w:tcPr>
            <w:tcW w:w="6669" w:type="dxa"/>
            <w:vAlign w:val="center"/>
          </w:tcPr>
          <w:p>
            <w:pPr>
              <w:spacing w:line="360" w:lineRule="auto"/>
              <w:jc w:val="left"/>
              <w:rPr>
                <w:rFonts w:ascii="宋体" w:hAnsi="宋体" w:cs="宋体"/>
                <w:kern w:val="0"/>
                <w:szCs w:val="21"/>
              </w:rPr>
            </w:pPr>
            <w:r>
              <w:rPr>
                <w:rFonts w:hint="eastAsia" w:ascii="宋体" w:hAnsi="宋体" w:cs="宋体"/>
                <w:kern w:val="0"/>
                <w:szCs w:val="21"/>
              </w:rPr>
              <w:t>支持数据库操作类、表、视图、索引、存储过程等</w:t>
            </w:r>
            <w:r>
              <w:fldChar w:fldCharType="begin"/>
            </w:r>
            <w:r>
              <w:instrText xml:space="preserve"> HYPERLINK \l "_支持各种对象的SQL审计_1" </w:instrText>
            </w:r>
            <w:r>
              <w:fldChar w:fldCharType="separate"/>
            </w:r>
            <w:r>
              <w:rPr>
                <w:rFonts w:hint="eastAsia" w:ascii="宋体" w:hAnsi="宋体" w:cs="宋体"/>
                <w:kern w:val="0"/>
                <w:szCs w:val="21"/>
              </w:rPr>
              <w:t>各种对象的所有SQL操作审计</w:t>
            </w:r>
            <w:r>
              <w:rPr>
                <w:rFonts w:hint="eastAsia" w:ascii="宋体" w:hAnsi="宋体" w:cs="宋体"/>
                <w:kern w:val="0"/>
                <w:szCs w:val="21"/>
              </w:rPr>
              <w:fldChar w:fldCharType="end"/>
            </w:r>
          </w:p>
          <w:p>
            <w:pPr>
              <w:spacing w:line="360" w:lineRule="auto"/>
              <w:jc w:val="left"/>
              <w:rPr>
                <w:rFonts w:ascii="宋体" w:hAnsi="宋体" w:cs="宋体"/>
                <w:kern w:val="0"/>
                <w:szCs w:val="21"/>
              </w:rPr>
            </w:pPr>
            <w:r>
              <w:rPr>
                <w:rFonts w:hint="eastAsia" w:ascii="宋体" w:hAnsi="宋体" w:cs="宋体"/>
                <w:kern w:val="0"/>
                <w:szCs w:val="21"/>
              </w:rPr>
              <w:t>旁路阻断功能（非串联方式）。阻断两种模式，宽松模式：对单一会话危险操作阻断；严格模式：源IP操作的所有请求直接阻断，提供截图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智能发现</w:t>
            </w:r>
          </w:p>
        </w:tc>
        <w:tc>
          <w:tcPr>
            <w:tcW w:w="6669" w:type="dxa"/>
            <w:vAlign w:val="center"/>
          </w:tcPr>
          <w:p>
            <w:pPr>
              <w:spacing w:line="360" w:lineRule="auto"/>
              <w:jc w:val="left"/>
              <w:rPr>
                <w:rFonts w:ascii="宋体" w:hAnsi="宋体" w:cs="宋体"/>
                <w:kern w:val="0"/>
                <w:szCs w:val="21"/>
              </w:rPr>
            </w:pPr>
            <w:r>
              <w:rPr>
                <w:rFonts w:hint="eastAsia" w:ascii="宋体" w:hAnsi="宋体" w:cs="宋体"/>
                <w:kern w:val="0"/>
                <w:szCs w:val="21"/>
              </w:rPr>
              <w:t>自动识别流量中存在的数据库，</w:t>
            </w:r>
            <w:r>
              <w:rPr>
                <w:rFonts w:ascii="宋体" w:hAnsi="宋体" w:cs="宋体"/>
                <w:kern w:val="0"/>
                <w:szCs w:val="21"/>
              </w:rPr>
              <w:t>也可通过扫描发现网络中的数据库</w:t>
            </w:r>
          </w:p>
          <w:p>
            <w:pPr>
              <w:spacing w:line="360" w:lineRule="auto"/>
              <w:jc w:val="left"/>
              <w:rPr>
                <w:rFonts w:ascii="宋体" w:hAnsi="宋体" w:cs="宋体"/>
                <w:kern w:val="0"/>
                <w:szCs w:val="21"/>
              </w:rPr>
            </w:pPr>
            <w:r>
              <w:rPr>
                <w:rFonts w:hint="eastAsia" w:ascii="宋体" w:hAnsi="宋体" w:cs="宋体"/>
                <w:kern w:val="0"/>
                <w:szCs w:val="21"/>
              </w:rPr>
              <w:t>支持定期自动扫描数据库漏洞和不安全配置，提供漏洞扫描报告；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应用关联 (三层关联)</w:t>
            </w:r>
          </w:p>
        </w:tc>
        <w:tc>
          <w:tcPr>
            <w:tcW w:w="6669" w:type="dxa"/>
            <w:vAlign w:val="center"/>
          </w:tcPr>
          <w:p>
            <w:pPr>
              <w:spacing w:line="360" w:lineRule="auto"/>
              <w:jc w:val="left"/>
              <w:rPr>
                <w:rFonts w:ascii="宋体" w:hAnsi="宋体" w:cs="宋体"/>
                <w:kern w:val="0"/>
                <w:szCs w:val="21"/>
              </w:rPr>
            </w:pPr>
            <w:r>
              <w:rPr>
                <w:rFonts w:hint="eastAsia" w:ascii="宋体" w:hAnsi="宋体" w:cs="宋体"/>
                <w:kern w:val="0"/>
                <w:szCs w:val="21"/>
              </w:rPr>
              <w:t>支持B/S业务系统三层关联审计；</w:t>
            </w:r>
          </w:p>
          <w:p>
            <w:pPr>
              <w:spacing w:line="360" w:lineRule="auto"/>
              <w:jc w:val="left"/>
              <w:rPr>
                <w:rFonts w:ascii="宋体" w:hAnsi="宋体" w:cs="宋体"/>
                <w:kern w:val="0"/>
                <w:szCs w:val="21"/>
              </w:rPr>
            </w:pPr>
            <w:r>
              <w:rPr>
                <w:rFonts w:hint="eastAsia" w:ascii="宋体" w:hAnsi="宋体" w:cs="宋体"/>
                <w:kern w:val="0"/>
                <w:szCs w:val="21"/>
              </w:rPr>
              <w:t>支持通过部署</w:t>
            </w:r>
            <w:r>
              <w:rPr>
                <w:rFonts w:ascii="宋体" w:hAnsi="宋体" w:cs="宋体"/>
                <w:kern w:val="0"/>
                <w:szCs w:val="21"/>
              </w:rPr>
              <w:t>agent</w:t>
            </w:r>
            <w:r>
              <w:rPr>
                <w:rFonts w:hint="eastAsia" w:ascii="宋体" w:hAnsi="宋体" w:cs="宋体"/>
                <w:kern w:val="0"/>
                <w:szCs w:val="21"/>
              </w:rPr>
              <w:t>实现</w:t>
            </w:r>
            <w:r>
              <w:rPr>
                <w:rFonts w:ascii="宋体" w:hAnsi="宋体" w:cs="宋体"/>
                <w:kern w:val="0"/>
                <w:szCs w:val="21"/>
              </w:rPr>
              <w:t>java web</w:t>
            </w:r>
            <w:r>
              <w:rPr>
                <w:rFonts w:hint="eastAsia" w:ascii="宋体" w:hAnsi="宋体" w:cs="宋体"/>
                <w:kern w:val="0"/>
                <w:szCs w:val="21"/>
              </w:rPr>
              <w:t>环境1</w:t>
            </w:r>
            <w:r>
              <w:rPr>
                <w:rFonts w:ascii="宋体" w:hAnsi="宋体" w:cs="宋体"/>
                <w:kern w:val="0"/>
                <w:szCs w:val="21"/>
              </w:rPr>
              <w:t>00%</w:t>
            </w:r>
            <w:r>
              <w:rPr>
                <w:rFonts w:hint="eastAsia" w:ascii="宋体" w:hAnsi="宋体" w:cs="宋体"/>
                <w:kern w:val="0"/>
                <w:szCs w:val="21"/>
              </w:rPr>
              <w:t>准确关联；</w:t>
            </w:r>
          </w:p>
          <w:p>
            <w:pPr>
              <w:spacing w:line="360" w:lineRule="auto"/>
              <w:jc w:val="left"/>
              <w:rPr>
                <w:rFonts w:ascii="宋体" w:hAnsi="宋体" w:cs="宋体"/>
                <w:kern w:val="0"/>
                <w:szCs w:val="21"/>
              </w:rPr>
            </w:pPr>
            <w:r>
              <w:rPr>
                <w:rFonts w:hint="eastAsia" w:ascii="宋体" w:hAnsi="宋体" w:cs="宋体"/>
                <w:kern w:val="0"/>
                <w:szCs w:val="21"/>
              </w:rPr>
              <w:t>支持旁路自动学习三层审计关联功能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安全审计</w:t>
            </w:r>
          </w:p>
        </w:tc>
        <w:tc>
          <w:tcPr>
            <w:tcW w:w="6669" w:type="dxa"/>
            <w:vAlign w:val="center"/>
          </w:tcPr>
          <w:p>
            <w:pPr>
              <w:spacing w:line="360" w:lineRule="auto"/>
              <w:jc w:val="left"/>
              <w:rPr>
                <w:rFonts w:ascii="宋体" w:hAnsi="宋体" w:cs="宋体"/>
                <w:kern w:val="0"/>
                <w:szCs w:val="21"/>
              </w:rPr>
            </w:pPr>
            <w:r>
              <w:rPr>
                <w:rFonts w:hint="eastAsia" w:ascii="宋体" w:hAnsi="宋体" w:cs="宋体"/>
                <w:kern w:val="0"/>
                <w:szCs w:val="21"/>
              </w:rPr>
              <w:t>支持审计记录中敏感数据的模糊化处理，内置常见敏感数据掩码规则，支持自定义</w:t>
            </w:r>
          </w:p>
          <w:p>
            <w:pPr>
              <w:spacing w:line="360" w:lineRule="auto"/>
              <w:jc w:val="left"/>
              <w:rPr>
                <w:rFonts w:ascii="宋体" w:hAnsi="宋体" w:cs="宋体"/>
                <w:kern w:val="0"/>
                <w:szCs w:val="21"/>
              </w:rPr>
            </w:pPr>
            <w:r>
              <w:rPr>
                <w:rFonts w:hint="eastAsia" w:ascii="宋体" w:hAnsi="宋体" w:cs="宋体"/>
                <w:kern w:val="0"/>
                <w:szCs w:val="21"/>
              </w:rPr>
              <w:t>内置安全特征库不少</w:t>
            </w:r>
            <w:r>
              <w:rPr>
                <w:rFonts w:ascii="宋体" w:hAnsi="宋体" w:cs="宋体"/>
                <w:kern w:val="0"/>
                <w:szCs w:val="21"/>
              </w:rPr>
              <w:t>于</w:t>
            </w:r>
            <w:r>
              <w:rPr>
                <w:rFonts w:hint="eastAsia" w:ascii="宋体" w:hAnsi="宋体" w:cs="宋体"/>
                <w:kern w:val="0"/>
                <w:szCs w:val="21"/>
              </w:rPr>
              <w:t>300条，如SQL注入、缓冲区溢出等；</w:t>
            </w:r>
          </w:p>
          <w:p>
            <w:pPr>
              <w:spacing w:line="360" w:lineRule="auto"/>
              <w:jc w:val="left"/>
              <w:rPr>
                <w:rFonts w:ascii="宋体" w:hAnsi="宋体" w:cs="宋体"/>
                <w:kern w:val="0"/>
                <w:szCs w:val="21"/>
              </w:rPr>
            </w:pPr>
            <w:r>
              <w:rPr>
                <w:rFonts w:hint="eastAsia" w:ascii="宋体" w:hAnsi="宋体" w:cs="宋体"/>
                <w:kern w:val="0"/>
                <w:szCs w:val="21"/>
              </w:rPr>
              <w:t>可自定义审计规则，审计规则至少支持18个条件；</w:t>
            </w:r>
          </w:p>
          <w:p>
            <w:pPr>
              <w:spacing w:line="360" w:lineRule="auto"/>
              <w:jc w:val="left"/>
              <w:rPr>
                <w:rFonts w:ascii="宋体" w:hAnsi="宋体" w:cs="宋体"/>
                <w:kern w:val="0"/>
                <w:szCs w:val="21"/>
              </w:rPr>
            </w:pPr>
            <w:r>
              <w:rPr>
                <w:rFonts w:hint="eastAsia" w:ascii="宋体" w:hAnsi="宋体" w:cs="宋体"/>
                <w:kern w:val="0"/>
                <w:szCs w:val="21"/>
              </w:rPr>
              <w:t>规则各条件</w:t>
            </w:r>
            <w:r>
              <w:rPr>
                <w:rFonts w:ascii="宋体" w:hAnsi="宋体" w:cs="宋体"/>
                <w:kern w:val="0"/>
                <w:szCs w:val="21"/>
              </w:rPr>
              <w:t>之间</w:t>
            </w:r>
            <w:r>
              <w:rPr>
                <w:rFonts w:hint="eastAsia" w:ascii="宋体" w:hAnsi="宋体" w:cs="宋体"/>
                <w:kern w:val="0"/>
                <w:szCs w:val="21"/>
              </w:rPr>
              <w:t>支持</w:t>
            </w:r>
            <w:r>
              <w:fldChar w:fldCharType="begin"/>
            </w:r>
            <w:r>
              <w:instrText xml:space="preserve"> HYPERLINK \l "_支持与或非逻辑关联" </w:instrText>
            </w:r>
            <w:r>
              <w:fldChar w:fldCharType="separate"/>
            </w:r>
            <w:r>
              <w:rPr>
                <w:rFonts w:ascii="宋体" w:hAnsi="宋体" w:cs="宋体"/>
                <w:kern w:val="0"/>
                <w:szCs w:val="21"/>
              </w:rPr>
              <w:t>与或非逻辑</w:t>
            </w:r>
            <w:r>
              <w:rPr>
                <w:rFonts w:ascii="宋体" w:hAnsi="宋体" w:cs="宋体"/>
                <w:kern w:val="0"/>
                <w:szCs w:val="21"/>
              </w:rPr>
              <w:fldChar w:fldCharType="end"/>
            </w:r>
            <w:r>
              <w:rPr>
                <w:rFonts w:ascii="宋体" w:hAnsi="宋体" w:cs="宋体"/>
                <w:kern w:val="0"/>
                <w:szCs w:val="21"/>
              </w:rPr>
              <w:t>关系</w:t>
            </w:r>
            <w:r>
              <w:rPr>
                <w:rFonts w:hint="eastAsia" w:ascii="宋体" w:hAnsi="宋体" w:cs="宋体"/>
                <w:kern w:val="0"/>
                <w:szCs w:val="21"/>
              </w:rPr>
              <w:t>；</w:t>
            </w:r>
            <w:r>
              <w:rPr>
                <w:rFonts w:ascii="宋体" w:hAnsi="宋体" w:cs="宋体"/>
                <w:kern w:val="0"/>
                <w:szCs w:val="21"/>
              </w:rPr>
              <w:t xml:space="preserve"> </w:t>
            </w:r>
          </w:p>
          <w:p>
            <w:pPr>
              <w:spacing w:line="360" w:lineRule="auto"/>
              <w:jc w:val="left"/>
              <w:rPr>
                <w:rFonts w:ascii="宋体" w:hAnsi="宋体" w:cs="宋体"/>
                <w:kern w:val="0"/>
                <w:szCs w:val="21"/>
              </w:rPr>
            </w:pPr>
            <w:r>
              <w:rPr>
                <w:rFonts w:hint="eastAsia" w:ascii="宋体" w:hAnsi="宋体" w:cs="宋体"/>
                <w:kern w:val="0"/>
                <w:szCs w:val="21"/>
              </w:rPr>
              <w:t>告警</w:t>
            </w:r>
            <w:r>
              <w:rPr>
                <w:rFonts w:ascii="宋体" w:hAnsi="宋体" w:cs="宋体"/>
                <w:kern w:val="0"/>
                <w:szCs w:val="21"/>
              </w:rPr>
              <w:t>数量需</w:t>
            </w:r>
            <w:r>
              <w:fldChar w:fldCharType="begin"/>
            </w:r>
            <w:r>
              <w:instrText xml:space="preserve"> HYPERLINK \l "_最大告警数限制" </w:instrText>
            </w:r>
            <w:r>
              <w:fldChar w:fldCharType="separate"/>
            </w:r>
            <w:r>
              <w:rPr>
                <w:rFonts w:ascii="宋体" w:hAnsi="宋体" w:cs="宋体"/>
                <w:kern w:val="0"/>
                <w:szCs w:val="21"/>
              </w:rPr>
              <w:t>支持最大告警数量限制</w:t>
            </w:r>
            <w:r>
              <w:rPr>
                <w:rFonts w:ascii="宋体" w:hAnsi="宋体" w:cs="宋体"/>
                <w:kern w:val="0"/>
                <w:szCs w:val="21"/>
              </w:rPr>
              <w:fldChar w:fldCharType="end"/>
            </w:r>
            <w:r>
              <w:rPr>
                <w:rFonts w:ascii="宋体" w:hAnsi="宋体" w:cs="宋体"/>
                <w:kern w:val="0"/>
                <w:szCs w:val="21"/>
              </w:rPr>
              <w:t>，超过告警阈值之后便不告警</w:t>
            </w:r>
            <w:r>
              <w:rPr>
                <w:rFonts w:hint="eastAsia" w:ascii="宋体" w:hAnsi="宋体" w:cs="宋体"/>
                <w:kern w:val="0"/>
                <w:szCs w:val="21"/>
              </w:rPr>
              <w:t>；</w:t>
            </w:r>
          </w:p>
          <w:p>
            <w:pPr>
              <w:spacing w:line="360" w:lineRule="auto"/>
              <w:jc w:val="left"/>
              <w:rPr>
                <w:rFonts w:ascii="宋体" w:hAnsi="宋体" w:cs="宋体"/>
                <w:kern w:val="0"/>
                <w:szCs w:val="21"/>
              </w:rPr>
            </w:pPr>
            <w:r>
              <w:rPr>
                <w:rFonts w:hint="eastAsia" w:ascii="宋体" w:hAnsi="宋体" w:cs="宋体"/>
                <w:kern w:val="0"/>
                <w:szCs w:val="21"/>
              </w:rPr>
              <w:t>告警</w:t>
            </w:r>
            <w:r>
              <w:rPr>
                <w:rFonts w:ascii="宋体" w:hAnsi="宋体" w:cs="宋体"/>
                <w:kern w:val="0"/>
                <w:szCs w:val="21"/>
              </w:rPr>
              <w:t>查询应支持根据登陆用户、客户端工具名、</w:t>
            </w:r>
            <w:r>
              <w:rPr>
                <w:rFonts w:hint="eastAsia" w:ascii="宋体" w:hAnsi="宋体" w:cs="宋体"/>
                <w:kern w:val="0"/>
                <w:szCs w:val="21"/>
              </w:rPr>
              <w:t>客户端</w:t>
            </w:r>
            <w:r>
              <w:rPr>
                <w:rFonts w:ascii="宋体" w:hAnsi="宋体" w:cs="宋体"/>
                <w:kern w:val="0"/>
                <w:szCs w:val="21"/>
              </w:rPr>
              <w:t>IP、规则进行归并分析，能</w:t>
            </w:r>
            <w:r>
              <w:rPr>
                <w:rFonts w:hint="eastAsia" w:ascii="宋体" w:hAnsi="宋体" w:cs="宋体"/>
                <w:kern w:val="0"/>
                <w:szCs w:val="21"/>
              </w:rPr>
              <w:t>详细</w:t>
            </w:r>
            <w:r>
              <w:rPr>
                <w:rFonts w:ascii="宋体" w:hAnsi="宋体" w:cs="宋体"/>
                <w:kern w:val="0"/>
                <w:szCs w:val="21"/>
              </w:rPr>
              <w:t>展示每类告警占总告警数量百分比，便于告警分析处理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审计查询</w:t>
            </w:r>
          </w:p>
        </w:tc>
        <w:tc>
          <w:tcPr>
            <w:tcW w:w="6669" w:type="dxa"/>
            <w:vAlign w:val="center"/>
          </w:tcPr>
          <w:p>
            <w:pPr>
              <w:spacing w:line="360" w:lineRule="auto"/>
              <w:jc w:val="left"/>
              <w:rPr>
                <w:rFonts w:ascii="宋体" w:hAnsi="宋体" w:cs="宋体"/>
                <w:kern w:val="0"/>
                <w:szCs w:val="21"/>
              </w:rPr>
            </w:pPr>
            <w:r>
              <w:rPr>
                <w:rFonts w:hint="eastAsia" w:ascii="宋体" w:hAnsi="宋体" w:cs="宋体"/>
                <w:kern w:val="0"/>
                <w:szCs w:val="21"/>
              </w:rPr>
              <w:t>具有高效的查询性能，支持全数据库检索，检索效率高达亿条数据秒级响应。</w:t>
            </w:r>
          </w:p>
          <w:p>
            <w:pPr>
              <w:spacing w:line="360" w:lineRule="auto"/>
              <w:jc w:val="left"/>
              <w:rPr>
                <w:rFonts w:ascii="宋体" w:hAnsi="宋体" w:cs="宋体"/>
                <w:kern w:val="0"/>
                <w:szCs w:val="21"/>
              </w:rPr>
            </w:pPr>
            <w:r>
              <w:rPr>
                <w:rFonts w:hint="eastAsia" w:ascii="宋体" w:hAnsi="宋体" w:cs="宋体"/>
                <w:kern w:val="0"/>
                <w:szCs w:val="21"/>
              </w:rPr>
              <w:t>支持采用部分匹配模糊</w:t>
            </w:r>
            <w:r>
              <w:rPr>
                <w:rFonts w:ascii="宋体" w:hAnsi="宋体" w:cs="宋体"/>
                <w:kern w:val="0"/>
                <w:szCs w:val="21"/>
              </w:rPr>
              <w:t>查询</w:t>
            </w:r>
            <w:r>
              <w:rPr>
                <w:rFonts w:hint="eastAsia" w:ascii="宋体" w:hAnsi="宋体" w:cs="宋体"/>
                <w:kern w:val="0"/>
                <w:szCs w:val="21"/>
              </w:rPr>
              <w:t>方式检索审计日志</w:t>
            </w:r>
          </w:p>
          <w:p>
            <w:pPr>
              <w:spacing w:line="360" w:lineRule="auto"/>
              <w:jc w:val="left"/>
              <w:rPr>
                <w:rFonts w:ascii="宋体" w:hAnsi="宋体" w:cs="宋体"/>
                <w:kern w:val="0"/>
                <w:szCs w:val="21"/>
              </w:rPr>
            </w:pPr>
            <w:r>
              <w:rPr>
                <w:rFonts w:hint="eastAsia" w:ascii="宋体" w:hAnsi="宋体" w:cs="宋体"/>
                <w:kern w:val="0"/>
                <w:szCs w:val="21"/>
              </w:rPr>
              <w:t>支持基于数据库访问日期、时间、源/目的IP、来源、数据库名、数据库表名、字段值、数据库登陆账号、SQL关键词、数据库返回码、SQL响应时间、数据库操作类型、影响行数等条件的审计查询；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统计报表</w:t>
            </w:r>
          </w:p>
        </w:tc>
        <w:tc>
          <w:tcPr>
            <w:tcW w:w="6669" w:type="dxa"/>
            <w:vAlign w:val="center"/>
          </w:tcPr>
          <w:p>
            <w:pPr>
              <w:spacing w:line="360" w:lineRule="auto"/>
              <w:jc w:val="left"/>
              <w:rPr>
                <w:rFonts w:ascii="宋体" w:hAnsi="宋体" w:cs="宋体"/>
                <w:kern w:val="0"/>
                <w:szCs w:val="21"/>
              </w:rPr>
            </w:pPr>
            <w:r>
              <w:rPr>
                <w:rFonts w:hint="eastAsia" w:ascii="宋体" w:hAnsi="宋体" w:cs="宋体"/>
                <w:kern w:val="0"/>
                <w:szCs w:val="21"/>
              </w:rPr>
              <w:t>系统提供内置多种报表模板库</w:t>
            </w:r>
          </w:p>
          <w:p>
            <w:pPr>
              <w:spacing w:line="360" w:lineRule="auto"/>
              <w:jc w:val="left"/>
              <w:rPr>
                <w:rFonts w:ascii="宋体" w:hAnsi="宋体" w:cs="宋体"/>
                <w:kern w:val="0"/>
                <w:szCs w:val="21"/>
              </w:rPr>
            </w:pPr>
            <w:r>
              <w:rPr>
                <w:rFonts w:hint="eastAsia" w:ascii="宋体" w:hAnsi="宋体" w:cs="宋体"/>
                <w:kern w:val="0"/>
                <w:szCs w:val="21"/>
              </w:rPr>
              <w:t>报表支持严格按照塞班斯（SOX）法案、等级保护标准要求生成多维度综合报告；</w:t>
            </w:r>
          </w:p>
          <w:p>
            <w:pPr>
              <w:spacing w:line="360" w:lineRule="auto"/>
              <w:jc w:val="left"/>
              <w:rPr>
                <w:rFonts w:ascii="宋体" w:hAnsi="宋体" w:cs="宋体"/>
                <w:kern w:val="0"/>
                <w:szCs w:val="21"/>
              </w:rPr>
            </w:pPr>
            <w:r>
              <w:rPr>
                <w:rFonts w:hint="eastAsia" w:ascii="宋体" w:hAnsi="宋体" w:cs="宋体"/>
                <w:kern w:val="0"/>
                <w:szCs w:val="21"/>
              </w:rPr>
              <w:t>支持按照数据库访问行为生成报表，智能识别帐号的增删、权限变更、密码修改、特权操作等行为；</w:t>
            </w:r>
          </w:p>
          <w:p>
            <w:pPr>
              <w:spacing w:line="360" w:lineRule="auto"/>
              <w:jc w:val="left"/>
              <w:rPr>
                <w:rFonts w:ascii="宋体" w:hAnsi="宋体" w:cs="宋体"/>
                <w:kern w:val="0"/>
                <w:szCs w:val="21"/>
              </w:rPr>
            </w:pPr>
            <w:r>
              <w:rPr>
                <w:rFonts w:hint="eastAsia" w:ascii="宋体" w:hAnsi="宋体" w:cs="宋体"/>
                <w:kern w:val="0"/>
                <w:szCs w:val="21"/>
              </w:rPr>
              <w:t>支持按照时间曲线统计流量、在线用户数、并发会话、DDL操作数、DML操作数、执行量最多的SQL语句等报表；</w:t>
            </w:r>
            <w:r>
              <w:rPr>
                <w:rFonts w:ascii="宋体" w:hAnsi="宋体" w:cs="宋体"/>
                <w:kern w:val="0"/>
                <w:szCs w:val="21"/>
              </w:rPr>
              <w:t xml:space="preserve"> </w:t>
            </w:r>
          </w:p>
          <w:p>
            <w:pPr>
              <w:spacing w:line="360" w:lineRule="auto"/>
              <w:jc w:val="left"/>
              <w:rPr>
                <w:rFonts w:ascii="宋体" w:hAnsi="宋体" w:cs="宋体"/>
                <w:kern w:val="0"/>
                <w:szCs w:val="21"/>
              </w:rPr>
            </w:pPr>
            <w:r>
              <w:rPr>
                <w:rFonts w:hint="eastAsia" w:ascii="宋体" w:hAnsi="宋体" w:cs="宋体"/>
                <w:kern w:val="0"/>
                <w:szCs w:val="21"/>
              </w:rPr>
              <w:t>支持</w:t>
            </w:r>
            <w:r>
              <w:fldChar w:fldCharType="begin"/>
            </w:r>
            <w:r>
              <w:instrText xml:space="preserve"> HYPERLINK \l "_按性能分析" </w:instrText>
            </w:r>
            <w:r>
              <w:fldChar w:fldCharType="separate"/>
            </w:r>
            <w:r>
              <w:rPr>
                <w:rFonts w:ascii="宋体" w:hAnsi="宋体" w:cs="宋体"/>
                <w:kern w:val="0"/>
                <w:szCs w:val="21"/>
              </w:rPr>
              <w:t>性能</w:t>
            </w:r>
            <w:r>
              <w:rPr>
                <w:rFonts w:hint="eastAsia" w:ascii="宋体" w:hAnsi="宋体" w:cs="宋体"/>
                <w:kern w:val="0"/>
                <w:szCs w:val="21"/>
              </w:rPr>
              <w:t>分析</w:t>
            </w:r>
            <w:r>
              <w:rPr>
                <w:rFonts w:hint="eastAsia" w:ascii="宋体" w:hAnsi="宋体" w:cs="宋体"/>
                <w:kern w:val="0"/>
                <w:szCs w:val="21"/>
              </w:rPr>
              <w:fldChar w:fldCharType="end"/>
            </w:r>
            <w:r>
              <w:rPr>
                <w:rFonts w:hint="eastAsia" w:ascii="宋体" w:hAnsi="宋体" w:cs="宋体"/>
                <w:kern w:val="0"/>
                <w:szCs w:val="21"/>
              </w:rPr>
              <w:t>，准确提炼出SQL语句执行频率和执行时间异常的报表；</w:t>
            </w:r>
          </w:p>
          <w:p>
            <w:pPr>
              <w:spacing w:line="360" w:lineRule="auto"/>
              <w:jc w:val="left"/>
              <w:rPr>
                <w:rFonts w:ascii="宋体" w:hAnsi="宋体" w:cs="宋体"/>
                <w:kern w:val="0"/>
                <w:szCs w:val="21"/>
              </w:rPr>
            </w:pPr>
            <w:r>
              <w:rPr>
                <w:rFonts w:hint="eastAsia" w:ascii="宋体" w:hAnsi="宋体" w:cs="宋体"/>
                <w:kern w:val="0"/>
                <w:szCs w:val="21"/>
              </w:rPr>
              <w:t>支持</w:t>
            </w:r>
            <w:r>
              <w:fldChar w:fldCharType="begin"/>
            </w:r>
            <w:r>
              <w:instrText xml:space="preserve"> HYPERLINK \l "_导出格式" </w:instrText>
            </w:r>
            <w:r>
              <w:fldChar w:fldCharType="separate"/>
            </w:r>
            <w:r>
              <w:rPr>
                <w:rFonts w:hint="eastAsia" w:ascii="宋体" w:hAnsi="宋体" w:cs="宋体"/>
                <w:kern w:val="0"/>
                <w:szCs w:val="21"/>
              </w:rPr>
              <w:t>Word、PDF</w:t>
            </w:r>
            <w:r>
              <w:rPr>
                <w:rFonts w:hint="eastAsia" w:ascii="宋体" w:hAnsi="宋体" w:cs="宋体"/>
                <w:kern w:val="0"/>
                <w:szCs w:val="21"/>
              </w:rPr>
              <w:fldChar w:fldCharType="end"/>
            </w:r>
            <w:r>
              <w:rPr>
                <w:rFonts w:hint="eastAsia" w:ascii="宋体" w:hAnsi="宋体" w:cs="宋体"/>
                <w:kern w:val="0"/>
                <w:szCs w:val="21"/>
              </w:rPr>
              <w:t>等格式的报表导出；</w:t>
            </w:r>
          </w:p>
          <w:p>
            <w:pPr>
              <w:spacing w:line="360" w:lineRule="auto"/>
              <w:jc w:val="left"/>
              <w:rPr>
                <w:rFonts w:ascii="宋体" w:hAnsi="宋体" w:cs="宋体"/>
                <w:kern w:val="0"/>
                <w:szCs w:val="21"/>
              </w:rPr>
            </w:pPr>
            <w:r>
              <w:rPr>
                <w:rFonts w:hint="eastAsia" w:ascii="宋体" w:hAnsi="宋体" w:cs="宋体"/>
                <w:kern w:val="0"/>
                <w:szCs w:val="21"/>
              </w:rPr>
              <w:t>支持</w:t>
            </w:r>
            <w:r>
              <w:fldChar w:fldCharType="begin"/>
            </w:r>
            <w:r>
              <w:instrText xml:space="preserve"> HYPERLINK \l "_报表自定义" </w:instrText>
            </w:r>
            <w:r>
              <w:fldChar w:fldCharType="separate"/>
            </w:r>
            <w:r>
              <w:rPr>
                <w:rFonts w:hint="eastAsia" w:ascii="宋体" w:hAnsi="宋体" w:cs="宋体"/>
                <w:kern w:val="0"/>
                <w:szCs w:val="21"/>
              </w:rPr>
              <w:t>报表自定义</w:t>
            </w:r>
            <w:r>
              <w:rPr>
                <w:rFonts w:hint="eastAsia" w:ascii="宋体" w:hAnsi="宋体" w:cs="宋体"/>
                <w:kern w:val="0"/>
                <w:szCs w:val="21"/>
              </w:rPr>
              <w:fldChar w:fldCharType="end"/>
            </w:r>
            <w:r>
              <w:rPr>
                <w:rFonts w:hint="eastAsia" w:ascii="宋体" w:hAnsi="宋体" w:cs="宋体"/>
                <w:kern w:val="0"/>
                <w:szCs w:val="21"/>
              </w:rPr>
              <w:t>。</w:t>
            </w:r>
            <w:r>
              <w:rPr>
                <w:rFonts w:ascii="宋体" w:hAnsi="宋体" w:cs="宋体"/>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Align w:val="center"/>
          </w:tcPr>
          <w:p>
            <w:pPr>
              <w:widowControl/>
              <w:spacing w:line="360" w:lineRule="auto"/>
              <w:jc w:val="left"/>
              <w:rPr>
                <w:rFonts w:ascii="宋体" w:hAnsi="宋体" w:cs="宋体"/>
                <w:kern w:val="0"/>
                <w:szCs w:val="21"/>
              </w:rPr>
            </w:pPr>
            <w:r>
              <w:rPr>
                <w:rFonts w:hint="eastAsia" w:ascii="宋体" w:hAnsi="宋体" w:cs="宋体"/>
                <w:kern w:val="0"/>
                <w:szCs w:val="21"/>
              </w:rPr>
              <w:t>系统管理</w:t>
            </w:r>
          </w:p>
        </w:tc>
        <w:tc>
          <w:tcPr>
            <w:tcW w:w="6669" w:type="dxa"/>
            <w:vAlign w:val="center"/>
          </w:tcPr>
          <w:p>
            <w:pPr>
              <w:spacing w:line="360" w:lineRule="auto"/>
              <w:jc w:val="left"/>
              <w:rPr>
                <w:rFonts w:ascii="宋体" w:hAnsi="宋体" w:cs="宋体"/>
                <w:kern w:val="0"/>
                <w:szCs w:val="21"/>
              </w:rPr>
            </w:pPr>
            <w:r>
              <w:rPr>
                <w:rFonts w:hint="eastAsia" w:ascii="宋体" w:hAnsi="宋体" w:cs="宋体"/>
                <w:kern w:val="0"/>
                <w:szCs w:val="21"/>
              </w:rPr>
              <w:t>支持用户界面告警、Syslog、SNMP、邮件、短信、</w:t>
            </w:r>
            <w:r>
              <w:rPr>
                <w:rFonts w:ascii="宋体" w:hAnsi="宋体" w:cs="宋体"/>
                <w:kern w:val="0"/>
                <w:szCs w:val="21"/>
              </w:rPr>
              <w:t>ftp</w:t>
            </w:r>
            <w:r>
              <w:rPr>
                <w:rFonts w:hint="eastAsia" w:ascii="宋体" w:hAnsi="宋体" w:cs="宋体"/>
                <w:kern w:val="0"/>
                <w:szCs w:val="21"/>
              </w:rPr>
              <w:t>六种方式告警；</w:t>
            </w:r>
          </w:p>
          <w:p>
            <w:pPr>
              <w:spacing w:line="360" w:lineRule="auto"/>
              <w:jc w:val="left"/>
              <w:rPr>
                <w:rFonts w:ascii="宋体" w:hAnsi="宋体" w:cs="宋体"/>
                <w:kern w:val="0"/>
                <w:szCs w:val="21"/>
              </w:rPr>
            </w:pPr>
            <w:r>
              <w:rPr>
                <w:rFonts w:hint="eastAsia" w:ascii="宋体" w:hAnsi="宋体" w:cs="宋体"/>
                <w:kern w:val="0"/>
                <w:szCs w:val="21"/>
              </w:rPr>
              <w:t>采用B/S架构管理，</w:t>
            </w:r>
            <w:r>
              <w:fldChar w:fldCharType="begin"/>
            </w:r>
            <w:r>
              <w:instrText xml:space="preserve"> HYPERLINK \l "_中英文切换" </w:instrText>
            </w:r>
            <w:r>
              <w:fldChar w:fldCharType="separate"/>
            </w:r>
            <w:r>
              <w:rPr>
                <w:rFonts w:hint="eastAsia" w:ascii="宋体" w:hAnsi="宋体" w:cs="宋体"/>
                <w:kern w:val="0"/>
                <w:szCs w:val="21"/>
              </w:rPr>
              <w:t>支持中英文两种管理界面</w:t>
            </w:r>
            <w:r>
              <w:rPr>
                <w:rFonts w:hint="eastAsia" w:ascii="宋体" w:hAnsi="宋体" w:cs="宋体"/>
                <w:kern w:val="0"/>
                <w:szCs w:val="21"/>
              </w:rPr>
              <w:fldChar w:fldCharType="end"/>
            </w:r>
          </w:p>
          <w:p>
            <w:pPr>
              <w:spacing w:line="360" w:lineRule="auto"/>
              <w:jc w:val="left"/>
              <w:rPr>
                <w:rFonts w:ascii="宋体" w:hAnsi="宋体" w:cs="宋体"/>
                <w:kern w:val="0"/>
                <w:szCs w:val="21"/>
              </w:rPr>
            </w:pPr>
            <w:r>
              <w:rPr>
                <w:rFonts w:hint="eastAsia" w:ascii="宋体" w:hAnsi="宋体" w:cs="宋体"/>
                <w:kern w:val="0"/>
                <w:szCs w:val="21"/>
              </w:rPr>
              <w:t>支持</w:t>
            </w:r>
            <w:r>
              <w:fldChar w:fldCharType="begin"/>
            </w:r>
            <w:r>
              <w:instrText xml:space="preserve"> HYPERLINK \l "_系统安全配置" </w:instrText>
            </w:r>
            <w:r>
              <w:fldChar w:fldCharType="separate"/>
            </w:r>
            <w:r>
              <w:rPr>
                <w:rFonts w:hint="eastAsia" w:ascii="宋体" w:hAnsi="宋体" w:cs="宋体"/>
                <w:kern w:val="0"/>
                <w:szCs w:val="21"/>
              </w:rPr>
              <w:t>系统安全配置</w:t>
            </w:r>
            <w:r>
              <w:rPr>
                <w:rFonts w:hint="eastAsia" w:ascii="宋体" w:hAnsi="宋体" w:cs="宋体"/>
                <w:kern w:val="0"/>
                <w:szCs w:val="21"/>
              </w:rPr>
              <w:fldChar w:fldCharType="end"/>
            </w:r>
            <w:r>
              <w:rPr>
                <w:rFonts w:hint="eastAsia" w:ascii="宋体" w:hAnsi="宋体" w:cs="宋体"/>
                <w:kern w:val="0"/>
                <w:szCs w:val="21"/>
              </w:rPr>
              <w:t>（会话锁定、超时退出、IP地址访问控制、密码复杂性管理、验证码登陆等措施）</w:t>
            </w:r>
          </w:p>
          <w:p>
            <w:pPr>
              <w:spacing w:line="360" w:lineRule="auto"/>
              <w:jc w:val="left"/>
              <w:rPr>
                <w:rFonts w:ascii="宋体" w:hAnsi="宋体" w:cs="宋体"/>
                <w:kern w:val="0"/>
                <w:szCs w:val="21"/>
              </w:rPr>
            </w:pPr>
            <w:r>
              <w:rPr>
                <w:rFonts w:hint="eastAsia" w:ascii="宋体" w:hAnsi="宋体" w:cs="宋体"/>
                <w:kern w:val="0"/>
                <w:szCs w:val="21"/>
              </w:rPr>
              <w:t>支持</w:t>
            </w:r>
            <w:r>
              <w:fldChar w:fldCharType="begin"/>
            </w:r>
            <w:r>
              <w:instrText xml:space="preserve"> HYPERLINK \l "_NTP、SNMP" </w:instrText>
            </w:r>
            <w:r>
              <w:fldChar w:fldCharType="separate"/>
            </w:r>
            <w:r>
              <w:rPr>
                <w:rFonts w:hint="eastAsia" w:ascii="宋体" w:hAnsi="宋体" w:cs="宋体"/>
                <w:kern w:val="0"/>
                <w:szCs w:val="21"/>
              </w:rPr>
              <w:t>NTP时间同步、SNMP</w:t>
            </w:r>
            <w:r>
              <w:rPr>
                <w:rFonts w:hint="eastAsia" w:ascii="宋体" w:hAnsi="宋体" w:cs="宋体"/>
                <w:kern w:val="0"/>
                <w:szCs w:val="21"/>
              </w:rPr>
              <w:fldChar w:fldCharType="end"/>
            </w:r>
            <w:r>
              <w:rPr>
                <w:rFonts w:hint="eastAsia" w:ascii="宋体" w:hAnsi="宋体" w:cs="宋体"/>
                <w:kern w:val="0"/>
                <w:szCs w:val="21"/>
              </w:rPr>
              <w:t>(v1、V2、V3)网络管理协议</w:t>
            </w:r>
          </w:p>
        </w:tc>
      </w:tr>
    </w:tbl>
    <w:p>
      <w:pPr>
        <w:pStyle w:val="71"/>
        <w:spacing w:line="360" w:lineRule="auto"/>
        <w:ind w:firstLine="420"/>
        <w:rPr>
          <w:rFonts w:ascii="宋体" w:hAnsi="宋体"/>
          <w:kern w:val="2"/>
          <w:sz w:val="24"/>
          <w:szCs w:val="24"/>
        </w:rPr>
      </w:pPr>
    </w:p>
    <w:p>
      <w:pPr>
        <w:pStyle w:val="71"/>
        <w:spacing w:line="360" w:lineRule="auto"/>
        <w:rPr>
          <w:rFonts w:ascii="宋体" w:hAnsi="宋体"/>
          <w:b/>
          <w:kern w:val="2"/>
          <w:sz w:val="24"/>
          <w:szCs w:val="24"/>
        </w:rPr>
      </w:pPr>
      <w:r>
        <w:rPr>
          <w:rFonts w:hint="eastAsia" w:ascii="宋体" w:hAnsi="宋体"/>
          <w:b/>
          <w:kern w:val="2"/>
          <w:sz w:val="24"/>
          <w:szCs w:val="24"/>
        </w:rPr>
        <w:t>3</w:t>
      </w:r>
      <w:r>
        <w:rPr>
          <w:rFonts w:ascii="宋体" w:hAnsi="宋体"/>
          <w:b/>
          <w:kern w:val="2"/>
          <w:sz w:val="24"/>
          <w:szCs w:val="24"/>
        </w:rPr>
        <w:t>.15</w:t>
      </w:r>
      <w:r>
        <w:rPr>
          <w:rFonts w:hint="eastAsia" w:ascii="宋体" w:hAnsi="宋体"/>
          <w:b/>
          <w:kern w:val="2"/>
          <w:sz w:val="24"/>
          <w:szCs w:val="24"/>
        </w:rPr>
        <w:t>准入控制系统（</w:t>
      </w:r>
      <w:r>
        <w:rPr>
          <w:rFonts w:ascii="宋体" w:hAnsi="宋体"/>
          <w:b/>
          <w:kern w:val="2"/>
          <w:sz w:val="24"/>
          <w:szCs w:val="24"/>
        </w:rPr>
        <w:t>1</w:t>
      </w:r>
      <w:r>
        <w:rPr>
          <w:rFonts w:hint="eastAsia" w:ascii="宋体" w:hAnsi="宋体"/>
          <w:b/>
          <w:kern w:val="2"/>
          <w:sz w:val="24"/>
          <w:szCs w:val="24"/>
        </w:rPr>
        <w:t>台）</w:t>
      </w:r>
    </w:p>
    <w:tbl>
      <w:tblPr>
        <w:tblStyle w:val="23"/>
        <w:tblW w:w="8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1"/>
        <w:gridCol w:w="6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861" w:type="dxa"/>
            <w:shd w:val="clear" w:color="000000" w:fill="auto"/>
            <w:vAlign w:val="center"/>
          </w:tcPr>
          <w:p>
            <w:pPr>
              <w:spacing w:line="360" w:lineRule="auto"/>
              <w:jc w:val="center"/>
              <w:rPr>
                <w:rFonts w:ascii="宋体" w:hAnsi="宋体"/>
                <w:b/>
                <w:szCs w:val="21"/>
              </w:rPr>
            </w:pPr>
            <w:r>
              <w:rPr>
                <w:rFonts w:ascii="宋体" w:hAnsi="宋体"/>
                <w:b/>
                <w:szCs w:val="21"/>
              </w:rPr>
              <w:t>指标项</w:t>
            </w:r>
          </w:p>
        </w:tc>
        <w:tc>
          <w:tcPr>
            <w:tcW w:w="6669" w:type="dxa"/>
            <w:shd w:val="clear" w:color="000000" w:fill="auto"/>
            <w:vAlign w:val="center"/>
          </w:tcPr>
          <w:p>
            <w:pPr>
              <w:spacing w:line="360" w:lineRule="auto"/>
              <w:jc w:val="center"/>
              <w:rPr>
                <w:rFonts w:ascii="宋体" w:hAnsi="宋体"/>
                <w:b/>
                <w:szCs w:val="21"/>
              </w:rPr>
            </w:pPr>
            <w:r>
              <w:rPr>
                <w:rFonts w:hint="eastAsia" w:ascii="宋体" w:hAnsi="宋体"/>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61" w:type="dxa"/>
            <w:vAlign w:val="center"/>
          </w:tcPr>
          <w:p>
            <w:pPr>
              <w:widowControl/>
              <w:spacing w:line="360" w:lineRule="auto"/>
              <w:jc w:val="left"/>
              <w:rPr>
                <w:rFonts w:ascii="宋体" w:hAnsi="宋体" w:cs="宋体"/>
                <w:bCs/>
                <w:kern w:val="0"/>
                <w:szCs w:val="21"/>
              </w:rPr>
            </w:pPr>
            <w:r>
              <w:rPr>
                <w:rFonts w:hint="eastAsia" w:ascii="宋体" w:hAnsi="宋体"/>
                <w:bCs/>
                <w:kern w:val="0"/>
                <w:szCs w:val="21"/>
              </w:rPr>
              <w:t>规格要求</w:t>
            </w:r>
          </w:p>
        </w:tc>
        <w:tc>
          <w:tcPr>
            <w:tcW w:w="6669" w:type="dxa"/>
            <w:vAlign w:val="center"/>
          </w:tcPr>
          <w:p>
            <w:pPr>
              <w:pStyle w:val="32"/>
              <w:spacing w:line="360" w:lineRule="auto"/>
              <w:ind w:firstLine="0" w:firstLineChars="0"/>
              <w:rPr>
                <w:rFonts w:ascii="宋体" w:hAnsi="宋体"/>
                <w:bCs/>
                <w:kern w:val="0"/>
                <w:szCs w:val="21"/>
              </w:rPr>
            </w:pPr>
            <w:r>
              <w:rPr>
                <w:rFonts w:ascii="宋体" w:hAnsi="宋体"/>
                <w:bCs/>
                <w:kern w:val="0"/>
                <w:szCs w:val="21"/>
              </w:rPr>
              <w:t>1U</w:t>
            </w:r>
            <w:r>
              <w:rPr>
                <w:rFonts w:hint="eastAsia" w:ascii="宋体" w:hAnsi="宋体"/>
                <w:bCs/>
                <w:kern w:val="0"/>
                <w:szCs w:val="21"/>
              </w:rPr>
              <w:t>硬件</w:t>
            </w:r>
            <w:r>
              <w:rPr>
                <w:rFonts w:ascii="宋体" w:hAnsi="宋体"/>
                <w:bCs/>
                <w:kern w:val="0"/>
                <w:szCs w:val="21"/>
              </w:rPr>
              <w:t>设备</w:t>
            </w:r>
            <w:r>
              <w:rPr>
                <w:rFonts w:hint="eastAsia" w:ascii="宋体" w:hAnsi="宋体"/>
                <w:bCs/>
                <w:kern w:val="0"/>
                <w:szCs w:val="21"/>
              </w:rPr>
              <w:t>，网络接口：至少具备</w:t>
            </w:r>
            <w:r>
              <w:rPr>
                <w:rFonts w:ascii="宋体" w:hAnsi="宋体"/>
                <w:bCs/>
                <w:kern w:val="0"/>
                <w:szCs w:val="21"/>
              </w:rPr>
              <w:t>6*1000Mbps RJ45；可控上限：500 User；</w:t>
            </w:r>
          </w:p>
          <w:p>
            <w:pPr>
              <w:widowControl/>
              <w:spacing w:line="360" w:lineRule="auto"/>
              <w:jc w:val="left"/>
              <w:rPr>
                <w:rFonts w:ascii="宋体" w:hAnsi="宋体" w:cs="宋体"/>
                <w:bCs/>
                <w:kern w:val="0"/>
                <w:szCs w:val="21"/>
              </w:rPr>
            </w:pPr>
            <w:r>
              <w:rPr>
                <w:rFonts w:ascii="宋体" w:hAnsi="宋体"/>
                <w:bCs/>
                <w:kern w:val="0"/>
                <w:szCs w:val="21"/>
              </w:rPr>
              <w:t>接口：2个USB2.0接口、1个RJ45串口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61" w:type="dxa"/>
            <w:vAlign w:val="center"/>
          </w:tcPr>
          <w:p>
            <w:pPr>
              <w:widowControl/>
              <w:spacing w:line="360" w:lineRule="auto"/>
              <w:jc w:val="left"/>
              <w:rPr>
                <w:rFonts w:ascii="宋体" w:hAnsi="宋体"/>
                <w:bCs/>
                <w:kern w:val="0"/>
                <w:szCs w:val="21"/>
              </w:rPr>
            </w:pPr>
            <w:r>
              <w:rPr>
                <w:rFonts w:hint="eastAsia" w:ascii="宋体" w:hAnsi="宋体"/>
                <w:bCs/>
                <w:kern w:val="0"/>
                <w:szCs w:val="21"/>
              </w:rPr>
              <w:t>系统架构</w:t>
            </w:r>
          </w:p>
        </w:tc>
        <w:tc>
          <w:tcPr>
            <w:tcW w:w="6669" w:type="dxa"/>
            <w:vAlign w:val="center"/>
          </w:tcPr>
          <w:p>
            <w:pPr>
              <w:pStyle w:val="32"/>
              <w:spacing w:line="360" w:lineRule="auto"/>
              <w:ind w:firstLine="0" w:firstLineChars="0"/>
              <w:rPr>
                <w:rFonts w:ascii="宋体" w:hAnsi="宋体"/>
                <w:bCs/>
                <w:kern w:val="0"/>
                <w:szCs w:val="21"/>
              </w:rPr>
            </w:pPr>
            <w:r>
              <w:rPr>
                <w:rFonts w:hint="eastAsia" w:ascii="宋体" w:hAnsi="宋体"/>
                <w:bCs/>
                <w:kern w:val="0"/>
                <w:szCs w:val="21"/>
              </w:rPr>
              <w:t>标准采用B/S架构，便利易操作管理设计；</w:t>
            </w:r>
          </w:p>
          <w:p>
            <w:pPr>
              <w:pStyle w:val="32"/>
              <w:spacing w:line="360" w:lineRule="auto"/>
              <w:ind w:firstLine="0" w:firstLineChars="0"/>
              <w:rPr>
                <w:rFonts w:ascii="宋体" w:hAnsi="宋体"/>
                <w:kern w:val="0"/>
                <w:szCs w:val="21"/>
              </w:rPr>
            </w:pPr>
            <w:r>
              <w:rPr>
                <w:rFonts w:hint="eastAsia" w:ascii="宋体" w:hAnsi="宋体"/>
                <w:kern w:val="0"/>
                <w:szCs w:val="21"/>
              </w:rPr>
              <w:t>提供断电保护机制，如心跳、B</w:t>
            </w:r>
            <w:r>
              <w:rPr>
                <w:rFonts w:ascii="宋体" w:hAnsi="宋体"/>
                <w:kern w:val="0"/>
                <w:szCs w:val="21"/>
              </w:rPr>
              <w:t>ypass</w:t>
            </w:r>
            <w:r>
              <w:rPr>
                <w:rFonts w:hint="eastAsia" w:ascii="宋体" w:hAnsi="宋体"/>
                <w:kern w:val="0"/>
                <w:szCs w:val="21"/>
              </w:rPr>
              <w:t>等，确保异常时网络不受影响。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61" w:type="dxa"/>
            <w:vAlign w:val="center"/>
          </w:tcPr>
          <w:p>
            <w:pPr>
              <w:widowControl/>
              <w:spacing w:line="360" w:lineRule="auto"/>
              <w:jc w:val="left"/>
              <w:rPr>
                <w:rFonts w:ascii="宋体" w:hAnsi="宋体"/>
                <w:bCs/>
                <w:kern w:val="0"/>
                <w:szCs w:val="21"/>
              </w:rPr>
            </w:pPr>
            <w:r>
              <w:rPr>
                <w:rFonts w:hint="eastAsia" w:ascii="宋体" w:hAnsi="宋体"/>
                <w:bCs/>
                <w:kern w:val="0"/>
                <w:szCs w:val="21"/>
              </w:rPr>
              <w:t>部署要求</w:t>
            </w:r>
          </w:p>
        </w:tc>
        <w:tc>
          <w:tcPr>
            <w:tcW w:w="6669" w:type="dxa"/>
            <w:vAlign w:val="center"/>
          </w:tcPr>
          <w:p>
            <w:pPr>
              <w:pStyle w:val="32"/>
              <w:spacing w:line="360" w:lineRule="auto"/>
              <w:ind w:firstLine="0" w:firstLineChars="0"/>
              <w:rPr>
                <w:rFonts w:ascii="宋体" w:hAnsi="宋体"/>
                <w:bCs/>
                <w:kern w:val="0"/>
                <w:szCs w:val="21"/>
              </w:rPr>
            </w:pPr>
            <w:r>
              <w:rPr>
                <w:rFonts w:hint="eastAsia" w:ascii="宋体" w:hAnsi="宋体"/>
                <w:bCs/>
                <w:kern w:val="0"/>
                <w:szCs w:val="21"/>
              </w:rPr>
              <w:t>设备支持旁路部署方式，避免串行设备部署导致单点故障</w:t>
            </w:r>
          </w:p>
          <w:p>
            <w:pPr>
              <w:pStyle w:val="32"/>
              <w:spacing w:line="360" w:lineRule="auto"/>
              <w:ind w:firstLine="0" w:firstLineChars="0"/>
              <w:rPr>
                <w:rFonts w:ascii="宋体" w:hAnsi="宋体"/>
                <w:bCs/>
                <w:kern w:val="0"/>
                <w:szCs w:val="21"/>
              </w:rPr>
            </w:pPr>
            <w:r>
              <w:rPr>
                <w:rFonts w:ascii="宋体" w:hAnsi="宋体"/>
                <w:bCs/>
                <w:kern w:val="0"/>
                <w:szCs w:val="21"/>
              </w:rPr>
              <w:t>设备部署过程中不改变原有网络结构及网络、安全等设备的配置；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61" w:type="dxa"/>
            <w:vAlign w:val="center"/>
          </w:tcPr>
          <w:p>
            <w:pPr>
              <w:pStyle w:val="32"/>
              <w:spacing w:line="360" w:lineRule="auto"/>
              <w:ind w:firstLine="0" w:firstLineChars="0"/>
              <w:rPr>
                <w:rFonts w:ascii="宋体" w:hAnsi="宋体"/>
                <w:bCs/>
                <w:kern w:val="0"/>
                <w:szCs w:val="21"/>
              </w:rPr>
            </w:pPr>
            <w:r>
              <w:rPr>
                <w:rFonts w:hint="eastAsia" w:ascii="宋体" w:hAnsi="宋体"/>
                <w:bCs/>
                <w:kern w:val="0"/>
                <w:szCs w:val="21"/>
              </w:rPr>
              <w:t>准入技术</w:t>
            </w:r>
          </w:p>
        </w:tc>
        <w:tc>
          <w:tcPr>
            <w:tcW w:w="6669" w:type="dxa"/>
            <w:vAlign w:val="center"/>
          </w:tcPr>
          <w:p>
            <w:pPr>
              <w:pStyle w:val="32"/>
              <w:spacing w:line="360" w:lineRule="auto"/>
              <w:ind w:firstLine="0" w:firstLineChars="0"/>
              <w:rPr>
                <w:rFonts w:ascii="宋体" w:hAnsi="宋体"/>
                <w:bCs/>
                <w:kern w:val="0"/>
                <w:szCs w:val="21"/>
              </w:rPr>
            </w:pPr>
            <w:r>
              <w:rPr>
                <w:rFonts w:ascii="宋体" w:hAnsi="宋体"/>
                <w:bCs/>
                <w:kern w:val="0"/>
                <w:szCs w:val="21"/>
              </w:rPr>
              <w:t>针对复杂的网络接入环境，准入技术支持单独或组合使用的方式同时使用；</w:t>
            </w:r>
          </w:p>
          <w:p>
            <w:pPr>
              <w:pStyle w:val="32"/>
              <w:spacing w:line="360" w:lineRule="auto"/>
              <w:ind w:firstLine="0" w:firstLineChars="0"/>
              <w:rPr>
                <w:rFonts w:ascii="宋体" w:hAnsi="宋体"/>
                <w:bCs/>
                <w:kern w:val="0"/>
                <w:szCs w:val="21"/>
              </w:rPr>
            </w:pPr>
            <w:r>
              <w:rPr>
                <w:rFonts w:ascii="宋体" w:hAnsi="宋体"/>
                <w:bCs/>
                <w:kern w:val="0"/>
                <w:szCs w:val="21"/>
              </w:rPr>
              <w:t>可对网络划分不同的网络访问范围，至少能够划分合法用户访问范围、安全隔离用户访问范围、来宾用户访问范围，各范围可以根据实际需要进行修改；</w:t>
            </w:r>
          </w:p>
          <w:p>
            <w:pPr>
              <w:pStyle w:val="32"/>
              <w:spacing w:line="360" w:lineRule="auto"/>
              <w:ind w:firstLine="0" w:firstLineChars="0"/>
              <w:rPr>
                <w:rFonts w:ascii="宋体" w:hAnsi="宋体"/>
                <w:bCs/>
                <w:kern w:val="0"/>
                <w:szCs w:val="21"/>
              </w:rPr>
            </w:pPr>
            <w:r>
              <w:rPr>
                <w:rFonts w:ascii="宋体" w:hAnsi="宋体"/>
                <w:bCs/>
                <w:kern w:val="0"/>
                <w:szCs w:val="21"/>
              </w:rPr>
              <w:t>支持拓扑发现及展现功能，并可进行拓扑图的自定义绘制；</w:t>
            </w:r>
          </w:p>
          <w:p>
            <w:pPr>
              <w:pStyle w:val="20"/>
              <w:spacing w:line="360" w:lineRule="auto"/>
              <w:rPr>
                <w:rFonts w:ascii="宋体" w:hAnsi="宋体"/>
                <w:b w:val="0"/>
                <w:kern w:val="0"/>
                <w:szCs w:val="21"/>
              </w:rPr>
            </w:pPr>
            <w:r>
              <w:rPr>
                <w:rFonts w:ascii="宋体" w:hAnsi="宋体"/>
                <w:b w:val="0"/>
                <w:kern w:val="0"/>
                <w:szCs w:val="21"/>
              </w:rPr>
              <w:t>支持重定向引导页面并能够详细描述被准入的原因。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61" w:type="dxa"/>
            <w:vAlign w:val="center"/>
          </w:tcPr>
          <w:p>
            <w:pPr>
              <w:pStyle w:val="32"/>
              <w:spacing w:line="360" w:lineRule="auto"/>
              <w:ind w:firstLine="0" w:firstLineChars="0"/>
              <w:rPr>
                <w:rFonts w:ascii="宋体" w:hAnsi="宋体"/>
                <w:bCs/>
                <w:kern w:val="0"/>
                <w:szCs w:val="21"/>
              </w:rPr>
            </w:pPr>
            <w:r>
              <w:rPr>
                <w:rFonts w:hint="eastAsia" w:ascii="宋体" w:hAnsi="宋体"/>
                <w:bCs/>
                <w:kern w:val="0"/>
                <w:szCs w:val="21"/>
              </w:rPr>
              <w:t>违规外联管理</w:t>
            </w:r>
          </w:p>
        </w:tc>
        <w:tc>
          <w:tcPr>
            <w:tcW w:w="6669" w:type="dxa"/>
            <w:vAlign w:val="center"/>
          </w:tcPr>
          <w:p>
            <w:pPr>
              <w:pStyle w:val="32"/>
              <w:spacing w:line="360" w:lineRule="auto"/>
              <w:ind w:firstLine="0" w:firstLineChars="0"/>
              <w:rPr>
                <w:rFonts w:ascii="宋体" w:hAnsi="宋体"/>
                <w:bCs/>
                <w:kern w:val="0"/>
                <w:szCs w:val="21"/>
              </w:rPr>
            </w:pPr>
            <w:r>
              <w:rPr>
                <w:rFonts w:ascii="宋体" w:hAnsi="宋体"/>
                <w:bCs/>
                <w:kern w:val="0"/>
                <w:szCs w:val="21"/>
              </w:rPr>
              <w:t>能够及时发现终端发生违规外联或具备外联的能力；</w:t>
            </w:r>
          </w:p>
          <w:p>
            <w:pPr>
              <w:pStyle w:val="32"/>
              <w:spacing w:line="360" w:lineRule="auto"/>
              <w:ind w:firstLine="0" w:firstLineChars="0"/>
              <w:rPr>
                <w:rFonts w:ascii="宋体" w:hAnsi="宋体"/>
                <w:bCs/>
                <w:kern w:val="0"/>
                <w:szCs w:val="21"/>
              </w:rPr>
            </w:pPr>
            <w:r>
              <w:rPr>
                <w:rFonts w:ascii="宋体" w:hAnsi="宋体"/>
                <w:bCs/>
                <w:kern w:val="0"/>
                <w:szCs w:val="21"/>
              </w:rPr>
              <w:t>违规外联后能够对违规终端进行报警提示操作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1861" w:type="dxa"/>
            <w:vMerge w:val="restart"/>
            <w:vAlign w:val="center"/>
          </w:tcPr>
          <w:p>
            <w:pPr>
              <w:widowControl/>
              <w:spacing w:line="360" w:lineRule="auto"/>
              <w:jc w:val="left"/>
              <w:rPr>
                <w:rFonts w:ascii="宋体" w:hAnsi="宋体" w:cs="宋体"/>
                <w:b/>
                <w:bCs/>
                <w:kern w:val="0"/>
                <w:sz w:val="20"/>
              </w:rPr>
            </w:pPr>
            <w:r>
              <w:rPr>
                <w:rFonts w:hint="eastAsia" w:ascii="宋体" w:hAnsi="宋体"/>
                <w:bCs/>
                <w:szCs w:val="21"/>
              </w:rPr>
              <w:t>联动能力</w:t>
            </w:r>
          </w:p>
        </w:tc>
        <w:tc>
          <w:tcPr>
            <w:tcW w:w="6669" w:type="dxa"/>
            <w:vAlign w:val="center"/>
          </w:tcPr>
          <w:p>
            <w:pPr>
              <w:pStyle w:val="32"/>
              <w:spacing w:line="360" w:lineRule="auto"/>
              <w:ind w:firstLine="0" w:firstLineChars="0"/>
              <w:rPr>
                <w:rFonts w:ascii="宋体" w:hAnsi="宋体"/>
                <w:bCs/>
                <w:kern w:val="0"/>
                <w:szCs w:val="21"/>
              </w:rPr>
            </w:pPr>
            <w:r>
              <w:rPr>
                <w:rFonts w:hint="eastAsia" w:ascii="宋体" w:hAnsi="宋体"/>
                <w:bCs/>
                <w:kern w:val="0"/>
                <w:szCs w:val="21"/>
              </w:rPr>
              <w:t>支持与终端管理联动能力，支持大面积自动化部署终端管理，保证终端管理的安装覆盖率，防止卸载，规范终端入网流程，保障终端入网的安全可信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1861" w:type="dxa"/>
            <w:vMerge w:val="continue"/>
            <w:vAlign w:val="center"/>
          </w:tcPr>
          <w:p>
            <w:pPr>
              <w:widowControl/>
              <w:jc w:val="left"/>
              <w:rPr>
                <w:rFonts w:ascii="宋体" w:hAnsi="宋体" w:cs="宋体"/>
                <w:b/>
                <w:bCs/>
                <w:kern w:val="0"/>
                <w:sz w:val="20"/>
              </w:rPr>
            </w:pPr>
          </w:p>
        </w:tc>
        <w:tc>
          <w:tcPr>
            <w:tcW w:w="6669" w:type="dxa"/>
            <w:vAlign w:val="center"/>
          </w:tcPr>
          <w:p>
            <w:pPr>
              <w:pStyle w:val="32"/>
              <w:spacing w:line="360" w:lineRule="auto"/>
              <w:ind w:firstLine="0" w:firstLineChars="0"/>
              <w:rPr>
                <w:rFonts w:ascii="宋体" w:hAnsi="宋体"/>
                <w:bCs/>
                <w:kern w:val="0"/>
                <w:szCs w:val="21"/>
              </w:rPr>
            </w:pPr>
            <w:r>
              <w:rPr>
                <w:rFonts w:hint="eastAsia" w:ascii="宋体" w:hAnsi="宋体"/>
                <w:bCs/>
                <w:kern w:val="0"/>
                <w:szCs w:val="21"/>
              </w:rPr>
              <w:t>支持与防火墙产品联动，达到网关边界联动防御效果，提供截图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861" w:type="dxa"/>
            <w:vMerge w:val="continue"/>
            <w:vAlign w:val="center"/>
          </w:tcPr>
          <w:p>
            <w:pPr>
              <w:widowControl/>
              <w:jc w:val="left"/>
              <w:rPr>
                <w:rFonts w:ascii="宋体" w:hAnsi="宋体" w:cs="宋体"/>
                <w:b/>
                <w:bCs/>
                <w:kern w:val="0"/>
                <w:sz w:val="20"/>
              </w:rPr>
            </w:pPr>
          </w:p>
        </w:tc>
        <w:tc>
          <w:tcPr>
            <w:tcW w:w="6669" w:type="dxa"/>
            <w:vAlign w:val="center"/>
          </w:tcPr>
          <w:p>
            <w:pPr>
              <w:pStyle w:val="32"/>
              <w:spacing w:line="360" w:lineRule="auto"/>
              <w:ind w:firstLine="0" w:firstLineChars="0"/>
              <w:rPr>
                <w:rFonts w:ascii="宋体" w:hAnsi="宋体"/>
                <w:bCs/>
                <w:kern w:val="0"/>
                <w:szCs w:val="21"/>
              </w:rPr>
            </w:pPr>
            <w:r>
              <w:rPr>
                <w:rFonts w:hint="eastAsia" w:ascii="宋体" w:hAnsi="宋体"/>
                <w:bCs/>
                <w:kern w:val="0"/>
                <w:szCs w:val="21"/>
              </w:rPr>
              <w:t>实时监测终端是否安装终端管理，快速引导安装，安装成功后执行合规检查，保障入网终端始终处于合规、可控范围内，实时上报安全动态及入网数据进行风险分析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61" w:type="dxa"/>
            <w:vMerge w:val="restart"/>
            <w:vAlign w:val="center"/>
          </w:tcPr>
          <w:p>
            <w:pPr>
              <w:widowControl/>
              <w:spacing w:line="360" w:lineRule="auto"/>
              <w:jc w:val="left"/>
              <w:rPr>
                <w:rFonts w:ascii="宋体" w:hAnsi="宋体"/>
                <w:bCs/>
                <w:kern w:val="0"/>
                <w:szCs w:val="21"/>
              </w:rPr>
            </w:pPr>
            <w:r>
              <w:rPr>
                <w:rFonts w:hint="eastAsia" w:ascii="宋体" w:hAnsi="宋体"/>
                <w:bCs/>
                <w:szCs w:val="21"/>
              </w:rPr>
              <w:t>安全测评</w:t>
            </w:r>
          </w:p>
        </w:tc>
        <w:tc>
          <w:tcPr>
            <w:tcW w:w="6669" w:type="dxa"/>
            <w:vAlign w:val="center"/>
          </w:tcPr>
          <w:p>
            <w:pPr>
              <w:pStyle w:val="32"/>
              <w:spacing w:line="360" w:lineRule="auto"/>
              <w:ind w:firstLine="0" w:firstLineChars="0"/>
              <w:rPr>
                <w:rFonts w:ascii="宋体" w:hAnsi="宋体"/>
                <w:bCs/>
                <w:kern w:val="0"/>
                <w:szCs w:val="21"/>
              </w:rPr>
            </w:pPr>
            <w:r>
              <w:rPr>
                <w:rFonts w:ascii="宋体" w:hAnsi="宋体"/>
                <w:bCs/>
                <w:kern w:val="0"/>
                <w:szCs w:val="21"/>
              </w:rPr>
              <w:t>能够自动对入网终端进行安全项目检查，不符合安全规范的终端不允许接入网络，检查项目包括：网络监听端口、IP/MAC 绑定、ARP欺骗、恶意代码防范、操作系统补丁、来宾账户、口令安全、黑名单口令、Windows防火墙、超时锁屏登录、系统服务、远程桌面、系统时间、AD域环境、共享资源、telnet、红名单程序、黑名单程序等终端入网安全检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61" w:type="dxa"/>
            <w:vMerge w:val="continue"/>
            <w:vAlign w:val="center"/>
          </w:tcPr>
          <w:p>
            <w:pPr>
              <w:widowControl/>
              <w:spacing w:line="360" w:lineRule="auto"/>
              <w:jc w:val="left"/>
              <w:rPr>
                <w:rFonts w:ascii="宋体" w:hAnsi="宋体"/>
                <w:bCs/>
                <w:szCs w:val="21"/>
              </w:rPr>
            </w:pPr>
          </w:p>
        </w:tc>
        <w:tc>
          <w:tcPr>
            <w:tcW w:w="6669" w:type="dxa"/>
            <w:vAlign w:val="center"/>
          </w:tcPr>
          <w:p>
            <w:pPr>
              <w:pStyle w:val="20"/>
              <w:spacing w:line="360" w:lineRule="auto"/>
              <w:rPr>
                <w:rFonts w:ascii="宋体" w:hAnsi="宋体"/>
                <w:b w:val="0"/>
                <w:kern w:val="0"/>
                <w:szCs w:val="21"/>
              </w:rPr>
            </w:pPr>
            <w:r>
              <w:rPr>
                <w:rFonts w:ascii="宋体" w:hAnsi="宋体"/>
                <w:b w:val="0"/>
                <w:kern w:val="0"/>
                <w:szCs w:val="21"/>
              </w:rPr>
              <w:t>支持设置检测项目的关键项设置，关键项目必须检查通过的才能够接入网络；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61" w:type="dxa"/>
            <w:vMerge w:val="continue"/>
            <w:vAlign w:val="center"/>
          </w:tcPr>
          <w:p>
            <w:pPr>
              <w:widowControl/>
              <w:spacing w:line="360" w:lineRule="auto"/>
              <w:jc w:val="left"/>
              <w:rPr>
                <w:rFonts w:ascii="宋体" w:hAnsi="宋体"/>
                <w:bCs/>
                <w:szCs w:val="21"/>
              </w:rPr>
            </w:pPr>
          </w:p>
        </w:tc>
        <w:tc>
          <w:tcPr>
            <w:tcW w:w="6669" w:type="dxa"/>
            <w:vAlign w:val="center"/>
          </w:tcPr>
          <w:p>
            <w:pPr>
              <w:pStyle w:val="20"/>
              <w:spacing w:line="360" w:lineRule="auto"/>
              <w:rPr>
                <w:rFonts w:ascii="宋体" w:hAnsi="宋体"/>
                <w:b w:val="0"/>
                <w:kern w:val="0"/>
                <w:szCs w:val="21"/>
              </w:rPr>
            </w:pPr>
            <w:r>
              <w:rPr>
                <w:rFonts w:ascii="宋体" w:hAnsi="宋体"/>
                <w:b w:val="0"/>
                <w:kern w:val="0"/>
                <w:szCs w:val="21"/>
              </w:rPr>
              <w:t>支持自动检测、循环评测、一键修复及后台自动修复功能。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61" w:type="dxa"/>
            <w:vAlign w:val="center"/>
          </w:tcPr>
          <w:p>
            <w:pPr>
              <w:widowControl/>
              <w:spacing w:line="360" w:lineRule="auto"/>
              <w:jc w:val="left"/>
              <w:rPr>
                <w:rFonts w:ascii="宋体" w:hAnsi="宋体"/>
                <w:bCs/>
                <w:szCs w:val="21"/>
              </w:rPr>
            </w:pPr>
            <w:r>
              <w:rPr>
                <w:rFonts w:hint="eastAsia" w:ascii="宋体" w:hAnsi="宋体"/>
                <w:bCs/>
                <w:szCs w:val="21"/>
              </w:rPr>
              <w:t>报警项目</w:t>
            </w:r>
          </w:p>
        </w:tc>
        <w:tc>
          <w:tcPr>
            <w:tcW w:w="6669" w:type="dxa"/>
            <w:vAlign w:val="center"/>
          </w:tcPr>
          <w:p>
            <w:pPr>
              <w:pStyle w:val="20"/>
              <w:spacing w:line="360" w:lineRule="auto"/>
              <w:rPr>
                <w:rFonts w:ascii="宋体" w:hAnsi="宋体"/>
                <w:b w:val="0"/>
                <w:kern w:val="0"/>
                <w:szCs w:val="21"/>
              </w:rPr>
            </w:pPr>
            <w:r>
              <w:rPr>
                <w:rFonts w:ascii="宋体" w:hAnsi="宋体"/>
                <w:b w:val="0"/>
                <w:kern w:val="0"/>
                <w:szCs w:val="21"/>
              </w:rPr>
              <w:t>支持硬件变化报警、违规外联报警、未安装恶意代码防范程序报警、存在操作系统漏洞报警、ARP攻击报警、终端流量超出阈值报警等违规行为报警。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61" w:type="dxa"/>
            <w:vAlign w:val="center"/>
          </w:tcPr>
          <w:p>
            <w:pPr>
              <w:widowControl/>
              <w:spacing w:line="360" w:lineRule="auto"/>
              <w:jc w:val="left"/>
              <w:rPr>
                <w:rFonts w:ascii="宋体" w:hAnsi="宋体"/>
                <w:bCs/>
                <w:szCs w:val="21"/>
              </w:rPr>
            </w:pPr>
            <w:r>
              <w:rPr>
                <w:rFonts w:hint="eastAsia" w:ascii="宋体" w:hAnsi="宋体"/>
                <w:bCs/>
                <w:szCs w:val="21"/>
              </w:rPr>
              <w:t>报警策略</w:t>
            </w:r>
          </w:p>
        </w:tc>
        <w:tc>
          <w:tcPr>
            <w:tcW w:w="6669" w:type="dxa"/>
            <w:vAlign w:val="center"/>
          </w:tcPr>
          <w:p>
            <w:pPr>
              <w:spacing w:line="360" w:lineRule="auto"/>
              <w:rPr>
                <w:rFonts w:ascii="宋体" w:hAnsi="宋体"/>
                <w:bCs/>
                <w:kern w:val="0"/>
                <w:szCs w:val="21"/>
              </w:rPr>
            </w:pPr>
            <w:r>
              <w:rPr>
                <w:rFonts w:ascii="宋体" w:hAnsi="宋体"/>
                <w:bCs/>
                <w:kern w:val="0"/>
                <w:szCs w:val="21"/>
              </w:rPr>
              <w:t>能够对违规终端进行报警提示操作；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61" w:type="dxa"/>
            <w:vAlign w:val="center"/>
          </w:tcPr>
          <w:p>
            <w:pPr>
              <w:widowControl/>
              <w:spacing w:line="360" w:lineRule="auto"/>
              <w:jc w:val="left"/>
              <w:rPr>
                <w:rFonts w:ascii="宋体" w:hAnsi="宋体"/>
                <w:bCs/>
                <w:szCs w:val="21"/>
              </w:rPr>
            </w:pPr>
            <w:r>
              <w:rPr>
                <w:rFonts w:ascii="宋体" w:hAnsi="宋体"/>
                <w:bCs/>
                <w:szCs w:val="21"/>
              </w:rPr>
              <w:t>USB禁止使用</w:t>
            </w:r>
          </w:p>
        </w:tc>
        <w:tc>
          <w:tcPr>
            <w:tcW w:w="6669" w:type="dxa"/>
            <w:vAlign w:val="center"/>
          </w:tcPr>
          <w:p>
            <w:pPr>
              <w:spacing w:line="360" w:lineRule="auto"/>
              <w:rPr>
                <w:rFonts w:ascii="宋体" w:hAnsi="宋体"/>
                <w:bCs/>
                <w:kern w:val="0"/>
                <w:szCs w:val="21"/>
              </w:rPr>
            </w:pPr>
            <w:r>
              <w:rPr>
                <w:rFonts w:ascii="宋体" w:hAnsi="宋体"/>
                <w:bCs/>
                <w:kern w:val="0"/>
                <w:szCs w:val="21"/>
              </w:rPr>
              <w:t>支持对存储类USB设备进行禁用，不影响非存储类USB外设使用；</w:t>
            </w:r>
          </w:p>
          <w:p>
            <w:pPr>
              <w:spacing w:line="360" w:lineRule="auto"/>
              <w:rPr>
                <w:rFonts w:ascii="宋体" w:hAnsi="宋体"/>
                <w:bCs/>
                <w:kern w:val="0"/>
                <w:szCs w:val="21"/>
              </w:rPr>
            </w:pPr>
            <w:r>
              <w:rPr>
                <w:rFonts w:ascii="宋体" w:hAnsi="宋体"/>
                <w:bCs/>
                <w:kern w:val="0"/>
                <w:szCs w:val="21"/>
              </w:rPr>
              <w:t>支持对USB接口使用进行只读或读写权限设置，禁止通过USB接口向外拷贝数据。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61" w:type="dxa"/>
            <w:vAlign w:val="center"/>
          </w:tcPr>
          <w:p>
            <w:pPr>
              <w:widowControl/>
              <w:spacing w:line="360" w:lineRule="auto"/>
              <w:jc w:val="left"/>
              <w:rPr>
                <w:rFonts w:ascii="宋体" w:hAnsi="宋体"/>
                <w:bCs/>
                <w:szCs w:val="21"/>
              </w:rPr>
            </w:pPr>
            <w:r>
              <w:rPr>
                <w:rFonts w:hint="eastAsia" w:ascii="宋体" w:hAnsi="宋体"/>
                <w:bCs/>
                <w:szCs w:val="21"/>
              </w:rPr>
              <w:t>终端安全规范</w:t>
            </w:r>
          </w:p>
        </w:tc>
        <w:tc>
          <w:tcPr>
            <w:tcW w:w="6669" w:type="dxa"/>
            <w:vAlign w:val="center"/>
          </w:tcPr>
          <w:p>
            <w:pPr>
              <w:spacing w:line="360" w:lineRule="auto"/>
              <w:rPr>
                <w:rFonts w:ascii="宋体" w:hAnsi="宋体"/>
                <w:bCs/>
                <w:kern w:val="0"/>
                <w:szCs w:val="21"/>
              </w:rPr>
            </w:pPr>
            <w:r>
              <w:rPr>
                <w:rFonts w:ascii="宋体" w:hAnsi="宋体"/>
                <w:bCs/>
                <w:kern w:val="0"/>
                <w:szCs w:val="21"/>
              </w:rPr>
              <w:t>支持禁用终端所有USB存储设备、便携式设备、光驱介质、无线网卡、3G无线上网卡、手机代理上网、调制解调器、蓝牙设备、其它网卡（除与服务器连接应用的网卡）、打印机等外接设备；</w:t>
            </w:r>
          </w:p>
          <w:p>
            <w:pPr>
              <w:spacing w:line="360" w:lineRule="auto"/>
              <w:rPr>
                <w:rFonts w:ascii="宋体" w:hAnsi="宋体"/>
                <w:bCs/>
                <w:kern w:val="0"/>
                <w:szCs w:val="21"/>
              </w:rPr>
            </w:pPr>
            <w:r>
              <w:rPr>
                <w:rFonts w:ascii="宋体" w:hAnsi="宋体"/>
                <w:bCs/>
                <w:kern w:val="0"/>
                <w:szCs w:val="21"/>
              </w:rPr>
              <w:t>支持IP/MAC绑定；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61" w:type="dxa"/>
            <w:vAlign w:val="center"/>
          </w:tcPr>
          <w:p>
            <w:pPr>
              <w:widowControl/>
              <w:spacing w:line="360" w:lineRule="auto"/>
              <w:jc w:val="left"/>
              <w:rPr>
                <w:rFonts w:ascii="宋体" w:hAnsi="宋体"/>
                <w:bCs/>
                <w:szCs w:val="21"/>
              </w:rPr>
            </w:pPr>
            <w:r>
              <w:rPr>
                <w:rFonts w:hint="eastAsia" w:ascii="宋体" w:hAnsi="宋体"/>
                <w:bCs/>
                <w:szCs w:val="21"/>
              </w:rPr>
              <w:t>补丁管理</w:t>
            </w:r>
          </w:p>
        </w:tc>
        <w:tc>
          <w:tcPr>
            <w:tcW w:w="6669" w:type="dxa"/>
            <w:vAlign w:val="center"/>
          </w:tcPr>
          <w:p>
            <w:pPr>
              <w:spacing w:line="360" w:lineRule="auto"/>
              <w:rPr>
                <w:rFonts w:ascii="宋体" w:hAnsi="宋体"/>
                <w:bCs/>
                <w:kern w:val="0"/>
                <w:szCs w:val="21"/>
              </w:rPr>
            </w:pPr>
            <w:r>
              <w:rPr>
                <w:rFonts w:ascii="宋体" w:hAnsi="宋体"/>
                <w:bCs/>
                <w:kern w:val="0"/>
                <w:szCs w:val="21"/>
              </w:rPr>
              <w:t>支持对终端的补丁漏洞自动检测功能，能够汇总单独或全网终端的补丁漏洞信息；</w:t>
            </w:r>
          </w:p>
          <w:p>
            <w:pPr>
              <w:spacing w:line="360" w:lineRule="auto"/>
              <w:rPr>
                <w:rFonts w:ascii="宋体" w:hAnsi="宋体"/>
                <w:bCs/>
                <w:kern w:val="0"/>
                <w:szCs w:val="21"/>
              </w:rPr>
            </w:pPr>
            <w:r>
              <w:rPr>
                <w:rFonts w:ascii="宋体" w:hAnsi="宋体"/>
                <w:bCs/>
                <w:kern w:val="0"/>
                <w:szCs w:val="21"/>
              </w:rPr>
              <w:t>支持对补丁未安装的报警功能。</w:t>
            </w:r>
          </w:p>
        </w:tc>
      </w:tr>
    </w:tbl>
    <w:p>
      <w:pPr>
        <w:pStyle w:val="71"/>
        <w:spacing w:line="360" w:lineRule="auto"/>
        <w:ind w:firstLine="420"/>
        <w:rPr>
          <w:rFonts w:ascii="宋体" w:hAnsi="宋体"/>
          <w:kern w:val="2"/>
          <w:sz w:val="24"/>
          <w:szCs w:val="24"/>
        </w:rPr>
      </w:pPr>
    </w:p>
    <w:p>
      <w:pPr>
        <w:pStyle w:val="71"/>
        <w:spacing w:line="360" w:lineRule="auto"/>
        <w:rPr>
          <w:rFonts w:ascii="宋体" w:hAnsi="宋体"/>
          <w:b/>
          <w:kern w:val="2"/>
          <w:sz w:val="24"/>
          <w:szCs w:val="24"/>
        </w:rPr>
      </w:pPr>
      <w:r>
        <w:rPr>
          <w:rFonts w:hint="eastAsia" w:ascii="宋体" w:hAnsi="宋体"/>
          <w:b/>
          <w:kern w:val="2"/>
          <w:sz w:val="24"/>
          <w:szCs w:val="24"/>
        </w:rPr>
        <w:t>3</w:t>
      </w:r>
      <w:r>
        <w:rPr>
          <w:rFonts w:ascii="宋体" w:hAnsi="宋体"/>
          <w:b/>
          <w:kern w:val="2"/>
          <w:sz w:val="24"/>
          <w:szCs w:val="24"/>
        </w:rPr>
        <w:t>.16</w:t>
      </w:r>
      <w:r>
        <w:rPr>
          <w:rFonts w:hint="eastAsia" w:ascii="宋体" w:hAnsi="宋体"/>
          <w:b/>
          <w:kern w:val="2"/>
          <w:sz w:val="24"/>
          <w:szCs w:val="24"/>
        </w:rPr>
        <w:t>终端安全管理平台（1套）</w:t>
      </w:r>
    </w:p>
    <w:tbl>
      <w:tblPr>
        <w:tblStyle w:val="23"/>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9"/>
        <w:gridCol w:w="6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trPr>
        <w:tc>
          <w:tcPr>
            <w:tcW w:w="1859" w:type="dxa"/>
            <w:shd w:val="clear" w:color="000000" w:fill="auto"/>
            <w:vAlign w:val="center"/>
          </w:tcPr>
          <w:p>
            <w:pPr>
              <w:spacing w:line="360" w:lineRule="auto"/>
              <w:jc w:val="center"/>
              <w:rPr>
                <w:rFonts w:ascii="宋体" w:hAnsi="宋体"/>
                <w:b/>
                <w:szCs w:val="21"/>
              </w:rPr>
            </w:pPr>
            <w:r>
              <w:rPr>
                <w:rFonts w:ascii="宋体" w:hAnsi="宋体"/>
                <w:b/>
                <w:szCs w:val="21"/>
              </w:rPr>
              <w:t>指标项</w:t>
            </w:r>
          </w:p>
        </w:tc>
        <w:tc>
          <w:tcPr>
            <w:tcW w:w="6669" w:type="dxa"/>
            <w:shd w:val="clear" w:color="000000" w:fill="auto"/>
            <w:vAlign w:val="center"/>
          </w:tcPr>
          <w:p>
            <w:pPr>
              <w:spacing w:line="360" w:lineRule="auto"/>
              <w:jc w:val="center"/>
              <w:rPr>
                <w:rFonts w:ascii="宋体" w:hAnsi="宋体"/>
                <w:b/>
                <w:szCs w:val="21"/>
              </w:rPr>
            </w:pPr>
            <w:r>
              <w:rPr>
                <w:rFonts w:hint="eastAsia" w:ascii="宋体" w:hAnsi="宋体"/>
                <w:b/>
                <w:szCs w:val="21"/>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Align w:val="center"/>
          </w:tcPr>
          <w:p>
            <w:pPr>
              <w:widowControl/>
              <w:spacing w:line="360" w:lineRule="auto"/>
              <w:rPr>
                <w:rFonts w:ascii="宋体" w:hAnsi="宋体" w:cs="宋体"/>
                <w:kern w:val="0"/>
                <w:szCs w:val="21"/>
              </w:rPr>
            </w:pPr>
            <w:r>
              <w:rPr>
                <w:rFonts w:ascii="宋体" w:hAnsi="宋体" w:cs="宋体"/>
                <w:kern w:val="0"/>
                <w:szCs w:val="21"/>
              </w:rPr>
              <w:t>基础</w:t>
            </w:r>
            <w:r>
              <w:rPr>
                <w:rFonts w:hint="eastAsia" w:ascii="宋体" w:hAnsi="宋体" w:cs="宋体"/>
                <w:kern w:val="0"/>
                <w:szCs w:val="21"/>
              </w:rPr>
              <w:t>架构及远程控制管理</w:t>
            </w:r>
          </w:p>
        </w:tc>
        <w:tc>
          <w:tcPr>
            <w:tcW w:w="6669" w:type="dxa"/>
            <w:vAlign w:val="center"/>
          </w:tcPr>
          <w:p>
            <w:pPr>
              <w:widowControl/>
              <w:spacing w:line="360" w:lineRule="auto"/>
              <w:rPr>
                <w:rFonts w:hint="eastAsia" w:ascii="宋体" w:hAnsi="宋体" w:cs="宋体"/>
                <w:kern w:val="0"/>
                <w:szCs w:val="21"/>
              </w:rPr>
            </w:pPr>
            <w:r>
              <w:rPr>
                <w:rFonts w:hint="eastAsia" w:ascii="宋体" w:hAnsi="宋体" w:cs="宋体"/>
                <w:kern w:val="0"/>
                <w:szCs w:val="21"/>
              </w:rPr>
              <w:t>控制中心：采用B/S架构管理端，具备设备分组管理、策略制定下发、全网健康状况监测、统一杀毒、统一漏洞修复、统一管控、统一终端准入合规、终端软件管理、硬件资产管理以及各种报表和查询等功能；</w:t>
            </w:r>
          </w:p>
          <w:p>
            <w:pPr>
              <w:widowControl/>
              <w:spacing w:line="360" w:lineRule="auto"/>
              <w:rPr>
                <w:rFonts w:hint="eastAsia" w:ascii="宋体" w:hAnsi="宋体" w:eastAsia="宋体" w:cs="宋体"/>
                <w:kern w:val="0"/>
                <w:szCs w:val="21"/>
                <w:lang w:val="en-US" w:eastAsia="zh-CN"/>
              </w:rPr>
            </w:pPr>
            <w:r>
              <w:rPr>
                <w:rFonts w:hint="eastAsia" w:ascii="宋体" w:hAnsi="宋体" w:cs="宋体"/>
                <w:kern w:val="0"/>
                <w:szCs w:val="21"/>
              </w:rPr>
              <w:t>支持多种主流浏览器：Microsoft Internet Explorer 7.0及以上、Google Chrome 谷歌浏览器（推荐）、Apple Safari 苹果浏览器、Mozilla Firefox 火狐浏览器</w:t>
            </w:r>
            <w:r>
              <w:rPr>
                <w:rFonts w:hint="eastAsia" w:ascii="宋体" w:hAnsi="宋体" w:cs="宋体"/>
                <w:kern w:val="0"/>
                <w:szCs w:val="21"/>
                <w:lang w:val="en-US" w:eastAsia="zh-CN"/>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7" w:hRule="atLeast"/>
        </w:trPr>
        <w:tc>
          <w:tcPr>
            <w:tcW w:w="1859" w:type="dxa"/>
            <w:vAlign w:val="center"/>
          </w:tcPr>
          <w:p>
            <w:pPr>
              <w:widowControl/>
              <w:spacing w:line="360" w:lineRule="auto"/>
              <w:rPr>
                <w:rFonts w:ascii="宋体" w:hAnsi="宋体" w:cs="宋体"/>
                <w:kern w:val="0"/>
                <w:szCs w:val="21"/>
              </w:rPr>
            </w:pPr>
            <w:r>
              <w:rPr>
                <w:rFonts w:hint="eastAsia" w:ascii="宋体" w:hAnsi="宋体" w:cs="宋体"/>
                <w:kern w:val="0"/>
                <w:szCs w:val="21"/>
              </w:rPr>
              <w:t>升级管理功能</w:t>
            </w:r>
          </w:p>
        </w:tc>
        <w:tc>
          <w:tcPr>
            <w:tcW w:w="6669" w:type="dxa"/>
            <w:vAlign w:val="center"/>
          </w:tcPr>
          <w:p>
            <w:pPr>
              <w:widowControl/>
              <w:spacing w:line="360" w:lineRule="auto"/>
              <w:rPr>
                <w:rFonts w:hint="eastAsia" w:ascii="宋体" w:hAnsi="宋体" w:cs="宋体"/>
                <w:kern w:val="0"/>
                <w:szCs w:val="21"/>
              </w:rPr>
            </w:pPr>
            <w:r>
              <w:rPr>
                <w:rFonts w:hint="eastAsia" w:ascii="宋体" w:hAnsi="宋体" w:cs="宋体"/>
                <w:kern w:val="0"/>
                <w:szCs w:val="21"/>
              </w:rPr>
              <w:t>1、可以独立部署一个或多个升级服务器，多个服务器间支持自动平衡网络压力，支持树形级联升级，实现下一级服务从上级服务器升级，支持手动更新升级服务器内容，并以升级服务自身的内容为基础，制作定制安装包。</w:t>
            </w:r>
          </w:p>
          <w:p>
            <w:pPr>
              <w:widowControl/>
              <w:spacing w:line="360" w:lineRule="auto"/>
              <w:rPr>
                <w:rFonts w:hint="eastAsia" w:ascii="宋体" w:hAnsi="宋体" w:eastAsia="宋体" w:cs="宋体"/>
                <w:kern w:val="0"/>
                <w:szCs w:val="21"/>
                <w:lang w:eastAsia="zh-CN"/>
              </w:rPr>
            </w:pPr>
            <w:r>
              <w:rPr>
                <w:rFonts w:hint="eastAsia" w:ascii="宋体" w:hAnsi="宋体" w:cs="宋体"/>
                <w:kern w:val="0"/>
                <w:szCs w:val="21"/>
              </w:rPr>
              <w:t>2、可以同时配置多个升级源。允许自动匹配可用的多个升级地址升级</w:t>
            </w:r>
            <w:r>
              <w:rPr>
                <w:rFonts w:hint="eastAsia" w:ascii="宋体" w:hAnsi="宋体" w:cs="宋体"/>
                <w:kern w:val="0"/>
                <w:szCs w:val="21"/>
                <w:lang w:eastAsia="zh-CN"/>
              </w:rPr>
              <w:t>。</w:t>
            </w:r>
          </w:p>
          <w:p>
            <w:pPr>
              <w:widowControl/>
              <w:spacing w:line="360" w:lineRule="auto"/>
              <w:rPr>
                <w:rFonts w:hint="eastAsia" w:ascii="宋体" w:hAnsi="宋体" w:eastAsia="宋体" w:cs="宋体"/>
                <w:kern w:val="0"/>
                <w:szCs w:val="21"/>
                <w:lang w:eastAsia="zh-CN"/>
              </w:rPr>
            </w:pPr>
            <w:r>
              <w:rPr>
                <w:rFonts w:hint="eastAsia" w:ascii="宋体" w:hAnsi="宋体" w:cs="宋体"/>
                <w:kern w:val="0"/>
                <w:szCs w:val="21"/>
              </w:rPr>
              <w:t>3、升级方式支持上传离线升级包、手动升级、自动升级、客户端游离到外网升级，并且可配置升级网络代理; 病毒库支持智能增量升级模式; 支持大型网络环境升级减压、错峰的随机延迟升级</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Align w:val="center"/>
          </w:tcPr>
          <w:p>
            <w:pPr>
              <w:widowControl/>
              <w:spacing w:line="360" w:lineRule="auto"/>
              <w:rPr>
                <w:rFonts w:ascii="宋体" w:hAnsi="宋体" w:cs="宋体"/>
                <w:kern w:val="0"/>
                <w:szCs w:val="21"/>
              </w:rPr>
            </w:pPr>
            <w:r>
              <w:rPr>
                <w:rFonts w:hint="eastAsia" w:ascii="宋体" w:hAnsi="宋体" w:cs="宋体"/>
                <w:kern w:val="0"/>
                <w:szCs w:val="21"/>
              </w:rPr>
              <w:t>平台管理功能</w:t>
            </w:r>
          </w:p>
        </w:tc>
        <w:tc>
          <w:tcPr>
            <w:tcW w:w="6669" w:type="dxa"/>
            <w:vAlign w:val="center"/>
          </w:tcPr>
          <w:p>
            <w:pPr>
              <w:widowControl/>
              <w:spacing w:line="360" w:lineRule="auto"/>
              <w:rPr>
                <w:rFonts w:hint="eastAsia" w:ascii="宋体" w:hAnsi="宋体" w:eastAsia="宋体" w:cs="宋体"/>
                <w:kern w:val="0"/>
                <w:szCs w:val="21"/>
                <w:lang w:eastAsia="zh-CN"/>
              </w:rPr>
            </w:pPr>
            <w:r>
              <w:rPr>
                <w:rFonts w:hint="eastAsia" w:ascii="宋体" w:hAnsi="宋体" w:cs="宋体"/>
                <w:kern w:val="0"/>
                <w:szCs w:val="21"/>
              </w:rPr>
              <w:t>客户端组件支持自我保护，包括相关进程防杀、相关服务防止卸载、修改，以及防止安装目录的文件被删除以及创建新的未知文件。客户端组件卸载或者停止工作有密码保护，防止任意卸载。且支持管理员自定义客户端显示的主、副产品标题</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4" w:hRule="atLeast"/>
        </w:trPr>
        <w:tc>
          <w:tcPr>
            <w:tcW w:w="1859" w:type="dxa"/>
            <w:vMerge w:val="restart"/>
            <w:vAlign w:val="center"/>
          </w:tcPr>
          <w:p>
            <w:pPr>
              <w:widowControl/>
              <w:spacing w:line="360" w:lineRule="auto"/>
              <w:rPr>
                <w:rFonts w:ascii="宋体" w:hAnsi="宋体" w:cs="宋体"/>
                <w:kern w:val="0"/>
                <w:szCs w:val="21"/>
              </w:rPr>
            </w:pPr>
            <w:r>
              <w:rPr>
                <w:rFonts w:hint="eastAsia" w:ascii="宋体" w:hAnsi="宋体" w:cs="宋体"/>
                <w:kern w:val="0"/>
                <w:szCs w:val="21"/>
              </w:rPr>
              <w:t>防病毒功能</w:t>
            </w:r>
          </w:p>
        </w:tc>
        <w:tc>
          <w:tcPr>
            <w:tcW w:w="6669" w:type="dxa"/>
            <w:vAlign w:val="center"/>
          </w:tcPr>
          <w:p>
            <w:pPr>
              <w:widowControl/>
              <w:spacing w:line="360" w:lineRule="auto"/>
              <w:rPr>
                <w:rFonts w:hint="eastAsia" w:ascii="宋体" w:hAnsi="宋体" w:eastAsia="宋体" w:cs="宋体"/>
                <w:kern w:val="0"/>
                <w:szCs w:val="21"/>
                <w:lang w:eastAsia="zh-CN"/>
              </w:rPr>
            </w:pPr>
            <w:r>
              <w:rPr>
                <w:rFonts w:hint="eastAsia" w:ascii="宋体" w:hAnsi="宋体" w:cs="宋体"/>
                <w:kern w:val="0"/>
                <w:szCs w:val="21"/>
              </w:rPr>
              <w:t>1)支持杀毒引擎支持多核cpu的并行计算，可手动配置选择引擎，也可根据客户端环境智能选择引擎，适当的环境选用适当的方案。加快查杀效率提高文件扫描速度,支持公有云、私有云查杀，病毒检测及清除能力达到公安部一级品认证标准</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1859" w:type="dxa"/>
            <w:vMerge w:val="continue"/>
            <w:vAlign w:val="center"/>
          </w:tcPr>
          <w:p>
            <w:pPr>
              <w:widowControl/>
              <w:spacing w:line="360" w:lineRule="auto"/>
              <w:rPr>
                <w:rFonts w:ascii="宋体" w:hAnsi="宋体" w:cs="宋体"/>
                <w:kern w:val="0"/>
                <w:szCs w:val="21"/>
              </w:rPr>
            </w:pPr>
          </w:p>
        </w:tc>
        <w:tc>
          <w:tcPr>
            <w:tcW w:w="6669" w:type="dxa"/>
            <w:vAlign w:val="center"/>
          </w:tcPr>
          <w:p>
            <w:pPr>
              <w:widowControl/>
              <w:spacing w:line="360" w:lineRule="auto"/>
              <w:rPr>
                <w:rFonts w:hint="eastAsia" w:ascii="宋体" w:hAnsi="宋体" w:cs="宋体"/>
                <w:kern w:val="0"/>
                <w:szCs w:val="21"/>
              </w:rPr>
            </w:pPr>
            <w:r>
              <w:rPr>
                <w:rFonts w:hint="eastAsia" w:ascii="宋体" w:hAnsi="宋体" w:cs="宋体"/>
                <w:kern w:val="0"/>
                <w:szCs w:val="21"/>
              </w:rPr>
              <w:t>2)通过P2P扫描技术，初次对虚拟机模板扫描后，后续对虚拟主机扫描采用增量扫描，降低资源消耗，优化系统使用。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Merge w:val="continue"/>
            <w:vAlign w:val="center"/>
          </w:tcPr>
          <w:p>
            <w:pPr>
              <w:widowControl/>
              <w:spacing w:line="360" w:lineRule="auto"/>
              <w:rPr>
                <w:rFonts w:ascii="宋体" w:hAnsi="宋体" w:cs="宋体"/>
                <w:kern w:val="0"/>
                <w:szCs w:val="21"/>
              </w:rPr>
            </w:pPr>
          </w:p>
        </w:tc>
        <w:tc>
          <w:tcPr>
            <w:tcW w:w="6669" w:type="dxa"/>
            <w:vAlign w:val="center"/>
          </w:tcPr>
          <w:p>
            <w:pPr>
              <w:widowControl/>
              <w:spacing w:line="360" w:lineRule="auto"/>
              <w:rPr>
                <w:rFonts w:hint="eastAsia" w:ascii="宋体" w:hAnsi="宋体" w:cs="宋体"/>
                <w:kern w:val="0"/>
                <w:szCs w:val="21"/>
              </w:rPr>
            </w:pPr>
            <w:r>
              <w:rPr>
                <w:rFonts w:hint="eastAsia" w:ascii="宋体" w:hAnsi="宋体" w:cs="宋体"/>
                <w:kern w:val="0"/>
                <w:szCs w:val="21"/>
              </w:rPr>
              <w:t>3)支持智能主动防御技术，提供基于保护系统安全的系统加固功能和保护应用程序的应用加固功能。支持文件监控、邮件监控，可远程集中式查看监控状态及开关监控。支持U盘监控，可在U盘刚接入时就进行一次安全扫描，确保接入环境的U盘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0" w:hRule="atLeast"/>
        </w:trPr>
        <w:tc>
          <w:tcPr>
            <w:tcW w:w="1859" w:type="dxa"/>
            <w:vMerge w:val="continue"/>
            <w:vAlign w:val="center"/>
          </w:tcPr>
          <w:p>
            <w:pPr>
              <w:widowControl/>
              <w:spacing w:line="360" w:lineRule="auto"/>
              <w:rPr>
                <w:rFonts w:ascii="宋体" w:hAnsi="宋体" w:cs="宋体"/>
                <w:kern w:val="0"/>
                <w:szCs w:val="21"/>
              </w:rPr>
            </w:pPr>
          </w:p>
        </w:tc>
        <w:tc>
          <w:tcPr>
            <w:tcW w:w="6669" w:type="dxa"/>
            <w:vAlign w:val="center"/>
          </w:tcPr>
          <w:p>
            <w:pPr>
              <w:widowControl/>
              <w:spacing w:line="360" w:lineRule="auto"/>
              <w:rPr>
                <w:rFonts w:hint="eastAsia" w:ascii="宋体" w:hAnsi="宋体" w:cs="宋体"/>
                <w:kern w:val="0"/>
                <w:szCs w:val="21"/>
              </w:rPr>
            </w:pPr>
            <w:r>
              <w:rPr>
                <w:rFonts w:hint="eastAsia" w:ascii="宋体" w:hAnsi="宋体" w:cs="宋体"/>
                <w:kern w:val="0"/>
                <w:szCs w:val="21"/>
              </w:rPr>
              <w:t>4)支持可查杀OFFICE宏病毒，支持网络下载文件的病毒实时查杀、支持族群式变种病毒的查杀。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26" w:hRule="atLeast"/>
        </w:trPr>
        <w:tc>
          <w:tcPr>
            <w:tcW w:w="1859" w:type="dxa"/>
            <w:vMerge w:val="continue"/>
            <w:vAlign w:val="center"/>
          </w:tcPr>
          <w:p>
            <w:pPr>
              <w:widowControl/>
              <w:spacing w:line="360" w:lineRule="auto"/>
              <w:rPr>
                <w:rFonts w:ascii="宋体" w:hAnsi="宋体" w:cs="宋体"/>
                <w:kern w:val="0"/>
                <w:szCs w:val="21"/>
              </w:rPr>
            </w:pPr>
          </w:p>
        </w:tc>
        <w:tc>
          <w:tcPr>
            <w:tcW w:w="6669" w:type="dxa"/>
            <w:vAlign w:val="center"/>
          </w:tcPr>
          <w:p>
            <w:pPr>
              <w:widowControl/>
              <w:spacing w:line="360" w:lineRule="auto"/>
              <w:rPr>
                <w:rFonts w:hint="eastAsia" w:ascii="宋体" w:hAnsi="宋体" w:cs="宋体"/>
                <w:kern w:val="0"/>
                <w:szCs w:val="21"/>
              </w:rPr>
            </w:pPr>
            <w:r>
              <w:rPr>
                <w:rFonts w:hint="eastAsia" w:ascii="宋体" w:hAnsi="宋体" w:cs="宋体"/>
                <w:kern w:val="0"/>
                <w:szCs w:val="21"/>
              </w:rPr>
              <w:t>5) 支持扫描模式包括快速扫描、全盘扫描、自定义扫描；并且管理员可以在控制台上远程查看客户端扫描状态信息、并控制快速扫描或者全盘扫描的扫描过程；支持单独给全盘扫描、快速扫描设置定时查杀任务；支持用户拖拽扫描，方便用户及时手动扫描可疑文件，对已染毒文件，管理员可以在中心控制台远程恢复可能误杀的文件，自定义白名单、排除列表，提交企业内部防护效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Merge w:val="continue"/>
            <w:vAlign w:val="center"/>
          </w:tcPr>
          <w:p>
            <w:pPr>
              <w:widowControl/>
              <w:spacing w:line="360" w:lineRule="auto"/>
              <w:rPr>
                <w:rFonts w:ascii="宋体" w:hAnsi="宋体" w:cs="宋体"/>
                <w:kern w:val="0"/>
                <w:szCs w:val="21"/>
              </w:rPr>
            </w:pPr>
          </w:p>
        </w:tc>
        <w:tc>
          <w:tcPr>
            <w:tcW w:w="6669" w:type="dxa"/>
            <w:vAlign w:val="center"/>
          </w:tcPr>
          <w:p>
            <w:pPr>
              <w:widowControl/>
              <w:spacing w:line="360" w:lineRule="auto"/>
              <w:rPr>
                <w:rFonts w:hint="eastAsia" w:ascii="宋体" w:hAnsi="宋体" w:cs="宋体"/>
                <w:kern w:val="0"/>
                <w:szCs w:val="21"/>
              </w:rPr>
            </w:pPr>
            <w:r>
              <w:rPr>
                <w:rFonts w:hint="eastAsia" w:ascii="宋体" w:hAnsi="宋体" w:cs="宋体"/>
                <w:kern w:val="0"/>
                <w:szCs w:val="21"/>
              </w:rPr>
              <w:t>6)支持根据监控状态、未执行扫描状态以及根据计算机名称、IP地址等信息快速查找计算机，方便更有针对性的进行全网管理，可远程锁定客户端用户不能关闭监控功能，提高全网安全，支持引导扇区和主引导记录区备份和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Merge w:val="restart"/>
            <w:vAlign w:val="center"/>
          </w:tcPr>
          <w:p>
            <w:pPr>
              <w:spacing w:line="276" w:lineRule="auto"/>
              <w:jc w:val="left"/>
              <w:rPr>
                <w:rFonts w:ascii="等线" w:hAnsi="等线" w:cs="宋体"/>
                <w:kern w:val="0"/>
                <w:szCs w:val="21"/>
              </w:rPr>
            </w:pPr>
            <w:r>
              <w:rPr>
                <w:rFonts w:hint="eastAsia" w:ascii="等线" w:hAnsi="等线" w:cs="宋体"/>
                <w:kern w:val="0"/>
                <w:szCs w:val="21"/>
              </w:rPr>
              <w:t>补丁分发与漏洞修复</w:t>
            </w:r>
          </w:p>
        </w:tc>
        <w:tc>
          <w:tcPr>
            <w:tcW w:w="6669" w:type="dxa"/>
            <w:vAlign w:val="center"/>
          </w:tcPr>
          <w:p>
            <w:pPr>
              <w:widowControl/>
              <w:spacing w:line="360" w:lineRule="auto"/>
              <w:rPr>
                <w:rFonts w:hint="eastAsia" w:ascii="宋体" w:hAnsi="宋体" w:cs="宋体"/>
                <w:kern w:val="0"/>
                <w:szCs w:val="21"/>
              </w:rPr>
            </w:pPr>
            <w:r>
              <w:rPr>
                <w:rFonts w:hint="eastAsia" w:ascii="宋体" w:hAnsi="宋体" w:cs="宋体"/>
                <w:kern w:val="0"/>
                <w:szCs w:val="21"/>
              </w:rPr>
              <w:t>产品具备漏洞集中修复，强制修复，自动修复；具备蓝屏修复功能，提供截图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Merge w:val="continue"/>
            <w:vAlign w:val="center"/>
          </w:tcPr>
          <w:p>
            <w:pPr>
              <w:widowControl/>
              <w:spacing w:line="276" w:lineRule="auto"/>
              <w:jc w:val="left"/>
              <w:rPr>
                <w:rFonts w:ascii="等线" w:hAnsi="等线" w:cs="宋体"/>
                <w:kern w:val="0"/>
                <w:szCs w:val="21"/>
              </w:rPr>
            </w:pPr>
          </w:p>
        </w:tc>
        <w:tc>
          <w:tcPr>
            <w:tcW w:w="6669" w:type="dxa"/>
            <w:vAlign w:val="center"/>
          </w:tcPr>
          <w:p>
            <w:pPr>
              <w:widowControl/>
              <w:spacing w:line="360" w:lineRule="auto"/>
              <w:rPr>
                <w:rFonts w:hint="eastAsia" w:ascii="宋体" w:hAnsi="宋体" w:cs="宋体"/>
                <w:kern w:val="0"/>
                <w:szCs w:val="21"/>
              </w:rPr>
            </w:pPr>
            <w:r>
              <w:rPr>
                <w:rFonts w:hint="eastAsia" w:ascii="宋体" w:hAnsi="宋体" w:cs="宋体"/>
                <w:kern w:val="0"/>
                <w:szCs w:val="21"/>
              </w:rPr>
              <w:t xml:space="preserve">终端支持智能屏蔽过期补丁、与操作系统不兼容的补丁，可以查看或搜索系统已安装的全部补丁；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Align w:val="center"/>
          </w:tcPr>
          <w:p>
            <w:pPr>
              <w:widowControl/>
              <w:spacing w:line="360" w:lineRule="auto"/>
              <w:rPr>
                <w:rFonts w:ascii="宋体" w:hAnsi="宋体" w:cs="宋体"/>
                <w:kern w:val="0"/>
                <w:szCs w:val="21"/>
              </w:rPr>
            </w:pPr>
            <w:r>
              <w:rPr>
                <w:rFonts w:hint="eastAsia" w:ascii="宋体" w:hAnsi="宋体" w:cs="宋体"/>
                <w:kern w:val="0"/>
                <w:szCs w:val="21"/>
              </w:rPr>
              <w:t>文档操作和</w:t>
            </w:r>
            <w:r>
              <w:rPr>
                <w:rFonts w:ascii="宋体" w:hAnsi="宋体" w:cs="宋体"/>
                <w:kern w:val="0"/>
                <w:szCs w:val="21"/>
              </w:rPr>
              <w:t>审计功能</w:t>
            </w:r>
          </w:p>
        </w:tc>
        <w:tc>
          <w:tcPr>
            <w:tcW w:w="6669" w:type="dxa"/>
            <w:vAlign w:val="center"/>
          </w:tcPr>
          <w:p>
            <w:pPr>
              <w:widowControl/>
              <w:spacing w:line="360" w:lineRule="auto"/>
              <w:rPr>
                <w:rFonts w:hint="eastAsia" w:ascii="宋体" w:hAnsi="宋体" w:cs="宋体"/>
                <w:kern w:val="0"/>
                <w:szCs w:val="21"/>
              </w:rPr>
            </w:pPr>
            <w:r>
              <w:rPr>
                <w:rFonts w:hint="eastAsia" w:ascii="宋体" w:hAnsi="宋体" w:cs="宋体"/>
                <w:kern w:val="0"/>
                <w:szCs w:val="21"/>
              </w:rPr>
              <w:t>支持文档操作和审计功能，可以审计记录客户端对U盘、网络盘或指定磁盘位置的文件的复制、删除、打印等文件操作，并统一汇总在控制台上；支持跟踪操作到用户（非计算机），提供按用户名统计查看。可以记录共享的文件夹被其他终端的访问情况，记录内容包括资源名称、IP、访问动作（读、写）；可强制关闭终端的系统默认共享或者远程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Align w:val="center"/>
          </w:tcPr>
          <w:p>
            <w:pPr>
              <w:widowControl/>
              <w:spacing w:line="360" w:lineRule="auto"/>
              <w:rPr>
                <w:rFonts w:ascii="宋体" w:hAnsi="宋体" w:cs="宋体"/>
                <w:kern w:val="0"/>
                <w:szCs w:val="21"/>
              </w:rPr>
            </w:pPr>
            <w:r>
              <w:rPr>
                <w:rFonts w:hint="eastAsia" w:ascii="宋体" w:hAnsi="宋体" w:cs="宋体"/>
                <w:kern w:val="0"/>
                <w:szCs w:val="21"/>
              </w:rPr>
              <w:t>XP防护</w:t>
            </w:r>
          </w:p>
        </w:tc>
        <w:tc>
          <w:tcPr>
            <w:tcW w:w="6669" w:type="dxa"/>
            <w:vAlign w:val="center"/>
          </w:tcPr>
          <w:p>
            <w:pPr>
              <w:widowControl/>
              <w:spacing w:line="360" w:lineRule="auto"/>
              <w:rPr>
                <w:rFonts w:hint="eastAsia" w:ascii="宋体" w:hAnsi="宋体" w:eastAsia="宋体" w:cs="宋体"/>
                <w:kern w:val="0"/>
                <w:szCs w:val="21"/>
                <w:lang w:eastAsia="zh-CN"/>
              </w:rPr>
            </w:pPr>
            <w:r>
              <w:rPr>
                <w:rFonts w:hint="eastAsia" w:ascii="宋体" w:hAnsi="宋体" w:cs="宋体"/>
                <w:kern w:val="0"/>
                <w:szCs w:val="21"/>
              </w:rPr>
              <w:t>支持针对Windows XP系统可带来安全隐患的设计机制进行加固性修复，支持远程漏洞攻击防护、本地钓鱼攻击防护和浏览器漏洞攻击防护；提供截图</w:t>
            </w:r>
            <w:r>
              <w:rPr>
                <w:rFonts w:hint="eastAsia" w:ascii="宋体" w:hAnsi="宋体" w:cs="宋体"/>
                <w:kern w:val="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Align w:val="center"/>
          </w:tcPr>
          <w:p>
            <w:pPr>
              <w:widowControl/>
              <w:spacing w:line="360" w:lineRule="auto"/>
              <w:rPr>
                <w:rFonts w:ascii="宋体" w:hAnsi="宋体" w:cs="宋体"/>
                <w:kern w:val="0"/>
                <w:szCs w:val="21"/>
              </w:rPr>
            </w:pPr>
            <w:r>
              <w:rPr>
                <w:rFonts w:hint="eastAsia" w:ascii="宋体" w:hAnsi="宋体" w:cs="宋体"/>
                <w:kern w:val="0"/>
                <w:szCs w:val="21"/>
              </w:rPr>
              <w:t>U盘审计与统一管理</w:t>
            </w:r>
          </w:p>
        </w:tc>
        <w:tc>
          <w:tcPr>
            <w:tcW w:w="6669" w:type="dxa"/>
            <w:vAlign w:val="center"/>
          </w:tcPr>
          <w:p>
            <w:pPr>
              <w:widowControl/>
              <w:spacing w:line="360" w:lineRule="auto"/>
              <w:rPr>
                <w:rFonts w:hint="eastAsia" w:ascii="宋体" w:hAnsi="宋体" w:cs="宋体"/>
                <w:kern w:val="0"/>
                <w:szCs w:val="21"/>
              </w:rPr>
            </w:pPr>
            <w:r>
              <w:rPr>
                <w:rFonts w:hint="eastAsia" w:ascii="宋体" w:hAnsi="宋体" w:cs="宋体"/>
                <w:kern w:val="0"/>
                <w:szCs w:val="21"/>
              </w:rPr>
              <w:t xml:space="preserve">支持U盘的使用审计与统一管理：可以禁止使用未登记的U盘、允许使用已经登记的U盘、禁止使用已经登记的U盘；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859" w:type="dxa"/>
            <w:vAlign w:val="center"/>
          </w:tcPr>
          <w:p>
            <w:pPr>
              <w:widowControl/>
              <w:spacing w:line="360" w:lineRule="auto"/>
              <w:rPr>
                <w:rFonts w:ascii="宋体" w:hAnsi="宋体" w:cs="宋体"/>
                <w:kern w:val="0"/>
                <w:szCs w:val="21"/>
              </w:rPr>
            </w:pPr>
            <w:r>
              <w:rPr>
                <w:rFonts w:hint="eastAsia" w:ascii="宋体" w:hAnsi="宋体" w:cs="宋体"/>
                <w:kern w:val="0"/>
                <w:szCs w:val="21"/>
              </w:rPr>
              <w:t>网络安全审计</w:t>
            </w:r>
          </w:p>
        </w:tc>
        <w:tc>
          <w:tcPr>
            <w:tcW w:w="6669" w:type="dxa"/>
            <w:vAlign w:val="center"/>
          </w:tcPr>
          <w:p>
            <w:pPr>
              <w:widowControl/>
              <w:spacing w:line="360" w:lineRule="auto"/>
              <w:rPr>
                <w:rFonts w:hint="eastAsia" w:ascii="宋体" w:hAnsi="宋体" w:eastAsia="宋体" w:cs="宋体"/>
                <w:kern w:val="0"/>
                <w:szCs w:val="21"/>
                <w:lang w:eastAsia="zh-CN"/>
              </w:rPr>
            </w:pPr>
            <w:r>
              <w:rPr>
                <w:rFonts w:hint="eastAsia" w:ascii="宋体" w:hAnsi="宋体" w:cs="宋体"/>
                <w:kern w:val="0"/>
                <w:szCs w:val="21"/>
              </w:rPr>
              <w:t>网络安全审计：可对不符合以下检测规则的终端进行网络隔离，防止其访问其他网络资源</w:t>
            </w:r>
            <w:r>
              <w:rPr>
                <w:rFonts w:hint="eastAsia" w:ascii="宋体" w:hAnsi="宋体" w:cs="宋体"/>
                <w:kern w:val="0"/>
                <w:szCs w:val="21"/>
                <w:lang w:eastAsia="zh-CN"/>
              </w:rPr>
              <w:t>；</w:t>
            </w:r>
          </w:p>
          <w:p>
            <w:pPr>
              <w:widowControl/>
              <w:spacing w:line="360" w:lineRule="auto"/>
              <w:rPr>
                <w:rFonts w:hint="eastAsia" w:ascii="宋体" w:hAnsi="宋体" w:cs="宋体"/>
                <w:kern w:val="0"/>
                <w:szCs w:val="21"/>
              </w:rPr>
            </w:pPr>
            <w:r>
              <w:rPr>
                <w:rFonts w:hint="eastAsia" w:ascii="宋体" w:hAnsi="宋体" w:cs="宋体"/>
                <w:kern w:val="0"/>
                <w:szCs w:val="21"/>
              </w:rPr>
              <w:t>IP地址管理和ARP防护客户端IP防篡改，防止终端用户自己随意更改本机IP地址；防止本机发ARP欺骗包，并检测内网的恶意ARP欺骗包；本机IP保护功能，可以防止IP地址冲突时，本机网络断开；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1859" w:type="dxa"/>
            <w:vAlign w:val="center"/>
          </w:tcPr>
          <w:p>
            <w:pPr>
              <w:widowControl/>
              <w:spacing w:line="360" w:lineRule="auto"/>
              <w:rPr>
                <w:rFonts w:ascii="宋体" w:hAnsi="宋体" w:cs="宋体"/>
                <w:kern w:val="0"/>
                <w:szCs w:val="21"/>
              </w:rPr>
            </w:pPr>
            <w:r>
              <w:rPr>
                <w:rFonts w:hint="eastAsia" w:ascii="宋体" w:hAnsi="宋体" w:cs="宋体"/>
                <w:kern w:val="0"/>
                <w:szCs w:val="21"/>
              </w:rPr>
              <w:t>产品资质</w:t>
            </w:r>
          </w:p>
        </w:tc>
        <w:tc>
          <w:tcPr>
            <w:tcW w:w="6669" w:type="dxa"/>
            <w:vAlign w:val="center"/>
          </w:tcPr>
          <w:p>
            <w:pPr>
              <w:widowControl/>
              <w:spacing w:line="360" w:lineRule="auto"/>
              <w:rPr>
                <w:rFonts w:hint="eastAsia" w:ascii="宋体" w:hAnsi="宋体" w:cs="宋体"/>
                <w:kern w:val="0"/>
                <w:szCs w:val="21"/>
              </w:rPr>
            </w:pPr>
            <w:r>
              <w:rPr>
                <w:rFonts w:hint="eastAsia" w:ascii="宋体" w:hAnsi="宋体" w:cs="宋体"/>
                <w:kern w:val="0"/>
                <w:szCs w:val="21"/>
              </w:rPr>
              <w:t>具有公安部安全产品销售许可证书且标注为一级品；</w:t>
            </w:r>
          </w:p>
        </w:tc>
      </w:tr>
    </w:tbl>
    <w:p>
      <w:pPr>
        <w:pStyle w:val="71"/>
        <w:spacing w:line="360" w:lineRule="auto"/>
        <w:ind w:firstLine="420" w:firstLineChars="200"/>
        <w:rPr>
          <w:rFonts w:ascii="宋体" w:hAnsi="宋体" w:cs="宋体"/>
          <w:color w:val="000000" w:themeColor="text1"/>
          <w:lang w:bidi="ar"/>
          <w14:textFill>
            <w14:solidFill>
              <w14:schemeClr w14:val="tx1"/>
            </w14:solidFill>
          </w14:textFill>
        </w:rPr>
      </w:pPr>
    </w:p>
    <w:p>
      <w:pPr>
        <w:pStyle w:val="71"/>
        <w:spacing w:line="360" w:lineRule="auto"/>
        <w:rPr>
          <w:rFonts w:ascii="宋体" w:hAnsi="宋体"/>
          <w:b/>
          <w:kern w:val="2"/>
          <w:sz w:val="24"/>
          <w:szCs w:val="24"/>
        </w:rPr>
      </w:pPr>
      <w:r>
        <w:rPr>
          <w:rFonts w:hint="eastAsia" w:ascii="宋体" w:hAnsi="宋体"/>
          <w:b/>
          <w:sz w:val="24"/>
        </w:rPr>
        <w:t>4、</w:t>
      </w:r>
      <w:r>
        <w:rPr>
          <w:rFonts w:hint="eastAsia" w:ascii="宋体" w:hAnsi="宋体"/>
          <w:b/>
          <w:kern w:val="2"/>
          <w:sz w:val="24"/>
          <w:szCs w:val="24"/>
        </w:rPr>
        <w:t>集成实施服务要求</w:t>
      </w:r>
    </w:p>
    <w:p>
      <w:pPr>
        <w:pStyle w:val="71"/>
        <w:spacing w:line="360" w:lineRule="auto"/>
        <w:rPr>
          <w:rFonts w:ascii="宋体" w:hAnsi="宋体"/>
          <w:b/>
          <w:kern w:val="2"/>
          <w:sz w:val="24"/>
          <w:szCs w:val="24"/>
        </w:rPr>
      </w:pPr>
      <w:r>
        <w:rPr>
          <w:rFonts w:hint="eastAsia" w:ascii="宋体" w:hAnsi="宋体"/>
          <w:b/>
          <w:kern w:val="2"/>
          <w:sz w:val="24"/>
          <w:szCs w:val="24"/>
        </w:rPr>
        <w:t>4</w:t>
      </w:r>
      <w:r>
        <w:rPr>
          <w:rFonts w:ascii="宋体" w:hAnsi="宋体"/>
          <w:b/>
          <w:kern w:val="2"/>
          <w:sz w:val="24"/>
          <w:szCs w:val="24"/>
        </w:rPr>
        <w:t>.1</w:t>
      </w:r>
      <w:r>
        <w:rPr>
          <w:rFonts w:hint="eastAsia" w:ascii="宋体" w:hAnsi="宋体"/>
          <w:b/>
          <w:kern w:val="2"/>
          <w:sz w:val="24"/>
          <w:szCs w:val="24"/>
        </w:rPr>
        <w:t>总体要求</w:t>
      </w:r>
    </w:p>
    <w:p>
      <w:pPr>
        <w:adjustRightInd w:val="0"/>
        <w:snapToGrid w:val="0"/>
        <w:spacing w:line="360" w:lineRule="auto"/>
        <w:ind w:firstLine="480" w:firstLineChars="200"/>
        <w:rPr>
          <w:rFonts w:ascii="宋体" w:hAnsi="宋体"/>
          <w:sz w:val="24"/>
        </w:rPr>
      </w:pPr>
      <w:r>
        <w:rPr>
          <w:rFonts w:hint="eastAsia" w:ascii="宋体" w:hAnsi="宋体"/>
          <w:sz w:val="24"/>
        </w:rPr>
        <w:t>1）本项目属于“交钥匙”工程，即所提供的软、硬件产品按招标方的要求采购、安装、调试。本次项目中要求中标人针对采购人提供数据库改造迁移服务、存储数据迁移等服务，协助采购方完成于本次项目相关的系统调整和优化等工作，中标方须提供项目集成实施服务，并提供五年售后免费现场技术支持服务，中标方须对系统集成的完整性负责，如相关配件在招标清单中未列出但安装所采购设备时须用到，中标人须提供，产生的一切费用，均由中标方负责。</w:t>
      </w:r>
    </w:p>
    <w:p>
      <w:pPr>
        <w:adjustRightInd w:val="0"/>
        <w:snapToGrid w:val="0"/>
        <w:spacing w:line="360" w:lineRule="auto"/>
        <w:ind w:firstLine="480" w:firstLineChars="200"/>
        <w:rPr>
          <w:rFonts w:ascii="宋体" w:hAnsi="宋体"/>
          <w:sz w:val="24"/>
        </w:rPr>
      </w:pPr>
      <w:r>
        <w:rPr>
          <w:rFonts w:hint="eastAsia" w:ascii="宋体" w:hAnsi="宋体"/>
          <w:sz w:val="24"/>
        </w:rPr>
        <w:t>2）项目实施期间发生的所有劳务支出、安全保险、住宿、运输、税金、验收等一切费用都已包含在</w:t>
      </w:r>
      <w:r>
        <w:rPr>
          <w:rFonts w:hint="eastAsia" w:ascii="宋体" w:hAnsi="宋体"/>
          <w:strike/>
          <w:dstrike w:val="0"/>
          <w:sz w:val="24"/>
        </w:rPr>
        <w:t>竞</w:t>
      </w:r>
      <w:r>
        <w:rPr>
          <w:rFonts w:hint="eastAsia" w:ascii="宋体" w:hAnsi="宋体"/>
          <w:sz w:val="24"/>
        </w:rPr>
        <w:t>投</w:t>
      </w:r>
      <w:r>
        <w:rPr>
          <w:rFonts w:hint="eastAsia" w:ascii="宋体" w:hAnsi="宋体"/>
          <w:sz w:val="24"/>
          <w:lang w:val="en-US" w:eastAsia="zh-CN"/>
        </w:rPr>
        <w:t>标</w:t>
      </w:r>
      <w:r>
        <w:rPr>
          <w:rFonts w:hint="eastAsia" w:ascii="宋体" w:hAnsi="宋体"/>
          <w:sz w:val="24"/>
        </w:rPr>
        <w:t>报价中，由中标方自行负责。</w:t>
      </w:r>
    </w:p>
    <w:p>
      <w:pPr>
        <w:adjustRightInd w:val="0"/>
        <w:snapToGrid w:val="0"/>
        <w:spacing w:line="360" w:lineRule="auto"/>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）投标人须具有数据库迁移项目实施经验（提供相应的合同复印件等证明材料），投标人具有</w:t>
      </w:r>
      <w:r>
        <w:rPr>
          <w:rFonts w:ascii="宋体" w:hAnsi="宋体"/>
          <w:sz w:val="24"/>
        </w:rPr>
        <w:t>Oracle OCP</w:t>
      </w:r>
      <w:r>
        <w:rPr>
          <w:rFonts w:hint="eastAsia" w:ascii="宋体" w:hAnsi="宋体"/>
          <w:sz w:val="24"/>
        </w:rPr>
        <w:t>或以上认证的数据库工程师。</w:t>
      </w:r>
    </w:p>
    <w:p>
      <w:pPr>
        <w:pStyle w:val="71"/>
        <w:spacing w:line="360" w:lineRule="auto"/>
        <w:rPr>
          <w:rFonts w:ascii="宋体" w:hAnsi="宋体"/>
          <w:b/>
          <w:kern w:val="2"/>
          <w:sz w:val="24"/>
          <w:szCs w:val="24"/>
        </w:rPr>
      </w:pPr>
      <w:r>
        <w:rPr>
          <w:rFonts w:ascii="宋体" w:hAnsi="宋体"/>
          <w:b/>
          <w:kern w:val="2"/>
          <w:sz w:val="24"/>
          <w:szCs w:val="24"/>
        </w:rPr>
        <w:t>4.2</w:t>
      </w:r>
      <w:r>
        <w:rPr>
          <w:rFonts w:hint="eastAsia" w:ascii="宋体" w:hAnsi="宋体"/>
          <w:b/>
          <w:kern w:val="2"/>
          <w:sz w:val="24"/>
          <w:szCs w:val="24"/>
        </w:rPr>
        <w:t>具体实施要求</w:t>
      </w:r>
    </w:p>
    <w:p>
      <w:pPr>
        <w:adjustRightInd w:val="0"/>
        <w:snapToGrid w:val="0"/>
        <w:spacing w:line="360" w:lineRule="auto"/>
        <w:ind w:firstLine="480" w:firstLineChars="200"/>
        <w:rPr>
          <w:rFonts w:ascii="宋体" w:hAnsi="宋体"/>
          <w:sz w:val="24"/>
        </w:rPr>
      </w:pPr>
      <w:r>
        <w:rPr>
          <w:rFonts w:hint="eastAsia" w:ascii="宋体" w:hAnsi="宋体"/>
          <w:sz w:val="24"/>
        </w:rPr>
        <w:t>1）完成设备安装、上电、测试、初始化配置等工作，需满足客户环境的实际需求。</w:t>
      </w:r>
    </w:p>
    <w:p>
      <w:pPr>
        <w:adjustRightInd w:val="0"/>
        <w:snapToGrid w:val="0"/>
        <w:spacing w:line="360" w:lineRule="auto"/>
        <w:ind w:firstLine="480" w:firstLineChars="200"/>
        <w:rPr>
          <w:rFonts w:ascii="宋体" w:hAnsi="宋体"/>
          <w:sz w:val="24"/>
        </w:rPr>
      </w:pPr>
      <w:r>
        <w:rPr>
          <w:rFonts w:hint="eastAsia" w:ascii="宋体" w:hAnsi="宋体"/>
          <w:sz w:val="24"/>
        </w:rPr>
        <w:t>2）中标方需确保新购部件许可，能与甲方现有环境兼容，并满足项目功能需求，不得影响甲方现有业务系统的稳定运行。</w:t>
      </w:r>
    </w:p>
    <w:p>
      <w:pPr>
        <w:adjustRightInd w:val="0"/>
        <w:snapToGrid w:val="0"/>
        <w:spacing w:line="360" w:lineRule="auto"/>
        <w:ind w:firstLine="480" w:firstLineChars="200"/>
        <w:rPr>
          <w:rFonts w:ascii="宋体" w:hAnsi="宋体"/>
          <w:sz w:val="24"/>
        </w:rPr>
      </w:pPr>
      <w:r>
        <w:rPr>
          <w:rFonts w:ascii="宋体" w:hAnsi="宋体"/>
          <w:sz w:val="24"/>
        </w:rPr>
        <w:t>3</w:t>
      </w:r>
      <w:r>
        <w:rPr>
          <w:rFonts w:hint="eastAsia" w:ascii="宋体" w:hAnsi="宋体"/>
          <w:sz w:val="24"/>
        </w:rPr>
        <w:t>）至少完成5套</w:t>
      </w:r>
      <w:r>
        <w:rPr>
          <w:rFonts w:ascii="宋体" w:hAnsi="宋体"/>
          <w:sz w:val="24"/>
        </w:rPr>
        <w:t>O</w:t>
      </w:r>
      <w:r>
        <w:rPr>
          <w:rFonts w:hint="eastAsia" w:ascii="宋体" w:hAnsi="宋体"/>
          <w:sz w:val="24"/>
        </w:rPr>
        <w:t>ra</w:t>
      </w:r>
      <w:r>
        <w:rPr>
          <w:rFonts w:ascii="宋体" w:hAnsi="宋体"/>
          <w:sz w:val="24"/>
        </w:rPr>
        <w:t>cle</w:t>
      </w:r>
      <w:r>
        <w:rPr>
          <w:rFonts w:hint="eastAsia" w:ascii="宋体" w:hAnsi="宋体"/>
          <w:sz w:val="24"/>
        </w:rPr>
        <w:t>数据库改造及迁移工作、7套数据库的在线迁移工作，最终数据库改造迁移数量以采购人实际需求为准。</w:t>
      </w:r>
    </w:p>
    <w:p>
      <w:pPr>
        <w:adjustRightInd w:val="0"/>
        <w:snapToGrid w:val="0"/>
        <w:spacing w:line="360" w:lineRule="auto"/>
        <w:ind w:firstLine="480" w:firstLineChars="200"/>
        <w:rPr>
          <w:rFonts w:ascii="宋体" w:hAnsi="宋体"/>
          <w:sz w:val="24"/>
        </w:rPr>
      </w:pPr>
      <w:r>
        <w:rPr>
          <w:rFonts w:hint="eastAsia" w:ascii="宋体" w:hAnsi="宋体"/>
          <w:sz w:val="24"/>
        </w:rPr>
        <w:t>4）新购服务器加入原有虚拟机环境，完成应用迁移工作。</w:t>
      </w:r>
    </w:p>
    <w:p>
      <w:pPr>
        <w:adjustRightInd w:val="0"/>
        <w:snapToGrid w:val="0"/>
        <w:spacing w:line="360" w:lineRule="auto"/>
        <w:ind w:firstLine="480" w:firstLineChars="200"/>
        <w:rPr>
          <w:rFonts w:ascii="宋体" w:hAnsi="宋体"/>
          <w:sz w:val="24"/>
        </w:rPr>
      </w:pPr>
      <w:r>
        <w:rPr>
          <w:rFonts w:hint="eastAsia" w:ascii="宋体" w:hAnsi="宋体"/>
          <w:sz w:val="24"/>
        </w:rPr>
        <w:t>5）完成系统测试等相关工作。</w:t>
      </w:r>
    </w:p>
    <w:p>
      <w:pPr>
        <w:pStyle w:val="71"/>
        <w:adjustRightInd w:val="0"/>
        <w:snapToGrid w:val="0"/>
        <w:spacing w:line="360" w:lineRule="auto"/>
        <w:rPr>
          <w:rFonts w:ascii="宋体" w:hAnsi="宋体"/>
          <w:b/>
          <w:kern w:val="2"/>
          <w:sz w:val="24"/>
          <w:szCs w:val="24"/>
        </w:rPr>
      </w:pPr>
      <w:r>
        <w:rPr>
          <w:rFonts w:ascii="宋体" w:hAnsi="宋体"/>
          <w:b/>
          <w:kern w:val="2"/>
          <w:sz w:val="24"/>
          <w:szCs w:val="24"/>
        </w:rPr>
        <w:t>4.3</w:t>
      </w:r>
      <w:r>
        <w:rPr>
          <w:rFonts w:hint="eastAsia" w:ascii="宋体" w:hAnsi="宋体"/>
          <w:b/>
          <w:kern w:val="2"/>
          <w:sz w:val="24"/>
          <w:szCs w:val="24"/>
        </w:rPr>
        <w:t>售后服务要求</w:t>
      </w:r>
    </w:p>
    <w:p>
      <w:pPr>
        <w:adjustRightInd w:val="0"/>
        <w:snapToGrid w:val="0"/>
        <w:spacing w:line="360" w:lineRule="auto"/>
        <w:ind w:firstLine="480" w:firstLineChars="200"/>
        <w:rPr>
          <w:rFonts w:hint="eastAsia" w:ascii="宋体" w:hAnsi="宋体"/>
          <w:sz w:val="24"/>
        </w:rPr>
      </w:pPr>
      <w:r>
        <w:rPr>
          <w:rFonts w:hint="eastAsia" w:ascii="宋体" w:hAnsi="宋体"/>
          <w:sz w:val="24"/>
        </w:rPr>
        <w:t>1）对所提交的设备提供自“终验合格”签署之日起5年的免费质保期（扩容设备除外）。</w:t>
      </w:r>
    </w:p>
    <w:p>
      <w:pPr>
        <w:adjustRightInd w:val="0"/>
        <w:snapToGrid w:val="0"/>
        <w:spacing w:line="360" w:lineRule="auto"/>
        <w:ind w:firstLine="480" w:firstLineChars="200"/>
        <w:rPr>
          <w:rFonts w:hint="eastAsia" w:ascii="宋体" w:hAnsi="宋体"/>
          <w:sz w:val="24"/>
        </w:rPr>
      </w:pPr>
      <w:r>
        <w:rPr>
          <w:rFonts w:hint="eastAsia" w:ascii="宋体" w:hAnsi="宋体"/>
          <w:sz w:val="24"/>
        </w:rPr>
        <w:t>2）在质保期内均提供7*24小时上门维护、升级服务，对故障即时响应，</w:t>
      </w:r>
      <w:r>
        <w:rPr>
          <w:rFonts w:hint="eastAsia" w:ascii="宋体" w:hAnsi="宋体"/>
          <w:color w:val="FF0000"/>
          <w:sz w:val="24"/>
          <w:lang w:val="en-US" w:eastAsia="zh-CN"/>
        </w:rPr>
        <w:t>6</w:t>
      </w:r>
      <w:r>
        <w:rPr>
          <w:rFonts w:hint="eastAsia" w:ascii="宋体" w:hAnsi="宋体"/>
          <w:sz w:val="24"/>
        </w:rPr>
        <w:t>小时以内到现场，到达现场后2小时以内提出问题解决方案并实施,在故障发生后12小时内解决问题。逾期未作出响应，投标人应承担由于故障所造成的全部损失。质保期内产生的维护费用均由投标人承担。</w:t>
      </w:r>
    </w:p>
    <w:p>
      <w:pPr>
        <w:pStyle w:val="71"/>
        <w:spacing w:line="360" w:lineRule="auto"/>
        <w:rPr>
          <w:rFonts w:ascii="宋体" w:hAnsi="宋体"/>
          <w:b/>
          <w:sz w:val="24"/>
        </w:rPr>
      </w:pPr>
      <w:r>
        <w:rPr>
          <w:rFonts w:ascii="宋体" w:hAnsi="宋体"/>
          <w:b/>
          <w:sz w:val="24"/>
        </w:rPr>
        <w:t>4.4</w:t>
      </w:r>
      <w:r>
        <w:rPr>
          <w:rFonts w:hint="eastAsia" w:ascii="宋体" w:hAnsi="宋体"/>
          <w:b/>
          <w:sz w:val="24"/>
        </w:rPr>
        <w:t>技术培训</w:t>
      </w:r>
    </w:p>
    <w:p>
      <w:pPr>
        <w:adjustRightInd w:val="0"/>
        <w:snapToGrid w:val="0"/>
        <w:spacing w:line="360" w:lineRule="auto"/>
        <w:ind w:firstLine="480" w:firstLineChars="200"/>
        <w:rPr>
          <w:rFonts w:hint="eastAsia" w:ascii="宋体" w:hAnsi="宋体"/>
          <w:sz w:val="24"/>
        </w:rPr>
      </w:pPr>
      <w:r>
        <w:rPr>
          <w:rFonts w:hint="eastAsia" w:ascii="宋体" w:hAnsi="宋体" w:cs="宋体"/>
          <w:kern w:val="0"/>
          <w:sz w:val="24"/>
        </w:rPr>
        <w:t>根据实际项目实</w:t>
      </w:r>
      <w:r>
        <w:rPr>
          <w:rFonts w:hint="eastAsia" w:ascii="宋体" w:hAnsi="宋体"/>
          <w:sz w:val="24"/>
        </w:rPr>
        <w:t>施，提供用户的现场技术培训，包括产品的功能、部署条件、部署步骤和注意事项、产品升级、日常维护事项等方面，使用户达到能独立进行管理、维护测试和故障处理等工作，以使所提供的软硬件产品能够正常、安全的运行。</w:t>
      </w:r>
    </w:p>
    <w:p>
      <w:pPr>
        <w:adjustRightInd w:val="0"/>
        <w:snapToGrid w:val="0"/>
        <w:spacing w:line="360" w:lineRule="auto"/>
        <w:ind w:firstLine="480" w:firstLineChars="200"/>
        <w:rPr>
          <w:rFonts w:ascii="宋体" w:hAnsi="宋体" w:cs="宋体"/>
          <w:kern w:val="0"/>
          <w:sz w:val="24"/>
        </w:rPr>
      </w:pPr>
      <w:r>
        <w:rPr>
          <w:rFonts w:hint="eastAsia" w:ascii="宋体" w:hAnsi="宋体"/>
          <w:sz w:val="24"/>
        </w:rPr>
        <w:t>所有培训所涉及的所有费用应由中标人出资，不得另行向采购人收取</w:t>
      </w:r>
      <w:r>
        <w:rPr>
          <w:rFonts w:hint="eastAsia" w:ascii="宋体" w:hAnsi="宋体" w:cs="宋体"/>
          <w:kern w:val="0"/>
          <w:sz w:val="24"/>
        </w:rPr>
        <w:t>。</w:t>
      </w:r>
    </w:p>
    <w:p>
      <w:pPr>
        <w:pStyle w:val="71"/>
        <w:spacing w:line="360" w:lineRule="auto"/>
        <w:rPr>
          <w:rFonts w:ascii="宋体" w:hAnsi="宋体"/>
          <w:b/>
          <w:sz w:val="24"/>
        </w:rPr>
      </w:pPr>
      <w:r>
        <w:rPr>
          <w:rFonts w:hint="eastAsia" w:ascii="宋体" w:hAnsi="宋体"/>
          <w:b/>
          <w:sz w:val="24"/>
        </w:rPr>
        <w:t>4</w:t>
      </w:r>
      <w:r>
        <w:rPr>
          <w:rFonts w:ascii="宋体" w:hAnsi="宋体"/>
          <w:b/>
          <w:sz w:val="24"/>
        </w:rPr>
        <w:t>.5</w:t>
      </w:r>
      <w:r>
        <w:rPr>
          <w:rFonts w:hint="eastAsia" w:ascii="宋体" w:hAnsi="宋体"/>
          <w:b/>
          <w:sz w:val="24"/>
        </w:rPr>
        <w:t>验收要求</w:t>
      </w:r>
    </w:p>
    <w:p>
      <w:pPr>
        <w:adjustRightInd w:val="0"/>
        <w:snapToGrid w:val="0"/>
        <w:spacing w:line="360" w:lineRule="auto"/>
        <w:ind w:firstLine="480" w:firstLineChars="200"/>
        <w:rPr>
          <w:rFonts w:hint="eastAsia" w:ascii="宋体" w:hAnsi="宋体"/>
          <w:sz w:val="24"/>
        </w:rPr>
      </w:pPr>
      <w:r>
        <w:rPr>
          <w:rFonts w:hint="eastAsia" w:ascii="宋体" w:hAnsi="宋体" w:cs="宋体"/>
          <w:kern w:val="0"/>
          <w:sz w:val="24"/>
        </w:rPr>
        <w:t>中</w:t>
      </w:r>
      <w:r>
        <w:rPr>
          <w:rFonts w:hint="eastAsia" w:ascii="宋体" w:hAnsi="宋体"/>
          <w:sz w:val="24"/>
        </w:rPr>
        <w:t>标人应负责在项目工程实施完成时将系统的全部有关技术文件、图表资料及测试、验收报告等文档汇集成册交付采购人，包括但不限于以下文档：</w:t>
      </w:r>
    </w:p>
    <w:p>
      <w:pPr>
        <w:adjustRightInd w:val="0"/>
        <w:snapToGrid w:val="0"/>
        <w:spacing w:line="360" w:lineRule="auto"/>
        <w:ind w:firstLine="480" w:firstLineChars="200"/>
        <w:rPr>
          <w:rFonts w:hint="eastAsia" w:ascii="宋体" w:hAnsi="宋体"/>
          <w:sz w:val="24"/>
        </w:rPr>
      </w:pPr>
      <w:r>
        <w:rPr>
          <w:rFonts w:hint="eastAsia" w:ascii="宋体" w:hAnsi="宋体"/>
          <w:sz w:val="24"/>
        </w:rPr>
        <w:t>项目投标文件</w:t>
      </w:r>
    </w:p>
    <w:p>
      <w:pPr>
        <w:adjustRightInd w:val="0"/>
        <w:snapToGrid w:val="0"/>
        <w:spacing w:line="360" w:lineRule="auto"/>
        <w:ind w:firstLine="480" w:firstLineChars="200"/>
        <w:rPr>
          <w:rFonts w:hint="eastAsia" w:ascii="宋体" w:hAnsi="宋体"/>
          <w:sz w:val="24"/>
        </w:rPr>
      </w:pPr>
      <w:r>
        <w:rPr>
          <w:rFonts w:hint="eastAsia" w:ascii="宋体" w:hAnsi="宋体"/>
          <w:sz w:val="24"/>
        </w:rPr>
        <w:t>项目实施方案</w:t>
      </w:r>
    </w:p>
    <w:p>
      <w:pPr>
        <w:adjustRightInd w:val="0"/>
        <w:snapToGrid w:val="0"/>
        <w:spacing w:line="360" w:lineRule="auto"/>
        <w:ind w:firstLine="480" w:firstLineChars="200"/>
        <w:rPr>
          <w:rFonts w:hint="eastAsia" w:ascii="宋体" w:hAnsi="宋体"/>
          <w:sz w:val="24"/>
        </w:rPr>
      </w:pPr>
      <w:r>
        <w:rPr>
          <w:rFonts w:hint="eastAsia" w:ascii="宋体" w:hAnsi="宋体"/>
          <w:sz w:val="24"/>
        </w:rPr>
        <w:t>产品安装实施报告</w:t>
      </w:r>
    </w:p>
    <w:p>
      <w:pPr>
        <w:adjustRightInd w:val="0"/>
        <w:snapToGrid w:val="0"/>
        <w:spacing w:line="360" w:lineRule="auto"/>
        <w:ind w:firstLine="480" w:firstLineChars="200"/>
        <w:rPr>
          <w:rFonts w:hint="eastAsia" w:ascii="宋体" w:hAnsi="宋体"/>
          <w:sz w:val="24"/>
        </w:rPr>
      </w:pPr>
      <w:r>
        <w:rPr>
          <w:rFonts w:hint="eastAsia" w:ascii="宋体" w:hAnsi="宋体"/>
          <w:sz w:val="24"/>
        </w:rPr>
        <w:t>系统测试报告</w:t>
      </w:r>
    </w:p>
    <w:p>
      <w:pPr>
        <w:adjustRightInd w:val="0"/>
        <w:snapToGrid w:val="0"/>
        <w:spacing w:line="360" w:lineRule="auto"/>
        <w:ind w:firstLine="480" w:firstLineChars="200"/>
        <w:rPr>
          <w:rFonts w:hint="eastAsia" w:ascii="宋体" w:hAnsi="宋体"/>
          <w:sz w:val="24"/>
        </w:rPr>
      </w:pPr>
      <w:r>
        <w:rPr>
          <w:rFonts w:hint="eastAsia" w:ascii="宋体" w:hAnsi="宋体"/>
          <w:sz w:val="24"/>
        </w:rPr>
        <w:t>项目完工总结报告</w:t>
      </w:r>
    </w:p>
    <w:p>
      <w:pPr>
        <w:adjustRightInd w:val="0"/>
        <w:snapToGrid w:val="0"/>
        <w:spacing w:line="360" w:lineRule="auto"/>
        <w:ind w:firstLine="480" w:firstLineChars="200"/>
        <w:rPr>
          <w:rFonts w:hint="eastAsia" w:ascii="宋体" w:hAnsi="宋体"/>
          <w:sz w:val="24"/>
        </w:rPr>
      </w:pPr>
      <w:r>
        <w:rPr>
          <w:rFonts w:hint="eastAsia" w:ascii="宋体" w:hAnsi="宋体"/>
          <w:sz w:val="24"/>
        </w:rPr>
        <w:t>系统安装维护手册</w:t>
      </w:r>
    </w:p>
    <w:p>
      <w:pPr>
        <w:pStyle w:val="2"/>
        <w:numPr>
          <w:ilvl w:val="255"/>
          <w:numId w:val="0"/>
        </w:numPr>
        <w:rPr>
          <w:rFonts w:hint="eastAsia" w:ascii="宋体" w:hAnsi="宋体"/>
          <w:sz w:val="24"/>
        </w:rPr>
      </w:pPr>
      <w:r>
        <w:rPr>
          <w:rFonts w:hint="eastAsia" w:ascii="宋体" w:hAnsi="宋体"/>
          <w:sz w:val="24"/>
        </w:rPr>
        <w:t>其他所有项目实施过程中产生的文档。</w:t>
      </w:r>
    </w:p>
    <w:p>
      <w:pPr>
        <w:pStyle w:val="2"/>
        <w:numPr>
          <w:ilvl w:val="255"/>
          <w:numId w:val="0"/>
        </w:numPr>
        <w:rPr>
          <w:rFonts w:hint="eastAsia" w:ascii="宋体" w:hAnsi="宋体"/>
          <w:sz w:val="24"/>
        </w:rPr>
      </w:pPr>
    </w:p>
    <w:p>
      <w:pPr>
        <w:ind w:firstLine="1054" w:firstLineChars="500"/>
        <w:jc w:val="left"/>
        <w:rPr>
          <w:b/>
        </w:rPr>
      </w:pPr>
    </w:p>
    <w:p>
      <w:pPr>
        <w:pStyle w:val="13"/>
        <w:snapToGrid w:val="0"/>
        <w:spacing w:line="360" w:lineRule="auto"/>
        <w:outlineLvl w:val="0"/>
        <w:rPr>
          <w:rFonts w:hAnsi="宋体"/>
          <w:b/>
          <w:sz w:val="28"/>
          <w:szCs w:val="28"/>
        </w:rPr>
      </w:pPr>
      <w:r>
        <w:rPr>
          <w:rFonts w:hAnsi="宋体"/>
          <w:b/>
          <w:sz w:val="28"/>
          <w:szCs w:val="28"/>
        </w:rPr>
        <w:t>三、</w:t>
      </w:r>
      <w:r>
        <w:rPr>
          <w:rFonts w:hint="eastAsia" w:hAnsi="宋体"/>
          <w:b/>
          <w:sz w:val="28"/>
          <w:szCs w:val="28"/>
        </w:rPr>
        <w:t>商务需求</w:t>
      </w:r>
    </w:p>
    <w:p>
      <w:pPr>
        <w:pStyle w:val="13"/>
        <w:snapToGrid w:val="0"/>
        <w:spacing w:line="360" w:lineRule="auto"/>
        <w:outlineLvl w:val="0"/>
        <w:rPr>
          <w:rFonts w:hint="eastAsia" w:hAnsi="宋体"/>
          <w:b/>
          <w:sz w:val="24"/>
        </w:rPr>
      </w:pPr>
      <w:r>
        <w:rPr>
          <w:rFonts w:hint="eastAsia" w:hAnsi="宋体"/>
          <w:b/>
          <w:sz w:val="24"/>
        </w:rPr>
        <w:t>1、质保期：</w:t>
      </w:r>
    </w:p>
    <w:p>
      <w:pPr>
        <w:pStyle w:val="13"/>
        <w:snapToGrid w:val="0"/>
        <w:spacing w:line="360" w:lineRule="auto"/>
        <w:outlineLvl w:val="0"/>
        <w:rPr>
          <w:rFonts w:hint="eastAsia" w:hAnsi="宋体"/>
          <w:b/>
          <w:sz w:val="24"/>
          <w:lang w:val="en-US" w:eastAsia="zh-CN"/>
        </w:rPr>
      </w:pPr>
      <w:r>
        <w:rPr>
          <w:rFonts w:hint="eastAsia" w:hAnsi="宋体"/>
          <w:b/>
          <w:sz w:val="24"/>
          <w:lang w:val="en-US" w:eastAsia="zh-CN"/>
        </w:rPr>
        <w:t>第一标段：</w:t>
      </w:r>
      <w:r>
        <w:rPr>
          <w:rFonts w:hint="eastAsia" w:hAnsi="宋体"/>
          <w:b w:val="0"/>
          <w:bCs/>
          <w:sz w:val="24"/>
          <w:lang w:val="en-US" w:eastAsia="zh-CN"/>
        </w:rPr>
        <w:t>原厂</w:t>
      </w:r>
      <w:r>
        <w:rPr>
          <w:rFonts w:hint="eastAsia"/>
          <w:sz w:val="24"/>
          <w:szCs w:val="32"/>
          <w:lang w:val="en-US" w:eastAsia="zh-CN"/>
        </w:rPr>
        <w:t>质保五</w:t>
      </w:r>
      <w:r>
        <w:rPr>
          <w:rFonts w:hint="eastAsia"/>
          <w:sz w:val="24"/>
          <w:szCs w:val="32"/>
        </w:rPr>
        <w:t>年。</w:t>
      </w:r>
    </w:p>
    <w:p>
      <w:pPr>
        <w:pStyle w:val="13"/>
        <w:snapToGrid w:val="0"/>
        <w:spacing w:line="360" w:lineRule="auto"/>
        <w:outlineLvl w:val="0"/>
        <w:rPr>
          <w:rFonts w:asciiTheme="minorEastAsia" w:hAnsiTheme="minorEastAsia" w:eastAsiaTheme="minorEastAsia"/>
          <w:kern w:val="0"/>
          <w:sz w:val="24"/>
        </w:rPr>
      </w:pPr>
      <w:r>
        <w:rPr>
          <w:rFonts w:hint="eastAsia" w:hAnsi="宋体"/>
          <w:b/>
          <w:sz w:val="24"/>
          <w:lang w:val="en-US" w:eastAsia="zh-CN"/>
        </w:rPr>
        <w:t>第二标段：</w:t>
      </w:r>
      <w:r>
        <w:rPr>
          <w:rFonts w:hint="eastAsia" w:hAnsi="宋体"/>
          <w:b w:val="0"/>
          <w:bCs/>
          <w:sz w:val="24"/>
          <w:lang w:val="en-US" w:eastAsia="zh-CN"/>
        </w:rPr>
        <w:t>原厂</w:t>
      </w:r>
      <w:r>
        <w:rPr>
          <w:rFonts w:hint="eastAsia"/>
          <w:sz w:val="24"/>
          <w:szCs w:val="32"/>
          <w:lang w:val="en-US" w:eastAsia="zh-CN"/>
        </w:rPr>
        <w:t>质保五</w:t>
      </w:r>
      <w:r>
        <w:rPr>
          <w:rFonts w:hint="eastAsia"/>
          <w:sz w:val="24"/>
          <w:szCs w:val="32"/>
        </w:rPr>
        <w:t>年。</w:t>
      </w:r>
    </w:p>
    <w:p>
      <w:pPr>
        <w:pStyle w:val="13"/>
        <w:snapToGrid w:val="0"/>
        <w:spacing w:line="360" w:lineRule="auto"/>
        <w:outlineLvl w:val="0"/>
        <w:rPr>
          <w:rFonts w:hAnsi="宋体"/>
          <w:sz w:val="24"/>
        </w:rPr>
      </w:pPr>
      <w:r>
        <w:rPr>
          <w:rFonts w:hint="eastAsia" w:hAnsi="宋体"/>
          <w:b/>
          <w:sz w:val="24"/>
        </w:rPr>
        <w:t>2、交货时间及地点：</w:t>
      </w:r>
      <w:r>
        <w:rPr>
          <w:rFonts w:hint="eastAsia" w:hAnsi="宋体"/>
          <w:sz w:val="24"/>
        </w:rPr>
        <w:t>同前面“招标项目一览表”内所填的相关内容。</w:t>
      </w:r>
    </w:p>
    <w:p>
      <w:pPr>
        <w:pStyle w:val="13"/>
        <w:snapToGrid w:val="0"/>
        <w:spacing w:line="360" w:lineRule="auto"/>
        <w:outlineLvl w:val="0"/>
        <w:rPr>
          <w:rFonts w:hint="eastAsia" w:hAnsi="宋体"/>
          <w:bCs/>
          <w:sz w:val="24"/>
        </w:rPr>
      </w:pPr>
      <w:r>
        <w:rPr>
          <w:rFonts w:hint="eastAsia" w:hAnsi="宋体"/>
          <w:b/>
          <w:sz w:val="24"/>
        </w:rPr>
        <w:t>3、付款条件</w:t>
      </w:r>
      <w:r>
        <w:rPr>
          <w:rFonts w:hint="eastAsia" w:hAnsi="宋体"/>
          <w:bCs/>
          <w:sz w:val="24"/>
        </w:rPr>
        <w:t>：</w:t>
      </w:r>
    </w:p>
    <w:p>
      <w:pPr>
        <w:pStyle w:val="13"/>
        <w:snapToGrid w:val="0"/>
        <w:spacing w:line="360" w:lineRule="auto"/>
        <w:outlineLvl w:val="0"/>
        <w:rPr>
          <w:rFonts w:hint="eastAsia" w:hAnsi="宋体" w:eastAsia="宋体"/>
          <w:bCs/>
          <w:sz w:val="24"/>
          <w:lang w:val="en-US" w:eastAsia="zh-CN"/>
        </w:rPr>
      </w:pPr>
      <w:r>
        <w:rPr>
          <w:rFonts w:hint="eastAsia" w:hAnsi="宋体"/>
          <w:bCs/>
          <w:sz w:val="24"/>
          <w:lang w:val="en-US" w:eastAsia="zh-CN"/>
        </w:rPr>
        <w:t>第一标段：</w:t>
      </w:r>
      <w:r>
        <w:rPr>
          <w:rFonts w:hint="eastAsia" w:ascii="宋体" w:hAnsi="宋体" w:cs="宋体"/>
          <w:sz w:val="24"/>
          <w:szCs w:val="24"/>
        </w:rPr>
        <w:t>合同签订完成后10个工作日内，支付合同总价的</w:t>
      </w:r>
      <w:r>
        <w:rPr>
          <w:rFonts w:hint="eastAsia" w:hAnsi="宋体" w:cs="宋体"/>
          <w:sz w:val="24"/>
          <w:szCs w:val="24"/>
          <w:lang w:val="en-US" w:eastAsia="zh-CN"/>
        </w:rPr>
        <w:t>6</w:t>
      </w:r>
      <w:r>
        <w:rPr>
          <w:rFonts w:hint="eastAsia" w:ascii="宋体" w:hAnsi="宋体" w:cs="宋体"/>
          <w:sz w:val="24"/>
          <w:szCs w:val="24"/>
        </w:rPr>
        <w:t>0%；项目初验后10个工作日内支付合同总价的</w:t>
      </w:r>
      <w:r>
        <w:rPr>
          <w:rFonts w:hint="eastAsia" w:hAnsi="宋体" w:cs="宋体"/>
          <w:sz w:val="24"/>
          <w:szCs w:val="24"/>
          <w:lang w:val="en-US" w:eastAsia="zh-CN"/>
        </w:rPr>
        <w:t>20</w:t>
      </w:r>
      <w:r>
        <w:rPr>
          <w:rFonts w:hint="eastAsia" w:ascii="宋体" w:hAnsi="宋体" w:cs="宋体"/>
          <w:sz w:val="24"/>
          <w:szCs w:val="24"/>
        </w:rPr>
        <w:t>%；项目终验后10个工作日内支付合同总价的</w:t>
      </w:r>
      <w:r>
        <w:rPr>
          <w:rFonts w:hint="eastAsia" w:hAnsi="宋体" w:cs="宋体"/>
          <w:sz w:val="24"/>
          <w:szCs w:val="24"/>
          <w:lang w:val="en-US" w:eastAsia="zh-CN"/>
        </w:rPr>
        <w:t>20</w:t>
      </w:r>
      <w:r>
        <w:rPr>
          <w:rFonts w:hint="eastAsia" w:ascii="宋体" w:hAnsi="宋体" w:cs="宋体"/>
          <w:sz w:val="24"/>
          <w:szCs w:val="24"/>
        </w:rPr>
        <w:t>%</w:t>
      </w:r>
      <w:r>
        <w:rPr>
          <w:rFonts w:hint="eastAsia" w:ascii="宋体" w:hAnsi="宋体" w:cs="宋体"/>
          <w:sz w:val="24"/>
          <w:szCs w:val="24"/>
          <w:lang w:eastAsia="zh-CN"/>
        </w:rPr>
        <w:t>。</w:t>
      </w:r>
    </w:p>
    <w:p>
      <w:pPr>
        <w:pStyle w:val="10"/>
        <w:spacing w:line="360" w:lineRule="auto"/>
        <w:rPr>
          <w:rFonts w:hint="eastAsia" w:ascii="宋体" w:hAnsi="宋体" w:eastAsia="宋体" w:cs="宋体"/>
          <w:kern w:val="2"/>
          <w:sz w:val="24"/>
          <w:szCs w:val="24"/>
          <w:lang w:val="en-US" w:eastAsia="zh-CN" w:bidi="ar-SA"/>
        </w:rPr>
      </w:pPr>
      <w:r>
        <w:rPr>
          <w:rFonts w:hint="eastAsia" w:hAnsi="宋体"/>
          <w:bCs/>
          <w:sz w:val="24"/>
          <w:lang w:val="en-US" w:eastAsia="zh-CN"/>
        </w:rPr>
        <w:t>第二标段：</w:t>
      </w:r>
      <w:r>
        <w:rPr>
          <w:rFonts w:hint="eastAsia" w:ascii="宋体" w:hAnsi="宋体" w:eastAsia="宋体" w:cs="宋体"/>
          <w:kern w:val="2"/>
          <w:sz w:val="24"/>
          <w:szCs w:val="24"/>
          <w:lang w:val="en-US" w:eastAsia="zh-CN" w:bidi="ar-SA"/>
        </w:rPr>
        <w:t>合同签订完成后10个工作日内，甲方支付合同总价的60%；设备到货清点初验合格后支付合同总价的30%，项目通过竣工验收后，30个工作日内支付合同总价的10%。</w:t>
      </w:r>
    </w:p>
    <w:p>
      <w:pPr>
        <w:autoSpaceDE w:val="0"/>
        <w:autoSpaceDN w:val="0"/>
        <w:adjustRightInd w:val="0"/>
        <w:spacing w:line="360" w:lineRule="auto"/>
        <w:rPr>
          <w:rFonts w:ascii="宋体" w:hAnsi="宋体"/>
          <w:b/>
          <w:color w:val="000000"/>
          <w:sz w:val="28"/>
          <w:szCs w:val="28"/>
        </w:rPr>
      </w:pPr>
      <w:r>
        <w:rPr>
          <w:rFonts w:hint="eastAsia" w:ascii="宋体" w:hAnsi="宋体"/>
          <w:b/>
          <w:color w:val="000000"/>
          <w:sz w:val="28"/>
          <w:szCs w:val="28"/>
        </w:rPr>
        <w:t>四、相关说明</w:t>
      </w:r>
    </w:p>
    <w:p>
      <w:pPr>
        <w:autoSpaceDE w:val="0"/>
        <w:autoSpaceDN w:val="0"/>
        <w:adjustRightInd w:val="0"/>
        <w:snapToGrid w:val="0"/>
        <w:spacing w:line="360" w:lineRule="auto"/>
        <w:rPr>
          <w:rFonts w:hint="eastAsia" w:ascii="宋体" w:hAnsi="宋体"/>
          <w:color w:val="000000"/>
          <w:kern w:val="0"/>
          <w:sz w:val="24"/>
        </w:rPr>
      </w:pPr>
      <w:r>
        <w:rPr>
          <w:rFonts w:hint="eastAsia" w:ascii="宋体" w:hAnsi="宋体"/>
          <w:b/>
          <w:sz w:val="24"/>
        </w:rPr>
        <w:t>1、</w:t>
      </w:r>
      <w:r>
        <w:rPr>
          <w:rFonts w:hint="eastAsia" w:ascii="宋体" w:hAnsi="宋体"/>
          <w:b/>
          <w:kern w:val="0"/>
          <w:sz w:val="24"/>
        </w:rPr>
        <w:t>现场勘察：</w:t>
      </w:r>
      <w:r>
        <w:rPr>
          <w:rFonts w:hint="eastAsia" w:ascii="宋体" w:hAnsi="宋体"/>
          <w:color w:val="000000"/>
          <w:kern w:val="0"/>
          <w:sz w:val="24"/>
        </w:rPr>
        <w:t>无</w:t>
      </w:r>
    </w:p>
    <w:p>
      <w:pPr>
        <w:pStyle w:val="2"/>
        <w:ind w:left="0" w:leftChars="0" w:firstLine="0" w:firstLineChars="0"/>
        <w:rPr>
          <w:rFonts w:hint="default" w:eastAsia="宋体"/>
          <w:b/>
          <w:bCs/>
          <w:lang w:val="en-US" w:eastAsia="zh-CN"/>
        </w:rPr>
      </w:pPr>
      <w:r>
        <w:rPr>
          <w:rFonts w:hint="eastAsia" w:ascii="宋体" w:hAnsi="宋体"/>
          <w:b/>
          <w:bCs/>
          <w:color w:val="000000"/>
          <w:kern w:val="0"/>
          <w:sz w:val="24"/>
          <w:lang w:val="en-US" w:eastAsia="zh-CN"/>
        </w:rPr>
        <w:t>2、项目对接费用：无</w:t>
      </w:r>
    </w:p>
    <w:p>
      <w:pPr>
        <w:autoSpaceDE w:val="0"/>
        <w:autoSpaceDN w:val="0"/>
        <w:adjustRightInd w:val="0"/>
        <w:snapToGrid w:val="0"/>
        <w:spacing w:line="360" w:lineRule="auto"/>
        <w:rPr>
          <w:rFonts w:ascii="宋体" w:hAnsi="宋体" w:cs="Arial"/>
          <w:color w:val="000000"/>
          <w:sz w:val="24"/>
        </w:rPr>
      </w:pPr>
    </w:p>
    <w:p>
      <w:pPr>
        <w:pStyle w:val="2"/>
        <w:ind w:firstLine="0"/>
      </w:pPr>
    </w:p>
    <w:p>
      <w:pPr>
        <w:pStyle w:val="2"/>
        <w:rPr>
          <w:rFonts w:asciiTheme="minorEastAsia" w:hAnsiTheme="minorEastAsia" w:eastAsiaTheme="minorEastAsia"/>
          <w:sz w:val="24"/>
          <w:szCs w:val="24"/>
        </w:rPr>
      </w:pPr>
    </w:p>
    <w:p>
      <w:pPr>
        <w:pStyle w:val="21"/>
        <w:spacing w:line="360" w:lineRule="auto"/>
        <w:ind w:left="120" w:firstLine="480"/>
        <w:rPr>
          <w:rFonts w:asciiTheme="minorEastAsia" w:hAnsiTheme="minorEastAsia" w:eastAsiaTheme="minorEastAsia" w:cstheme="minorBidi"/>
          <w:kern w:val="0"/>
          <w:sz w:val="24"/>
        </w:rPr>
      </w:pPr>
    </w:p>
    <w:p>
      <w:pPr>
        <w:rPr>
          <w:rFonts w:asciiTheme="minorEastAsia" w:hAnsiTheme="minorEastAsia" w:eastAsiaTheme="minorEastAsia" w:cstheme="minorEastAsia"/>
          <w:sz w:val="24"/>
        </w:rPr>
      </w:pPr>
      <w:r>
        <w:rPr>
          <w:rFonts w:hint="eastAsia" w:asciiTheme="minorEastAsia" w:hAnsiTheme="minorEastAsia" w:eastAsiaTheme="minorEastAsia" w:cstheme="minorBidi"/>
          <w:kern w:val="0"/>
          <w:sz w:val="24"/>
        </w:rPr>
        <w:br w:type="page"/>
      </w:r>
    </w:p>
    <w:p>
      <w:pPr>
        <w:numPr>
          <w:ilvl w:val="0"/>
          <w:numId w:val="6"/>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政府采购合同主要条款指引</w:t>
      </w:r>
    </w:p>
    <w:p>
      <w:pPr>
        <w:snapToGrid w:val="0"/>
        <w:spacing w:before="156" w:beforeLines="50" w:after="156" w:afterLines="50"/>
        <w:jc w:val="center"/>
        <w:rPr>
          <w:rFonts w:ascii="宋体" w:hAnsi="宋体"/>
          <w:b/>
          <w:sz w:val="36"/>
          <w:szCs w:val="36"/>
        </w:rPr>
      </w:pPr>
      <w:r>
        <w:rPr>
          <w:rFonts w:hint="eastAsia" w:ascii="宋体" w:hAnsi="宋体"/>
          <w:b/>
          <w:sz w:val="36"/>
          <w:szCs w:val="36"/>
        </w:rPr>
        <w:t>货物类</w:t>
      </w:r>
    </w:p>
    <w:p>
      <w:pPr>
        <w:widowControl/>
        <w:shd w:val="clear" w:color="auto" w:fill="FFFFFF"/>
        <w:spacing w:after="150" w:line="360" w:lineRule="auto"/>
        <w:ind w:firstLine="480"/>
        <w:jc w:val="left"/>
        <w:rPr>
          <w:rFonts w:asciiTheme="minorEastAsia" w:hAnsiTheme="minorEastAsia" w:eastAsiaTheme="minorEastAsia"/>
          <w:sz w:val="24"/>
        </w:rPr>
      </w:pPr>
      <w:r>
        <w:rPr>
          <w:rFonts w:asciiTheme="minorEastAsia" w:hAnsiTheme="minorEastAsia" w:eastAsiaTheme="minorEastAsia"/>
          <w:sz w:val="24"/>
        </w:rPr>
        <w:t>以下为成交后签定本项目合同的通用条款，成交供应商不得提出实质性的修改，关于专用条款将由采购人与成交供应商结合本项目具体情况协商后签订。</w:t>
      </w:r>
    </w:p>
    <w:p>
      <w:pPr>
        <w:pStyle w:val="13"/>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项目名称：                                       项目编号：</w:t>
      </w:r>
    </w:p>
    <w:p>
      <w:pPr>
        <w:pStyle w:val="13"/>
        <w:snapToGrid w:val="0"/>
        <w:spacing w:before="120" w:after="120" w:line="360" w:lineRule="auto"/>
        <w:rPr>
          <w:rFonts w:hAnsi="宋体"/>
          <w:color w:val="000000"/>
          <w:sz w:val="24"/>
        </w:rPr>
      </w:pPr>
      <w:r>
        <w:rPr>
          <w:rFonts w:hAnsi="宋体"/>
          <w:color w:val="000000"/>
          <w:sz w:val="24"/>
        </w:rPr>
        <w:t>甲方：（</w:t>
      </w:r>
      <w:r>
        <w:rPr>
          <w:rFonts w:hint="eastAsia" w:hAnsi="宋体"/>
          <w:color w:val="000000"/>
          <w:sz w:val="24"/>
        </w:rPr>
        <w:t>采购单位</w:t>
      </w:r>
      <w:r>
        <w:rPr>
          <w:rFonts w:hAnsi="宋体"/>
          <w:color w:val="000000"/>
          <w:sz w:val="24"/>
        </w:rPr>
        <w:t>）</w:t>
      </w:r>
      <w:r>
        <w:rPr>
          <w:rFonts w:hint="eastAsia" w:hAnsi="宋体"/>
          <w:color w:val="000000"/>
          <w:sz w:val="24"/>
        </w:rPr>
        <w:t xml:space="preserve">                            所在地：                              </w:t>
      </w:r>
    </w:p>
    <w:p>
      <w:pPr>
        <w:pStyle w:val="13"/>
        <w:snapToGrid w:val="0"/>
        <w:spacing w:before="120" w:after="120" w:line="360" w:lineRule="auto"/>
        <w:rPr>
          <w:rFonts w:hAnsi="宋体"/>
          <w:color w:val="000000"/>
          <w:sz w:val="24"/>
        </w:rPr>
      </w:pPr>
      <w:r>
        <w:rPr>
          <w:rFonts w:hAnsi="宋体"/>
          <w:color w:val="000000"/>
          <w:sz w:val="24"/>
        </w:rPr>
        <w:t>乙方：（</w:t>
      </w:r>
      <w:r>
        <w:rPr>
          <w:rFonts w:hint="eastAsia" w:hAnsi="宋体"/>
          <w:color w:val="000000"/>
          <w:sz w:val="24"/>
        </w:rPr>
        <w:t>中标供应商</w:t>
      </w:r>
      <w:r>
        <w:rPr>
          <w:rFonts w:hAnsi="宋体"/>
          <w:color w:val="000000"/>
          <w:sz w:val="24"/>
        </w:rPr>
        <w:t>）</w:t>
      </w:r>
      <w:r>
        <w:rPr>
          <w:rFonts w:hint="eastAsia" w:hAnsi="宋体"/>
          <w:color w:val="000000"/>
          <w:sz w:val="24"/>
        </w:rPr>
        <w:t xml:space="preserve">                          所在地：</w:t>
      </w:r>
    </w:p>
    <w:p>
      <w:pPr>
        <w:pStyle w:val="13"/>
        <w:snapToGrid w:val="0"/>
        <w:spacing w:before="120" w:after="120" w:line="360" w:lineRule="auto"/>
        <w:rPr>
          <w:rFonts w:asciiTheme="minorEastAsia" w:hAnsiTheme="minorEastAsia" w:eastAsiaTheme="minorEastAsia"/>
          <w:b/>
          <w:sz w:val="24"/>
        </w:rPr>
      </w:pPr>
      <w:r>
        <w:rPr>
          <w:rFonts w:asciiTheme="minorEastAsia" w:hAnsiTheme="minorEastAsia" w:eastAsiaTheme="minorEastAsia"/>
          <w:sz w:val="24"/>
        </w:rPr>
        <w:t>甲、乙双方根据</w:t>
      </w:r>
      <w:r>
        <w:rPr>
          <w:rFonts w:hint="eastAsia" w:cs="Arial" w:asciiTheme="minorEastAsia" w:hAnsiTheme="minorEastAsia" w:eastAsiaTheme="minorEastAsia"/>
          <w:color w:val="FF00FF"/>
          <w:sz w:val="24"/>
        </w:rPr>
        <w:t>××</w:t>
      </w:r>
      <w:r>
        <w:rPr>
          <w:rFonts w:hint="eastAsia" w:asciiTheme="minorEastAsia" w:hAnsiTheme="minorEastAsia" w:eastAsiaTheme="minorEastAsia"/>
          <w:sz w:val="24"/>
        </w:rPr>
        <w:t>(采购组织机构名称）</w:t>
      </w:r>
      <w:r>
        <w:rPr>
          <w:rFonts w:asciiTheme="minorEastAsia" w:hAnsiTheme="minorEastAsia" w:eastAsiaTheme="minorEastAsia"/>
          <w:sz w:val="24"/>
        </w:rPr>
        <w:t>关于</w:t>
      </w:r>
      <w:r>
        <w:rPr>
          <w:rFonts w:hint="eastAsia" w:cs="Arial" w:asciiTheme="minorEastAsia" w:hAnsiTheme="minorEastAsia" w:eastAsiaTheme="minorEastAsia"/>
          <w:color w:val="FF00FF"/>
          <w:sz w:val="24"/>
        </w:rPr>
        <w:t>××</w:t>
      </w:r>
      <w:r>
        <w:rPr>
          <w:rFonts w:asciiTheme="minorEastAsia" w:hAnsiTheme="minorEastAsia" w:eastAsiaTheme="minorEastAsia"/>
          <w:sz w:val="24"/>
        </w:rPr>
        <w:t>单位</w:t>
      </w:r>
      <w:r>
        <w:rPr>
          <w:rFonts w:hint="eastAsia" w:cs="Arial" w:asciiTheme="minorEastAsia" w:hAnsiTheme="minorEastAsia" w:eastAsiaTheme="minorEastAsia"/>
          <w:color w:val="FF00FF"/>
          <w:sz w:val="24"/>
        </w:rPr>
        <w:t>××</w:t>
      </w:r>
      <w:r>
        <w:rPr>
          <w:rFonts w:asciiTheme="minorEastAsia" w:hAnsiTheme="minorEastAsia" w:eastAsiaTheme="minorEastAsia"/>
          <w:sz w:val="24"/>
        </w:rPr>
        <w:t>项目公开招标的结果，签署本合同。</w:t>
      </w:r>
    </w:p>
    <w:p>
      <w:pPr>
        <w:spacing w:line="360" w:lineRule="auto"/>
        <w:rPr>
          <w:rFonts w:ascii="宋体"/>
          <w:color w:val="000000"/>
          <w:sz w:val="24"/>
          <w:lang w:val="zh-CN"/>
        </w:rPr>
      </w:pPr>
      <w:r>
        <w:rPr>
          <w:rFonts w:hint="eastAsia" w:ascii="宋体"/>
          <w:color w:val="000000"/>
          <w:sz w:val="24"/>
          <w:lang w:val="zh-CN"/>
        </w:rPr>
        <w:t xml:space="preserve">一、合同文件： </w:t>
      </w:r>
    </w:p>
    <w:p>
      <w:pPr>
        <w:spacing w:line="360" w:lineRule="auto"/>
        <w:ind w:firstLine="480" w:firstLineChars="200"/>
        <w:rPr>
          <w:rFonts w:ascii="宋体"/>
          <w:color w:val="000000"/>
          <w:sz w:val="24"/>
          <w:lang w:val="zh-CN"/>
        </w:rPr>
      </w:pPr>
      <w:r>
        <w:rPr>
          <w:rFonts w:hint="eastAsia" w:ascii="宋体"/>
          <w:color w:val="000000"/>
          <w:sz w:val="24"/>
          <w:lang w:val="zh-CN"/>
        </w:rPr>
        <w:t>1.合同条款。</w:t>
      </w:r>
    </w:p>
    <w:p>
      <w:pPr>
        <w:spacing w:line="360" w:lineRule="auto"/>
        <w:ind w:firstLine="480" w:firstLineChars="200"/>
        <w:rPr>
          <w:rFonts w:ascii="宋体"/>
          <w:color w:val="000000"/>
          <w:sz w:val="24"/>
          <w:lang w:val="zh-CN"/>
        </w:rPr>
      </w:pPr>
      <w:r>
        <w:rPr>
          <w:rFonts w:hint="eastAsia" w:ascii="宋体"/>
          <w:color w:val="000000"/>
          <w:sz w:val="24"/>
          <w:lang w:val="zh-CN"/>
        </w:rPr>
        <w:t>2.中标通知书。</w:t>
      </w:r>
    </w:p>
    <w:p>
      <w:pPr>
        <w:spacing w:line="360" w:lineRule="auto"/>
        <w:ind w:firstLine="480" w:firstLineChars="200"/>
        <w:rPr>
          <w:rFonts w:ascii="宋体"/>
          <w:color w:val="000000"/>
          <w:sz w:val="24"/>
          <w:lang w:val="zh-CN"/>
        </w:rPr>
      </w:pPr>
      <w:r>
        <w:rPr>
          <w:rFonts w:hint="eastAsia" w:ascii="宋体"/>
          <w:color w:val="000000"/>
          <w:sz w:val="24"/>
          <w:lang w:val="zh-CN"/>
        </w:rPr>
        <w:t>3.更正补充文件。</w:t>
      </w:r>
    </w:p>
    <w:p>
      <w:pPr>
        <w:spacing w:line="360" w:lineRule="auto"/>
        <w:ind w:firstLine="480" w:firstLineChars="200"/>
        <w:rPr>
          <w:rFonts w:ascii="宋体"/>
          <w:color w:val="000000"/>
          <w:sz w:val="24"/>
          <w:lang w:val="zh-CN"/>
        </w:rPr>
      </w:pPr>
      <w:r>
        <w:rPr>
          <w:rFonts w:hint="eastAsia" w:ascii="宋体"/>
          <w:color w:val="000000"/>
          <w:sz w:val="24"/>
          <w:lang w:val="zh-CN"/>
        </w:rPr>
        <w:t>4.招标文件。</w:t>
      </w:r>
    </w:p>
    <w:p>
      <w:pPr>
        <w:spacing w:line="360" w:lineRule="auto"/>
        <w:ind w:firstLine="480" w:firstLineChars="200"/>
        <w:rPr>
          <w:rFonts w:ascii="宋体"/>
          <w:color w:val="000000"/>
          <w:sz w:val="24"/>
          <w:lang w:val="zh-CN"/>
        </w:rPr>
      </w:pPr>
      <w:r>
        <w:rPr>
          <w:rFonts w:hint="eastAsia" w:ascii="宋体"/>
          <w:color w:val="000000"/>
          <w:sz w:val="24"/>
          <w:lang w:val="zh-CN"/>
        </w:rPr>
        <w:t>5.中标供应商投标文件。</w:t>
      </w:r>
    </w:p>
    <w:p>
      <w:pPr>
        <w:spacing w:line="360" w:lineRule="auto"/>
        <w:ind w:firstLine="480" w:firstLineChars="200"/>
        <w:rPr>
          <w:rFonts w:ascii="宋体"/>
          <w:color w:val="000000"/>
          <w:sz w:val="24"/>
          <w:lang w:val="zh-CN"/>
        </w:rPr>
      </w:pPr>
      <w:r>
        <w:rPr>
          <w:rFonts w:hint="eastAsia" w:ascii="宋体"/>
          <w:color w:val="000000"/>
          <w:sz w:val="24"/>
          <w:lang w:val="zh-CN"/>
        </w:rPr>
        <w:t>6.其他。</w:t>
      </w:r>
    </w:p>
    <w:p>
      <w:pPr>
        <w:pStyle w:val="13"/>
        <w:snapToGrid w:val="0"/>
        <w:spacing w:line="360" w:lineRule="auto"/>
        <w:ind w:firstLine="480" w:firstLineChars="200"/>
        <w:rPr>
          <w:rFonts w:hAnsi="Times New Roman"/>
          <w:color w:val="000000"/>
          <w:sz w:val="24"/>
          <w:lang w:val="zh-CN"/>
        </w:rPr>
      </w:pPr>
      <w:r>
        <w:rPr>
          <w:rFonts w:hint="eastAsia"/>
          <w:color w:val="000000"/>
          <w:sz w:val="24"/>
          <w:lang w:val="zh-CN"/>
        </w:rPr>
        <w:t>上述所指合同文件应认为是互相补充和解释的，但是有模棱两可或互相矛盾之处，以其所列内容顺序为准。</w:t>
      </w:r>
    </w:p>
    <w:p>
      <w:pPr>
        <w:pStyle w:val="13"/>
        <w:snapToGrid w:val="0"/>
        <w:spacing w:before="120" w:after="120" w:line="360" w:lineRule="auto"/>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、货物内容</w:t>
      </w:r>
    </w:p>
    <w:p>
      <w:pPr>
        <w:pStyle w:val="13"/>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1. 货物名称：</w:t>
      </w:r>
    </w:p>
    <w:p>
      <w:pPr>
        <w:pStyle w:val="13"/>
        <w:snapToGrid w:val="0"/>
        <w:spacing w:before="120" w:after="120" w:line="360" w:lineRule="auto"/>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 型号规格：</w:t>
      </w:r>
    </w:p>
    <w:p>
      <w:pPr>
        <w:pStyle w:val="13"/>
        <w:snapToGrid w:val="0"/>
        <w:spacing w:before="120" w:after="120" w:line="360" w:lineRule="auto"/>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 技术参数：</w:t>
      </w:r>
    </w:p>
    <w:p>
      <w:pPr>
        <w:pStyle w:val="13"/>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w:t>
      </w:r>
      <w:r>
        <w:rPr>
          <w:rFonts w:asciiTheme="minorEastAsia" w:hAnsiTheme="minorEastAsia" w:eastAsiaTheme="minorEastAsia"/>
          <w:sz w:val="24"/>
        </w:rPr>
        <w:t xml:space="preserve"> 数量（单位）：</w:t>
      </w:r>
    </w:p>
    <w:p>
      <w:pPr>
        <w:pStyle w:val="13"/>
        <w:snapToGrid w:val="0"/>
        <w:spacing w:before="120" w:after="120" w:line="360" w:lineRule="auto"/>
        <w:rPr>
          <w:rFonts w:asciiTheme="minorEastAsia" w:hAnsiTheme="minorEastAsia" w:eastAsiaTheme="minorEastAsia"/>
          <w:b/>
          <w:sz w:val="24"/>
        </w:rPr>
      </w:pPr>
      <w:r>
        <w:rPr>
          <w:rFonts w:hint="eastAsia" w:asciiTheme="minorEastAsia" w:hAnsiTheme="minorEastAsia" w:eastAsiaTheme="minorEastAsia"/>
          <w:b/>
          <w:sz w:val="24"/>
        </w:rPr>
        <w:t>三</w:t>
      </w:r>
      <w:r>
        <w:rPr>
          <w:rFonts w:asciiTheme="minorEastAsia" w:hAnsiTheme="minorEastAsia" w:eastAsiaTheme="minorEastAsia"/>
          <w:b/>
          <w:sz w:val="24"/>
        </w:rPr>
        <w:t>、合同金额</w:t>
      </w:r>
    </w:p>
    <w:p>
      <w:pPr>
        <w:pStyle w:val="13"/>
        <w:snapToGrid w:val="0"/>
        <w:spacing w:before="120" w:after="120" w:line="360" w:lineRule="auto"/>
        <w:ind w:left="410" w:hanging="410" w:hangingChars="171"/>
        <w:rPr>
          <w:rFonts w:asciiTheme="minorEastAsia" w:hAnsiTheme="minorEastAsia" w:eastAsiaTheme="minorEastAsia"/>
          <w:sz w:val="24"/>
        </w:rPr>
      </w:pPr>
      <w:r>
        <w:rPr>
          <w:rFonts w:asciiTheme="minorEastAsia" w:hAnsiTheme="minorEastAsia" w:eastAsiaTheme="minorEastAsia"/>
          <w:sz w:val="24"/>
        </w:rPr>
        <w:t xml:space="preserve"> 本合同金额为（大写）：____________________________________元（￥_______________元）人民币。</w:t>
      </w:r>
    </w:p>
    <w:p>
      <w:pPr>
        <w:pStyle w:val="13"/>
        <w:snapToGrid w:val="0"/>
        <w:spacing w:before="120" w:after="120" w:line="360" w:lineRule="auto"/>
        <w:rPr>
          <w:rFonts w:asciiTheme="minorEastAsia" w:hAnsiTheme="minorEastAsia" w:eastAsiaTheme="minorEastAsia"/>
          <w:b/>
          <w:sz w:val="24"/>
        </w:rPr>
      </w:pPr>
      <w:r>
        <w:rPr>
          <w:rFonts w:hint="eastAsia" w:asciiTheme="minorEastAsia" w:hAnsiTheme="minorEastAsia" w:eastAsiaTheme="minorEastAsia"/>
          <w:b/>
          <w:sz w:val="24"/>
        </w:rPr>
        <w:t>四</w:t>
      </w:r>
      <w:r>
        <w:rPr>
          <w:rFonts w:asciiTheme="minorEastAsia" w:hAnsiTheme="minorEastAsia" w:eastAsiaTheme="minorEastAsia"/>
          <w:b/>
          <w:sz w:val="24"/>
        </w:rPr>
        <w:t>、技术资料</w:t>
      </w:r>
    </w:p>
    <w:p>
      <w:pPr>
        <w:pStyle w:val="13"/>
        <w:snapToGrid w:val="0"/>
        <w:spacing w:before="120" w:after="120" w:line="360" w:lineRule="auto"/>
        <w:ind w:left="410" w:hanging="410" w:hangingChars="171"/>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乙方应按招标文件规定的时间向甲方提供使用货物的有关技术资料。</w:t>
      </w:r>
    </w:p>
    <w:p>
      <w:pPr>
        <w:pStyle w:val="13"/>
        <w:snapToGrid w:val="0"/>
        <w:spacing w:before="120" w:after="120" w:line="360" w:lineRule="auto"/>
        <w:ind w:left="410" w:hanging="410" w:hangingChars="171"/>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snapToGrid w:val="0"/>
        <w:spacing w:before="120" w:after="120" w:line="360" w:lineRule="auto"/>
        <w:ind w:left="412" w:hanging="412" w:hangingChars="171"/>
        <w:rPr>
          <w:rFonts w:asciiTheme="minorEastAsia" w:hAnsiTheme="minorEastAsia" w:eastAsiaTheme="minorEastAsia"/>
          <w:b/>
          <w:sz w:val="24"/>
        </w:rPr>
      </w:pPr>
      <w:r>
        <w:rPr>
          <w:rFonts w:hint="eastAsia" w:asciiTheme="minorEastAsia" w:hAnsiTheme="minorEastAsia" w:eastAsiaTheme="minorEastAsia"/>
          <w:b/>
          <w:sz w:val="24"/>
        </w:rPr>
        <w:t>五</w:t>
      </w:r>
      <w:r>
        <w:rPr>
          <w:rFonts w:asciiTheme="minorEastAsia" w:hAnsiTheme="minorEastAsia" w:eastAsiaTheme="minorEastAsia"/>
          <w:b/>
          <w:sz w:val="24"/>
        </w:rPr>
        <w:t>、知识产权</w:t>
      </w:r>
    </w:p>
    <w:p>
      <w:pPr>
        <w:pStyle w:val="13"/>
        <w:snapToGrid w:val="0"/>
        <w:spacing w:before="120" w:after="120"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乙方应保证所提供的货物或其任何一部分均不会侵犯任何第三方的知识产权。</w:t>
      </w:r>
    </w:p>
    <w:p>
      <w:pPr>
        <w:pStyle w:val="13"/>
        <w:snapToGrid w:val="0"/>
        <w:spacing w:before="120" w:after="120" w:line="360" w:lineRule="auto"/>
        <w:rPr>
          <w:rFonts w:asciiTheme="minorEastAsia" w:hAnsiTheme="minorEastAsia" w:eastAsiaTheme="minorEastAsia"/>
          <w:sz w:val="24"/>
        </w:rPr>
      </w:pPr>
      <w:r>
        <w:rPr>
          <w:rFonts w:hint="eastAsia" w:asciiTheme="minorEastAsia" w:hAnsiTheme="minorEastAsia" w:eastAsiaTheme="minorEastAsia"/>
          <w:sz w:val="24"/>
        </w:rPr>
        <w:t>2.若侵犯,由乙方赔偿甲方因此遭受的损失（包括但不限于应对及追偿过程中所支付的律师费、差旅费、诉讼费、保全费、鉴定费、评估费等）。</w:t>
      </w:r>
    </w:p>
    <w:p>
      <w:pPr>
        <w:pStyle w:val="13"/>
        <w:snapToGrid w:val="0"/>
        <w:spacing w:before="120" w:after="120" w:line="360" w:lineRule="auto"/>
        <w:rPr>
          <w:rFonts w:asciiTheme="minorEastAsia" w:hAnsiTheme="minorEastAsia" w:eastAsiaTheme="minorEastAsia"/>
          <w:sz w:val="24"/>
          <w:u w:val="single"/>
        </w:rPr>
      </w:pPr>
      <w:r>
        <w:rPr>
          <w:rFonts w:hint="eastAsia" w:asciiTheme="minorEastAsia" w:hAnsiTheme="minorEastAsia" w:eastAsiaTheme="minorEastAsia"/>
          <w:b/>
          <w:sz w:val="24"/>
        </w:rPr>
        <w:t>六</w:t>
      </w:r>
      <w:r>
        <w:rPr>
          <w:rFonts w:asciiTheme="minorEastAsia" w:hAnsiTheme="minorEastAsia" w:eastAsiaTheme="minorEastAsia"/>
          <w:b/>
          <w:sz w:val="24"/>
        </w:rPr>
        <w:t>、产权担保</w:t>
      </w:r>
    </w:p>
    <w:p>
      <w:pPr>
        <w:pStyle w:val="13"/>
        <w:snapToGrid w:val="0"/>
        <w:spacing w:before="120" w:after="120" w:line="360" w:lineRule="auto"/>
        <w:rPr>
          <w:rFonts w:asciiTheme="minorEastAsia" w:hAnsiTheme="minorEastAsia" w:eastAsiaTheme="minorEastAsia"/>
          <w:sz w:val="24"/>
          <w:u w:val="single"/>
        </w:rPr>
      </w:pPr>
      <w:r>
        <w:rPr>
          <w:rFonts w:asciiTheme="minorEastAsia" w:hAnsiTheme="minorEastAsia" w:eastAsiaTheme="minorEastAsia"/>
          <w:sz w:val="24"/>
        </w:rPr>
        <w:t>乙方保证所交付的货物的所有权完全属于乙方且无任何抵押、查封等产权瑕疵。</w:t>
      </w:r>
    </w:p>
    <w:p>
      <w:pPr>
        <w:pStyle w:val="13"/>
        <w:snapToGrid w:val="0"/>
        <w:spacing w:before="120" w:after="120" w:line="360" w:lineRule="auto"/>
        <w:ind w:left="410" w:hanging="410" w:hangingChars="170"/>
        <w:rPr>
          <w:rFonts w:asciiTheme="minorEastAsia" w:hAnsiTheme="minorEastAsia" w:eastAsiaTheme="minorEastAsia"/>
          <w:b/>
          <w:sz w:val="24"/>
        </w:rPr>
      </w:pPr>
      <w:r>
        <w:rPr>
          <w:rFonts w:hint="eastAsia" w:asciiTheme="minorEastAsia" w:hAnsiTheme="minorEastAsia" w:eastAsiaTheme="minorEastAsia"/>
          <w:b/>
          <w:sz w:val="24"/>
        </w:rPr>
        <w:t>七</w:t>
      </w:r>
      <w:r>
        <w:rPr>
          <w:rFonts w:asciiTheme="minorEastAsia" w:hAnsiTheme="minorEastAsia" w:eastAsiaTheme="minorEastAsia"/>
          <w:b/>
          <w:sz w:val="24"/>
        </w:rPr>
        <w:t>、履约保证金</w:t>
      </w:r>
    </w:p>
    <w:p>
      <w:pPr>
        <w:tabs>
          <w:tab w:val="left" w:pos="1418"/>
        </w:tabs>
        <w:autoSpaceDE w:val="0"/>
        <w:autoSpaceDN w:val="0"/>
        <w:adjustRightInd w:val="0"/>
        <w:spacing w:line="360" w:lineRule="auto"/>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本项目履约保证金为合同金额的</w:t>
      </w:r>
      <w:r>
        <w:rPr>
          <w:rFonts w:asciiTheme="minorEastAsia" w:hAnsiTheme="minorEastAsia" w:eastAsiaTheme="minorEastAsia" w:cstheme="minorBidi"/>
          <w:sz w:val="24"/>
        </w:rPr>
        <w:t>_</w:t>
      </w:r>
      <w:r>
        <w:rPr>
          <w:rFonts w:hint="eastAsia" w:asciiTheme="minorEastAsia" w:hAnsiTheme="minorEastAsia" w:eastAsiaTheme="minorEastAsia" w:cstheme="minorBidi"/>
          <w:sz w:val="24"/>
        </w:rPr>
        <w:t>5</w:t>
      </w:r>
      <w:r>
        <w:rPr>
          <w:rFonts w:asciiTheme="minorEastAsia" w:hAnsiTheme="minorEastAsia" w:eastAsiaTheme="minorEastAsia" w:cstheme="minorBidi"/>
          <w:sz w:val="24"/>
        </w:rPr>
        <w:t>_</w:t>
      </w:r>
      <w:r>
        <w:rPr>
          <w:rFonts w:hint="eastAsia" w:asciiTheme="minorEastAsia" w:hAnsiTheme="minorEastAsia" w:eastAsiaTheme="minorEastAsia" w:cstheme="minorBidi"/>
          <w:sz w:val="24"/>
        </w:rPr>
        <w:t>%。</w:t>
      </w:r>
      <w:r>
        <w:rPr>
          <w:rFonts w:hint="eastAsia" w:asciiTheme="minorEastAsia" w:hAnsiTheme="minorEastAsia" w:eastAsiaTheme="minorEastAsia" w:cstheme="minorBidi"/>
          <w:sz w:val="24"/>
          <w:lang w:val="zh-CN"/>
        </w:rPr>
        <w:t>[</w:t>
      </w:r>
      <w:r>
        <w:rPr>
          <w:rFonts w:hint="eastAsia" w:ascii="宋体" w:hAnsi="宋体"/>
          <w:sz w:val="24"/>
          <w:lang w:val="zh-CN"/>
        </w:rPr>
        <w:t>履约保证金交至采购人处，</w:t>
      </w:r>
      <w:r>
        <w:rPr>
          <w:rFonts w:hint="eastAsia" w:ascii="宋体" w:hAnsi="宋体"/>
          <w:sz w:val="24"/>
        </w:rPr>
        <w:t>在项目质保期满</w:t>
      </w:r>
      <w:r>
        <w:rPr>
          <w:rFonts w:hint="eastAsia"/>
          <w:sz w:val="24"/>
          <w:u w:val="single"/>
        </w:rPr>
        <w:t>且无违约扣除情况</w:t>
      </w:r>
      <w:r>
        <w:rPr>
          <w:rFonts w:hint="eastAsia" w:ascii="宋体" w:hAnsi="宋体"/>
          <w:sz w:val="24"/>
        </w:rPr>
        <w:t>后30</w:t>
      </w:r>
      <w:r>
        <w:rPr>
          <w:rFonts w:hint="eastAsia" w:ascii="宋体" w:hAnsi="宋体"/>
          <w:sz w:val="24"/>
          <w:lang w:val="zh-CN"/>
        </w:rPr>
        <w:t>个工作日内无息退还</w:t>
      </w:r>
      <w:r>
        <w:rPr>
          <w:rFonts w:hint="eastAsia" w:asciiTheme="minorEastAsia" w:hAnsiTheme="minorEastAsia" w:eastAsiaTheme="minorEastAsia" w:cstheme="minorBidi"/>
          <w:sz w:val="24"/>
          <w:lang w:val="zh-CN"/>
        </w:rPr>
        <w:t>]</w:t>
      </w:r>
    </w:p>
    <w:p>
      <w:pPr>
        <w:pStyle w:val="13"/>
        <w:snapToGrid w:val="0"/>
        <w:spacing w:before="120" w:after="120" w:line="360" w:lineRule="auto"/>
        <w:ind w:left="410" w:hanging="410" w:hangingChars="170"/>
        <w:rPr>
          <w:rFonts w:asciiTheme="minorEastAsia" w:hAnsiTheme="minorEastAsia" w:eastAsiaTheme="minorEastAsia"/>
          <w:b/>
          <w:sz w:val="24"/>
        </w:rPr>
      </w:pPr>
      <w:r>
        <w:rPr>
          <w:rFonts w:hint="eastAsia" w:asciiTheme="minorEastAsia" w:hAnsiTheme="minorEastAsia" w:eastAsiaTheme="minorEastAsia"/>
          <w:b/>
          <w:sz w:val="24"/>
        </w:rPr>
        <w:t>八、转包或分包</w:t>
      </w:r>
    </w:p>
    <w:p>
      <w:pPr>
        <w:snapToGrid w:val="0"/>
        <w:spacing w:before="156" w:beforeLines="50" w:after="156" w:afterLines="50" w:line="360" w:lineRule="auto"/>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.本合同范围的货物，应由</w:t>
      </w:r>
      <w:r>
        <w:rPr>
          <w:rFonts w:asciiTheme="minorEastAsia" w:hAnsiTheme="minorEastAsia" w:eastAsiaTheme="minorEastAsia"/>
          <w:sz w:val="24"/>
        </w:rPr>
        <w:t>乙</w:t>
      </w:r>
      <w:r>
        <w:rPr>
          <w:rFonts w:hint="eastAsia" w:asciiTheme="minorEastAsia" w:hAnsiTheme="minorEastAsia" w:eastAsiaTheme="minorEastAsia"/>
          <w:sz w:val="24"/>
        </w:rPr>
        <w:t>方直接供应，不得转让他人供应；</w:t>
      </w:r>
    </w:p>
    <w:p>
      <w:pPr>
        <w:snapToGrid w:val="0"/>
        <w:spacing w:before="156" w:beforeLines="50" w:after="156" w:afterLines="50" w:line="360" w:lineRule="auto"/>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.除非得到</w:t>
      </w:r>
      <w:r>
        <w:rPr>
          <w:rFonts w:asciiTheme="minorEastAsia" w:hAnsiTheme="minorEastAsia" w:eastAsiaTheme="minorEastAsia"/>
          <w:sz w:val="24"/>
        </w:rPr>
        <w:t>甲</w:t>
      </w:r>
      <w:r>
        <w:rPr>
          <w:rFonts w:hint="eastAsia" w:asciiTheme="minorEastAsia" w:hAnsiTheme="minorEastAsia" w:eastAsiaTheme="minorEastAsia"/>
          <w:sz w:val="24"/>
        </w:rPr>
        <w:t>方的书面同意，</w:t>
      </w:r>
      <w:r>
        <w:rPr>
          <w:rFonts w:asciiTheme="minorEastAsia" w:hAnsiTheme="minorEastAsia" w:eastAsiaTheme="minorEastAsia"/>
          <w:sz w:val="24"/>
        </w:rPr>
        <w:t>乙</w:t>
      </w:r>
      <w:r>
        <w:rPr>
          <w:rFonts w:hint="eastAsia" w:asciiTheme="minorEastAsia" w:hAnsiTheme="minorEastAsia" w:eastAsiaTheme="minorEastAsia"/>
          <w:sz w:val="24"/>
        </w:rPr>
        <w:t>方不得将本合同范围的货物全部或部分分包给他人供应；</w:t>
      </w:r>
    </w:p>
    <w:p>
      <w:pPr>
        <w:snapToGrid w:val="0"/>
        <w:spacing w:before="156" w:beforeLines="50" w:after="156" w:afterLines="50" w:line="360" w:lineRule="auto"/>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.如有转让和未经</w:t>
      </w:r>
      <w:r>
        <w:rPr>
          <w:rFonts w:asciiTheme="minorEastAsia" w:hAnsiTheme="minorEastAsia" w:eastAsiaTheme="minorEastAsia"/>
          <w:sz w:val="24"/>
        </w:rPr>
        <w:t>甲</w:t>
      </w:r>
      <w:r>
        <w:rPr>
          <w:rFonts w:hint="eastAsia" w:asciiTheme="minorEastAsia" w:hAnsiTheme="minorEastAsia" w:eastAsiaTheme="minorEastAsia"/>
          <w:sz w:val="24"/>
        </w:rPr>
        <w:t>方同意的分包行为，</w:t>
      </w:r>
      <w:r>
        <w:rPr>
          <w:rFonts w:asciiTheme="minorEastAsia" w:hAnsiTheme="minorEastAsia" w:eastAsiaTheme="minorEastAsia"/>
          <w:sz w:val="24"/>
        </w:rPr>
        <w:t>甲</w:t>
      </w:r>
      <w:r>
        <w:rPr>
          <w:rFonts w:hint="eastAsia" w:asciiTheme="minorEastAsia" w:hAnsiTheme="minorEastAsia" w:eastAsiaTheme="minorEastAsia"/>
          <w:sz w:val="24"/>
        </w:rPr>
        <w:t>方有权解除合同，没收履约保证金并追究乙方的违约责任。</w:t>
      </w:r>
    </w:p>
    <w:p>
      <w:pPr>
        <w:pStyle w:val="13"/>
        <w:snapToGrid w:val="0"/>
        <w:spacing w:before="120" w:after="120" w:line="360" w:lineRule="auto"/>
        <w:rPr>
          <w:rFonts w:asciiTheme="minorEastAsia" w:hAnsiTheme="minorEastAsia" w:eastAsiaTheme="minorEastAsia"/>
          <w:sz w:val="24"/>
        </w:rPr>
      </w:pPr>
      <w:r>
        <w:rPr>
          <w:rFonts w:hint="eastAsia" w:asciiTheme="minorEastAsia" w:hAnsiTheme="minorEastAsia" w:eastAsiaTheme="minorEastAsia"/>
          <w:b/>
          <w:sz w:val="24"/>
        </w:rPr>
        <w:t>九</w:t>
      </w:r>
      <w:r>
        <w:rPr>
          <w:rFonts w:asciiTheme="minorEastAsia" w:hAnsiTheme="minorEastAsia" w:eastAsiaTheme="minorEastAsia"/>
          <w:b/>
          <w:sz w:val="24"/>
        </w:rPr>
        <w:t>、质保期</w:t>
      </w:r>
    </w:p>
    <w:p>
      <w:pPr>
        <w:pStyle w:val="13"/>
        <w:snapToGrid w:val="0"/>
        <w:spacing w:before="120" w:after="120" w:line="360" w:lineRule="auto"/>
        <w:ind w:left="410" w:hanging="410" w:hangingChars="171"/>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 xml:space="preserve"> 质保期</w:t>
      </w:r>
      <w:r>
        <w:rPr>
          <w:rFonts w:hAnsi="宋体" w:cs="Times New Roman"/>
          <w:sz w:val="24"/>
        </w:rPr>
        <w:t>___</w:t>
      </w:r>
      <w:r>
        <w:rPr>
          <w:rFonts w:asciiTheme="minorEastAsia" w:hAnsiTheme="minorEastAsia" w:eastAsiaTheme="minorEastAsia"/>
          <w:sz w:val="24"/>
        </w:rPr>
        <w:t>年。（自交货验收合格之日起计）</w:t>
      </w:r>
    </w:p>
    <w:p>
      <w:pPr>
        <w:pStyle w:val="13"/>
        <w:snapToGrid w:val="0"/>
        <w:spacing w:before="120" w:after="120" w:line="360" w:lineRule="auto"/>
        <w:rPr>
          <w:rFonts w:asciiTheme="minorEastAsia" w:hAnsiTheme="minorEastAsia" w:eastAsiaTheme="minorEastAsia"/>
          <w:b/>
          <w:sz w:val="24"/>
        </w:rPr>
      </w:pPr>
      <w:r>
        <w:rPr>
          <w:rFonts w:hint="eastAsia" w:asciiTheme="minorEastAsia" w:hAnsiTheme="minorEastAsia" w:eastAsiaTheme="minorEastAsia"/>
          <w:b/>
          <w:sz w:val="24"/>
        </w:rPr>
        <w:t>十</w:t>
      </w:r>
      <w:r>
        <w:rPr>
          <w:rFonts w:asciiTheme="minorEastAsia" w:hAnsiTheme="minorEastAsia" w:eastAsiaTheme="minorEastAsia"/>
          <w:b/>
          <w:sz w:val="24"/>
        </w:rPr>
        <w:t>、交货期、交货方式及交货地点</w:t>
      </w:r>
    </w:p>
    <w:p>
      <w:pPr>
        <w:pStyle w:val="13"/>
        <w:snapToGrid w:val="0"/>
        <w:spacing w:before="120" w:after="120" w:line="360" w:lineRule="auto"/>
        <w:rPr>
          <w:rFonts w:asciiTheme="minorEastAsia" w:hAnsiTheme="minorEastAsia" w:eastAsiaTheme="minorEastAsia"/>
          <w:bCs/>
          <w:color w:val="000000"/>
          <w:sz w:val="24"/>
        </w:rPr>
      </w:pPr>
      <w:r>
        <w:rPr>
          <w:rFonts w:asciiTheme="minorEastAsia" w:hAnsiTheme="minorEastAsia" w:eastAsiaTheme="minorEastAsia"/>
          <w:bCs/>
          <w:sz w:val="24"/>
        </w:rPr>
        <w:t>1</w:t>
      </w:r>
      <w:r>
        <w:rPr>
          <w:rFonts w:hint="eastAsia" w:asciiTheme="minorEastAsia" w:hAnsiTheme="minorEastAsia" w:eastAsiaTheme="minorEastAsia"/>
          <w:bCs/>
          <w:sz w:val="24"/>
        </w:rPr>
        <w:t>.</w:t>
      </w:r>
      <w:r>
        <w:rPr>
          <w:rFonts w:asciiTheme="minorEastAsia" w:hAnsiTheme="minorEastAsia" w:eastAsiaTheme="minorEastAsia"/>
          <w:bCs/>
          <w:sz w:val="24"/>
        </w:rPr>
        <w:t xml:space="preserve"> 交货期：</w:t>
      </w:r>
    </w:p>
    <w:p>
      <w:pPr>
        <w:pStyle w:val="13"/>
        <w:snapToGrid w:val="0"/>
        <w:spacing w:before="120" w:after="120" w:line="360" w:lineRule="auto"/>
        <w:rPr>
          <w:rFonts w:asciiTheme="minorEastAsia" w:hAnsiTheme="minorEastAsia" w:eastAsiaTheme="minorEastAsia"/>
          <w:bCs/>
          <w:color w:val="000000"/>
          <w:sz w:val="24"/>
        </w:rPr>
      </w:pPr>
      <w:r>
        <w:rPr>
          <w:rFonts w:asciiTheme="minorEastAsia" w:hAnsiTheme="minorEastAsia" w:eastAsiaTheme="minorEastAsia"/>
          <w:bCs/>
          <w:color w:val="000000"/>
          <w:sz w:val="24"/>
        </w:rPr>
        <w:t>2</w:t>
      </w:r>
      <w:r>
        <w:rPr>
          <w:rFonts w:hint="eastAsia" w:asciiTheme="minorEastAsia" w:hAnsiTheme="minorEastAsia" w:eastAsiaTheme="minorEastAsia"/>
          <w:bCs/>
          <w:color w:val="000000"/>
          <w:sz w:val="24"/>
        </w:rPr>
        <w:t>.</w:t>
      </w:r>
      <w:r>
        <w:rPr>
          <w:rFonts w:asciiTheme="minorEastAsia" w:hAnsiTheme="minorEastAsia" w:eastAsiaTheme="minorEastAsia"/>
          <w:bCs/>
          <w:color w:val="000000"/>
          <w:sz w:val="24"/>
        </w:rPr>
        <w:t xml:space="preserve"> 交货方式：</w:t>
      </w:r>
    </w:p>
    <w:p>
      <w:pPr>
        <w:pStyle w:val="13"/>
        <w:snapToGrid w:val="0"/>
        <w:spacing w:before="120" w:after="120" w:line="360" w:lineRule="auto"/>
        <w:rPr>
          <w:rFonts w:asciiTheme="minorEastAsia" w:hAnsiTheme="minorEastAsia" w:eastAsiaTheme="minorEastAsia"/>
          <w:b/>
          <w:color w:val="000000"/>
          <w:sz w:val="24"/>
        </w:rPr>
      </w:pPr>
      <w:r>
        <w:rPr>
          <w:rFonts w:asciiTheme="minorEastAsia" w:hAnsiTheme="minorEastAsia" w:eastAsiaTheme="minorEastAsia"/>
          <w:bCs/>
          <w:color w:val="000000"/>
          <w:sz w:val="24"/>
        </w:rPr>
        <w:t>3</w:t>
      </w:r>
      <w:r>
        <w:rPr>
          <w:rFonts w:hint="eastAsia" w:asciiTheme="minorEastAsia" w:hAnsiTheme="minorEastAsia" w:eastAsiaTheme="minorEastAsia"/>
          <w:bCs/>
          <w:color w:val="000000"/>
          <w:sz w:val="24"/>
        </w:rPr>
        <w:t>.</w:t>
      </w:r>
      <w:r>
        <w:rPr>
          <w:rFonts w:asciiTheme="minorEastAsia" w:hAnsiTheme="minorEastAsia" w:eastAsiaTheme="minorEastAsia"/>
          <w:bCs/>
          <w:color w:val="000000"/>
          <w:sz w:val="24"/>
        </w:rPr>
        <w:t xml:space="preserve"> 交货地点：</w:t>
      </w:r>
    </w:p>
    <w:p>
      <w:pPr>
        <w:pStyle w:val="13"/>
        <w:snapToGrid w:val="0"/>
        <w:spacing w:before="120" w:after="120" w:line="360" w:lineRule="auto"/>
        <w:rPr>
          <w:rFonts w:asciiTheme="minorEastAsia" w:hAnsiTheme="minorEastAsia" w:eastAsiaTheme="minorEastAsia"/>
          <w:b/>
          <w:color w:val="000000"/>
          <w:sz w:val="24"/>
        </w:rPr>
      </w:pPr>
      <w:r>
        <w:rPr>
          <w:rFonts w:asciiTheme="minorEastAsia" w:hAnsiTheme="minorEastAsia" w:eastAsiaTheme="minorEastAsia"/>
          <w:b/>
          <w:color w:val="000000"/>
          <w:sz w:val="24"/>
        </w:rPr>
        <w:t>十</w:t>
      </w:r>
      <w:r>
        <w:rPr>
          <w:rFonts w:hint="eastAsia" w:asciiTheme="minorEastAsia" w:hAnsiTheme="minorEastAsia" w:eastAsiaTheme="minorEastAsia"/>
          <w:b/>
          <w:color w:val="000000"/>
          <w:sz w:val="24"/>
        </w:rPr>
        <w:t>一</w:t>
      </w:r>
      <w:r>
        <w:rPr>
          <w:rFonts w:asciiTheme="minorEastAsia" w:hAnsiTheme="minorEastAsia" w:eastAsiaTheme="minorEastAsia"/>
          <w:b/>
          <w:color w:val="000000"/>
          <w:sz w:val="24"/>
        </w:rPr>
        <w:t>、货款支付</w:t>
      </w:r>
    </w:p>
    <w:p>
      <w:pPr>
        <w:pStyle w:val="13"/>
        <w:snapToGrid w:val="0"/>
        <w:spacing w:before="120" w:after="120" w:line="360" w:lineRule="auto"/>
        <w:rPr>
          <w:rFonts w:asciiTheme="minorEastAsia" w:hAnsiTheme="minorEastAsia" w:eastAsiaTheme="minorEastAsia"/>
          <w:bCs/>
          <w:sz w:val="24"/>
        </w:rPr>
      </w:pPr>
      <w:r>
        <w:rPr>
          <w:rFonts w:asciiTheme="minorEastAsia" w:hAnsiTheme="minorEastAsia" w:eastAsiaTheme="minorEastAsia"/>
          <w:bCs/>
          <w:sz w:val="24"/>
        </w:rPr>
        <w:t>1</w:t>
      </w:r>
      <w:r>
        <w:rPr>
          <w:rFonts w:hint="eastAsia" w:asciiTheme="minorEastAsia" w:hAnsiTheme="minorEastAsia" w:eastAsiaTheme="minorEastAsia"/>
          <w:bCs/>
          <w:sz w:val="24"/>
        </w:rPr>
        <w:t>.</w:t>
      </w:r>
      <w:r>
        <w:rPr>
          <w:rFonts w:asciiTheme="minorEastAsia" w:hAnsiTheme="minorEastAsia" w:eastAsiaTheme="minorEastAsia"/>
          <w:bCs/>
          <w:sz w:val="24"/>
        </w:rPr>
        <w:t xml:space="preserve"> 付款方式：</w:t>
      </w:r>
    </w:p>
    <w:p>
      <w:pPr>
        <w:pStyle w:val="13"/>
        <w:snapToGrid w:val="0"/>
        <w:spacing w:line="360" w:lineRule="auto"/>
        <w:rPr>
          <w:rFonts w:asciiTheme="minorEastAsia" w:hAnsiTheme="minorEastAsia" w:eastAsiaTheme="minorEastAsia"/>
          <w:bCs/>
          <w:sz w:val="24"/>
        </w:rPr>
      </w:pPr>
      <w:r>
        <w:rPr>
          <w:rFonts w:hint="eastAsia" w:hAnsi="Times New Roman"/>
          <w:sz w:val="24"/>
          <w:lang w:val="zh-CN"/>
        </w:rPr>
        <w:t>2.当采购数量与实际使用数量不一致时，由采购单位向同级财政部门申请并经批准后，可以由乙方根据实际使用量供货，合同的最终结算金额按实际使用量乘以成交单价进行计算。</w:t>
      </w:r>
    </w:p>
    <w:p>
      <w:pPr>
        <w:snapToGrid w:val="0"/>
        <w:spacing w:before="156" w:beforeLines="50" w:after="156" w:afterLines="50" w:line="360" w:lineRule="auto"/>
        <w:rPr>
          <w:rFonts w:asciiTheme="minorEastAsia" w:hAnsiTheme="minorEastAsia" w:eastAsiaTheme="minorEastAsia"/>
          <w:b/>
          <w:sz w:val="24"/>
        </w:rPr>
      </w:pPr>
      <w:r>
        <w:rPr>
          <w:rFonts w:hint="eastAsia" w:asciiTheme="minorEastAsia" w:hAnsiTheme="minorEastAsia" w:eastAsiaTheme="minorEastAsia"/>
          <w:b/>
          <w:sz w:val="24"/>
        </w:rPr>
        <w:t>十二、税费</w:t>
      </w:r>
    </w:p>
    <w:p>
      <w:pPr>
        <w:snapToGrid w:val="0"/>
        <w:spacing w:before="156" w:beforeLines="50" w:after="156" w:afterLines="50" w:line="360" w:lineRule="auto"/>
        <w:rPr>
          <w:rFonts w:asciiTheme="minorEastAsia" w:hAnsiTheme="minorEastAsia" w:eastAsiaTheme="minorEastAsia"/>
          <w:sz w:val="24"/>
        </w:rPr>
      </w:pPr>
      <w:r>
        <w:rPr>
          <w:rFonts w:hint="eastAsia" w:asciiTheme="minorEastAsia" w:hAnsiTheme="minorEastAsia" w:eastAsiaTheme="minorEastAsia"/>
          <w:sz w:val="24"/>
        </w:rPr>
        <w:t>本合同执行中相关的一切税费均由</w:t>
      </w:r>
      <w:r>
        <w:rPr>
          <w:rFonts w:asciiTheme="minorEastAsia" w:hAnsiTheme="minorEastAsia" w:eastAsiaTheme="minorEastAsia"/>
          <w:sz w:val="24"/>
        </w:rPr>
        <w:t>乙</w:t>
      </w:r>
      <w:r>
        <w:rPr>
          <w:rFonts w:hint="eastAsia" w:asciiTheme="minorEastAsia" w:hAnsiTheme="minorEastAsia" w:eastAsiaTheme="minorEastAsia"/>
          <w:sz w:val="24"/>
        </w:rPr>
        <w:t>方负担。</w:t>
      </w:r>
    </w:p>
    <w:p>
      <w:pPr>
        <w:pStyle w:val="13"/>
        <w:snapToGrid w:val="0"/>
        <w:spacing w:before="120" w:after="120" w:line="360" w:lineRule="auto"/>
        <w:ind w:left="412" w:hanging="412" w:hangingChars="171"/>
        <w:rPr>
          <w:rFonts w:asciiTheme="minorEastAsia" w:hAnsiTheme="minorEastAsia" w:eastAsiaTheme="minorEastAsia"/>
          <w:sz w:val="24"/>
        </w:rPr>
      </w:pPr>
      <w:r>
        <w:rPr>
          <w:rFonts w:asciiTheme="minorEastAsia" w:hAnsiTheme="minorEastAsia" w:eastAsiaTheme="minorEastAsia"/>
          <w:b/>
          <w:sz w:val="24"/>
        </w:rPr>
        <w:t>十</w:t>
      </w:r>
      <w:r>
        <w:rPr>
          <w:rFonts w:hint="eastAsia" w:asciiTheme="minorEastAsia" w:hAnsiTheme="minorEastAsia" w:eastAsiaTheme="minorEastAsia"/>
          <w:b/>
          <w:sz w:val="24"/>
        </w:rPr>
        <w:t>三</w:t>
      </w:r>
      <w:r>
        <w:rPr>
          <w:rFonts w:asciiTheme="minorEastAsia" w:hAnsiTheme="minorEastAsia" w:eastAsiaTheme="minorEastAsia"/>
          <w:b/>
          <w:sz w:val="24"/>
        </w:rPr>
        <w:t>、质量保证及售后服务</w:t>
      </w:r>
    </w:p>
    <w:p>
      <w:pPr>
        <w:pStyle w:val="13"/>
        <w:snapToGrid w:val="0"/>
        <w:spacing w:before="120" w:after="120" w:line="360" w:lineRule="auto"/>
        <w:ind w:left="410" w:hanging="410" w:hangingChars="171"/>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 xml:space="preserve"> 乙方应按招标文件规定的货物性能、技术要求、质量标准向甲方提供未经使用的全新产品。</w:t>
      </w:r>
    </w:p>
    <w:p>
      <w:pPr>
        <w:pStyle w:val="13"/>
        <w:snapToGrid w:val="0"/>
        <w:spacing w:before="120" w:after="120" w:line="360" w:lineRule="auto"/>
        <w:ind w:left="480" w:hanging="480" w:hanging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 xml:space="preserve"> 乙方提供的货物在质</w:t>
      </w:r>
      <w:r>
        <w:rPr>
          <w:rFonts w:hint="eastAsia" w:asciiTheme="minorEastAsia" w:hAnsiTheme="minorEastAsia" w:eastAsiaTheme="minorEastAsia"/>
          <w:sz w:val="24"/>
        </w:rPr>
        <w:t>保</w:t>
      </w:r>
      <w:r>
        <w:rPr>
          <w:rFonts w:asciiTheme="minorEastAsia" w:hAnsiTheme="minorEastAsia" w:eastAsiaTheme="minorEastAsia"/>
          <w:sz w:val="24"/>
        </w:rPr>
        <w:t>期内因货物本身的质量问题发生故障，乙方应负责免费更换。对达不到技术要求者，根据实际情况，经双方协商，可按以下办法处理：</w:t>
      </w:r>
    </w:p>
    <w:p>
      <w:pPr>
        <w:pStyle w:val="13"/>
        <w:snapToGrid w:val="0"/>
        <w:spacing w:before="120" w:after="120" w:line="360" w:lineRule="auto"/>
        <w:ind w:firstLine="420"/>
        <w:rPr>
          <w:rFonts w:asciiTheme="minorEastAsia" w:hAnsiTheme="minorEastAsia" w:eastAsiaTheme="minorEastAsia"/>
          <w:sz w:val="24"/>
        </w:rPr>
      </w:pPr>
      <w:r>
        <w:rPr>
          <w:rFonts w:asciiTheme="minorEastAsia" w:hAnsiTheme="minorEastAsia" w:eastAsiaTheme="minorEastAsia"/>
          <w:sz w:val="24"/>
        </w:rPr>
        <w:t>⑴更换：由乙方承担所发生的全部费用。</w:t>
      </w:r>
    </w:p>
    <w:p>
      <w:pPr>
        <w:pStyle w:val="13"/>
        <w:snapToGrid w:val="0"/>
        <w:spacing w:before="120" w:after="120" w:line="360" w:lineRule="auto"/>
        <w:ind w:firstLine="420"/>
        <w:rPr>
          <w:rFonts w:asciiTheme="minorEastAsia" w:hAnsiTheme="minorEastAsia" w:eastAsiaTheme="minorEastAsia"/>
          <w:sz w:val="24"/>
        </w:rPr>
      </w:pPr>
      <w:r>
        <w:rPr>
          <w:rFonts w:asciiTheme="minorEastAsia" w:hAnsiTheme="minorEastAsia" w:eastAsiaTheme="minorEastAsia"/>
          <w:sz w:val="24"/>
        </w:rPr>
        <w:t>⑵贬值处理：由甲乙双方合议定价。</w:t>
      </w:r>
    </w:p>
    <w:p>
      <w:pPr>
        <w:pStyle w:val="13"/>
        <w:snapToGrid w:val="0"/>
        <w:spacing w:before="120" w:after="120" w:line="360" w:lineRule="auto"/>
        <w:ind w:left="420" w:leftChars="200"/>
        <w:rPr>
          <w:rFonts w:asciiTheme="minorEastAsia" w:hAnsiTheme="minorEastAsia" w:eastAsiaTheme="minorEastAsia"/>
          <w:sz w:val="24"/>
        </w:rPr>
      </w:pPr>
      <w:r>
        <w:rPr>
          <w:rFonts w:asciiTheme="minorEastAsia" w:hAnsiTheme="minorEastAsia" w:eastAsiaTheme="minorEastAsia"/>
          <w:sz w:val="24"/>
        </w:rPr>
        <w:t>⑶退货处理：乙方应退还甲方支付的合同款，同时应承担该货物的直接费用（运输、保险、检验、货款利息及银行手续费等）。</w:t>
      </w:r>
    </w:p>
    <w:p>
      <w:pPr>
        <w:pStyle w:val="13"/>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w:t>
      </w:r>
      <w:r>
        <w:rPr>
          <w:rFonts w:asciiTheme="minorEastAsia" w:hAnsiTheme="minorEastAsia" w:eastAsiaTheme="minorEastAsia"/>
          <w:sz w:val="24"/>
        </w:rPr>
        <w:t xml:space="preserve"> 如在使用过程中发生质量问题，乙方在接到甲方通知后</w:t>
      </w:r>
      <w:r>
        <w:rPr>
          <w:rFonts w:asciiTheme="minorEastAsia" w:hAnsiTheme="minorEastAsia" w:eastAsiaTheme="minorEastAsia"/>
          <w:color w:val="000000"/>
          <w:sz w:val="24"/>
        </w:rPr>
        <w:t>在</w:t>
      </w:r>
      <w:r>
        <w:rPr>
          <w:rFonts w:hint="eastAsia" w:asciiTheme="minorEastAsia" w:hAnsiTheme="minorEastAsia" w:eastAsiaTheme="minorEastAsia"/>
          <w:color w:val="000000"/>
          <w:sz w:val="24"/>
          <w:u w:val="single"/>
        </w:rPr>
        <w:t xml:space="preserve">   </w:t>
      </w:r>
      <w:r>
        <w:rPr>
          <w:rFonts w:asciiTheme="minorEastAsia" w:hAnsiTheme="minorEastAsia" w:eastAsiaTheme="minorEastAsia"/>
          <w:color w:val="000000"/>
          <w:sz w:val="24"/>
        </w:rPr>
        <w:t>小时</w:t>
      </w:r>
      <w:r>
        <w:rPr>
          <w:rFonts w:asciiTheme="minorEastAsia" w:hAnsiTheme="minorEastAsia" w:eastAsiaTheme="minorEastAsia"/>
          <w:sz w:val="24"/>
        </w:rPr>
        <w:t>内到达甲方</w:t>
      </w:r>
    </w:p>
    <w:p>
      <w:pPr>
        <w:pStyle w:val="13"/>
        <w:snapToGrid w:val="0"/>
        <w:spacing w:before="120" w:after="120"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现场。</w:t>
      </w:r>
    </w:p>
    <w:p>
      <w:pPr>
        <w:pStyle w:val="13"/>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w:t>
      </w:r>
      <w:r>
        <w:rPr>
          <w:rFonts w:asciiTheme="minorEastAsia" w:hAnsiTheme="minorEastAsia" w:eastAsiaTheme="minorEastAsia"/>
          <w:sz w:val="24"/>
        </w:rPr>
        <w:t xml:space="preserve"> 在质保期内，乙方应对货物出现的质量及安全问题负责处理解决并承担一切</w:t>
      </w:r>
    </w:p>
    <w:p>
      <w:pPr>
        <w:pStyle w:val="13"/>
        <w:snapToGrid w:val="0"/>
        <w:spacing w:before="120" w:after="120"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费用。</w:t>
      </w:r>
    </w:p>
    <w:p>
      <w:pPr>
        <w:pStyle w:val="13"/>
        <w:snapToGrid w:val="0"/>
        <w:spacing w:before="120" w:after="120" w:line="360" w:lineRule="auto"/>
        <w:rPr>
          <w:rFonts w:asciiTheme="minorEastAsia" w:hAnsiTheme="minorEastAsia" w:eastAsiaTheme="minorEastAsia"/>
          <w:color w:val="000000"/>
          <w:sz w:val="24"/>
        </w:rPr>
      </w:pPr>
      <w:r>
        <w:rPr>
          <w:rFonts w:asciiTheme="minorEastAsia" w:hAnsiTheme="minorEastAsia" w:eastAsiaTheme="minorEastAsia"/>
          <w:sz w:val="24"/>
        </w:rPr>
        <w:t>5</w:t>
      </w:r>
      <w:r>
        <w:rPr>
          <w:rFonts w:hint="eastAsia" w:asciiTheme="minorEastAsia" w:hAnsiTheme="minorEastAsia" w:eastAsiaTheme="minorEastAsia"/>
          <w:sz w:val="24"/>
        </w:rPr>
        <w:t>.</w:t>
      </w:r>
      <w:r>
        <w:rPr>
          <w:rFonts w:asciiTheme="minorEastAsia" w:hAnsiTheme="minorEastAsia" w:eastAsiaTheme="minorEastAsia"/>
          <w:color w:val="000000"/>
          <w:sz w:val="24"/>
        </w:rPr>
        <w:t>上述的</w:t>
      </w:r>
      <w:r>
        <w:rPr>
          <w:rFonts w:asciiTheme="minorEastAsia" w:hAnsiTheme="minorEastAsia" w:eastAsiaTheme="minorEastAsia"/>
          <w:sz w:val="24"/>
        </w:rPr>
        <w:t>货物</w:t>
      </w:r>
      <w:r>
        <w:rPr>
          <w:rFonts w:asciiTheme="minorEastAsia" w:hAnsiTheme="minorEastAsia" w:eastAsiaTheme="minorEastAsia"/>
          <w:color w:val="000000"/>
          <w:sz w:val="24"/>
        </w:rPr>
        <w:t>免费保修期为年，因人为因素出现的故障不在免费保修范围</w:t>
      </w:r>
    </w:p>
    <w:p>
      <w:pPr>
        <w:pStyle w:val="13"/>
        <w:snapToGrid w:val="0"/>
        <w:spacing w:before="120" w:after="120" w:line="360" w:lineRule="auto"/>
        <w:ind w:firstLine="240" w:firstLineChars="100"/>
        <w:rPr>
          <w:rFonts w:asciiTheme="minorEastAsia" w:hAnsiTheme="minorEastAsia" w:eastAsiaTheme="minorEastAsia"/>
          <w:color w:val="000000"/>
          <w:sz w:val="24"/>
        </w:rPr>
      </w:pPr>
      <w:r>
        <w:rPr>
          <w:rFonts w:asciiTheme="minorEastAsia" w:hAnsiTheme="minorEastAsia" w:eastAsiaTheme="minorEastAsia"/>
          <w:color w:val="000000"/>
          <w:sz w:val="24"/>
        </w:rPr>
        <w:t>内。超过保修期的机器设备，终生维修，维修时只收部件成本费。</w:t>
      </w:r>
    </w:p>
    <w:p>
      <w:pPr>
        <w:pStyle w:val="13"/>
        <w:snapToGrid w:val="0"/>
        <w:spacing w:before="120" w:after="120" w:line="360" w:lineRule="auto"/>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四</w:t>
      </w:r>
      <w:r>
        <w:rPr>
          <w:rFonts w:asciiTheme="minorEastAsia" w:hAnsiTheme="minorEastAsia" w:eastAsiaTheme="minorEastAsia"/>
          <w:b/>
          <w:sz w:val="24"/>
        </w:rPr>
        <w:t>、调试和验收</w:t>
      </w:r>
    </w:p>
    <w:p>
      <w:pPr>
        <w:pStyle w:val="13"/>
        <w:snapToGrid w:val="0"/>
        <w:spacing w:before="120" w:after="120" w:line="360" w:lineRule="auto"/>
        <w:jc w:val="left"/>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 xml:space="preserve"> 甲方对乙方提交的货物依据招标文件上的技术规格要求和国家有关质量标准</w:t>
      </w:r>
    </w:p>
    <w:p>
      <w:pPr>
        <w:pStyle w:val="13"/>
        <w:snapToGrid w:val="0"/>
        <w:spacing w:before="120" w:after="120" w:line="360" w:lineRule="auto"/>
        <w:ind w:firstLine="360" w:firstLineChars="150"/>
        <w:jc w:val="left"/>
        <w:rPr>
          <w:rFonts w:asciiTheme="minorEastAsia" w:hAnsiTheme="minorEastAsia" w:eastAsiaTheme="minorEastAsia"/>
          <w:sz w:val="24"/>
        </w:rPr>
      </w:pPr>
      <w:r>
        <w:rPr>
          <w:rFonts w:asciiTheme="minorEastAsia" w:hAnsiTheme="minorEastAsia" w:eastAsiaTheme="minorEastAsia"/>
          <w:sz w:val="24"/>
        </w:rPr>
        <w:t>进行现场初步验收，外观、说明书符合招标文件技术要求的，给予签收，初</w:t>
      </w:r>
    </w:p>
    <w:p>
      <w:pPr>
        <w:pStyle w:val="13"/>
        <w:snapToGrid w:val="0"/>
        <w:spacing w:before="120" w:after="120" w:line="360" w:lineRule="auto"/>
        <w:ind w:firstLine="360" w:firstLineChars="150"/>
        <w:jc w:val="left"/>
        <w:rPr>
          <w:rFonts w:asciiTheme="minorEastAsia" w:hAnsiTheme="minorEastAsia" w:eastAsiaTheme="minorEastAsia"/>
          <w:sz w:val="24"/>
        </w:rPr>
      </w:pPr>
      <w:r>
        <w:rPr>
          <w:rFonts w:asciiTheme="minorEastAsia" w:hAnsiTheme="minorEastAsia" w:eastAsiaTheme="minorEastAsia"/>
          <w:sz w:val="24"/>
        </w:rPr>
        <w:t>步验收不合格的不予签收。货到后，甲方需在</w:t>
      </w:r>
      <w:r>
        <w:rPr>
          <w:rFonts w:hint="eastAsia" w:asciiTheme="minorEastAsia" w:hAnsiTheme="minorEastAsia" w:eastAsiaTheme="minorEastAsia"/>
          <w:color w:val="FF66CC"/>
          <w:sz w:val="24"/>
          <w:u w:val="single"/>
        </w:rPr>
        <w:t>五</w:t>
      </w:r>
      <w:r>
        <w:rPr>
          <w:rFonts w:hint="eastAsia" w:asciiTheme="minorEastAsia" w:hAnsiTheme="minorEastAsia" w:eastAsiaTheme="minorEastAsia"/>
          <w:sz w:val="24"/>
        </w:rPr>
        <w:t>个</w:t>
      </w:r>
      <w:r>
        <w:rPr>
          <w:rFonts w:asciiTheme="minorEastAsia" w:hAnsiTheme="minorEastAsia" w:eastAsiaTheme="minorEastAsia"/>
          <w:sz w:val="24"/>
        </w:rPr>
        <w:t>工作日内验收。</w:t>
      </w:r>
    </w:p>
    <w:p>
      <w:pPr>
        <w:pStyle w:val="13"/>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 xml:space="preserve"> 乙方交货前应对产品作出全面检查和对验收文件进行整理，并列出清单，作</w:t>
      </w:r>
    </w:p>
    <w:p>
      <w:pPr>
        <w:pStyle w:val="13"/>
        <w:snapToGrid w:val="0"/>
        <w:spacing w:before="120" w:after="120"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为甲方收货验收和使用的技术条件依据，检验的结果应随货物交甲方。</w:t>
      </w:r>
    </w:p>
    <w:p>
      <w:pPr>
        <w:pStyle w:val="13"/>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w:t>
      </w:r>
      <w:r>
        <w:rPr>
          <w:rFonts w:asciiTheme="minorEastAsia" w:hAnsiTheme="minorEastAsia" w:eastAsiaTheme="minorEastAsia"/>
          <w:sz w:val="24"/>
        </w:rPr>
        <w:t xml:space="preserve"> 甲方对乙方提供的货物在使用前进行调试时，乙方需负责安装并培训甲方的</w:t>
      </w:r>
    </w:p>
    <w:p>
      <w:pPr>
        <w:pStyle w:val="13"/>
        <w:snapToGrid w:val="0"/>
        <w:spacing w:before="120" w:after="120"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使用操作人员，并协助甲方一起调试，直到符合技术要求，甲方才做最终验</w:t>
      </w:r>
    </w:p>
    <w:p>
      <w:pPr>
        <w:pStyle w:val="13"/>
        <w:snapToGrid w:val="0"/>
        <w:spacing w:before="120" w:after="120" w:line="360" w:lineRule="auto"/>
        <w:ind w:firstLine="360" w:firstLineChars="150"/>
        <w:rPr>
          <w:rFonts w:asciiTheme="minorEastAsia" w:hAnsiTheme="minorEastAsia" w:eastAsiaTheme="minorEastAsia"/>
          <w:sz w:val="24"/>
          <w:u w:val="single"/>
        </w:rPr>
      </w:pPr>
      <w:r>
        <w:rPr>
          <w:rFonts w:asciiTheme="minorEastAsia" w:hAnsiTheme="minorEastAsia" w:eastAsiaTheme="minorEastAsia"/>
          <w:sz w:val="24"/>
        </w:rPr>
        <w:t>收。</w:t>
      </w:r>
    </w:p>
    <w:p>
      <w:pPr>
        <w:pStyle w:val="13"/>
        <w:snapToGrid w:val="0"/>
        <w:spacing w:before="120" w:after="120" w:line="360" w:lineRule="auto"/>
        <w:rPr>
          <w:rFonts w:asciiTheme="minorEastAsia" w:hAnsiTheme="minorEastAsia" w:eastAsiaTheme="minorEastAsia"/>
          <w:sz w:val="24"/>
        </w:rPr>
      </w:pPr>
      <w:r>
        <w:rPr>
          <w:rFonts w:asciiTheme="minorEastAsia" w:hAnsiTheme="minorEastAsia" w:eastAsiaTheme="minorEastAsia"/>
          <w:color w:val="000000"/>
          <w:sz w:val="24"/>
        </w:rPr>
        <w:t>4</w:t>
      </w:r>
      <w:r>
        <w:rPr>
          <w:rFonts w:hint="eastAsia" w:asciiTheme="minorEastAsia" w:hAnsiTheme="minorEastAsia" w:eastAsiaTheme="minorEastAsia"/>
          <w:color w:val="000000"/>
          <w:sz w:val="24"/>
        </w:rPr>
        <w:t>.</w:t>
      </w:r>
      <w:r>
        <w:rPr>
          <w:rFonts w:asciiTheme="minorEastAsia" w:hAnsiTheme="minorEastAsia" w:eastAsiaTheme="minorEastAsia"/>
          <w:sz w:val="24"/>
        </w:rPr>
        <w:t>对技术复杂的货物，甲方应请国家认可的专业检测机构参与初步验收及最终</w:t>
      </w:r>
    </w:p>
    <w:p>
      <w:pPr>
        <w:pStyle w:val="13"/>
        <w:snapToGrid w:val="0"/>
        <w:spacing w:before="120" w:after="120"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验收，并由其出具质量检测报告。</w:t>
      </w:r>
    </w:p>
    <w:p>
      <w:pPr>
        <w:pStyle w:val="13"/>
        <w:snapToGrid w:val="0"/>
        <w:spacing w:before="120" w:after="120" w:line="360" w:lineRule="auto"/>
        <w:rPr>
          <w:rFonts w:asciiTheme="minorEastAsia" w:hAnsiTheme="minorEastAsia" w:eastAsiaTheme="minorEastAsia"/>
          <w:sz w:val="24"/>
        </w:rPr>
      </w:pPr>
      <w:r>
        <w:rPr>
          <w:rFonts w:asciiTheme="minorEastAsia" w:hAnsiTheme="minorEastAsia" w:eastAsiaTheme="minorEastAsia"/>
          <w:color w:val="000000"/>
          <w:sz w:val="24"/>
        </w:rPr>
        <w:t>5</w:t>
      </w:r>
      <w:r>
        <w:rPr>
          <w:rFonts w:hint="eastAsia" w:asciiTheme="minorEastAsia" w:hAnsiTheme="minorEastAsia" w:eastAsiaTheme="minorEastAsia"/>
          <w:color w:val="000000"/>
          <w:sz w:val="24"/>
        </w:rPr>
        <w:t>.</w:t>
      </w:r>
      <w:r>
        <w:rPr>
          <w:rFonts w:asciiTheme="minorEastAsia" w:hAnsiTheme="minorEastAsia" w:eastAsiaTheme="minorEastAsia"/>
          <w:sz w:val="24"/>
        </w:rPr>
        <w:t>验收时乙方必须在现场，验收完毕后作出验收结果报告；验收费用由</w:t>
      </w:r>
      <w:r>
        <w:rPr>
          <w:rFonts w:hint="eastAsia" w:asciiTheme="minorEastAsia" w:hAnsiTheme="minorEastAsia" w:eastAsiaTheme="minorEastAsia"/>
          <w:sz w:val="24"/>
        </w:rPr>
        <w:t>甲</w:t>
      </w:r>
      <w:r>
        <w:rPr>
          <w:rFonts w:asciiTheme="minorEastAsia" w:hAnsiTheme="minorEastAsia" w:eastAsiaTheme="minorEastAsia"/>
          <w:sz w:val="24"/>
        </w:rPr>
        <w:t>方负</w:t>
      </w:r>
    </w:p>
    <w:p>
      <w:pPr>
        <w:pStyle w:val="13"/>
        <w:snapToGrid w:val="0"/>
        <w:spacing w:before="120" w:after="120"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责。</w:t>
      </w:r>
    </w:p>
    <w:p>
      <w:pPr>
        <w:pStyle w:val="13"/>
        <w:snapToGrid w:val="0"/>
        <w:spacing w:before="120" w:after="120" w:line="360" w:lineRule="auto"/>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五</w:t>
      </w:r>
      <w:r>
        <w:rPr>
          <w:rFonts w:asciiTheme="minorEastAsia" w:hAnsiTheme="minorEastAsia" w:eastAsiaTheme="minorEastAsia"/>
          <w:b/>
          <w:sz w:val="24"/>
        </w:rPr>
        <w:t>、货物包装、发运及运输</w:t>
      </w:r>
    </w:p>
    <w:p>
      <w:pPr>
        <w:pStyle w:val="13"/>
        <w:snapToGrid w:val="0"/>
        <w:spacing w:before="120" w:after="120" w:line="360" w:lineRule="auto"/>
        <w:ind w:left="480" w:hanging="480" w:hanging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 xml:space="preserve"> 乙方应在货物发运前对其进行满足运输距离、防潮、防震、防锈和防破损装卸等要求包装，以保证货物安全运达甲方指定地点。</w:t>
      </w:r>
    </w:p>
    <w:p>
      <w:pPr>
        <w:pStyle w:val="13"/>
        <w:snapToGrid w:val="0"/>
        <w:spacing w:before="120" w:after="120" w:line="360" w:lineRule="auto"/>
        <w:ind w:left="480" w:hanging="480" w:hanging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 xml:space="preserve"> 使用说明书、质量检验证明书、随配附件和工具以及清单一并附于货物内。</w:t>
      </w:r>
    </w:p>
    <w:p>
      <w:pPr>
        <w:pStyle w:val="13"/>
        <w:snapToGrid w:val="0"/>
        <w:spacing w:before="120" w:after="120" w:line="360" w:lineRule="auto"/>
        <w:ind w:left="480" w:hanging="480" w:hanging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w:t>
      </w:r>
      <w:r>
        <w:rPr>
          <w:rFonts w:asciiTheme="minorEastAsia" w:hAnsiTheme="minorEastAsia" w:eastAsiaTheme="minorEastAsia"/>
          <w:sz w:val="24"/>
        </w:rPr>
        <w:t xml:space="preserve"> 乙方在货物发运手续办理完毕后24小时内或货到甲方48小时前通知甲方，以准备接货。</w:t>
      </w:r>
    </w:p>
    <w:p>
      <w:pPr>
        <w:pStyle w:val="13"/>
        <w:snapToGrid w:val="0"/>
        <w:spacing w:before="120" w:after="120" w:line="360" w:lineRule="auto"/>
        <w:ind w:left="480" w:hanging="480" w:hangingChars="2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w:t>
      </w:r>
      <w:r>
        <w:rPr>
          <w:rFonts w:asciiTheme="minorEastAsia" w:hAnsiTheme="minorEastAsia" w:eastAsiaTheme="minorEastAsia"/>
          <w:sz w:val="24"/>
        </w:rPr>
        <w:t xml:space="preserve"> 货物在交付甲方前发生的风险均由乙方负责。</w:t>
      </w:r>
    </w:p>
    <w:p>
      <w:pPr>
        <w:pStyle w:val="13"/>
        <w:snapToGrid w:val="0"/>
        <w:spacing w:line="360" w:lineRule="auto"/>
        <w:ind w:left="480" w:right="26" w:hanging="480" w:hangingChars="200"/>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w:t>
      </w:r>
      <w:r>
        <w:rPr>
          <w:rFonts w:asciiTheme="minorEastAsia" w:hAnsiTheme="minorEastAsia" w:eastAsiaTheme="minorEastAsia"/>
          <w:sz w:val="24"/>
        </w:rPr>
        <w:t xml:space="preserve"> 货物在规定的交付期限内由乙方送达甲方指定的地点视为交付，乙方同时需</w:t>
      </w:r>
    </w:p>
    <w:p>
      <w:pPr>
        <w:pStyle w:val="13"/>
        <w:snapToGrid w:val="0"/>
        <w:spacing w:line="360" w:lineRule="auto"/>
        <w:ind w:left="479" w:leftChars="171" w:right="26" w:hanging="120" w:hangingChars="50"/>
        <w:rPr>
          <w:rFonts w:asciiTheme="minorEastAsia" w:hAnsiTheme="minorEastAsia" w:eastAsiaTheme="minorEastAsia"/>
          <w:sz w:val="24"/>
        </w:rPr>
      </w:pPr>
      <w:r>
        <w:rPr>
          <w:rFonts w:asciiTheme="minorEastAsia" w:hAnsiTheme="minorEastAsia" w:eastAsiaTheme="minorEastAsia"/>
          <w:sz w:val="24"/>
        </w:rPr>
        <w:t>通知甲方货物已送达。</w:t>
      </w:r>
    </w:p>
    <w:p>
      <w:pPr>
        <w:pStyle w:val="13"/>
        <w:snapToGrid w:val="0"/>
        <w:spacing w:line="360" w:lineRule="auto"/>
        <w:ind w:right="26"/>
        <w:rPr>
          <w:rFonts w:asciiTheme="minorEastAsia" w:hAnsiTheme="minorEastAsia" w:eastAsiaTheme="minorEastAsia"/>
          <w:sz w:val="24"/>
        </w:rPr>
      </w:pPr>
      <w:r>
        <w:rPr>
          <w:rFonts w:hint="eastAsia" w:asciiTheme="minorEastAsia" w:hAnsiTheme="minorEastAsia" w:eastAsiaTheme="minorEastAsia"/>
          <w:sz w:val="24"/>
        </w:rPr>
        <w:t>6.乙方运送的货物涉及商品包装和快递包装的，参考《商品包装政府采购需求标准（试行）》、《快递包装政府采购需求标准（试行）》(财办库〔2020〕123号)</w:t>
      </w:r>
    </w:p>
    <w:p>
      <w:pPr>
        <w:pStyle w:val="13"/>
        <w:snapToGrid w:val="0"/>
        <w:spacing w:line="360" w:lineRule="auto"/>
        <w:ind w:left="479" w:leftChars="171" w:right="26" w:hanging="120" w:hangingChars="50"/>
        <w:rPr>
          <w:rFonts w:asciiTheme="minorEastAsia" w:hAnsiTheme="minorEastAsia" w:eastAsiaTheme="minorEastAsia"/>
          <w:sz w:val="24"/>
        </w:rPr>
      </w:pPr>
    </w:p>
    <w:p>
      <w:pPr>
        <w:pStyle w:val="13"/>
        <w:snapToGrid w:val="0"/>
        <w:spacing w:before="120" w:after="120" w:line="360" w:lineRule="auto"/>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六</w:t>
      </w:r>
      <w:r>
        <w:rPr>
          <w:rFonts w:asciiTheme="minorEastAsia" w:hAnsiTheme="minorEastAsia" w:eastAsiaTheme="minorEastAsia"/>
          <w:b/>
          <w:sz w:val="24"/>
        </w:rPr>
        <w:t>、违约责任</w:t>
      </w:r>
    </w:p>
    <w:p>
      <w:pPr>
        <w:pStyle w:val="13"/>
        <w:snapToGrid w:val="0"/>
        <w:spacing w:before="120" w:after="120" w:line="360" w:lineRule="auto"/>
        <w:ind w:left="410" w:hanging="410" w:hangingChars="171"/>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 xml:space="preserve"> 甲方无正当理由拒收货物的，甲方向乙方偿付拒收货款总值的</w:t>
      </w:r>
      <w:r>
        <w:rPr>
          <w:rFonts w:asciiTheme="minorEastAsia" w:hAnsiTheme="minorEastAsia" w:eastAsiaTheme="minorEastAsia"/>
          <w:color w:val="FF66CC"/>
          <w:sz w:val="24"/>
          <w:u w:val="single"/>
        </w:rPr>
        <w:t>百分之五</w:t>
      </w:r>
      <w:r>
        <w:rPr>
          <w:rFonts w:asciiTheme="minorEastAsia" w:hAnsiTheme="minorEastAsia" w:eastAsiaTheme="minorEastAsia"/>
          <w:sz w:val="24"/>
        </w:rPr>
        <w:t>违约金。</w:t>
      </w:r>
    </w:p>
    <w:p>
      <w:pPr>
        <w:pStyle w:val="13"/>
        <w:snapToGrid w:val="0"/>
        <w:spacing w:before="120" w:after="120" w:line="360" w:lineRule="auto"/>
        <w:ind w:left="410" w:hanging="410" w:hangingChars="171"/>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 xml:space="preserve"> 甲方无故逾期验收和办理货款支付手续的,甲方应按逾期付款总额每日</w:t>
      </w:r>
      <w:r>
        <w:rPr>
          <w:rFonts w:asciiTheme="minorEastAsia" w:hAnsiTheme="minorEastAsia" w:eastAsiaTheme="minorEastAsia"/>
          <w:color w:val="FF66CC"/>
          <w:sz w:val="24"/>
          <w:u w:val="single"/>
        </w:rPr>
        <w:t>万分之五</w:t>
      </w:r>
      <w:r>
        <w:rPr>
          <w:rFonts w:asciiTheme="minorEastAsia" w:hAnsiTheme="minorEastAsia" w:eastAsiaTheme="minorEastAsia"/>
          <w:sz w:val="24"/>
        </w:rPr>
        <w:t>向乙方支付违约金。</w:t>
      </w:r>
    </w:p>
    <w:p>
      <w:pPr>
        <w:pStyle w:val="13"/>
        <w:snapToGrid w:val="0"/>
        <w:spacing w:before="120" w:after="120" w:line="360" w:lineRule="auto"/>
        <w:ind w:left="410" w:hanging="410" w:hangingChars="171"/>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w:t>
      </w:r>
      <w:r>
        <w:rPr>
          <w:rFonts w:asciiTheme="minorEastAsia" w:hAnsiTheme="minorEastAsia" w:eastAsiaTheme="minorEastAsia"/>
          <w:sz w:val="24"/>
        </w:rPr>
        <w:t xml:space="preserve"> 乙方逾期交付货物的，乙方应按逾期交货总额每日</w:t>
      </w:r>
      <w:r>
        <w:rPr>
          <w:rFonts w:asciiTheme="minorEastAsia" w:hAnsiTheme="minorEastAsia" w:eastAsiaTheme="minorEastAsia"/>
          <w:color w:val="FF66CC"/>
          <w:sz w:val="24"/>
          <w:u w:val="single"/>
        </w:rPr>
        <w:t>千分之六</w:t>
      </w:r>
      <w:r>
        <w:rPr>
          <w:rFonts w:asciiTheme="minorEastAsia" w:hAnsiTheme="minorEastAsia" w:eastAsiaTheme="minorEastAsia"/>
          <w:sz w:val="24"/>
        </w:rPr>
        <w:t>向甲方支付违约金，由甲方从待付货款中扣除。逾期超过约定日期</w:t>
      </w:r>
      <w:r>
        <w:rPr>
          <w:rFonts w:asciiTheme="minorEastAsia" w:hAnsiTheme="minorEastAsia" w:eastAsiaTheme="minorEastAsia"/>
          <w:color w:val="FF66CC"/>
          <w:sz w:val="24"/>
          <w:u w:val="single"/>
        </w:rPr>
        <w:t>10</w:t>
      </w:r>
      <w:r>
        <w:rPr>
          <w:rFonts w:asciiTheme="minorEastAsia" w:hAnsiTheme="minorEastAsia" w:eastAsiaTheme="minorEastAsia"/>
          <w:sz w:val="24"/>
        </w:rPr>
        <w:t>个工作日不能交货的，甲方可解除本合同。乙方因逾期交货或因其他违约行为导致甲方解除合同的，乙方应向甲方支付合同总值</w:t>
      </w:r>
      <w:r>
        <w:rPr>
          <w:rFonts w:asciiTheme="minorEastAsia" w:hAnsiTheme="minorEastAsia" w:eastAsiaTheme="minorEastAsia"/>
          <w:color w:val="FF66CC"/>
          <w:sz w:val="24"/>
          <w:u w:val="single"/>
        </w:rPr>
        <w:t>5%</w:t>
      </w:r>
      <w:r>
        <w:rPr>
          <w:rFonts w:asciiTheme="minorEastAsia" w:hAnsiTheme="minorEastAsia" w:eastAsiaTheme="minorEastAsia"/>
          <w:sz w:val="24"/>
        </w:rPr>
        <w:t xml:space="preserve">的违约金，如造成甲方损失超过违约金的，超出部分由乙方继续承担赔偿责任。 </w:t>
      </w:r>
    </w:p>
    <w:p>
      <w:pPr>
        <w:pStyle w:val="13"/>
        <w:snapToGrid w:val="0"/>
        <w:spacing w:before="120" w:after="120" w:line="360" w:lineRule="auto"/>
        <w:ind w:left="410" w:hanging="410" w:hangingChars="171"/>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w:t>
      </w:r>
      <w:r>
        <w:rPr>
          <w:rFonts w:asciiTheme="minorEastAsia" w:hAnsiTheme="minorEastAsia" w:eastAsiaTheme="minorEastAsia"/>
          <w:sz w:val="24"/>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3"/>
        <w:snapToGrid w:val="0"/>
        <w:spacing w:before="120" w:after="120" w:line="360" w:lineRule="auto"/>
        <w:ind w:left="410" w:hanging="410" w:hangingChars="171"/>
        <w:rPr>
          <w:rFonts w:asciiTheme="minorEastAsia" w:hAnsiTheme="minorEastAsia" w:eastAsiaTheme="minorEastAsia"/>
          <w:sz w:val="24"/>
        </w:rPr>
      </w:pPr>
      <w:r>
        <w:rPr>
          <w:rFonts w:hint="eastAsia" w:asciiTheme="minorEastAsia" w:hAnsiTheme="minorEastAsia" w:eastAsiaTheme="minorEastAsia"/>
          <w:sz w:val="24"/>
        </w:rPr>
        <w:t>5.若发生纠纷，由违约方赔偿守约方因纠纷所支付的费用（包括但不限于律师费、差旅费、诉讼费、保全费、鉴定费、评估费等）</w:t>
      </w:r>
    </w:p>
    <w:p>
      <w:pPr>
        <w:pStyle w:val="13"/>
        <w:snapToGrid w:val="0"/>
        <w:spacing w:before="120" w:after="120" w:line="360" w:lineRule="auto"/>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七</w:t>
      </w:r>
      <w:r>
        <w:rPr>
          <w:rFonts w:asciiTheme="minorEastAsia" w:hAnsiTheme="minorEastAsia" w:eastAsiaTheme="minorEastAsia"/>
          <w:b/>
          <w:sz w:val="24"/>
        </w:rPr>
        <w:t>、不可抗力事件处理</w:t>
      </w:r>
    </w:p>
    <w:p>
      <w:pPr>
        <w:pStyle w:val="13"/>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 xml:space="preserve"> 在合同有效期内，任何一方因不可抗力事件导致不能履行合同，则合同履行</w:t>
      </w:r>
    </w:p>
    <w:p>
      <w:pPr>
        <w:pStyle w:val="13"/>
        <w:snapToGrid w:val="0"/>
        <w:spacing w:before="120" w:after="120"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期可延长，其延长期与不可抗力影响期相同。</w:t>
      </w:r>
    </w:p>
    <w:p>
      <w:pPr>
        <w:pStyle w:val="13"/>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 xml:space="preserve"> 不可抗力事件发生后，应立即通知对方，并寄送有关权威机构出具的证明。</w:t>
      </w:r>
    </w:p>
    <w:p>
      <w:pPr>
        <w:pStyle w:val="13"/>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w:t>
      </w:r>
      <w:r>
        <w:rPr>
          <w:rFonts w:asciiTheme="minorEastAsia" w:hAnsiTheme="minorEastAsia" w:eastAsiaTheme="minorEastAsia"/>
          <w:sz w:val="24"/>
        </w:rPr>
        <w:t xml:space="preserve"> 不可抗力事件延续120天以上，双方应通过友好协商，确定是否继续履行合</w:t>
      </w:r>
    </w:p>
    <w:p>
      <w:pPr>
        <w:pStyle w:val="13"/>
        <w:snapToGrid w:val="0"/>
        <w:spacing w:before="120" w:after="120"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同。</w:t>
      </w:r>
    </w:p>
    <w:p>
      <w:pPr>
        <w:pStyle w:val="13"/>
        <w:snapToGrid w:val="0"/>
        <w:spacing w:before="120" w:after="120" w:line="360" w:lineRule="auto"/>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Theme="minorEastAsia" w:hAnsiTheme="minorEastAsia" w:eastAsiaTheme="minorEastAsia"/>
          <w:b/>
          <w:sz w:val="24"/>
        </w:rPr>
        <w:t>解决争议的方法</w:t>
      </w:r>
    </w:p>
    <w:p>
      <w:pPr>
        <w:widowControl/>
        <w:spacing w:line="360" w:lineRule="auto"/>
        <w:jc w:val="left"/>
        <w:rPr>
          <w:sz w:val="24"/>
        </w:rPr>
      </w:pPr>
      <w:r>
        <w:rPr>
          <w:rFonts w:hint="eastAsia" w:ascii="宋体" w:hAnsi="宋体" w:cs="宋体"/>
          <w:kern w:val="0"/>
          <w:sz w:val="24"/>
        </w:rPr>
        <w:t xml:space="preserve">1. </w:t>
      </w:r>
      <w:r>
        <w:rPr>
          <w:rFonts w:ascii="宋体" w:hAnsi="宋体" w:cs="宋体"/>
          <w:kern w:val="0"/>
          <w:sz w:val="24"/>
        </w:rPr>
        <w:t>如双方在履行合同时发生纠纷，应协商解决；协商不成时，可提请政府采购管理部门调解；调解不成的通过以下方式解决（两种解决方式只能择其一）：</w:t>
      </w:r>
      <w:r>
        <w:rPr>
          <w:rFonts w:ascii="宋体" w:hAnsi="宋体" w:cs="宋体"/>
          <w:kern w:val="0"/>
          <w:sz w:val="24"/>
        </w:rPr>
        <w:br w:type="textWrapping"/>
      </w:r>
      <w:r>
        <w:rPr>
          <w:rFonts w:ascii="宋体" w:hAnsi="宋体" w:cs="宋体"/>
          <w:kern w:val="0"/>
          <w:sz w:val="24"/>
        </w:rPr>
        <w:t>（1） 提交</w:t>
      </w:r>
      <w:r>
        <w:rPr>
          <w:rFonts w:hAnsi="宋体"/>
          <w:color w:val="FF66CC"/>
          <w:sz w:val="24"/>
          <w:u w:val="single"/>
        </w:rPr>
        <w:t>台州</w:t>
      </w:r>
      <w:r>
        <w:rPr>
          <w:rFonts w:ascii="宋体" w:hAnsi="宋体" w:cs="宋体"/>
          <w:kern w:val="0"/>
          <w:sz w:val="24"/>
        </w:rPr>
        <w:t>仲裁委员会仲裁。</w:t>
      </w:r>
      <w:r>
        <w:rPr>
          <w:rFonts w:ascii="宋体" w:hAnsi="宋体" w:cs="宋体"/>
          <w:kern w:val="0"/>
          <w:sz w:val="24"/>
        </w:rPr>
        <w:br w:type="textWrapping"/>
      </w:r>
      <w:r>
        <w:rPr>
          <w:rFonts w:ascii="宋体" w:hAnsi="宋体" w:cs="宋体"/>
          <w:kern w:val="0"/>
          <w:sz w:val="24"/>
        </w:rPr>
        <w:t xml:space="preserve">（2） 依法向人民法院提起诉讼。 </w:t>
      </w:r>
    </w:p>
    <w:p>
      <w:pPr>
        <w:pStyle w:val="13"/>
        <w:tabs>
          <w:tab w:val="left" w:pos="5790"/>
        </w:tabs>
        <w:snapToGrid w:val="0"/>
        <w:spacing w:before="120" w:after="120" w:line="360" w:lineRule="auto"/>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九</w:t>
      </w:r>
      <w:r>
        <w:rPr>
          <w:rFonts w:asciiTheme="minorEastAsia" w:hAnsiTheme="minorEastAsia" w:eastAsiaTheme="minorEastAsia"/>
          <w:b/>
          <w:sz w:val="24"/>
        </w:rPr>
        <w:t>、合同生效及其它</w:t>
      </w:r>
      <w:r>
        <w:rPr>
          <w:rFonts w:asciiTheme="minorEastAsia" w:hAnsiTheme="minorEastAsia" w:eastAsiaTheme="minorEastAsia"/>
          <w:b/>
          <w:sz w:val="24"/>
        </w:rPr>
        <w:tab/>
      </w:r>
    </w:p>
    <w:p>
      <w:pPr>
        <w:pStyle w:val="11"/>
        <w:widowControl/>
        <w:spacing w:line="360" w:lineRule="auto"/>
        <w:ind w:right="-88"/>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w:t>
      </w:r>
      <w:r>
        <w:rPr>
          <w:rFonts w:asciiTheme="minorEastAsia" w:hAnsiTheme="minorEastAsia" w:eastAsiaTheme="minorEastAsia"/>
        </w:rPr>
        <w:t xml:space="preserve"> 合同经双方法定代表人或授权代表</w:t>
      </w:r>
      <w:r>
        <w:rPr>
          <w:rFonts w:hint="eastAsia" w:asciiTheme="minorEastAsia" w:hAnsiTheme="minorEastAsia" w:eastAsiaTheme="minorEastAsia"/>
        </w:rPr>
        <w:t>签字</w:t>
      </w:r>
      <w:r>
        <w:rPr>
          <w:rFonts w:asciiTheme="minorEastAsia" w:hAnsiTheme="minorEastAsia" w:eastAsiaTheme="minorEastAsia"/>
        </w:rPr>
        <w:t>并加盖单位公章后生效。</w:t>
      </w:r>
    </w:p>
    <w:p>
      <w:pPr>
        <w:pStyle w:val="11"/>
        <w:widowControl/>
        <w:spacing w:line="360" w:lineRule="auto"/>
        <w:ind w:right="-88"/>
        <w:rPr>
          <w:rFonts w:asciiTheme="minorEastAsia" w:hAnsiTheme="minorEastAsia" w:eastAsiaTheme="minorEastAsia"/>
        </w:rPr>
      </w:pPr>
      <w:r>
        <w:rPr>
          <w:rFonts w:hint="eastAsia" w:asciiTheme="minorEastAsia" w:hAnsiTheme="minorEastAsia" w:eastAsiaTheme="minorEastAsia"/>
        </w:rPr>
        <w:t xml:space="preserve">2. </w:t>
      </w:r>
      <w:r>
        <w:rPr>
          <w:rFonts w:asciiTheme="minorEastAsia" w:hAnsiTheme="minorEastAsia" w:eastAsiaTheme="minorEastAsia"/>
        </w:rPr>
        <w:t>本合同未尽事宜，遵照《合同法》有关条文执行。</w:t>
      </w:r>
    </w:p>
    <w:p>
      <w:pPr>
        <w:pStyle w:val="11"/>
        <w:widowControl/>
        <w:spacing w:line="360" w:lineRule="auto"/>
        <w:ind w:right="-88"/>
        <w:rPr>
          <w:rFonts w:asciiTheme="minorEastAsia" w:hAnsiTheme="minorEastAsia" w:eastAsiaTheme="minorEastAsia"/>
        </w:rPr>
      </w:pPr>
      <w:r>
        <w:rPr>
          <w:rFonts w:hint="eastAsia" w:asciiTheme="minorEastAsia" w:hAnsiTheme="minorEastAsia" w:eastAsiaTheme="minorEastAsia"/>
        </w:rPr>
        <w:t>3. 本合同一式四份。甲、乙双方各执一份，</w:t>
      </w:r>
      <w:r>
        <w:rPr>
          <w:rFonts w:hint="eastAsia" w:ascii="宋体" w:hAnsi="宋体"/>
        </w:rPr>
        <w:t>采购组织机构及同级人民政府财政部门各执一份</w:t>
      </w:r>
      <w:r>
        <w:rPr>
          <w:rFonts w:hint="eastAsia" w:asciiTheme="minorEastAsia" w:hAnsiTheme="minorEastAsia" w:eastAsiaTheme="minorEastAsia"/>
        </w:rPr>
        <w:t>。本项目未尽事宜以招标文件、投标文件及澄清文件等为准。</w:t>
      </w:r>
    </w:p>
    <w:p>
      <w:pPr>
        <w:widowControl/>
        <w:spacing w:line="360" w:lineRule="auto"/>
        <w:rPr>
          <w:rFonts w:asciiTheme="minorEastAsia" w:hAnsiTheme="minorEastAsia" w:eastAsiaTheme="minorEastAsia"/>
          <w:b/>
          <w:sz w:val="24"/>
        </w:rPr>
      </w:pPr>
    </w:p>
    <w:p>
      <w:pPr>
        <w:widowControl/>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甲方（公章）                                     乙方（公章）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                                     法定代表人：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委托代理人：                                     委托代理人：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联系电话：                                       联系电话：</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开户银行：                                       开户银行：</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帐号：                                           帐号：</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地址及邮编：                                     地址及邮编：</w:t>
      </w:r>
    </w:p>
    <w:p>
      <w:pPr>
        <w:spacing w:line="360" w:lineRule="auto"/>
        <w:rPr>
          <w:rFonts w:asciiTheme="minorEastAsia" w:hAnsiTheme="minorEastAsia" w:eastAsiaTheme="minorEastAsia"/>
          <w:sz w:val="24"/>
        </w:rPr>
      </w:pPr>
    </w:p>
    <w:p>
      <w:pPr>
        <w:spacing w:line="360" w:lineRule="auto"/>
        <w:ind w:firstLine="4920" w:firstLineChars="2050"/>
        <w:rPr>
          <w:rFonts w:asciiTheme="minorEastAsia" w:hAnsiTheme="minorEastAsia" w:eastAsiaTheme="minorEastAsia"/>
          <w:sz w:val="24"/>
        </w:rPr>
      </w:pPr>
      <w:r>
        <w:rPr>
          <w:rFonts w:hint="eastAsia" w:asciiTheme="minorEastAsia" w:hAnsiTheme="minorEastAsia" w:eastAsiaTheme="minorEastAsia"/>
          <w:sz w:val="24"/>
        </w:rPr>
        <w:t>签订时间：    年   月    日</w:t>
      </w:r>
    </w:p>
    <w:p>
      <w:pPr>
        <w:spacing w:line="360" w:lineRule="auto"/>
        <w:rPr>
          <w:rFonts w:asciiTheme="minorEastAsia" w:hAnsiTheme="minorEastAsia" w:eastAsiaTheme="minorEastAsia"/>
          <w:color w:val="FF0000"/>
          <w:sz w:val="24"/>
        </w:rPr>
      </w:pPr>
    </w:p>
    <w:p>
      <w:pPr>
        <w:autoSpaceDE w:val="0"/>
        <w:autoSpaceDN w:val="0"/>
        <w:adjustRightInd w:val="0"/>
        <w:spacing w:line="360" w:lineRule="auto"/>
        <w:rPr>
          <w:rFonts w:ascii="宋体" w:hAnsi="宋体"/>
          <w:b/>
          <w:kern w:val="0"/>
          <w:sz w:val="30"/>
        </w:rPr>
      </w:pPr>
    </w:p>
    <w:p>
      <w:pPr>
        <w:autoSpaceDE w:val="0"/>
        <w:autoSpaceDN w:val="0"/>
        <w:adjustRightInd w:val="0"/>
        <w:spacing w:line="360" w:lineRule="auto"/>
        <w:rPr>
          <w:rFonts w:ascii="宋体" w:hAnsi="宋体"/>
          <w:b/>
          <w:kern w:val="0"/>
          <w:sz w:val="30"/>
        </w:rPr>
      </w:pPr>
    </w:p>
    <w:p>
      <w:pPr>
        <w:spacing w:line="360" w:lineRule="auto"/>
        <w:jc w:val="left"/>
        <w:rPr>
          <w:rFonts w:asciiTheme="majorEastAsia" w:hAnsiTheme="majorEastAsia" w:eastAsiaTheme="majorEastAsia"/>
          <w:color w:val="00B0F0"/>
          <w:sz w:val="28"/>
          <w:szCs w:val="28"/>
        </w:rPr>
      </w:pPr>
    </w:p>
    <w:p>
      <w:pPr>
        <w:pStyle w:val="28"/>
        <w:rPr>
          <w:rFonts w:asciiTheme="majorEastAsia" w:hAnsiTheme="majorEastAsia" w:eastAsiaTheme="majorEastAsia"/>
          <w:color w:val="00B0F0"/>
          <w:sz w:val="28"/>
          <w:szCs w:val="28"/>
        </w:rPr>
      </w:pPr>
    </w:p>
    <w:p>
      <w:pPr>
        <w:pStyle w:val="28"/>
        <w:rPr>
          <w:rFonts w:asciiTheme="majorEastAsia" w:hAnsiTheme="majorEastAsia" w:eastAsiaTheme="majorEastAsia"/>
          <w:color w:val="00B0F0"/>
          <w:sz w:val="28"/>
          <w:szCs w:val="28"/>
        </w:rPr>
      </w:pPr>
    </w:p>
    <w:p>
      <w:pPr>
        <w:pStyle w:val="28"/>
        <w:rPr>
          <w:rFonts w:asciiTheme="majorEastAsia" w:hAnsiTheme="majorEastAsia" w:eastAsiaTheme="majorEastAsia"/>
          <w:color w:val="00B0F0"/>
          <w:sz w:val="28"/>
          <w:szCs w:val="28"/>
        </w:rPr>
      </w:pPr>
    </w:p>
    <w:p>
      <w:pPr>
        <w:pStyle w:val="28"/>
        <w:rPr>
          <w:rFonts w:asciiTheme="majorEastAsia" w:hAnsiTheme="majorEastAsia" w:eastAsiaTheme="majorEastAsia"/>
          <w:color w:val="00B0F0"/>
          <w:sz w:val="28"/>
          <w:szCs w:val="28"/>
        </w:rPr>
      </w:pPr>
    </w:p>
    <w:p>
      <w:pPr>
        <w:pStyle w:val="28"/>
        <w:rPr>
          <w:rFonts w:asciiTheme="majorEastAsia" w:hAnsiTheme="majorEastAsia" w:eastAsiaTheme="majorEastAsia"/>
          <w:color w:val="00B0F0"/>
          <w:sz w:val="28"/>
          <w:szCs w:val="28"/>
        </w:rPr>
      </w:pPr>
    </w:p>
    <w:p>
      <w:pPr>
        <w:pStyle w:val="28"/>
        <w:rPr>
          <w:rFonts w:asciiTheme="majorEastAsia" w:hAnsiTheme="majorEastAsia" w:eastAsiaTheme="majorEastAsia"/>
          <w:color w:val="00B0F0"/>
          <w:sz w:val="28"/>
          <w:szCs w:val="28"/>
        </w:rPr>
      </w:pPr>
    </w:p>
    <w:p>
      <w:pPr>
        <w:pStyle w:val="28"/>
        <w:rPr>
          <w:rFonts w:asciiTheme="majorEastAsia" w:hAnsiTheme="majorEastAsia" w:eastAsiaTheme="majorEastAsia"/>
          <w:color w:val="00B0F0"/>
          <w:sz w:val="28"/>
          <w:szCs w:val="28"/>
        </w:rPr>
      </w:pPr>
    </w:p>
    <w:p>
      <w:pPr>
        <w:pStyle w:val="28"/>
        <w:rPr>
          <w:rFonts w:asciiTheme="majorEastAsia" w:hAnsiTheme="majorEastAsia" w:eastAsiaTheme="majorEastAsia"/>
          <w:color w:val="00B0F0"/>
          <w:sz w:val="28"/>
          <w:szCs w:val="28"/>
        </w:rPr>
      </w:pPr>
    </w:p>
    <w:p>
      <w:pPr>
        <w:snapToGrid w:val="0"/>
        <w:spacing w:before="156" w:beforeLines="50" w:after="156" w:afterLines="50"/>
        <w:jc w:val="center"/>
        <w:rPr>
          <w:rFonts w:ascii="宋体" w:hAnsi="宋体"/>
          <w:b/>
          <w:sz w:val="36"/>
          <w:szCs w:val="36"/>
        </w:rPr>
      </w:pPr>
      <w:r>
        <w:rPr>
          <w:rFonts w:hint="eastAsia" w:ascii="宋体" w:hAnsi="宋体"/>
          <w:b/>
          <w:sz w:val="36"/>
          <w:szCs w:val="36"/>
        </w:rPr>
        <w:t>服务类</w:t>
      </w:r>
    </w:p>
    <w:p>
      <w:pPr>
        <w:widowControl/>
        <w:shd w:val="clear" w:color="auto" w:fill="FFFFFF"/>
        <w:spacing w:after="150" w:line="360" w:lineRule="auto"/>
        <w:ind w:firstLine="480"/>
        <w:jc w:val="left"/>
        <w:rPr>
          <w:rFonts w:asciiTheme="minorEastAsia" w:hAnsiTheme="minorEastAsia" w:eastAsiaTheme="minorEastAsia"/>
          <w:sz w:val="24"/>
        </w:rPr>
      </w:pPr>
      <w:r>
        <w:rPr>
          <w:rFonts w:asciiTheme="minorEastAsia" w:hAnsiTheme="minorEastAsia" w:eastAsiaTheme="minorEastAsia"/>
          <w:sz w:val="24"/>
        </w:rPr>
        <w:t>以下为成交后签定本项目合同的通用条款，成交供应商不得提出实质性的修改，关于专用条款将由采购人与成交供应商结合本项目具体情况协商后签订。</w:t>
      </w:r>
    </w:p>
    <w:p>
      <w:pPr>
        <w:pStyle w:val="13"/>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项目名称：                                       项目编号：</w:t>
      </w:r>
    </w:p>
    <w:p>
      <w:pPr>
        <w:pStyle w:val="13"/>
        <w:snapToGrid w:val="0"/>
        <w:spacing w:before="120" w:after="120" w:line="360" w:lineRule="auto"/>
        <w:rPr>
          <w:rFonts w:hAnsi="宋体"/>
          <w:color w:val="000000"/>
          <w:sz w:val="24"/>
        </w:rPr>
      </w:pPr>
      <w:r>
        <w:rPr>
          <w:rFonts w:hAnsi="宋体"/>
          <w:color w:val="000000"/>
          <w:sz w:val="24"/>
        </w:rPr>
        <w:t>甲方：（</w:t>
      </w:r>
      <w:r>
        <w:rPr>
          <w:rFonts w:hint="eastAsia" w:hAnsi="宋体"/>
          <w:color w:val="000000"/>
          <w:sz w:val="24"/>
        </w:rPr>
        <w:t>采购单位</w:t>
      </w:r>
      <w:r>
        <w:rPr>
          <w:rFonts w:hAnsi="宋体"/>
          <w:color w:val="000000"/>
          <w:sz w:val="24"/>
        </w:rPr>
        <w:t>）</w:t>
      </w:r>
      <w:r>
        <w:rPr>
          <w:rFonts w:hint="eastAsia" w:hAnsi="宋体"/>
          <w:color w:val="000000"/>
          <w:sz w:val="24"/>
        </w:rPr>
        <w:t xml:space="preserve">                            所在地：                              </w:t>
      </w:r>
    </w:p>
    <w:p>
      <w:pPr>
        <w:pStyle w:val="13"/>
        <w:snapToGrid w:val="0"/>
        <w:spacing w:before="120" w:after="120" w:line="360" w:lineRule="auto"/>
        <w:rPr>
          <w:rFonts w:hAnsi="宋体"/>
          <w:color w:val="000000"/>
          <w:sz w:val="24"/>
        </w:rPr>
      </w:pPr>
      <w:r>
        <w:rPr>
          <w:rFonts w:hAnsi="宋体"/>
          <w:color w:val="000000"/>
          <w:sz w:val="24"/>
        </w:rPr>
        <w:t>乙方：（</w:t>
      </w:r>
      <w:r>
        <w:rPr>
          <w:rFonts w:hint="eastAsia" w:hAnsi="宋体"/>
          <w:color w:val="000000"/>
          <w:sz w:val="24"/>
        </w:rPr>
        <w:t>中标供应商</w:t>
      </w:r>
      <w:r>
        <w:rPr>
          <w:rFonts w:hAnsi="宋体"/>
          <w:color w:val="000000"/>
          <w:sz w:val="24"/>
        </w:rPr>
        <w:t>）</w:t>
      </w:r>
      <w:r>
        <w:rPr>
          <w:rFonts w:hint="eastAsia" w:hAnsi="宋体"/>
          <w:color w:val="000000"/>
          <w:sz w:val="24"/>
        </w:rPr>
        <w:t xml:space="preserve">                          所在地：</w:t>
      </w:r>
    </w:p>
    <w:p>
      <w:pPr>
        <w:pStyle w:val="13"/>
        <w:snapToGrid w:val="0"/>
        <w:spacing w:before="120" w:after="120" w:line="360" w:lineRule="auto"/>
        <w:rPr>
          <w:rFonts w:asciiTheme="minorEastAsia" w:hAnsiTheme="minorEastAsia" w:eastAsiaTheme="minorEastAsia"/>
          <w:b/>
          <w:sz w:val="24"/>
        </w:rPr>
      </w:pPr>
      <w:r>
        <w:rPr>
          <w:rFonts w:asciiTheme="minorEastAsia" w:hAnsiTheme="minorEastAsia" w:eastAsiaTheme="minorEastAsia"/>
          <w:sz w:val="24"/>
        </w:rPr>
        <w:t>甲、乙双方根据</w:t>
      </w:r>
      <w:r>
        <w:rPr>
          <w:rFonts w:hint="eastAsia" w:cs="Arial" w:asciiTheme="minorEastAsia" w:hAnsiTheme="minorEastAsia" w:eastAsiaTheme="minorEastAsia"/>
          <w:color w:val="FF00FF"/>
          <w:sz w:val="24"/>
        </w:rPr>
        <w:t>××</w:t>
      </w:r>
      <w:r>
        <w:rPr>
          <w:rFonts w:hint="eastAsia" w:asciiTheme="minorEastAsia" w:hAnsiTheme="minorEastAsia" w:eastAsiaTheme="minorEastAsia"/>
          <w:sz w:val="24"/>
        </w:rPr>
        <w:t>(采购组织机构名称）</w:t>
      </w:r>
      <w:r>
        <w:rPr>
          <w:rFonts w:asciiTheme="minorEastAsia" w:hAnsiTheme="minorEastAsia" w:eastAsiaTheme="minorEastAsia"/>
          <w:sz w:val="24"/>
        </w:rPr>
        <w:t>关于</w:t>
      </w:r>
      <w:r>
        <w:rPr>
          <w:rFonts w:hint="eastAsia" w:cs="Arial" w:asciiTheme="minorEastAsia" w:hAnsiTheme="minorEastAsia" w:eastAsiaTheme="minorEastAsia"/>
          <w:color w:val="FF00FF"/>
          <w:sz w:val="24"/>
        </w:rPr>
        <w:t>××</w:t>
      </w:r>
      <w:r>
        <w:rPr>
          <w:rFonts w:asciiTheme="minorEastAsia" w:hAnsiTheme="minorEastAsia" w:eastAsiaTheme="minorEastAsia"/>
          <w:sz w:val="24"/>
        </w:rPr>
        <w:t>单位</w:t>
      </w:r>
      <w:r>
        <w:rPr>
          <w:rFonts w:hint="eastAsia" w:cs="Arial" w:asciiTheme="minorEastAsia" w:hAnsiTheme="minorEastAsia" w:eastAsiaTheme="minorEastAsia"/>
          <w:color w:val="FF00FF"/>
          <w:sz w:val="24"/>
        </w:rPr>
        <w:t>××</w:t>
      </w:r>
      <w:r>
        <w:rPr>
          <w:rFonts w:asciiTheme="minorEastAsia" w:hAnsiTheme="minorEastAsia" w:eastAsiaTheme="minorEastAsia"/>
          <w:sz w:val="24"/>
        </w:rPr>
        <w:t>项目公开招标的结果，签署本合同。</w:t>
      </w:r>
    </w:p>
    <w:p>
      <w:pPr>
        <w:spacing w:line="360" w:lineRule="auto"/>
        <w:rPr>
          <w:rFonts w:ascii="宋体"/>
          <w:color w:val="000000"/>
          <w:sz w:val="24"/>
          <w:lang w:val="zh-CN"/>
        </w:rPr>
      </w:pPr>
      <w:r>
        <w:rPr>
          <w:rFonts w:hint="eastAsia" w:ascii="宋体"/>
          <w:color w:val="000000"/>
          <w:sz w:val="24"/>
          <w:lang w:val="zh-CN"/>
        </w:rPr>
        <w:t xml:space="preserve">一、合同文件： </w:t>
      </w:r>
    </w:p>
    <w:p>
      <w:pPr>
        <w:spacing w:line="360" w:lineRule="auto"/>
        <w:ind w:firstLine="480" w:firstLineChars="200"/>
        <w:rPr>
          <w:rFonts w:ascii="宋体"/>
          <w:color w:val="000000"/>
          <w:sz w:val="24"/>
          <w:lang w:val="zh-CN"/>
        </w:rPr>
      </w:pPr>
      <w:r>
        <w:rPr>
          <w:rFonts w:hint="eastAsia" w:ascii="宋体"/>
          <w:color w:val="000000"/>
          <w:sz w:val="24"/>
          <w:lang w:val="zh-CN"/>
        </w:rPr>
        <w:t>1.合同条款。</w:t>
      </w:r>
    </w:p>
    <w:p>
      <w:pPr>
        <w:spacing w:line="360" w:lineRule="auto"/>
        <w:ind w:firstLine="480" w:firstLineChars="200"/>
        <w:rPr>
          <w:rFonts w:ascii="宋体"/>
          <w:color w:val="000000"/>
          <w:sz w:val="24"/>
          <w:lang w:val="zh-CN"/>
        </w:rPr>
      </w:pPr>
      <w:r>
        <w:rPr>
          <w:rFonts w:hint="eastAsia" w:ascii="宋体"/>
          <w:color w:val="000000"/>
          <w:sz w:val="24"/>
          <w:lang w:val="zh-CN"/>
        </w:rPr>
        <w:t>2.中标通知书。</w:t>
      </w:r>
    </w:p>
    <w:p>
      <w:pPr>
        <w:spacing w:line="360" w:lineRule="auto"/>
        <w:ind w:firstLine="480" w:firstLineChars="200"/>
        <w:rPr>
          <w:rFonts w:ascii="宋体"/>
          <w:color w:val="000000"/>
          <w:sz w:val="24"/>
          <w:lang w:val="zh-CN"/>
        </w:rPr>
      </w:pPr>
      <w:r>
        <w:rPr>
          <w:rFonts w:hint="eastAsia" w:ascii="宋体"/>
          <w:color w:val="000000"/>
          <w:sz w:val="24"/>
          <w:lang w:val="zh-CN"/>
        </w:rPr>
        <w:t>3.更正补充文件。</w:t>
      </w:r>
    </w:p>
    <w:p>
      <w:pPr>
        <w:spacing w:line="360" w:lineRule="auto"/>
        <w:ind w:firstLine="480" w:firstLineChars="200"/>
        <w:rPr>
          <w:rFonts w:ascii="宋体"/>
          <w:color w:val="000000"/>
          <w:sz w:val="24"/>
          <w:lang w:val="zh-CN"/>
        </w:rPr>
      </w:pPr>
      <w:r>
        <w:rPr>
          <w:rFonts w:hint="eastAsia" w:ascii="宋体"/>
          <w:color w:val="000000"/>
          <w:sz w:val="24"/>
          <w:lang w:val="zh-CN"/>
        </w:rPr>
        <w:t>4.招标文件。</w:t>
      </w:r>
    </w:p>
    <w:p>
      <w:pPr>
        <w:spacing w:line="360" w:lineRule="auto"/>
        <w:ind w:firstLine="480" w:firstLineChars="200"/>
        <w:rPr>
          <w:rFonts w:ascii="宋体"/>
          <w:color w:val="000000"/>
          <w:sz w:val="24"/>
          <w:lang w:val="zh-CN"/>
        </w:rPr>
      </w:pPr>
      <w:r>
        <w:rPr>
          <w:rFonts w:hint="eastAsia" w:ascii="宋体"/>
          <w:color w:val="000000"/>
          <w:sz w:val="24"/>
          <w:lang w:val="zh-CN"/>
        </w:rPr>
        <w:t>5.中标供应商投标文件。</w:t>
      </w:r>
    </w:p>
    <w:p>
      <w:pPr>
        <w:spacing w:line="360" w:lineRule="auto"/>
        <w:ind w:firstLine="480" w:firstLineChars="200"/>
        <w:rPr>
          <w:rFonts w:ascii="宋体"/>
          <w:color w:val="000000"/>
          <w:sz w:val="24"/>
          <w:lang w:val="zh-CN"/>
        </w:rPr>
      </w:pPr>
      <w:r>
        <w:rPr>
          <w:rFonts w:hint="eastAsia" w:ascii="宋体"/>
          <w:color w:val="000000"/>
          <w:sz w:val="24"/>
          <w:lang w:val="zh-CN"/>
        </w:rPr>
        <w:t>6.其他。</w:t>
      </w:r>
    </w:p>
    <w:p>
      <w:pPr>
        <w:pStyle w:val="13"/>
        <w:snapToGrid w:val="0"/>
        <w:spacing w:line="360" w:lineRule="auto"/>
        <w:ind w:firstLine="480" w:firstLineChars="200"/>
        <w:rPr>
          <w:rFonts w:hAnsi="Times New Roman"/>
          <w:color w:val="000000"/>
          <w:sz w:val="24"/>
          <w:lang w:val="zh-CN"/>
        </w:rPr>
      </w:pPr>
      <w:r>
        <w:rPr>
          <w:rFonts w:hint="eastAsia"/>
          <w:color w:val="000000"/>
          <w:sz w:val="24"/>
          <w:lang w:val="zh-CN"/>
        </w:rPr>
        <w:t>上述所指合同文件应认为是互相补充和解释的，但是有模棱两可或互相矛盾之处，以其所列内容顺序为准。</w:t>
      </w:r>
    </w:p>
    <w:p>
      <w:pPr>
        <w:pStyle w:val="13"/>
        <w:snapToGrid w:val="0"/>
        <w:spacing w:before="120" w:after="120" w:line="360" w:lineRule="auto"/>
        <w:rPr>
          <w:rFonts w:asciiTheme="minorEastAsia" w:hAnsiTheme="minorEastAsia" w:eastAsiaTheme="minorEastAsia"/>
          <w:b/>
          <w:sz w:val="24"/>
        </w:rPr>
      </w:pPr>
      <w:r>
        <w:rPr>
          <w:rFonts w:hint="eastAsia" w:asciiTheme="minorEastAsia" w:hAnsiTheme="minorEastAsia" w:eastAsiaTheme="minorEastAsia"/>
          <w:b/>
          <w:sz w:val="24"/>
        </w:rPr>
        <w:t>二</w:t>
      </w:r>
      <w:r>
        <w:rPr>
          <w:rFonts w:asciiTheme="minorEastAsia" w:hAnsiTheme="minorEastAsia" w:eastAsiaTheme="minorEastAsia"/>
          <w:b/>
          <w:sz w:val="24"/>
        </w:rPr>
        <w:t>、货物内容</w:t>
      </w:r>
    </w:p>
    <w:p>
      <w:pPr>
        <w:pStyle w:val="13"/>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1. 货物名称：</w:t>
      </w:r>
    </w:p>
    <w:p>
      <w:pPr>
        <w:pStyle w:val="13"/>
        <w:snapToGrid w:val="0"/>
        <w:spacing w:before="120" w:after="120" w:line="360" w:lineRule="auto"/>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 型号规格：</w:t>
      </w:r>
    </w:p>
    <w:p>
      <w:pPr>
        <w:pStyle w:val="13"/>
        <w:snapToGrid w:val="0"/>
        <w:spacing w:before="120" w:after="120" w:line="360" w:lineRule="auto"/>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 技术参数：</w:t>
      </w:r>
    </w:p>
    <w:p>
      <w:pPr>
        <w:pStyle w:val="13"/>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w:t>
      </w:r>
      <w:r>
        <w:rPr>
          <w:rFonts w:asciiTheme="minorEastAsia" w:hAnsiTheme="minorEastAsia" w:eastAsiaTheme="minorEastAsia"/>
          <w:sz w:val="24"/>
        </w:rPr>
        <w:t xml:space="preserve"> 数量（单位）：</w:t>
      </w:r>
    </w:p>
    <w:p>
      <w:pPr>
        <w:pStyle w:val="13"/>
        <w:snapToGrid w:val="0"/>
        <w:spacing w:before="120" w:after="120" w:line="360" w:lineRule="auto"/>
        <w:rPr>
          <w:rFonts w:asciiTheme="minorEastAsia" w:hAnsiTheme="minorEastAsia" w:eastAsiaTheme="minorEastAsia"/>
          <w:b/>
          <w:sz w:val="24"/>
        </w:rPr>
      </w:pPr>
      <w:r>
        <w:rPr>
          <w:rFonts w:hint="eastAsia" w:asciiTheme="minorEastAsia" w:hAnsiTheme="minorEastAsia" w:eastAsiaTheme="minorEastAsia"/>
          <w:b/>
          <w:sz w:val="24"/>
        </w:rPr>
        <w:t>三</w:t>
      </w:r>
      <w:r>
        <w:rPr>
          <w:rFonts w:asciiTheme="minorEastAsia" w:hAnsiTheme="minorEastAsia" w:eastAsiaTheme="minorEastAsia"/>
          <w:b/>
          <w:sz w:val="24"/>
        </w:rPr>
        <w:t>、合同金额</w:t>
      </w:r>
    </w:p>
    <w:p>
      <w:pPr>
        <w:pStyle w:val="13"/>
        <w:snapToGrid w:val="0"/>
        <w:spacing w:before="120" w:after="120" w:line="360" w:lineRule="auto"/>
        <w:ind w:left="410" w:hanging="410" w:hangingChars="171"/>
        <w:rPr>
          <w:rFonts w:asciiTheme="minorEastAsia" w:hAnsiTheme="minorEastAsia" w:eastAsiaTheme="minorEastAsia"/>
          <w:sz w:val="24"/>
        </w:rPr>
      </w:pPr>
      <w:r>
        <w:rPr>
          <w:rFonts w:asciiTheme="minorEastAsia" w:hAnsiTheme="minorEastAsia" w:eastAsiaTheme="minorEastAsia"/>
          <w:sz w:val="24"/>
        </w:rPr>
        <w:t xml:space="preserve"> 本合同金额为（大写）：____________________________________元（￥_______________元）人民币。</w:t>
      </w:r>
    </w:p>
    <w:p>
      <w:pPr>
        <w:pStyle w:val="13"/>
        <w:snapToGrid w:val="0"/>
        <w:spacing w:before="120" w:after="120" w:line="360" w:lineRule="auto"/>
        <w:rPr>
          <w:rFonts w:asciiTheme="minorEastAsia" w:hAnsiTheme="minorEastAsia" w:eastAsiaTheme="minorEastAsia"/>
          <w:b/>
          <w:sz w:val="24"/>
        </w:rPr>
      </w:pPr>
      <w:r>
        <w:rPr>
          <w:rFonts w:hint="eastAsia" w:asciiTheme="minorEastAsia" w:hAnsiTheme="minorEastAsia" w:eastAsiaTheme="minorEastAsia"/>
          <w:b/>
          <w:sz w:val="24"/>
        </w:rPr>
        <w:t>四</w:t>
      </w:r>
      <w:r>
        <w:rPr>
          <w:rFonts w:asciiTheme="minorEastAsia" w:hAnsiTheme="minorEastAsia" w:eastAsiaTheme="minorEastAsia"/>
          <w:b/>
          <w:sz w:val="24"/>
        </w:rPr>
        <w:t>、技术资料</w:t>
      </w:r>
    </w:p>
    <w:p>
      <w:pPr>
        <w:pStyle w:val="13"/>
        <w:snapToGrid w:val="0"/>
        <w:spacing w:before="120" w:after="120" w:line="360" w:lineRule="auto"/>
        <w:ind w:left="410" w:hanging="410" w:hangingChars="171"/>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乙方应按招标文件规定的时间向甲方提供使用货物的有关技术资料。</w:t>
      </w:r>
    </w:p>
    <w:p>
      <w:pPr>
        <w:pStyle w:val="13"/>
        <w:snapToGrid w:val="0"/>
        <w:spacing w:before="120" w:after="120" w:line="360" w:lineRule="auto"/>
        <w:ind w:left="410" w:hanging="410" w:hangingChars="171"/>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 xml:space="preserve">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snapToGrid w:val="0"/>
        <w:spacing w:before="120" w:after="120" w:line="360" w:lineRule="auto"/>
        <w:ind w:left="412" w:hanging="412" w:hangingChars="171"/>
        <w:rPr>
          <w:rFonts w:asciiTheme="minorEastAsia" w:hAnsiTheme="minorEastAsia" w:eastAsiaTheme="minorEastAsia"/>
          <w:b/>
          <w:sz w:val="24"/>
        </w:rPr>
      </w:pPr>
      <w:r>
        <w:rPr>
          <w:rFonts w:hint="eastAsia" w:asciiTheme="minorEastAsia" w:hAnsiTheme="minorEastAsia" w:eastAsiaTheme="minorEastAsia"/>
          <w:b/>
          <w:sz w:val="24"/>
        </w:rPr>
        <w:t>五</w:t>
      </w:r>
      <w:r>
        <w:rPr>
          <w:rFonts w:asciiTheme="minorEastAsia" w:hAnsiTheme="minorEastAsia" w:eastAsiaTheme="minorEastAsia"/>
          <w:b/>
          <w:sz w:val="24"/>
        </w:rPr>
        <w:t>、知识产权</w:t>
      </w:r>
    </w:p>
    <w:p>
      <w:pPr>
        <w:pStyle w:val="13"/>
        <w:snapToGrid w:val="0"/>
        <w:spacing w:before="120" w:after="120" w:line="360" w:lineRule="auto"/>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乙方应保证所提供的货物或其任何一部分均不会侵犯任何第三方的知识产权。</w:t>
      </w:r>
    </w:p>
    <w:p>
      <w:pPr>
        <w:pStyle w:val="13"/>
        <w:snapToGrid w:val="0"/>
        <w:spacing w:before="120" w:after="120" w:line="360" w:lineRule="auto"/>
        <w:rPr>
          <w:rFonts w:asciiTheme="minorEastAsia" w:hAnsiTheme="minorEastAsia" w:eastAsiaTheme="minorEastAsia"/>
          <w:sz w:val="24"/>
        </w:rPr>
      </w:pPr>
      <w:r>
        <w:rPr>
          <w:rFonts w:hint="eastAsia" w:asciiTheme="minorEastAsia" w:hAnsiTheme="minorEastAsia" w:eastAsiaTheme="minorEastAsia"/>
          <w:sz w:val="24"/>
        </w:rPr>
        <w:t>2.若侵犯,由乙方赔偿甲方因此遭受的损失（包括但不限于应对及追偿过程中所支付的律师费、差旅费、诉讼费、保全费、鉴定费、评估费等）。</w:t>
      </w:r>
    </w:p>
    <w:p>
      <w:pPr>
        <w:pStyle w:val="13"/>
        <w:snapToGrid w:val="0"/>
        <w:spacing w:before="120" w:after="120" w:line="360" w:lineRule="auto"/>
        <w:rPr>
          <w:rFonts w:asciiTheme="minorEastAsia" w:hAnsiTheme="minorEastAsia" w:eastAsiaTheme="minorEastAsia"/>
          <w:sz w:val="24"/>
          <w:u w:val="single"/>
        </w:rPr>
      </w:pPr>
      <w:r>
        <w:rPr>
          <w:rFonts w:hint="eastAsia" w:asciiTheme="minorEastAsia" w:hAnsiTheme="minorEastAsia" w:eastAsiaTheme="minorEastAsia"/>
          <w:b/>
          <w:sz w:val="24"/>
        </w:rPr>
        <w:t>六</w:t>
      </w:r>
      <w:r>
        <w:rPr>
          <w:rFonts w:asciiTheme="minorEastAsia" w:hAnsiTheme="minorEastAsia" w:eastAsiaTheme="minorEastAsia"/>
          <w:b/>
          <w:sz w:val="24"/>
        </w:rPr>
        <w:t>、产权担保</w:t>
      </w:r>
    </w:p>
    <w:p>
      <w:pPr>
        <w:pStyle w:val="13"/>
        <w:snapToGrid w:val="0"/>
        <w:spacing w:before="120" w:after="120" w:line="360" w:lineRule="auto"/>
        <w:rPr>
          <w:rFonts w:asciiTheme="minorEastAsia" w:hAnsiTheme="minorEastAsia" w:eastAsiaTheme="minorEastAsia"/>
          <w:sz w:val="24"/>
          <w:u w:val="single"/>
        </w:rPr>
      </w:pPr>
      <w:r>
        <w:rPr>
          <w:rFonts w:asciiTheme="minorEastAsia" w:hAnsiTheme="minorEastAsia" w:eastAsiaTheme="minorEastAsia"/>
          <w:sz w:val="24"/>
        </w:rPr>
        <w:t>乙方保证所交付的货物的所有权完全属于乙方且无任何抵押、查封等产权瑕疵。</w:t>
      </w:r>
    </w:p>
    <w:p>
      <w:pPr>
        <w:pStyle w:val="13"/>
        <w:snapToGrid w:val="0"/>
        <w:spacing w:before="120" w:after="120" w:line="360" w:lineRule="auto"/>
        <w:ind w:left="410" w:hanging="410" w:hangingChars="170"/>
        <w:rPr>
          <w:rFonts w:asciiTheme="minorEastAsia" w:hAnsiTheme="minorEastAsia" w:eastAsiaTheme="minorEastAsia"/>
          <w:b/>
          <w:sz w:val="24"/>
        </w:rPr>
      </w:pPr>
      <w:r>
        <w:rPr>
          <w:rFonts w:hint="eastAsia" w:asciiTheme="minorEastAsia" w:hAnsiTheme="minorEastAsia" w:eastAsiaTheme="minorEastAsia"/>
          <w:b/>
          <w:sz w:val="24"/>
        </w:rPr>
        <w:t>七</w:t>
      </w:r>
      <w:r>
        <w:rPr>
          <w:rFonts w:asciiTheme="minorEastAsia" w:hAnsiTheme="minorEastAsia" w:eastAsiaTheme="minorEastAsia"/>
          <w:b/>
          <w:sz w:val="24"/>
        </w:rPr>
        <w:t>、履约保证金</w:t>
      </w:r>
    </w:p>
    <w:p>
      <w:pPr>
        <w:pStyle w:val="13"/>
        <w:snapToGrid w:val="0"/>
        <w:spacing w:before="120" w:after="120" w:line="360" w:lineRule="auto"/>
        <w:ind w:hanging="8"/>
        <w:rPr>
          <w:rFonts w:asciiTheme="majorEastAsia" w:hAnsiTheme="majorEastAsia" w:cstheme="majorEastAsia"/>
          <w:color w:val="000000"/>
          <w:sz w:val="24"/>
        </w:rPr>
      </w:pPr>
      <w:r>
        <w:rPr>
          <w:rFonts w:hint="eastAsia" w:asciiTheme="majorEastAsia" w:hAnsiTheme="majorEastAsia" w:cstheme="majorEastAsia"/>
          <w:color w:val="000000"/>
          <w:sz w:val="24"/>
        </w:rPr>
        <w:t>中标后签订合同前5个工作日内，乙方需支付甲方合同金额的5%作为履约保证金，甲方在质保期满后5个工作日内退还乙方。</w:t>
      </w:r>
    </w:p>
    <w:p>
      <w:pPr>
        <w:pStyle w:val="13"/>
        <w:snapToGrid w:val="0"/>
        <w:spacing w:before="120" w:after="120" w:line="360" w:lineRule="auto"/>
        <w:ind w:left="410" w:hanging="410" w:hangingChars="170"/>
        <w:rPr>
          <w:rFonts w:asciiTheme="minorEastAsia" w:hAnsiTheme="minorEastAsia" w:eastAsiaTheme="minorEastAsia"/>
          <w:b/>
          <w:sz w:val="24"/>
        </w:rPr>
      </w:pPr>
      <w:r>
        <w:rPr>
          <w:rFonts w:hint="eastAsia" w:asciiTheme="minorEastAsia" w:hAnsiTheme="minorEastAsia" w:eastAsiaTheme="minorEastAsia"/>
          <w:b/>
          <w:sz w:val="24"/>
        </w:rPr>
        <w:t>八、转包或分包</w:t>
      </w:r>
    </w:p>
    <w:p>
      <w:pPr>
        <w:snapToGrid w:val="0"/>
        <w:spacing w:before="156" w:beforeLines="50" w:after="156" w:afterLines="50" w:line="360" w:lineRule="auto"/>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.本合同范围的货物，应由</w:t>
      </w:r>
      <w:r>
        <w:rPr>
          <w:rFonts w:asciiTheme="minorEastAsia" w:hAnsiTheme="minorEastAsia" w:eastAsiaTheme="minorEastAsia"/>
          <w:sz w:val="24"/>
        </w:rPr>
        <w:t>乙</w:t>
      </w:r>
      <w:r>
        <w:rPr>
          <w:rFonts w:hint="eastAsia" w:asciiTheme="minorEastAsia" w:hAnsiTheme="minorEastAsia" w:eastAsiaTheme="minorEastAsia"/>
          <w:sz w:val="24"/>
        </w:rPr>
        <w:t>方直接供应，不得转让他人供应；</w:t>
      </w:r>
    </w:p>
    <w:p>
      <w:pPr>
        <w:snapToGrid w:val="0"/>
        <w:spacing w:before="156" w:beforeLines="50" w:after="156" w:afterLines="50" w:line="360" w:lineRule="auto"/>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.除非得到</w:t>
      </w:r>
      <w:r>
        <w:rPr>
          <w:rFonts w:asciiTheme="minorEastAsia" w:hAnsiTheme="minorEastAsia" w:eastAsiaTheme="minorEastAsia"/>
          <w:sz w:val="24"/>
        </w:rPr>
        <w:t>甲</w:t>
      </w:r>
      <w:r>
        <w:rPr>
          <w:rFonts w:hint="eastAsia" w:asciiTheme="minorEastAsia" w:hAnsiTheme="minorEastAsia" w:eastAsiaTheme="minorEastAsia"/>
          <w:sz w:val="24"/>
        </w:rPr>
        <w:t>方的书面同意，</w:t>
      </w:r>
      <w:r>
        <w:rPr>
          <w:rFonts w:asciiTheme="minorEastAsia" w:hAnsiTheme="minorEastAsia" w:eastAsiaTheme="minorEastAsia"/>
          <w:sz w:val="24"/>
        </w:rPr>
        <w:t>乙</w:t>
      </w:r>
      <w:r>
        <w:rPr>
          <w:rFonts w:hint="eastAsia" w:asciiTheme="minorEastAsia" w:hAnsiTheme="minorEastAsia" w:eastAsiaTheme="minorEastAsia"/>
          <w:sz w:val="24"/>
        </w:rPr>
        <w:t>方不得将本合同范围的货物全部或部分分包给他人供应；</w:t>
      </w:r>
    </w:p>
    <w:p>
      <w:pPr>
        <w:snapToGrid w:val="0"/>
        <w:spacing w:before="156" w:beforeLines="50" w:after="156" w:afterLines="50" w:line="360" w:lineRule="auto"/>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.如有转让和未经</w:t>
      </w:r>
      <w:r>
        <w:rPr>
          <w:rFonts w:asciiTheme="minorEastAsia" w:hAnsiTheme="minorEastAsia" w:eastAsiaTheme="minorEastAsia"/>
          <w:sz w:val="24"/>
        </w:rPr>
        <w:t>甲</w:t>
      </w:r>
      <w:r>
        <w:rPr>
          <w:rFonts w:hint="eastAsia" w:asciiTheme="minorEastAsia" w:hAnsiTheme="minorEastAsia" w:eastAsiaTheme="minorEastAsia"/>
          <w:sz w:val="24"/>
        </w:rPr>
        <w:t>方同意的分包行为，</w:t>
      </w:r>
      <w:r>
        <w:rPr>
          <w:rFonts w:asciiTheme="minorEastAsia" w:hAnsiTheme="minorEastAsia" w:eastAsiaTheme="minorEastAsia"/>
          <w:sz w:val="24"/>
        </w:rPr>
        <w:t>甲</w:t>
      </w:r>
      <w:r>
        <w:rPr>
          <w:rFonts w:hint="eastAsia" w:asciiTheme="minorEastAsia" w:hAnsiTheme="minorEastAsia" w:eastAsiaTheme="minorEastAsia"/>
          <w:sz w:val="24"/>
        </w:rPr>
        <w:t>方有权解除合同，没收履约保证金并追究乙方的违约责任。</w:t>
      </w:r>
    </w:p>
    <w:p>
      <w:pPr>
        <w:pStyle w:val="13"/>
        <w:snapToGrid w:val="0"/>
        <w:spacing w:before="120" w:after="120" w:line="360" w:lineRule="auto"/>
        <w:rPr>
          <w:rFonts w:asciiTheme="minorEastAsia" w:hAnsiTheme="minorEastAsia" w:eastAsiaTheme="minorEastAsia"/>
          <w:sz w:val="24"/>
        </w:rPr>
      </w:pPr>
      <w:r>
        <w:rPr>
          <w:rFonts w:hint="eastAsia" w:asciiTheme="minorEastAsia" w:hAnsiTheme="minorEastAsia" w:eastAsiaTheme="minorEastAsia"/>
          <w:b/>
          <w:sz w:val="24"/>
        </w:rPr>
        <w:t>九</w:t>
      </w:r>
      <w:r>
        <w:rPr>
          <w:rFonts w:asciiTheme="minorEastAsia" w:hAnsiTheme="minorEastAsia" w:eastAsiaTheme="minorEastAsia"/>
          <w:b/>
          <w:sz w:val="24"/>
        </w:rPr>
        <w:t>、质保期</w:t>
      </w:r>
    </w:p>
    <w:p>
      <w:pPr>
        <w:pStyle w:val="13"/>
        <w:snapToGrid w:val="0"/>
        <w:spacing w:before="120" w:after="120" w:line="360" w:lineRule="auto"/>
        <w:ind w:left="410" w:hanging="410" w:hangingChars="171"/>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 xml:space="preserve"> 质保期</w:t>
      </w:r>
      <w:r>
        <w:rPr>
          <w:rFonts w:hAnsi="宋体" w:cs="Times New Roman"/>
          <w:sz w:val="24"/>
        </w:rPr>
        <w:t>___</w:t>
      </w:r>
      <w:r>
        <w:rPr>
          <w:rFonts w:asciiTheme="minorEastAsia" w:hAnsiTheme="minorEastAsia" w:eastAsiaTheme="minorEastAsia"/>
          <w:sz w:val="24"/>
        </w:rPr>
        <w:t>年。（自交货验收合格之日起计）</w:t>
      </w:r>
    </w:p>
    <w:p>
      <w:pPr>
        <w:pStyle w:val="13"/>
        <w:snapToGrid w:val="0"/>
        <w:spacing w:before="120" w:after="120" w:line="360" w:lineRule="auto"/>
        <w:rPr>
          <w:rFonts w:asciiTheme="minorEastAsia" w:hAnsiTheme="minorEastAsia" w:eastAsiaTheme="minorEastAsia"/>
          <w:b/>
          <w:sz w:val="24"/>
        </w:rPr>
      </w:pPr>
      <w:r>
        <w:rPr>
          <w:rFonts w:hint="eastAsia" w:asciiTheme="minorEastAsia" w:hAnsiTheme="minorEastAsia" w:eastAsiaTheme="minorEastAsia"/>
          <w:b/>
          <w:sz w:val="24"/>
        </w:rPr>
        <w:t>十</w:t>
      </w:r>
      <w:r>
        <w:rPr>
          <w:rFonts w:asciiTheme="minorEastAsia" w:hAnsiTheme="minorEastAsia" w:eastAsiaTheme="minorEastAsia"/>
          <w:b/>
          <w:sz w:val="24"/>
        </w:rPr>
        <w:t>、交货期、交货方式及交货地点</w:t>
      </w:r>
    </w:p>
    <w:p>
      <w:pPr>
        <w:pStyle w:val="13"/>
        <w:snapToGrid w:val="0"/>
        <w:spacing w:before="120" w:after="120" w:line="360" w:lineRule="auto"/>
        <w:rPr>
          <w:rFonts w:asciiTheme="minorEastAsia" w:hAnsiTheme="minorEastAsia" w:eastAsiaTheme="minorEastAsia"/>
          <w:bCs/>
          <w:color w:val="000000"/>
          <w:sz w:val="24"/>
        </w:rPr>
      </w:pPr>
      <w:r>
        <w:rPr>
          <w:rFonts w:asciiTheme="minorEastAsia" w:hAnsiTheme="minorEastAsia" w:eastAsiaTheme="minorEastAsia"/>
          <w:bCs/>
          <w:sz w:val="24"/>
        </w:rPr>
        <w:t>1</w:t>
      </w:r>
      <w:r>
        <w:rPr>
          <w:rFonts w:hint="eastAsia" w:asciiTheme="minorEastAsia" w:hAnsiTheme="minorEastAsia" w:eastAsiaTheme="minorEastAsia"/>
          <w:bCs/>
          <w:sz w:val="24"/>
        </w:rPr>
        <w:t>.</w:t>
      </w:r>
      <w:r>
        <w:rPr>
          <w:rFonts w:asciiTheme="minorEastAsia" w:hAnsiTheme="minorEastAsia" w:eastAsiaTheme="minorEastAsia"/>
          <w:bCs/>
          <w:sz w:val="24"/>
        </w:rPr>
        <w:t xml:space="preserve"> 交货期：</w:t>
      </w:r>
    </w:p>
    <w:p>
      <w:pPr>
        <w:pStyle w:val="13"/>
        <w:snapToGrid w:val="0"/>
        <w:spacing w:before="120" w:after="120" w:line="360" w:lineRule="auto"/>
        <w:rPr>
          <w:rFonts w:asciiTheme="minorEastAsia" w:hAnsiTheme="minorEastAsia" w:eastAsiaTheme="minorEastAsia"/>
          <w:bCs/>
          <w:color w:val="000000"/>
          <w:sz w:val="24"/>
        </w:rPr>
      </w:pPr>
      <w:r>
        <w:rPr>
          <w:rFonts w:asciiTheme="minorEastAsia" w:hAnsiTheme="minorEastAsia" w:eastAsiaTheme="minorEastAsia"/>
          <w:bCs/>
          <w:color w:val="000000"/>
          <w:sz w:val="24"/>
        </w:rPr>
        <w:t>2</w:t>
      </w:r>
      <w:r>
        <w:rPr>
          <w:rFonts w:hint="eastAsia" w:asciiTheme="minorEastAsia" w:hAnsiTheme="minorEastAsia" w:eastAsiaTheme="minorEastAsia"/>
          <w:bCs/>
          <w:color w:val="000000"/>
          <w:sz w:val="24"/>
        </w:rPr>
        <w:t>.</w:t>
      </w:r>
      <w:r>
        <w:rPr>
          <w:rFonts w:asciiTheme="minorEastAsia" w:hAnsiTheme="minorEastAsia" w:eastAsiaTheme="minorEastAsia"/>
          <w:bCs/>
          <w:color w:val="000000"/>
          <w:sz w:val="24"/>
        </w:rPr>
        <w:t xml:space="preserve"> 交货方式：</w:t>
      </w:r>
    </w:p>
    <w:p>
      <w:pPr>
        <w:pStyle w:val="13"/>
        <w:snapToGrid w:val="0"/>
        <w:spacing w:before="120" w:after="120" w:line="360" w:lineRule="auto"/>
        <w:rPr>
          <w:rFonts w:asciiTheme="minorEastAsia" w:hAnsiTheme="minorEastAsia" w:eastAsiaTheme="minorEastAsia"/>
          <w:b/>
          <w:color w:val="000000"/>
          <w:sz w:val="24"/>
        </w:rPr>
      </w:pPr>
      <w:r>
        <w:rPr>
          <w:rFonts w:asciiTheme="minorEastAsia" w:hAnsiTheme="minorEastAsia" w:eastAsiaTheme="minorEastAsia"/>
          <w:bCs/>
          <w:color w:val="000000"/>
          <w:sz w:val="24"/>
        </w:rPr>
        <w:t>3</w:t>
      </w:r>
      <w:r>
        <w:rPr>
          <w:rFonts w:hint="eastAsia" w:asciiTheme="minorEastAsia" w:hAnsiTheme="minorEastAsia" w:eastAsiaTheme="minorEastAsia"/>
          <w:bCs/>
          <w:color w:val="000000"/>
          <w:sz w:val="24"/>
        </w:rPr>
        <w:t>.</w:t>
      </w:r>
      <w:r>
        <w:rPr>
          <w:rFonts w:asciiTheme="minorEastAsia" w:hAnsiTheme="minorEastAsia" w:eastAsiaTheme="minorEastAsia"/>
          <w:bCs/>
          <w:color w:val="000000"/>
          <w:sz w:val="24"/>
        </w:rPr>
        <w:t xml:space="preserve"> 交货地点：</w:t>
      </w:r>
    </w:p>
    <w:p>
      <w:pPr>
        <w:pStyle w:val="13"/>
        <w:snapToGrid w:val="0"/>
        <w:spacing w:before="120" w:after="120" w:line="360" w:lineRule="auto"/>
        <w:rPr>
          <w:rFonts w:asciiTheme="minorEastAsia" w:hAnsiTheme="minorEastAsia" w:eastAsiaTheme="minorEastAsia"/>
          <w:b/>
          <w:color w:val="000000"/>
          <w:sz w:val="24"/>
        </w:rPr>
      </w:pPr>
      <w:r>
        <w:rPr>
          <w:rFonts w:asciiTheme="minorEastAsia" w:hAnsiTheme="minorEastAsia" w:eastAsiaTheme="minorEastAsia"/>
          <w:b/>
          <w:color w:val="000000"/>
          <w:sz w:val="24"/>
        </w:rPr>
        <w:t>十</w:t>
      </w:r>
      <w:r>
        <w:rPr>
          <w:rFonts w:hint="eastAsia" w:asciiTheme="minorEastAsia" w:hAnsiTheme="minorEastAsia" w:eastAsiaTheme="minorEastAsia"/>
          <w:b/>
          <w:color w:val="000000"/>
          <w:sz w:val="24"/>
        </w:rPr>
        <w:t>一</w:t>
      </w:r>
      <w:r>
        <w:rPr>
          <w:rFonts w:asciiTheme="minorEastAsia" w:hAnsiTheme="minorEastAsia" w:eastAsiaTheme="minorEastAsia"/>
          <w:b/>
          <w:color w:val="000000"/>
          <w:sz w:val="24"/>
        </w:rPr>
        <w:t>、货款支付</w:t>
      </w:r>
    </w:p>
    <w:p>
      <w:pPr>
        <w:pStyle w:val="13"/>
        <w:snapToGrid w:val="0"/>
        <w:spacing w:before="120" w:after="120" w:line="360" w:lineRule="auto"/>
        <w:rPr>
          <w:rFonts w:asciiTheme="minorEastAsia" w:hAnsiTheme="minorEastAsia" w:eastAsiaTheme="minorEastAsia"/>
          <w:bCs/>
          <w:sz w:val="24"/>
        </w:rPr>
      </w:pPr>
      <w:r>
        <w:rPr>
          <w:rFonts w:asciiTheme="minorEastAsia" w:hAnsiTheme="minorEastAsia" w:eastAsiaTheme="minorEastAsia"/>
          <w:bCs/>
          <w:sz w:val="24"/>
        </w:rPr>
        <w:t>1</w:t>
      </w:r>
      <w:r>
        <w:rPr>
          <w:rFonts w:hint="eastAsia" w:asciiTheme="minorEastAsia" w:hAnsiTheme="minorEastAsia" w:eastAsiaTheme="minorEastAsia"/>
          <w:bCs/>
          <w:sz w:val="24"/>
        </w:rPr>
        <w:t>.</w:t>
      </w:r>
      <w:r>
        <w:rPr>
          <w:rFonts w:asciiTheme="minorEastAsia" w:hAnsiTheme="minorEastAsia" w:eastAsiaTheme="minorEastAsia"/>
          <w:bCs/>
          <w:sz w:val="24"/>
        </w:rPr>
        <w:t xml:space="preserve"> 付款方式：</w:t>
      </w:r>
    </w:p>
    <w:p>
      <w:pPr>
        <w:pStyle w:val="13"/>
        <w:snapToGrid w:val="0"/>
        <w:spacing w:line="360" w:lineRule="auto"/>
        <w:rPr>
          <w:rFonts w:asciiTheme="minorEastAsia" w:hAnsiTheme="minorEastAsia" w:eastAsiaTheme="minorEastAsia"/>
          <w:bCs/>
          <w:sz w:val="24"/>
        </w:rPr>
      </w:pPr>
      <w:r>
        <w:rPr>
          <w:rFonts w:hint="eastAsia" w:hAnsi="Times New Roman"/>
          <w:sz w:val="24"/>
          <w:lang w:val="zh-CN"/>
        </w:rPr>
        <w:t>2.当采购数量与实际使用数量不一致时，由采购单位向同级财政部门申请并经批准后，可以由乙方根据实际使用量供货，合同的最终结算金额按实际使用量乘以成交单价进行计算。</w:t>
      </w:r>
    </w:p>
    <w:p>
      <w:pPr>
        <w:snapToGrid w:val="0"/>
        <w:spacing w:before="156" w:beforeLines="50" w:after="156" w:afterLines="50" w:line="360" w:lineRule="auto"/>
        <w:rPr>
          <w:rFonts w:asciiTheme="minorEastAsia" w:hAnsiTheme="minorEastAsia" w:eastAsiaTheme="minorEastAsia"/>
          <w:b/>
          <w:sz w:val="24"/>
        </w:rPr>
      </w:pPr>
      <w:r>
        <w:rPr>
          <w:rFonts w:hint="eastAsia" w:asciiTheme="minorEastAsia" w:hAnsiTheme="minorEastAsia" w:eastAsiaTheme="minorEastAsia"/>
          <w:b/>
          <w:sz w:val="24"/>
        </w:rPr>
        <w:t>十二、税费</w:t>
      </w:r>
    </w:p>
    <w:p>
      <w:pPr>
        <w:snapToGrid w:val="0"/>
        <w:spacing w:before="156" w:beforeLines="50" w:after="156" w:afterLines="50" w:line="360" w:lineRule="auto"/>
        <w:rPr>
          <w:rFonts w:asciiTheme="minorEastAsia" w:hAnsiTheme="minorEastAsia" w:eastAsiaTheme="minorEastAsia"/>
          <w:sz w:val="24"/>
        </w:rPr>
      </w:pPr>
      <w:r>
        <w:rPr>
          <w:rFonts w:hint="eastAsia" w:asciiTheme="minorEastAsia" w:hAnsiTheme="minorEastAsia" w:eastAsiaTheme="minorEastAsia"/>
          <w:sz w:val="24"/>
        </w:rPr>
        <w:t>本合同执行中相关的一切税费均由</w:t>
      </w:r>
      <w:r>
        <w:rPr>
          <w:rFonts w:asciiTheme="minorEastAsia" w:hAnsiTheme="minorEastAsia" w:eastAsiaTheme="minorEastAsia"/>
          <w:sz w:val="24"/>
        </w:rPr>
        <w:t>乙</w:t>
      </w:r>
      <w:r>
        <w:rPr>
          <w:rFonts w:hint="eastAsia" w:asciiTheme="minorEastAsia" w:hAnsiTheme="minorEastAsia" w:eastAsiaTheme="minorEastAsia"/>
          <w:sz w:val="24"/>
        </w:rPr>
        <w:t>方负担。</w:t>
      </w:r>
    </w:p>
    <w:p>
      <w:pPr>
        <w:pStyle w:val="13"/>
        <w:snapToGrid w:val="0"/>
        <w:spacing w:before="120" w:after="120" w:line="360" w:lineRule="auto"/>
        <w:ind w:left="412" w:hanging="412" w:hangingChars="171"/>
        <w:rPr>
          <w:rFonts w:asciiTheme="minorEastAsia" w:hAnsiTheme="minorEastAsia" w:eastAsiaTheme="minorEastAsia"/>
          <w:sz w:val="24"/>
        </w:rPr>
      </w:pPr>
      <w:r>
        <w:rPr>
          <w:rFonts w:asciiTheme="minorEastAsia" w:hAnsiTheme="minorEastAsia" w:eastAsiaTheme="minorEastAsia"/>
          <w:b/>
          <w:sz w:val="24"/>
        </w:rPr>
        <w:t>十</w:t>
      </w:r>
      <w:r>
        <w:rPr>
          <w:rFonts w:hint="eastAsia" w:asciiTheme="minorEastAsia" w:hAnsiTheme="minorEastAsia" w:eastAsiaTheme="minorEastAsia"/>
          <w:b/>
          <w:sz w:val="24"/>
        </w:rPr>
        <w:t>三</w:t>
      </w:r>
      <w:r>
        <w:rPr>
          <w:rFonts w:asciiTheme="minorEastAsia" w:hAnsiTheme="minorEastAsia" w:eastAsiaTheme="minorEastAsia"/>
          <w:b/>
          <w:sz w:val="24"/>
        </w:rPr>
        <w:t>、质量保证及售后服务</w:t>
      </w:r>
    </w:p>
    <w:p>
      <w:pPr>
        <w:pStyle w:val="13"/>
        <w:snapToGrid w:val="0"/>
        <w:spacing w:before="120" w:after="120" w:line="360" w:lineRule="auto"/>
        <w:ind w:left="410" w:hanging="410" w:hangingChars="171"/>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 xml:space="preserve"> 乙方应按招标文件规定的货物性能、技术要求、质量标准向甲方提供未经使用的全新产品。</w:t>
      </w:r>
    </w:p>
    <w:p>
      <w:pPr>
        <w:pStyle w:val="13"/>
        <w:snapToGrid w:val="0"/>
        <w:spacing w:before="120" w:after="120" w:line="360" w:lineRule="auto"/>
        <w:ind w:left="480" w:hanging="480" w:hanging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 xml:space="preserve"> 乙方提供的货物在质</w:t>
      </w:r>
      <w:r>
        <w:rPr>
          <w:rFonts w:hint="eastAsia" w:asciiTheme="minorEastAsia" w:hAnsiTheme="minorEastAsia" w:eastAsiaTheme="minorEastAsia"/>
          <w:sz w:val="24"/>
        </w:rPr>
        <w:t>保</w:t>
      </w:r>
      <w:r>
        <w:rPr>
          <w:rFonts w:asciiTheme="minorEastAsia" w:hAnsiTheme="minorEastAsia" w:eastAsiaTheme="minorEastAsia"/>
          <w:sz w:val="24"/>
        </w:rPr>
        <w:t>期内因货物本身的质量问题发生故障，乙方应负责免费更换。对达不到技术要求者，根据实际情况，经双方协商，可按以下办法处理：</w:t>
      </w:r>
    </w:p>
    <w:p>
      <w:pPr>
        <w:pStyle w:val="13"/>
        <w:snapToGrid w:val="0"/>
        <w:spacing w:before="120" w:after="120" w:line="360" w:lineRule="auto"/>
        <w:ind w:firstLine="420"/>
        <w:rPr>
          <w:rFonts w:asciiTheme="minorEastAsia" w:hAnsiTheme="minorEastAsia" w:eastAsiaTheme="minorEastAsia"/>
          <w:sz w:val="24"/>
        </w:rPr>
      </w:pPr>
      <w:r>
        <w:rPr>
          <w:rFonts w:asciiTheme="minorEastAsia" w:hAnsiTheme="minorEastAsia" w:eastAsiaTheme="minorEastAsia"/>
          <w:sz w:val="24"/>
        </w:rPr>
        <w:t>⑴更换：由乙方承担所发生的全部费用。</w:t>
      </w:r>
    </w:p>
    <w:p>
      <w:pPr>
        <w:pStyle w:val="13"/>
        <w:snapToGrid w:val="0"/>
        <w:spacing w:before="120" w:after="120" w:line="360" w:lineRule="auto"/>
        <w:ind w:firstLine="420"/>
        <w:rPr>
          <w:rFonts w:asciiTheme="minorEastAsia" w:hAnsiTheme="minorEastAsia" w:eastAsiaTheme="minorEastAsia"/>
          <w:sz w:val="24"/>
        </w:rPr>
      </w:pPr>
      <w:r>
        <w:rPr>
          <w:rFonts w:asciiTheme="minorEastAsia" w:hAnsiTheme="minorEastAsia" w:eastAsiaTheme="minorEastAsia"/>
          <w:sz w:val="24"/>
        </w:rPr>
        <w:t>⑵贬值处理：由甲乙双方合议定价。</w:t>
      </w:r>
    </w:p>
    <w:p>
      <w:pPr>
        <w:pStyle w:val="13"/>
        <w:snapToGrid w:val="0"/>
        <w:spacing w:before="120" w:after="120" w:line="360" w:lineRule="auto"/>
        <w:ind w:left="420" w:leftChars="200"/>
        <w:rPr>
          <w:rFonts w:asciiTheme="minorEastAsia" w:hAnsiTheme="minorEastAsia" w:eastAsiaTheme="minorEastAsia"/>
          <w:sz w:val="24"/>
        </w:rPr>
      </w:pPr>
      <w:r>
        <w:rPr>
          <w:rFonts w:asciiTheme="minorEastAsia" w:hAnsiTheme="minorEastAsia" w:eastAsiaTheme="minorEastAsia"/>
          <w:sz w:val="24"/>
        </w:rPr>
        <w:t>⑶退货处理：乙方应退还甲方支付的合同款，同时应承担该货物的直接费用（运输、保险、检验、货款利息及银行手续费等）。</w:t>
      </w:r>
    </w:p>
    <w:p>
      <w:pPr>
        <w:pStyle w:val="13"/>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w:t>
      </w:r>
      <w:r>
        <w:rPr>
          <w:rFonts w:asciiTheme="minorEastAsia" w:hAnsiTheme="minorEastAsia" w:eastAsiaTheme="minorEastAsia"/>
          <w:sz w:val="24"/>
        </w:rPr>
        <w:t xml:space="preserve"> 如在使用过程中发生质量问题，乙方在接到甲方通知后</w:t>
      </w:r>
      <w:r>
        <w:rPr>
          <w:rFonts w:asciiTheme="minorEastAsia" w:hAnsiTheme="minorEastAsia" w:eastAsiaTheme="minorEastAsia"/>
          <w:color w:val="000000"/>
          <w:sz w:val="24"/>
        </w:rPr>
        <w:t>在</w:t>
      </w:r>
      <w:r>
        <w:rPr>
          <w:rFonts w:hint="eastAsia" w:asciiTheme="minorEastAsia" w:hAnsiTheme="minorEastAsia" w:eastAsiaTheme="minorEastAsia"/>
          <w:color w:val="000000"/>
          <w:sz w:val="24"/>
          <w:u w:val="single"/>
        </w:rPr>
        <w:t xml:space="preserve">   </w:t>
      </w:r>
      <w:r>
        <w:rPr>
          <w:rFonts w:asciiTheme="minorEastAsia" w:hAnsiTheme="minorEastAsia" w:eastAsiaTheme="minorEastAsia"/>
          <w:color w:val="000000"/>
          <w:sz w:val="24"/>
        </w:rPr>
        <w:t>小时</w:t>
      </w:r>
      <w:r>
        <w:rPr>
          <w:rFonts w:asciiTheme="minorEastAsia" w:hAnsiTheme="minorEastAsia" w:eastAsiaTheme="minorEastAsia"/>
          <w:sz w:val="24"/>
        </w:rPr>
        <w:t>内到达甲方</w:t>
      </w:r>
    </w:p>
    <w:p>
      <w:pPr>
        <w:pStyle w:val="13"/>
        <w:snapToGrid w:val="0"/>
        <w:spacing w:before="120" w:after="120"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现场。</w:t>
      </w:r>
    </w:p>
    <w:p>
      <w:pPr>
        <w:pStyle w:val="13"/>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w:t>
      </w:r>
      <w:r>
        <w:rPr>
          <w:rFonts w:asciiTheme="minorEastAsia" w:hAnsiTheme="minorEastAsia" w:eastAsiaTheme="minorEastAsia"/>
          <w:sz w:val="24"/>
        </w:rPr>
        <w:t xml:space="preserve"> 在质保期内，乙方应对货物出现的质量及安全问题负责处理解决并承担一切</w:t>
      </w:r>
    </w:p>
    <w:p>
      <w:pPr>
        <w:pStyle w:val="13"/>
        <w:snapToGrid w:val="0"/>
        <w:spacing w:before="120" w:after="120"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费用。</w:t>
      </w:r>
    </w:p>
    <w:p>
      <w:pPr>
        <w:pStyle w:val="13"/>
        <w:snapToGrid w:val="0"/>
        <w:spacing w:before="120" w:after="120" w:line="360" w:lineRule="auto"/>
        <w:rPr>
          <w:rFonts w:asciiTheme="minorEastAsia" w:hAnsiTheme="minorEastAsia" w:eastAsiaTheme="minorEastAsia"/>
          <w:color w:val="000000"/>
          <w:sz w:val="24"/>
        </w:rPr>
      </w:pPr>
      <w:r>
        <w:rPr>
          <w:rFonts w:asciiTheme="minorEastAsia" w:hAnsiTheme="minorEastAsia" w:eastAsiaTheme="minorEastAsia"/>
          <w:sz w:val="24"/>
        </w:rPr>
        <w:t>5</w:t>
      </w:r>
      <w:r>
        <w:rPr>
          <w:rFonts w:hint="eastAsia" w:asciiTheme="minorEastAsia" w:hAnsiTheme="minorEastAsia" w:eastAsiaTheme="minorEastAsia"/>
          <w:sz w:val="24"/>
        </w:rPr>
        <w:t>.</w:t>
      </w:r>
      <w:r>
        <w:rPr>
          <w:rFonts w:asciiTheme="minorEastAsia" w:hAnsiTheme="minorEastAsia" w:eastAsiaTheme="minorEastAsia"/>
          <w:color w:val="000000"/>
          <w:sz w:val="24"/>
        </w:rPr>
        <w:t>上述的</w:t>
      </w:r>
      <w:r>
        <w:rPr>
          <w:rFonts w:asciiTheme="minorEastAsia" w:hAnsiTheme="minorEastAsia" w:eastAsiaTheme="minorEastAsia"/>
          <w:sz w:val="24"/>
        </w:rPr>
        <w:t>货物</w:t>
      </w:r>
      <w:r>
        <w:rPr>
          <w:rFonts w:asciiTheme="minorEastAsia" w:hAnsiTheme="minorEastAsia" w:eastAsiaTheme="minorEastAsia"/>
          <w:color w:val="000000"/>
          <w:sz w:val="24"/>
        </w:rPr>
        <w:t>免费保修期为年，因人为因素出现的故障不在免费保修范围</w:t>
      </w:r>
    </w:p>
    <w:p>
      <w:pPr>
        <w:pStyle w:val="13"/>
        <w:snapToGrid w:val="0"/>
        <w:spacing w:before="120" w:after="120" w:line="360" w:lineRule="auto"/>
        <w:ind w:firstLine="240" w:firstLineChars="100"/>
        <w:rPr>
          <w:rFonts w:asciiTheme="minorEastAsia" w:hAnsiTheme="minorEastAsia" w:eastAsiaTheme="minorEastAsia"/>
          <w:color w:val="000000"/>
          <w:sz w:val="24"/>
        </w:rPr>
      </w:pPr>
      <w:r>
        <w:rPr>
          <w:rFonts w:asciiTheme="minorEastAsia" w:hAnsiTheme="minorEastAsia" w:eastAsiaTheme="minorEastAsia"/>
          <w:color w:val="000000"/>
          <w:sz w:val="24"/>
        </w:rPr>
        <w:t>内。超过保修期的机器设备，终生维修，维修时只收部件成本费。</w:t>
      </w:r>
    </w:p>
    <w:p>
      <w:pPr>
        <w:pStyle w:val="13"/>
        <w:snapToGrid w:val="0"/>
        <w:spacing w:before="120" w:after="120" w:line="360" w:lineRule="auto"/>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四</w:t>
      </w:r>
      <w:r>
        <w:rPr>
          <w:rFonts w:asciiTheme="minorEastAsia" w:hAnsiTheme="minorEastAsia" w:eastAsiaTheme="minorEastAsia"/>
          <w:b/>
          <w:sz w:val="24"/>
        </w:rPr>
        <w:t>、调试和验收</w:t>
      </w:r>
    </w:p>
    <w:p>
      <w:pPr>
        <w:pStyle w:val="13"/>
        <w:snapToGrid w:val="0"/>
        <w:spacing w:before="120" w:after="120" w:line="360" w:lineRule="auto"/>
        <w:jc w:val="left"/>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 xml:space="preserve"> 甲方对乙方提交的货物依据招标文件上的技术规格要求和国家有关质量标准</w:t>
      </w:r>
    </w:p>
    <w:p>
      <w:pPr>
        <w:pStyle w:val="13"/>
        <w:snapToGrid w:val="0"/>
        <w:spacing w:before="120" w:after="120" w:line="360" w:lineRule="auto"/>
        <w:ind w:firstLine="360" w:firstLineChars="150"/>
        <w:jc w:val="left"/>
        <w:rPr>
          <w:rFonts w:asciiTheme="minorEastAsia" w:hAnsiTheme="minorEastAsia" w:eastAsiaTheme="minorEastAsia"/>
          <w:sz w:val="24"/>
        </w:rPr>
      </w:pPr>
      <w:r>
        <w:rPr>
          <w:rFonts w:asciiTheme="minorEastAsia" w:hAnsiTheme="minorEastAsia" w:eastAsiaTheme="minorEastAsia"/>
          <w:sz w:val="24"/>
        </w:rPr>
        <w:t>进行现场初步验收，外观、说明书符合招标文件技术要求的，给予签收，初</w:t>
      </w:r>
    </w:p>
    <w:p>
      <w:pPr>
        <w:pStyle w:val="13"/>
        <w:snapToGrid w:val="0"/>
        <w:spacing w:before="120" w:after="120" w:line="360" w:lineRule="auto"/>
        <w:ind w:firstLine="360" w:firstLineChars="150"/>
        <w:jc w:val="left"/>
        <w:rPr>
          <w:rFonts w:asciiTheme="minorEastAsia" w:hAnsiTheme="minorEastAsia" w:eastAsiaTheme="minorEastAsia"/>
          <w:sz w:val="24"/>
        </w:rPr>
      </w:pPr>
      <w:r>
        <w:rPr>
          <w:rFonts w:asciiTheme="minorEastAsia" w:hAnsiTheme="minorEastAsia" w:eastAsiaTheme="minorEastAsia"/>
          <w:sz w:val="24"/>
        </w:rPr>
        <w:t>步验收不合格的不予签收。货到后，甲方需在</w:t>
      </w:r>
      <w:r>
        <w:rPr>
          <w:rFonts w:hint="eastAsia" w:asciiTheme="minorEastAsia" w:hAnsiTheme="minorEastAsia" w:eastAsiaTheme="minorEastAsia"/>
          <w:color w:val="FF66CC"/>
          <w:sz w:val="24"/>
          <w:u w:val="single"/>
        </w:rPr>
        <w:t>五</w:t>
      </w:r>
      <w:r>
        <w:rPr>
          <w:rFonts w:hint="eastAsia" w:asciiTheme="minorEastAsia" w:hAnsiTheme="minorEastAsia" w:eastAsiaTheme="minorEastAsia"/>
          <w:sz w:val="24"/>
        </w:rPr>
        <w:t>个</w:t>
      </w:r>
      <w:r>
        <w:rPr>
          <w:rFonts w:asciiTheme="minorEastAsia" w:hAnsiTheme="minorEastAsia" w:eastAsiaTheme="minorEastAsia"/>
          <w:sz w:val="24"/>
        </w:rPr>
        <w:t>工作日内验收。</w:t>
      </w:r>
    </w:p>
    <w:p>
      <w:pPr>
        <w:pStyle w:val="13"/>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 xml:space="preserve"> 乙方交货前应对产品作出全面检查和对验收文件进行整理，并列出清单，作</w:t>
      </w:r>
    </w:p>
    <w:p>
      <w:pPr>
        <w:pStyle w:val="13"/>
        <w:snapToGrid w:val="0"/>
        <w:spacing w:before="120" w:after="120"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为甲方收货验收和使用的技术条件依据，检验的结果应随货物交甲方。</w:t>
      </w:r>
    </w:p>
    <w:p>
      <w:pPr>
        <w:pStyle w:val="13"/>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w:t>
      </w:r>
      <w:r>
        <w:rPr>
          <w:rFonts w:asciiTheme="minorEastAsia" w:hAnsiTheme="minorEastAsia" w:eastAsiaTheme="minorEastAsia"/>
          <w:sz w:val="24"/>
        </w:rPr>
        <w:t xml:space="preserve"> 甲方对乙方提供的货物在使用前进行调试时，乙方需负责安装并培训甲方的</w:t>
      </w:r>
    </w:p>
    <w:p>
      <w:pPr>
        <w:pStyle w:val="13"/>
        <w:snapToGrid w:val="0"/>
        <w:spacing w:before="120" w:after="120"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使用操作人员，并协助甲方一起调试，直到符合技术要求，甲方才做最终验</w:t>
      </w:r>
    </w:p>
    <w:p>
      <w:pPr>
        <w:pStyle w:val="13"/>
        <w:snapToGrid w:val="0"/>
        <w:spacing w:before="120" w:after="120" w:line="360" w:lineRule="auto"/>
        <w:ind w:firstLine="360" w:firstLineChars="150"/>
        <w:rPr>
          <w:rFonts w:asciiTheme="minorEastAsia" w:hAnsiTheme="minorEastAsia" w:eastAsiaTheme="minorEastAsia"/>
          <w:sz w:val="24"/>
          <w:u w:val="single"/>
        </w:rPr>
      </w:pPr>
      <w:r>
        <w:rPr>
          <w:rFonts w:asciiTheme="minorEastAsia" w:hAnsiTheme="minorEastAsia" w:eastAsiaTheme="minorEastAsia"/>
          <w:sz w:val="24"/>
        </w:rPr>
        <w:t>收。</w:t>
      </w:r>
    </w:p>
    <w:p>
      <w:pPr>
        <w:pStyle w:val="13"/>
        <w:snapToGrid w:val="0"/>
        <w:spacing w:before="120" w:after="120" w:line="360" w:lineRule="auto"/>
        <w:rPr>
          <w:rFonts w:asciiTheme="minorEastAsia" w:hAnsiTheme="minorEastAsia" w:eastAsiaTheme="minorEastAsia"/>
          <w:sz w:val="24"/>
        </w:rPr>
      </w:pPr>
      <w:r>
        <w:rPr>
          <w:rFonts w:asciiTheme="minorEastAsia" w:hAnsiTheme="minorEastAsia" w:eastAsiaTheme="minorEastAsia"/>
          <w:color w:val="000000"/>
          <w:sz w:val="24"/>
        </w:rPr>
        <w:t>4</w:t>
      </w:r>
      <w:r>
        <w:rPr>
          <w:rFonts w:hint="eastAsia" w:asciiTheme="minorEastAsia" w:hAnsiTheme="minorEastAsia" w:eastAsiaTheme="minorEastAsia"/>
          <w:color w:val="000000"/>
          <w:sz w:val="24"/>
        </w:rPr>
        <w:t>.</w:t>
      </w:r>
      <w:r>
        <w:rPr>
          <w:rFonts w:asciiTheme="minorEastAsia" w:hAnsiTheme="minorEastAsia" w:eastAsiaTheme="minorEastAsia"/>
          <w:sz w:val="24"/>
        </w:rPr>
        <w:t>对技术复杂的货物，甲方应请国家认可的专业检测机构参与初步验收及最终</w:t>
      </w:r>
    </w:p>
    <w:p>
      <w:pPr>
        <w:pStyle w:val="13"/>
        <w:snapToGrid w:val="0"/>
        <w:spacing w:before="120" w:after="120"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验收，并由其出具质量检测报告。</w:t>
      </w:r>
    </w:p>
    <w:p>
      <w:pPr>
        <w:pStyle w:val="13"/>
        <w:snapToGrid w:val="0"/>
        <w:spacing w:before="120" w:after="120" w:line="360" w:lineRule="auto"/>
        <w:rPr>
          <w:rFonts w:asciiTheme="minorEastAsia" w:hAnsiTheme="minorEastAsia" w:eastAsiaTheme="minorEastAsia"/>
          <w:sz w:val="24"/>
        </w:rPr>
      </w:pPr>
      <w:r>
        <w:rPr>
          <w:rFonts w:asciiTheme="minorEastAsia" w:hAnsiTheme="minorEastAsia" w:eastAsiaTheme="minorEastAsia"/>
          <w:color w:val="000000"/>
          <w:sz w:val="24"/>
        </w:rPr>
        <w:t>5</w:t>
      </w:r>
      <w:r>
        <w:rPr>
          <w:rFonts w:hint="eastAsia" w:asciiTheme="minorEastAsia" w:hAnsiTheme="minorEastAsia" w:eastAsiaTheme="minorEastAsia"/>
          <w:color w:val="000000"/>
          <w:sz w:val="24"/>
        </w:rPr>
        <w:t>.</w:t>
      </w:r>
      <w:r>
        <w:rPr>
          <w:rFonts w:asciiTheme="minorEastAsia" w:hAnsiTheme="minorEastAsia" w:eastAsiaTheme="minorEastAsia"/>
          <w:sz w:val="24"/>
        </w:rPr>
        <w:t>验收时乙方必须在现场，验收完毕后作出验收结果报告；验收费用由</w:t>
      </w:r>
      <w:r>
        <w:rPr>
          <w:rFonts w:hint="eastAsia" w:asciiTheme="minorEastAsia" w:hAnsiTheme="minorEastAsia" w:eastAsiaTheme="minorEastAsia"/>
          <w:sz w:val="24"/>
        </w:rPr>
        <w:t>甲</w:t>
      </w:r>
      <w:r>
        <w:rPr>
          <w:rFonts w:asciiTheme="minorEastAsia" w:hAnsiTheme="minorEastAsia" w:eastAsiaTheme="minorEastAsia"/>
          <w:sz w:val="24"/>
        </w:rPr>
        <w:t>方负</w:t>
      </w:r>
    </w:p>
    <w:p>
      <w:pPr>
        <w:pStyle w:val="13"/>
        <w:snapToGrid w:val="0"/>
        <w:spacing w:before="120" w:after="120"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责。</w:t>
      </w:r>
    </w:p>
    <w:p>
      <w:pPr>
        <w:pStyle w:val="13"/>
        <w:snapToGrid w:val="0"/>
        <w:spacing w:before="120" w:after="120" w:line="360" w:lineRule="auto"/>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五</w:t>
      </w:r>
      <w:r>
        <w:rPr>
          <w:rFonts w:asciiTheme="minorEastAsia" w:hAnsiTheme="minorEastAsia" w:eastAsiaTheme="minorEastAsia"/>
          <w:b/>
          <w:sz w:val="24"/>
        </w:rPr>
        <w:t>、货物包装、发运及运输</w:t>
      </w:r>
    </w:p>
    <w:p>
      <w:pPr>
        <w:pStyle w:val="13"/>
        <w:snapToGrid w:val="0"/>
        <w:spacing w:before="120" w:after="120" w:line="360" w:lineRule="auto"/>
        <w:ind w:left="480" w:hanging="480" w:hangingChars="200"/>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 xml:space="preserve"> 乙方应在货物发运前对其进行满足运输距离、防潮、防震、防锈和防破损装卸等要求包装，以保证货物安全运达甲方指定地点。</w:t>
      </w:r>
    </w:p>
    <w:p>
      <w:pPr>
        <w:pStyle w:val="13"/>
        <w:snapToGrid w:val="0"/>
        <w:spacing w:before="120" w:after="120" w:line="360" w:lineRule="auto"/>
        <w:ind w:left="480" w:hanging="480" w:hangingChars="20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 xml:space="preserve"> 使用说明书、质量检验证明书、随配附件和工具以及清单一并附于货物内。</w:t>
      </w:r>
    </w:p>
    <w:p>
      <w:pPr>
        <w:pStyle w:val="13"/>
        <w:snapToGrid w:val="0"/>
        <w:spacing w:before="120" w:after="120" w:line="360" w:lineRule="auto"/>
        <w:ind w:left="480" w:hanging="480" w:hangingChars="200"/>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w:t>
      </w:r>
      <w:r>
        <w:rPr>
          <w:rFonts w:asciiTheme="minorEastAsia" w:hAnsiTheme="minorEastAsia" w:eastAsiaTheme="minorEastAsia"/>
          <w:sz w:val="24"/>
        </w:rPr>
        <w:t xml:space="preserve"> 乙方在货物发运手续办理完毕后24小时内或货到甲方48小时前通知甲方，以准备接货。</w:t>
      </w:r>
    </w:p>
    <w:p>
      <w:pPr>
        <w:pStyle w:val="13"/>
        <w:snapToGrid w:val="0"/>
        <w:spacing w:before="120" w:after="120" w:line="360" w:lineRule="auto"/>
        <w:ind w:left="480" w:hanging="480" w:hangingChars="200"/>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w:t>
      </w:r>
      <w:r>
        <w:rPr>
          <w:rFonts w:asciiTheme="minorEastAsia" w:hAnsiTheme="minorEastAsia" w:eastAsiaTheme="minorEastAsia"/>
          <w:sz w:val="24"/>
        </w:rPr>
        <w:t xml:space="preserve"> 货物在交付甲方前发生的风险均由乙方负责。</w:t>
      </w:r>
    </w:p>
    <w:p>
      <w:pPr>
        <w:pStyle w:val="13"/>
        <w:snapToGrid w:val="0"/>
        <w:spacing w:line="360" w:lineRule="auto"/>
        <w:ind w:left="480" w:right="26" w:hanging="480" w:hangingChars="200"/>
        <w:rPr>
          <w:rFonts w:asciiTheme="minorEastAsia" w:hAnsiTheme="minorEastAsia" w:eastAsiaTheme="minorEastAsia"/>
          <w:sz w:val="24"/>
        </w:rPr>
      </w:pPr>
      <w:r>
        <w:rPr>
          <w:rFonts w:asciiTheme="minorEastAsia" w:hAnsiTheme="minorEastAsia" w:eastAsiaTheme="minorEastAsia"/>
          <w:sz w:val="24"/>
        </w:rPr>
        <w:t>5</w:t>
      </w:r>
      <w:r>
        <w:rPr>
          <w:rFonts w:hint="eastAsia" w:asciiTheme="minorEastAsia" w:hAnsiTheme="minorEastAsia" w:eastAsiaTheme="minorEastAsia"/>
          <w:sz w:val="24"/>
        </w:rPr>
        <w:t>.</w:t>
      </w:r>
      <w:r>
        <w:rPr>
          <w:rFonts w:asciiTheme="minorEastAsia" w:hAnsiTheme="minorEastAsia" w:eastAsiaTheme="minorEastAsia"/>
          <w:sz w:val="24"/>
        </w:rPr>
        <w:t xml:space="preserve"> 货物在规定的交付期限内由乙方送达甲方指定的地点视为交付，乙方同时需</w:t>
      </w:r>
    </w:p>
    <w:p>
      <w:pPr>
        <w:pStyle w:val="13"/>
        <w:snapToGrid w:val="0"/>
        <w:spacing w:line="360" w:lineRule="auto"/>
        <w:ind w:left="479" w:leftChars="171" w:right="26" w:hanging="120" w:hangingChars="50"/>
        <w:rPr>
          <w:rFonts w:asciiTheme="minorEastAsia" w:hAnsiTheme="minorEastAsia" w:eastAsiaTheme="minorEastAsia"/>
          <w:sz w:val="24"/>
        </w:rPr>
      </w:pPr>
      <w:r>
        <w:rPr>
          <w:rFonts w:asciiTheme="minorEastAsia" w:hAnsiTheme="minorEastAsia" w:eastAsiaTheme="minorEastAsia"/>
          <w:sz w:val="24"/>
        </w:rPr>
        <w:t>通知甲方货物已送达。</w:t>
      </w:r>
    </w:p>
    <w:p>
      <w:pPr>
        <w:pStyle w:val="13"/>
        <w:snapToGrid w:val="0"/>
        <w:spacing w:before="120" w:after="120" w:line="360" w:lineRule="auto"/>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六</w:t>
      </w:r>
      <w:r>
        <w:rPr>
          <w:rFonts w:asciiTheme="minorEastAsia" w:hAnsiTheme="minorEastAsia" w:eastAsiaTheme="minorEastAsia"/>
          <w:b/>
          <w:sz w:val="24"/>
        </w:rPr>
        <w:t>、违约责任</w:t>
      </w:r>
    </w:p>
    <w:p>
      <w:pPr>
        <w:pStyle w:val="13"/>
        <w:snapToGrid w:val="0"/>
        <w:spacing w:before="120" w:after="120" w:line="360" w:lineRule="auto"/>
        <w:ind w:left="410" w:hanging="410" w:hangingChars="171"/>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 xml:space="preserve"> 甲方无正当理由拒收货物的，甲方向乙方偿付拒收货款总值的</w:t>
      </w:r>
      <w:r>
        <w:rPr>
          <w:rFonts w:asciiTheme="minorEastAsia" w:hAnsiTheme="minorEastAsia" w:eastAsiaTheme="minorEastAsia"/>
          <w:color w:val="FF66CC"/>
          <w:sz w:val="24"/>
          <w:u w:val="single"/>
        </w:rPr>
        <w:t>百分之五</w:t>
      </w:r>
      <w:r>
        <w:rPr>
          <w:rFonts w:asciiTheme="minorEastAsia" w:hAnsiTheme="minorEastAsia" w:eastAsiaTheme="minorEastAsia"/>
          <w:sz w:val="24"/>
        </w:rPr>
        <w:t>违约金。</w:t>
      </w:r>
    </w:p>
    <w:p>
      <w:pPr>
        <w:pStyle w:val="13"/>
        <w:snapToGrid w:val="0"/>
        <w:spacing w:before="120" w:after="120" w:line="360" w:lineRule="auto"/>
        <w:ind w:left="410" w:hanging="410" w:hangingChars="171"/>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 xml:space="preserve"> 甲方无故逾期验收和办理货款支付手续的,甲方应按逾期付款总额每日</w:t>
      </w:r>
      <w:r>
        <w:rPr>
          <w:rFonts w:asciiTheme="minorEastAsia" w:hAnsiTheme="minorEastAsia" w:eastAsiaTheme="minorEastAsia"/>
          <w:color w:val="FF66CC"/>
          <w:sz w:val="24"/>
          <w:u w:val="single"/>
        </w:rPr>
        <w:t>万分之五</w:t>
      </w:r>
      <w:r>
        <w:rPr>
          <w:rFonts w:asciiTheme="minorEastAsia" w:hAnsiTheme="minorEastAsia" w:eastAsiaTheme="minorEastAsia"/>
          <w:sz w:val="24"/>
        </w:rPr>
        <w:t>向乙方支付违约金。</w:t>
      </w:r>
    </w:p>
    <w:p>
      <w:pPr>
        <w:pStyle w:val="13"/>
        <w:snapToGrid w:val="0"/>
        <w:spacing w:before="120" w:after="120" w:line="360" w:lineRule="auto"/>
        <w:ind w:left="410" w:hanging="410" w:hangingChars="171"/>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w:t>
      </w:r>
      <w:r>
        <w:rPr>
          <w:rFonts w:asciiTheme="minorEastAsia" w:hAnsiTheme="minorEastAsia" w:eastAsiaTheme="minorEastAsia"/>
          <w:sz w:val="24"/>
        </w:rPr>
        <w:t xml:space="preserve"> 乙方逾期交付货物的，乙方应按逾期交货总额每日</w:t>
      </w:r>
      <w:r>
        <w:rPr>
          <w:rFonts w:asciiTheme="minorEastAsia" w:hAnsiTheme="minorEastAsia" w:eastAsiaTheme="minorEastAsia"/>
          <w:color w:val="FF66CC"/>
          <w:sz w:val="24"/>
          <w:u w:val="single"/>
        </w:rPr>
        <w:t>千分之六</w:t>
      </w:r>
      <w:r>
        <w:rPr>
          <w:rFonts w:asciiTheme="minorEastAsia" w:hAnsiTheme="minorEastAsia" w:eastAsiaTheme="minorEastAsia"/>
          <w:sz w:val="24"/>
        </w:rPr>
        <w:t>向甲方支付违约金，由甲方从待付货款中扣除。逾期超过约定日期</w:t>
      </w:r>
      <w:r>
        <w:rPr>
          <w:rFonts w:asciiTheme="minorEastAsia" w:hAnsiTheme="minorEastAsia" w:eastAsiaTheme="minorEastAsia"/>
          <w:color w:val="FF66CC"/>
          <w:sz w:val="24"/>
          <w:u w:val="single"/>
        </w:rPr>
        <w:t>10</w:t>
      </w:r>
      <w:r>
        <w:rPr>
          <w:rFonts w:asciiTheme="minorEastAsia" w:hAnsiTheme="minorEastAsia" w:eastAsiaTheme="minorEastAsia"/>
          <w:sz w:val="24"/>
        </w:rPr>
        <w:t>个工作日不能交货的，甲方可解除本合同。乙方因逾期交货或因其他违约行为导致甲方解除合同的，乙方应向甲方支付合同总值</w:t>
      </w:r>
      <w:r>
        <w:rPr>
          <w:rFonts w:asciiTheme="minorEastAsia" w:hAnsiTheme="minorEastAsia" w:eastAsiaTheme="minorEastAsia"/>
          <w:color w:val="FF66CC"/>
          <w:sz w:val="24"/>
          <w:u w:val="single"/>
        </w:rPr>
        <w:t>5%</w:t>
      </w:r>
      <w:r>
        <w:rPr>
          <w:rFonts w:asciiTheme="minorEastAsia" w:hAnsiTheme="minorEastAsia" w:eastAsiaTheme="minorEastAsia"/>
          <w:sz w:val="24"/>
        </w:rPr>
        <w:t xml:space="preserve">的违约金，如造成甲方损失超过违约金的，超出部分由乙方继续承担赔偿责任。 </w:t>
      </w:r>
    </w:p>
    <w:p>
      <w:pPr>
        <w:pStyle w:val="13"/>
        <w:snapToGrid w:val="0"/>
        <w:spacing w:before="120" w:after="120" w:line="360" w:lineRule="auto"/>
        <w:ind w:left="410" w:hanging="410" w:hangingChars="171"/>
        <w:rPr>
          <w:rFonts w:asciiTheme="minorEastAsia" w:hAnsiTheme="minorEastAsia" w:eastAsiaTheme="minorEastAsia"/>
          <w:sz w:val="24"/>
        </w:rPr>
      </w:pPr>
      <w:r>
        <w:rPr>
          <w:rFonts w:asciiTheme="minorEastAsia" w:hAnsiTheme="minorEastAsia" w:eastAsiaTheme="minorEastAsia"/>
          <w:sz w:val="24"/>
        </w:rPr>
        <w:t>4</w:t>
      </w:r>
      <w:r>
        <w:rPr>
          <w:rFonts w:hint="eastAsia" w:asciiTheme="minorEastAsia" w:hAnsiTheme="minorEastAsia" w:eastAsiaTheme="minorEastAsia"/>
          <w:sz w:val="24"/>
        </w:rPr>
        <w:t>.</w:t>
      </w:r>
      <w:r>
        <w:rPr>
          <w:rFonts w:asciiTheme="minorEastAsia" w:hAnsiTheme="minorEastAsia" w:eastAsiaTheme="minorEastAsia"/>
          <w:sz w:val="24"/>
        </w:rPr>
        <w:t xml:space="preserve"> 乙方所交的货物品种、型号、规格、技术参数、质量不符合合同规定及招标文件规定标准的，甲方有权拒收该货物，乙方愿意更换货物但逾期交货的，按乙方逾期交货处理。乙方拒绝更换货物的，甲方可单方面解除合同。</w:t>
      </w:r>
    </w:p>
    <w:p>
      <w:pPr>
        <w:pStyle w:val="13"/>
        <w:snapToGrid w:val="0"/>
        <w:spacing w:before="120" w:after="120" w:line="360" w:lineRule="auto"/>
        <w:ind w:left="410" w:hanging="410" w:hangingChars="171"/>
        <w:rPr>
          <w:rFonts w:asciiTheme="minorEastAsia" w:hAnsiTheme="minorEastAsia" w:eastAsiaTheme="minorEastAsia"/>
          <w:sz w:val="24"/>
        </w:rPr>
      </w:pPr>
      <w:r>
        <w:rPr>
          <w:rFonts w:hint="eastAsia" w:asciiTheme="minorEastAsia" w:hAnsiTheme="minorEastAsia" w:eastAsiaTheme="minorEastAsia"/>
          <w:sz w:val="24"/>
        </w:rPr>
        <w:t>5.若发生纠纷，由违约方赔偿守约方因纠纷所支付的费用（包括但不限于律师费、差旅费、诉讼费、保全费、鉴定费、评估费等）</w:t>
      </w:r>
    </w:p>
    <w:p>
      <w:pPr>
        <w:pStyle w:val="13"/>
        <w:snapToGrid w:val="0"/>
        <w:spacing w:before="120" w:after="120" w:line="360" w:lineRule="auto"/>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七</w:t>
      </w:r>
      <w:r>
        <w:rPr>
          <w:rFonts w:asciiTheme="minorEastAsia" w:hAnsiTheme="minorEastAsia" w:eastAsiaTheme="minorEastAsia"/>
          <w:b/>
          <w:sz w:val="24"/>
        </w:rPr>
        <w:t>、不可抗力事件处理</w:t>
      </w:r>
    </w:p>
    <w:p>
      <w:pPr>
        <w:pStyle w:val="13"/>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w:t>
      </w:r>
      <w:r>
        <w:rPr>
          <w:rFonts w:asciiTheme="minorEastAsia" w:hAnsiTheme="minorEastAsia" w:eastAsiaTheme="minorEastAsia"/>
          <w:sz w:val="24"/>
        </w:rPr>
        <w:t xml:space="preserve"> 在合同有效期内，任何一方因不可抗力事件导致不能履行合同，则合同履行</w:t>
      </w:r>
    </w:p>
    <w:p>
      <w:pPr>
        <w:pStyle w:val="13"/>
        <w:snapToGrid w:val="0"/>
        <w:spacing w:before="120" w:after="120"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期可延长，其延长期与不可抗力影响期相同。</w:t>
      </w:r>
    </w:p>
    <w:p>
      <w:pPr>
        <w:pStyle w:val="13"/>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w:t>
      </w:r>
      <w:r>
        <w:rPr>
          <w:rFonts w:asciiTheme="minorEastAsia" w:hAnsiTheme="minorEastAsia" w:eastAsiaTheme="minorEastAsia"/>
          <w:sz w:val="24"/>
        </w:rPr>
        <w:t xml:space="preserve"> 不可抗力事件发生后，应立即通知对方，并寄送有关权威机构出具的证明。</w:t>
      </w:r>
    </w:p>
    <w:p>
      <w:pPr>
        <w:pStyle w:val="13"/>
        <w:snapToGrid w:val="0"/>
        <w:spacing w:before="120" w:after="120" w:line="360" w:lineRule="auto"/>
        <w:rPr>
          <w:rFonts w:asciiTheme="minorEastAsia" w:hAnsiTheme="minorEastAsia" w:eastAsiaTheme="minorEastAsia"/>
          <w:sz w:val="24"/>
        </w:rPr>
      </w:pPr>
      <w:r>
        <w:rPr>
          <w:rFonts w:asciiTheme="minorEastAsia" w:hAnsiTheme="minorEastAsia" w:eastAsiaTheme="minorEastAsia"/>
          <w:sz w:val="24"/>
        </w:rPr>
        <w:t>3</w:t>
      </w:r>
      <w:r>
        <w:rPr>
          <w:rFonts w:hint="eastAsia" w:asciiTheme="minorEastAsia" w:hAnsiTheme="minorEastAsia" w:eastAsiaTheme="minorEastAsia"/>
          <w:sz w:val="24"/>
        </w:rPr>
        <w:t>.</w:t>
      </w:r>
      <w:r>
        <w:rPr>
          <w:rFonts w:asciiTheme="minorEastAsia" w:hAnsiTheme="minorEastAsia" w:eastAsiaTheme="minorEastAsia"/>
          <w:sz w:val="24"/>
        </w:rPr>
        <w:t xml:space="preserve"> 不可抗力事件延续120天以上，双方应通过友好协商，确定是否继续履行合</w:t>
      </w:r>
    </w:p>
    <w:p>
      <w:pPr>
        <w:pStyle w:val="13"/>
        <w:snapToGrid w:val="0"/>
        <w:spacing w:before="120" w:after="120" w:line="360" w:lineRule="auto"/>
        <w:ind w:firstLine="360" w:firstLineChars="150"/>
        <w:rPr>
          <w:rFonts w:asciiTheme="minorEastAsia" w:hAnsiTheme="minorEastAsia" w:eastAsiaTheme="minorEastAsia"/>
          <w:sz w:val="24"/>
        </w:rPr>
      </w:pPr>
      <w:r>
        <w:rPr>
          <w:rFonts w:asciiTheme="minorEastAsia" w:hAnsiTheme="minorEastAsia" w:eastAsiaTheme="minorEastAsia"/>
          <w:sz w:val="24"/>
        </w:rPr>
        <w:t>同。</w:t>
      </w:r>
    </w:p>
    <w:p>
      <w:pPr>
        <w:pStyle w:val="13"/>
        <w:snapToGrid w:val="0"/>
        <w:spacing w:before="120" w:after="120" w:line="360" w:lineRule="auto"/>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八</w:t>
      </w:r>
      <w:r>
        <w:rPr>
          <w:rFonts w:asciiTheme="minorEastAsia" w:hAnsiTheme="minorEastAsia" w:eastAsiaTheme="minorEastAsia"/>
          <w:b/>
          <w:sz w:val="24"/>
        </w:rPr>
        <w:t>、</w:t>
      </w:r>
      <w:r>
        <w:rPr>
          <w:rFonts w:hint="eastAsia" w:asciiTheme="minorEastAsia" w:hAnsiTheme="minorEastAsia" w:eastAsiaTheme="minorEastAsia"/>
          <w:b/>
          <w:sz w:val="24"/>
        </w:rPr>
        <w:t>解决争议的方法</w:t>
      </w:r>
    </w:p>
    <w:p>
      <w:pPr>
        <w:widowControl/>
        <w:spacing w:line="360" w:lineRule="auto"/>
        <w:jc w:val="left"/>
        <w:rPr>
          <w:sz w:val="24"/>
        </w:rPr>
      </w:pPr>
      <w:r>
        <w:rPr>
          <w:rFonts w:hint="eastAsia" w:ascii="宋体" w:hAnsi="宋体" w:cs="宋体"/>
          <w:kern w:val="0"/>
          <w:sz w:val="24"/>
        </w:rPr>
        <w:t xml:space="preserve">1. </w:t>
      </w:r>
      <w:r>
        <w:rPr>
          <w:rFonts w:ascii="宋体" w:hAnsi="宋体" w:cs="宋体"/>
          <w:kern w:val="0"/>
          <w:sz w:val="24"/>
        </w:rPr>
        <w:t>如双方在履行合同时发生纠纷，应协商解决；协商不成时，可提请政府采购管理部门调解；调解不成的通过以下方式解决（两种解决方式只能择其一）：</w:t>
      </w:r>
      <w:r>
        <w:rPr>
          <w:rFonts w:ascii="宋体" w:hAnsi="宋体" w:cs="宋体"/>
          <w:kern w:val="0"/>
          <w:sz w:val="24"/>
        </w:rPr>
        <w:br w:type="textWrapping"/>
      </w:r>
      <w:r>
        <w:rPr>
          <w:rFonts w:ascii="宋体" w:hAnsi="宋体" w:cs="宋体"/>
          <w:kern w:val="0"/>
          <w:sz w:val="24"/>
        </w:rPr>
        <w:t>（1） 提交</w:t>
      </w:r>
      <w:r>
        <w:rPr>
          <w:rFonts w:hAnsi="宋体"/>
          <w:color w:val="FF66CC"/>
          <w:sz w:val="24"/>
          <w:u w:val="single"/>
        </w:rPr>
        <w:t>台州</w:t>
      </w:r>
      <w:r>
        <w:rPr>
          <w:rFonts w:ascii="宋体" w:hAnsi="宋体" w:cs="宋体"/>
          <w:kern w:val="0"/>
          <w:sz w:val="24"/>
        </w:rPr>
        <w:t>仲裁委员会仲裁。</w:t>
      </w:r>
      <w:r>
        <w:rPr>
          <w:rFonts w:ascii="宋体" w:hAnsi="宋体" w:cs="宋体"/>
          <w:kern w:val="0"/>
          <w:sz w:val="24"/>
        </w:rPr>
        <w:br w:type="textWrapping"/>
      </w:r>
      <w:r>
        <w:rPr>
          <w:rFonts w:ascii="宋体" w:hAnsi="宋体" w:cs="宋体"/>
          <w:kern w:val="0"/>
          <w:sz w:val="24"/>
        </w:rPr>
        <w:t xml:space="preserve">（2） 依法向人民法院提起诉讼。 </w:t>
      </w:r>
    </w:p>
    <w:p>
      <w:pPr>
        <w:pStyle w:val="13"/>
        <w:tabs>
          <w:tab w:val="left" w:pos="5790"/>
        </w:tabs>
        <w:snapToGrid w:val="0"/>
        <w:spacing w:before="120" w:after="120" w:line="360" w:lineRule="auto"/>
        <w:rPr>
          <w:rFonts w:asciiTheme="minorEastAsia" w:hAnsiTheme="minorEastAsia" w:eastAsiaTheme="minorEastAsia"/>
          <w:b/>
          <w:sz w:val="24"/>
        </w:rPr>
      </w:pPr>
      <w:r>
        <w:rPr>
          <w:rFonts w:asciiTheme="minorEastAsia" w:hAnsiTheme="minorEastAsia" w:eastAsiaTheme="minorEastAsia"/>
          <w:b/>
          <w:sz w:val="24"/>
        </w:rPr>
        <w:t>十</w:t>
      </w:r>
      <w:r>
        <w:rPr>
          <w:rFonts w:hint="eastAsia" w:asciiTheme="minorEastAsia" w:hAnsiTheme="minorEastAsia" w:eastAsiaTheme="minorEastAsia"/>
          <w:b/>
          <w:sz w:val="24"/>
        </w:rPr>
        <w:t>九</w:t>
      </w:r>
      <w:r>
        <w:rPr>
          <w:rFonts w:asciiTheme="minorEastAsia" w:hAnsiTheme="minorEastAsia" w:eastAsiaTheme="minorEastAsia"/>
          <w:b/>
          <w:sz w:val="24"/>
        </w:rPr>
        <w:t>、合同生效及其它</w:t>
      </w:r>
      <w:r>
        <w:rPr>
          <w:rFonts w:asciiTheme="minorEastAsia" w:hAnsiTheme="minorEastAsia" w:eastAsiaTheme="minorEastAsia"/>
          <w:b/>
          <w:sz w:val="24"/>
        </w:rPr>
        <w:tab/>
      </w:r>
    </w:p>
    <w:p>
      <w:pPr>
        <w:pStyle w:val="11"/>
        <w:widowControl/>
        <w:spacing w:line="360" w:lineRule="auto"/>
        <w:ind w:right="-88"/>
        <w:rPr>
          <w:rFonts w:asciiTheme="minorEastAsia" w:hAnsiTheme="minorEastAsia" w:eastAsiaTheme="minorEastAsia"/>
        </w:rPr>
      </w:pPr>
      <w:r>
        <w:rPr>
          <w:rFonts w:asciiTheme="minorEastAsia" w:hAnsiTheme="minorEastAsia" w:eastAsiaTheme="minorEastAsia"/>
        </w:rPr>
        <w:t>1</w:t>
      </w:r>
      <w:r>
        <w:rPr>
          <w:rFonts w:hint="eastAsia" w:asciiTheme="minorEastAsia" w:hAnsiTheme="minorEastAsia" w:eastAsiaTheme="minorEastAsia"/>
        </w:rPr>
        <w:t>.</w:t>
      </w:r>
      <w:r>
        <w:rPr>
          <w:rFonts w:asciiTheme="minorEastAsia" w:hAnsiTheme="minorEastAsia" w:eastAsiaTheme="minorEastAsia"/>
        </w:rPr>
        <w:t xml:space="preserve"> 合同经双方法定代表人或授权代表</w:t>
      </w:r>
      <w:r>
        <w:rPr>
          <w:rFonts w:hint="eastAsia" w:asciiTheme="minorEastAsia" w:hAnsiTheme="minorEastAsia" w:eastAsiaTheme="minorEastAsia"/>
        </w:rPr>
        <w:t>签字</w:t>
      </w:r>
      <w:r>
        <w:rPr>
          <w:rFonts w:asciiTheme="minorEastAsia" w:hAnsiTheme="minorEastAsia" w:eastAsiaTheme="minorEastAsia"/>
        </w:rPr>
        <w:t>并加盖单位公章后生效。</w:t>
      </w:r>
    </w:p>
    <w:p>
      <w:pPr>
        <w:pStyle w:val="11"/>
        <w:widowControl/>
        <w:spacing w:line="360" w:lineRule="auto"/>
        <w:ind w:right="-88"/>
        <w:rPr>
          <w:rFonts w:asciiTheme="minorEastAsia" w:hAnsiTheme="minorEastAsia" w:eastAsiaTheme="minorEastAsia"/>
        </w:rPr>
      </w:pPr>
      <w:r>
        <w:rPr>
          <w:rFonts w:hint="eastAsia" w:asciiTheme="minorEastAsia" w:hAnsiTheme="minorEastAsia" w:eastAsiaTheme="minorEastAsia"/>
        </w:rPr>
        <w:t xml:space="preserve">2. </w:t>
      </w:r>
      <w:r>
        <w:rPr>
          <w:rFonts w:asciiTheme="minorEastAsia" w:hAnsiTheme="minorEastAsia" w:eastAsiaTheme="minorEastAsia"/>
        </w:rPr>
        <w:t>本合同未尽事宜，遵照《合同法》有关条文执行。</w:t>
      </w:r>
    </w:p>
    <w:p>
      <w:pPr>
        <w:pStyle w:val="11"/>
        <w:widowControl/>
        <w:spacing w:line="360" w:lineRule="auto"/>
        <w:ind w:right="-88"/>
        <w:rPr>
          <w:rFonts w:asciiTheme="minorEastAsia" w:hAnsiTheme="minorEastAsia" w:eastAsiaTheme="minorEastAsia"/>
        </w:rPr>
      </w:pPr>
      <w:r>
        <w:rPr>
          <w:rFonts w:hint="eastAsia" w:asciiTheme="minorEastAsia" w:hAnsiTheme="minorEastAsia" w:eastAsiaTheme="minorEastAsia"/>
        </w:rPr>
        <w:t>3. 本合同一式四份。甲、乙双方各执一份，</w:t>
      </w:r>
      <w:r>
        <w:rPr>
          <w:rFonts w:hint="eastAsia" w:ascii="宋体" w:hAnsi="宋体"/>
        </w:rPr>
        <w:t>采购组织机构及同级人民政府财政部门各执一份</w:t>
      </w:r>
      <w:r>
        <w:rPr>
          <w:rFonts w:hint="eastAsia" w:asciiTheme="minorEastAsia" w:hAnsiTheme="minorEastAsia" w:eastAsiaTheme="minorEastAsia"/>
        </w:rPr>
        <w:t>。本项目未尽事宜以招标文件、投标文件及澄清文件等为准。</w:t>
      </w:r>
    </w:p>
    <w:p>
      <w:pPr>
        <w:widowControl/>
        <w:spacing w:line="360" w:lineRule="auto"/>
        <w:rPr>
          <w:rFonts w:asciiTheme="minorEastAsia" w:hAnsiTheme="minorEastAsia" w:eastAsiaTheme="minorEastAsia"/>
          <w:b/>
          <w:sz w:val="24"/>
        </w:rPr>
      </w:pPr>
    </w:p>
    <w:p>
      <w:pPr>
        <w:widowControl/>
        <w:spacing w:line="360" w:lineRule="auto"/>
        <w:rPr>
          <w:rFonts w:asciiTheme="minorEastAsia" w:hAnsiTheme="minorEastAsia" w:eastAsiaTheme="minorEastAsia"/>
          <w:b/>
          <w:sz w:val="24"/>
        </w:rPr>
      </w:pP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甲方（公章）                                     乙方（公章）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                                     法定代表人：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委托代理人：                                     委托代理人：</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联系电话：                                       联系电话：</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开户银行：                                       开户银行：</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帐号：                                           帐号：</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地址及邮编：                                     地址及邮编：</w:t>
      </w:r>
    </w:p>
    <w:p>
      <w:pPr>
        <w:spacing w:line="360" w:lineRule="auto"/>
        <w:rPr>
          <w:rFonts w:asciiTheme="minorEastAsia" w:hAnsiTheme="minorEastAsia" w:eastAsiaTheme="minorEastAsia"/>
          <w:sz w:val="24"/>
        </w:rPr>
      </w:pPr>
    </w:p>
    <w:p>
      <w:pPr>
        <w:spacing w:line="360" w:lineRule="auto"/>
        <w:ind w:firstLine="4920" w:firstLineChars="2050"/>
        <w:rPr>
          <w:rFonts w:asciiTheme="minorEastAsia" w:hAnsiTheme="minorEastAsia" w:eastAsiaTheme="minorEastAsia"/>
          <w:sz w:val="24"/>
        </w:rPr>
      </w:pPr>
      <w:r>
        <w:rPr>
          <w:rFonts w:hint="eastAsia" w:asciiTheme="minorEastAsia" w:hAnsiTheme="minorEastAsia" w:eastAsiaTheme="minorEastAsia"/>
          <w:sz w:val="24"/>
        </w:rPr>
        <w:t>签订时间：    年   月    日</w:t>
      </w:r>
    </w:p>
    <w:p>
      <w:pPr>
        <w:pStyle w:val="28"/>
        <w:rPr>
          <w:rFonts w:asciiTheme="majorEastAsia" w:hAnsiTheme="majorEastAsia" w:eastAsiaTheme="majorEastAsia"/>
          <w:color w:val="00B0F0"/>
          <w:sz w:val="28"/>
          <w:szCs w:val="28"/>
        </w:rPr>
      </w:pPr>
    </w:p>
    <w:p>
      <w:pPr>
        <w:pStyle w:val="28"/>
        <w:rPr>
          <w:rFonts w:asciiTheme="majorEastAsia" w:hAnsiTheme="majorEastAsia" w:eastAsiaTheme="majorEastAsia"/>
          <w:color w:val="00B0F0"/>
          <w:sz w:val="28"/>
          <w:szCs w:val="28"/>
        </w:rPr>
      </w:pPr>
    </w:p>
    <w:p>
      <w:pPr>
        <w:pStyle w:val="28"/>
        <w:rPr>
          <w:rFonts w:asciiTheme="majorEastAsia" w:hAnsiTheme="majorEastAsia" w:eastAsiaTheme="majorEastAsia"/>
          <w:color w:val="00B0F0"/>
          <w:sz w:val="28"/>
          <w:szCs w:val="28"/>
        </w:rPr>
      </w:pPr>
    </w:p>
    <w:p>
      <w:pPr>
        <w:pStyle w:val="28"/>
        <w:rPr>
          <w:rFonts w:asciiTheme="majorEastAsia" w:hAnsiTheme="majorEastAsia" w:eastAsiaTheme="majorEastAsia"/>
          <w:color w:val="00B0F0"/>
          <w:sz w:val="28"/>
          <w:szCs w:val="28"/>
        </w:rPr>
      </w:pPr>
    </w:p>
    <w:p>
      <w:pPr>
        <w:pStyle w:val="28"/>
        <w:rPr>
          <w:rFonts w:asciiTheme="majorEastAsia" w:hAnsiTheme="majorEastAsia" w:eastAsiaTheme="majorEastAsia"/>
          <w:color w:val="00B0F0"/>
          <w:sz w:val="28"/>
          <w:szCs w:val="28"/>
        </w:rPr>
      </w:pPr>
    </w:p>
    <w:p>
      <w:pPr>
        <w:pStyle w:val="28"/>
        <w:rPr>
          <w:rFonts w:asciiTheme="majorEastAsia" w:hAnsiTheme="majorEastAsia" w:eastAsiaTheme="majorEastAsia"/>
          <w:color w:val="00B0F0"/>
          <w:sz w:val="28"/>
          <w:szCs w:val="28"/>
        </w:rPr>
      </w:pPr>
    </w:p>
    <w:p>
      <w:pPr>
        <w:pStyle w:val="28"/>
      </w:pPr>
    </w:p>
    <w:p>
      <w:pPr>
        <w:rPr>
          <w:rFonts w:asciiTheme="minorEastAsia" w:hAnsiTheme="minorEastAsia" w:eastAsiaTheme="minorEastAsia"/>
          <w:b/>
          <w:sz w:val="36"/>
          <w:szCs w:val="36"/>
        </w:rPr>
      </w:pPr>
      <w:r>
        <w:rPr>
          <w:rFonts w:hint="eastAsia" w:asciiTheme="minorEastAsia" w:hAnsiTheme="minorEastAsia" w:eastAsiaTheme="minorEastAsia"/>
          <w:b/>
          <w:sz w:val="36"/>
          <w:szCs w:val="36"/>
        </w:rPr>
        <w:br w:type="page"/>
      </w:r>
    </w:p>
    <w:p>
      <w:pPr>
        <w:numPr>
          <w:ilvl w:val="0"/>
          <w:numId w:val="6"/>
        </w:numPr>
        <w:spacing w:line="360" w:lineRule="auto"/>
        <w:jc w:val="center"/>
        <w:rPr>
          <w:rFonts w:asciiTheme="minorEastAsia" w:hAnsiTheme="minorEastAsia" w:eastAsiaTheme="minorEastAsia"/>
          <w:b/>
          <w:sz w:val="36"/>
          <w:szCs w:val="36"/>
        </w:rPr>
      </w:pPr>
      <w:r>
        <w:rPr>
          <w:rFonts w:hint="eastAsia" w:asciiTheme="minorEastAsia" w:hAnsiTheme="minorEastAsia" w:eastAsiaTheme="minorEastAsia"/>
          <w:b/>
          <w:sz w:val="36"/>
          <w:szCs w:val="36"/>
        </w:rPr>
        <w:t>投标文件格式附件</w:t>
      </w:r>
    </w:p>
    <w:p>
      <w:pPr>
        <w:rPr>
          <w:rFonts w:ascii="宋体" w:hAnsi="宋体"/>
          <w:b/>
          <w:kern w:val="0"/>
          <w:sz w:val="28"/>
          <w:szCs w:val="28"/>
        </w:rPr>
      </w:pPr>
      <w:r>
        <w:rPr>
          <w:rFonts w:hint="eastAsia" w:ascii="宋体" w:hAnsi="宋体"/>
          <w:b/>
          <w:kern w:val="0"/>
          <w:sz w:val="28"/>
          <w:szCs w:val="28"/>
        </w:rPr>
        <w:t>附件1</w:t>
      </w:r>
      <w:r>
        <w:rPr>
          <w:rFonts w:hint="eastAsia" w:ascii="宋体" w:hAnsi="宋体"/>
          <w:b/>
          <w:sz w:val="30"/>
          <w:szCs w:val="30"/>
        </w:rPr>
        <w:t xml:space="preserve">                             </w:t>
      </w:r>
      <w:r>
        <w:rPr>
          <w:rFonts w:hint="eastAsia" w:ascii="宋体" w:hAnsi="宋体"/>
          <w:sz w:val="30"/>
          <w:szCs w:val="30"/>
        </w:rPr>
        <w:t xml:space="preserve"> 　　　</w:t>
      </w:r>
      <w:r>
        <w:rPr>
          <w:rFonts w:hint="eastAsia" w:ascii="宋体" w:hAnsi="宋体"/>
          <w:b/>
          <w:sz w:val="28"/>
        </w:rPr>
        <w:t xml:space="preserve">        </w:t>
      </w:r>
      <w:r>
        <w:rPr>
          <w:rFonts w:hint="eastAsia" w:ascii="宋体" w:hAnsi="宋体"/>
          <w:b/>
          <w:sz w:val="28"/>
          <w:u w:val="single"/>
        </w:rPr>
        <w:t xml:space="preserve">     </w:t>
      </w:r>
      <w:r>
        <w:rPr>
          <w:rFonts w:hint="eastAsia" w:ascii="宋体" w:hAnsi="宋体"/>
          <w:bCs/>
          <w:sz w:val="24"/>
        </w:rPr>
        <w:t>本</w:t>
      </w:r>
    </w:p>
    <w:p>
      <w:pPr>
        <w:spacing w:line="360" w:lineRule="auto"/>
        <w:rPr>
          <w:rFonts w:asciiTheme="minorEastAsia" w:hAnsiTheme="minorEastAsia" w:eastAsiaTheme="minorEastAsia"/>
          <w:b/>
          <w:sz w:val="30"/>
          <w:szCs w:val="30"/>
        </w:rPr>
      </w:pP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312" w:beforeLines="100" w:line="360" w:lineRule="auto"/>
        <w:ind w:right="-108"/>
        <w:jc w:val="center"/>
        <w:rPr>
          <w:rFonts w:ascii="宋体" w:hAnsi="宋体"/>
          <w:sz w:val="36"/>
          <w:szCs w:val="36"/>
        </w:rPr>
      </w:pPr>
      <w:r>
        <w:rPr>
          <w:rFonts w:hint="eastAsia" w:ascii="宋体" w:hAnsi="宋体"/>
          <w:sz w:val="36"/>
          <w:szCs w:val="36"/>
        </w:rPr>
        <w:t>项目编号：（标段）</w:t>
      </w:r>
    </w:p>
    <w:p>
      <w:pPr>
        <w:autoSpaceDE w:val="0"/>
        <w:autoSpaceDN w:val="0"/>
        <w:adjustRightInd w:val="0"/>
        <w:spacing w:line="360" w:lineRule="auto"/>
        <w:jc w:val="center"/>
        <w:rPr>
          <w:rFonts w:ascii="宋体" w:hAnsi="宋体" w:cs="宋体"/>
          <w:sz w:val="84"/>
          <w:szCs w:val="84"/>
          <w:lang w:val="zh-CN"/>
        </w:rPr>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ascii="宋体" w:hAnsi="宋体"/>
          <w:b/>
          <w:spacing w:val="40"/>
          <w:sz w:val="28"/>
          <w:szCs w:val="28"/>
        </w:rPr>
      </w:pPr>
      <w:r>
        <w:rPr>
          <w:rFonts w:hint="eastAsia" w:ascii="宋体" w:hAnsi="宋体" w:cs="宋体"/>
          <w:sz w:val="28"/>
          <w:szCs w:val="28"/>
          <w:lang w:val="zh-CN"/>
        </w:rPr>
        <w:t>（</w:t>
      </w:r>
      <w:r>
        <w:rPr>
          <w:rFonts w:hint="eastAsia" w:ascii="宋体" w:hAnsi="宋体"/>
          <w:b/>
          <w:spacing w:val="40"/>
          <w:sz w:val="28"/>
          <w:szCs w:val="28"/>
        </w:rPr>
        <w:t>资格证明文件）</w:t>
      </w:r>
    </w:p>
    <w:p>
      <w:pPr>
        <w:spacing w:line="360" w:lineRule="auto"/>
        <w:ind w:right="532" w:firstLine="720" w:firstLineChars="200"/>
        <w:rPr>
          <w:rFonts w:ascii="宋体" w:hAnsi="宋体"/>
          <w:sz w:val="36"/>
          <w:szCs w:val="36"/>
        </w:rPr>
      </w:pPr>
      <w:r>
        <w:rPr>
          <w:rFonts w:hint="eastAsia" w:ascii="宋体" w:hAnsi="宋体"/>
          <w:sz w:val="36"/>
          <w:szCs w:val="36"/>
        </w:rPr>
        <w:t>投标人全称（电子印章）：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napToGrid w:val="0"/>
        <w:spacing w:before="50" w:after="50" w:line="360" w:lineRule="auto"/>
        <w:rPr>
          <w:rFonts w:ascii="FangSong_GB2312" w:hAnsi="宋体" w:eastAsia="FangSong_GB2312"/>
          <w:b/>
          <w:sz w:val="36"/>
          <w:szCs w:val="36"/>
        </w:rPr>
      </w:pPr>
    </w:p>
    <w:p>
      <w:pPr>
        <w:snapToGrid w:val="0"/>
        <w:spacing w:before="50" w:after="50" w:line="360" w:lineRule="auto"/>
        <w:rPr>
          <w:rFonts w:ascii="FangSong_GB2312" w:hAnsi="宋体" w:eastAsia="FangSong_GB2312"/>
          <w:b/>
          <w:sz w:val="36"/>
          <w:szCs w:val="36"/>
        </w:rPr>
      </w:pPr>
    </w:p>
    <w:p>
      <w:pPr>
        <w:snapToGrid w:val="0"/>
        <w:spacing w:before="50" w:after="50" w:line="360" w:lineRule="auto"/>
        <w:rPr>
          <w:rFonts w:ascii="FangSong_GB2312" w:hAnsi="宋体" w:eastAsia="FangSong_GB2312"/>
          <w:b/>
          <w:sz w:val="36"/>
          <w:szCs w:val="36"/>
        </w:rPr>
      </w:pPr>
    </w:p>
    <w:p>
      <w:pPr>
        <w:snapToGrid w:val="0"/>
        <w:spacing w:before="50" w:after="50" w:line="360" w:lineRule="auto"/>
        <w:jc w:val="center"/>
        <w:rPr>
          <w:rFonts w:ascii="宋体" w:hAnsi="宋体"/>
          <w:b/>
          <w:bCs/>
          <w:sz w:val="36"/>
          <w:szCs w:val="36"/>
        </w:rPr>
      </w:pPr>
      <w:r>
        <w:rPr>
          <w:rFonts w:hint="eastAsia" w:ascii="宋体" w:hAnsi="宋体"/>
          <w:b/>
          <w:bCs/>
          <w:sz w:val="36"/>
          <w:szCs w:val="36"/>
        </w:rPr>
        <w:t>资格证明文件目录</w:t>
      </w:r>
    </w:p>
    <w:p>
      <w:pPr>
        <w:snapToGrid w:val="0"/>
        <w:spacing w:before="50" w:after="50" w:line="360" w:lineRule="auto"/>
        <w:jc w:val="center"/>
        <w:rPr>
          <w:rFonts w:ascii="FangSong_GB2312" w:hAnsi="宋体" w:eastAsia="FangSong_GB2312"/>
          <w:b/>
          <w:bCs/>
          <w:sz w:val="36"/>
          <w:szCs w:val="36"/>
        </w:rPr>
      </w:pPr>
    </w:p>
    <w:p>
      <w:pPr>
        <w:numPr>
          <w:ilvl w:val="0"/>
          <w:numId w:val="17"/>
        </w:numPr>
        <w:snapToGrid w:val="0"/>
        <w:spacing w:line="360" w:lineRule="auto"/>
        <w:ind w:firstLine="548" w:firstLineChars="196"/>
        <w:rPr>
          <w:rFonts w:ascii="宋体" w:hAnsi="宋体"/>
          <w:sz w:val="28"/>
          <w:szCs w:val="28"/>
        </w:rPr>
      </w:pPr>
      <w:r>
        <w:rPr>
          <w:rFonts w:hint="eastAsia" w:ascii="宋体" w:hAnsi="宋体"/>
          <w:sz w:val="28"/>
          <w:szCs w:val="28"/>
        </w:rPr>
        <w:t>声明书（附件2）</w:t>
      </w:r>
    </w:p>
    <w:p>
      <w:pPr>
        <w:numPr>
          <w:ilvl w:val="0"/>
          <w:numId w:val="17"/>
        </w:numPr>
        <w:snapToGrid w:val="0"/>
        <w:spacing w:line="360" w:lineRule="auto"/>
        <w:ind w:firstLine="548" w:firstLineChars="196"/>
        <w:rPr>
          <w:rFonts w:ascii="宋体" w:hAnsi="宋体"/>
          <w:kern w:val="0"/>
          <w:sz w:val="28"/>
          <w:szCs w:val="28"/>
        </w:rPr>
      </w:pPr>
      <w:r>
        <w:rPr>
          <w:bCs/>
          <w:sz w:val="28"/>
          <w:szCs w:val="28"/>
        </w:rPr>
        <w:t>授权</w:t>
      </w:r>
      <w:r>
        <w:rPr>
          <w:rFonts w:hint="eastAsia"/>
          <w:bCs/>
          <w:sz w:val="28"/>
          <w:szCs w:val="28"/>
        </w:rPr>
        <w:t>委托</w:t>
      </w:r>
      <w:r>
        <w:rPr>
          <w:bCs/>
          <w:sz w:val="28"/>
          <w:szCs w:val="28"/>
        </w:rPr>
        <w:t>书</w:t>
      </w:r>
      <w:r>
        <w:rPr>
          <w:rFonts w:hint="eastAsia" w:ascii="宋体" w:hAnsi="宋体"/>
          <w:bCs/>
          <w:sz w:val="28"/>
          <w:szCs w:val="28"/>
        </w:rPr>
        <w:t>（附件3）</w:t>
      </w:r>
    </w:p>
    <w:p>
      <w:pPr>
        <w:numPr>
          <w:ilvl w:val="0"/>
          <w:numId w:val="17"/>
        </w:numPr>
        <w:snapToGrid w:val="0"/>
        <w:spacing w:line="360" w:lineRule="auto"/>
        <w:ind w:left="1050" w:leftChars="259" w:hanging="506" w:hangingChars="181"/>
        <w:rPr>
          <w:rFonts w:ascii="宋体" w:hAnsi="宋体"/>
          <w:kern w:val="0"/>
          <w:sz w:val="28"/>
          <w:szCs w:val="28"/>
        </w:rPr>
      </w:pPr>
      <w:r>
        <w:rPr>
          <w:sz w:val="28"/>
          <w:szCs w:val="28"/>
        </w:rPr>
        <w:t>法人或者其他组织的营业执照等证明文件，自然人的身份证明</w:t>
      </w:r>
    </w:p>
    <w:p>
      <w:pPr>
        <w:snapToGrid w:val="0"/>
        <w:spacing w:line="360" w:lineRule="auto"/>
        <w:ind w:firstLine="560" w:firstLineChars="200"/>
        <w:rPr>
          <w:rFonts w:ascii="宋体" w:hAnsi="宋体"/>
          <w:kern w:val="0"/>
          <w:sz w:val="28"/>
          <w:szCs w:val="28"/>
        </w:rPr>
      </w:pPr>
      <w:r>
        <w:rPr>
          <w:rFonts w:hint="eastAsia" w:ascii="宋体" w:hAnsi="宋体"/>
          <w:kern w:val="0"/>
          <w:sz w:val="28"/>
          <w:szCs w:val="28"/>
        </w:rPr>
        <w:t>4、</w:t>
      </w:r>
      <w:r>
        <w:rPr>
          <w:sz w:val="28"/>
          <w:szCs w:val="28"/>
        </w:rPr>
        <w:t>财务状况报告，依法缴纳税收和社会保障资金的相关材料</w:t>
      </w:r>
    </w:p>
    <w:p>
      <w:pPr>
        <w:snapToGrid w:val="0"/>
        <w:spacing w:line="360" w:lineRule="auto"/>
        <w:ind w:firstLine="560" w:firstLineChars="200"/>
        <w:rPr>
          <w:rFonts w:ascii="宋体" w:hAnsi="宋体" w:cs="宋体"/>
          <w:sz w:val="28"/>
          <w:szCs w:val="28"/>
        </w:rPr>
      </w:pPr>
      <w:r>
        <w:rPr>
          <w:rFonts w:hint="eastAsia" w:ascii="宋体" w:hAnsi="宋体" w:cs="宋体"/>
          <w:sz w:val="28"/>
          <w:szCs w:val="28"/>
        </w:rPr>
        <w:t>5、</w:t>
      </w:r>
      <w:r>
        <w:rPr>
          <w:sz w:val="28"/>
          <w:szCs w:val="28"/>
        </w:rPr>
        <w:t>具备履行合同所必需的设备和专业技术能力的证明材料</w:t>
      </w:r>
    </w:p>
    <w:p>
      <w:pPr>
        <w:snapToGrid w:val="0"/>
        <w:spacing w:line="360" w:lineRule="auto"/>
        <w:ind w:firstLine="548" w:firstLineChars="196"/>
        <w:rPr>
          <w:rFonts w:ascii="宋体" w:hAnsi="宋体"/>
          <w:kern w:val="0"/>
          <w:sz w:val="28"/>
          <w:szCs w:val="28"/>
        </w:rPr>
      </w:pPr>
      <w:r>
        <w:rPr>
          <w:rFonts w:hint="eastAsia" w:ascii="宋体" w:hAnsi="宋体"/>
          <w:sz w:val="28"/>
          <w:szCs w:val="28"/>
        </w:rPr>
        <w:t>6、</w:t>
      </w:r>
      <w:r>
        <w:rPr>
          <w:rFonts w:hint="eastAsia" w:ascii="宋体" w:hAnsi="宋体"/>
          <w:kern w:val="0"/>
          <w:sz w:val="28"/>
          <w:szCs w:val="28"/>
        </w:rPr>
        <w:t>本项目要求的特定资质证书</w:t>
      </w:r>
    </w:p>
    <w:p>
      <w:pPr>
        <w:spacing w:line="360" w:lineRule="auto"/>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ind w:left="420"/>
        <w:rPr>
          <w:rFonts w:ascii="宋体" w:hAnsi="宋体"/>
          <w:b/>
          <w:sz w:val="28"/>
        </w:rPr>
      </w:pPr>
    </w:p>
    <w:p>
      <w:pPr>
        <w:spacing w:line="360" w:lineRule="auto"/>
        <w:rPr>
          <w:rFonts w:ascii="宋体" w:hAnsi="宋体"/>
          <w:b/>
          <w:sz w:val="28"/>
        </w:rPr>
      </w:pPr>
    </w:p>
    <w:p>
      <w:pPr>
        <w:spacing w:line="360" w:lineRule="auto"/>
        <w:ind w:left="420"/>
        <w:rPr>
          <w:rFonts w:ascii="宋体" w:hAnsi="宋体"/>
          <w:b/>
          <w:sz w:val="28"/>
        </w:rPr>
      </w:pPr>
      <w:r>
        <w:rPr>
          <w:rFonts w:hint="eastAsia" w:ascii="宋体" w:hAnsi="宋体"/>
          <w:b/>
          <w:sz w:val="28"/>
        </w:rPr>
        <w:t>附件2</w:t>
      </w:r>
    </w:p>
    <w:p>
      <w:pPr>
        <w:adjustRightInd w:val="0"/>
        <w:snapToGrid w:val="0"/>
        <w:spacing w:line="360" w:lineRule="auto"/>
        <w:ind w:right="480"/>
        <w:jc w:val="center"/>
        <w:rPr>
          <w:rFonts w:ascii="宋体" w:hAnsi="宋体"/>
          <w:b/>
          <w:kern w:val="0"/>
          <w:sz w:val="32"/>
          <w:szCs w:val="32"/>
          <w:lang w:val="zh-CN"/>
        </w:rPr>
      </w:pPr>
      <w:r>
        <w:rPr>
          <w:rFonts w:hint="eastAsia" w:ascii="宋体" w:hAnsi="宋体"/>
          <w:b/>
          <w:kern w:val="0"/>
          <w:sz w:val="32"/>
          <w:szCs w:val="32"/>
          <w:lang w:val="zh-CN"/>
        </w:rPr>
        <w:t>投标声明书</w:t>
      </w:r>
    </w:p>
    <w:p>
      <w:pPr>
        <w:snapToGrid w:val="0"/>
        <w:spacing w:before="156" w:beforeLines="50" w:after="50" w:line="360" w:lineRule="auto"/>
        <w:ind w:firstLine="480" w:firstLineChars="200"/>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w:t>
      </w:r>
      <w:r>
        <w:rPr>
          <w:rFonts w:hint="eastAsia" w:hAnsi="宋体" w:cs="宋体"/>
          <w:kern w:val="0"/>
          <w:sz w:val="24"/>
        </w:rPr>
        <w:t>构</w:t>
      </w:r>
      <w:r>
        <w:rPr>
          <w:rFonts w:hint="eastAsia" w:ascii="宋体" w:hAnsi="宋体" w:cs="宋体"/>
          <w:kern w:val="0"/>
          <w:sz w:val="24"/>
        </w:rPr>
        <w:t>机构/采购代理机构名称）：</w:t>
      </w:r>
    </w:p>
    <w:p>
      <w:pPr>
        <w:snapToGrid w:val="0"/>
        <w:spacing w:before="156" w:beforeLines="50" w:after="50" w:line="360" w:lineRule="auto"/>
        <w:ind w:firstLine="480" w:firstLineChars="200"/>
        <w:rPr>
          <w:rFonts w:ascii="宋体" w:hAnsi="宋体" w:cs="宋体"/>
          <w:kern w:val="0"/>
          <w:sz w:val="24"/>
        </w:rPr>
      </w:pPr>
      <w:r>
        <w:rPr>
          <w:rFonts w:hint="eastAsia" w:ascii="宋体" w:hAnsi="宋体" w:cs="宋体"/>
          <w:kern w:val="0"/>
          <w:sz w:val="24"/>
        </w:rPr>
        <w:t>（投标人名称）系中华人民共和国合法企业，经营地址。</w:t>
      </w:r>
    </w:p>
    <w:p>
      <w:pPr>
        <w:snapToGrid w:val="0"/>
        <w:spacing w:before="156" w:beforeLines="50" w:after="50" w:line="360" w:lineRule="auto"/>
        <w:ind w:firstLine="480" w:firstLineChars="200"/>
        <w:rPr>
          <w:rFonts w:ascii="宋体" w:hAnsi="宋体" w:cs="宋体"/>
          <w:kern w:val="0"/>
          <w:sz w:val="24"/>
        </w:rPr>
      </w:pPr>
      <w:r>
        <w:rPr>
          <w:rFonts w:hint="eastAsia" w:ascii="宋体" w:hAnsi="宋体" w:cs="宋体"/>
          <w:kern w:val="0"/>
          <w:sz w:val="24"/>
        </w:rPr>
        <w:t>我（</w:t>
      </w:r>
      <w:r>
        <w:rPr>
          <w:rFonts w:hint="eastAsia" w:ascii="宋体" w:hAnsi="宋体" w:cs="宋体"/>
          <w:kern w:val="0"/>
          <w:sz w:val="24"/>
          <w:u w:val="single"/>
        </w:rPr>
        <w:t xml:space="preserve"> 姓名 </w:t>
      </w:r>
      <w:r>
        <w:rPr>
          <w:rFonts w:hint="eastAsia" w:ascii="宋体" w:hAnsi="宋体" w:cs="宋体"/>
          <w:kern w:val="0"/>
          <w:sz w:val="24"/>
        </w:rPr>
        <w:t>）系（</w:t>
      </w:r>
      <w:r>
        <w:rPr>
          <w:rFonts w:hint="eastAsia" w:ascii="宋体" w:hAnsi="宋体" w:cs="宋体"/>
          <w:kern w:val="0"/>
          <w:sz w:val="24"/>
          <w:u w:val="single"/>
        </w:rPr>
        <w:t xml:space="preserve"> 投标人名称 </w:t>
      </w:r>
      <w:r>
        <w:rPr>
          <w:rFonts w:hint="eastAsia" w:ascii="宋体" w:hAnsi="宋体" w:cs="宋体"/>
          <w:kern w:val="0"/>
          <w:sz w:val="24"/>
        </w:rPr>
        <w:t>）的法定代表人，我公司自愿参加贵方组织的（</w:t>
      </w:r>
      <w:r>
        <w:rPr>
          <w:rFonts w:hint="eastAsia" w:ascii="宋体" w:hAnsi="宋体" w:cs="宋体"/>
          <w:kern w:val="0"/>
          <w:sz w:val="24"/>
          <w:u w:val="single"/>
        </w:rPr>
        <w:t>招标项目名称</w:t>
      </w:r>
      <w:r>
        <w:rPr>
          <w:rFonts w:hint="eastAsia" w:ascii="宋体" w:hAnsi="宋体" w:cs="宋体"/>
          <w:kern w:val="0"/>
          <w:sz w:val="24"/>
        </w:rPr>
        <w:t>）（编号为）的投标，为此，我公司就本次投标有关事项郑重声明如下：</w:t>
      </w:r>
    </w:p>
    <w:p>
      <w:pPr>
        <w:numPr>
          <w:ilvl w:val="0"/>
          <w:numId w:val="18"/>
        </w:numPr>
        <w:snapToGrid w:val="0"/>
        <w:spacing w:before="156" w:beforeLines="50" w:after="50" w:line="360" w:lineRule="auto"/>
        <w:ind w:firstLine="480" w:firstLineChars="200"/>
        <w:rPr>
          <w:rFonts w:ascii="宋体" w:hAnsi="宋体" w:cs="宋体"/>
          <w:kern w:val="0"/>
          <w:sz w:val="24"/>
        </w:rPr>
      </w:pPr>
      <w:r>
        <w:rPr>
          <w:rFonts w:hint="eastAsia" w:ascii="宋体" w:hAnsi="宋体" w:cs="宋体"/>
          <w:kern w:val="0"/>
          <w:sz w:val="24"/>
        </w:rPr>
        <w:t>我公司声明截止投标时间近三年以来：未被列入失信被执行人、重大税收违法案件当事人名单、政府采购严重违法失信行为记录名单及其他不符合《中华人民共和国政府采购法》第二十二条规定的条件。【说明：供应商在截止投标时间近三年以来，如有上述所列情形，但限制期届满的，可按实陈述，并提供相应证明文件。】</w:t>
      </w:r>
    </w:p>
    <w:p>
      <w:pPr>
        <w:snapToGrid w:val="0"/>
        <w:spacing w:before="156" w:beforeLines="50" w:after="50" w:line="360" w:lineRule="auto"/>
        <w:ind w:firstLine="480" w:firstLineChars="200"/>
        <w:rPr>
          <w:rFonts w:ascii="宋体" w:hAnsi="宋体" w:cs="宋体"/>
          <w:kern w:val="0"/>
          <w:sz w:val="24"/>
        </w:rPr>
      </w:pPr>
      <w:r>
        <w:rPr>
          <w:rFonts w:hint="eastAsia" w:ascii="宋体" w:hAnsi="宋体" w:cs="宋体"/>
          <w:kern w:val="0"/>
          <w:sz w:val="24"/>
        </w:rPr>
        <w:t>2、我公司</w:t>
      </w:r>
      <w:r>
        <w:rPr>
          <w:rFonts w:ascii="宋体" w:hAnsi="宋体" w:cs="宋体"/>
          <w:kern w:val="0"/>
          <w:sz w:val="24"/>
        </w:rPr>
        <w:t>在参与投标前已</w:t>
      </w:r>
      <w:r>
        <w:rPr>
          <w:rFonts w:hint="eastAsia" w:ascii="宋体" w:hAnsi="宋体" w:cs="宋体"/>
          <w:kern w:val="0"/>
          <w:sz w:val="24"/>
        </w:rPr>
        <w:t>详细审查</w:t>
      </w:r>
      <w:r>
        <w:rPr>
          <w:rFonts w:ascii="宋体" w:hAnsi="宋体" w:cs="宋体"/>
          <w:kern w:val="0"/>
          <w:sz w:val="24"/>
        </w:rPr>
        <w:t>了招标文件和所有相关资料，我方完全明白并认为此招标文件没有倾向性，也没有存在排斥潜在投标人的内容，我方同意招标文件的相关条款，放弃对招标文件提出误解和质疑的一切权</w:t>
      </w:r>
      <w:r>
        <w:rPr>
          <w:rFonts w:hint="eastAsia" w:ascii="宋体" w:hAnsi="宋体" w:cs="宋体"/>
          <w:kern w:val="0"/>
          <w:sz w:val="24"/>
        </w:rPr>
        <w:t>利。</w:t>
      </w:r>
    </w:p>
    <w:p>
      <w:pPr>
        <w:numPr>
          <w:ilvl w:val="255"/>
          <w:numId w:val="0"/>
        </w:numPr>
        <w:snapToGrid w:val="0"/>
        <w:spacing w:before="156" w:beforeLines="50" w:after="50" w:line="360" w:lineRule="auto"/>
        <w:ind w:firstLine="480" w:firstLineChars="200"/>
        <w:rPr>
          <w:rFonts w:ascii="宋体" w:hAnsi="宋体"/>
          <w:sz w:val="24"/>
        </w:rPr>
      </w:pPr>
      <w:r>
        <w:rPr>
          <w:rFonts w:hint="eastAsia" w:ascii="宋体" w:hAnsi="宋体"/>
          <w:sz w:val="24"/>
        </w:rPr>
        <w:t>3、我</w:t>
      </w:r>
      <w:r>
        <w:rPr>
          <w:rFonts w:hint="eastAsia" w:ascii="宋体" w:hAnsi="宋体" w:cs="FangSong_GB2312"/>
          <w:kern w:val="0"/>
          <w:sz w:val="24"/>
          <w:lang w:val="zh-CN"/>
        </w:rPr>
        <w:t>公司</w:t>
      </w:r>
      <w:r>
        <w:rPr>
          <w:rFonts w:hint="eastAsia" w:ascii="宋体" w:hAnsi="宋体"/>
          <w:sz w:val="24"/>
        </w:rPr>
        <w:t>不是采购人的附属机构；在获知本项目采购信息后，与采购人聘请的为此项目提供咨询服务的公司及其附属机构没有任何联系。</w:t>
      </w:r>
    </w:p>
    <w:p>
      <w:pPr>
        <w:snapToGrid w:val="0"/>
        <w:spacing w:before="156" w:beforeLines="50" w:after="50" w:line="360" w:lineRule="auto"/>
        <w:ind w:firstLine="480" w:firstLineChars="200"/>
        <w:rPr>
          <w:rFonts w:ascii="宋体" w:hAnsi="宋体"/>
          <w:kern w:val="0"/>
          <w:sz w:val="24"/>
          <w:lang w:val="af-ZA"/>
        </w:rPr>
      </w:pPr>
      <w:r>
        <w:rPr>
          <w:rFonts w:hint="eastAsia" w:ascii="宋体" w:hAnsi="宋体"/>
          <w:sz w:val="24"/>
        </w:rPr>
        <w:t>4、</w:t>
      </w:r>
      <w:r>
        <w:rPr>
          <w:rFonts w:hint="eastAsia" w:ascii="宋体" w:hAnsi="宋体" w:cs="宋体"/>
          <w:kern w:val="0"/>
          <w:sz w:val="24"/>
        </w:rPr>
        <w:t>我</w:t>
      </w:r>
      <w:r>
        <w:rPr>
          <w:rFonts w:hint="eastAsia" w:ascii="宋体" w:hAnsi="宋体" w:cs="FangSong_GB2312"/>
          <w:kern w:val="0"/>
          <w:sz w:val="24"/>
          <w:lang w:val="zh-CN"/>
        </w:rPr>
        <w:t>公司</w:t>
      </w:r>
      <w:r>
        <w:rPr>
          <w:rFonts w:hint="eastAsia" w:ascii="宋体" w:hAnsi="宋体" w:cs="宋体"/>
          <w:kern w:val="0"/>
          <w:sz w:val="24"/>
        </w:rPr>
        <w:t>保证，</w:t>
      </w:r>
      <w:r>
        <w:rPr>
          <w:rFonts w:hint="eastAsia" w:ascii="宋体" w:hAnsi="宋体"/>
          <w:kern w:val="0"/>
          <w:sz w:val="24"/>
          <w:lang w:val="af-ZA"/>
        </w:rPr>
        <w:t>采购人在中华人民共和国境内使用</w:t>
      </w:r>
      <w:r>
        <w:rPr>
          <w:rFonts w:hint="eastAsia" w:ascii="宋体" w:hAnsi="宋体" w:cs="宋体"/>
          <w:kern w:val="0"/>
          <w:sz w:val="24"/>
        </w:rPr>
        <w:t>我</w:t>
      </w:r>
      <w:r>
        <w:rPr>
          <w:rFonts w:hint="eastAsia" w:ascii="宋体" w:hAnsi="宋体" w:cs="FangSong_GB2312"/>
          <w:kern w:val="0"/>
          <w:sz w:val="24"/>
          <w:lang w:val="zh-CN"/>
        </w:rPr>
        <w:t>公司</w:t>
      </w:r>
      <w:r>
        <w:rPr>
          <w:rFonts w:hint="eastAsia" w:ascii="宋体" w:hAnsi="宋体"/>
          <w:kern w:val="0"/>
          <w:sz w:val="24"/>
          <w:lang w:val="af-ZA"/>
        </w:rPr>
        <w:t>投标货物、资料、技术、服务或其任何一部分时，享有不受限制的无偿使用权，如有第三方向采购人提出侵犯其专利权、商标权或其它知识产权的主张，该责任由</w:t>
      </w:r>
      <w:r>
        <w:rPr>
          <w:rFonts w:hint="eastAsia" w:ascii="宋体" w:hAnsi="宋体" w:cs="宋体"/>
          <w:kern w:val="0"/>
          <w:sz w:val="24"/>
          <w:lang w:val="af-ZA"/>
        </w:rPr>
        <w:t>我方</w:t>
      </w:r>
      <w:r>
        <w:rPr>
          <w:rFonts w:hint="eastAsia" w:ascii="宋体" w:hAnsi="宋体"/>
          <w:kern w:val="0"/>
          <w:sz w:val="24"/>
          <w:lang w:val="af-ZA"/>
        </w:rPr>
        <w:t>承担。</w:t>
      </w:r>
      <w:r>
        <w:rPr>
          <w:rFonts w:hint="eastAsia" w:ascii="宋体" w:hAnsi="宋体" w:cs="宋体"/>
          <w:kern w:val="0"/>
          <w:sz w:val="24"/>
          <w:lang w:val="af-ZA"/>
        </w:rPr>
        <w:t>我方的</w:t>
      </w:r>
      <w:r>
        <w:rPr>
          <w:rFonts w:hint="eastAsia" w:ascii="宋体" w:hAnsi="宋体"/>
          <w:kern w:val="0"/>
          <w:sz w:val="24"/>
          <w:lang w:val="af-ZA"/>
        </w:rPr>
        <w:t>投标报价</w:t>
      </w:r>
      <w:r>
        <w:rPr>
          <w:rFonts w:hint="eastAsia" w:ascii="宋体" w:hAnsi="宋体" w:cs="宋体"/>
          <w:kern w:val="0"/>
          <w:sz w:val="24"/>
          <w:lang w:val="af-ZA"/>
        </w:rPr>
        <w:t>已</w:t>
      </w:r>
      <w:r>
        <w:rPr>
          <w:rFonts w:hint="eastAsia" w:ascii="宋体" w:hAnsi="宋体"/>
          <w:kern w:val="0"/>
          <w:sz w:val="24"/>
          <w:lang w:val="af-ZA"/>
        </w:rPr>
        <w:t>包含所有应向所有权人支付的专利权、商标权或其它知识产权的一切相关费用。</w:t>
      </w:r>
    </w:p>
    <w:p>
      <w:pPr>
        <w:snapToGrid w:val="0"/>
        <w:spacing w:before="156" w:beforeLines="50" w:after="50" w:line="360" w:lineRule="auto"/>
        <w:ind w:firstLine="480" w:firstLineChars="200"/>
        <w:rPr>
          <w:rFonts w:ascii="FangSong_GB2312" w:hAnsi="FangSong_GB2312" w:eastAsia="FangSong_GB2312" w:cs="FangSong_GB2312"/>
          <w:sz w:val="24"/>
        </w:rPr>
      </w:pPr>
      <w:r>
        <w:rPr>
          <w:rFonts w:hint="eastAsia" w:ascii="宋体" w:hAnsi="宋体" w:cs="宋体"/>
          <w:kern w:val="0"/>
          <w:sz w:val="24"/>
          <w:lang w:val="af-ZA"/>
        </w:rPr>
        <w:t>5、我</w:t>
      </w:r>
      <w:r>
        <w:rPr>
          <w:rFonts w:hint="eastAsia" w:ascii="宋体" w:hAnsi="宋体" w:cs="宋体"/>
          <w:kern w:val="0"/>
          <w:sz w:val="24"/>
          <w:lang w:val="zh-CN"/>
        </w:rPr>
        <w:t>公司</w:t>
      </w:r>
      <w:r>
        <w:rPr>
          <w:rFonts w:hint="eastAsia" w:ascii="宋体" w:hAnsi="宋体" w:cs="宋体"/>
          <w:kern w:val="0"/>
          <w:sz w:val="24"/>
          <w:lang w:val="af-ZA"/>
        </w:rPr>
        <w:t>严格履行政府采购合同，不降低合同约定的产品质量和服务，不擅自变更、中止、终止合同，或拒绝履行合同义务；</w:t>
      </w:r>
    </w:p>
    <w:p>
      <w:pPr>
        <w:snapToGrid w:val="0"/>
        <w:spacing w:before="156" w:beforeLines="50" w:after="50" w:line="360" w:lineRule="auto"/>
        <w:ind w:firstLine="480" w:firstLineChars="200"/>
        <w:rPr>
          <w:rFonts w:ascii="宋体" w:hAnsi="宋体"/>
          <w:sz w:val="24"/>
        </w:rPr>
      </w:pPr>
      <w:r>
        <w:rPr>
          <w:rFonts w:hint="eastAsia" w:ascii="宋体" w:hAnsi="宋体"/>
          <w:sz w:val="24"/>
        </w:rPr>
        <w:t>6、以上事项如有虚假或隐瞒，我</w:t>
      </w:r>
      <w:r>
        <w:rPr>
          <w:rFonts w:hint="eastAsia" w:ascii="宋体" w:hAnsi="宋体" w:cs="FangSong_GB2312"/>
          <w:kern w:val="0"/>
          <w:sz w:val="24"/>
          <w:lang w:val="zh-CN"/>
        </w:rPr>
        <w:t>公司</w:t>
      </w:r>
      <w:r>
        <w:rPr>
          <w:rFonts w:hint="eastAsia" w:ascii="宋体" w:hAnsi="宋体"/>
          <w:sz w:val="24"/>
        </w:rPr>
        <w:t>愿意承担一切后果，并不再寻求任何旨在减轻或免除法律责任的辩解。</w:t>
      </w:r>
    </w:p>
    <w:p>
      <w:pPr>
        <w:adjustRightInd w:val="0"/>
        <w:snapToGrid w:val="0"/>
        <w:spacing w:line="360" w:lineRule="auto"/>
        <w:ind w:firstLine="480"/>
        <w:rPr>
          <w:rFonts w:ascii="宋体" w:hAnsi="宋体" w:cs="FangSong_GB2312"/>
          <w:kern w:val="0"/>
          <w:sz w:val="24"/>
        </w:rPr>
      </w:pPr>
    </w:p>
    <w:p>
      <w:pPr>
        <w:adjustRightInd w:val="0"/>
        <w:snapToGrid w:val="0"/>
        <w:spacing w:line="360" w:lineRule="auto"/>
        <w:ind w:firstLine="4680" w:firstLineChars="1950"/>
        <w:rPr>
          <w:rFonts w:ascii="宋体" w:hAnsi="宋体" w:cs="FangSong_GB2312"/>
          <w:kern w:val="0"/>
          <w:sz w:val="24"/>
          <w:lang w:val="zh-CN"/>
        </w:rPr>
      </w:pPr>
      <w:r>
        <w:rPr>
          <w:rFonts w:hint="eastAsia" w:ascii="宋体" w:hAnsi="宋体" w:cs="FangSong_GB2312"/>
          <w:kern w:val="0"/>
          <w:sz w:val="24"/>
          <w:lang w:val="zh-CN"/>
        </w:rPr>
        <w:t xml:space="preserve">    投标人名称(电子印章)：</w:t>
      </w:r>
    </w:p>
    <w:p>
      <w:pPr>
        <w:adjustRightInd w:val="0"/>
        <w:snapToGrid w:val="0"/>
        <w:spacing w:line="360" w:lineRule="auto"/>
        <w:rPr>
          <w:rFonts w:ascii="宋体" w:hAnsi="宋体" w:cs="FangSong_GB2312"/>
          <w:kern w:val="0"/>
          <w:sz w:val="24"/>
          <w:lang w:val="zh-CN"/>
        </w:rPr>
      </w:pPr>
      <w:r>
        <w:rPr>
          <w:rFonts w:hint="eastAsia" w:ascii="宋体" w:hAnsi="宋体" w:cs="FangSong_GB2312"/>
          <w:kern w:val="0"/>
          <w:sz w:val="24"/>
          <w:lang w:val="zh-CN"/>
        </w:rPr>
        <w:t xml:space="preserve">                                       法定代表人或授权委托人(签字)：</w:t>
      </w:r>
    </w:p>
    <w:p>
      <w:pPr>
        <w:adjustRightInd w:val="0"/>
        <w:snapToGrid w:val="0"/>
        <w:spacing w:line="360" w:lineRule="auto"/>
        <w:ind w:right="480"/>
        <w:jc w:val="center"/>
        <w:rPr>
          <w:rFonts w:ascii="宋体" w:hAnsi="宋体" w:cs="FangSong_GB2312"/>
          <w:kern w:val="0"/>
          <w:sz w:val="24"/>
          <w:lang w:val="zh-CN"/>
        </w:rPr>
      </w:pPr>
      <w:r>
        <w:rPr>
          <w:rFonts w:hint="eastAsia" w:ascii="宋体" w:hAnsi="宋体" w:cs="FangSong_GB2312"/>
          <w:kern w:val="0"/>
          <w:sz w:val="24"/>
          <w:lang w:val="zh-CN"/>
        </w:rPr>
        <w:t xml:space="preserve">                                  日期：</w:t>
      </w:r>
      <w:r>
        <w:rPr>
          <w:rFonts w:hint="eastAsia" w:ascii="宋体" w:hAnsi="宋体" w:cstheme="minorBidi"/>
          <w:sz w:val="24"/>
        </w:rPr>
        <w:t>××</w:t>
      </w:r>
      <w:r>
        <w:rPr>
          <w:rFonts w:hint="eastAsia" w:ascii="宋体" w:hAnsi="宋体" w:cs="FangSong_GB2312"/>
          <w:kern w:val="0"/>
          <w:sz w:val="24"/>
          <w:lang w:val="zh-CN"/>
        </w:rPr>
        <w:t xml:space="preserve">年 </w:t>
      </w:r>
      <w:r>
        <w:rPr>
          <w:rFonts w:hint="eastAsia" w:ascii="宋体" w:hAnsi="宋体" w:cstheme="minorBidi"/>
          <w:sz w:val="24"/>
        </w:rPr>
        <w:t>××</w:t>
      </w:r>
      <w:r>
        <w:rPr>
          <w:rFonts w:hint="eastAsia" w:ascii="宋体" w:hAnsi="宋体" w:cs="FangSong_GB2312"/>
          <w:kern w:val="0"/>
          <w:sz w:val="24"/>
          <w:lang w:val="zh-CN"/>
        </w:rPr>
        <w:t xml:space="preserve"> 月 </w:t>
      </w:r>
      <w:r>
        <w:rPr>
          <w:rFonts w:hint="eastAsia" w:ascii="宋体" w:hAnsi="宋体" w:cstheme="minorBidi"/>
          <w:sz w:val="24"/>
        </w:rPr>
        <w:t>××</w:t>
      </w:r>
      <w:r>
        <w:rPr>
          <w:rFonts w:hint="eastAsia" w:ascii="宋体" w:hAnsi="宋体" w:cs="FangSong_GB2312"/>
          <w:kern w:val="0"/>
          <w:sz w:val="24"/>
          <w:lang w:val="zh-CN"/>
        </w:rPr>
        <w:t xml:space="preserve"> 日</w:t>
      </w: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hAnsi="宋体"/>
          <w:b/>
          <w:sz w:val="28"/>
        </w:rPr>
      </w:pPr>
    </w:p>
    <w:p>
      <w:pPr>
        <w:adjustRightInd w:val="0"/>
        <w:snapToGrid w:val="0"/>
        <w:spacing w:line="360" w:lineRule="auto"/>
        <w:ind w:right="480"/>
        <w:rPr>
          <w:rFonts w:ascii="宋体"/>
          <w:b/>
          <w:sz w:val="30"/>
          <w:szCs w:val="30"/>
        </w:rPr>
      </w:pPr>
      <w:r>
        <w:rPr>
          <w:rFonts w:hint="eastAsia" w:ascii="宋体" w:hAnsi="宋体"/>
          <w:b/>
          <w:sz w:val="28"/>
        </w:rPr>
        <w:t>附件3</w:t>
      </w:r>
    </w:p>
    <w:p>
      <w:pPr>
        <w:spacing w:line="360" w:lineRule="auto"/>
        <w:ind w:firstLine="321" w:firstLineChars="100"/>
        <w:jc w:val="center"/>
        <w:rPr>
          <w:rFonts w:hAnsi="宋体"/>
          <w:b/>
          <w:sz w:val="32"/>
          <w:szCs w:val="32"/>
          <w:u w:val="single"/>
        </w:rPr>
      </w:pPr>
      <w:r>
        <w:rPr>
          <w:b/>
          <w:sz w:val="32"/>
          <w:szCs w:val="32"/>
        </w:rPr>
        <w:t>授权</w:t>
      </w:r>
      <w:r>
        <w:rPr>
          <w:rFonts w:hint="eastAsia"/>
          <w:b/>
          <w:sz w:val="32"/>
          <w:szCs w:val="32"/>
        </w:rPr>
        <w:t>委托</w:t>
      </w:r>
      <w:r>
        <w:rPr>
          <w:b/>
          <w:sz w:val="32"/>
          <w:szCs w:val="32"/>
        </w:rPr>
        <w:t>书</w:t>
      </w:r>
    </w:p>
    <w:p>
      <w:pPr>
        <w:snapToGrid w:val="0"/>
        <w:spacing w:before="156" w:beforeLines="50" w:after="50" w:line="360" w:lineRule="auto"/>
        <w:ind w:firstLine="480" w:firstLineChars="200"/>
        <w:rPr>
          <w:rFonts w:ascii="宋体" w:hAnsi="宋体" w:cs="宋体"/>
          <w:kern w:val="0"/>
          <w:sz w:val="24"/>
        </w:rPr>
      </w:pPr>
      <w:r>
        <w:rPr>
          <w:rFonts w:hint="eastAsia" w:ascii="宋体" w:hAnsi="宋体" w:cstheme="minorBidi"/>
          <w:sz w:val="24"/>
          <w:u w:val="single"/>
        </w:rPr>
        <w:t>××</w:t>
      </w:r>
      <w:r>
        <w:rPr>
          <w:rFonts w:hint="eastAsia" w:ascii="宋体" w:hAnsi="宋体" w:cs="宋体"/>
          <w:kern w:val="0"/>
          <w:sz w:val="24"/>
        </w:rPr>
        <w:t>（集</w:t>
      </w:r>
      <w:r>
        <w:rPr>
          <w:rFonts w:hint="eastAsia" w:hAnsi="宋体" w:cs="宋体"/>
          <w:kern w:val="0"/>
          <w:sz w:val="24"/>
        </w:rPr>
        <w:t>中</w:t>
      </w:r>
      <w:r>
        <w:rPr>
          <w:rFonts w:hint="eastAsia" w:ascii="宋体" w:hAnsi="宋体" w:cs="宋体"/>
          <w:kern w:val="0"/>
          <w:sz w:val="24"/>
        </w:rPr>
        <w:t>采</w:t>
      </w:r>
      <w:r>
        <w:rPr>
          <w:rFonts w:hint="eastAsia" w:hAnsi="宋体" w:cs="宋体"/>
          <w:kern w:val="0"/>
          <w:sz w:val="24"/>
        </w:rPr>
        <w:t>构</w:t>
      </w:r>
      <w:r>
        <w:rPr>
          <w:rFonts w:hint="eastAsia" w:ascii="宋体" w:hAnsi="宋体" w:cs="宋体"/>
          <w:kern w:val="0"/>
          <w:sz w:val="24"/>
        </w:rPr>
        <w:t>机构/采购代理机构名称）：</w:t>
      </w:r>
    </w:p>
    <w:p>
      <w:pPr>
        <w:pStyle w:val="13"/>
        <w:spacing w:line="500" w:lineRule="exact"/>
        <w:ind w:left="240" w:hanging="240" w:hangingChars="100"/>
        <w:rPr>
          <w:rFonts w:hAnsi="宋体"/>
          <w:sz w:val="24"/>
        </w:rPr>
      </w:pPr>
      <w:r>
        <w:rPr>
          <w:rFonts w:hAnsi="宋体"/>
          <w:sz w:val="24"/>
        </w:rPr>
        <w:t xml:space="preserve">    </w:t>
      </w:r>
      <w:r>
        <w:rPr>
          <w:rFonts w:hAnsi="宋体"/>
          <w:sz w:val="24"/>
          <w:u w:val="single"/>
        </w:rPr>
        <w:t xml:space="preserve">  （投标人全称）  </w:t>
      </w:r>
      <w:r>
        <w:rPr>
          <w:rFonts w:hAnsi="宋体"/>
          <w:sz w:val="24"/>
        </w:rPr>
        <w:t>法定代表人</w:t>
      </w:r>
      <w:r>
        <w:rPr>
          <w:rFonts w:hint="eastAsia" w:ascii="Arial" w:hAnsi="Arial" w:cs="Arial"/>
          <w:sz w:val="24"/>
        </w:rPr>
        <w:t>（或营业执照中单位负责人）</w:t>
      </w:r>
      <w:r>
        <w:rPr>
          <w:rFonts w:hAnsi="宋体"/>
          <w:sz w:val="24"/>
          <w:u w:val="single"/>
        </w:rPr>
        <w:tab/>
      </w:r>
      <w:r>
        <w:rPr>
          <w:rFonts w:hAnsi="宋体"/>
          <w:sz w:val="24"/>
          <w:u w:val="single"/>
        </w:rPr>
        <w:t>（法定代表</w:t>
      </w:r>
      <w:r>
        <w:rPr>
          <w:rFonts w:hint="eastAsia" w:hAnsi="宋体"/>
          <w:sz w:val="24"/>
          <w:u w:val="single"/>
        </w:rPr>
        <w:t>人</w:t>
      </w:r>
      <w:r>
        <w:rPr>
          <w:rFonts w:hint="eastAsia" w:ascii="Arial" w:hAnsi="Arial" w:cs="Arial"/>
          <w:sz w:val="24"/>
          <w:u w:val="single"/>
        </w:rPr>
        <w:t>或营业执照中单位负责人</w:t>
      </w:r>
      <w:r>
        <w:rPr>
          <w:rFonts w:hAnsi="宋体"/>
          <w:sz w:val="24"/>
          <w:u w:val="single"/>
        </w:rPr>
        <w:t xml:space="preserve">姓名） </w:t>
      </w:r>
      <w:r>
        <w:rPr>
          <w:rFonts w:hAnsi="宋体"/>
          <w:sz w:val="24"/>
        </w:rPr>
        <w:t>授权</w:t>
      </w:r>
      <w:r>
        <w:rPr>
          <w:rFonts w:hint="eastAsia" w:hAnsi="宋体"/>
          <w:sz w:val="24"/>
          <w:u w:val="single"/>
        </w:rPr>
        <w:t xml:space="preserve">   （全权代表</w:t>
      </w:r>
      <w:r>
        <w:rPr>
          <w:rFonts w:hAnsi="宋体"/>
          <w:sz w:val="24"/>
          <w:u w:val="single"/>
        </w:rPr>
        <w:t>姓名</w:t>
      </w:r>
      <w:r>
        <w:rPr>
          <w:rFonts w:hint="eastAsia" w:hAnsi="宋体"/>
          <w:sz w:val="24"/>
          <w:u w:val="single"/>
        </w:rPr>
        <w:t xml:space="preserve">） </w:t>
      </w:r>
      <w:r>
        <w:rPr>
          <w:rFonts w:hAnsi="宋体"/>
          <w:sz w:val="24"/>
        </w:rPr>
        <w:t>为</w:t>
      </w:r>
      <w:r>
        <w:rPr>
          <w:rFonts w:hint="eastAsia" w:hAnsi="宋体"/>
          <w:sz w:val="24"/>
        </w:rPr>
        <w:t>全权代表</w:t>
      </w:r>
      <w:r>
        <w:rPr>
          <w:rFonts w:hAnsi="宋体"/>
          <w:sz w:val="24"/>
        </w:rPr>
        <w:t>，参加贵单位组织的</w:t>
      </w:r>
      <w:r>
        <w:rPr>
          <w:rFonts w:hAnsi="宋体"/>
          <w:sz w:val="24"/>
          <w:u w:val="single"/>
        </w:rPr>
        <w:tab/>
      </w:r>
      <w:r>
        <w:rPr>
          <w:rFonts w:hint="eastAsia" w:hAnsi="宋体"/>
          <w:sz w:val="24"/>
          <w:u w:val="single"/>
        </w:rPr>
        <w:t xml:space="preserve">    </w:t>
      </w:r>
      <w:r>
        <w:rPr>
          <w:rFonts w:hAnsi="宋体"/>
          <w:sz w:val="24"/>
        </w:rPr>
        <w:t>项目的采购活动，并代表我方全权办理针对上述项目的投标、开标、评标、签约等具体事务和签署相关文件。</w:t>
      </w:r>
      <w:r>
        <w:rPr>
          <w:rFonts w:hint="eastAsia" w:hAnsi="宋体"/>
          <w:sz w:val="24"/>
        </w:rPr>
        <w:t>我方对全权代表的签字事项负全部责任。</w:t>
      </w:r>
    </w:p>
    <w:p>
      <w:pPr>
        <w:pStyle w:val="13"/>
        <w:spacing w:line="500" w:lineRule="exact"/>
        <w:ind w:left="139" w:leftChars="66" w:firstLine="480" w:firstLineChars="200"/>
        <w:rPr>
          <w:rFonts w:hAnsi="宋体"/>
          <w:sz w:val="24"/>
        </w:rPr>
      </w:pPr>
      <w:r>
        <w:rPr>
          <w:rFonts w:hint="eastAsia" w:hAnsi="宋体"/>
          <w:sz w:val="24"/>
        </w:rPr>
        <w:t>在撤销授权的书面通知以前，本授权书一直有效。全权代表在授权委托书有效期内签署的所有文件不因授权的撤销而失效。</w:t>
      </w:r>
    </w:p>
    <w:p>
      <w:pPr>
        <w:pStyle w:val="13"/>
        <w:spacing w:line="500" w:lineRule="exact"/>
        <w:ind w:left="139" w:leftChars="66" w:firstLine="480" w:firstLineChars="200"/>
        <w:rPr>
          <w:rFonts w:hAnsi="宋体"/>
          <w:sz w:val="24"/>
        </w:rPr>
      </w:pPr>
      <w:r>
        <w:rPr>
          <w:rFonts w:hint="eastAsia" w:hAnsi="宋体"/>
          <w:sz w:val="24"/>
        </w:rPr>
        <w:t>全权代表无转委托权，特此委托。</w:t>
      </w:r>
    </w:p>
    <w:p>
      <w:pPr>
        <w:spacing w:line="360" w:lineRule="auto"/>
        <w:rPr>
          <w:sz w:val="24"/>
        </w:rPr>
      </w:pPr>
    </w:p>
    <w:p>
      <w:pPr>
        <w:spacing w:line="360" w:lineRule="auto"/>
        <w:rPr>
          <w:sz w:val="24"/>
        </w:rPr>
      </w:pPr>
      <w:r>
        <w:rPr>
          <w:rFonts w:hint="eastAsia" w:ascii="宋体"/>
          <w:sz w:val="24"/>
        </w:rPr>
        <w:t>法定代表人签字或盖章：</w:t>
      </w:r>
    </w:p>
    <w:p>
      <w:pPr>
        <w:spacing w:line="360" w:lineRule="auto"/>
        <w:rPr>
          <w:sz w:val="24"/>
        </w:rPr>
      </w:pPr>
      <w:r>
        <w:rPr>
          <w:rFonts w:hint="eastAsia" w:ascii="宋体"/>
          <w:sz w:val="24"/>
        </w:rPr>
        <w:t>投标人全称（电子印章）：                              日期：</w:t>
      </w:r>
    </w:p>
    <w:p>
      <w:pPr>
        <w:spacing w:line="360" w:lineRule="auto"/>
        <w:rPr>
          <w:sz w:val="24"/>
        </w:rPr>
      </w:pPr>
    </w:p>
    <w:p>
      <w:pPr>
        <w:spacing w:line="360" w:lineRule="auto"/>
        <w:rPr>
          <w:b/>
          <w:sz w:val="24"/>
        </w:rPr>
      </w:pPr>
      <w:r>
        <w:rPr>
          <w:rFonts w:hint="eastAsia" w:ascii="宋体"/>
          <w:b/>
          <w:sz w:val="24"/>
        </w:rPr>
        <w:t>附：</w:t>
      </w: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法定代表身份证复印件粘帖处</w:t>
            </w:r>
          </w:p>
        </w:tc>
      </w:tr>
    </w:tbl>
    <w:p>
      <w:pPr>
        <w:spacing w:line="360" w:lineRule="auto"/>
        <w:rPr>
          <w:sz w:val="24"/>
        </w:rPr>
      </w:pPr>
      <w:r>
        <w:rPr>
          <w:rFonts w:hint="eastAsia" w:ascii="宋体"/>
          <w:sz w:val="24"/>
        </w:rPr>
        <w:t xml:space="preserve">法定代表人姓名：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pacing w:line="360" w:lineRule="auto"/>
        <w:rPr>
          <w:b/>
          <w:sz w:val="24"/>
        </w:rPr>
      </w:pPr>
    </w:p>
    <w:tbl>
      <w:tblPr>
        <w:tblStyle w:val="23"/>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20" w:hRule="atLeast"/>
        </w:trPr>
        <w:tc>
          <w:tcPr>
            <w:tcW w:w="4080" w:type="dxa"/>
          </w:tcPr>
          <w:p>
            <w:pPr>
              <w:spacing w:line="360" w:lineRule="auto"/>
              <w:rPr>
                <w:rFonts w:ascii="宋体"/>
                <w:b/>
                <w:sz w:val="24"/>
              </w:rPr>
            </w:pPr>
          </w:p>
          <w:p>
            <w:pPr>
              <w:spacing w:line="360" w:lineRule="auto"/>
              <w:ind w:firstLine="361" w:firstLineChars="150"/>
              <w:rPr>
                <w:rFonts w:ascii="宋体"/>
                <w:b/>
                <w:sz w:val="24"/>
              </w:rPr>
            </w:pPr>
            <w:r>
              <w:rPr>
                <w:rFonts w:hint="eastAsia" w:ascii="宋体"/>
                <w:b/>
                <w:sz w:val="24"/>
              </w:rPr>
              <w:t>全权代表身份证复印件粘帖处</w:t>
            </w:r>
          </w:p>
        </w:tc>
      </w:tr>
    </w:tbl>
    <w:p>
      <w:pPr>
        <w:spacing w:line="360" w:lineRule="auto"/>
        <w:rPr>
          <w:rFonts w:ascii="宋体"/>
          <w:sz w:val="24"/>
        </w:rPr>
      </w:pPr>
      <w:r>
        <w:rPr>
          <w:rFonts w:hint="eastAsia" w:ascii="宋体"/>
          <w:sz w:val="24"/>
        </w:rPr>
        <w:t xml:space="preserve">全权代表姓名：       </w:t>
      </w:r>
    </w:p>
    <w:p>
      <w:pPr>
        <w:spacing w:line="360" w:lineRule="auto"/>
        <w:rPr>
          <w:sz w:val="24"/>
        </w:rPr>
      </w:pPr>
      <w:r>
        <w:rPr>
          <w:rFonts w:hint="eastAsia" w:ascii="宋体"/>
          <w:sz w:val="24"/>
        </w:rPr>
        <w:t xml:space="preserve">职务：                           </w:t>
      </w:r>
    </w:p>
    <w:p>
      <w:pPr>
        <w:spacing w:line="360" w:lineRule="auto"/>
        <w:rPr>
          <w:sz w:val="24"/>
        </w:rPr>
      </w:pPr>
      <w:r>
        <w:rPr>
          <w:rFonts w:hint="eastAsia" w:ascii="宋体"/>
          <w:sz w:val="24"/>
        </w:rPr>
        <w:t>传真：</w:t>
      </w:r>
    </w:p>
    <w:p>
      <w:pPr>
        <w:spacing w:line="360" w:lineRule="auto"/>
        <w:rPr>
          <w:rFonts w:ascii="宋体"/>
          <w:sz w:val="24"/>
        </w:rPr>
      </w:pPr>
      <w:r>
        <w:rPr>
          <w:rFonts w:hint="eastAsia" w:ascii="宋体"/>
          <w:sz w:val="24"/>
        </w:rPr>
        <w:t>电话：</w:t>
      </w:r>
    </w:p>
    <w:p>
      <w:pPr>
        <w:spacing w:line="360" w:lineRule="auto"/>
        <w:rPr>
          <w:sz w:val="24"/>
        </w:rPr>
      </w:pPr>
      <w:r>
        <w:rPr>
          <w:rFonts w:hint="eastAsia" w:ascii="宋体"/>
          <w:sz w:val="24"/>
        </w:rPr>
        <w:t>详细通讯地址：</w:t>
      </w:r>
    </w:p>
    <w:p>
      <w:pPr>
        <w:spacing w:line="360" w:lineRule="auto"/>
        <w:rPr>
          <w:rFonts w:ascii="宋体"/>
          <w:sz w:val="24"/>
        </w:rPr>
      </w:pPr>
      <w:r>
        <w:rPr>
          <w:rFonts w:hint="eastAsia" w:ascii="宋体"/>
          <w:sz w:val="24"/>
        </w:rPr>
        <w:t>邮政编码：</w:t>
      </w:r>
    </w:p>
    <w:p>
      <w:pPr>
        <w:snapToGrid w:val="0"/>
        <w:spacing w:before="156" w:beforeLines="50" w:after="50" w:line="360" w:lineRule="auto"/>
        <w:rPr>
          <w:rFonts w:ascii="FangSong_GB2312" w:hAnsi="宋体" w:eastAsia="FangSong_GB2312"/>
          <w:b/>
          <w:sz w:val="30"/>
          <w:szCs w:val="30"/>
        </w:rPr>
      </w:pPr>
      <w:r>
        <w:rPr>
          <w:rFonts w:hint="eastAsia" w:ascii="宋体" w:hAnsi="宋体"/>
          <w:b/>
          <w:sz w:val="28"/>
        </w:rPr>
        <w:t>附件4：</w:t>
      </w:r>
    </w:p>
    <w:p>
      <w:pPr>
        <w:snapToGrid w:val="0"/>
        <w:spacing w:before="156" w:beforeLines="50" w:after="50" w:line="360" w:lineRule="auto"/>
        <w:jc w:val="right"/>
        <w:rPr>
          <w:rFonts w:ascii="FangSong_GB2312" w:hAnsi="宋体" w:eastAsia="FangSong_GB2312"/>
          <w:bCs/>
          <w:sz w:val="30"/>
          <w:szCs w:val="30"/>
        </w:rPr>
      </w:pP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312" w:beforeLines="100" w:line="360" w:lineRule="auto"/>
        <w:ind w:right="-108"/>
        <w:jc w:val="center"/>
        <w:rPr>
          <w:rFonts w:ascii="宋体" w:hAnsi="宋体"/>
          <w:sz w:val="36"/>
          <w:szCs w:val="36"/>
        </w:rPr>
      </w:pPr>
      <w:r>
        <w:rPr>
          <w:rFonts w:hint="eastAsia" w:ascii="宋体" w:hAnsi="宋体"/>
          <w:sz w:val="36"/>
          <w:szCs w:val="36"/>
        </w:rPr>
        <w:t>项目编号：（标段）</w:t>
      </w:r>
    </w:p>
    <w:p>
      <w:pPr>
        <w:autoSpaceDE w:val="0"/>
        <w:autoSpaceDN w:val="0"/>
        <w:adjustRightInd w:val="0"/>
        <w:spacing w:line="360" w:lineRule="auto"/>
        <w:jc w:val="center"/>
        <w:rPr>
          <w:rFonts w:ascii="宋体" w:hAnsi="宋体" w:cs="宋体"/>
          <w:sz w:val="84"/>
          <w:szCs w:val="84"/>
          <w:lang w:val="zh-CN"/>
        </w:rPr>
      </w:pP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投</w:t>
      </w:r>
    </w:p>
    <w:p>
      <w:pPr>
        <w:autoSpaceDE w:val="0"/>
        <w:autoSpaceDN w:val="0"/>
        <w:adjustRightInd w:val="0"/>
        <w:spacing w:line="360" w:lineRule="auto"/>
        <w:jc w:val="center"/>
        <w:rPr>
          <w:rFonts w:ascii="宋体" w:hAnsi="宋体" w:cs="宋体"/>
          <w:sz w:val="84"/>
          <w:szCs w:val="84"/>
          <w:lang w:val="zh-CN"/>
        </w:rPr>
      </w:pPr>
      <w:r>
        <w:rPr>
          <w:rFonts w:hint="eastAsia" w:ascii="宋体" w:hAnsi="宋体" w:cs="宋体"/>
          <w:sz w:val="84"/>
          <w:szCs w:val="84"/>
          <w:lang w:val="zh-CN"/>
        </w:rPr>
        <w:t>标</w:t>
      </w:r>
    </w:p>
    <w:p>
      <w:pPr>
        <w:autoSpaceDE w:val="0"/>
        <w:autoSpaceDN w:val="0"/>
        <w:adjustRightInd w:val="0"/>
        <w:spacing w:line="360" w:lineRule="auto"/>
        <w:jc w:val="center"/>
        <w:rPr>
          <w:rFonts w:ascii="宋体" w:hAnsi="宋体"/>
          <w:sz w:val="84"/>
          <w:szCs w:val="84"/>
        </w:rPr>
      </w:pPr>
      <w:r>
        <w:rPr>
          <w:rFonts w:hint="eastAsia" w:ascii="宋体" w:hAnsi="宋体" w:cs="宋体"/>
          <w:sz w:val="84"/>
          <w:szCs w:val="84"/>
          <w:lang w:val="zh-CN"/>
        </w:rPr>
        <w:t>文</w:t>
      </w:r>
    </w:p>
    <w:p>
      <w:pPr>
        <w:spacing w:after="100" w:afterAutospacing="1" w:line="360" w:lineRule="auto"/>
        <w:ind w:right="-108"/>
        <w:jc w:val="center"/>
        <w:rPr>
          <w:rFonts w:ascii="宋体" w:hAnsi="宋体" w:cs="宋体"/>
          <w:sz w:val="84"/>
          <w:szCs w:val="84"/>
          <w:lang w:val="zh-CN"/>
        </w:rPr>
      </w:pPr>
      <w:r>
        <w:rPr>
          <w:rFonts w:hint="eastAsia" w:ascii="宋体" w:hAnsi="宋体" w:cs="宋体"/>
          <w:sz w:val="84"/>
          <w:szCs w:val="84"/>
          <w:lang w:val="zh-CN"/>
        </w:rPr>
        <w:t>件</w:t>
      </w:r>
    </w:p>
    <w:p>
      <w:pPr>
        <w:spacing w:after="100" w:afterAutospacing="1" w:line="360" w:lineRule="auto"/>
        <w:ind w:right="-108"/>
        <w:jc w:val="center"/>
        <w:rPr>
          <w:rFonts w:ascii="宋体" w:hAnsi="宋体"/>
          <w:b/>
          <w:spacing w:val="40"/>
          <w:sz w:val="28"/>
          <w:szCs w:val="28"/>
        </w:rPr>
      </w:pPr>
      <w:r>
        <w:rPr>
          <w:rFonts w:hint="eastAsia" w:ascii="宋体" w:hAnsi="宋体" w:cs="宋体"/>
          <w:sz w:val="28"/>
          <w:szCs w:val="28"/>
          <w:lang w:val="zh-CN"/>
        </w:rPr>
        <w:t>（</w:t>
      </w:r>
      <w:r>
        <w:rPr>
          <w:rFonts w:hint="eastAsia" w:ascii="宋体" w:hAnsi="宋体"/>
          <w:bCs/>
          <w:sz w:val="24"/>
          <w:lang w:val="zh-CN"/>
        </w:rPr>
        <w:t>商务与技术文件</w:t>
      </w:r>
      <w:r>
        <w:rPr>
          <w:rFonts w:hint="eastAsia" w:ascii="宋体" w:hAnsi="宋体"/>
          <w:b/>
          <w:spacing w:val="40"/>
          <w:sz w:val="28"/>
          <w:szCs w:val="28"/>
        </w:rPr>
        <w:t>）</w:t>
      </w:r>
    </w:p>
    <w:p>
      <w:pPr>
        <w:spacing w:line="360" w:lineRule="auto"/>
        <w:ind w:right="532" w:firstLine="720" w:firstLineChars="200"/>
        <w:rPr>
          <w:rFonts w:ascii="宋体" w:hAnsi="宋体"/>
          <w:sz w:val="36"/>
          <w:szCs w:val="36"/>
        </w:rPr>
      </w:pPr>
      <w:r>
        <w:rPr>
          <w:rFonts w:hint="eastAsia" w:ascii="宋体" w:hAnsi="宋体"/>
          <w:sz w:val="36"/>
          <w:szCs w:val="36"/>
        </w:rPr>
        <w:t>投标人全称（电子印章）：</w:t>
      </w:r>
    </w:p>
    <w:p>
      <w:pPr>
        <w:spacing w:line="360" w:lineRule="auto"/>
        <w:ind w:right="532" w:firstLine="720" w:firstLineChars="200"/>
        <w:rPr>
          <w:rFonts w:ascii="宋体" w:hAnsi="宋体"/>
          <w:sz w:val="36"/>
          <w:szCs w:val="36"/>
        </w:rPr>
      </w:pPr>
      <w:r>
        <w:rPr>
          <w:rFonts w:hint="eastAsia" w:ascii="宋体" w:hAnsi="宋体"/>
          <w:sz w:val="36"/>
          <w:szCs w:val="36"/>
        </w:rPr>
        <w:t>地    址：</w:t>
      </w:r>
    </w:p>
    <w:p>
      <w:pPr>
        <w:spacing w:line="360" w:lineRule="auto"/>
        <w:ind w:right="532" w:firstLine="720" w:firstLineChars="200"/>
        <w:rPr>
          <w:rFonts w:ascii="宋体" w:hAnsi="宋体"/>
          <w:sz w:val="36"/>
          <w:szCs w:val="36"/>
        </w:rPr>
      </w:pPr>
      <w:r>
        <w:rPr>
          <w:rFonts w:hint="eastAsia" w:ascii="宋体" w:hAnsi="宋体"/>
          <w:sz w:val="36"/>
          <w:szCs w:val="36"/>
        </w:rPr>
        <w:t>时    间：</w:t>
      </w:r>
    </w:p>
    <w:p>
      <w:pPr>
        <w:spacing w:line="360" w:lineRule="auto"/>
        <w:ind w:right="532" w:firstLine="720" w:firstLineChars="200"/>
        <w:rPr>
          <w:rFonts w:ascii="宋体" w:hAnsi="宋体"/>
          <w:sz w:val="36"/>
          <w:szCs w:val="36"/>
        </w:rPr>
      </w:pPr>
    </w:p>
    <w:p>
      <w:pPr>
        <w:snapToGrid w:val="0"/>
        <w:spacing w:before="50" w:after="50" w:line="360" w:lineRule="auto"/>
        <w:rPr>
          <w:rFonts w:ascii="FangSong_GB2312" w:hAnsi="宋体" w:eastAsia="FangSong_GB2312"/>
          <w:b/>
          <w:sz w:val="36"/>
          <w:szCs w:val="36"/>
        </w:rPr>
      </w:pPr>
    </w:p>
    <w:p>
      <w:pPr>
        <w:rPr>
          <w:rFonts w:ascii="宋体" w:hAnsi="宋体"/>
          <w:b/>
          <w:bCs/>
          <w:sz w:val="32"/>
          <w:szCs w:val="32"/>
          <w:lang w:val="zh-CN"/>
        </w:rPr>
      </w:pPr>
      <w:r>
        <w:rPr>
          <w:rFonts w:hint="eastAsia" w:ascii="宋体" w:hAnsi="宋体"/>
          <w:b/>
          <w:bCs/>
          <w:sz w:val="32"/>
          <w:szCs w:val="32"/>
          <w:lang w:val="zh-CN"/>
        </w:rPr>
        <w:br w:type="page"/>
      </w:r>
    </w:p>
    <w:p>
      <w:pPr>
        <w:snapToGrid w:val="0"/>
        <w:spacing w:before="50" w:after="50" w:line="360" w:lineRule="auto"/>
        <w:jc w:val="center"/>
        <w:rPr>
          <w:rFonts w:ascii="宋体" w:hAnsi="宋体"/>
          <w:b/>
          <w:bCs/>
          <w:color w:val="000000" w:themeColor="text1"/>
          <w:sz w:val="32"/>
          <w:szCs w:val="32"/>
          <w14:textFill>
            <w14:solidFill>
              <w14:schemeClr w14:val="tx1"/>
            </w14:solidFill>
          </w14:textFill>
        </w:rPr>
      </w:pPr>
      <w:r>
        <w:rPr>
          <w:rFonts w:hint="eastAsia" w:ascii="宋体" w:hAnsi="宋体"/>
          <w:b/>
          <w:bCs/>
          <w:color w:val="000000" w:themeColor="text1"/>
          <w:sz w:val="32"/>
          <w:szCs w:val="32"/>
          <w:lang w:val="zh-CN"/>
          <w14:textFill>
            <w14:solidFill>
              <w14:schemeClr w14:val="tx1"/>
            </w14:solidFill>
          </w14:textFill>
        </w:rPr>
        <w:t>商务与技术文件</w:t>
      </w:r>
      <w:r>
        <w:rPr>
          <w:rFonts w:hint="eastAsia" w:ascii="宋体" w:hAnsi="宋体"/>
          <w:b/>
          <w:bCs/>
          <w:color w:val="000000" w:themeColor="text1"/>
          <w:sz w:val="32"/>
          <w:szCs w:val="32"/>
          <w14:textFill>
            <w14:solidFill>
              <w14:schemeClr w14:val="tx1"/>
            </w14:solidFill>
          </w14:textFill>
        </w:rPr>
        <w:t>目录</w:t>
      </w:r>
    </w:p>
    <w:p>
      <w:pPr>
        <w:snapToGrid w:val="0"/>
        <w:spacing w:line="360" w:lineRule="auto"/>
        <w:rPr>
          <w:rFonts w:ascii="宋体" w:hAnsi="宋体"/>
          <w:sz w:val="24"/>
        </w:rPr>
      </w:pPr>
    </w:p>
    <w:p>
      <w:pPr>
        <w:snapToGrid w:val="0"/>
        <w:spacing w:line="360" w:lineRule="auto"/>
        <w:ind w:firstLine="562" w:firstLineChars="200"/>
        <w:rPr>
          <w:rFonts w:ascii="宋体" w:hAnsi="宋体"/>
          <w:b/>
          <w:bCs/>
          <w:sz w:val="28"/>
          <w:szCs w:val="28"/>
        </w:rPr>
      </w:pPr>
      <w:r>
        <w:rPr>
          <w:rFonts w:hint="eastAsia" w:ascii="宋体" w:hAnsi="宋体"/>
          <w:b/>
          <w:bCs/>
          <w:sz w:val="28"/>
          <w:szCs w:val="28"/>
        </w:rPr>
        <w:t>第一部分  技术方案描述部分</w:t>
      </w:r>
    </w:p>
    <w:p>
      <w:pPr>
        <w:snapToGrid w:val="0"/>
        <w:spacing w:line="360" w:lineRule="auto"/>
        <w:ind w:firstLine="560" w:firstLineChars="200"/>
        <w:rPr>
          <w:rFonts w:ascii="宋体" w:hAnsi="宋体"/>
          <w:sz w:val="28"/>
          <w:szCs w:val="28"/>
        </w:rPr>
      </w:pPr>
      <w:r>
        <w:rPr>
          <w:rFonts w:hint="eastAsia" w:ascii="宋体" w:hAnsi="宋体"/>
          <w:sz w:val="28"/>
          <w:szCs w:val="28"/>
        </w:rPr>
        <w:t>1、</w:t>
      </w:r>
      <w:r>
        <w:rPr>
          <w:rFonts w:hint="eastAsia" w:ascii="宋体" w:hAnsi="宋体" w:cs="宋体"/>
          <w:sz w:val="28"/>
          <w:szCs w:val="28"/>
        </w:rPr>
        <w:t>投标人情况介绍</w:t>
      </w:r>
      <w:r>
        <w:rPr>
          <w:rFonts w:hint="eastAsia" w:ascii="宋体" w:hAnsi="宋体"/>
          <w:sz w:val="28"/>
          <w:szCs w:val="28"/>
        </w:rPr>
        <w:t>（附件5）；</w:t>
      </w:r>
    </w:p>
    <w:p>
      <w:pPr>
        <w:snapToGrid w:val="0"/>
        <w:spacing w:line="360" w:lineRule="auto"/>
        <w:ind w:firstLine="560" w:firstLineChars="200"/>
        <w:rPr>
          <w:rFonts w:ascii="宋体" w:hAnsi="宋体"/>
          <w:sz w:val="28"/>
          <w:szCs w:val="28"/>
        </w:rPr>
      </w:pPr>
      <w:r>
        <w:rPr>
          <w:rFonts w:hint="eastAsia" w:ascii="宋体" w:hAnsi="宋体"/>
          <w:sz w:val="28"/>
          <w:szCs w:val="28"/>
        </w:rPr>
        <w:t>2、</w:t>
      </w:r>
      <w:r>
        <w:rPr>
          <w:rFonts w:hint="eastAsia" w:ascii="宋体" w:hAnsi="宋体" w:cs="宋体"/>
          <w:color w:val="000000" w:themeColor="text1"/>
          <w:sz w:val="28"/>
          <w:szCs w:val="28"/>
          <w14:textFill>
            <w14:solidFill>
              <w14:schemeClr w14:val="tx1"/>
            </w14:solidFill>
          </w14:textFill>
        </w:rPr>
        <w:t>项目需求的理解与分析</w:t>
      </w:r>
      <w:r>
        <w:rPr>
          <w:rFonts w:hint="eastAsia" w:ascii="宋体" w:hAnsi="宋体"/>
          <w:sz w:val="28"/>
          <w:szCs w:val="28"/>
        </w:rPr>
        <w:t>；</w:t>
      </w:r>
    </w:p>
    <w:p>
      <w:pPr>
        <w:snapToGrid w:val="0"/>
        <w:spacing w:line="360" w:lineRule="auto"/>
        <w:ind w:firstLine="560" w:firstLineChars="200"/>
        <w:rPr>
          <w:rFonts w:ascii="宋体" w:hAnsi="宋体"/>
          <w:sz w:val="28"/>
          <w:szCs w:val="28"/>
        </w:rPr>
      </w:pPr>
      <w:r>
        <w:rPr>
          <w:rFonts w:hint="eastAsia" w:ascii="宋体" w:hAnsi="宋体"/>
          <w:sz w:val="28"/>
          <w:szCs w:val="28"/>
        </w:rPr>
        <w:t>3、</w:t>
      </w:r>
      <w:r>
        <w:rPr>
          <w:rFonts w:hint="eastAsia" w:ascii="宋体" w:hAnsi="宋体" w:cs="宋体"/>
          <w:color w:val="000000" w:themeColor="text1"/>
          <w:sz w:val="28"/>
          <w:szCs w:val="28"/>
          <w14:textFill>
            <w14:solidFill>
              <w14:schemeClr w14:val="tx1"/>
            </w14:solidFill>
          </w14:textFill>
        </w:rPr>
        <w:t>项目组织实施方案(可视情选用附件6、附件7)</w:t>
      </w:r>
      <w:r>
        <w:rPr>
          <w:rFonts w:ascii="宋体" w:hAnsi="宋体"/>
          <w:sz w:val="28"/>
          <w:szCs w:val="28"/>
        </w:rPr>
        <w:t xml:space="preserve">； </w:t>
      </w:r>
    </w:p>
    <w:p>
      <w:pPr>
        <w:snapToGrid w:val="0"/>
        <w:spacing w:line="360" w:lineRule="auto"/>
        <w:ind w:firstLine="560" w:firstLineChars="200"/>
        <w:rPr>
          <w:rFonts w:ascii="宋体" w:hAnsi="宋体"/>
          <w:sz w:val="28"/>
          <w:szCs w:val="28"/>
        </w:rPr>
      </w:pPr>
      <w:r>
        <w:rPr>
          <w:rFonts w:hint="eastAsia" w:ascii="宋体" w:hAnsi="宋体"/>
          <w:sz w:val="28"/>
          <w:szCs w:val="28"/>
        </w:rPr>
        <w:t>4、</w:t>
      </w:r>
      <w:r>
        <w:rPr>
          <w:rFonts w:asciiTheme="minorEastAsia" w:hAnsiTheme="minorEastAsia" w:eastAsiaTheme="minorEastAsia"/>
          <w:color w:val="000000" w:themeColor="text1"/>
          <w:kern w:val="0"/>
          <w:sz w:val="28"/>
          <w:szCs w:val="28"/>
          <w14:textFill>
            <w14:solidFill>
              <w14:schemeClr w14:val="tx1"/>
            </w14:solidFill>
          </w14:textFill>
        </w:rPr>
        <w:t>安装、调试及验收方案</w:t>
      </w:r>
      <w:r>
        <w:rPr>
          <w:rFonts w:hint="eastAsia" w:ascii="宋体" w:hAnsi="宋体"/>
          <w:sz w:val="28"/>
          <w:szCs w:val="28"/>
        </w:rPr>
        <w:t>；</w:t>
      </w:r>
    </w:p>
    <w:p>
      <w:pPr>
        <w:snapToGrid w:val="0"/>
        <w:spacing w:line="360" w:lineRule="auto"/>
        <w:ind w:firstLine="562" w:firstLineChars="200"/>
        <w:jc w:val="left"/>
        <w:rPr>
          <w:rFonts w:ascii="宋体" w:hAnsi="宋体"/>
          <w:b/>
          <w:bCs/>
          <w:sz w:val="28"/>
          <w:szCs w:val="28"/>
        </w:rPr>
      </w:pPr>
      <w:r>
        <w:rPr>
          <w:rFonts w:hint="eastAsia" w:ascii="宋体" w:hAnsi="宋体"/>
          <w:b/>
          <w:bCs/>
          <w:sz w:val="28"/>
          <w:szCs w:val="28"/>
        </w:rPr>
        <w:t>第二部分  投标产品描述部分</w:t>
      </w:r>
    </w:p>
    <w:p>
      <w:pPr>
        <w:snapToGrid w:val="0"/>
        <w:spacing w:line="360" w:lineRule="auto"/>
        <w:ind w:firstLine="548" w:firstLineChars="196"/>
        <w:rPr>
          <w:rFonts w:ascii="宋体" w:hAnsi="宋体"/>
          <w:kern w:val="0"/>
          <w:sz w:val="28"/>
          <w:szCs w:val="28"/>
        </w:rPr>
      </w:pPr>
      <w:r>
        <w:rPr>
          <w:rFonts w:hint="eastAsia" w:ascii="宋体" w:hAnsi="宋体"/>
          <w:sz w:val="28"/>
          <w:szCs w:val="28"/>
        </w:rPr>
        <w:t>1、</w:t>
      </w:r>
      <w:r>
        <w:rPr>
          <w:rFonts w:hint="eastAsia" w:ascii="宋体" w:hAnsi="宋体"/>
          <w:kern w:val="0"/>
          <w:sz w:val="28"/>
          <w:szCs w:val="28"/>
        </w:rPr>
        <w:t>投标产品描述及相关资料（</w:t>
      </w:r>
      <w:r>
        <w:rPr>
          <w:rFonts w:hint="eastAsia" w:ascii="宋体" w:hAnsi="宋体" w:cs="宋体"/>
          <w:color w:val="000000" w:themeColor="text1"/>
          <w:sz w:val="28"/>
          <w:szCs w:val="28"/>
          <w14:textFill>
            <w14:solidFill>
              <w14:schemeClr w14:val="tx1"/>
            </w14:solidFill>
          </w14:textFill>
        </w:rPr>
        <w:t>可视情选用附件8、附件9</w:t>
      </w:r>
      <w:r>
        <w:rPr>
          <w:rFonts w:hint="eastAsia" w:ascii="宋体" w:hAnsi="宋体"/>
          <w:kern w:val="0"/>
          <w:sz w:val="28"/>
          <w:szCs w:val="28"/>
        </w:rPr>
        <w:t>）；</w:t>
      </w:r>
    </w:p>
    <w:p>
      <w:pPr>
        <w:snapToGrid w:val="0"/>
        <w:spacing w:line="360" w:lineRule="auto"/>
        <w:ind w:left="837" w:leftChars="260" w:hanging="291" w:hangingChars="104"/>
        <w:rPr>
          <w:rFonts w:ascii="宋体" w:hAnsi="宋体"/>
          <w:kern w:val="0"/>
          <w:sz w:val="28"/>
          <w:szCs w:val="28"/>
        </w:rPr>
      </w:pPr>
      <w:r>
        <w:rPr>
          <w:rFonts w:hint="eastAsia" w:ascii="宋体" w:hAnsi="宋体"/>
          <w:kern w:val="0"/>
          <w:sz w:val="28"/>
          <w:szCs w:val="28"/>
        </w:rPr>
        <w:t>2、</w:t>
      </w:r>
      <w:r>
        <w:rPr>
          <w:rFonts w:hint="eastAsia" w:ascii="宋体" w:hAnsi="宋体"/>
          <w:sz w:val="28"/>
          <w:szCs w:val="28"/>
        </w:rPr>
        <w:t>投标人</w:t>
      </w:r>
      <w:r>
        <w:rPr>
          <w:rFonts w:ascii="宋体" w:hAnsi="宋体"/>
          <w:sz w:val="28"/>
          <w:szCs w:val="28"/>
        </w:rPr>
        <w:t>需要说明的其他</w:t>
      </w:r>
      <w:r>
        <w:rPr>
          <w:rFonts w:hint="eastAsia" w:ascii="宋体" w:hAnsi="宋体"/>
          <w:sz w:val="28"/>
          <w:szCs w:val="28"/>
        </w:rPr>
        <w:t>内容</w:t>
      </w:r>
      <w:r>
        <w:rPr>
          <w:rFonts w:hint="eastAsia" w:ascii="宋体" w:hAnsi="宋体"/>
          <w:color w:val="000000"/>
          <w:sz w:val="28"/>
          <w:szCs w:val="28"/>
        </w:rPr>
        <w:t>；（</w:t>
      </w:r>
      <w:r>
        <w:rPr>
          <w:rFonts w:hint="eastAsia" w:ascii="宋体" w:hAnsi="宋体" w:cs="宋体"/>
          <w:sz w:val="28"/>
          <w:szCs w:val="28"/>
        </w:rPr>
        <w:t>包括可能影响投标人技术性能评分项的各类证明材料）</w:t>
      </w:r>
    </w:p>
    <w:p>
      <w:pPr>
        <w:snapToGrid w:val="0"/>
        <w:spacing w:line="360" w:lineRule="auto"/>
        <w:ind w:firstLine="551" w:firstLineChars="196"/>
        <w:rPr>
          <w:rFonts w:ascii="宋体" w:hAnsi="宋体"/>
          <w:b/>
          <w:bCs/>
          <w:kern w:val="0"/>
          <w:sz w:val="28"/>
          <w:szCs w:val="28"/>
        </w:rPr>
      </w:pPr>
      <w:r>
        <w:rPr>
          <w:rFonts w:hint="eastAsia" w:ascii="宋体" w:hAnsi="宋体"/>
          <w:b/>
          <w:bCs/>
          <w:kern w:val="0"/>
          <w:sz w:val="28"/>
          <w:szCs w:val="28"/>
        </w:rPr>
        <w:t>第三部分  商务响应部分</w:t>
      </w:r>
    </w:p>
    <w:p>
      <w:pPr>
        <w:snapToGrid w:val="0"/>
        <w:spacing w:line="360" w:lineRule="auto"/>
        <w:ind w:firstLine="548" w:firstLineChars="196"/>
        <w:rPr>
          <w:rFonts w:ascii="宋体" w:hAnsi="宋体"/>
          <w:kern w:val="0"/>
          <w:sz w:val="28"/>
          <w:szCs w:val="28"/>
        </w:rPr>
      </w:pPr>
      <w:r>
        <w:rPr>
          <w:rFonts w:hint="eastAsia" w:ascii="宋体" w:hAnsi="宋体"/>
          <w:kern w:val="0"/>
          <w:sz w:val="28"/>
          <w:szCs w:val="28"/>
        </w:rPr>
        <w:t>1、证书一览表（附件10）；</w:t>
      </w:r>
    </w:p>
    <w:p>
      <w:pPr>
        <w:snapToGrid w:val="0"/>
        <w:spacing w:line="360" w:lineRule="auto"/>
        <w:ind w:firstLine="548" w:firstLineChars="196"/>
        <w:rPr>
          <w:rFonts w:ascii="宋体" w:hAnsi="宋体"/>
          <w:kern w:val="0"/>
          <w:sz w:val="28"/>
          <w:szCs w:val="28"/>
        </w:rPr>
      </w:pPr>
      <w:r>
        <w:rPr>
          <w:rFonts w:hint="eastAsia" w:ascii="宋体" w:hAnsi="宋体"/>
          <w:kern w:val="0"/>
          <w:sz w:val="28"/>
          <w:szCs w:val="28"/>
        </w:rPr>
        <w:t>2、近三年来类似项目的成功案例（附件11）；</w:t>
      </w:r>
    </w:p>
    <w:p>
      <w:pPr>
        <w:snapToGrid w:val="0"/>
        <w:spacing w:line="360" w:lineRule="auto"/>
        <w:ind w:firstLine="548" w:firstLineChars="196"/>
        <w:rPr>
          <w:rFonts w:ascii="宋体" w:hAnsi="宋体"/>
          <w:kern w:val="0"/>
          <w:sz w:val="28"/>
          <w:szCs w:val="28"/>
        </w:rPr>
      </w:pPr>
      <w:r>
        <w:rPr>
          <w:rFonts w:hint="eastAsia" w:ascii="宋体" w:hAnsi="宋体"/>
          <w:kern w:val="0"/>
          <w:sz w:val="28"/>
          <w:szCs w:val="28"/>
        </w:rPr>
        <w:t>3、售后服务描述及承诺（可视情选用附件12，附件13）；</w:t>
      </w:r>
    </w:p>
    <w:p>
      <w:pPr>
        <w:snapToGrid w:val="0"/>
        <w:spacing w:line="360" w:lineRule="auto"/>
        <w:ind w:left="837" w:leftChars="260" w:hanging="291" w:hangingChars="104"/>
        <w:rPr>
          <w:rFonts w:ascii="宋体" w:hAnsi="宋体"/>
          <w:kern w:val="0"/>
          <w:sz w:val="28"/>
          <w:szCs w:val="28"/>
        </w:rPr>
      </w:pPr>
      <w:r>
        <w:rPr>
          <w:rFonts w:hint="eastAsia" w:ascii="宋体" w:hAnsi="宋体"/>
          <w:kern w:val="0"/>
          <w:sz w:val="28"/>
          <w:szCs w:val="28"/>
        </w:rPr>
        <w:t>4、投标人需要说明的其他内容。（包括可能影响投标人企业实力及信誉评分项以及售后服务评分项的各类证明材料）</w:t>
      </w:r>
    </w:p>
    <w:p>
      <w:pPr>
        <w:snapToGrid w:val="0"/>
        <w:spacing w:line="360" w:lineRule="auto"/>
        <w:ind w:firstLine="562" w:firstLineChars="200"/>
        <w:jc w:val="left"/>
        <w:rPr>
          <w:rFonts w:ascii="宋体" w:hAnsi="宋体" w:cs="宋体"/>
          <w:b/>
          <w:bCs/>
          <w:sz w:val="28"/>
          <w:szCs w:val="28"/>
        </w:rPr>
      </w:pPr>
      <w:r>
        <w:rPr>
          <w:rFonts w:hint="eastAsia" w:ascii="宋体" w:hAnsi="宋体" w:cs="宋体"/>
          <w:b/>
          <w:bCs/>
          <w:sz w:val="28"/>
          <w:szCs w:val="28"/>
        </w:rPr>
        <w:t>第四部分  其他参考表格（此部分视情况选用）</w:t>
      </w:r>
    </w:p>
    <w:p>
      <w:pPr>
        <w:snapToGrid w:val="0"/>
        <w:spacing w:line="360" w:lineRule="auto"/>
        <w:ind w:firstLine="560" w:firstLineChars="200"/>
        <w:jc w:val="left"/>
        <w:rPr>
          <w:rFonts w:ascii="宋体" w:hAnsi="宋体" w:cs="宋体"/>
          <w:sz w:val="28"/>
          <w:szCs w:val="28"/>
        </w:rPr>
      </w:pPr>
      <w:r>
        <w:rPr>
          <w:rFonts w:hint="eastAsia" w:ascii="宋体" w:hAnsi="宋体" w:cs="宋体"/>
          <w:sz w:val="28"/>
          <w:szCs w:val="28"/>
        </w:rPr>
        <w:t>1、主要货物用材响应表(类似家具类货物采用，附件14)</w:t>
      </w:r>
    </w:p>
    <w:p>
      <w:pPr>
        <w:snapToGrid w:val="0"/>
        <w:spacing w:line="360" w:lineRule="auto"/>
        <w:ind w:left="837" w:leftChars="260" w:hanging="291" w:hangingChars="104"/>
        <w:rPr>
          <w:rFonts w:ascii="宋体" w:hAnsi="宋体"/>
          <w:kern w:val="0"/>
          <w:sz w:val="28"/>
          <w:szCs w:val="28"/>
        </w:rPr>
      </w:pPr>
      <w:r>
        <w:rPr>
          <w:rFonts w:hint="eastAsia" w:ascii="宋体" w:hAnsi="宋体"/>
          <w:kern w:val="0"/>
          <w:sz w:val="28"/>
          <w:szCs w:val="28"/>
        </w:rPr>
        <w:t>（以上内容具体描述详见“第三部分投标人须知”中“三、投标文件”的组成说明）</w:t>
      </w:r>
    </w:p>
    <w:p>
      <w:pPr>
        <w:pStyle w:val="34"/>
        <w:shd w:val="clear" w:color="auto" w:fill="FFFFFF"/>
        <w:spacing w:before="0" w:beforeAutospacing="0" w:after="0" w:afterAutospacing="0" w:line="360" w:lineRule="auto"/>
        <w:rPr>
          <w:b/>
          <w:sz w:val="28"/>
        </w:rPr>
      </w:pPr>
    </w:p>
    <w:p>
      <w:pPr>
        <w:pStyle w:val="34"/>
        <w:shd w:val="clear" w:color="auto" w:fill="FFFFFF"/>
        <w:spacing w:before="0" w:beforeAutospacing="0" w:after="0" w:afterAutospacing="0" w:line="360" w:lineRule="auto"/>
        <w:rPr>
          <w:b/>
          <w:sz w:val="28"/>
        </w:rPr>
      </w:pPr>
    </w:p>
    <w:p>
      <w:pPr>
        <w:pStyle w:val="34"/>
        <w:shd w:val="clear" w:color="auto" w:fill="FFFFFF"/>
        <w:spacing w:before="0" w:beforeAutospacing="0" w:after="0" w:afterAutospacing="0" w:line="360" w:lineRule="auto"/>
        <w:rPr>
          <w:b/>
          <w:sz w:val="28"/>
        </w:rPr>
      </w:pPr>
    </w:p>
    <w:p>
      <w:pPr>
        <w:pStyle w:val="34"/>
        <w:shd w:val="clear" w:color="auto" w:fill="FFFFFF"/>
        <w:spacing w:before="0" w:beforeAutospacing="0" w:after="0" w:afterAutospacing="0" w:line="360" w:lineRule="auto"/>
        <w:rPr>
          <w:b/>
          <w:sz w:val="28"/>
        </w:rPr>
      </w:pPr>
    </w:p>
    <w:p>
      <w:pPr>
        <w:pStyle w:val="34"/>
        <w:shd w:val="clear" w:color="auto" w:fill="FFFFFF"/>
        <w:spacing w:before="0" w:beforeAutospacing="0" w:after="0" w:afterAutospacing="0" w:line="360" w:lineRule="auto"/>
        <w:rPr>
          <w:b/>
          <w:sz w:val="28"/>
        </w:rPr>
      </w:pPr>
      <w:r>
        <w:rPr>
          <w:rFonts w:hint="eastAsia"/>
          <w:b/>
          <w:sz w:val="28"/>
        </w:rPr>
        <w:t>附件5</w:t>
      </w:r>
    </w:p>
    <w:p>
      <w:pPr>
        <w:pStyle w:val="34"/>
        <w:shd w:val="clear" w:color="auto" w:fill="FFFFFF"/>
        <w:spacing w:before="0" w:beforeAutospacing="0" w:after="0" w:afterAutospacing="0" w:line="360" w:lineRule="auto"/>
        <w:jc w:val="center"/>
        <w:rPr>
          <w:rFonts w:eastAsia="微软雅黑"/>
          <w:color w:val="000000"/>
          <w:sz w:val="36"/>
          <w:szCs w:val="36"/>
        </w:rPr>
      </w:pPr>
      <w:r>
        <w:rPr>
          <w:rFonts w:hint="eastAsia"/>
          <w:b/>
          <w:sz w:val="32"/>
          <w:szCs w:val="32"/>
        </w:rPr>
        <w:t xml:space="preserve">  投标</w:t>
      </w:r>
      <w:r>
        <w:rPr>
          <w:rFonts w:hint="eastAsia"/>
          <w:b/>
          <w:bCs/>
          <w:spacing w:val="21"/>
          <w:sz w:val="32"/>
          <w:szCs w:val="32"/>
        </w:rPr>
        <w:t>人基本</w:t>
      </w:r>
      <w:r>
        <w:rPr>
          <w:rFonts w:hint="eastAsia"/>
          <w:b/>
          <w:bCs/>
          <w:color w:val="000000"/>
          <w:spacing w:val="21"/>
          <w:sz w:val="32"/>
          <w:szCs w:val="32"/>
        </w:rPr>
        <w:t>情况表</w:t>
      </w:r>
    </w:p>
    <w:tbl>
      <w:tblPr>
        <w:tblStyle w:val="23"/>
        <w:tblW w:w="8954" w:type="dxa"/>
        <w:tblInd w:w="-1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701"/>
        <w:gridCol w:w="852"/>
        <w:gridCol w:w="58"/>
        <w:gridCol w:w="1163"/>
        <w:gridCol w:w="112"/>
        <w:gridCol w:w="1093"/>
        <w:gridCol w:w="325"/>
        <w:gridCol w:w="1276"/>
        <w:gridCol w:w="400"/>
        <w:gridCol w:w="1218"/>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trPr>
        <w:tc>
          <w:tcPr>
            <w:tcW w:w="823" w:type="dxa"/>
          </w:tcPr>
          <w:p>
            <w:pPr>
              <w:pStyle w:val="34"/>
              <w:shd w:val="clear" w:color="auto" w:fill="FFFFFF"/>
              <w:spacing w:line="360" w:lineRule="auto"/>
              <w:rPr>
                <w:bCs/>
                <w:color w:val="000000"/>
              </w:rPr>
            </w:pPr>
            <w:r>
              <w:rPr>
                <w:rFonts w:hint="eastAsia"/>
                <w:bCs/>
                <w:color w:val="000000"/>
                <w:spacing w:val="27"/>
              </w:rPr>
              <w:t>企业名称</w:t>
            </w:r>
          </w:p>
        </w:tc>
        <w:tc>
          <w:tcPr>
            <w:tcW w:w="3979" w:type="dxa"/>
            <w:gridSpan w:val="6"/>
          </w:tcPr>
          <w:p>
            <w:pPr>
              <w:pStyle w:val="34"/>
              <w:shd w:val="clear" w:color="auto" w:fill="FFFFFF"/>
              <w:spacing w:line="360" w:lineRule="auto"/>
              <w:rPr>
                <w:bCs/>
                <w:color w:val="000000"/>
              </w:rPr>
            </w:pPr>
          </w:p>
        </w:tc>
        <w:tc>
          <w:tcPr>
            <w:tcW w:w="2001" w:type="dxa"/>
            <w:gridSpan w:val="3"/>
          </w:tcPr>
          <w:p>
            <w:pPr>
              <w:pStyle w:val="34"/>
              <w:shd w:val="clear" w:color="auto" w:fill="FFFFFF"/>
              <w:spacing w:line="360" w:lineRule="auto"/>
              <w:rPr>
                <w:bCs/>
                <w:color w:val="000000"/>
              </w:rPr>
            </w:pPr>
            <w:r>
              <w:rPr>
                <w:rFonts w:hint="eastAsia"/>
                <w:bCs/>
                <w:color w:val="000000"/>
                <w:spacing w:val="16"/>
              </w:rPr>
              <w:t>法人代表</w:t>
            </w:r>
          </w:p>
        </w:tc>
        <w:tc>
          <w:tcPr>
            <w:tcW w:w="2151" w:type="dxa"/>
            <w:gridSpan w:val="2"/>
          </w:tcPr>
          <w:p>
            <w:pPr>
              <w:pStyle w:val="34"/>
              <w:shd w:val="clear" w:color="auto" w:fill="FFFFFF"/>
              <w:spacing w:line="360" w:lineRule="auto"/>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823" w:type="dxa"/>
          </w:tcPr>
          <w:p>
            <w:pPr>
              <w:pStyle w:val="34"/>
              <w:shd w:val="clear" w:color="auto" w:fill="FFFFFF"/>
              <w:spacing w:line="360" w:lineRule="auto"/>
              <w:rPr>
                <w:bCs/>
                <w:color w:val="000000"/>
                <w:spacing w:val="16"/>
              </w:rPr>
            </w:pPr>
            <w:r>
              <w:rPr>
                <w:rFonts w:hint="eastAsia"/>
                <w:bCs/>
                <w:color w:val="000000"/>
                <w:spacing w:val="27"/>
              </w:rPr>
              <w:t>地址</w:t>
            </w:r>
          </w:p>
        </w:tc>
        <w:tc>
          <w:tcPr>
            <w:tcW w:w="3979" w:type="dxa"/>
            <w:gridSpan w:val="6"/>
            <w:tcBorders>
              <w:bottom w:val="single" w:color="auto" w:sz="4" w:space="0"/>
            </w:tcBorders>
          </w:tcPr>
          <w:p>
            <w:pPr>
              <w:pStyle w:val="34"/>
              <w:shd w:val="clear" w:color="auto" w:fill="FFFFFF"/>
              <w:spacing w:line="360" w:lineRule="auto"/>
              <w:rPr>
                <w:bCs/>
                <w:color w:val="000000"/>
                <w:spacing w:val="16"/>
              </w:rPr>
            </w:pPr>
          </w:p>
        </w:tc>
        <w:tc>
          <w:tcPr>
            <w:tcW w:w="2001" w:type="dxa"/>
            <w:gridSpan w:val="3"/>
          </w:tcPr>
          <w:p>
            <w:pPr>
              <w:pStyle w:val="34"/>
              <w:shd w:val="clear" w:color="auto" w:fill="FFFFFF"/>
              <w:spacing w:line="360" w:lineRule="auto"/>
              <w:rPr>
                <w:bCs/>
                <w:color w:val="000000"/>
                <w:spacing w:val="16"/>
              </w:rPr>
            </w:pPr>
            <w:r>
              <w:rPr>
                <w:rFonts w:hint="eastAsia"/>
                <w:bCs/>
                <w:color w:val="000000"/>
                <w:spacing w:val="16"/>
              </w:rPr>
              <w:t>企业性质</w:t>
            </w:r>
          </w:p>
        </w:tc>
        <w:tc>
          <w:tcPr>
            <w:tcW w:w="2151" w:type="dxa"/>
            <w:gridSpan w:val="2"/>
          </w:tcPr>
          <w:p>
            <w:pPr>
              <w:pStyle w:val="34"/>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0" w:hRule="atLeast"/>
        </w:trPr>
        <w:tc>
          <w:tcPr>
            <w:tcW w:w="823" w:type="dxa"/>
            <w:tcBorders>
              <w:bottom w:val="single" w:color="auto" w:sz="4" w:space="0"/>
            </w:tcBorders>
          </w:tcPr>
          <w:p>
            <w:pPr>
              <w:pStyle w:val="34"/>
              <w:shd w:val="clear" w:color="auto" w:fill="FFFFFF"/>
              <w:spacing w:line="360" w:lineRule="auto"/>
              <w:rPr>
                <w:bCs/>
                <w:color w:val="000000"/>
                <w:spacing w:val="16"/>
              </w:rPr>
            </w:pPr>
            <w:r>
              <w:rPr>
                <w:rFonts w:hint="eastAsia"/>
                <w:bCs/>
                <w:color w:val="000000"/>
                <w:spacing w:val="27"/>
              </w:rPr>
              <w:t>股东姓名</w:t>
            </w:r>
          </w:p>
        </w:tc>
        <w:tc>
          <w:tcPr>
            <w:tcW w:w="701" w:type="dxa"/>
            <w:tcBorders>
              <w:bottom w:val="single" w:color="auto" w:sz="4" w:space="0"/>
            </w:tcBorders>
          </w:tcPr>
          <w:p>
            <w:pPr>
              <w:pStyle w:val="34"/>
              <w:shd w:val="clear" w:color="auto" w:fill="FFFFFF"/>
              <w:spacing w:before="0" w:beforeAutospacing="0" w:after="0" w:afterAutospacing="0" w:line="360" w:lineRule="auto"/>
              <w:rPr>
                <w:bCs/>
                <w:color w:val="000000"/>
                <w:spacing w:val="16"/>
              </w:rPr>
            </w:pPr>
          </w:p>
        </w:tc>
        <w:tc>
          <w:tcPr>
            <w:tcW w:w="910" w:type="dxa"/>
            <w:gridSpan w:val="2"/>
            <w:tcBorders>
              <w:bottom w:val="single" w:color="auto" w:sz="4" w:space="0"/>
            </w:tcBorders>
          </w:tcPr>
          <w:p>
            <w:pPr>
              <w:pStyle w:val="34"/>
              <w:shd w:val="clear" w:color="auto" w:fill="FFFFFF"/>
              <w:spacing w:line="360" w:lineRule="auto"/>
              <w:rPr>
                <w:bCs/>
                <w:color w:val="000000"/>
                <w:spacing w:val="16"/>
              </w:rPr>
            </w:pPr>
            <w:r>
              <w:rPr>
                <w:rFonts w:hint="eastAsia"/>
                <w:bCs/>
                <w:color w:val="000000"/>
                <w:spacing w:val="16"/>
              </w:rPr>
              <w:t>股权结构（%）</w:t>
            </w:r>
          </w:p>
        </w:tc>
        <w:tc>
          <w:tcPr>
            <w:tcW w:w="2368" w:type="dxa"/>
            <w:gridSpan w:val="3"/>
            <w:tcBorders>
              <w:bottom w:val="single" w:color="auto" w:sz="4" w:space="0"/>
            </w:tcBorders>
          </w:tcPr>
          <w:p>
            <w:pPr>
              <w:widowControl/>
              <w:spacing w:line="360" w:lineRule="auto"/>
              <w:jc w:val="left"/>
              <w:rPr>
                <w:rFonts w:ascii="宋体" w:hAnsi="宋体" w:cs="宋体"/>
                <w:bCs/>
                <w:color w:val="000000"/>
                <w:spacing w:val="16"/>
                <w:kern w:val="0"/>
                <w:sz w:val="24"/>
              </w:rPr>
            </w:pPr>
          </w:p>
          <w:p>
            <w:pPr>
              <w:pStyle w:val="34"/>
              <w:shd w:val="clear" w:color="auto" w:fill="FFFFFF"/>
              <w:spacing w:line="360" w:lineRule="auto"/>
              <w:rPr>
                <w:bCs/>
                <w:color w:val="000000"/>
                <w:spacing w:val="16"/>
              </w:rPr>
            </w:pPr>
          </w:p>
        </w:tc>
        <w:tc>
          <w:tcPr>
            <w:tcW w:w="2001" w:type="dxa"/>
            <w:gridSpan w:val="3"/>
          </w:tcPr>
          <w:p>
            <w:pPr>
              <w:pStyle w:val="34"/>
              <w:shd w:val="clear" w:color="auto" w:fill="FFFFFF"/>
              <w:spacing w:line="360" w:lineRule="auto"/>
              <w:ind w:left="107"/>
              <w:rPr>
                <w:bCs/>
                <w:color w:val="000000"/>
                <w:spacing w:val="16"/>
              </w:rPr>
            </w:pPr>
            <w:r>
              <w:rPr>
                <w:rFonts w:hint="eastAsia"/>
                <w:bCs/>
                <w:color w:val="000000"/>
                <w:spacing w:val="16"/>
              </w:rPr>
              <w:t>股东关系</w:t>
            </w:r>
          </w:p>
        </w:tc>
        <w:tc>
          <w:tcPr>
            <w:tcW w:w="2151" w:type="dxa"/>
            <w:gridSpan w:val="2"/>
          </w:tcPr>
          <w:p>
            <w:pPr>
              <w:pStyle w:val="34"/>
              <w:shd w:val="clear" w:color="auto" w:fill="FFFFFF"/>
              <w:spacing w:line="360" w:lineRule="auto"/>
              <w:ind w:left="107"/>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823" w:type="dxa"/>
            <w:vMerge w:val="restart"/>
          </w:tcPr>
          <w:p>
            <w:pPr>
              <w:pStyle w:val="34"/>
              <w:shd w:val="clear" w:color="auto" w:fill="FFFFFF"/>
              <w:spacing w:line="360" w:lineRule="auto"/>
              <w:rPr>
                <w:bCs/>
                <w:color w:val="000000"/>
                <w:spacing w:val="16"/>
              </w:rPr>
            </w:pPr>
            <w:r>
              <w:rPr>
                <w:rFonts w:hint="eastAsia"/>
                <w:bCs/>
                <w:color w:val="000000"/>
                <w:spacing w:val="12"/>
              </w:rPr>
              <w:t>联系人</w:t>
            </w:r>
            <w:r>
              <w:rPr>
                <w:rFonts w:hint="eastAsia"/>
                <w:bCs/>
                <w:color w:val="000000"/>
                <w:spacing w:val="27"/>
              </w:rPr>
              <w:t>姓名</w:t>
            </w:r>
          </w:p>
        </w:tc>
        <w:tc>
          <w:tcPr>
            <w:tcW w:w="701" w:type="dxa"/>
            <w:vMerge w:val="restart"/>
            <w:tcBorders>
              <w:top w:val="nil"/>
            </w:tcBorders>
          </w:tcPr>
          <w:p>
            <w:pPr>
              <w:pStyle w:val="34"/>
              <w:shd w:val="clear" w:color="auto" w:fill="FFFFFF"/>
              <w:spacing w:line="360" w:lineRule="auto"/>
              <w:rPr>
                <w:bCs/>
                <w:color w:val="000000"/>
                <w:spacing w:val="16"/>
              </w:rPr>
            </w:pPr>
          </w:p>
        </w:tc>
        <w:tc>
          <w:tcPr>
            <w:tcW w:w="910" w:type="dxa"/>
            <w:gridSpan w:val="2"/>
            <w:tcBorders>
              <w:top w:val="nil"/>
              <w:bottom w:val="single" w:color="auto" w:sz="4" w:space="0"/>
            </w:tcBorders>
          </w:tcPr>
          <w:p>
            <w:pPr>
              <w:pStyle w:val="34"/>
              <w:shd w:val="clear" w:color="auto" w:fill="FFFFFF"/>
              <w:spacing w:line="360" w:lineRule="auto"/>
              <w:rPr>
                <w:bCs/>
                <w:color w:val="000000"/>
                <w:spacing w:val="16"/>
              </w:rPr>
            </w:pPr>
            <w:r>
              <w:rPr>
                <w:rFonts w:hint="eastAsia"/>
                <w:bCs/>
                <w:color w:val="000000"/>
                <w:spacing w:val="16"/>
              </w:rPr>
              <w:t>固定电话</w:t>
            </w:r>
          </w:p>
        </w:tc>
        <w:tc>
          <w:tcPr>
            <w:tcW w:w="2368" w:type="dxa"/>
            <w:gridSpan w:val="3"/>
            <w:tcBorders>
              <w:top w:val="nil"/>
              <w:bottom w:val="single" w:color="auto" w:sz="4" w:space="0"/>
            </w:tcBorders>
          </w:tcPr>
          <w:p>
            <w:pPr>
              <w:widowControl/>
              <w:spacing w:line="360" w:lineRule="auto"/>
              <w:jc w:val="left"/>
              <w:rPr>
                <w:rFonts w:ascii="宋体" w:hAnsi="宋体" w:cs="宋体"/>
                <w:bCs/>
                <w:color w:val="000000"/>
                <w:spacing w:val="16"/>
                <w:kern w:val="0"/>
                <w:sz w:val="24"/>
              </w:rPr>
            </w:pPr>
          </w:p>
          <w:p>
            <w:pPr>
              <w:pStyle w:val="34"/>
              <w:shd w:val="clear" w:color="auto" w:fill="FFFFFF"/>
              <w:spacing w:line="360" w:lineRule="auto"/>
              <w:rPr>
                <w:bCs/>
                <w:color w:val="000000"/>
                <w:spacing w:val="16"/>
              </w:rPr>
            </w:pPr>
          </w:p>
        </w:tc>
        <w:tc>
          <w:tcPr>
            <w:tcW w:w="2001" w:type="dxa"/>
            <w:gridSpan w:val="3"/>
            <w:vMerge w:val="restart"/>
          </w:tcPr>
          <w:p>
            <w:pPr>
              <w:pStyle w:val="34"/>
              <w:shd w:val="clear" w:color="auto" w:fill="FFFFFF"/>
              <w:spacing w:before="0" w:beforeAutospacing="0" w:after="0" w:afterAutospacing="0" w:line="360" w:lineRule="auto"/>
              <w:rPr>
                <w:bCs/>
                <w:color w:val="000000"/>
                <w:spacing w:val="16"/>
              </w:rPr>
            </w:pPr>
            <w:r>
              <w:rPr>
                <w:rFonts w:hint="eastAsia"/>
                <w:bCs/>
                <w:color w:val="000000"/>
                <w:spacing w:val="16"/>
              </w:rPr>
              <w:t>传真</w:t>
            </w:r>
          </w:p>
        </w:tc>
        <w:tc>
          <w:tcPr>
            <w:tcW w:w="2151" w:type="dxa"/>
            <w:gridSpan w:val="2"/>
            <w:vMerge w:val="restart"/>
          </w:tcPr>
          <w:p>
            <w:pPr>
              <w:pStyle w:val="34"/>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823" w:type="dxa"/>
            <w:vMerge w:val="continue"/>
            <w:tcBorders>
              <w:bottom w:val="single" w:color="auto" w:sz="4" w:space="0"/>
            </w:tcBorders>
          </w:tcPr>
          <w:p>
            <w:pPr>
              <w:pStyle w:val="34"/>
              <w:shd w:val="clear" w:color="auto" w:fill="FFFFFF"/>
              <w:spacing w:line="360" w:lineRule="auto"/>
              <w:ind w:left="107"/>
              <w:rPr>
                <w:bCs/>
                <w:color w:val="000000"/>
              </w:rPr>
            </w:pPr>
          </w:p>
        </w:tc>
        <w:tc>
          <w:tcPr>
            <w:tcW w:w="701" w:type="dxa"/>
            <w:vMerge w:val="continue"/>
            <w:tcBorders>
              <w:bottom w:val="single" w:color="auto" w:sz="4" w:space="0"/>
            </w:tcBorders>
          </w:tcPr>
          <w:p>
            <w:pPr>
              <w:pStyle w:val="34"/>
              <w:shd w:val="clear" w:color="auto" w:fill="FFFFFF"/>
              <w:spacing w:line="360" w:lineRule="auto"/>
              <w:rPr>
                <w:bCs/>
                <w:color w:val="000000"/>
                <w:spacing w:val="16"/>
              </w:rPr>
            </w:pPr>
          </w:p>
        </w:tc>
        <w:tc>
          <w:tcPr>
            <w:tcW w:w="910" w:type="dxa"/>
            <w:gridSpan w:val="2"/>
            <w:tcBorders>
              <w:bottom w:val="single" w:color="auto" w:sz="4" w:space="0"/>
            </w:tcBorders>
          </w:tcPr>
          <w:p>
            <w:pPr>
              <w:pStyle w:val="34"/>
              <w:shd w:val="clear" w:color="auto" w:fill="FFFFFF"/>
              <w:spacing w:line="360" w:lineRule="auto"/>
              <w:rPr>
                <w:bCs/>
                <w:color w:val="000000"/>
                <w:spacing w:val="16"/>
              </w:rPr>
            </w:pPr>
            <w:r>
              <w:rPr>
                <w:rFonts w:hint="eastAsia"/>
                <w:bCs/>
                <w:color w:val="000000"/>
                <w:spacing w:val="27"/>
              </w:rPr>
              <w:t>手机</w:t>
            </w:r>
          </w:p>
        </w:tc>
        <w:tc>
          <w:tcPr>
            <w:tcW w:w="2368" w:type="dxa"/>
            <w:gridSpan w:val="3"/>
            <w:tcBorders>
              <w:bottom w:val="single" w:color="auto" w:sz="4" w:space="0"/>
            </w:tcBorders>
          </w:tcPr>
          <w:p>
            <w:pPr>
              <w:pStyle w:val="34"/>
              <w:shd w:val="clear" w:color="auto" w:fill="FFFFFF"/>
              <w:spacing w:line="360" w:lineRule="auto"/>
              <w:rPr>
                <w:bCs/>
                <w:color w:val="000000"/>
                <w:spacing w:val="16"/>
              </w:rPr>
            </w:pPr>
          </w:p>
        </w:tc>
        <w:tc>
          <w:tcPr>
            <w:tcW w:w="2001" w:type="dxa"/>
            <w:gridSpan w:val="3"/>
            <w:vMerge w:val="continue"/>
          </w:tcPr>
          <w:p>
            <w:pPr>
              <w:pStyle w:val="34"/>
              <w:shd w:val="clear" w:color="auto" w:fill="FFFFFF"/>
              <w:spacing w:line="360" w:lineRule="auto"/>
              <w:rPr>
                <w:bCs/>
                <w:color w:val="000000"/>
                <w:spacing w:val="16"/>
              </w:rPr>
            </w:pPr>
          </w:p>
        </w:tc>
        <w:tc>
          <w:tcPr>
            <w:tcW w:w="2151" w:type="dxa"/>
            <w:gridSpan w:val="2"/>
            <w:vMerge w:val="continue"/>
          </w:tcPr>
          <w:p>
            <w:pPr>
              <w:pStyle w:val="34"/>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5" w:hRule="atLeast"/>
        </w:trPr>
        <w:tc>
          <w:tcPr>
            <w:tcW w:w="823" w:type="dxa"/>
            <w:vMerge w:val="restart"/>
          </w:tcPr>
          <w:p>
            <w:pPr>
              <w:pStyle w:val="34"/>
              <w:shd w:val="clear" w:color="auto" w:fill="FFFFFF"/>
              <w:spacing w:line="360" w:lineRule="auto"/>
              <w:ind w:left="107"/>
              <w:rPr>
                <w:bCs/>
                <w:color w:val="000000"/>
              </w:rPr>
            </w:pPr>
            <w:r>
              <w:rPr>
                <w:bCs/>
                <w:color w:val="000000"/>
              </w:rPr>
              <w:t>1</w:t>
            </w:r>
            <w:r>
              <w:rPr>
                <w:rFonts w:hint="eastAsia"/>
                <w:bCs/>
                <w:color w:val="000000"/>
              </w:rPr>
              <w:t>.</w:t>
            </w:r>
          </w:p>
          <w:p>
            <w:pPr>
              <w:pStyle w:val="34"/>
              <w:shd w:val="clear" w:color="auto" w:fill="FFFFFF"/>
              <w:spacing w:line="360" w:lineRule="auto"/>
              <w:ind w:left="107"/>
              <w:rPr>
                <w:bCs/>
                <w:color w:val="000000"/>
              </w:rPr>
            </w:pPr>
            <w:r>
              <w:rPr>
                <w:rFonts w:hint="eastAsia"/>
                <w:bCs/>
                <w:color w:val="000000"/>
              </w:rPr>
              <w:t>企</w:t>
            </w:r>
          </w:p>
          <w:p>
            <w:pPr>
              <w:pStyle w:val="34"/>
              <w:shd w:val="clear" w:color="auto" w:fill="FFFFFF"/>
              <w:spacing w:line="360" w:lineRule="auto"/>
              <w:ind w:left="107"/>
              <w:rPr>
                <w:bCs/>
                <w:color w:val="000000"/>
              </w:rPr>
            </w:pPr>
            <w:r>
              <w:rPr>
                <w:rFonts w:hint="eastAsia"/>
                <w:bCs/>
                <w:color w:val="000000"/>
              </w:rPr>
              <w:t>业</w:t>
            </w:r>
          </w:p>
          <w:p>
            <w:pPr>
              <w:pStyle w:val="34"/>
              <w:shd w:val="clear" w:color="auto" w:fill="FFFFFF"/>
              <w:spacing w:line="360" w:lineRule="auto"/>
              <w:ind w:left="107"/>
              <w:rPr>
                <w:bCs/>
                <w:color w:val="000000"/>
                <w:spacing w:val="27"/>
              </w:rPr>
            </w:pPr>
            <w:r>
              <w:rPr>
                <w:rFonts w:hint="eastAsia"/>
                <w:bCs/>
                <w:color w:val="000000"/>
                <w:spacing w:val="27"/>
              </w:rPr>
              <w:t>概</w:t>
            </w:r>
          </w:p>
          <w:p>
            <w:pPr>
              <w:pStyle w:val="34"/>
              <w:shd w:val="clear" w:color="auto" w:fill="FFFFFF"/>
              <w:spacing w:line="360" w:lineRule="auto"/>
              <w:ind w:left="107"/>
              <w:rPr>
                <w:bCs/>
                <w:color w:val="000000"/>
              </w:rPr>
            </w:pPr>
            <w:r>
              <w:rPr>
                <w:rFonts w:hint="eastAsia"/>
                <w:bCs/>
                <w:color w:val="000000"/>
                <w:spacing w:val="27"/>
              </w:rPr>
              <w:t>况</w:t>
            </w:r>
          </w:p>
        </w:tc>
        <w:tc>
          <w:tcPr>
            <w:tcW w:w="701" w:type="dxa"/>
            <w:tcBorders>
              <w:top w:val="nil"/>
            </w:tcBorders>
          </w:tcPr>
          <w:p>
            <w:pPr>
              <w:pStyle w:val="34"/>
              <w:shd w:val="clear" w:color="auto" w:fill="FFFFFF"/>
              <w:spacing w:line="360" w:lineRule="auto"/>
              <w:rPr>
                <w:bCs/>
                <w:color w:val="000000"/>
                <w:spacing w:val="16"/>
              </w:rPr>
            </w:pPr>
            <w:r>
              <w:rPr>
                <w:rFonts w:hint="eastAsia"/>
                <w:bCs/>
                <w:color w:val="000000"/>
                <w:spacing w:val="16"/>
              </w:rPr>
              <w:t>职工人数</w:t>
            </w:r>
          </w:p>
        </w:tc>
        <w:tc>
          <w:tcPr>
            <w:tcW w:w="910" w:type="dxa"/>
            <w:gridSpan w:val="2"/>
            <w:tcBorders>
              <w:top w:val="nil"/>
            </w:tcBorders>
          </w:tcPr>
          <w:p>
            <w:pPr>
              <w:pStyle w:val="34"/>
              <w:shd w:val="clear" w:color="auto" w:fill="FFFFFF"/>
              <w:spacing w:line="360" w:lineRule="auto"/>
              <w:rPr>
                <w:bCs/>
                <w:color w:val="000000"/>
                <w:spacing w:val="16"/>
              </w:rPr>
            </w:pPr>
          </w:p>
        </w:tc>
        <w:tc>
          <w:tcPr>
            <w:tcW w:w="1163" w:type="dxa"/>
            <w:tcBorders>
              <w:top w:val="nil"/>
            </w:tcBorders>
          </w:tcPr>
          <w:p>
            <w:pPr>
              <w:pStyle w:val="34"/>
              <w:shd w:val="clear" w:color="auto" w:fill="FFFFFF"/>
              <w:spacing w:before="0" w:beforeAutospacing="0" w:after="0" w:afterAutospacing="0" w:line="360" w:lineRule="auto"/>
              <w:rPr>
                <w:bCs/>
                <w:color w:val="000000"/>
              </w:rPr>
            </w:pPr>
            <w:r>
              <w:rPr>
                <w:rFonts w:hint="eastAsia"/>
                <w:bCs/>
                <w:color w:val="000000"/>
                <w:spacing w:val="18"/>
              </w:rPr>
              <w:t>具备大专以</w:t>
            </w:r>
            <w:r>
              <w:rPr>
                <w:rFonts w:hint="eastAsia"/>
                <w:bCs/>
                <w:color w:val="000000"/>
                <w:spacing w:val="12"/>
              </w:rPr>
              <w:t>上学历人数</w:t>
            </w:r>
          </w:p>
        </w:tc>
        <w:tc>
          <w:tcPr>
            <w:tcW w:w="1205" w:type="dxa"/>
            <w:gridSpan w:val="2"/>
            <w:tcBorders>
              <w:top w:val="nil"/>
            </w:tcBorders>
          </w:tcPr>
          <w:p>
            <w:pPr>
              <w:widowControl/>
              <w:spacing w:line="360" w:lineRule="auto"/>
              <w:jc w:val="left"/>
              <w:rPr>
                <w:rFonts w:ascii="宋体" w:hAnsi="宋体" w:cs="宋体"/>
                <w:bCs/>
                <w:color w:val="000000"/>
                <w:spacing w:val="16"/>
                <w:kern w:val="0"/>
                <w:sz w:val="24"/>
              </w:rPr>
            </w:pPr>
          </w:p>
          <w:p>
            <w:pPr>
              <w:widowControl/>
              <w:spacing w:line="360" w:lineRule="auto"/>
              <w:jc w:val="left"/>
              <w:rPr>
                <w:rFonts w:ascii="宋体" w:hAnsi="宋体" w:cs="宋体"/>
                <w:bCs/>
                <w:color w:val="000000"/>
                <w:spacing w:val="16"/>
                <w:kern w:val="0"/>
                <w:sz w:val="24"/>
              </w:rPr>
            </w:pPr>
          </w:p>
          <w:p>
            <w:pPr>
              <w:pStyle w:val="34"/>
              <w:shd w:val="clear" w:color="auto" w:fill="FFFFFF"/>
              <w:spacing w:line="360" w:lineRule="auto"/>
              <w:rPr>
                <w:bCs/>
                <w:color w:val="000000"/>
                <w:spacing w:val="16"/>
              </w:rPr>
            </w:pPr>
          </w:p>
        </w:tc>
        <w:tc>
          <w:tcPr>
            <w:tcW w:w="2001" w:type="dxa"/>
            <w:gridSpan w:val="3"/>
          </w:tcPr>
          <w:p>
            <w:pPr>
              <w:pStyle w:val="34"/>
              <w:shd w:val="clear" w:color="auto" w:fill="FFFFFF"/>
              <w:spacing w:line="360" w:lineRule="auto"/>
              <w:rPr>
                <w:bCs/>
                <w:color w:val="000000"/>
                <w:spacing w:val="16"/>
              </w:rPr>
            </w:pPr>
            <w:r>
              <w:rPr>
                <w:rFonts w:hint="eastAsia"/>
                <w:bCs/>
                <w:color w:val="000000"/>
                <w:spacing w:val="65"/>
              </w:rPr>
              <w:t>国家授予技</w:t>
            </w:r>
            <w:r>
              <w:rPr>
                <w:rFonts w:hint="eastAsia"/>
                <w:bCs/>
                <w:color w:val="000000"/>
                <w:spacing w:val="12"/>
              </w:rPr>
              <w:t>术职称人数</w:t>
            </w:r>
          </w:p>
        </w:tc>
        <w:tc>
          <w:tcPr>
            <w:tcW w:w="2151" w:type="dxa"/>
            <w:gridSpan w:val="2"/>
          </w:tcPr>
          <w:p>
            <w:pPr>
              <w:widowControl/>
              <w:spacing w:line="360" w:lineRule="auto"/>
              <w:jc w:val="left"/>
              <w:rPr>
                <w:rFonts w:ascii="宋体" w:hAnsi="宋体" w:cs="宋体"/>
                <w:bCs/>
                <w:color w:val="000000"/>
                <w:spacing w:val="16"/>
                <w:kern w:val="0"/>
                <w:sz w:val="24"/>
              </w:rPr>
            </w:pPr>
          </w:p>
          <w:p>
            <w:pPr>
              <w:pStyle w:val="34"/>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8" w:hRule="atLeast"/>
        </w:trPr>
        <w:tc>
          <w:tcPr>
            <w:tcW w:w="823" w:type="dxa"/>
            <w:vMerge w:val="continue"/>
          </w:tcPr>
          <w:p>
            <w:pPr>
              <w:pStyle w:val="34"/>
              <w:shd w:val="clear" w:color="auto" w:fill="FFFFFF"/>
              <w:spacing w:line="360" w:lineRule="auto"/>
              <w:ind w:left="107"/>
              <w:rPr>
                <w:bCs/>
                <w:color w:val="000000"/>
              </w:rPr>
            </w:pPr>
          </w:p>
        </w:tc>
        <w:tc>
          <w:tcPr>
            <w:tcW w:w="701" w:type="dxa"/>
          </w:tcPr>
          <w:p>
            <w:pPr>
              <w:pStyle w:val="34"/>
              <w:shd w:val="clear" w:color="auto" w:fill="FFFFFF"/>
              <w:spacing w:line="360" w:lineRule="auto"/>
              <w:rPr>
                <w:bCs/>
                <w:color w:val="000000"/>
              </w:rPr>
            </w:pPr>
            <w:r>
              <w:rPr>
                <w:rFonts w:hint="eastAsia"/>
                <w:bCs/>
                <w:color w:val="000000"/>
                <w:spacing w:val="16"/>
              </w:rPr>
              <w:t>占地面积</w:t>
            </w:r>
          </w:p>
        </w:tc>
        <w:tc>
          <w:tcPr>
            <w:tcW w:w="910" w:type="dxa"/>
            <w:gridSpan w:val="2"/>
          </w:tcPr>
          <w:p>
            <w:pPr>
              <w:pStyle w:val="34"/>
              <w:shd w:val="clear" w:color="auto" w:fill="FFFFFF"/>
              <w:spacing w:line="360" w:lineRule="auto"/>
              <w:rPr>
                <w:bCs/>
                <w:color w:val="000000"/>
              </w:rPr>
            </w:pPr>
          </w:p>
        </w:tc>
        <w:tc>
          <w:tcPr>
            <w:tcW w:w="1163" w:type="dxa"/>
          </w:tcPr>
          <w:p>
            <w:pPr>
              <w:pStyle w:val="34"/>
              <w:shd w:val="clear" w:color="auto" w:fill="FFFFFF"/>
              <w:spacing w:line="360" w:lineRule="auto"/>
              <w:rPr>
                <w:bCs/>
                <w:color w:val="000000"/>
              </w:rPr>
            </w:pPr>
            <w:r>
              <w:rPr>
                <w:rFonts w:hint="eastAsia"/>
                <w:bCs/>
                <w:color w:val="000000"/>
                <w:spacing w:val="16"/>
              </w:rPr>
              <w:t>建筑面积</w:t>
            </w:r>
          </w:p>
        </w:tc>
        <w:tc>
          <w:tcPr>
            <w:tcW w:w="1205" w:type="dxa"/>
            <w:gridSpan w:val="2"/>
          </w:tcPr>
          <w:p>
            <w:pPr>
              <w:pStyle w:val="34"/>
              <w:shd w:val="clear" w:color="auto" w:fill="FFFFFF"/>
              <w:spacing w:line="360" w:lineRule="auto"/>
              <w:ind w:firstLine="480" w:firstLineChars="200"/>
              <w:rPr>
                <w:bCs/>
                <w:color w:val="000000"/>
              </w:rPr>
            </w:pPr>
            <w:r>
              <w:rPr>
                <w:rFonts w:hint="eastAsia"/>
                <w:bCs/>
                <w:color w:val="000000"/>
              </w:rPr>
              <w:t xml:space="preserve">平方米 </w:t>
            </w:r>
          </w:p>
          <w:p>
            <w:pPr>
              <w:pStyle w:val="34"/>
              <w:shd w:val="clear" w:color="auto" w:fill="FFFFFF"/>
              <w:spacing w:line="360" w:lineRule="auto"/>
              <w:rPr>
                <w:bCs/>
                <w:color w:val="000000"/>
              </w:rPr>
            </w:pPr>
            <w:r>
              <w:rPr>
                <w:rFonts w:hint="eastAsia"/>
                <w:bCs/>
                <w:color w:val="000000"/>
                <w:spacing w:val="16"/>
              </w:rPr>
              <w:t>□自有□租賃</w:t>
            </w:r>
          </w:p>
        </w:tc>
        <w:tc>
          <w:tcPr>
            <w:tcW w:w="2001" w:type="dxa"/>
            <w:gridSpan w:val="3"/>
          </w:tcPr>
          <w:p>
            <w:pPr>
              <w:pStyle w:val="34"/>
              <w:shd w:val="clear" w:color="auto" w:fill="FFFFFF"/>
              <w:spacing w:line="360" w:lineRule="auto"/>
              <w:rPr>
                <w:bCs/>
                <w:color w:val="000000"/>
              </w:rPr>
            </w:pPr>
            <w:r>
              <w:rPr>
                <w:rFonts w:hint="eastAsia"/>
                <w:bCs/>
                <w:color w:val="000000"/>
                <w:spacing w:val="16"/>
              </w:rPr>
              <w:t>生产经营场所及场所的设施与设备</w:t>
            </w:r>
          </w:p>
        </w:tc>
        <w:tc>
          <w:tcPr>
            <w:tcW w:w="2151" w:type="dxa"/>
            <w:gridSpan w:val="2"/>
          </w:tcPr>
          <w:p>
            <w:pPr>
              <w:pStyle w:val="34"/>
              <w:shd w:val="clear" w:color="auto" w:fill="FFFFFF"/>
              <w:spacing w:before="0" w:beforeAutospacing="0" w:after="0" w:afterAutospacing="0"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 w:hRule="atLeast"/>
        </w:trPr>
        <w:tc>
          <w:tcPr>
            <w:tcW w:w="823" w:type="dxa"/>
            <w:vMerge w:val="continue"/>
          </w:tcPr>
          <w:p>
            <w:pPr>
              <w:pStyle w:val="34"/>
              <w:shd w:val="clear" w:color="auto" w:fill="FFFFFF"/>
              <w:spacing w:line="360" w:lineRule="auto"/>
              <w:ind w:left="107"/>
              <w:rPr>
                <w:bCs/>
                <w:color w:val="000000"/>
              </w:rPr>
            </w:pPr>
          </w:p>
        </w:tc>
        <w:tc>
          <w:tcPr>
            <w:tcW w:w="701" w:type="dxa"/>
          </w:tcPr>
          <w:p>
            <w:pPr>
              <w:pStyle w:val="34"/>
              <w:shd w:val="clear" w:color="auto" w:fill="FFFFFF"/>
              <w:spacing w:line="360" w:lineRule="auto"/>
              <w:ind w:left="2"/>
              <w:rPr>
                <w:bCs/>
                <w:color w:val="000000"/>
                <w:spacing w:val="16"/>
              </w:rPr>
            </w:pPr>
            <w:r>
              <w:rPr>
                <w:rFonts w:hint="eastAsia"/>
                <w:bCs/>
                <w:color w:val="000000"/>
                <w:spacing w:val="16"/>
              </w:rPr>
              <w:t>注册资金</w:t>
            </w:r>
          </w:p>
        </w:tc>
        <w:tc>
          <w:tcPr>
            <w:tcW w:w="910" w:type="dxa"/>
            <w:gridSpan w:val="2"/>
          </w:tcPr>
          <w:p>
            <w:pPr>
              <w:pStyle w:val="34"/>
              <w:shd w:val="clear" w:color="auto" w:fill="FFFFFF"/>
              <w:spacing w:line="360" w:lineRule="auto"/>
              <w:ind w:left="2"/>
              <w:rPr>
                <w:bCs/>
                <w:color w:val="000000"/>
              </w:rPr>
            </w:pPr>
          </w:p>
        </w:tc>
        <w:tc>
          <w:tcPr>
            <w:tcW w:w="1163" w:type="dxa"/>
          </w:tcPr>
          <w:p>
            <w:pPr>
              <w:pStyle w:val="34"/>
              <w:shd w:val="clear" w:color="auto" w:fill="FFFFFF"/>
              <w:spacing w:line="360" w:lineRule="auto"/>
              <w:ind w:left="107"/>
              <w:rPr>
                <w:bCs/>
                <w:color w:val="000000"/>
              </w:rPr>
            </w:pPr>
            <w:r>
              <w:rPr>
                <w:rFonts w:hint="eastAsia"/>
                <w:bCs/>
                <w:color w:val="000000"/>
                <w:spacing w:val="16"/>
              </w:rPr>
              <w:t>注册发证</w:t>
            </w:r>
            <w:r>
              <w:rPr>
                <w:rFonts w:hint="eastAsia"/>
                <w:bCs/>
                <w:color w:val="000000"/>
                <w:spacing w:val="27"/>
              </w:rPr>
              <w:t>机关</w:t>
            </w:r>
          </w:p>
        </w:tc>
        <w:tc>
          <w:tcPr>
            <w:tcW w:w="3206" w:type="dxa"/>
            <w:gridSpan w:val="5"/>
          </w:tcPr>
          <w:p>
            <w:pPr>
              <w:widowControl/>
              <w:spacing w:line="360" w:lineRule="auto"/>
              <w:jc w:val="left"/>
              <w:rPr>
                <w:rFonts w:ascii="宋体" w:hAnsi="宋体" w:cs="宋体"/>
                <w:bCs/>
                <w:color w:val="000000"/>
                <w:kern w:val="0"/>
                <w:sz w:val="24"/>
              </w:rPr>
            </w:pPr>
          </w:p>
          <w:p>
            <w:pPr>
              <w:pStyle w:val="34"/>
              <w:shd w:val="clear" w:color="auto" w:fill="FFFFFF"/>
              <w:spacing w:line="360" w:lineRule="auto"/>
              <w:ind w:left="107"/>
              <w:rPr>
                <w:bCs/>
                <w:color w:val="000000"/>
              </w:rPr>
            </w:pPr>
          </w:p>
        </w:tc>
        <w:tc>
          <w:tcPr>
            <w:tcW w:w="1218" w:type="dxa"/>
          </w:tcPr>
          <w:p>
            <w:pPr>
              <w:pStyle w:val="34"/>
              <w:shd w:val="clear" w:color="auto" w:fill="FFFFFF"/>
              <w:spacing w:line="360" w:lineRule="auto"/>
              <w:ind w:left="107"/>
              <w:rPr>
                <w:bCs/>
                <w:color w:val="000000"/>
              </w:rPr>
            </w:pPr>
            <w:r>
              <w:rPr>
                <w:rFonts w:hint="eastAsia"/>
                <w:bCs/>
                <w:color w:val="000000"/>
              </w:rPr>
              <w:t>公司成</w:t>
            </w:r>
            <w:r>
              <w:rPr>
                <w:rFonts w:hint="eastAsia"/>
                <w:bCs/>
                <w:color w:val="000000"/>
                <w:spacing w:val="12"/>
              </w:rPr>
              <w:t>立时间</w:t>
            </w:r>
          </w:p>
        </w:tc>
        <w:tc>
          <w:tcPr>
            <w:tcW w:w="933" w:type="dxa"/>
          </w:tcPr>
          <w:p>
            <w:pPr>
              <w:pStyle w:val="34"/>
              <w:shd w:val="clear" w:color="auto" w:fill="FFFFFF"/>
              <w:spacing w:line="360" w:lineRule="auto"/>
              <w:ind w:left="107"/>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trPr>
        <w:tc>
          <w:tcPr>
            <w:tcW w:w="823" w:type="dxa"/>
            <w:vMerge w:val="continue"/>
          </w:tcPr>
          <w:p>
            <w:pPr>
              <w:pStyle w:val="34"/>
              <w:shd w:val="clear" w:color="auto" w:fill="FFFFFF"/>
              <w:spacing w:line="360" w:lineRule="auto"/>
              <w:ind w:left="107"/>
              <w:rPr>
                <w:bCs/>
                <w:color w:val="000000"/>
              </w:rPr>
            </w:pPr>
          </w:p>
        </w:tc>
        <w:tc>
          <w:tcPr>
            <w:tcW w:w="701" w:type="dxa"/>
          </w:tcPr>
          <w:p>
            <w:pPr>
              <w:pStyle w:val="34"/>
              <w:shd w:val="clear" w:color="auto" w:fill="FFFFFF"/>
              <w:spacing w:line="360" w:lineRule="auto"/>
              <w:ind w:left="2"/>
              <w:rPr>
                <w:bCs/>
                <w:color w:val="000000"/>
              </w:rPr>
            </w:pPr>
            <w:r>
              <w:rPr>
                <w:rFonts w:hint="eastAsia"/>
                <w:bCs/>
                <w:color w:val="000000"/>
              </w:rPr>
              <w:t>核准经营范围</w:t>
            </w:r>
          </w:p>
        </w:tc>
        <w:tc>
          <w:tcPr>
            <w:tcW w:w="7430" w:type="dxa"/>
            <w:gridSpan w:val="10"/>
          </w:tcPr>
          <w:p>
            <w:pPr>
              <w:pStyle w:val="34"/>
              <w:shd w:val="clear" w:color="auto" w:fill="FFFFFF"/>
              <w:spacing w:line="360" w:lineRule="auto"/>
              <w:ind w:left="107"/>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0" w:hRule="atLeast"/>
        </w:trPr>
        <w:tc>
          <w:tcPr>
            <w:tcW w:w="823" w:type="dxa"/>
            <w:vMerge w:val="continue"/>
          </w:tcPr>
          <w:p>
            <w:pPr>
              <w:pStyle w:val="34"/>
              <w:shd w:val="clear" w:color="auto" w:fill="FFFFFF"/>
              <w:spacing w:line="360" w:lineRule="auto"/>
              <w:ind w:left="107"/>
              <w:rPr>
                <w:bCs/>
                <w:color w:val="000000"/>
              </w:rPr>
            </w:pPr>
          </w:p>
        </w:tc>
        <w:tc>
          <w:tcPr>
            <w:tcW w:w="8131" w:type="dxa"/>
            <w:gridSpan w:val="11"/>
          </w:tcPr>
          <w:p>
            <w:pPr>
              <w:pStyle w:val="34"/>
              <w:shd w:val="clear" w:color="auto" w:fill="FFFFFF"/>
              <w:spacing w:line="360" w:lineRule="auto"/>
              <w:rPr>
                <w:bCs/>
                <w:color w:val="000000"/>
                <w:spacing w:val="13"/>
              </w:rPr>
            </w:pPr>
            <w:r>
              <w:rPr>
                <w:rFonts w:hint="eastAsia"/>
                <w:bCs/>
                <w:color w:val="000000"/>
                <w:spacing w:val="13"/>
              </w:rPr>
              <w:t>发展历程及主要荣誉：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823" w:type="dxa"/>
            <w:vMerge w:val="restart"/>
          </w:tcPr>
          <w:p>
            <w:pPr>
              <w:pStyle w:val="34"/>
              <w:shd w:val="clear" w:color="auto" w:fill="FFFFFF"/>
              <w:spacing w:line="360" w:lineRule="auto"/>
              <w:ind w:left="107"/>
              <w:rPr>
                <w:bCs/>
                <w:color w:val="000000"/>
              </w:rPr>
            </w:pPr>
            <w:r>
              <w:rPr>
                <w:bCs/>
                <w:color w:val="000000"/>
              </w:rPr>
              <w:t>2</w:t>
            </w:r>
            <w:r>
              <w:rPr>
                <w:rFonts w:hint="eastAsia"/>
                <w:bCs/>
                <w:color w:val="000000"/>
              </w:rPr>
              <w:t>．</w:t>
            </w:r>
          </w:p>
          <w:p>
            <w:pPr>
              <w:pStyle w:val="34"/>
              <w:shd w:val="clear" w:color="auto" w:fill="FFFFFF"/>
              <w:spacing w:line="360" w:lineRule="auto"/>
              <w:ind w:left="107"/>
              <w:rPr>
                <w:bCs/>
                <w:color w:val="000000"/>
                <w:spacing w:val="16"/>
              </w:rPr>
            </w:pPr>
            <w:r>
              <w:rPr>
                <w:rFonts w:hint="eastAsia"/>
                <w:bCs/>
                <w:color w:val="000000"/>
              </w:rPr>
              <w:t>企</w:t>
            </w:r>
            <w:r>
              <w:rPr>
                <w:rFonts w:hint="eastAsia"/>
                <w:bCs/>
                <w:color w:val="000000"/>
                <w:spacing w:val="12"/>
              </w:rPr>
              <w:t>业有关资质获证情况</w:t>
            </w:r>
          </w:p>
        </w:tc>
        <w:tc>
          <w:tcPr>
            <w:tcW w:w="1553" w:type="dxa"/>
            <w:gridSpan w:val="2"/>
            <w:vMerge w:val="restart"/>
          </w:tcPr>
          <w:p>
            <w:pPr>
              <w:pStyle w:val="34"/>
              <w:shd w:val="clear" w:color="auto" w:fill="FFFFFF"/>
              <w:spacing w:before="0" w:beforeAutospacing="0" w:after="0" w:afterAutospacing="0" w:line="360" w:lineRule="auto"/>
              <w:rPr>
                <w:bCs/>
                <w:color w:val="000000"/>
                <w:spacing w:val="16"/>
              </w:rPr>
            </w:pPr>
            <w:r>
              <w:rPr>
                <w:rFonts w:hint="eastAsia"/>
                <w:bCs/>
                <w:color w:val="000000"/>
                <w:spacing w:val="12"/>
              </w:rPr>
              <w:t>产品生产许可证情况</w:t>
            </w:r>
            <w:r>
              <w:rPr>
                <w:rFonts w:hint="eastAsia"/>
                <w:bCs/>
                <w:color w:val="000000"/>
                <w:spacing w:val="41"/>
              </w:rPr>
              <w:t>（对需获得生产许可证的</w:t>
            </w:r>
            <w:r>
              <w:rPr>
                <w:rFonts w:hint="eastAsia"/>
                <w:bCs/>
                <w:color w:val="000000"/>
                <w:spacing w:val="11"/>
              </w:rPr>
              <w:t>产品要填写此栏）</w:t>
            </w:r>
          </w:p>
        </w:tc>
        <w:tc>
          <w:tcPr>
            <w:tcW w:w="1333" w:type="dxa"/>
            <w:gridSpan w:val="3"/>
          </w:tcPr>
          <w:p>
            <w:pPr>
              <w:pStyle w:val="34"/>
              <w:shd w:val="clear" w:color="auto" w:fill="FFFFFF"/>
              <w:spacing w:line="360" w:lineRule="auto"/>
              <w:ind w:right="-78" w:rightChars="-37"/>
              <w:rPr>
                <w:bCs/>
                <w:color w:val="000000"/>
                <w:spacing w:val="16"/>
              </w:rPr>
            </w:pPr>
            <w:r>
              <w:rPr>
                <w:rFonts w:hint="eastAsia"/>
                <w:bCs/>
                <w:color w:val="000000"/>
                <w:spacing w:val="16"/>
              </w:rPr>
              <w:t>产品名称</w:t>
            </w:r>
          </w:p>
        </w:tc>
        <w:tc>
          <w:tcPr>
            <w:tcW w:w="1418" w:type="dxa"/>
            <w:gridSpan w:val="2"/>
          </w:tcPr>
          <w:p>
            <w:pPr>
              <w:pStyle w:val="34"/>
              <w:shd w:val="clear" w:color="auto" w:fill="FFFFFF"/>
              <w:spacing w:before="0" w:beforeAutospacing="0" w:after="0" w:afterAutospacing="0" w:line="360" w:lineRule="auto"/>
              <w:rPr>
                <w:bCs/>
                <w:color w:val="000000"/>
              </w:rPr>
            </w:pPr>
            <w:r>
              <w:rPr>
                <w:rFonts w:hint="eastAsia"/>
                <w:bCs/>
                <w:color w:val="000000"/>
                <w:spacing w:val="16"/>
              </w:rPr>
              <w:t>发证机关</w:t>
            </w:r>
          </w:p>
        </w:tc>
        <w:tc>
          <w:tcPr>
            <w:tcW w:w="1276" w:type="dxa"/>
          </w:tcPr>
          <w:p>
            <w:pPr>
              <w:pStyle w:val="34"/>
              <w:shd w:val="clear" w:color="auto" w:fill="FFFFFF"/>
              <w:spacing w:line="360" w:lineRule="auto"/>
              <w:jc w:val="center"/>
              <w:rPr>
                <w:bCs/>
                <w:color w:val="000000"/>
              </w:rPr>
            </w:pPr>
            <w:r>
              <w:rPr>
                <w:rFonts w:hint="eastAsia"/>
                <w:bCs/>
                <w:color w:val="000000"/>
                <w:spacing w:val="27"/>
              </w:rPr>
              <w:t>编号</w:t>
            </w:r>
          </w:p>
        </w:tc>
        <w:tc>
          <w:tcPr>
            <w:tcW w:w="1618" w:type="dxa"/>
            <w:gridSpan w:val="2"/>
          </w:tcPr>
          <w:p>
            <w:pPr>
              <w:pStyle w:val="34"/>
              <w:shd w:val="clear" w:color="auto" w:fill="FFFFFF"/>
              <w:spacing w:line="360" w:lineRule="auto"/>
              <w:jc w:val="center"/>
              <w:rPr>
                <w:bCs/>
                <w:color w:val="000000"/>
              </w:rPr>
            </w:pPr>
            <w:r>
              <w:rPr>
                <w:rFonts w:hint="eastAsia"/>
                <w:bCs/>
                <w:color w:val="000000"/>
                <w:spacing w:val="16"/>
              </w:rPr>
              <w:t>发证时间</w:t>
            </w:r>
          </w:p>
        </w:tc>
        <w:tc>
          <w:tcPr>
            <w:tcW w:w="933" w:type="dxa"/>
          </w:tcPr>
          <w:p>
            <w:pPr>
              <w:pStyle w:val="34"/>
              <w:shd w:val="clear" w:color="auto" w:fill="FFFFFF"/>
              <w:spacing w:before="0" w:beforeAutospacing="0" w:after="0" w:afterAutospacing="0" w:line="360" w:lineRule="auto"/>
              <w:jc w:val="center"/>
              <w:rPr>
                <w:bCs/>
                <w:color w:val="000000"/>
              </w:rPr>
            </w:pPr>
            <w:r>
              <w:rPr>
                <w:rFonts w:hint="eastAsia"/>
                <w:bCs/>
                <w:color w:val="000000"/>
                <w:spacing w:val="27"/>
              </w:rPr>
              <w:t>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0" w:hRule="atLeast"/>
        </w:trPr>
        <w:tc>
          <w:tcPr>
            <w:tcW w:w="823" w:type="dxa"/>
            <w:vMerge w:val="continue"/>
          </w:tcPr>
          <w:p>
            <w:pPr>
              <w:pStyle w:val="34"/>
              <w:shd w:val="clear" w:color="auto" w:fill="FFFFFF"/>
              <w:spacing w:line="360" w:lineRule="auto"/>
              <w:ind w:left="107"/>
              <w:rPr>
                <w:bCs/>
                <w:color w:val="000000"/>
              </w:rPr>
            </w:pPr>
          </w:p>
        </w:tc>
        <w:tc>
          <w:tcPr>
            <w:tcW w:w="1553" w:type="dxa"/>
            <w:gridSpan w:val="2"/>
            <w:vMerge w:val="continue"/>
          </w:tcPr>
          <w:p>
            <w:pPr>
              <w:pStyle w:val="34"/>
              <w:shd w:val="clear" w:color="auto" w:fill="FFFFFF"/>
              <w:spacing w:line="360" w:lineRule="auto"/>
              <w:rPr>
                <w:bCs/>
                <w:color w:val="000000"/>
              </w:rPr>
            </w:pPr>
          </w:p>
        </w:tc>
        <w:tc>
          <w:tcPr>
            <w:tcW w:w="1333" w:type="dxa"/>
            <w:gridSpan w:val="3"/>
          </w:tcPr>
          <w:p>
            <w:pPr>
              <w:pStyle w:val="34"/>
              <w:shd w:val="clear" w:color="auto" w:fill="FFFFFF"/>
              <w:spacing w:line="360" w:lineRule="auto"/>
              <w:rPr>
                <w:bCs/>
                <w:color w:val="000000"/>
              </w:rPr>
            </w:pPr>
          </w:p>
        </w:tc>
        <w:tc>
          <w:tcPr>
            <w:tcW w:w="1418" w:type="dxa"/>
            <w:gridSpan w:val="2"/>
          </w:tcPr>
          <w:p>
            <w:pPr>
              <w:pStyle w:val="34"/>
              <w:shd w:val="clear" w:color="auto" w:fill="FFFFFF"/>
              <w:spacing w:line="360" w:lineRule="auto"/>
              <w:rPr>
                <w:bCs/>
                <w:color w:val="000000"/>
              </w:rPr>
            </w:pPr>
          </w:p>
        </w:tc>
        <w:tc>
          <w:tcPr>
            <w:tcW w:w="1276" w:type="dxa"/>
          </w:tcPr>
          <w:p>
            <w:pPr>
              <w:pStyle w:val="34"/>
              <w:shd w:val="clear" w:color="auto" w:fill="FFFFFF"/>
              <w:spacing w:line="360" w:lineRule="auto"/>
              <w:rPr>
                <w:bCs/>
                <w:color w:val="000000"/>
              </w:rPr>
            </w:pPr>
          </w:p>
        </w:tc>
        <w:tc>
          <w:tcPr>
            <w:tcW w:w="2551" w:type="dxa"/>
            <w:gridSpan w:val="3"/>
          </w:tcPr>
          <w:p>
            <w:pPr>
              <w:pStyle w:val="34"/>
              <w:shd w:val="clear" w:color="auto" w:fill="FFFFFF"/>
              <w:spacing w:line="360" w:lineRule="auto"/>
              <w:rPr>
                <w:bCs/>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0" w:hRule="atLeast"/>
        </w:trPr>
        <w:tc>
          <w:tcPr>
            <w:tcW w:w="823" w:type="dxa"/>
            <w:vMerge w:val="continue"/>
          </w:tcPr>
          <w:p>
            <w:pPr>
              <w:pStyle w:val="34"/>
              <w:shd w:val="clear" w:color="auto" w:fill="FFFFFF"/>
              <w:spacing w:line="360" w:lineRule="auto"/>
              <w:ind w:left="107"/>
              <w:rPr>
                <w:bCs/>
                <w:color w:val="000000"/>
                <w:spacing w:val="16"/>
              </w:rPr>
            </w:pPr>
          </w:p>
        </w:tc>
        <w:tc>
          <w:tcPr>
            <w:tcW w:w="1553" w:type="dxa"/>
            <w:gridSpan w:val="2"/>
          </w:tcPr>
          <w:p>
            <w:pPr>
              <w:pStyle w:val="34"/>
              <w:shd w:val="clear" w:color="auto" w:fill="FFFFFF"/>
              <w:spacing w:before="0" w:beforeAutospacing="0" w:after="0" w:afterAutospacing="0" w:line="360" w:lineRule="auto"/>
              <w:ind w:right="-107" w:rightChars="-51"/>
              <w:rPr>
                <w:bCs/>
                <w:color w:val="000000"/>
                <w:spacing w:val="41"/>
              </w:rPr>
            </w:pPr>
            <w:r>
              <w:rPr>
                <w:rFonts w:hint="eastAsia"/>
                <w:bCs/>
                <w:color w:val="000000"/>
                <w:spacing w:val="41"/>
              </w:rPr>
              <w:t>企业通过质量体系、环保</w:t>
            </w:r>
            <w:r>
              <w:rPr>
                <w:rFonts w:hint="eastAsia"/>
                <w:bCs/>
                <w:color w:val="000000"/>
                <w:spacing w:val="11"/>
              </w:rPr>
              <w:t>体系、计量等认证情况</w:t>
            </w:r>
          </w:p>
        </w:tc>
        <w:tc>
          <w:tcPr>
            <w:tcW w:w="6578" w:type="dxa"/>
            <w:gridSpan w:val="9"/>
          </w:tcPr>
          <w:p>
            <w:pPr>
              <w:pStyle w:val="34"/>
              <w:shd w:val="clear" w:color="auto" w:fill="FFFFFF"/>
              <w:spacing w:line="360" w:lineRule="auto"/>
              <w:rPr>
                <w:bCs/>
                <w:color w:val="000000"/>
                <w:spacing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7" w:hRule="atLeast"/>
        </w:trPr>
        <w:tc>
          <w:tcPr>
            <w:tcW w:w="823" w:type="dxa"/>
            <w:vMerge w:val="continue"/>
          </w:tcPr>
          <w:p>
            <w:pPr>
              <w:pStyle w:val="34"/>
              <w:shd w:val="clear" w:color="auto" w:fill="FFFFFF"/>
              <w:spacing w:line="360" w:lineRule="auto"/>
              <w:ind w:left="107"/>
              <w:rPr>
                <w:bCs/>
                <w:color w:val="000000"/>
                <w:spacing w:val="27"/>
              </w:rPr>
            </w:pPr>
          </w:p>
        </w:tc>
        <w:tc>
          <w:tcPr>
            <w:tcW w:w="1553" w:type="dxa"/>
            <w:gridSpan w:val="2"/>
          </w:tcPr>
          <w:p>
            <w:pPr>
              <w:pStyle w:val="34"/>
              <w:shd w:val="clear" w:color="auto" w:fill="FFFFFF"/>
              <w:spacing w:line="360" w:lineRule="auto"/>
              <w:rPr>
                <w:bCs/>
                <w:color w:val="000000"/>
                <w:spacing w:val="16"/>
              </w:rPr>
            </w:pPr>
            <w:r>
              <w:rPr>
                <w:rFonts w:hint="eastAsia"/>
                <w:bCs/>
                <w:color w:val="000000"/>
                <w:spacing w:val="10"/>
              </w:rPr>
              <w:t>企业获得专利情况</w:t>
            </w:r>
          </w:p>
        </w:tc>
        <w:tc>
          <w:tcPr>
            <w:tcW w:w="6578" w:type="dxa"/>
            <w:gridSpan w:val="9"/>
          </w:tcPr>
          <w:p>
            <w:pPr>
              <w:pStyle w:val="34"/>
              <w:shd w:val="clear" w:color="auto" w:fill="FFFFFF"/>
              <w:spacing w:line="360" w:lineRule="auto"/>
              <w:rPr>
                <w:bCs/>
                <w:color w:val="000000"/>
                <w:spacing w:val="16"/>
              </w:rPr>
            </w:pPr>
          </w:p>
        </w:tc>
      </w:tr>
    </w:tbl>
    <w:p>
      <w:pPr>
        <w:pStyle w:val="34"/>
        <w:shd w:val="clear" w:color="auto" w:fill="FFFFFF"/>
        <w:spacing w:before="0" w:beforeAutospacing="0" w:after="0" w:afterAutospacing="0" w:line="360" w:lineRule="auto"/>
        <w:rPr>
          <w:rFonts w:ascii="FangSong_GB2312" w:eastAsia="FangSong_GB2312"/>
        </w:rPr>
      </w:pPr>
    </w:p>
    <w:p>
      <w:pPr>
        <w:pStyle w:val="34"/>
        <w:shd w:val="clear" w:color="auto" w:fill="FFFFFF"/>
        <w:spacing w:before="0" w:beforeAutospacing="0" w:after="0" w:afterAutospacing="0" w:line="360" w:lineRule="auto"/>
        <w:rPr>
          <w:b/>
          <w:sz w:val="21"/>
          <w:szCs w:val="21"/>
        </w:rPr>
      </w:pPr>
      <w:r>
        <w:rPr>
          <w:rFonts w:hint="eastAsia"/>
          <w:b/>
          <w:sz w:val="21"/>
          <w:szCs w:val="21"/>
        </w:rPr>
        <w:t>要求：</w:t>
      </w:r>
    </w:p>
    <w:p>
      <w:pPr>
        <w:pStyle w:val="34"/>
        <w:shd w:val="clear" w:color="auto" w:fill="FFFFFF"/>
        <w:spacing w:before="0" w:beforeAutospacing="0" w:after="0" w:afterAutospacing="0" w:line="360" w:lineRule="auto"/>
        <w:ind w:firstLine="424" w:firstLineChars="202"/>
        <w:rPr>
          <w:color w:val="000000"/>
          <w:sz w:val="21"/>
          <w:szCs w:val="21"/>
        </w:rPr>
      </w:pPr>
      <w:r>
        <w:rPr>
          <w:rFonts w:hint="eastAsia" w:ascii="FangSong_GB2312" w:eastAsia="FangSong_GB2312"/>
          <w:sz w:val="21"/>
          <w:szCs w:val="21"/>
        </w:rPr>
        <w:t>1.</w:t>
      </w:r>
      <w:r>
        <w:rPr>
          <w:rFonts w:hint="eastAsia"/>
          <w:color w:val="000000"/>
          <w:sz w:val="21"/>
          <w:szCs w:val="21"/>
        </w:rPr>
        <w:t>姓名栏必须将所有股东都统计在内，若非股份公司此行（第三行）无需填写；</w:t>
      </w:r>
    </w:p>
    <w:p>
      <w:pPr>
        <w:spacing w:line="360" w:lineRule="auto"/>
        <w:rPr>
          <w:rFonts w:ascii="宋体" w:hAnsi="宋体"/>
          <w:sz w:val="24"/>
        </w:rPr>
      </w:pPr>
    </w:p>
    <w:p>
      <w:pPr>
        <w:spacing w:line="360" w:lineRule="auto"/>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投标人名称（电子印章）：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4"/>
        <w:shd w:val="clear" w:color="auto" w:fill="FFFFFF"/>
        <w:spacing w:before="0" w:beforeAutospacing="0" w:after="0" w:afterAutospacing="0" w:line="360" w:lineRule="auto"/>
        <w:ind w:firstLine="424" w:firstLineChars="177"/>
        <w:rPr>
          <w:b/>
          <w:bCs/>
          <w:color w:val="000000"/>
          <w:spacing w:val="11"/>
        </w:rPr>
      </w:pPr>
      <w:r>
        <w:rPr>
          <w:rFonts w:hint="eastAsia"/>
        </w:rPr>
        <w:t>日        期：</w:t>
      </w:r>
      <w:r>
        <w:rPr>
          <w:rFonts w:hint="eastAsia"/>
          <w:color w:val="000000"/>
        </w:rPr>
        <w:t>：</w:t>
      </w:r>
    </w:p>
    <w:p>
      <w:pPr>
        <w:spacing w:line="360" w:lineRule="auto"/>
        <w:rPr>
          <w:rFonts w:ascii="宋体" w:hAnsi="宋体"/>
          <w:b/>
          <w:sz w:val="24"/>
        </w:rPr>
      </w:pPr>
    </w:p>
    <w:p>
      <w:pPr>
        <w:spacing w:line="360" w:lineRule="auto"/>
        <w:rPr>
          <w:rFonts w:ascii="宋体" w:hAnsi="宋体"/>
          <w:sz w:val="24"/>
        </w:rPr>
      </w:pPr>
      <w:r>
        <w:rPr>
          <w:rFonts w:hint="eastAsia" w:ascii="宋体" w:hAnsi="宋体"/>
          <w:b/>
          <w:sz w:val="28"/>
        </w:rPr>
        <w:t>附件6</w:t>
      </w:r>
    </w:p>
    <w:p>
      <w:pPr>
        <w:snapToGrid w:val="0"/>
        <w:spacing w:before="156" w:beforeLines="50" w:after="50" w:line="360" w:lineRule="auto"/>
        <w:jc w:val="center"/>
        <w:rPr>
          <w:rFonts w:ascii="宋体" w:hAnsi="宋体"/>
          <w:b/>
          <w:sz w:val="36"/>
          <w:szCs w:val="36"/>
        </w:rPr>
      </w:pPr>
      <w:r>
        <w:rPr>
          <w:rFonts w:hint="eastAsia" w:ascii="宋体" w:hAnsi="宋体"/>
          <w:b/>
          <w:sz w:val="32"/>
          <w:szCs w:val="32"/>
        </w:rPr>
        <w:t>项目实施人员一览表</w:t>
      </w:r>
      <w:r>
        <w:rPr>
          <w:rFonts w:hint="eastAsia" w:ascii="宋体" w:hAnsi="宋体"/>
          <w:b/>
          <w:color w:val="33CCCC"/>
          <w:sz w:val="32"/>
          <w:szCs w:val="32"/>
        </w:rPr>
        <w:t>（第 标）</w:t>
      </w:r>
    </w:p>
    <w:p>
      <w:pPr>
        <w:snapToGrid w:val="0"/>
        <w:spacing w:before="156" w:beforeLines="50" w:after="50" w:line="360" w:lineRule="auto"/>
        <w:ind w:firstLine="2400" w:firstLineChars="1000"/>
        <w:rPr>
          <w:rFonts w:ascii="宋体" w:hAnsi="宋体"/>
          <w:sz w:val="24"/>
        </w:rPr>
      </w:pPr>
      <w:r>
        <w:rPr>
          <w:rFonts w:hint="eastAsia" w:ascii="宋体" w:hAnsi="宋体"/>
          <w:sz w:val="24"/>
        </w:rPr>
        <w:t>（主要从业人员及其技术资格）</w:t>
      </w:r>
    </w:p>
    <w:tbl>
      <w:tblPr>
        <w:tblStyle w:val="23"/>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743"/>
        <w:gridCol w:w="18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szCs w:val="20"/>
              </w:rPr>
              <w:t>序号</w:t>
            </w:r>
          </w:p>
        </w:tc>
        <w:tc>
          <w:tcPr>
            <w:tcW w:w="5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姓名</w:t>
            </w:r>
          </w:p>
        </w:tc>
        <w:tc>
          <w:tcPr>
            <w:tcW w:w="1004"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职务</w:t>
            </w:r>
          </w:p>
        </w:tc>
        <w:tc>
          <w:tcPr>
            <w:tcW w:w="79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szCs w:val="20"/>
              </w:rPr>
              <w:t>职责</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sz w:val="24"/>
                <w:szCs w:val="20"/>
              </w:rPr>
            </w:pPr>
            <w:r>
              <w:rPr>
                <w:rFonts w:hint="eastAsia" w:ascii="宋体" w:hAnsi="宋体"/>
                <w:b/>
                <w:sz w:val="24"/>
              </w:rPr>
              <w:t>证书编号</w:t>
            </w:r>
          </w:p>
        </w:tc>
        <w:tc>
          <w:tcPr>
            <w:tcW w:w="1743"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sz w:val="24"/>
                <w:szCs w:val="20"/>
              </w:rPr>
            </w:pPr>
            <w:r>
              <w:rPr>
                <w:rFonts w:hint="eastAsia" w:ascii="宋体" w:hAnsi="宋体"/>
                <w:b/>
                <w:bCs/>
                <w:sz w:val="24"/>
              </w:rPr>
              <w:t>参加本单位工作时间</w:t>
            </w:r>
          </w:p>
        </w:tc>
        <w:tc>
          <w:tcPr>
            <w:tcW w:w="1801"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after="50" w:line="360" w:lineRule="auto"/>
              <w:jc w:val="center"/>
              <w:rPr>
                <w:rFonts w:ascii="宋体" w:hAnsi="宋体"/>
                <w:b/>
                <w:bCs/>
                <w:sz w:val="24"/>
                <w:szCs w:val="20"/>
              </w:rPr>
            </w:pPr>
            <w:r>
              <w:rPr>
                <w:rFonts w:hint="eastAsia" w:ascii="宋体" w:hAnsi="宋体"/>
                <w:b/>
                <w:sz w:val="24"/>
              </w:rPr>
              <w:t>劳动合同编号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pStyle w:val="14"/>
              <w:snapToGrid w:val="0"/>
              <w:spacing w:before="156" w:beforeLines="50" w:after="50" w:line="360" w:lineRule="auto"/>
              <w:ind w:left="5250"/>
              <w:rPr>
                <w:rFonts w:ascii="宋体" w:hAnsi="宋体" w:eastAsia="宋体"/>
                <w:b/>
                <w:kern w:val="44"/>
                <w:sz w:val="24"/>
                <w:szCs w:val="24"/>
              </w:rPr>
            </w:pPr>
          </w:p>
        </w:tc>
        <w:tc>
          <w:tcPr>
            <w:tcW w:w="1276" w:type="dxa"/>
            <w:tcBorders>
              <w:top w:val="single" w:color="auto" w:sz="4" w:space="0"/>
              <w:left w:val="single" w:color="auto" w:sz="4" w:space="0"/>
              <w:bottom w:val="single" w:color="auto" w:sz="4" w:space="0"/>
              <w:right w:val="single" w:color="auto" w:sz="4" w:space="0"/>
            </w:tcBorders>
          </w:tcPr>
          <w:p>
            <w:pPr>
              <w:pStyle w:val="14"/>
              <w:snapToGrid w:val="0"/>
              <w:spacing w:before="156" w:beforeLines="50" w:after="50" w:line="360" w:lineRule="auto"/>
              <w:ind w:left="5250"/>
              <w:rPr>
                <w:rFonts w:ascii="宋体" w:hAnsi="宋体" w:eastAsia="宋体"/>
                <w:b/>
                <w:kern w:val="44"/>
                <w:sz w:val="24"/>
                <w:szCs w:val="24"/>
              </w:rPr>
            </w:pPr>
          </w:p>
        </w:tc>
        <w:tc>
          <w:tcPr>
            <w:tcW w:w="1275" w:type="dxa"/>
            <w:tcBorders>
              <w:top w:val="single" w:color="auto" w:sz="4" w:space="0"/>
              <w:left w:val="single" w:color="auto" w:sz="4" w:space="0"/>
              <w:bottom w:val="single" w:color="auto" w:sz="4" w:space="0"/>
              <w:right w:val="single" w:color="auto" w:sz="4" w:space="0"/>
            </w:tcBorders>
          </w:tcPr>
          <w:p>
            <w:pPr>
              <w:pStyle w:val="14"/>
              <w:spacing w:line="360" w:lineRule="auto"/>
              <w:ind w:left="5250"/>
              <w:rPr>
                <w:rFonts w:ascii="宋体" w:hAnsi="宋体"/>
                <w:sz w:val="24"/>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sz w:val="24"/>
                <w:szCs w:val="20"/>
              </w:rPr>
            </w:pPr>
          </w:p>
        </w:tc>
        <w:tc>
          <w:tcPr>
            <w:tcW w:w="5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004"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79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76"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275"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743"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c>
          <w:tcPr>
            <w:tcW w:w="1801" w:type="dxa"/>
            <w:tcBorders>
              <w:top w:val="single" w:color="auto" w:sz="4" w:space="0"/>
              <w:left w:val="single" w:color="auto" w:sz="4" w:space="0"/>
              <w:bottom w:val="single" w:color="auto" w:sz="4" w:space="0"/>
              <w:right w:val="single" w:color="auto" w:sz="4" w:space="0"/>
            </w:tcBorders>
          </w:tcPr>
          <w:p>
            <w:pPr>
              <w:snapToGrid w:val="0"/>
              <w:spacing w:before="156" w:beforeLines="50" w:after="50" w:line="360" w:lineRule="auto"/>
              <w:rPr>
                <w:rFonts w:ascii="宋体" w:hAnsi="宋体"/>
                <w:b/>
                <w:kern w:val="44"/>
                <w:sz w:val="24"/>
                <w:szCs w:val="20"/>
              </w:rPr>
            </w:pPr>
          </w:p>
        </w:tc>
      </w:tr>
    </w:tbl>
    <w:p>
      <w:pPr>
        <w:spacing w:line="360" w:lineRule="auto"/>
        <w:rPr>
          <w:rFonts w:ascii="宋体" w:hAnsi="宋体"/>
          <w:b/>
          <w:szCs w:val="21"/>
        </w:rPr>
      </w:pPr>
      <w:r>
        <w:rPr>
          <w:rFonts w:hint="eastAsia" w:ascii="宋体" w:hAnsi="宋体"/>
          <w:b/>
          <w:szCs w:val="21"/>
        </w:rPr>
        <w:t>要求：</w:t>
      </w:r>
    </w:p>
    <w:p>
      <w:pPr>
        <w:spacing w:line="360" w:lineRule="auto"/>
        <w:ind w:left="437"/>
        <w:rPr>
          <w:rFonts w:ascii="宋体" w:hAnsi="宋体"/>
          <w:szCs w:val="21"/>
        </w:rPr>
      </w:pPr>
      <w:r>
        <w:rPr>
          <w:rFonts w:hint="eastAsia" w:ascii="宋体" w:hAnsi="宋体"/>
          <w:b/>
          <w:szCs w:val="21"/>
        </w:rPr>
        <w:t>1.</w:t>
      </w:r>
      <w:r>
        <w:rPr>
          <w:rFonts w:hint="eastAsia" w:ascii="宋体" w:hAnsi="宋体"/>
          <w:szCs w:val="21"/>
        </w:rPr>
        <w:t>在填写时，如本表格不适合投标单位的实际情况，可根据本表格式自行划表填写。</w:t>
      </w:r>
    </w:p>
    <w:p>
      <w:pPr>
        <w:pStyle w:val="35"/>
        <w:spacing w:line="360" w:lineRule="auto"/>
        <w:ind w:left="424" w:leftChars="202"/>
        <w:rPr>
          <w:rFonts w:ascii="宋体" w:hAnsi="宋体"/>
          <w:szCs w:val="21"/>
        </w:rPr>
      </w:pPr>
      <w:r>
        <w:rPr>
          <w:rFonts w:hint="eastAsia" w:ascii="宋体" w:hAnsi="宋体"/>
          <w:szCs w:val="21"/>
        </w:rPr>
        <w:t>2.附人员证书复印件；</w:t>
      </w:r>
    </w:p>
    <w:p>
      <w:pPr>
        <w:pStyle w:val="35"/>
        <w:spacing w:line="360" w:lineRule="auto"/>
        <w:ind w:left="424" w:hanging="424" w:hangingChars="202"/>
        <w:rPr>
          <w:rFonts w:ascii="宋体" w:hAnsi="宋体"/>
          <w:szCs w:val="21"/>
        </w:rPr>
      </w:pPr>
      <w:r>
        <w:rPr>
          <w:rFonts w:hint="eastAsia" w:ascii="宋体" w:hAnsi="宋体"/>
          <w:szCs w:val="21"/>
        </w:rPr>
        <w:t>　　3.出具上述人员在本单位服务的外部证明，如：</w:t>
      </w:r>
      <w:r>
        <w:rPr>
          <w:rFonts w:ascii="宋体" w:hAnsi="宋体"/>
          <w:szCs w:val="21"/>
        </w:rPr>
        <w:t>投标截止日之前六个月以内的</w:t>
      </w:r>
      <w:r>
        <w:rPr>
          <w:rFonts w:hint="eastAsia" w:ascii="宋体" w:hAnsi="宋体"/>
          <w:szCs w:val="21"/>
        </w:rPr>
        <w:t>代缴个税税单、参加社会保险的《投保单》或《社会保险参保人员证明》等。</w:t>
      </w:r>
    </w:p>
    <w:p>
      <w:pPr>
        <w:snapToGrid w:val="0"/>
        <w:spacing w:before="50" w:after="156" w:afterLines="50" w:line="360" w:lineRule="auto"/>
        <w:jc w:val="left"/>
        <w:rPr>
          <w:rFonts w:ascii="宋体" w:hAnsi="宋体"/>
          <w:sz w:val="24"/>
          <w:szCs w:val="20"/>
        </w:rPr>
      </w:pPr>
    </w:p>
    <w:p>
      <w:pPr>
        <w:snapToGrid w:val="0"/>
        <w:spacing w:before="50" w:after="156" w:afterLines="50" w:line="360" w:lineRule="auto"/>
        <w:jc w:val="left"/>
        <w:rPr>
          <w:rFonts w:ascii="宋体" w:hAnsi="宋体"/>
          <w:sz w:val="24"/>
          <w:szCs w:val="20"/>
        </w:rPr>
      </w:pPr>
    </w:p>
    <w:p>
      <w:pPr>
        <w:spacing w:line="360" w:lineRule="auto"/>
        <w:ind w:left="420"/>
        <w:rPr>
          <w:rFonts w:ascii="宋体" w:hAnsi="宋体"/>
          <w:sz w:val="24"/>
          <w:u w:val="single"/>
        </w:rPr>
      </w:pPr>
      <w:r>
        <w:rPr>
          <w:rFonts w:hint="eastAsia" w:ascii="宋体" w:hAnsi="宋体"/>
          <w:sz w:val="24"/>
        </w:rPr>
        <w:t>投标人名称（电子印章）：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pacing w:line="360" w:lineRule="auto"/>
        <w:rPr>
          <w:rFonts w:ascii="宋体" w:hAnsi="宋体"/>
        </w:rPr>
      </w:pPr>
      <w:r>
        <w:rPr>
          <w:rFonts w:hint="eastAsia" w:ascii="宋体" w:hAnsi="宋体"/>
          <w:b/>
          <w:sz w:val="28"/>
        </w:rPr>
        <w:t>附件7</w:t>
      </w:r>
    </w:p>
    <w:p>
      <w:pPr>
        <w:spacing w:before="156" w:beforeLines="50" w:after="156" w:afterLines="50" w:line="360" w:lineRule="auto"/>
        <w:ind w:right="-10"/>
        <w:jc w:val="center"/>
        <w:rPr>
          <w:rFonts w:ascii="宋体" w:hAnsi="宋体"/>
          <w:b/>
          <w:bCs/>
          <w:sz w:val="32"/>
          <w:szCs w:val="32"/>
        </w:rPr>
      </w:pPr>
      <w:r>
        <w:rPr>
          <w:rFonts w:hint="eastAsia" w:ascii="宋体" w:hAnsi="宋体"/>
          <w:b/>
          <w:bCs/>
          <w:sz w:val="32"/>
          <w:szCs w:val="32"/>
        </w:rPr>
        <w:t>项目负责人资格情况表</w:t>
      </w:r>
    </w:p>
    <w:p>
      <w:pPr>
        <w:spacing w:line="360" w:lineRule="auto"/>
        <w:rPr>
          <w:rFonts w:ascii="宋体" w:hAnsi="宋体"/>
        </w:rPr>
      </w:pPr>
      <w:r>
        <w:rPr>
          <w:rFonts w:hint="eastAsia" w:ascii="宋体" w:hAnsi="宋体"/>
        </w:rPr>
        <w:t>采购项目：                                            采购编号：</w:t>
      </w:r>
    </w:p>
    <w:tbl>
      <w:tblPr>
        <w:tblStyle w:val="23"/>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姓名</w:t>
            </w:r>
          </w:p>
        </w:tc>
        <w:tc>
          <w:tcPr>
            <w:tcW w:w="2967" w:type="dxa"/>
            <w:tcBorders>
              <w:top w:val="single" w:color="auto" w:sz="12"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tcBorders>
              <w:top w:val="single" w:color="auto" w:sz="12"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性别</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restart"/>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rPr>
            </w:pPr>
            <w:r>
              <w:rPr>
                <w:rFonts w:hint="eastAsia" w:ascii="宋体" w:hAnsi="宋体"/>
              </w:rPr>
              <w:t>注：业绩证明应提供旁证材料</w:t>
            </w:r>
          </w:p>
          <w:p>
            <w:pPr>
              <w:autoSpaceDE w:val="0"/>
              <w:autoSpaceDN w:val="0"/>
              <w:adjustRightInd w:val="0"/>
              <w:snapToGrid w:val="0"/>
              <w:spacing w:line="360" w:lineRule="auto"/>
              <w:jc w:val="center"/>
              <w:rPr>
                <w:rFonts w:ascii="宋体" w:hAnsi="宋体"/>
                <w:lang w:val="zh-CN"/>
              </w:rPr>
            </w:pPr>
            <w:r>
              <w:rPr>
                <w:rFonts w:hint="eastAsia" w:ascii="宋体" w:hAnsi="宋体"/>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年龄</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职称</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毕业时间</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学校专业</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联系电话</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3" w:hRule="atLeast"/>
        </w:trPr>
        <w:tc>
          <w:tcPr>
            <w:tcW w:w="1974" w:type="dxa"/>
            <w:tcBorders>
              <w:top w:val="single" w:color="auto" w:sz="4" w:space="0"/>
              <w:left w:val="single" w:color="auto" w:sz="12"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rPr>
              <w:t>最近一年工作状况</w:t>
            </w:r>
          </w:p>
        </w:tc>
        <w:tc>
          <w:tcPr>
            <w:tcW w:w="29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auto"/>
              <w:jc w:val="center"/>
              <w:rPr>
                <w:rFonts w:ascii="宋体" w:hAnsi="宋体"/>
                <w:lang w:val="zh-CN"/>
              </w:rPr>
            </w:pPr>
          </w:p>
        </w:tc>
        <w:tc>
          <w:tcPr>
            <w:tcW w:w="3685" w:type="dxa"/>
            <w:vMerge w:val="continue"/>
            <w:tcBorders>
              <w:top w:val="single" w:color="auto" w:sz="4" w:space="0"/>
              <w:left w:val="single" w:color="auto" w:sz="4" w:space="0"/>
              <w:bottom w:val="single" w:color="auto" w:sz="4"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trPr>
        <w:tc>
          <w:tcPr>
            <w:tcW w:w="1974" w:type="dxa"/>
            <w:tcBorders>
              <w:top w:val="single" w:color="auto" w:sz="4" w:space="0"/>
              <w:left w:val="single" w:color="auto" w:sz="12" w:space="0"/>
              <w:bottom w:val="single" w:color="auto" w:sz="12" w:space="0"/>
              <w:right w:val="single" w:color="auto" w:sz="4" w:space="0"/>
            </w:tcBorders>
            <w:vAlign w:val="center"/>
          </w:tcPr>
          <w:p>
            <w:pPr>
              <w:autoSpaceDE w:val="0"/>
              <w:autoSpaceDN w:val="0"/>
              <w:adjustRightInd w:val="0"/>
              <w:snapToGrid w:val="0"/>
              <w:spacing w:line="360" w:lineRule="auto"/>
              <w:jc w:val="center"/>
              <w:rPr>
                <w:rFonts w:ascii="宋体" w:hAnsi="宋体"/>
                <w:b/>
                <w:bCs/>
                <w:lang w:val="zh-CN"/>
              </w:rPr>
            </w:pPr>
            <w:r>
              <w:rPr>
                <w:rFonts w:hint="eastAsia" w:ascii="宋体" w:hAnsi="宋体"/>
                <w:b/>
                <w:bCs/>
                <w:lang w:val="zh-CN"/>
              </w:rPr>
              <w:t>拟在本项目中担任主要工作</w:t>
            </w:r>
          </w:p>
        </w:tc>
        <w:tc>
          <w:tcPr>
            <w:tcW w:w="6652" w:type="dxa"/>
            <w:gridSpan w:val="2"/>
            <w:tcBorders>
              <w:top w:val="single" w:color="auto" w:sz="4" w:space="0"/>
              <w:left w:val="single" w:color="auto" w:sz="4" w:space="0"/>
              <w:bottom w:val="single" w:color="auto" w:sz="12" w:space="0"/>
              <w:right w:val="single" w:color="auto" w:sz="12" w:space="0"/>
            </w:tcBorders>
            <w:vAlign w:val="center"/>
          </w:tcPr>
          <w:p>
            <w:pPr>
              <w:autoSpaceDE w:val="0"/>
              <w:autoSpaceDN w:val="0"/>
              <w:adjustRightInd w:val="0"/>
              <w:snapToGrid w:val="0"/>
              <w:spacing w:line="360" w:lineRule="auto"/>
              <w:jc w:val="center"/>
              <w:rPr>
                <w:rFonts w:ascii="宋体" w:hAnsi="宋体"/>
                <w:lang w:val="zh-CN"/>
              </w:rPr>
            </w:pPr>
          </w:p>
        </w:tc>
      </w:tr>
    </w:tbl>
    <w:p>
      <w:pPr>
        <w:spacing w:line="360" w:lineRule="auto"/>
        <w:ind w:left="420"/>
        <w:rPr>
          <w:rFonts w:ascii="宋体" w:hAnsi="宋体"/>
          <w:sz w:val="24"/>
        </w:rPr>
      </w:pPr>
    </w:p>
    <w:p>
      <w:pPr>
        <w:spacing w:line="360" w:lineRule="auto"/>
        <w:ind w:firstLine="480" w:firstLineChars="200"/>
        <w:rPr>
          <w:rFonts w:ascii="宋体" w:hAnsi="宋体"/>
          <w:sz w:val="24"/>
          <w:u w:val="single"/>
        </w:rPr>
      </w:pPr>
      <w:r>
        <w:rPr>
          <w:rFonts w:hint="eastAsia" w:ascii="宋体" w:hAnsi="宋体"/>
          <w:sz w:val="24"/>
        </w:rPr>
        <w:t>投标人名称（电子印章）：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snapToGrid w:val="0"/>
        <w:spacing w:before="50" w:after="50" w:line="360" w:lineRule="auto"/>
        <w:rPr>
          <w:rFonts w:ascii="宋体" w:hAnsi="宋体"/>
          <w:b/>
          <w:sz w:val="28"/>
        </w:rPr>
      </w:pPr>
      <w:r>
        <w:rPr>
          <w:rFonts w:hint="eastAsia" w:ascii="宋体" w:hAnsi="宋体"/>
          <w:b/>
          <w:sz w:val="28"/>
        </w:rPr>
        <w:t>附件8</w:t>
      </w:r>
    </w:p>
    <w:p>
      <w:pPr>
        <w:spacing w:line="360" w:lineRule="auto"/>
        <w:ind w:left="480"/>
        <w:jc w:val="center"/>
        <w:rPr>
          <w:rFonts w:ascii="宋体" w:hAnsi="宋体"/>
          <w:b/>
          <w:color w:val="000000"/>
          <w:sz w:val="32"/>
          <w:szCs w:val="32"/>
        </w:rPr>
      </w:pPr>
      <w:r>
        <w:rPr>
          <w:rFonts w:hint="eastAsia" w:ascii="宋体" w:hAnsi="宋体"/>
          <w:b/>
          <w:color w:val="000000"/>
          <w:sz w:val="32"/>
          <w:szCs w:val="32"/>
        </w:rPr>
        <w:t>供货</w:t>
      </w:r>
      <w:r>
        <w:rPr>
          <w:rFonts w:ascii="宋体" w:hAnsi="宋体"/>
          <w:b/>
          <w:color w:val="000000"/>
          <w:sz w:val="32"/>
          <w:szCs w:val="32"/>
        </w:rPr>
        <w:t>清单</w:t>
      </w:r>
      <w:r>
        <w:rPr>
          <w:rFonts w:hint="eastAsia" w:ascii="宋体" w:hAnsi="宋体"/>
          <w:b/>
          <w:color w:val="000000"/>
          <w:sz w:val="32"/>
          <w:szCs w:val="32"/>
        </w:rPr>
        <w:t xml:space="preserve"> (第 标)</w:t>
      </w:r>
    </w:p>
    <w:p>
      <w:pPr>
        <w:spacing w:line="360" w:lineRule="auto"/>
        <w:ind w:left="480"/>
        <w:rPr>
          <w:rFonts w:ascii="宋体" w:hAnsi="宋体"/>
          <w:color w:val="000000"/>
        </w:rPr>
      </w:pPr>
    </w:p>
    <w:p>
      <w:pPr>
        <w:spacing w:line="360" w:lineRule="auto"/>
        <w:rPr>
          <w:rFonts w:ascii="宋体" w:hAnsi="宋体"/>
          <w:color w:val="000000"/>
          <w:sz w:val="24"/>
        </w:rPr>
      </w:pPr>
      <w:r>
        <w:rPr>
          <w:rFonts w:hint="eastAsia" w:ascii="宋体" w:hAnsi="宋体"/>
          <w:color w:val="000000"/>
          <w:sz w:val="24"/>
        </w:rPr>
        <w:t xml:space="preserve">  项目编号：</w:t>
      </w:r>
    </w:p>
    <w:p>
      <w:pPr>
        <w:spacing w:line="360" w:lineRule="auto"/>
        <w:ind w:left="420"/>
        <w:rPr>
          <w:rFonts w:ascii="宋体" w:hAnsi="宋体"/>
          <w:color w:val="000000"/>
          <w:sz w:val="24"/>
        </w:rPr>
      </w:pPr>
    </w:p>
    <w:tbl>
      <w:tblPr>
        <w:tblStyle w:val="23"/>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2169"/>
        <w:gridCol w:w="1134"/>
        <w:gridCol w:w="1842"/>
        <w:gridCol w:w="99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color w:val="000000"/>
                <w:sz w:val="24"/>
              </w:rPr>
            </w:pPr>
            <w:r>
              <w:rPr>
                <w:rFonts w:hint="eastAsia" w:ascii="宋体" w:hAnsi="宋体"/>
                <w:b/>
                <w:color w:val="000000"/>
                <w:sz w:val="24"/>
              </w:rPr>
              <w:t>序号</w:t>
            </w:r>
          </w:p>
        </w:tc>
        <w:tc>
          <w:tcPr>
            <w:tcW w:w="2169" w:type="dxa"/>
            <w:vAlign w:val="center"/>
          </w:tcPr>
          <w:p>
            <w:pPr>
              <w:tabs>
                <w:tab w:val="left" w:pos="8280"/>
              </w:tabs>
              <w:autoSpaceDE w:val="0"/>
              <w:autoSpaceDN w:val="0"/>
              <w:adjustRightInd w:val="0"/>
              <w:spacing w:line="360" w:lineRule="auto"/>
              <w:ind w:right="25" w:firstLine="361" w:firstLineChars="150"/>
              <w:jc w:val="center"/>
              <w:rPr>
                <w:rFonts w:ascii="宋体" w:hAnsi="宋体"/>
                <w:b/>
                <w:color w:val="000000"/>
                <w:sz w:val="24"/>
              </w:rPr>
            </w:pPr>
            <w:r>
              <w:rPr>
                <w:rFonts w:hint="eastAsia" w:ascii="宋体" w:hAnsi="宋体"/>
                <w:b/>
                <w:color w:val="000000"/>
                <w:sz w:val="24"/>
              </w:rPr>
              <w:t>名称</w:t>
            </w:r>
          </w:p>
        </w:tc>
        <w:tc>
          <w:tcPr>
            <w:tcW w:w="1134" w:type="dxa"/>
            <w:vAlign w:val="center"/>
          </w:tcPr>
          <w:p>
            <w:pPr>
              <w:tabs>
                <w:tab w:val="left" w:pos="8280"/>
              </w:tabs>
              <w:autoSpaceDE w:val="0"/>
              <w:autoSpaceDN w:val="0"/>
              <w:adjustRightInd w:val="0"/>
              <w:spacing w:line="360" w:lineRule="auto"/>
              <w:ind w:right="25"/>
              <w:jc w:val="center"/>
              <w:rPr>
                <w:rFonts w:ascii="宋体" w:hAnsi="宋体"/>
                <w:b/>
                <w:color w:val="000000"/>
                <w:sz w:val="24"/>
              </w:rPr>
            </w:pPr>
            <w:r>
              <w:rPr>
                <w:rFonts w:hint="eastAsia" w:ascii="宋体" w:hAnsi="宋体"/>
                <w:b/>
                <w:color w:val="000000"/>
                <w:sz w:val="24"/>
              </w:rPr>
              <w:t>品牌</w:t>
            </w:r>
          </w:p>
        </w:tc>
        <w:tc>
          <w:tcPr>
            <w:tcW w:w="1842" w:type="dxa"/>
            <w:vAlign w:val="center"/>
          </w:tcPr>
          <w:p>
            <w:pPr>
              <w:tabs>
                <w:tab w:val="left" w:pos="8280"/>
              </w:tabs>
              <w:autoSpaceDE w:val="0"/>
              <w:autoSpaceDN w:val="0"/>
              <w:adjustRightInd w:val="0"/>
              <w:spacing w:line="360" w:lineRule="auto"/>
              <w:ind w:right="25"/>
              <w:jc w:val="center"/>
              <w:rPr>
                <w:rFonts w:ascii="宋体" w:hAnsi="宋体"/>
                <w:b/>
                <w:color w:val="000000"/>
                <w:sz w:val="24"/>
              </w:rPr>
            </w:pPr>
            <w:r>
              <w:rPr>
                <w:rFonts w:hint="eastAsia" w:ascii="宋体" w:hAnsi="宋体"/>
                <w:b/>
                <w:color w:val="000000"/>
                <w:sz w:val="24"/>
              </w:rPr>
              <w:t>规格型号</w:t>
            </w:r>
          </w:p>
        </w:tc>
        <w:tc>
          <w:tcPr>
            <w:tcW w:w="993" w:type="dxa"/>
            <w:vAlign w:val="center"/>
          </w:tcPr>
          <w:p>
            <w:pPr>
              <w:spacing w:line="360" w:lineRule="auto"/>
              <w:ind w:left="52"/>
              <w:jc w:val="center"/>
              <w:rPr>
                <w:rFonts w:ascii="宋体" w:hAnsi="宋体"/>
                <w:b/>
                <w:color w:val="000000"/>
                <w:sz w:val="24"/>
              </w:rPr>
            </w:pPr>
            <w:r>
              <w:rPr>
                <w:rFonts w:hint="eastAsia" w:ascii="宋体" w:hAnsi="宋体"/>
                <w:b/>
                <w:color w:val="000000"/>
                <w:sz w:val="24"/>
              </w:rPr>
              <w:t>产地</w:t>
            </w:r>
          </w:p>
        </w:tc>
        <w:tc>
          <w:tcPr>
            <w:tcW w:w="1559" w:type="dxa"/>
            <w:vAlign w:val="center"/>
          </w:tcPr>
          <w:p>
            <w:pPr>
              <w:spacing w:line="360" w:lineRule="auto"/>
              <w:ind w:left="152"/>
              <w:jc w:val="center"/>
              <w:rPr>
                <w:rFonts w:ascii="宋体" w:hAnsi="宋体"/>
                <w:b/>
                <w:color w:val="000000"/>
                <w:sz w:val="24"/>
              </w:rPr>
            </w:pPr>
            <w:r>
              <w:rPr>
                <w:rFonts w:hint="eastAsia" w:ascii="宋体" w:hAnsi="宋体"/>
                <w:b/>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2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trPr>
        <w:tc>
          <w:tcPr>
            <w:tcW w:w="525" w:type="dxa"/>
            <w:vAlign w:val="center"/>
          </w:tcPr>
          <w:p>
            <w:pPr>
              <w:spacing w:line="360" w:lineRule="auto"/>
              <w:rPr>
                <w:rFonts w:ascii="宋体" w:hAnsi="宋体"/>
                <w:color w:val="000000"/>
                <w:sz w:val="24"/>
              </w:rPr>
            </w:pPr>
          </w:p>
        </w:tc>
        <w:tc>
          <w:tcPr>
            <w:tcW w:w="2169" w:type="dxa"/>
            <w:vAlign w:val="center"/>
          </w:tcPr>
          <w:p>
            <w:pPr>
              <w:spacing w:line="360" w:lineRule="auto"/>
              <w:rPr>
                <w:rFonts w:ascii="宋体" w:hAnsi="宋体"/>
                <w:color w:val="000000"/>
                <w:sz w:val="24"/>
              </w:rPr>
            </w:pPr>
          </w:p>
        </w:tc>
        <w:tc>
          <w:tcPr>
            <w:tcW w:w="1134" w:type="dxa"/>
            <w:vAlign w:val="center"/>
          </w:tcPr>
          <w:p>
            <w:pPr>
              <w:spacing w:line="360" w:lineRule="auto"/>
              <w:rPr>
                <w:rFonts w:ascii="宋体" w:hAnsi="宋体"/>
                <w:color w:val="000000"/>
                <w:sz w:val="24"/>
              </w:rPr>
            </w:pPr>
          </w:p>
        </w:tc>
        <w:tc>
          <w:tcPr>
            <w:tcW w:w="1842" w:type="dxa"/>
            <w:vAlign w:val="center"/>
          </w:tcPr>
          <w:p>
            <w:pPr>
              <w:spacing w:line="360" w:lineRule="auto"/>
              <w:rPr>
                <w:rFonts w:ascii="宋体" w:hAnsi="宋体"/>
                <w:color w:val="000000"/>
                <w:sz w:val="24"/>
              </w:rPr>
            </w:pPr>
          </w:p>
        </w:tc>
        <w:tc>
          <w:tcPr>
            <w:tcW w:w="993" w:type="dxa"/>
            <w:vAlign w:val="center"/>
          </w:tcPr>
          <w:p>
            <w:pPr>
              <w:spacing w:line="360" w:lineRule="auto"/>
              <w:rPr>
                <w:rFonts w:ascii="宋体" w:hAnsi="宋体"/>
                <w:color w:val="000000"/>
                <w:sz w:val="24"/>
              </w:rPr>
            </w:pPr>
          </w:p>
        </w:tc>
        <w:tc>
          <w:tcPr>
            <w:tcW w:w="1559" w:type="dxa"/>
            <w:vAlign w:val="center"/>
          </w:tcPr>
          <w:p>
            <w:pPr>
              <w:spacing w:line="360" w:lineRule="auto"/>
              <w:rPr>
                <w:rFonts w:ascii="宋体" w:hAnsi="宋体"/>
                <w:color w:val="000000"/>
                <w:sz w:val="24"/>
              </w:rPr>
            </w:pPr>
          </w:p>
        </w:tc>
      </w:tr>
    </w:tbl>
    <w:p>
      <w:pPr>
        <w:spacing w:line="360" w:lineRule="auto"/>
        <w:ind w:left="420"/>
        <w:rPr>
          <w:rFonts w:ascii="宋体" w:hAnsi="宋体"/>
          <w:color w:val="000000"/>
          <w:sz w:val="24"/>
        </w:rPr>
      </w:pPr>
    </w:p>
    <w:p>
      <w:pPr>
        <w:spacing w:line="360" w:lineRule="auto"/>
        <w:ind w:left="435"/>
        <w:rPr>
          <w:rFonts w:ascii="宋体" w:hAnsi="宋体"/>
          <w:b/>
          <w:color w:val="000000"/>
          <w:szCs w:val="21"/>
        </w:rPr>
      </w:pPr>
      <w:r>
        <w:rPr>
          <w:rFonts w:hint="eastAsia" w:ascii="宋体" w:hAnsi="宋体"/>
          <w:b/>
          <w:color w:val="000000"/>
          <w:szCs w:val="21"/>
        </w:rPr>
        <w:t>要求：</w:t>
      </w:r>
    </w:p>
    <w:p>
      <w:pPr>
        <w:spacing w:line="360" w:lineRule="auto"/>
        <w:ind w:left="435" w:firstLine="559" w:firstLineChars="265"/>
        <w:rPr>
          <w:rFonts w:ascii="宋体" w:hAnsi="宋体"/>
          <w:color w:val="000000"/>
          <w:szCs w:val="21"/>
        </w:rPr>
      </w:pPr>
      <w:r>
        <w:rPr>
          <w:rFonts w:hint="eastAsia" w:ascii="宋体" w:hAnsi="宋体"/>
          <w:b/>
          <w:color w:val="000000"/>
          <w:szCs w:val="21"/>
        </w:rPr>
        <w:t>1.</w:t>
      </w:r>
      <w:r>
        <w:rPr>
          <w:rFonts w:hint="eastAsia" w:ascii="宋体" w:hAnsi="宋体"/>
          <w:color w:val="000000"/>
          <w:szCs w:val="21"/>
        </w:rPr>
        <w:t>本表中的名称、数量应与报价明细表中相对应的报价名称、数量一致</w:t>
      </w:r>
    </w:p>
    <w:p>
      <w:pPr>
        <w:spacing w:line="360" w:lineRule="auto"/>
        <w:ind w:left="420"/>
        <w:rPr>
          <w:rFonts w:ascii="宋体" w:hAnsi="宋体"/>
          <w:color w:val="000000"/>
          <w:sz w:val="24"/>
        </w:rPr>
      </w:pPr>
    </w:p>
    <w:p>
      <w:pPr>
        <w:spacing w:line="360" w:lineRule="auto"/>
        <w:rPr>
          <w:rFonts w:ascii="宋体" w:hAnsi="宋体"/>
          <w:color w:val="000000"/>
          <w:sz w:val="24"/>
        </w:rPr>
      </w:pPr>
    </w:p>
    <w:p>
      <w:pPr>
        <w:spacing w:line="360" w:lineRule="auto"/>
        <w:ind w:left="420"/>
        <w:rPr>
          <w:rFonts w:ascii="宋体" w:hAnsi="宋体"/>
          <w:color w:val="000000"/>
          <w:sz w:val="24"/>
        </w:rPr>
      </w:pPr>
    </w:p>
    <w:p>
      <w:pPr>
        <w:spacing w:line="360" w:lineRule="auto"/>
        <w:ind w:left="420" w:firstLine="571" w:firstLineChars="238"/>
        <w:rPr>
          <w:rFonts w:ascii="宋体" w:hAnsi="宋体"/>
          <w:color w:val="000000"/>
          <w:sz w:val="24"/>
          <w:u w:val="single"/>
        </w:rPr>
      </w:pPr>
      <w:r>
        <w:rPr>
          <w:rFonts w:hint="eastAsia" w:ascii="宋体" w:hAnsi="宋体"/>
          <w:color w:val="000000"/>
          <w:sz w:val="24"/>
        </w:rPr>
        <w:t>投标人名称（</w:t>
      </w:r>
      <w:r>
        <w:rPr>
          <w:rFonts w:hint="eastAsia" w:ascii="宋体" w:hAnsi="宋体"/>
          <w:sz w:val="24"/>
        </w:rPr>
        <w:t>电子印章</w:t>
      </w:r>
      <w:r>
        <w:rPr>
          <w:rFonts w:hint="eastAsia" w:ascii="宋体" w:hAnsi="宋体"/>
          <w:color w:val="000000"/>
          <w:sz w:val="24"/>
        </w:rPr>
        <w:t>）：</w:t>
      </w:r>
    </w:p>
    <w:p>
      <w:pPr>
        <w:spacing w:line="360" w:lineRule="auto"/>
        <w:ind w:left="420"/>
        <w:rPr>
          <w:rFonts w:ascii="宋体" w:hAnsi="宋体"/>
          <w:color w:val="000000"/>
          <w:sz w:val="24"/>
        </w:rPr>
      </w:pPr>
    </w:p>
    <w:p>
      <w:pPr>
        <w:spacing w:line="360" w:lineRule="auto"/>
        <w:ind w:firstLine="993"/>
        <w:rPr>
          <w:rFonts w:ascii="宋体" w:hAnsi="宋体"/>
          <w:color w:val="000000"/>
          <w:sz w:val="24"/>
        </w:rPr>
      </w:pPr>
      <w:r>
        <w:rPr>
          <w:rFonts w:hint="eastAsia" w:ascii="宋体" w:hAnsi="宋体"/>
          <w:color w:val="000000"/>
          <w:sz w:val="24"/>
        </w:rPr>
        <w:t>投标人代表签字或盖章：</w:t>
      </w:r>
    </w:p>
    <w:p>
      <w:pPr>
        <w:spacing w:line="360" w:lineRule="auto"/>
        <w:ind w:firstLine="435"/>
        <w:rPr>
          <w:rFonts w:ascii="宋体" w:hAnsi="宋体"/>
          <w:color w:val="000000"/>
          <w:sz w:val="24"/>
        </w:rPr>
      </w:pPr>
    </w:p>
    <w:p>
      <w:pPr>
        <w:spacing w:line="360" w:lineRule="auto"/>
        <w:ind w:firstLine="993"/>
        <w:rPr>
          <w:rFonts w:ascii="宋体" w:hAnsi="宋体"/>
          <w:color w:val="000000"/>
          <w:sz w:val="24"/>
        </w:rPr>
      </w:pPr>
      <w:r>
        <w:rPr>
          <w:rFonts w:hint="eastAsia" w:ascii="宋体" w:hAnsi="宋体"/>
          <w:color w:val="000000"/>
          <w:sz w:val="24"/>
        </w:rPr>
        <w:t>职        务：</w:t>
      </w:r>
    </w:p>
    <w:p>
      <w:pPr>
        <w:spacing w:line="360" w:lineRule="auto"/>
        <w:ind w:firstLine="435"/>
        <w:rPr>
          <w:rFonts w:ascii="宋体" w:hAnsi="宋体"/>
          <w:color w:val="000000"/>
          <w:sz w:val="24"/>
        </w:rPr>
      </w:pPr>
    </w:p>
    <w:p>
      <w:pPr>
        <w:spacing w:line="360" w:lineRule="auto"/>
        <w:ind w:firstLine="993"/>
        <w:rPr>
          <w:rFonts w:ascii="宋体" w:hAnsi="宋体"/>
          <w:color w:val="000000"/>
          <w:sz w:val="24"/>
        </w:rPr>
      </w:pPr>
      <w:r>
        <w:rPr>
          <w:rFonts w:hint="eastAsia" w:ascii="宋体" w:hAnsi="宋体"/>
          <w:color w:val="000000"/>
          <w:sz w:val="24"/>
        </w:rPr>
        <w:t>日        期：</w:t>
      </w:r>
    </w:p>
    <w:p>
      <w:pPr>
        <w:snapToGrid w:val="0"/>
        <w:spacing w:before="50" w:after="50" w:line="360" w:lineRule="auto"/>
        <w:rPr>
          <w:rFonts w:ascii="宋体" w:hAnsi="宋体"/>
          <w:b/>
          <w:sz w:val="28"/>
        </w:rPr>
      </w:pPr>
    </w:p>
    <w:p>
      <w:pPr>
        <w:snapToGrid w:val="0"/>
        <w:spacing w:before="50" w:after="50" w:line="360" w:lineRule="auto"/>
        <w:rPr>
          <w:rFonts w:ascii="宋体" w:hAnsi="宋体"/>
          <w:b/>
          <w:sz w:val="28"/>
        </w:rPr>
      </w:pPr>
      <w:r>
        <w:rPr>
          <w:rFonts w:hint="eastAsia" w:ascii="宋体" w:hAnsi="宋体"/>
          <w:b/>
          <w:sz w:val="28"/>
        </w:rPr>
        <w:t>附件9</w:t>
      </w:r>
    </w:p>
    <w:p>
      <w:pPr>
        <w:spacing w:line="360" w:lineRule="auto"/>
        <w:ind w:left="480"/>
        <w:jc w:val="center"/>
        <w:rPr>
          <w:rFonts w:ascii="宋体" w:hAnsi="宋体"/>
          <w:b/>
          <w:color w:val="33CCCC"/>
          <w:sz w:val="32"/>
          <w:szCs w:val="32"/>
        </w:rPr>
      </w:pPr>
      <w:r>
        <w:rPr>
          <w:rFonts w:ascii="宋体" w:hAnsi="宋体"/>
          <w:kern w:val="0"/>
          <w:sz w:val="32"/>
          <w:szCs w:val="32"/>
        </w:rPr>
        <w:t>技术</w:t>
      </w:r>
      <w:r>
        <w:rPr>
          <w:rFonts w:hint="eastAsia" w:ascii="宋体" w:hAnsi="宋体"/>
          <w:kern w:val="0"/>
          <w:sz w:val="32"/>
          <w:szCs w:val="32"/>
        </w:rPr>
        <w:t>需求</w:t>
      </w:r>
      <w:r>
        <w:rPr>
          <w:rFonts w:ascii="宋体" w:hAnsi="宋体"/>
          <w:kern w:val="0"/>
          <w:sz w:val="32"/>
          <w:szCs w:val="32"/>
        </w:rPr>
        <w:t>响应表</w:t>
      </w:r>
      <w:r>
        <w:rPr>
          <w:rFonts w:hint="eastAsia" w:ascii="宋体" w:hAnsi="宋体"/>
          <w:b/>
          <w:color w:val="33CCCC"/>
          <w:sz w:val="32"/>
          <w:szCs w:val="32"/>
        </w:rPr>
        <w:t>(第 标)</w:t>
      </w:r>
    </w:p>
    <w:p>
      <w:pPr>
        <w:spacing w:line="360" w:lineRule="auto"/>
        <w:rPr>
          <w:rFonts w:ascii="宋体" w:hAnsi="宋体"/>
          <w:sz w:val="24"/>
        </w:rPr>
      </w:pPr>
    </w:p>
    <w:tbl>
      <w:tblPr>
        <w:tblStyle w:val="23"/>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449"/>
        <w:gridCol w:w="1560"/>
        <w:gridCol w:w="1401"/>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735" w:type="dxa"/>
            <w:vAlign w:val="center"/>
          </w:tcPr>
          <w:p>
            <w:pPr>
              <w:spacing w:line="360" w:lineRule="auto"/>
              <w:rPr>
                <w:rFonts w:ascii="宋体" w:hAnsi="宋体"/>
                <w:b/>
                <w:sz w:val="24"/>
              </w:rPr>
            </w:pPr>
            <w:r>
              <w:rPr>
                <w:rFonts w:hint="eastAsia" w:ascii="宋体" w:hAnsi="宋体"/>
                <w:b/>
                <w:sz w:val="24"/>
              </w:rPr>
              <w:t>序号</w:t>
            </w:r>
          </w:p>
        </w:tc>
        <w:tc>
          <w:tcPr>
            <w:tcW w:w="1785" w:type="dxa"/>
            <w:vAlign w:val="center"/>
          </w:tcPr>
          <w:p>
            <w:pPr>
              <w:spacing w:line="360" w:lineRule="auto"/>
              <w:ind w:left="13" w:leftChars="6" w:firstLine="482" w:firstLineChars="200"/>
              <w:rPr>
                <w:rFonts w:ascii="宋体" w:hAnsi="宋体"/>
                <w:b/>
                <w:sz w:val="24"/>
              </w:rPr>
            </w:pPr>
            <w:r>
              <w:rPr>
                <w:rFonts w:hint="eastAsia" w:ascii="宋体" w:hAnsi="宋体"/>
                <w:b/>
                <w:sz w:val="24"/>
              </w:rPr>
              <w:t>名称</w:t>
            </w:r>
          </w:p>
        </w:tc>
        <w:tc>
          <w:tcPr>
            <w:tcW w:w="1449" w:type="dxa"/>
            <w:vAlign w:val="center"/>
          </w:tcPr>
          <w:p>
            <w:pPr>
              <w:spacing w:line="360" w:lineRule="auto"/>
              <w:ind w:left="52"/>
              <w:rPr>
                <w:rFonts w:ascii="宋体" w:hAnsi="宋体"/>
                <w:b/>
                <w:sz w:val="24"/>
              </w:rPr>
            </w:pPr>
            <w:r>
              <w:rPr>
                <w:rFonts w:hint="eastAsia" w:ascii="宋体" w:hAnsi="宋体"/>
                <w:b/>
                <w:sz w:val="24"/>
              </w:rPr>
              <w:t>规格型号</w:t>
            </w:r>
          </w:p>
        </w:tc>
        <w:tc>
          <w:tcPr>
            <w:tcW w:w="1560" w:type="dxa"/>
            <w:vAlign w:val="center"/>
          </w:tcPr>
          <w:p>
            <w:pPr>
              <w:spacing w:line="360" w:lineRule="auto"/>
              <w:ind w:left="152"/>
              <w:rPr>
                <w:rFonts w:ascii="宋体" w:hAnsi="宋体"/>
                <w:b/>
                <w:sz w:val="24"/>
              </w:rPr>
            </w:pPr>
            <w:r>
              <w:rPr>
                <w:rFonts w:hint="eastAsia" w:ascii="宋体" w:hAnsi="宋体"/>
                <w:b/>
                <w:sz w:val="24"/>
              </w:rPr>
              <w:t>招标参数</w:t>
            </w:r>
          </w:p>
        </w:tc>
        <w:tc>
          <w:tcPr>
            <w:tcW w:w="1401" w:type="dxa"/>
            <w:vAlign w:val="center"/>
          </w:tcPr>
          <w:p>
            <w:pPr>
              <w:spacing w:line="360" w:lineRule="auto"/>
              <w:rPr>
                <w:rFonts w:ascii="宋体" w:hAnsi="宋体"/>
                <w:b/>
                <w:sz w:val="24"/>
              </w:rPr>
            </w:pPr>
            <w:r>
              <w:rPr>
                <w:rFonts w:hint="eastAsia" w:ascii="宋体" w:hAnsi="宋体"/>
                <w:b/>
                <w:sz w:val="24"/>
              </w:rPr>
              <w:t>投标参数</w:t>
            </w:r>
          </w:p>
        </w:tc>
        <w:tc>
          <w:tcPr>
            <w:tcW w:w="1365" w:type="dxa"/>
            <w:vAlign w:val="center"/>
          </w:tcPr>
          <w:p>
            <w:pPr>
              <w:spacing w:line="360" w:lineRule="auto"/>
              <w:rPr>
                <w:rFonts w:ascii="宋体" w:hAnsi="宋体"/>
                <w:b/>
                <w:sz w:val="24"/>
              </w:rPr>
            </w:pPr>
            <w:r>
              <w:rPr>
                <w:rFonts w:hint="eastAsia" w:ascii="宋体" w:hAnsi="宋体"/>
                <w:b/>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spacing w:line="360" w:lineRule="auto"/>
              <w:rPr>
                <w:rFonts w:ascii="宋体" w:hAnsi="宋体"/>
                <w:sz w:val="24"/>
              </w:rPr>
            </w:pPr>
          </w:p>
        </w:tc>
        <w:tc>
          <w:tcPr>
            <w:tcW w:w="1785" w:type="dxa"/>
            <w:vAlign w:val="center"/>
          </w:tcPr>
          <w:p>
            <w:pPr>
              <w:spacing w:line="360" w:lineRule="auto"/>
              <w:rPr>
                <w:rFonts w:ascii="宋体" w:hAnsi="宋体"/>
                <w:sz w:val="24"/>
              </w:rPr>
            </w:pPr>
          </w:p>
        </w:tc>
        <w:tc>
          <w:tcPr>
            <w:tcW w:w="1449" w:type="dxa"/>
            <w:vAlign w:val="center"/>
          </w:tcPr>
          <w:p>
            <w:pPr>
              <w:spacing w:line="360" w:lineRule="auto"/>
              <w:rPr>
                <w:rFonts w:ascii="宋体" w:hAnsi="宋体"/>
                <w:sz w:val="24"/>
              </w:rPr>
            </w:pPr>
          </w:p>
        </w:tc>
        <w:tc>
          <w:tcPr>
            <w:tcW w:w="1560" w:type="dxa"/>
            <w:vAlign w:val="center"/>
          </w:tcPr>
          <w:p>
            <w:pPr>
              <w:spacing w:line="360" w:lineRule="auto"/>
              <w:rPr>
                <w:rFonts w:ascii="宋体" w:hAnsi="宋体"/>
                <w:sz w:val="24"/>
              </w:rPr>
            </w:pPr>
          </w:p>
        </w:tc>
        <w:tc>
          <w:tcPr>
            <w:tcW w:w="1401" w:type="dxa"/>
            <w:vAlign w:val="center"/>
          </w:tcPr>
          <w:p>
            <w:pPr>
              <w:spacing w:line="360" w:lineRule="auto"/>
              <w:rPr>
                <w:rFonts w:ascii="宋体" w:hAnsi="宋体"/>
                <w:sz w:val="24"/>
              </w:rPr>
            </w:pPr>
          </w:p>
        </w:tc>
        <w:tc>
          <w:tcPr>
            <w:tcW w:w="1365" w:type="dxa"/>
            <w:vAlign w:val="center"/>
          </w:tcPr>
          <w:p>
            <w:pPr>
              <w:spacing w:line="360" w:lineRule="auto"/>
              <w:rPr>
                <w:rFonts w:ascii="宋体" w:hAnsi="宋体"/>
                <w:sz w:val="24"/>
              </w:rPr>
            </w:pPr>
          </w:p>
        </w:tc>
      </w:tr>
    </w:tbl>
    <w:p>
      <w:pPr>
        <w:pStyle w:val="36"/>
        <w:tabs>
          <w:tab w:val="left" w:pos="360"/>
        </w:tabs>
        <w:spacing w:line="360" w:lineRule="auto"/>
        <w:ind w:right="84" w:rightChars="40"/>
        <w:rPr>
          <w:rFonts w:ascii="宋体"/>
          <w:b/>
          <w:szCs w:val="21"/>
        </w:rPr>
      </w:pPr>
      <w:r>
        <w:rPr>
          <w:rFonts w:hint="eastAsia" w:ascii="宋体"/>
          <w:b/>
          <w:szCs w:val="21"/>
        </w:rPr>
        <w:t>要求：</w:t>
      </w:r>
    </w:p>
    <w:p>
      <w:pPr>
        <w:pStyle w:val="36"/>
        <w:tabs>
          <w:tab w:val="left" w:pos="360"/>
        </w:tabs>
        <w:spacing w:line="360" w:lineRule="auto"/>
        <w:ind w:right="84" w:rightChars="40" w:firstLine="420" w:firstLineChars="200"/>
        <w:rPr>
          <w:rFonts w:ascii="宋体"/>
          <w:szCs w:val="21"/>
        </w:rPr>
      </w:pPr>
      <w:r>
        <w:rPr>
          <w:rFonts w:hint="eastAsia" w:ascii="宋体"/>
          <w:szCs w:val="21"/>
        </w:rPr>
        <w:t>1. 本表的名称须与《报价明细表》一致。</w:t>
      </w:r>
    </w:p>
    <w:p>
      <w:pPr>
        <w:pStyle w:val="36"/>
        <w:spacing w:line="360" w:lineRule="auto"/>
        <w:ind w:right="84" w:rightChars="40" w:firstLine="420" w:firstLineChars="200"/>
        <w:rPr>
          <w:rFonts w:ascii="宋体"/>
          <w:szCs w:val="21"/>
        </w:rPr>
      </w:pPr>
      <w:r>
        <w:rPr>
          <w:rFonts w:hint="eastAsia" w:ascii="宋体"/>
          <w:szCs w:val="21"/>
        </w:rPr>
        <w:t>2.本表参照本招标文件第二部分“招标需求”内第二条“具体技术需求”填制，投标人应根据投标设备的性能指标、服务指标，对照招标文件要求在“偏离情况”栏注明“正偏离”、“负偏离”或“无偏离”。</w:t>
      </w:r>
    </w:p>
    <w:p>
      <w:pPr>
        <w:pStyle w:val="36"/>
        <w:spacing w:line="360" w:lineRule="auto"/>
        <w:ind w:right="84" w:rightChars="40" w:firstLine="420" w:firstLineChars="200"/>
        <w:rPr>
          <w:rFonts w:ascii="宋体"/>
          <w:szCs w:val="21"/>
        </w:rPr>
      </w:pPr>
      <w:r>
        <w:rPr>
          <w:rFonts w:hint="eastAsia" w:ascii="宋体"/>
          <w:szCs w:val="21"/>
        </w:rPr>
        <w:t>3.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评审小组将视偏离程度给予扣分或认定为虚假应标。</w:t>
      </w:r>
    </w:p>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pStyle w:val="37"/>
        <w:spacing w:line="360" w:lineRule="auto"/>
        <w:jc w:val="left"/>
        <w:rPr>
          <w:rFonts w:ascii="宋体" w:hAnsi="宋体"/>
          <w:b/>
          <w:sz w:val="28"/>
        </w:rPr>
      </w:pPr>
      <w:r>
        <w:rPr>
          <w:rFonts w:hint="eastAsia" w:ascii="宋体" w:hAnsi="宋体"/>
          <w:b/>
          <w:sz w:val="28"/>
        </w:rPr>
        <w:t>附件10</w:t>
      </w:r>
    </w:p>
    <w:p>
      <w:pPr>
        <w:pStyle w:val="38"/>
        <w:spacing w:line="360" w:lineRule="auto"/>
        <w:jc w:val="center"/>
        <w:rPr>
          <w:rFonts w:ascii="宋体" w:hAnsi="宋体"/>
          <w:b/>
          <w:sz w:val="32"/>
          <w:szCs w:val="32"/>
        </w:rPr>
      </w:pPr>
      <w:r>
        <w:rPr>
          <w:rFonts w:hint="eastAsia" w:ascii="宋体" w:hAnsi="宋体"/>
          <w:b/>
          <w:sz w:val="32"/>
          <w:szCs w:val="32"/>
        </w:rPr>
        <w:t>证书一览表</w:t>
      </w:r>
    </w:p>
    <w:p>
      <w:pPr>
        <w:pStyle w:val="38"/>
        <w:spacing w:line="360" w:lineRule="auto"/>
        <w:jc w:val="center"/>
        <w:rPr>
          <w:rFonts w:ascii="宋体" w:hAnsi="宋体" w:cs="Arial"/>
          <w:sz w:val="28"/>
          <w:szCs w:val="28"/>
        </w:rPr>
      </w:pPr>
    </w:p>
    <w:tbl>
      <w:tblPr>
        <w:tblStyle w:val="23"/>
        <w:tblW w:w="8432" w:type="dxa"/>
        <w:jc w:val="center"/>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tcPr>
          <w:p>
            <w:pPr>
              <w:pStyle w:val="38"/>
              <w:spacing w:line="360" w:lineRule="auto"/>
              <w:jc w:val="center"/>
              <w:rPr>
                <w:rFonts w:ascii="宋体" w:hAnsi="宋体" w:cs="Arial"/>
                <w:b/>
                <w:bCs/>
                <w:sz w:val="24"/>
              </w:rPr>
            </w:pPr>
            <w:r>
              <w:rPr>
                <w:rFonts w:hint="eastAsia" w:ascii="宋体" w:hAnsi="宋体" w:cs="Arial"/>
                <w:b/>
                <w:bCs/>
                <w:sz w:val="24"/>
              </w:rPr>
              <w:t>证书名称</w:t>
            </w:r>
          </w:p>
        </w:tc>
        <w:tc>
          <w:tcPr>
            <w:tcW w:w="2258" w:type="dxa"/>
            <w:tcBorders>
              <w:top w:val="single" w:color="auto" w:sz="4" w:space="0"/>
              <w:bottom w:val="single" w:color="auto" w:sz="4" w:space="0"/>
            </w:tcBorders>
          </w:tcPr>
          <w:p>
            <w:pPr>
              <w:pStyle w:val="38"/>
              <w:spacing w:line="360" w:lineRule="auto"/>
              <w:jc w:val="center"/>
              <w:rPr>
                <w:rFonts w:ascii="宋体" w:hAnsi="宋体" w:cs="Arial"/>
                <w:b/>
                <w:bCs/>
                <w:sz w:val="24"/>
              </w:rPr>
            </w:pPr>
            <w:r>
              <w:rPr>
                <w:rFonts w:hint="eastAsia" w:ascii="宋体" w:hAnsi="宋体" w:cs="Arial"/>
                <w:b/>
                <w:bCs/>
                <w:sz w:val="24"/>
              </w:rPr>
              <w:t>发证单位</w:t>
            </w:r>
          </w:p>
        </w:tc>
        <w:tc>
          <w:tcPr>
            <w:tcW w:w="2260" w:type="dxa"/>
            <w:tcBorders>
              <w:top w:val="single" w:color="auto" w:sz="4" w:space="0"/>
              <w:bottom w:val="single" w:color="auto" w:sz="4" w:space="0"/>
            </w:tcBorders>
          </w:tcPr>
          <w:p>
            <w:pPr>
              <w:pStyle w:val="38"/>
              <w:spacing w:line="360" w:lineRule="auto"/>
              <w:jc w:val="center"/>
              <w:rPr>
                <w:rFonts w:ascii="宋体" w:hAnsi="宋体" w:cs="Arial"/>
                <w:b/>
                <w:bCs/>
                <w:sz w:val="24"/>
              </w:rPr>
            </w:pPr>
            <w:r>
              <w:rPr>
                <w:rFonts w:hint="eastAsia" w:ascii="宋体" w:hAnsi="宋体" w:cs="Arial"/>
                <w:b/>
                <w:bCs/>
                <w:sz w:val="24"/>
              </w:rPr>
              <w:t>证书等级</w:t>
            </w:r>
          </w:p>
        </w:tc>
        <w:tc>
          <w:tcPr>
            <w:tcW w:w="2047" w:type="dxa"/>
            <w:tcBorders>
              <w:top w:val="single" w:color="auto" w:sz="4" w:space="0"/>
              <w:bottom w:val="single" w:color="auto" w:sz="4" w:space="0"/>
              <w:right w:val="single" w:color="auto" w:sz="4" w:space="0"/>
            </w:tcBorders>
          </w:tcPr>
          <w:p>
            <w:pPr>
              <w:pStyle w:val="38"/>
              <w:spacing w:line="360" w:lineRule="auto"/>
              <w:jc w:val="center"/>
              <w:rPr>
                <w:rFonts w:ascii="宋体" w:hAnsi="宋体" w:cs="Arial"/>
                <w:b/>
                <w:bCs/>
                <w:sz w:val="24"/>
              </w:rPr>
            </w:pPr>
            <w:r>
              <w:rPr>
                <w:rFonts w:hint="eastAsia" w:ascii="宋体" w:hAnsi="宋体" w:cs="Arial"/>
                <w:b/>
                <w:bCs/>
                <w:sz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top w:val="single" w:color="auto" w:sz="4" w:space="0"/>
              <w:left w:val="single" w:color="auto" w:sz="4" w:space="0"/>
            </w:tcBorders>
          </w:tcPr>
          <w:p>
            <w:pPr>
              <w:pStyle w:val="38"/>
              <w:spacing w:line="360" w:lineRule="auto"/>
              <w:jc w:val="center"/>
              <w:rPr>
                <w:rFonts w:ascii="宋体" w:hAnsi="宋体" w:cs="Arial"/>
                <w:szCs w:val="21"/>
              </w:rPr>
            </w:pPr>
          </w:p>
        </w:tc>
        <w:tc>
          <w:tcPr>
            <w:tcW w:w="2258" w:type="dxa"/>
            <w:tcBorders>
              <w:top w:val="single" w:color="auto" w:sz="4" w:space="0"/>
            </w:tcBorders>
          </w:tcPr>
          <w:p>
            <w:pPr>
              <w:pStyle w:val="38"/>
              <w:spacing w:line="360" w:lineRule="auto"/>
              <w:jc w:val="center"/>
              <w:rPr>
                <w:rFonts w:ascii="宋体" w:hAnsi="宋体" w:cs="Arial"/>
                <w:szCs w:val="21"/>
              </w:rPr>
            </w:pPr>
          </w:p>
        </w:tc>
        <w:tc>
          <w:tcPr>
            <w:tcW w:w="2260" w:type="dxa"/>
            <w:tcBorders>
              <w:top w:val="single" w:color="auto" w:sz="4" w:space="0"/>
            </w:tcBorders>
          </w:tcPr>
          <w:p>
            <w:pPr>
              <w:pStyle w:val="38"/>
              <w:spacing w:line="360" w:lineRule="auto"/>
              <w:jc w:val="center"/>
              <w:rPr>
                <w:rFonts w:ascii="宋体" w:hAnsi="宋体" w:cs="Arial"/>
                <w:szCs w:val="21"/>
              </w:rPr>
            </w:pPr>
          </w:p>
        </w:tc>
        <w:tc>
          <w:tcPr>
            <w:tcW w:w="2047" w:type="dxa"/>
            <w:tcBorders>
              <w:top w:val="single" w:color="auto" w:sz="4" w:space="0"/>
              <w:right w:val="single" w:color="auto" w:sz="4" w:space="0"/>
            </w:tcBorders>
          </w:tcPr>
          <w:p>
            <w:pPr>
              <w:pStyle w:val="3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8"/>
              <w:spacing w:line="360" w:lineRule="auto"/>
              <w:jc w:val="center"/>
              <w:rPr>
                <w:rFonts w:ascii="宋体" w:hAnsi="宋体" w:cs="Arial"/>
                <w:szCs w:val="21"/>
              </w:rPr>
            </w:pPr>
          </w:p>
        </w:tc>
        <w:tc>
          <w:tcPr>
            <w:tcW w:w="2258" w:type="dxa"/>
          </w:tcPr>
          <w:p>
            <w:pPr>
              <w:pStyle w:val="38"/>
              <w:spacing w:line="360" w:lineRule="auto"/>
              <w:jc w:val="center"/>
              <w:rPr>
                <w:rFonts w:ascii="宋体" w:hAnsi="宋体" w:cs="Arial"/>
                <w:szCs w:val="21"/>
              </w:rPr>
            </w:pPr>
          </w:p>
        </w:tc>
        <w:tc>
          <w:tcPr>
            <w:tcW w:w="2260" w:type="dxa"/>
          </w:tcPr>
          <w:p>
            <w:pPr>
              <w:pStyle w:val="38"/>
              <w:spacing w:line="360" w:lineRule="auto"/>
              <w:jc w:val="center"/>
              <w:rPr>
                <w:rFonts w:ascii="宋体" w:hAnsi="宋体" w:cs="Arial"/>
                <w:szCs w:val="21"/>
              </w:rPr>
            </w:pPr>
          </w:p>
        </w:tc>
        <w:tc>
          <w:tcPr>
            <w:tcW w:w="2047" w:type="dxa"/>
            <w:tcBorders>
              <w:right w:val="single" w:color="auto" w:sz="4" w:space="0"/>
            </w:tcBorders>
          </w:tcPr>
          <w:p>
            <w:pPr>
              <w:pStyle w:val="3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8"/>
              <w:spacing w:line="360" w:lineRule="auto"/>
              <w:jc w:val="center"/>
              <w:rPr>
                <w:rFonts w:ascii="宋体" w:hAnsi="宋体" w:cs="Arial"/>
                <w:szCs w:val="21"/>
              </w:rPr>
            </w:pPr>
          </w:p>
        </w:tc>
        <w:tc>
          <w:tcPr>
            <w:tcW w:w="2258" w:type="dxa"/>
          </w:tcPr>
          <w:p>
            <w:pPr>
              <w:pStyle w:val="38"/>
              <w:spacing w:line="360" w:lineRule="auto"/>
              <w:jc w:val="center"/>
              <w:rPr>
                <w:rFonts w:ascii="宋体" w:hAnsi="宋体" w:cs="Arial"/>
                <w:szCs w:val="21"/>
              </w:rPr>
            </w:pPr>
          </w:p>
        </w:tc>
        <w:tc>
          <w:tcPr>
            <w:tcW w:w="2260" w:type="dxa"/>
          </w:tcPr>
          <w:p>
            <w:pPr>
              <w:pStyle w:val="38"/>
              <w:spacing w:line="360" w:lineRule="auto"/>
              <w:jc w:val="center"/>
              <w:rPr>
                <w:rFonts w:ascii="宋体" w:hAnsi="宋体" w:cs="Arial"/>
                <w:szCs w:val="21"/>
              </w:rPr>
            </w:pPr>
          </w:p>
        </w:tc>
        <w:tc>
          <w:tcPr>
            <w:tcW w:w="2047" w:type="dxa"/>
            <w:tcBorders>
              <w:right w:val="single" w:color="auto" w:sz="4" w:space="0"/>
            </w:tcBorders>
          </w:tcPr>
          <w:p>
            <w:pPr>
              <w:pStyle w:val="3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8"/>
              <w:spacing w:line="360" w:lineRule="auto"/>
              <w:jc w:val="center"/>
              <w:rPr>
                <w:rFonts w:ascii="宋体" w:hAnsi="宋体" w:cs="Arial"/>
                <w:szCs w:val="21"/>
              </w:rPr>
            </w:pPr>
          </w:p>
        </w:tc>
        <w:tc>
          <w:tcPr>
            <w:tcW w:w="2258" w:type="dxa"/>
          </w:tcPr>
          <w:p>
            <w:pPr>
              <w:pStyle w:val="38"/>
              <w:spacing w:line="360" w:lineRule="auto"/>
              <w:jc w:val="center"/>
              <w:rPr>
                <w:rFonts w:ascii="宋体" w:hAnsi="宋体" w:cs="Arial"/>
                <w:szCs w:val="21"/>
              </w:rPr>
            </w:pPr>
          </w:p>
        </w:tc>
        <w:tc>
          <w:tcPr>
            <w:tcW w:w="2260" w:type="dxa"/>
          </w:tcPr>
          <w:p>
            <w:pPr>
              <w:pStyle w:val="38"/>
              <w:spacing w:line="360" w:lineRule="auto"/>
              <w:jc w:val="center"/>
              <w:rPr>
                <w:rFonts w:ascii="宋体" w:hAnsi="宋体" w:cs="Arial"/>
                <w:szCs w:val="21"/>
              </w:rPr>
            </w:pPr>
          </w:p>
        </w:tc>
        <w:tc>
          <w:tcPr>
            <w:tcW w:w="2047" w:type="dxa"/>
            <w:tcBorders>
              <w:right w:val="single" w:color="auto" w:sz="4" w:space="0"/>
            </w:tcBorders>
          </w:tcPr>
          <w:p>
            <w:pPr>
              <w:pStyle w:val="3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8"/>
              <w:spacing w:line="360" w:lineRule="auto"/>
              <w:jc w:val="center"/>
              <w:rPr>
                <w:rFonts w:ascii="宋体" w:hAnsi="宋体" w:cs="Arial"/>
                <w:szCs w:val="21"/>
              </w:rPr>
            </w:pPr>
          </w:p>
        </w:tc>
        <w:tc>
          <w:tcPr>
            <w:tcW w:w="2258" w:type="dxa"/>
          </w:tcPr>
          <w:p>
            <w:pPr>
              <w:pStyle w:val="38"/>
              <w:spacing w:line="360" w:lineRule="auto"/>
              <w:jc w:val="center"/>
              <w:rPr>
                <w:rFonts w:ascii="宋体" w:hAnsi="宋体" w:cs="Arial"/>
                <w:szCs w:val="21"/>
              </w:rPr>
            </w:pPr>
          </w:p>
        </w:tc>
        <w:tc>
          <w:tcPr>
            <w:tcW w:w="2260" w:type="dxa"/>
          </w:tcPr>
          <w:p>
            <w:pPr>
              <w:pStyle w:val="38"/>
              <w:spacing w:line="360" w:lineRule="auto"/>
              <w:jc w:val="center"/>
              <w:rPr>
                <w:rFonts w:ascii="宋体" w:hAnsi="宋体" w:cs="Arial"/>
                <w:szCs w:val="21"/>
              </w:rPr>
            </w:pPr>
          </w:p>
        </w:tc>
        <w:tc>
          <w:tcPr>
            <w:tcW w:w="2047" w:type="dxa"/>
            <w:tcBorders>
              <w:right w:val="single" w:color="auto" w:sz="4" w:space="0"/>
            </w:tcBorders>
          </w:tcPr>
          <w:p>
            <w:pPr>
              <w:pStyle w:val="3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tcBorders>
          </w:tcPr>
          <w:p>
            <w:pPr>
              <w:pStyle w:val="38"/>
              <w:spacing w:line="360" w:lineRule="auto"/>
              <w:jc w:val="center"/>
              <w:rPr>
                <w:rFonts w:ascii="宋体" w:hAnsi="宋体" w:cs="Arial"/>
                <w:szCs w:val="21"/>
              </w:rPr>
            </w:pPr>
          </w:p>
        </w:tc>
        <w:tc>
          <w:tcPr>
            <w:tcW w:w="2258" w:type="dxa"/>
          </w:tcPr>
          <w:p>
            <w:pPr>
              <w:pStyle w:val="38"/>
              <w:spacing w:line="360" w:lineRule="auto"/>
              <w:jc w:val="center"/>
              <w:rPr>
                <w:rFonts w:ascii="宋体" w:hAnsi="宋体" w:cs="Arial"/>
                <w:szCs w:val="21"/>
              </w:rPr>
            </w:pPr>
          </w:p>
        </w:tc>
        <w:tc>
          <w:tcPr>
            <w:tcW w:w="2260" w:type="dxa"/>
          </w:tcPr>
          <w:p>
            <w:pPr>
              <w:pStyle w:val="38"/>
              <w:spacing w:line="360" w:lineRule="auto"/>
              <w:jc w:val="center"/>
              <w:rPr>
                <w:rFonts w:ascii="宋体" w:hAnsi="宋体" w:cs="Arial"/>
                <w:szCs w:val="21"/>
              </w:rPr>
            </w:pPr>
          </w:p>
        </w:tc>
        <w:tc>
          <w:tcPr>
            <w:tcW w:w="2047" w:type="dxa"/>
            <w:tcBorders>
              <w:right w:val="single" w:color="auto" w:sz="4" w:space="0"/>
            </w:tcBorders>
          </w:tcPr>
          <w:p>
            <w:pPr>
              <w:pStyle w:val="38"/>
              <w:spacing w:line="360" w:lineRule="auto"/>
              <w:jc w:val="center"/>
              <w:rPr>
                <w:rFonts w:ascii="宋体" w:hAnsi="宋体" w:cs="Arial"/>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tcPr>
          <w:p>
            <w:pPr>
              <w:pStyle w:val="38"/>
              <w:spacing w:line="360" w:lineRule="auto"/>
              <w:jc w:val="center"/>
              <w:rPr>
                <w:rFonts w:ascii="宋体" w:hAnsi="宋体" w:cs="Arial"/>
                <w:szCs w:val="21"/>
              </w:rPr>
            </w:pPr>
          </w:p>
        </w:tc>
        <w:tc>
          <w:tcPr>
            <w:tcW w:w="2258" w:type="dxa"/>
            <w:tcBorders>
              <w:bottom w:val="single" w:color="auto" w:sz="4" w:space="0"/>
            </w:tcBorders>
          </w:tcPr>
          <w:p>
            <w:pPr>
              <w:pStyle w:val="38"/>
              <w:spacing w:line="360" w:lineRule="auto"/>
              <w:jc w:val="center"/>
              <w:rPr>
                <w:rFonts w:ascii="宋体" w:hAnsi="宋体" w:cs="Arial"/>
                <w:szCs w:val="21"/>
              </w:rPr>
            </w:pPr>
          </w:p>
        </w:tc>
        <w:tc>
          <w:tcPr>
            <w:tcW w:w="2260" w:type="dxa"/>
            <w:tcBorders>
              <w:bottom w:val="single" w:color="auto" w:sz="4" w:space="0"/>
            </w:tcBorders>
          </w:tcPr>
          <w:p>
            <w:pPr>
              <w:pStyle w:val="38"/>
              <w:spacing w:line="360" w:lineRule="auto"/>
              <w:jc w:val="center"/>
              <w:rPr>
                <w:rFonts w:ascii="宋体" w:hAnsi="宋体" w:cs="Arial"/>
                <w:szCs w:val="21"/>
              </w:rPr>
            </w:pPr>
          </w:p>
        </w:tc>
        <w:tc>
          <w:tcPr>
            <w:tcW w:w="2047" w:type="dxa"/>
            <w:tcBorders>
              <w:bottom w:val="single" w:color="auto" w:sz="4" w:space="0"/>
              <w:right w:val="single" w:color="auto" w:sz="4" w:space="0"/>
            </w:tcBorders>
          </w:tcPr>
          <w:p>
            <w:pPr>
              <w:pStyle w:val="38"/>
              <w:spacing w:line="360" w:lineRule="auto"/>
              <w:jc w:val="center"/>
              <w:rPr>
                <w:rFonts w:ascii="宋体" w:hAnsi="宋体" w:cs="Arial"/>
                <w:szCs w:val="21"/>
              </w:rPr>
            </w:pPr>
          </w:p>
        </w:tc>
      </w:tr>
    </w:tbl>
    <w:p>
      <w:pPr>
        <w:pStyle w:val="38"/>
        <w:tabs>
          <w:tab w:val="left" w:pos="1050"/>
        </w:tabs>
        <w:spacing w:line="360" w:lineRule="auto"/>
        <w:rPr>
          <w:rFonts w:ascii="FangSong_GB2312" w:hAnsi="宋体" w:eastAsia="FangSong_GB2312"/>
          <w:sz w:val="24"/>
        </w:rPr>
      </w:pPr>
    </w:p>
    <w:p>
      <w:pPr>
        <w:pStyle w:val="38"/>
        <w:tabs>
          <w:tab w:val="left" w:pos="1050"/>
        </w:tabs>
        <w:spacing w:line="360" w:lineRule="auto"/>
        <w:rPr>
          <w:rFonts w:ascii="宋体" w:hAnsi="宋体"/>
          <w:szCs w:val="21"/>
        </w:rPr>
      </w:pPr>
      <w:r>
        <w:rPr>
          <w:rFonts w:hint="eastAsia" w:ascii="宋体" w:hAnsi="宋体"/>
          <w:b/>
          <w:szCs w:val="21"/>
        </w:rPr>
        <w:t>要求：</w:t>
      </w:r>
    </w:p>
    <w:p>
      <w:pPr>
        <w:pStyle w:val="38"/>
        <w:tabs>
          <w:tab w:val="left" w:pos="1050"/>
        </w:tabs>
        <w:spacing w:line="360" w:lineRule="auto"/>
        <w:ind w:firstLine="424" w:firstLineChars="202"/>
        <w:rPr>
          <w:rFonts w:ascii="宋体" w:hAnsi="宋体"/>
          <w:color w:val="008000"/>
          <w:szCs w:val="21"/>
        </w:rPr>
      </w:pPr>
      <w:r>
        <w:rPr>
          <w:rFonts w:hint="eastAsia" w:ascii="宋体" w:hAnsi="宋体"/>
          <w:szCs w:val="21"/>
        </w:rPr>
        <w:t>1.填写投标人获得资质、认证或企业信誉证书；</w:t>
      </w:r>
    </w:p>
    <w:p>
      <w:pPr>
        <w:pStyle w:val="38"/>
        <w:tabs>
          <w:tab w:val="left" w:pos="1050"/>
        </w:tabs>
        <w:spacing w:line="360" w:lineRule="auto"/>
        <w:ind w:firstLine="424" w:firstLineChars="202"/>
        <w:rPr>
          <w:rFonts w:ascii="宋体" w:hAnsi="宋体"/>
          <w:szCs w:val="21"/>
        </w:rPr>
      </w:pPr>
      <w:r>
        <w:rPr>
          <w:rFonts w:hint="eastAsia" w:ascii="宋体" w:hAnsi="宋体"/>
          <w:szCs w:val="21"/>
        </w:rPr>
        <w:t>2.附所列证书复印件或其他证明材料。</w:t>
      </w:r>
    </w:p>
    <w:p>
      <w:pPr>
        <w:pStyle w:val="38"/>
        <w:tabs>
          <w:tab w:val="left" w:pos="1050"/>
        </w:tabs>
        <w:spacing w:line="360" w:lineRule="auto"/>
        <w:ind w:firstLine="720" w:firstLineChars="300"/>
        <w:rPr>
          <w:rFonts w:ascii="FangSong_GB2312" w:hAnsi="宋体" w:eastAsia="FangSong_GB2312"/>
          <w:sz w:val="24"/>
        </w:rPr>
      </w:pPr>
    </w:p>
    <w:p>
      <w:pPr>
        <w:pStyle w:val="38"/>
        <w:tabs>
          <w:tab w:val="left" w:pos="1050"/>
        </w:tabs>
        <w:spacing w:line="360" w:lineRule="auto"/>
        <w:ind w:firstLine="720" w:firstLineChars="300"/>
        <w:rPr>
          <w:rFonts w:ascii="FangSong_GB2312" w:hAnsi="宋体" w:eastAsia="FangSong_GB2312"/>
          <w:sz w:val="24"/>
        </w:rPr>
      </w:pPr>
    </w:p>
    <w:p>
      <w:pPr>
        <w:pStyle w:val="38"/>
        <w:tabs>
          <w:tab w:val="left" w:pos="1050"/>
        </w:tabs>
        <w:spacing w:line="360" w:lineRule="auto"/>
        <w:ind w:firstLine="720" w:firstLineChars="300"/>
        <w:rPr>
          <w:rFonts w:ascii="FangSong_GB2312" w:hAnsi="宋体" w:eastAsia="FangSong_GB2312"/>
          <w:sz w:val="24"/>
        </w:rPr>
      </w:pPr>
    </w:p>
    <w:p>
      <w:pPr>
        <w:spacing w:line="360" w:lineRule="auto"/>
        <w:ind w:firstLine="424" w:firstLineChars="177"/>
        <w:rPr>
          <w:rFonts w:ascii="宋体" w:hAnsi="宋体"/>
          <w:sz w:val="24"/>
          <w:u w:val="single"/>
        </w:rPr>
      </w:pPr>
      <w:r>
        <w:rPr>
          <w:rFonts w:hint="eastAsia" w:ascii="宋体" w:hAnsi="宋体"/>
          <w:sz w:val="24"/>
        </w:rPr>
        <w:t>投标人名称（电子印章）：</w:t>
      </w:r>
    </w:p>
    <w:p>
      <w:pPr>
        <w:spacing w:line="360" w:lineRule="auto"/>
        <w:ind w:left="420"/>
        <w:rPr>
          <w:rFonts w:ascii="宋体" w:hAnsi="宋体"/>
          <w:sz w:val="24"/>
        </w:rPr>
      </w:pPr>
    </w:p>
    <w:p>
      <w:pPr>
        <w:spacing w:line="360" w:lineRule="auto"/>
        <w:ind w:firstLine="424" w:firstLineChars="177"/>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24" w:firstLineChars="177"/>
        <w:rPr>
          <w:rFonts w:ascii="宋体" w:hAnsi="宋体"/>
          <w:sz w:val="24"/>
          <w:u w:val="single"/>
        </w:rPr>
      </w:pPr>
      <w:r>
        <w:rPr>
          <w:rFonts w:hint="eastAsia" w:ascii="宋体" w:hAnsi="宋体"/>
          <w:sz w:val="24"/>
        </w:rPr>
        <w:t>职        务：</w:t>
      </w:r>
    </w:p>
    <w:p>
      <w:pPr>
        <w:spacing w:line="360" w:lineRule="auto"/>
        <w:rPr>
          <w:rFonts w:ascii="宋体" w:hAnsi="宋体"/>
          <w:sz w:val="24"/>
        </w:rPr>
      </w:pPr>
    </w:p>
    <w:p>
      <w:pPr>
        <w:pStyle w:val="34"/>
        <w:shd w:val="clear" w:color="auto" w:fill="FFFFFF"/>
        <w:spacing w:before="0" w:beforeAutospacing="0" w:after="0" w:afterAutospacing="0" w:line="360" w:lineRule="auto"/>
        <w:ind w:firstLine="424" w:firstLineChars="177"/>
        <w:rPr>
          <w:b/>
          <w:bCs/>
          <w:color w:val="000000"/>
          <w:spacing w:val="11"/>
        </w:rPr>
      </w:pPr>
      <w:r>
        <w:rPr>
          <w:rFonts w:hint="eastAsia"/>
        </w:rPr>
        <w:t>日        期：</w:t>
      </w:r>
      <w:r>
        <w:rPr>
          <w:rFonts w:hint="eastAsia"/>
          <w:color w:val="000000"/>
        </w:rPr>
        <w:t>：</w:t>
      </w:r>
    </w:p>
    <w:p>
      <w:pPr>
        <w:spacing w:line="360" w:lineRule="auto"/>
        <w:rPr>
          <w:rFonts w:ascii="宋体" w:hAnsi="宋体"/>
          <w:b/>
          <w:sz w:val="28"/>
        </w:rPr>
      </w:pPr>
    </w:p>
    <w:p>
      <w:pPr>
        <w:spacing w:line="360" w:lineRule="auto"/>
        <w:rPr>
          <w:rFonts w:ascii="宋体" w:hAnsi="宋体"/>
          <w:b/>
          <w:sz w:val="28"/>
        </w:rPr>
      </w:pPr>
    </w:p>
    <w:p>
      <w:pPr>
        <w:spacing w:line="360" w:lineRule="auto"/>
        <w:rPr>
          <w:rFonts w:ascii="宋体" w:hAnsi="宋体"/>
          <w:b/>
          <w:sz w:val="28"/>
        </w:rPr>
      </w:pPr>
      <w:r>
        <w:rPr>
          <w:rFonts w:hint="eastAsia" w:ascii="宋体" w:hAnsi="宋体"/>
          <w:b/>
          <w:sz w:val="28"/>
        </w:rPr>
        <w:t>附件11</w:t>
      </w:r>
    </w:p>
    <w:p>
      <w:pPr>
        <w:pStyle w:val="37"/>
        <w:spacing w:line="360" w:lineRule="auto"/>
        <w:jc w:val="center"/>
        <w:rPr>
          <w:rFonts w:ascii="宋体" w:hAnsi="宋体"/>
          <w:b/>
          <w:sz w:val="32"/>
          <w:szCs w:val="32"/>
        </w:rPr>
      </w:pPr>
      <w:r>
        <w:rPr>
          <w:rFonts w:hint="eastAsia" w:ascii="宋体" w:hAnsi="宋体"/>
          <w:b/>
          <w:sz w:val="32"/>
          <w:szCs w:val="32"/>
        </w:rPr>
        <w:t>投标人类似项目实施情况一览表</w:t>
      </w:r>
    </w:p>
    <w:p>
      <w:pPr>
        <w:pStyle w:val="37"/>
        <w:spacing w:line="360" w:lineRule="auto"/>
        <w:jc w:val="center"/>
        <w:rPr>
          <w:rFonts w:ascii="FangSong_GB2312" w:eastAsia="FangSong_GB2312"/>
          <w:b/>
          <w:sz w:val="28"/>
          <w:szCs w:val="28"/>
        </w:rPr>
      </w:pPr>
    </w:p>
    <w:tbl>
      <w:tblPr>
        <w:tblStyle w:val="23"/>
        <w:tblW w:w="95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pPr>
              <w:pStyle w:val="37"/>
              <w:spacing w:line="360" w:lineRule="auto"/>
              <w:jc w:val="center"/>
              <w:rPr>
                <w:rFonts w:ascii="宋体" w:hAnsi="宋体" w:cs="Arial"/>
                <w:b/>
                <w:bCs/>
                <w:sz w:val="24"/>
              </w:rPr>
            </w:pPr>
            <w:r>
              <w:rPr>
                <w:rFonts w:hint="eastAsia" w:ascii="宋体" w:hAnsi="宋体" w:cs="Arial"/>
                <w:b/>
                <w:bCs/>
                <w:sz w:val="24"/>
              </w:rPr>
              <w:t>序号</w:t>
            </w:r>
          </w:p>
        </w:tc>
        <w:tc>
          <w:tcPr>
            <w:tcW w:w="1293" w:type="dxa"/>
            <w:tcBorders>
              <w:top w:val="single" w:color="auto" w:sz="6" w:space="0"/>
              <w:left w:val="single" w:color="auto" w:sz="6" w:space="0"/>
              <w:bottom w:val="single" w:color="auto" w:sz="6" w:space="0"/>
              <w:right w:val="single" w:color="auto" w:sz="6" w:space="0"/>
            </w:tcBorders>
            <w:vAlign w:val="center"/>
          </w:tcPr>
          <w:p>
            <w:pPr>
              <w:pStyle w:val="37"/>
              <w:spacing w:line="360" w:lineRule="auto"/>
              <w:jc w:val="center"/>
              <w:rPr>
                <w:rFonts w:ascii="宋体" w:hAnsi="宋体" w:cs="Arial"/>
                <w:b/>
                <w:bCs/>
                <w:sz w:val="24"/>
              </w:rPr>
            </w:pPr>
            <w:r>
              <w:rPr>
                <w:rFonts w:hint="eastAsia" w:ascii="宋体" w:hAnsi="宋体" w:cs="Arial"/>
                <w:b/>
                <w:bCs/>
                <w:sz w:val="24"/>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pPr>
              <w:pStyle w:val="37"/>
              <w:spacing w:line="360" w:lineRule="auto"/>
              <w:jc w:val="center"/>
              <w:rPr>
                <w:rFonts w:ascii="宋体" w:hAnsi="宋体" w:cs="Arial"/>
                <w:b/>
                <w:bCs/>
                <w:sz w:val="24"/>
              </w:rPr>
            </w:pPr>
            <w:r>
              <w:rPr>
                <w:rFonts w:hint="eastAsia" w:ascii="宋体" w:hAnsi="宋体" w:cs="Arial"/>
                <w:b/>
                <w:bCs/>
                <w:sz w:val="24"/>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pPr>
              <w:pStyle w:val="37"/>
              <w:spacing w:line="360" w:lineRule="auto"/>
              <w:jc w:val="center"/>
              <w:rPr>
                <w:rFonts w:ascii="宋体" w:hAnsi="宋体" w:cs="Arial"/>
                <w:b/>
                <w:bCs/>
                <w:sz w:val="24"/>
              </w:rPr>
            </w:pPr>
            <w:r>
              <w:rPr>
                <w:rFonts w:hint="eastAsia" w:ascii="宋体" w:hAnsi="宋体" w:cs="Arial"/>
                <w:b/>
                <w:bCs/>
                <w:sz w:val="24"/>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pPr>
              <w:pStyle w:val="37"/>
              <w:spacing w:line="360" w:lineRule="auto"/>
              <w:jc w:val="center"/>
              <w:rPr>
                <w:rFonts w:ascii="宋体" w:hAnsi="宋体" w:cs="Arial"/>
                <w:b/>
                <w:bCs/>
                <w:sz w:val="24"/>
              </w:rPr>
            </w:pPr>
            <w:r>
              <w:rPr>
                <w:rFonts w:hint="eastAsia" w:ascii="宋体" w:hAnsi="宋体" w:cs="Arial"/>
                <w:b/>
                <w:bCs/>
                <w:sz w:val="24"/>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pPr>
              <w:pStyle w:val="37"/>
              <w:spacing w:line="360" w:lineRule="auto"/>
              <w:jc w:val="center"/>
              <w:rPr>
                <w:rFonts w:ascii="宋体" w:hAnsi="宋体" w:cs="Arial"/>
                <w:b/>
                <w:bCs/>
                <w:sz w:val="24"/>
              </w:rPr>
            </w:pPr>
            <w:r>
              <w:rPr>
                <w:rFonts w:hint="eastAsia" w:ascii="宋体" w:hAnsi="宋体" w:cs="Arial"/>
                <w:b/>
                <w:bCs/>
                <w:sz w:val="24"/>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pPr>
              <w:pStyle w:val="37"/>
              <w:spacing w:line="360" w:lineRule="auto"/>
              <w:jc w:val="center"/>
              <w:rPr>
                <w:rFonts w:ascii="宋体" w:hAnsi="宋体" w:cs="Arial"/>
                <w:b/>
                <w:bCs/>
                <w:sz w:val="24"/>
              </w:rPr>
            </w:pPr>
            <w:r>
              <w:rPr>
                <w:rFonts w:hint="eastAsia" w:ascii="宋体" w:hAnsi="宋体" w:cs="Arial"/>
                <w:b/>
                <w:bCs/>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spacing w:line="360" w:lineRule="auto"/>
              <w:jc w:val="center"/>
              <w:rPr>
                <w:rFonts w:ascii="宋体" w:hAnsi="宋体" w:cs="Arial"/>
                <w:sz w:val="24"/>
              </w:rPr>
            </w:pPr>
            <w:r>
              <w:rPr>
                <w:rFonts w:hint="eastAsia" w:ascii="宋体" w:hAnsi="宋体" w:cs="Arial"/>
                <w:sz w:val="24"/>
              </w:rPr>
              <w:t>1</w:t>
            </w:r>
          </w:p>
        </w:tc>
        <w:tc>
          <w:tcPr>
            <w:tcW w:w="129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spacing w:line="360" w:lineRule="auto"/>
              <w:jc w:val="center"/>
              <w:rPr>
                <w:rFonts w:ascii="宋体" w:hAnsi="宋体" w:cs="Arial"/>
                <w:sz w:val="24"/>
              </w:rPr>
            </w:pPr>
            <w:r>
              <w:rPr>
                <w:rFonts w:hint="eastAsia" w:ascii="宋体" w:hAnsi="宋体" w:cs="Arial"/>
                <w:sz w:val="24"/>
              </w:rPr>
              <w:t>2</w:t>
            </w:r>
          </w:p>
        </w:tc>
        <w:tc>
          <w:tcPr>
            <w:tcW w:w="129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spacing w:line="360" w:lineRule="auto"/>
              <w:jc w:val="center"/>
              <w:rPr>
                <w:rFonts w:ascii="宋体" w:hAnsi="宋体" w:cs="Arial"/>
                <w:sz w:val="24"/>
              </w:rPr>
            </w:pPr>
            <w:r>
              <w:rPr>
                <w:rFonts w:hint="eastAsia" w:ascii="宋体" w:hAnsi="宋体" w:cs="Arial"/>
                <w:sz w:val="24"/>
              </w:rPr>
              <w:t>3</w:t>
            </w:r>
          </w:p>
        </w:tc>
        <w:tc>
          <w:tcPr>
            <w:tcW w:w="129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r>
              <w:rPr>
                <w:rFonts w:hint="eastAsia" w:ascii="宋体" w:hAnsi="宋体" w:cs="Arial"/>
                <w:sz w:val="24"/>
              </w:rPr>
              <w:t>…</w:t>
            </w:r>
          </w:p>
        </w:tc>
        <w:tc>
          <w:tcPr>
            <w:tcW w:w="129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29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575"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260"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452"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1383"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c>
          <w:tcPr>
            <w:tcW w:w="2037" w:type="dxa"/>
            <w:tcBorders>
              <w:top w:val="single" w:color="auto" w:sz="6" w:space="0"/>
              <w:left w:val="single" w:color="auto" w:sz="6" w:space="0"/>
              <w:bottom w:val="single" w:color="auto" w:sz="6" w:space="0"/>
              <w:right w:val="single" w:color="auto" w:sz="6" w:space="0"/>
            </w:tcBorders>
          </w:tcPr>
          <w:p>
            <w:pPr>
              <w:pStyle w:val="37"/>
              <w:spacing w:line="360" w:lineRule="auto"/>
              <w:rPr>
                <w:rFonts w:ascii="宋体" w:hAnsi="宋体" w:cs="Arial"/>
                <w:sz w:val="24"/>
              </w:rPr>
            </w:pPr>
          </w:p>
        </w:tc>
      </w:tr>
    </w:tbl>
    <w:p>
      <w:pPr>
        <w:autoSpaceDE w:val="0"/>
        <w:autoSpaceDN w:val="0"/>
        <w:adjustRightInd w:val="0"/>
        <w:spacing w:before="156" w:beforeLines="50" w:line="360" w:lineRule="auto"/>
        <w:rPr>
          <w:rFonts w:ascii="宋体" w:hAnsi="宋体" w:cs="Arial"/>
          <w:b/>
          <w:szCs w:val="21"/>
        </w:rPr>
      </w:pPr>
      <w:r>
        <w:rPr>
          <w:rFonts w:hint="eastAsia" w:ascii="宋体" w:hAnsi="宋体" w:cs="Arial"/>
          <w:b/>
          <w:szCs w:val="21"/>
        </w:rPr>
        <w:t>要求</w:t>
      </w:r>
      <w:r>
        <w:rPr>
          <w:rFonts w:ascii="宋体" w:hAnsi="宋体" w:cs="Arial"/>
          <w:b/>
          <w:szCs w:val="21"/>
        </w:rPr>
        <w:t>：</w:t>
      </w:r>
    </w:p>
    <w:p>
      <w:pPr>
        <w:autoSpaceDE w:val="0"/>
        <w:autoSpaceDN w:val="0"/>
        <w:adjustRightInd w:val="0"/>
        <w:spacing w:before="156" w:beforeLines="50" w:line="360" w:lineRule="auto"/>
        <w:ind w:firstLine="424" w:firstLineChars="202"/>
        <w:rPr>
          <w:rFonts w:ascii="宋体" w:hAnsi="宋体" w:cs="Arial"/>
          <w:b/>
          <w:szCs w:val="21"/>
        </w:rPr>
      </w:pPr>
      <w:r>
        <w:rPr>
          <w:rFonts w:ascii="宋体" w:hAnsi="宋体" w:cs="Arial"/>
          <w:szCs w:val="21"/>
        </w:rPr>
        <w:t>1</w:t>
      </w:r>
      <w:r>
        <w:rPr>
          <w:rFonts w:hint="eastAsia" w:ascii="宋体" w:hAnsi="宋体" w:cs="Arial"/>
          <w:szCs w:val="21"/>
        </w:rPr>
        <w:t>.</w:t>
      </w:r>
      <w:r>
        <w:rPr>
          <w:rFonts w:ascii="宋体" w:hAnsi="宋体" w:cs="Arial"/>
          <w:szCs w:val="21"/>
        </w:rPr>
        <w:t>业绩证明应提供证明材料（合同</w:t>
      </w:r>
      <w:r>
        <w:rPr>
          <w:rFonts w:hint="eastAsia" w:ascii="宋体" w:hAnsi="宋体" w:cs="Arial"/>
          <w:szCs w:val="21"/>
        </w:rPr>
        <w:t>复印件可只提供首页、含金额页、盖章页并加盖投标人电子印章</w:t>
      </w:r>
      <w:r>
        <w:rPr>
          <w:rFonts w:ascii="宋体" w:hAnsi="宋体" w:cs="Arial"/>
          <w:szCs w:val="21"/>
        </w:rPr>
        <w:t>）；</w:t>
      </w:r>
    </w:p>
    <w:p>
      <w:pPr>
        <w:spacing w:line="360" w:lineRule="auto"/>
        <w:ind w:firstLine="424" w:firstLineChars="202"/>
        <w:jc w:val="left"/>
        <w:rPr>
          <w:rFonts w:ascii="宋体" w:hAnsi="宋体" w:cs="Arial"/>
          <w:szCs w:val="21"/>
        </w:rPr>
      </w:pPr>
      <w:r>
        <w:rPr>
          <w:rFonts w:ascii="宋体" w:hAnsi="宋体" w:cs="Arial"/>
          <w:szCs w:val="21"/>
        </w:rPr>
        <w:t>2</w:t>
      </w:r>
      <w:r>
        <w:rPr>
          <w:rFonts w:hint="eastAsia" w:ascii="宋体" w:hAnsi="宋体" w:cs="Arial"/>
          <w:szCs w:val="21"/>
        </w:rPr>
        <w:t>.报价供应商</w:t>
      </w:r>
      <w:r>
        <w:rPr>
          <w:rFonts w:ascii="宋体" w:hAnsi="宋体" w:cs="Arial"/>
          <w:szCs w:val="21"/>
        </w:rPr>
        <w:t>可按此表格式复制</w:t>
      </w:r>
      <w:r>
        <w:rPr>
          <w:rFonts w:hint="eastAsia" w:ascii="宋体" w:hAnsi="宋体" w:cs="Arial"/>
          <w:szCs w:val="21"/>
        </w:rPr>
        <w:t>。</w:t>
      </w:r>
    </w:p>
    <w:p>
      <w:pPr>
        <w:spacing w:line="360" w:lineRule="auto"/>
        <w:rPr>
          <w:rFonts w:ascii="宋体" w:hAnsi="宋体"/>
          <w:sz w:val="22"/>
          <w:szCs w:val="22"/>
        </w:rPr>
      </w:pPr>
    </w:p>
    <w:p>
      <w:pPr>
        <w:spacing w:line="360" w:lineRule="auto"/>
        <w:rPr>
          <w:rFonts w:ascii="宋体" w:hAnsi="宋体"/>
          <w:sz w:val="22"/>
          <w:szCs w:val="22"/>
        </w:rPr>
      </w:pPr>
    </w:p>
    <w:p>
      <w:pPr>
        <w:spacing w:line="360" w:lineRule="auto"/>
        <w:ind w:left="420"/>
        <w:rPr>
          <w:rFonts w:ascii="宋体" w:hAnsi="宋体"/>
          <w:sz w:val="24"/>
          <w:u w:val="single"/>
        </w:rPr>
      </w:pPr>
      <w:r>
        <w:rPr>
          <w:rFonts w:hint="eastAsia" w:ascii="宋体" w:hAnsi="宋体"/>
          <w:sz w:val="24"/>
        </w:rPr>
        <w:t>投标人名称（电子印章）：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职        务：</w:t>
      </w:r>
    </w:p>
    <w:p>
      <w:pPr>
        <w:spacing w:line="360" w:lineRule="auto"/>
        <w:rPr>
          <w:rFonts w:ascii="宋体" w:hAnsi="宋体"/>
          <w:sz w:val="24"/>
        </w:rPr>
      </w:pPr>
    </w:p>
    <w:p>
      <w:pPr>
        <w:spacing w:line="360" w:lineRule="auto"/>
        <w:ind w:firstLine="435"/>
        <w:rPr>
          <w:rFonts w:ascii="宋体" w:hAnsi="宋体"/>
          <w:sz w:val="24"/>
        </w:rPr>
      </w:pPr>
      <w:r>
        <w:rPr>
          <w:rFonts w:hint="eastAsia" w:ascii="宋体" w:hAnsi="宋体"/>
          <w:sz w:val="24"/>
        </w:rPr>
        <w:t>日        期：</w:t>
      </w:r>
    </w:p>
    <w:p>
      <w:pPr>
        <w:jc w:val="center"/>
        <w:rPr>
          <w:rFonts w:ascii="仿宋" w:hAnsi="仿宋" w:eastAsia="仿宋"/>
          <w:snapToGrid w:val="0"/>
          <w:kern w:val="0"/>
          <w:sz w:val="24"/>
        </w:rPr>
      </w:pPr>
    </w:p>
    <w:p>
      <w:pPr>
        <w:pStyle w:val="38"/>
        <w:tabs>
          <w:tab w:val="left" w:pos="1050"/>
        </w:tabs>
        <w:spacing w:line="360" w:lineRule="auto"/>
        <w:rPr>
          <w:rFonts w:ascii="FangSong_GB2312" w:hAnsi="宋体" w:eastAsia="FangSong_GB2312"/>
          <w:sz w:val="24"/>
        </w:rPr>
      </w:pPr>
      <w:r>
        <w:rPr>
          <w:rFonts w:hint="eastAsia" w:ascii="宋体" w:hAnsi="宋体"/>
          <w:b/>
          <w:sz w:val="28"/>
        </w:rPr>
        <w:t>附件12</w:t>
      </w:r>
    </w:p>
    <w:p>
      <w:pPr>
        <w:spacing w:line="360" w:lineRule="auto"/>
        <w:ind w:left="549" w:hanging="549" w:hangingChars="171"/>
        <w:jc w:val="center"/>
        <w:rPr>
          <w:rFonts w:ascii="宋体" w:hAnsi="宋体"/>
          <w:b/>
          <w:sz w:val="32"/>
          <w:szCs w:val="32"/>
        </w:rPr>
      </w:pPr>
      <w:r>
        <w:rPr>
          <w:rFonts w:hint="eastAsia" w:ascii="宋体" w:hAnsi="宋体"/>
          <w:b/>
          <w:sz w:val="32"/>
          <w:szCs w:val="32"/>
        </w:rPr>
        <w:t>资信及商务需求响应表(第 标)</w:t>
      </w:r>
    </w:p>
    <w:p>
      <w:pPr>
        <w:spacing w:line="360" w:lineRule="auto"/>
        <w:ind w:left="481" w:leftChars="229" w:firstLine="813" w:firstLineChars="450"/>
        <w:rPr>
          <w:rFonts w:ascii="宋体" w:hAnsi="宋体"/>
          <w:b/>
          <w:sz w:val="18"/>
          <w:szCs w:val="18"/>
        </w:rPr>
      </w:pPr>
    </w:p>
    <w:tbl>
      <w:tblPr>
        <w:tblStyle w:val="23"/>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1785"/>
        <w:gridCol w:w="1785"/>
        <w:gridCol w:w="1365"/>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66" w:hRule="atLeast"/>
        </w:trPr>
        <w:tc>
          <w:tcPr>
            <w:tcW w:w="735" w:type="dxa"/>
            <w:vAlign w:val="center"/>
          </w:tcPr>
          <w:p>
            <w:pPr>
              <w:rPr>
                <w:rFonts w:ascii="宋体" w:hAnsi="宋体"/>
                <w:b/>
                <w:sz w:val="24"/>
              </w:rPr>
            </w:pPr>
            <w:r>
              <w:rPr>
                <w:rFonts w:hint="eastAsia" w:ascii="宋体" w:hAnsi="宋体"/>
                <w:b/>
                <w:sz w:val="24"/>
              </w:rPr>
              <w:t>序号</w:t>
            </w:r>
          </w:p>
        </w:tc>
        <w:tc>
          <w:tcPr>
            <w:tcW w:w="1785" w:type="dxa"/>
            <w:vAlign w:val="center"/>
          </w:tcPr>
          <w:p>
            <w:pPr>
              <w:rPr>
                <w:rFonts w:ascii="宋体" w:hAnsi="宋体"/>
                <w:b/>
                <w:sz w:val="24"/>
              </w:rPr>
            </w:pPr>
            <w:r>
              <w:rPr>
                <w:rFonts w:hint="eastAsia" w:ascii="宋体" w:hAnsi="宋体"/>
                <w:b/>
                <w:sz w:val="24"/>
              </w:rPr>
              <w:t xml:space="preserve">   内容</w:t>
            </w:r>
          </w:p>
        </w:tc>
        <w:tc>
          <w:tcPr>
            <w:tcW w:w="1785" w:type="dxa"/>
            <w:vAlign w:val="center"/>
          </w:tcPr>
          <w:p>
            <w:pPr>
              <w:ind w:left="53" w:leftChars="25" w:firstLine="241" w:firstLineChars="100"/>
              <w:rPr>
                <w:rFonts w:ascii="宋体" w:hAnsi="宋体"/>
                <w:b/>
                <w:sz w:val="24"/>
              </w:rPr>
            </w:pPr>
            <w:r>
              <w:rPr>
                <w:rFonts w:hint="eastAsia" w:ascii="宋体" w:hAnsi="宋体"/>
                <w:b/>
                <w:sz w:val="24"/>
              </w:rPr>
              <w:t>招标需求</w:t>
            </w:r>
          </w:p>
        </w:tc>
        <w:tc>
          <w:tcPr>
            <w:tcW w:w="1365" w:type="dxa"/>
            <w:vAlign w:val="center"/>
          </w:tcPr>
          <w:p>
            <w:pPr>
              <w:ind w:left="152"/>
              <w:rPr>
                <w:rFonts w:ascii="宋体" w:hAnsi="宋体"/>
                <w:b/>
                <w:sz w:val="24"/>
              </w:rPr>
            </w:pPr>
            <w:r>
              <w:rPr>
                <w:rFonts w:hint="eastAsia" w:ascii="宋体" w:hAnsi="宋体"/>
                <w:b/>
                <w:sz w:val="24"/>
              </w:rPr>
              <w:t>是否响应</w:t>
            </w:r>
          </w:p>
        </w:tc>
        <w:tc>
          <w:tcPr>
            <w:tcW w:w="2625" w:type="dxa"/>
            <w:vAlign w:val="center"/>
          </w:tcPr>
          <w:p>
            <w:pPr>
              <w:jc w:val="center"/>
              <w:rPr>
                <w:rFonts w:ascii="宋体" w:hAnsi="宋体"/>
                <w:b/>
                <w:sz w:val="24"/>
              </w:rPr>
            </w:pPr>
            <w:r>
              <w:rPr>
                <w:rFonts w:hint="eastAsia" w:ascii="宋体" w:hAnsi="宋体"/>
                <w:b/>
                <w:sz w:val="24"/>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售后服务保障要求</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备品备件及耗材等要求</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质保期</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交货和服务</w:t>
            </w:r>
          </w:p>
          <w:p>
            <w:pPr>
              <w:snapToGrid w:val="0"/>
              <w:rPr>
                <w:rFonts w:ascii="宋体" w:hAnsi="宋体"/>
                <w:sz w:val="24"/>
              </w:rPr>
            </w:pPr>
            <w:r>
              <w:rPr>
                <w:rFonts w:hint="eastAsia" w:ascii="宋体" w:hAnsi="宋体"/>
                <w:sz w:val="24"/>
              </w:rPr>
              <w:t>时间及地点</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付款条件</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735" w:type="dxa"/>
            <w:vAlign w:val="center"/>
          </w:tcPr>
          <w:p>
            <w:pPr>
              <w:rPr>
                <w:rFonts w:ascii="宋体" w:hAnsi="宋体"/>
                <w:sz w:val="24"/>
              </w:rPr>
            </w:pPr>
          </w:p>
        </w:tc>
        <w:tc>
          <w:tcPr>
            <w:tcW w:w="1785" w:type="dxa"/>
          </w:tcPr>
          <w:p>
            <w:pPr>
              <w:snapToGrid w:val="0"/>
              <w:rPr>
                <w:rFonts w:ascii="宋体" w:hAnsi="宋体"/>
                <w:sz w:val="24"/>
              </w:rPr>
            </w:pPr>
            <w:r>
              <w:rPr>
                <w:rFonts w:hint="eastAsia" w:ascii="宋体" w:hAnsi="宋体"/>
                <w:sz w:val="24"/>
              </w:rPr>
              <w:t>……</w:t>
            </w: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 w:hRule="atLeast"/>
        </w:trPr>
        <w:tc>
          <w:tcPr>
            <w:tcW w:w="735" w:type="dxa"/>
            <w:vAlign w:val="center"/>
          </w:tcPr>
          <w:p>
            <w:pPr>
              <w:rPr>
                <w:rFonts w:ascii="宋体" w:hAnsi="宋体"/>
                <w:sz w:val="24"/>
              </w:rPr>
            </w:pPr>
          </w:p>
        </w:tc>
        <w:tc>
          <w:tcPr>
            <w:tcW w:w="1785" w:type="dxa"/>
          </w:tcPr>
          <w:p>
            <w:pPr>
              <w:snapToGrid w:val="0"/>
              <w:rPr>
                <w:rFonts w:ascii="宋体" w:hAnsi="宋体"/>
                <w:sz w:val="24"/>
              </w:rPr>
            </w:pPr>
          </w:p>
        </w:tc>
        <w:tc>
          <w:tcPr>
            <w:tcW w:w="1785" w:type="dxa"/>
            <w:vAlign w:val="center"/>
          </w:tcPr>
          <w:p>
            <w:pPr>
              <w:rPr>
                <w:rFonts w:ascii="宋体" w:hAnsi="宋体"/>
                <w:sz w:val="24"/>
              </w:rPr>
            </w:pPr>
          </w:p>
        </w:tc>
        <w:tc>
          <w:tcPr>
            <w:tcW w:w="1365" w:type="dxa"/>
            <w:vAlign w:val="center"/>
          </w:tcPr>
          <w:p>
            <w:pPr>
              <w:rPr>
                <w:rFonts w:ascii="宋体" w:hAnsi="宋体"/>
                <w:sz w:val="24"/>
              </w:rPr>
            </w:pPr>
          </w:p>
        </w:tc>
        <w:tc>
          <w:tcPr>
            <w:tcW w:w="2625" w:type="dxa"/>
            <w:vAlign w:val="center"/>
          </w:tcPr>
          <w:p>
            <w:pPr>
              <w:rPr>
                <w:rFonts w:ascii="宋体" w:hAnsi="宋体"/>
                <w:sz w:val="24"/>
              </w:rPr>
            </w:pPr>
          </w:p>
        </w:tc>
      </w:tr>
    </w:tbl>
    <w:p>
      <w:pPr>
        <w:spacing w:line="360" w:lineRule="auto"/>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p>
    <w:p>
      <w:pPr>
        <w:tabs>
          <w:tab w:val="left" w:pos="2460"/>
        </w:tabs>
        <w:spacing w:line="360" w:lineRule="auto"/>
        <w:ind w:firstLine="435"/>
        <w:rPr>
          <w:rFonts w:ascii="宋体" w:hAnsi="宋体"/>
          <w:b/>
          <w:sz w:val="28"/>
        </w:rPr>
      </w:pPr>
      <w:r>
        <w:rPr>
          <w:rFonts w:hint="eastAsia" w:ascii="宋体" w:hAnsi="宋体"/>
          <w:b/>
          <w:sz w:val="28"/>
        </w:rPr>
        <w:t>附件13</w:t>
      </w:r>
      <w:r>
        <w:rPr>
          <w:rFonts w:ascii="宋体" w:hAnsi="宋体"/>
          <w:b/>
          <w:sz w:val="28"/>
        </w:rPr>
        <w:tab/>
      </w:r>
    </w:p>
    <w:p>
      <w:pPr>
        <w:spacing w:line="360" w:lineRule="auto"/>
        <w:ind w:firstLine="435"/>
        <w:jc w:val="center"/>
        <w:rPr>
          <w:rFonts w:ascii="宋体" w:hAnsi="宋体"/>
          <w:b/>
          <w:sz w:val="32"/>
          <w:szCs w:val="32"/>
        </w:rPr>
      </w:pPr>
      <w:r>
        <w:rPr>
          <w:rFonts w:hint="eastAsia" w:ascii="宋体" w:hAnsi="宋体"/>
          <w:b/>
          <w:sz w:val="32"/>
          <w:szCs w:val="32"/>
        </w:rPr>
        <w:t>售后服务情况表</w:t>
      </w:r>
    </w:p>
    <w:p>
      <w:pPr>
        <w:spacing w:line="360" w:lineRule="auto"/>
        <w:ind w:firstLine="435"/>
        <w:jc w:val="center"/>
        <w:rPr>
          <w:rFonts w:ascii="宋体" w:hAnsi="宋体"/>
          <w:b/>
          <w:sz w:val="36"/>
          <w:szCs w:val="36"/>
        </w:rPr>
      </w:pPr>
    </w:p>
    <w:tbl>
      <w:tblPr>
        <w:tblStyle w:val="23"/>
        <w:tblW w:w="8528"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18" w:hRule="atLeast"/>
          <w:jc w:val="center"/>
        </w:trPr>
        <w:tc>
          <w:tcPr>
            <w:tcW w:w="739" w:type="dxa"/>
            <w:vAlign w:val="center"/>
          </w:tcPr>
          <w:p>
            <w:pPr>
              <w:pStyle w:val="39"/>
              <w:spacing w:line="360" w:lineRule="auto"/>
              <w:jc w:val="center"/>
              <w:rPr>
                <w:rFonts w:ascii="宋体" w:hAnsi="宋体" w:cs="Arial"/>
                <w:b/>
                <w:sz w:val="24"/>
              </w:rPr>
            </w:pPr>
            <w:r>
              <w:rPr>
                <w:rFonts w:hint="eastAsia" w:ascii="宋体" w:hAnsi="宋体" w:cs="Arial"/>
                <w:b/>
                <w:sz w:val="24"/>
              </w:rPr>
              <w:t>序号</w:t>
            </w:r>
          </w:p>
        </w:tc>
        <w:tc>
          <w:tcPr>
            <w:tcW w:w="2355" w:type="dxa"/>
            <w:vAlign w:val="center"/>
          </w:tcPr>
          <w:p>
            <w:pPr>
              <w:pStyle w:val="39"/>
              <w:spacing w:line="360" w:lineRule="auto"/>
              <w:jc w:val="center"/>
              <w:rPr>
                <w:rFonts w:ascii="宋体" w:hAnsi="宋体" w:cs="Arial"/>
                <w:b/>
                <w:sz w:val="24"/>
              </w:rPr>
            </w:pPr>
            <w:r>
              <w:rPr>
                <w:rFonts w:hint="eastAsia" w:ascii="宋体" w:hAnsi="宋体" w:cs="Arial"/>
                <w:b/>
                <w:sz w:val="24"/>
              </w:rPr>
              <w:t>项目</w:t>
            </w:r>
          </w:p>
        </w:tc>
        <w:tc>
          <w:tcPr>
            <w:tcW w:w="4061" w:type="dxa"/>
            <w:vAlign w:val="center"/>
          </w:tcPr>
          <w:p>
            <w:pPr>
              <w:pStyle w:val="39"/>
              <w:spacing w:line="360" w:lineRule="auto"/>
              <w:jc w:val="center"/>
              <w:rPr>
                <w:rFonts w:ascii="宋体" w:hAnsi="宋体" w:cs="Arial"/>
                <w:b/>
                <w:sz w:val="24"/>
              </w:rPr>
            </w:pPr>
            <w:r>
              <w:rPr>
                <w:rFonts w:hint="eastAsia" w:ascii="宋体" w:hAnsi="宋体" w:cs="Arial"/>
                <w:b/>
                <w:sz w:val="24"/>
              </w:rPr>
              <w:t>投标人情况</w:t>
            </w:r>
          </w:p>
        </w:tc>
        <w:tc>
          <w:tcPr>
            <w:tcW w:w="1373" w:type="dxa"/>
            <w:vAlign w:val="center"/>
          </w:tcPr>
          <w:p>
            <w:pPr>
              <w:pStyle w:val="39"/>
              <w:spacing w:line="360" w:lineRule="auto"/>
              <w:jc w:val="center"/>
              <w:rPr>
                <w:rFonts w:ascii="宋体" w:hAnsi="宋体" w:cs="Arial"/>
                <w:b/>
                <w:sz w:val="24"/>
              </w:rPr>
            </w:pPr>
            <w:r>
              <w:rPr>
                <w:rFonts w:hint="eastAsia" w:ascii="宋体" w:hAnsi="宋体" w:cs="Arial"/>
                <w:b/>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258" w:hRule="atLeast"/>
          <w:jc w:val="center"/>
        </w:trPr>
        <w:tc>
          <w:tcPr>
            <w:tcW w:w="739" w:type="dxa"/>
            <w:vMerge w:val="restart"/>
            <w:vAlign w:val="center"/>
          </w:tcPr>
          <w:p>
            <w:pPr>
              <w:pStyle w:val="39"/>
              <w:spacing w:line="360" w:lineRule="auto"/>
              <w:jc w:val="center"/>
              <w:rPr>
                <w:rFonts w:ascii="宋体" w:hAnsi="宋体" w:cs="Arial"/>
                <w:bCs/>
                <w:sz w:val="24"/>
              </w:rPr>
            </w:pPr>
            <w:r>
              <w:rPr>
                <w:rFonts w:hint="eastAsia" w:ascii="宋体" w:hAnsi="宋体" w:cs="Arial"/>
                <w:bCs/>
                <w:sz w:val="24"/>
              </w:rPr>
              <w:t>1</w:t>
            </w:r>
          </w:p>
        </w:tc>
        <w:tc>
          <w:tcPr>
            <w:tcW w:w="2355" w:type="dxa"/>
            <w:vMerge w:val="restart"/>
            <w:vAlign w:val="center"/>
          </w:tcPr>
          <w:p>
            <w:pPr>
              <w:pStyle w:val="39"/>
              <w:widowControl/>
              <w:spacing w:line="360" w:lineRule="auto"/>
              <w:jc w:val="left"/>
              <w:rPr>
                <w:rFonts w:ascii="宋体" w:hAnsi="宋体" w:cs="Arial"/>
                <w:bCs/>
                <w:sz w:val="24"/>
              </w:rPr>
            </w:pPr>
            <w:r>
              <w:rPr>
                <w:rFonts w:hint="eastAsia" w:ascii="宋体" w:hAnsi="宋体" w:cs="Arial"/>
                <w:bCs/>
                <w:sz w:val="24"/>
              </w:rPr>
              <w:t>保修期内售后服务情况(</w:t>
            </w:r>
            <w:r>
              <w:rPr>
                <w:rFonts w:ascii="宋体" w:hAnsi="宋体" w:cs="Arial"/>
                <w:bCs/>
                <w:sz w:val="24"/>
              </w:rPr>
              <w:t>服务</w:t>
            </w:r>
            <w:r>
              <w:rPr>
                <w:rFonts w:hint="eastAsia" w:ascii="宋体" w:hAnsi="宋体" w:cs="Arial"/>
                <w:bCs/>
                <w:sz w:val="24"/>
              </w:rPr>
              <w:t>方式、服务网点</w:t>
            </w:r>
            <w:r>
              <w:rPr>
                <w:rFonts w:ascii="宋体" w:hAnsi="宋体" w:cs="Arial"/>
                <w:bCs/>
                <w:sz w:val="24"/>
              </w:rPr>
              <w:t>、售后服务的内容和措施</w:t>
            </w:r>
            <w:r>
              <w:rPr>
                <w:rFonts w:hint="eastAsia" w:ascii="宋体" w:hAnsi="宋体" w:cs="Arial"/>
                <w:bCs/>
                <w:sz w:val="24"/>
              </w:rPr>
              <w:t>等等，可用附页和宣传材料)</w:t>
            </w:r>
          </w:p>
        </w:tc>
        <w:tc>
          <w:tcPr>
            <w:tcW w:w="4061" w:type="dxa"/>
          </w:tcPr>
          <w:p>
            <w:pPr>
              <w:pStyle w:val="39"/>
              <w:spacing w:line="360" w:lineRule="auto"/>
              <w:rPr>
                <w:rFonts w:ascii="宋体" w:hAnsi="宋体" w:cs="Arial"/>
                <w:bCs/>
                <w:sz w:val="24"/>
              </w:rPr>
            </w:pPr>
            <w:r>
              <w:rPr>
                <w:rFonts w:hint="eastAsia" w:ascii="宋体" w:hAnsi="宋体" w:cs="Arial"/>
                <w:bCs/>
                <w:sz w:val="24"/>
              </w:rPr>
              <w:t>生产厂商售后服务情况：</w:t>
            </w:r>
          </w:p>
        </w:tc>
        <w:tc>
          <w:tcPr>
            <w:tcW w:w="1373" w:type="dxa"/>
          </w:tcPr>
          <w:p>
            <w:pPr>
              <w:pStyle w:val="39"/>
              <w:spacing w:line="360" w:lineRule="auto"/>
              <w:rPr>
                <w:rFonts w:ascii="宋体" w:hAns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090" w:hRule="atLeast"/>
          <w:jc w:val="center"/>
        </w:trPr>
        <w:tc>
          <w:tcPr>
            <w:tcW w:w="739" w:type="dxa"/>
            <w:vMerge w:val="continue"/>
            <w:vAlign w:val="center"/>
          </w:tcPr>
          <w:p>
            <w:pPr>
              <w:pStyle w:val="39"/>
              <w:widowControl/>
              <w:spacing w:line="360" w:lineRule="auto"/>
              <w:jc w:val="left"/>
              <w:rPr>
                <w:rFonts w:ascii="宋体" w:hAnsi="宋体" w:cs="Arial"/>
                <w:bCs/>
                <w:sz w:val="24"/>
              </w:rPr>
            </w:pPr>
          </w:p>
        </w:tc>
        <w:tc>
          <w:tcPr>
            <w:tcW w:w="2355" w:type="dxa"/>
            <w:vMerge w:val="continue"/>
            <w:vAlign w:val="center"/>
          </w:tcPr>
          <w:p>
            <w:pPr>
              <w:pStyle w:val="39"/>
              <w:widowControl/>
              <w:spacing w:line="360" w:lineRule="auto"/>
              <w:jc w:val="left"/>
              <w:rPr>
                <w:rFonts w:ascii="宋体" w:hAnsi="宋体" w:cs="Arial"/>
                <w:bCs/>
                <w:sz w:val="24"/>
              </w:rPr>
            </w:pPr>
          </w:p>
        </w:tc>
        <w:tc>
          <w:tcPr>
            <w:tcW w:w="4061" w:type="dxa"/>
          </w:tcPr>
          <w:p>
            <w:pPr>
              <w:pStyle w:val="39"/>
              <w:spacing w:line="360" w:lineRule="auto"/>
              <w:rPr>
                <w:rFonts w:ascii="宋体" w:hAnsi="宋体" w:cs="Arial"/>
                <w:bCs/>
                <w:sz w:val="24"/>
              </w:rPr>
            </w:pPr>
            <w:r>
              <w:rPr>
                <w:rFonts w:hint="eastAsia" w:ascii="宋体" w:hAnsi="宋体" w:cs="Arial"/>
                <w:bCs/>
                <w:sz w:val="24"/>
              </w:rPr>
              <w:t>投标人售后服务情况：</w:t>
            </w:r>
          </w:p>
        </w:tc>
        <w:tc>
          <w:tcPr>
            <w:tcW w:w="1373" w:type="dxa"/>
          </w:tcPr>
          <w:p>
            <w:pPr>
              <w:pStyle w:val="39"/>
              <w:spacing w:line="360" w:lineRule="auto"/>
              <w:jc w:val="left"/>
              <w:rPr>
                <w:rFonts w:ascii="宋体" w:hAns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567" w:hRule="exact"/>
          <w:jc w:val="center"/>
        </w:trPr>
        <w:tc>
          <w:tcPr>
            <w:tcW w:w="739" w:type="dxa"/>
            <w:vAlign w:val="center"/>
          </w:tcPr>
          <w:p>
            <w:pPr>
              <w:pStyle w:val="39"/>
              <w:spacing w:line="360" w:lineRule="auto"/>
              <w:jc w:val="center"/>
              <w:rPr>
                <w:rFonts w:ascii="宋体" w:hAnsi="宋体" w:cs="Arial"/>
                <w:bCs/>
                <w:sz w:val="24"/>
              </w:rPr>
            </w:pPr>
            <w:r>
              <w:rPr>
                <w:rFonts w:hint="eastAsia" w:ascii="宋体" w:hAnsi="宋体" w:cs="Arial"/>
                <w:bCs/>
                <w:sz w:val="24"/>
              </w:rPr>
              <w:t>2</w:t>
            </w:r>
          </w:p>
        </w:tc>
        <w:tc>
          <w:tcPr>
            <w:tcW w:w="2355" w:type="dxa"/>
            <w:vAlign w:val="center"/>
          </w:tcPr>
          <w:p>
            <w:pPr>
              <w:pStyle w:val="39"/>
              <w:spacing w:line="360" w:lineRule="auto"/>
              <w:rPr>
                <w:rFonts w:ascii="宋体" w:hAnsi="宋体" w:cs="Arial"/>
                <w:bCs/>
                <w:sz w:val="24"/>
              </w:rPr>
            </w:pPr>
            <w:r>
              <w:rPr>
                <w:rFonts w:hint="eastAsia" w:ascii="宋体" w:hAnsi="宋体" w:cs="Arial"/>
                <w:bCs/>
                <w:sz w:val="24"/>
              </w:rPr>
              <w:t>保修期后售后服务</w:t>
            </w:r>
          </w:p>
        </w:tc>
        <w:tc>
          <w:tcPr>
            <w:tcW w:w="4061" w:type="dxa"/>
          </w:tcPr>
          <w:p>
            <w:pPr>
              <w:pStyle w:val="39"/>
              <w:widowControl/>
              <w:spacing w:line="360" w:lineRule="auto"/>
              <w:jc w:val="left"/>
              <w:rPr>
                <w:rFonts w:ascii="宋体" w:hAnsi="宋体" w:cs="Arial"/>
                <w:bCs/>
                <w:sz w:val="24"/>
              </w:rPr>
            </w:pPr>
          </w:p>
          <w:p>
            <w:pPr>
              <w:pStyle w:val="39"/>
              <w:widowControl/>
              <w:spacing w:line="360" w:lineRule="auto"/>
              <w:jc w:val="left"/>
              <w:rPr>
                <w:rFonts w:ascii="宋体" w:hAnsi="宋体" w:cs="Arial"/>
                <w:bCs/>
                <w:sz w:val="24"/>
              </w:rPr>
            </w:pPr>
          </w:p>
          <w:p>
            <w:pPr>
              <w:pStyle w:val="39"/>
              <w:spacing w:line="360" w:lineRule="auto"/>
              <w:rPr>
                <w:rFonts w:ascii="宋体" w:hAnsi="宋体" w:cs="Arial"/>
                <w:bCs/>
                <w:sz w:val="24"/>
              </w:rPr>
            </w:pPr>
          </w:p>
        </w:tc>
        <w:tc>
          <w:tcPr>
            <w:tcW w:w="1373" w:type="dxa"/>
          </w:tcPr>
          <w:p>
            <w:pPr>
              <w:pStyle w:val="39"/>
              <w:widowControl/>
              <w:spacing w:line="360" w:lineRule="auto"/>
              <w:jc w:val="left"/>
              <w:rPr>
                <w:rFonts w:ascii="宋体" w:hAnsi="宋体" w:cs="Arial"/>
                <w:bCs/>
                <w:sz w:val="24"/>
              </w:rPr>
            </w:pPr>
          </w:p>
          <w:p>
            <w:pPr>
              <w:pStyle w:val="39"/>
              <w:widowControl/>
              <w:spacing w:line="360" w:lineRule="auto"/>
              <w:jc w:val="left"/>
              <w:rPr>
                <w:rFonts w:ascii="宋体" w:hAnsi="宋体" w:cs="Arial"/>
                <w:bCs/>
                <w:sz w:val="24"/>
              </w:rPr>
            </w:pPr>
          </w:p>
          <w:p>
            <w:pPr>
              <w:pStyle w:val="39"/>
              <w:spacing w:line="360" w:lineRule="auto"/>
              <w:rPr>
                <w:rFonts w:ascii="宋体" w:hAnsi="宋体" w:cs="Arial"/>
                <w:bCs/>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1620" w:hRule="exact"/>
          <w:jc w:val="center"/>
        </w:trPr>
        <w:tc>
          <w:tcPr>
            <w:tcW w:w="739" w:type="dxa"/>
            <w:vAlign w:val="center"/>
          </w:tcPr>
          <w:p>
            <w:pPr>
              <w:pStyle w:val="39"/>
              <w:widowControl/>
              <w:spacing w:line="360" w:lineRule="auto"/>
              <w:jc w:val="left"/>
              <w:rPr>
                <w:rFonts w:ascii="宋体" w:hAnsi="宋体" w:cs="Arial"/>
                <w:bCs/>
                <w:sz w:val="24"/>
              </w:rPr>
            </w:pPr>
            <w:r>
              <w:rPr>
                <w:rFonts w:hint="eastAsia" w:ascii="宋体" w:hAnsi="宋体" w:cs="Arial"/>
                <w:bCs/>
                <w:sz w:val="24"/>
              </w:rPr>
              <w:t xml:space="preserve"> 3</w:t>
            </w:r>
          </w:p>
        </w:tc>
        <w:tc>
          <w:tcPr>
            <w:tcW w:w="2355" w:type="dxa"/>
            <w:vAlign w:val="center"/>
          </w:tcPr>
          <w:p>
            <w:pPr>
              <w:pStyle w:val="39"/>
              <w:widowControl/>
              <w:spacing w:line="360" w:lineRule="auto"/>
              <w:jc w:val="left"/>
              <w:rPr>
                <w:rFonts w:ascii="宋体" w:hAnsi="宋体" w:cs="Arial"/>
                <w:bCs/>
                <w:sz w:val="24"/>
              </w:rPr>
            </w:pPr>
            <w:r>
              <w:rPr>
                <w:rFonts w:hint="eastAsia" w:ascii="宋体" w:hAnsi="宋体" w:cs="Arial"/>
                <w:bCs/>
                <w:sz w:val="24"/>
              </w:rPr>
              <w:t>培训方案（可用附页）</w:t>
            </w:r>
          </w:p>
        </w:tc>
        <w:tc>
          <w:tcPr>
            <w:tcW w:w="4061" w:type="dxa"/>
          </w:tcPr>
          <w:p>
            <w:pPr>
              <w:pStyle w:val="39"/>
              <w:widowControl/>
              <w:spacing w:line="360" w:lineRule="auto"/>
              <w:jc w:val="left"/>
              <w:rPr>
                <w:rFonts w:ascii="宋体" w:hAnsi="宋体" w:cs="Arial"/>
                <w:bCs/>
                <w:i/>
                <w:sz w:val="24"/>
              </w:rPr>
            </w:pPr>
          </w:p>
          <w:p>
            <w:pPr>
              <w:pStyle w:val="39"/>
              <w:widowControl/>
              <w:spacing w:line="360" w:lineRule="auto"/>
              <w:jc w:val="left"/>
              <w:rPr>
                <w:rFonts w:ascii="宋体" w:hAnsi="宋体" w:cs="Arial"/>
                <w:bCs/>
                <w:i/>
                <w:sz w:val="24"/>
              </w:rPr>
            </w:pPr>
          </w:p>
        </w:tc>
        <w:tc>
          <w:tcPr>
            <w:tcW w:w="1373" w:type="dxa"/>
          </w:tcPr>
          <w:p>
            <w:pPr>
              <w:pStyle w:val="39"/>
              <w:widowControl/>
              <w:spacing w:line="360" w:lineRule="auto"/>
              <w:jc w:val="left"/>
              <w:rPr>
                <w:rFonts w:ascii="宋体" w:hAnsi="宋体" w:cs="Arial"/>
                <w:bCs/>
                <w:i/>
                <w:sz w:val="24"/>
              </w:rPr>
            </w:pPr>
          </w:p>
          <w:p>
            <w:pPr>
              <w:pStyle w:val="39"/>
              <w:widowControl/>
              <w:spacing w:line="360" w:lineRule="auto"/>
              <w:jc w:val="left"/>
              <w:rPr>
                <w:rFonts w:ascii="宋体" w:hAnsi="宋体" w:cs="Arial"/>
                <w:bCs/>
                <w:i/>
                <w:sz w:val="24"/>
              </w:rPr>
            </w:pPr>
          </w:p>
          <w:p>
            <w:pPr>
              <w:pStyle w:val="39"/>
              <w:widowControl/>
              <w:spacing w:line="360" w:lineRule="auto"/>
              <w:jc w:val="left"/>
              <w:rPr>
                <w:rFonts w:ascii="宋体" w:hAnsi="宋体" w:cs="Arial"/>
                <w:bCs/>
                <w:i/>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cantSplit/>
          <w:trHeight w:val="689" w:hRule="exact"/>
          <w:jc w:val="center"/>
        </w:trPr>
        <w:tc>
          <w:tcPr>
            <w:tcW w:w="739" w:type="dxa"/>
            <w:vAlign w:val="center"/>
          </w:tcPr>
          <w:p>
            <w:pPr>
              <w:pStyle w:val="39"/>
              <w:widowControl/>
              <w:spacing w:line="360" w:lineRule="auto"/>
              <w:jc w:val="left"/>
              <w:rPr>
                <w:rFonts w:ascii="宋体" w:hAnsi="宋体" w:cs="Arial"/>
                <w:bCs/>
                <w:sz w:val="24"/>
              </w:rPr>
            </w:pPr>
            <w:r>
              <w:rPr>
                <w:rFonts w:ascii="宋体" w:hAnsi="宋体" w:cs="Arial"/>
                <w:bCs/>
                <w:sz w:val="24"/>
              </w:rPr>
              <w:t>……</w:t>
            </w:r>
          </w:p>
        </w:tc>
        <w:tc>
          <w:tcPr>
            <w:tcW w:w="2355" w:type="dxa"/>
            <w:vAlign w:val="center"/>
          </w:tcPr>
          <w:p>
            <w:pPr>
              <w:pStyle w:val="39"/>
              <w:widowControl/>
              <w:spacing w:line="360" w:lineRule="auto"/>
              <w:jc w:val="left"/>
              <w:rPr>
                <w:rFonts w:ascii="宋体" w:hAnsi="宋体" w:cs="Arial"/>
                <w:bCs/>
                <w:sz w:val="24"/>
              </w:rPr>
            </w:pPr>
            <w:r>
              <w:rPr>
                <w:rFonts w:ascii="宋体" w:hAnsi="宋体" w:cs="Arial"/>
                <w:bCs/>
                <w:sz w:val="24"/>
              </w:rPr>
              <w:t>……</w:t>
            </w:r>
          </w:p>
        </w:tc>
        <w:tc>
          <w:tcPr>
            <w:tcW w:w="4061" w:type="dxa"/>
          </w:tcPr>
          <w:p>
            <w:pPr>
              <w:pStyle w:val="39"/>
              <w:widowControl/>
              <w:spacing w:line="360" w:lineRule="auto"/>
              <w:jc w:val="left"/>
              <w:rPr>
                <w:rFonts w:ascii="宋体" w:hAnsi="宋体" w:cs="Arial"/>
                <w:bCs/>
                <w:sz w:val="24"/>
              </w:rPr>
            </w:pPr>
          </w:p>
        </w:tc>
        <w:tc>
          <w:tcPr>
            <w:tcW w:w="1373" w:type="dxa"/>
          </w:tcPr>
          <w:p>
            <w:pPr>
              <w:pStyle w:val="39"/>
              <w:widowControl/>
              <w:spacing w:line="360" w:lineRule="auto"/>
              <w:jc w:val="left"/>
              <w:rPr>
                <w:rFonts w:ascii="宋体" w:hAnsi="宋体" w:cs="Arial"/>
                <w:bCs/>
                <w:sz w:val="24"/>
              </w:rPr>
            </w:pPr>
          </w:p>
        </w:tc>
      </w:tr>
    </w:tbl>
    <w:p>
      <w:pPr>
        <w:spacing w:line="360" w:lineRule="auto"/>
        <w:ind w:left="420"/>
        <w:rPr>
          <w:rFonts w:ascii="宋体" w:hAnsi="宋体"/>
          <w:sz w:val="24"/>
        </w:rPr>
      </w:pPr>
    </w:p>
    <w:p>
      <w:pPr>
        <w:spacing w:line="360" w:lineRule="auto"/>
        <w:ind w:left="420"/>
        <w:rPr>
          <w:rFonts w:ascii="宋体" w:hAnsi="宋体"/>
          <w:sz w:val="24"/>
        </w:rPr>
      </w:pPr>
    </w:p>
    <w:p>
      <w:pPr>
        <w:spacing w:line="360" w:lineRule="auto"/>
        <w:ind w:left="420"/>
        <w:rPr>
          <w:rFonts w:ascii="宋体" w:hAnsi="宋体"/>
          <w:sz w:val="24"/>
          <w:u w:val="single"/>
        </w:rPr>
      </w:pPr>
      <w:r>
        <w:rPr>
          <w:rFonts w:hint="eastAsia" w:ascii="宋体" w:hAnsi="宋体"/>
          <w:sz w:val="24"/>
        </w:rPr>
        <w:t>投标人名称（电子印章）：</w:t>
      </w:r>
    </w:p>
    <w:p>
      <w:pPr>
        <w:spacing w:line="360" w:lineRule="auto"/>
        <w:ind w:left="420"/>
        <w:rPr>
          <w:rFonts w:ascii="宋体" w:hAnsi="宋体"/>
          <w:sz w:val="24"/>
        </w:rPr>
      </w:pPr>
    </w:p>
    <w:p>
      <w:pPr>
        <w:spacing w:line="360" w:lineRule="auto"/>
        <w:ind w:firstLine="435"/>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35"/>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35"/>
        <w:rPr>
          <w:rFonts w:ascii="宋体" w:hAnsi="宋体"/>
          <w:sz w:val="24"/>
          <w:u w:val="single"/>
        </w:rPr>
      </w:pPr>
      <w:r>
        <w:rPr>
          <w:rFonts w:hint="eastAsia" w:ascii="宋体" w:hAnsi="宋体"/>
          <w:sz w:val="24"/>
        </w:rPr>
        <w:t>日        期：</w:t>
      </w:r>
    </w:p>
    <w:p>
      <w:pPr>
        <w:spacing w:line="360" w:lineRule="auto"/>
        <w:ind w:firstLine="435"/>
        <w:rPr>
          <w:rFonts w:ascii="宋体" w:hAnsi="宋体"/>
          <w:sz w:val="24"/>
          <w:u w:val="single"/>
        </w:rPr>
      </w:pPr>
    </w:p>
    <w:p>
      <w:pPr>
        <w:pStyle w:val="2"/>
        <w:rPr>
          <w:rFonts w:ascii="宋体" w:hAnsi="宋体"/>
          <w:sz w:val="24"/>
          <w:u w:val="single"/>
        </w:rPr>
      </w:pPr>
    </w:p>
    <w:p>
      <w:pPr>
        <w:pStyle w:val="2"/>
        <w:rPr>
          <w:rFonts w:ascii="宋体" w:hAnsi="宋体"/>
          <w:sz w:val="24"/>
          <w:u w:val="single"/>
        </w:rPr>
      </w:pPr>
    </w:p>
    <w:p>
      <w:pPr>
        <w:pStyle w:val="2"/>
        <w:rPr>
          <w:rFonts w:ascii="宋体" w:hAnsi="宋体"/>
          <w:sz w:val="24"/>
          <w:u w:val="single"/>
        </w:rPr>
      </w:pPr>
    </w:p>
    <w:p>
      <w:pPr>
        <w:pStyle w:val="2"/>
        <w:rPr>
          <w:rFonts w:ascii="宋体" w:hAnsi="宋体"/>
          <w:sz w:val="24"/>
          <w:u w:val="single"/>
        </w:rPr>
      </w:pPr>
    </w:p>
    <w:p>
      <w:pPr>
        <w:pStyle w:val="40"/>
        <w:spacing w:line="360" w:lineRule="auto"/>
        <w:rPr>
          <w:rFonts w:hAnsi="宋体"/>
          <w:b/>
          <w:color w:val="000000" w:themeColor="text1"/>
          <w:sz w:val="28"/>
          <w:szCs w:val="28"/>
          <w14:textFill>
            <w14:solidFill>
              <w14:schemeClr w14:val="tx1"/>
            </w14:solidFill>
          </w14:textFill>
        </w:rPr>
      </w:pPr>
      <w:r>
        <w:rPr>
          <w:rFonts w:hint="eastAsia" w:hAnsi="宋体"/>
          <w:b/>
          <w:color w:val="000000" w:themeColor="text1"/>
          <w:sz w:val="28"/>
          <w:szCs w:val="28"/>
          <w14:textFill>
            <w14:solidFill>
              <w14:schemeClr w14:val="tx1"/>
            </w14:solidFill>
          </w14:textFill>
        </w:rPr>
        <w:t>附件14</w:t>
      </w:r>
    </w:p>
    <w:p>
      <w:pPr>
        <w:pStyle w:val="40"/>
        <w:spacing w:line="360" w:lineRule="auto"/>
        <w:jc w:val="center"/>
        <w:rPr>
          <w:rFonts w:hAnsi="宋体"/>
          <w:b/>
          <w:color w:val="000000" w:themeColor="text1"/>
          <w:sz w:val="32"/>
          <w:szCs w:val="32"/>
          <w:lang w:val="en-GB"/>
          <w14:textFill>
            <w14:solidFill>
              <w14:schemeClr w14:val="tx1"/>
            </w14:solidFill>
          </w14:textFill>
        </w:rPr>
      </w:pPr>
      <w:r>
        <w:rPr>
          <w:rFonts w:hint="eastAsia" w:hAnsi="宋体"/>
          <w:b/>
          <w:color w:val="000000" w:themeColor="text1"/>
          <w:sz w:val="32"/>
          <w:szCs w:val="32"/>
          <w14:textFill>
            <w14:solidFill>
              <w14:schemeClr w14:val="tx1"/>
            </w14:solidFill>
          </w14:textFill>
        </w:rPr>
        <w:t>主要货物用材响应表(类似家具类货物采用)</w:t>
      </w:r>
    </w:p>
    <w:tbl>
      <w:tblPr>
        <w:tblStyle w:val="23"/>
        <w:tblW w:w="1042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980"/>
        <w:gridCol w:w="1080"/>
        <w:gridCol w:w="1260"/>
        <w:gridCol w:w="900"/>
        <w:gridCol w:w="1164"/>
        <w:gridCol w:w="1260"/>
        <w:gridCol w:w="11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r>
              <w:rPr>
                <w:rFonts w:hint="eastAsia" w:ascii="FangSong_GB2312" w:hAnsi="宋体" w:eastAsia="FangSong_GB2312"/>
                <w:sz w:val="24"/>
              </w:rPr>
              <w:t>序号</w:t>
            </w: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9"/>
              <w:autoSpaceDE w:val="0"/>
              <w:autoSpaceDN w:val="0"/>
              <w:adjustRightInd w:val="0"/>
              <w:spacing w:line="360" w:lineRule="auto"/>
              <w:ind w:right="84" w:rightChars="40"/>
              <w:jc w:val="center"/>
              <w:rPr>
                <w:rFonts w:ascii="FangSong_GB2312" w:hAnsi="宋体" w:eastAsia="FangSong_GB2312"/>
                <w:sz w:val="24"/>
              </w:rPr>
            </w:pPr>
            <w:r>
              <w:rPr>
                <w:rFonts w:hint="eastAsia" w:ascii="FangSong_GB2312" w:hAnsi="宋体" w:eastAsia="FangSong_GB2312"/>
                <w:sz w:val="24"/>
              </w:rPr>
              <w:t>货物名称</w:t>
            </w:r>
          </w:p>
        </w:tc>
        <w:tc>
          <w:tcPr>
            <w:tcW w:w="1080" w:type="dxa"/>
            <w:vMerge w:val="restart"/>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r>
              <w:rPr>
                <w:rFonts w:hint="eastAsia" w:ascii="FangSong_GB2312" w:hAnsi="宋体" w:eastAsia="FangSong_GB2312"/>
                <w:sz w:val="24"/>
              </w:rPr>
              <w:t>产品配置</w:t>
            </w:r>
          </w:p>
        </w:tc>
        <w:tc>
          <w:tcPr>
            <w:tcW w:w="6644" w:type="dxa"/>
            <w:gridSpan w:val="6"/>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r>
              <w:rPr>
                <w:rFonts w:hint="eastAsia" w:ascii="FangSong_GB2312" w:hAnsi="宋体" w:eastAsia="FangSong_GB2312"/>
                <w:sz w:val="24"/>
              </w:rPr>
              <w:t>产品主要用材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rPr>
                <w:rFonts w:ascii="FangSong_GB2312" w:hAnsi="宋体" w:eastAsia="FangSong_GB2312"/>
                <w:sz w:val="24"/>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rPr>
                <w:rFonts w:ascii="FangSong_GB2312" w:hAnsi="宋体" w:eastAsia="FangSong_GB2312"/>
                <w:sz w:val="24"/>
              </w:rPr>
            </w:pPr>
          </w:p>
        </w:tc>
        <w:tc>
          <w:tcPr>
            <w:tcW w:w="1080"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rPr>
                <w:rFonts w:ascii="FangSong_GB2312" w:hAnsi="宋体" w:eastAsia="FangSong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r>
              <w:rPr>
                <w:rFonts w:hint="eastAsia" w:ascii="FangSong_GB2312" w:hAnsi="宋体" w:eastAsia="FangSong_GB2312" w:cs="宋体"/>
                <w:bCs/>
                <w:sz w:val="24"/>
              </w:rPr>
              <w:t>材料规格及参数</w:t>
            </w: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r>
              <w:rPr>
                <w:rFonts w:hint="eastAsia" w:ascii="FangSong_GB2312" w:hAnsi="宋体" w:eastAsia="FangSong_GB2312"/>
                <w:sz w:val="24"/>
              </w:rPr>
              <w:t>品牌</w:t>
            </w:r>
          </w:p>
          <w:p>
            <w:pPr>
              <w:pStyle w:val="39"/>
              <w:autoSpaceDE w:val="0"/>
              <w:autoSpaceDN w:val="0"/>
              <w:adjustRightInd w:val="0"/>
              <w:spacing w:line="360" w:lineRule="auto"/>
              <w:ind w:right="84" w:rightChars="40"/>
              <w:jc w:val="center"/>
              <w:rPr>
                <w:rFonts w:ascii="FangSong_GB2312" w:hAnsi="宋体" w:eastAsia="FangSong_GB2312"/>
                <w:sz w:val="24"/>
              </w:rPr>
            </w:pPr>
            <w:r>
              <w:rPr>
                <w:rFonts w:hint="eastAsia" w:ascii="FangSong_GB2312" w:hAnsi="宋体" w:eastAsia="FangSong_GB2312"/>
                <w:sz w:val="24"/>
              </w:rPr>
              <w:t>商标</w:t>
            </w:r>
          </w:p>
        </w:tc>
        <w:tc>
          <w:tcPr>
            <w:tcW w:w="1164"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r>
              <w:rPr>
                <w:rFonts w:hint="eastAsia" w:ascii="FangSong_GB2312" w:hAnsi="宋体" w:eastAsia="FangSong_GB2312"/>
                <w:sz w:val="24"/>
              </w:rPr>
              <w:t>生产厂家</w:t>
            </w: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r>
              <w:rPr>
                <w:rFonts w:hint="eastAsia" w:ascii="FangSong_GB2312" w:hAnsi="宋体" w:eastAsia="FangSong_GB2312"/>
                <w:sz w:val="24"/>
              </w:rPr>
              <w:t>符合标准</w:t>
            </w:r>
          </w:p>
        </w:tc>
        <w:tc>
          <w:tcPr>
            <w:tcW w:w="11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r>
              <w:rPr>
                <w:rFonts w:hint="eastAsia" w:ascii="FangSong_GB2312" w:hAnsi="宋体" w:eastAsia="FangSong_GB2312"/>
                <w:sz w:val="24"/>
              </w:rPr>
              <w:t>性能说明</w:t>
            </w: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r>
              <w:rPr>
                <w:rFonts w:hint="eastAsia" w:ascii="FangSong_GB2312" w:hAnsi="宋体" w:eastAsia="FangSong_GB2312"/>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9"/>
              <w:spacing w:line="360" w:lineRule="auto"/>
              <w:jc w:val="center"/>
              <w:rPr>
                <w:rFonts w:ascii="FangSong_GB2312" w:hAnsi="宋体" w:eastAsia="FangSong_GB2312"/>
                <w:sz w:val="24"/>
              </w:rPr>
            </w:pPr>
          </w:p>
        </w:tc>
        <w:tc>
          <w:tcPr>
            <w:tcW w:w="1080" w:type="dxa"/>
            <w:tcBorders>
              <w:top w:val="single" w:color="auto" w:sz="4" w:space="0"/>
              <w:left w:val="single" w:color="auto" w:sz="4" w:space="0"/>
              <w:bottom w:val="single" w:color="auto" w:sz="4" w:space="0"/>
              <w:right w:val="single" w:color="auto" w:sz="4" w:space="0"/>
            </w:tcBorders>
          </w:tcPr>
          <w:p>
            <w:pPr>
              <w:pStyle w:val="39"/>
              <w:spacing w:line="360" w:lineRule="auto"/>
              <w:jc w:val="center"/>
              <w:rPr>
                <w:rFonts w:ascii="FangSong_GB2312" w:hAnsi="宋体" w:eastAsia="FangSong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9"/>
              <w:spacing w:line="360" w:lineRule="auto"/>
              <w:jc w:val="center"/>
              <w:rPr>
                <w:rFonts w:ascii="FangSong_GB2312" w:hAnsi="宋体" w:eastAsia="FangSong_GB2312" w:cs="宋体"/>
                <w:sz w:val="24"/>
              </w:rPr>
            </w:pPr>
          </w:p>
        </w:tc>
        <w:tc>
          <w:tcPr>
            <w:tcW w:w="1164"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1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rPr>
                <w:rFonts w:ascii="FangSong_GB2312" w:hAnsi="宋体" w:eastAsia="FangSong_GB2312"/>
                <w:sz w:val="24"/>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rPr>
                <w:rFonts w:ascii="FangSong_GB2312" w:hAnsi="宋体" w:eastAsia="FangSong_GB2312"/>
                <w:sz w:val="24"/>
              </w:rPr>
            </w:pPr>
          </w:p>
        </w:tc>
        <w:tc>
          <w:tcPr>
            <w:tcW w:w="1080" w:type="dxa"/>
            <w:tcBorders>
              <w:top w:val="single" w:color="auto" w:sz="4" w:space="0"/>
              <w:left w:val="single" w:color="auto" w:sz="4" w:space="0"/>
              <w:bottom w:val="single" w:color="auto" w:sz="4" w:space="0"/>
              <w:right w:val="single" w:color="auto" w:sz="4" w:space="0"/>
            </w:tcBorders>
          </w:tcPr>
          <w:p>
            <w:pPr>
              <w:pStyle w:val="39"/>
              <w:spacing w:line="360" w:lineRule="auto"/>
              <w:jc w:val="center"/>
              <w:rPr>
                <w:rFonts w:ascii="FangSong_GB2312" w:hAnsi="宋体" w:eastAsia="FangSong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164"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1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9"/>
              <w:spacing w:line="360" w:lineRule="auto"/>
              <w:ind w:right="84" w:rightChars="40"/>
              <w:jc w:val="center"/>
              <w:rPr>
                <w:rFonts w:ascii="FangSong_GB2312" w:hAnsi="宋体" w:eastAsia="FangSong_GB2312"/>
                <w:sz w:val="24"/>
              </w:rPr>
            </w:pPr>
          </w:p>
        </w:tc>
        <w:tc>
          <w:tcPr>
            <w:tcW w:w="1080" w:type="dxa"/>
            <w:tcBorders>
              <w:top w:val="single" w:color="auto" w:sz="4" w:space="0"/>
              <w:left w:val="single" w:color="auto" w:sz="4" w:space="0"/>
              <w:bottom w:val="single" w:color="auto" w:sz="4" w:space="0"/>
              <w:right w:val="single" w:color="auto" w:sz="4" w:space="0"/>
            </w:tcBorders>
          </w:tcPr>
          <w:p>
            <w:pPr>
              <w:pStyle w:val="39"/>
              <w:spacing w:line="360" w:lineRule="auto"/>
              <w:ind w:right="84" w:rightChars="40"/>
              <w:jc w:val="center"/>
              <w:rPr>
                <w:rFonts w:ascii="FangSong_GB2312" w:hAnsi="宋体" w:eastAsia="FangSong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164"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1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rPr>
                <w:rFonts w:ascii="FangSong_GB2312" w:hAnsi="宋体" w:eastAsia="FangSong_GB2312"/>
                <w:sz w:val="24"/>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rPr>
                <w:rFonts w:ascii="FangSong_GB2312" w:hAnsi="宋体" w:eastAsia="FangSong_GB2312"/>
                <w:sz w:val="24"/>
              </w:rPr>
            </w:pPr>
          </w:p>
        </w:tc>
        <w:tc>
          <w:tcPr>
            <w:tcW w:w="1080" w:type="dxa"/>
            <w:tcBorders>
              <w:top w:val="single" w:color="auto" w:sz="4" w:space="0"/>
              <w:left w:val="single" w:color="auto" w:sz="4" w:space="0"/>
              <w:bottom w:val="single" w:color="auto" w:sz="4" w:space="0"/>
              <w:right w:val="single" w:color="auto" w:sz="4" w:space="0"/>
            </w:tcBorders>
          </w:tcPr>
          <w:p>
            <w:pPr>
              <w:pStyle w:val="39"/>
              <w:spacing w:line="360" w:lineRule="auto"/>
              <w:ind w:right="84" w:rightChars="40"/>
              <w:jc w:val="center"/>
              <w:rPr>
                <w:rFonts w:ascii="FangSong_GB2312" w:hAnsi="宋体" w:eastAsia="FangSong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164"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1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9"/>
              <w:spacing w:line="360" w:lineRule="auto"/>
              <w:ind w:right="84" w:rightChars="40"/>
              <w:jc w:val="center"/>
              <w:rPr>
                <w:rFonts w:ascii="FangSong_GB2312" w:hAnsi="宋体" w:eastAsia="FangSong_GB2312"/>
                <w:sz w:val="24"/>
              </w:rPr>
            </w:pPr>
          </w:p>
        </w:tc>
        <w:tc>
          <w:tcPr>
            <w:tcW w:w="1080" w:type="dxa"/>
            <w:tcBorders>
              <w:top w:val="single" w:color="auto" w:sz="4" w:space="0"/>
              <w:left w:val="single" w:color="auto" w:sz="4" w:space="0"/>
              <w:bottom w:val="single" w:color="auto" w:sz="4" w:space="0"/>
              <w:right w:val="single" w:color="auto" w:sz="4" w:space="0"/>
            </w:tcBorders>
          </w:tcPr>
          <w:p>
            <w:pPr>
              <w:pStyle w:val="39"/>
              <w:spacing w:line="360" w:lineRule="auto"/>
              <w:ind w:right="84" w:rightChars="40"/>
              <w:jc w:val="center"/>
              <w:rPr>
                <w:rFonts w:ascii="FangSong_GB2312" w:hAnsi="宋体" w:eastAsia="FangSong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164"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1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rPr>
                <w:rFonts w:ascii="FangSong_GB2312" w:hAnsi="宋体" w:eastAsia="FangSong_GB2312"/>
                <w:sz w:val="24"/>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rPr>
                <w:rFonts w:ascii="FangSong_GB2312" w:hAnsi="宋体" w:eastAsia="FangSong_GB2312"/>
                <w:sz w:val="24"/>
              </w:rPr>
            </w:pPr>
          </w:p>
        </w:tc>
        <w:tc>
          <w:tcPr>
            <w:tcW w:w="1080" w:type="dxa"/>
            <w:tcBorders>
              <w:top w:val="single" w:color="auto" w:sz="4" w:space="0"/>
              <w:left w:val="single" w:color="auto" w:sz="4" w:space="0"/>
              <w:bottom w:val="single" w:color="auto" w:sz="4" w:space="0"/>
              <w:right w:val="single" w:color="auto" w:sz="4" w:space="0"/>
            </w:tcBorders>
          </w:tcPr>
          <w:p>
            <w:pPr>
              <w:pStyle w:val="39"/>
              <w:spacing w:line="360" w:lineRule="auto"/>
              <w:ind w:right="84" w:rightChars="40"/>
              <w:jc w:val="center"/>
              <w:rPr>
                <w:rFonts w:ascii="FangSong_GB2312" w:hAnsi="宋体" w:eastAsia="FangSong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164"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1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9"/>
              <w:spacing w:line="360" w:lineRule="auto"/>
              <w:ind w:right="84" w:rightChars="40"/>
              <w:jc w:val="center"/>
              <w:rPr>
                <w:rFonts w:ascii="FangSong_GB2312" w:hAnsi="宋体" w:eastAsia="FangSong_GB2312"/>
                <w:sz w:val="24"/>
              </w:rPr>
            </w:pPr>
          </w:p>
        </w:tc>
        <w:tc>
          <w:tcPr>
            <w:tcW w:w="1080" w:type="dxa"/>
            <w:tcBorders>
              <w:top w:val="single" w:color="auto" w:sz="4" w:space="0"/>
              <w:left w:val="single" w:color="auto" w:sz="4" w:space="0"/>
              <w:bottom w:val="single" w:color="auto" w:sz="4" w:space="0"/>
              <w:right w:val="single" w:color="auto" w:sz="4" w:space="0"/>
            </w:tcBorders>
          </w:tcPr>
          <w:p>
            <w:pPr>
              <w:pStyle w:val="39"/>
              <w:spacing w:line="360" w:lineRule="auto"/>
              <w:ind w:right="84" w:rightChars="40"/>
              <w:jc w:val="center"/>
              <w:rPr>
                <w:rFonts w:ascii="FangSong_GB2312" w:hAnsi="宋体" w:eastAsia="FangSong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164"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1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rPr>
                <w:rFonts w:ascii="FangSong_GB2312" w:hAnsi="宋体" w:eastAsia="FangSong_GB2312"/>
                <w:sz w:val="24"/>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rPr>
                <w:rFonts w:ascii="FangSong_GB2312" w:hAnsi="宋体" w:eastAsia="FangSong_GB2312"/>
                <w:sz w:val="24"/>
              </w:rPr>
            </w:pPr>
          </w:p>
        </w:tc>
        <w:tc>
          <w:tcPr>
            <w:tcW w:w="1080" w:type="dxa"/>
            <w:tcBorders>
              <w:top w:val="single" w:color="auto" w:sz="4" w:space="0"/>
              <w:left w:val="single" w:color="auto" w:sz="4" w:space="0"/>
              <w:bottom w:val="single" w:color="auto" w:sz="4" w:space="0"/>
              <w:right w:val="single" w:color="auto" w:sz="4" w:space="0"/>
            </w:tcBorders>
          </w:tcPr>
          <w:p>
            <w:pPr>
              <w:pStyle w:val="39"/>
              <w:spacing w:line="360" w:lineRule="auto"/>
              <w:ind w:right="84" w:rightChars="40"/>
              <w:jc w:val="center"/>
              <w:rPr>
                <w:rFonts w:ascii="FangSong_GB2312" w:hAnsi="宋体" w:eastAsia="FangSong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164"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1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restart"/>
            <w:tcBorders>
              <w:top w:val="single" w:color="auto" w:sz="4" w:space="0"/>
              <w:left w:val="single" w:color="auto" w:sz="4" w:space="0"/>
              <w:bottom w:val="single" w:color="auto" w:sz="4" w:space="0"/>
              <w:right w:val="single" w:color="auto" w:sz="4" w:space="0"/>
            </w:tcBorders>
            <w:vAlign w:val="center"/>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980" w:type="dxa"/>
            <w:vMerge w:val="restart"/>
            <w:tcBorders>
              <w:top w:val="single" w:color="auto" w:sz="4" w:space="0"/>
              <w:left w:val="single" w:color="auto" w:sz="4" w:space="0"/>
              <w:bottom w:val="single" w:color="auto" w:sz="4" w:space="0"/>
              <w:right w:val="single" w:color="auto" w:sz="4" w:space="0"/>
            </w:tcBorders>
            <w:vAlign w:val="center"/>
          </w:tcPr>
          <w:p>
            <w:pPr>
              <w:pStyle w:val="39"/>
              <w:spacing w:line="360" w:lineRule="auto"/>
              <w:ind w:right="84" w:rightChars="40"/>
              <w:jc w:val="center"/>
              <w:rPr>
                <w:rFonts w:ascii="FangSong_GB2312" w:hAnsi="宋体" w:eastAsia="FangSong_GB2312"/>
                <w:sz w:val="24"/>
              </w:rPr>
            </w:pPr>
          </w:p>
        </w:tc>
        <w:tc>
          <w:tcPr>
            <w:tcW w:w="1080" w:type="dxa"/>
            <w:tcBorders>
              <w:top w:val="single" w:color="auto" w:sz="4" w:space="0"/>
              <w:left w:val="single" w:color="auto" w:sz="4" w:space="0"/>
              <w:bottom w:val="single" w:color="auto" w:sz="4" w:space="0"/>
              <w:right w:val="single" w:color="auto" w:sz="4" w:space="0"/>
            </w:tcBorders>
          </w:tcPr>
          <w:p>
            <w:pPr>
              <w:pStyle w:val="39"/>
              <w:spacing w:line="360" w:lineRule="auto"/>
              <w:ind w:right="84" w:rightChars="40"/>
              <w:jc w:val="center"/>
              <w:rPr>
                <w:rFonts w:ascii="FangSong_GB2312" w:hAnsi="宋体" w:eastAsia="FangSong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164"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1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 w:hRule="atLeast"/>
          <w:jc w:val="center"/>
        </w:trPr>
        <w:tc>
          <w:tcPr>
            <w:tcW w:w="721"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rPr>
                <w:rFonts w:ascii="FangSong_GB2312" w:hAnsi="宋体" w:eastAsia="FangSong_GB2312"/>
                <w:sz w:val="24"/>
              </w:rPr>
            </w:pPr>
          </w:p>
        </w:tc>
        <w:tc>
          <w:tcPr>
            <w:tcW w:w="1980" w:type="dxa"/>
            <w:vMerge w:val="continue"/>
            <w:tcBorders>
              <w:top w:val="single" w:color="auto" w:sz="4" w:space="0"/>
              <w:left w:val="single" w:color="auto" w:sz="4" w:space="0"/>
              <w:bottom w:val="single" w:color="auto" w:sz="4" w:space="0"/>
              <w:right w:val="single" w:color="auto" w:sz="4" w:space="0"/>
            </w:tcBorders>
            <w:vAlign w:val="center"/>
          </w:tcPr>
          <w:p>
            <w:pPr>
              <w:pStyle w:val="39"/>
              <w:spacing w:line="360" w:lineRule="auto"/>
              <w:rPr>
                <w:rFonts w:ascii="FangSong_GB2312" w:hAnsi="宋体" w:eastAsia="FangSong_GB2312"/>
                <w:sz w:val="24"/>
              </w:rPr>
            </w:pPr>
          </w:p>
        </w:tc>
        <w:tc>
          <w:tcPr>
            <w:tcW w:w="1080" w:type="dxa"/>
            <w:tcBorders>
              <w:top w:val="single" w:color="auto" w:sz="4" w:space="0"/>
              <w:left w:val="single" w:color="auto" w:sz="4" w:space="0"/>
              <w:bottom w:val="single" w:color="auto" w:sz="4" w:space="0"/>
              <w:right w:val="single" w:color="auto" w:sz="4" w:space="0"/>
            </w:tcBorders>
          </w:tcPr>
          <w:p>
            <w:pPr>
              <w:pStyle w:val="39"/>
              <w:spacing w:line="360" w:lineRule="auto"/>
              <w:ind w:right="84" w:rightChars="40"/>
              <w:jc w:val="center"/>
              <w:rPr>
                <w:rFonts w:ascii="FangSong_GB2312" w:hAnsi="宋体" w:eastAsia="FangSong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164"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2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116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c>
          <w:tcPr>
            <w:tcW w:w="900" w:type="dxa"/>
            <w:tcBorders>
              <w:top w:val="single" w:color="auto" w:sz="4" w:space="0"/>
              <w:left w:val="single" w:color="auto" w:sz="4" w:space="0"/>
              <w:bottom w:val="single" w:color="auto" w:sz="4" w:space="0"/>
              <w:right w:val="single" w:color="auto" w:sz="4" w:space="0"/>
            </w:tcBorders>
          </w:tcPr>
          <w:p>
            <w:pPr>
              <w:pStyle w:val="39"/>
              <w:autoSpaceDE w:val="0"/>
              <w:autoSpaceDN w:val="0"/>
              <w:adjustRightInd w:val="0"/>
              <w:spacing w:line="360" w:lineRule="auto"/>
              <w:ind w:right="84" w:rightChars="40"/>
              <w:jc w:val="center"/>
              <w:rPr>
                <w:rFonts w:ascii="FangSong_GB2312" w:hAnsi="宋体" w:eastAsia="FangSong_GB2312"/>
                <w:sz w:val="24"/>
              </w:rPr>
            </w:pPr>
          </w:p>
        </w:tc>
      </w:tr>
    </w:tbl>
    <w:p>
      <w:pPr>
        <w:spacing w:line="360" w:lineRule="auto"/>
        <w:rPr>
          <w:rFonts w:ascii="宋体" w:hAnsi="宋体"/>
          <w:b/>
          <w:szCs w:val="21"/>
        </w:rPr>
      </w:pPr>
      <w:r>
        <w:rPr>
          <w:rFonts w:hint="eastAsia" w:ascii="宋体" w:hAnsi="宋体"/>
          <w:b/>
          <w:szCs w:val="21"/>
        </w:rPr>
        <w:t>要求：</w:t>
      </w:r>
    </w:p>
    <w:p>
      <w:pPr>
        <w:pStyle w:val="39"/>
        <w:spacing w:line="360" w:lineRule="auto"/>
        <w:ind w:left="719" w:leftChars="228" w:hanging="240" w:hangingChars="100"/>
        <w:rPr>
          <w:rFonts w:ascii="FangSong_GB2312" w:hAnsi="宋体" w:eastAsia="FangSong_GB2312"/>
          <w:sz w:val="24"/>
        </w:rPr>
      </w:pPr>
      <w:r>
        <w:rPr>
          <w:rFonts w:hint="eastAsia" w:ascii="FangSong_GB2312" w:eastAsia="FangSong_GB2312"/>
          <w:sz w:val="24"/>
        </w:rPr>
        <w:t>1.请列出以上</w:t>
      </w:r>
      <w:r>
        <w:rPr>
          <w:rFonts w:hint="eastAsia" w:ascii="FangSong_GB2312" w:hAnsi="宋体" w:eastAsia="FangSong_GB2312"/>
          <w:sz w:val="24"/>
        </w:rPr>
        <w:t>产品的各项主要用材、辅料、油漆、五金件等。</w:t>
      </w:r>
    </w:p>
    <w:p>
      <w:pPr>
        <w:pStyle w:val="39"/>
        <w:spacing w:line="360" w:lineRule="auto"/>
        <w:ind w:firstLine="480" w:firstLineChars="200"/>
        <w:rPr>
          <w:rFonts w:ascii="FangSong_GB2312" w:eastAsia="FangSong_GB2312"/>
          <w:sz w:val="24"/>
        </w:rPr>
      </w:pPr>
      <w:r>
        <w:rPr>
          <w:rFonts w:hint="eastAsia" w:ascii="FangSong_GB2312" w:eastAsia="FangSong_GB2312"/>
          <w:sz w:val="24"/>
        </w:rPr>
        <w:t>2.本表所列产品主要用材均为采购人抽样送检的范围。</w:t>
      </w:r>
    </w:p>
    <w:p>
      <w:pPr>
        <w:spacing w:line="360" w:lineRule="auto"/>
        <w:ind w:firstLine="480" w:firstLineChars="200"/>
        <w:rPr>
          <w:rFonts w:ascii="宋体" w:hAnsi="宋体"/>
          <w:sz w:val="24"/>
          <w:u w:val="single"/>
        </w:rPr>
      </w:pPr>
      <w:r>
        <w:rPr>
          <w:rFonts w:hint="eastAsia" w:ascii="宋体" w:hAnsi="宋体"/>
          <w:sz w:val="24"/>
        </w:rPr>
        <w:t>投标人名称（电子印章）：</w:t>
      </w:r>
    </w:p>
    <w:p>
      <w:pPr>
        <w:spacing w:line="360" w:lineRule="auto"/>
        <w:ind w:left="420"/>
        <w:rPr>
          <w:rFonts w:ascii="宋体" w:hAnsi="宋体"/>
          <w:sz w:val="24"/>
        </w:rPr>
      </w:pPr>
    </w:p>
    <w:p>
      <w:pPr>
        <w:spacing w:line="360" w:lineRule="auto"/>
        <w:ind w:firstLine="480" w:firstLineChars="200"/>
        <w:rPr>
          <w:rFonts w:ascii="宋体" w:hAnsi="宋体"/>
          <w:sz w:val="24"/>
        </w:rPr>
      </w:pPr>
      <w:r>
        <w:rPr>
          <w:rFonts w:hint="eastAsia" w:ascii="宋体" w:hAnsi="宋体"/>
          <w:sz w:val="24"/>
        </w:rPr>
        <w:t>投标人代表签字或盖章：</w:t>
      </w:r>
    </w:p>
    <w:p>
      <w:pPr>
        <w:spacing w:line="360" w:lineRule="auto"/>
        <w:ind w:firstLine="435"/>
        <w:rPr>
          <w:rFonts w:ascii="宋体" w:hAnsi="宋体"/>
          <w:sz w:val="24"/>
        </w:rPr>
      </w:pPr>
    </w:p>
    <w:p>
      <w:pPr>
        <w:spacing w:line="360" w:lineRule="auto"/>
        <w:ind w:firstLine="480" w:firstLineChars="200"/>
        <w:rPr>
          <w:rFonts w:ascii="宋体" w:hAnsi="宋体"/>
          <w:sz w:val="24"/>
        </w:rPr>
      </w:pPr>
      <w:r>
        <w:rPr>
          <w:rFonts w:hint="eastAsia" w:ascii="宋体" w:hAnsi="宋体"/>
          <w:sz w:val="24"/>
        </w:rPr>
        <w:t>职        务：</w:t>
      </w:r>
    </w:p>
    <w:p>
      <w:pPr>
        <w:spacing w:line="360" w:lineRule="auto"/>
        <w:ind w:firstLine="435"/>
        <w:rPr>
          <w:rFonts w:ascii="宋体" w:hAnsi="宋体"/>
          <w:sz w:val="24"/>
        </w:rPr>
      </w:pPr>
    </w:p>
    <w:p>
      <w:pPr>
        <w:spacing w:line="360" w:lineRule="auto"/>
        <w:ind w:firstLine="480" w:firstLineChars="200"/>
        <w:rPr>
          <w:rFonts w:ascii="宋体" w:hAnsi="宋体"/>
          <w:color w:val="FF00FF"/>
          <w:sz w:val="24"/>
        </w:rPr>
      </w:pPr>
      <w:r>
        <w:rPr>
          <w:rFonts w:hint="eastAsia" w:ascii="宋体" w:hAnsi="宋体"/>
          <w:sz w:val="24"/>
        </w:rPr>
        <w:t>日        期：</w:t>
      </w:r>
    </w:p>
    <w:p>
      <w:pPr>
        <w:spacing w:line="360" w:lineRule="auto"/>
        <w:ind w:firstLine="435"/>
        <w:rPr>
          <w:rFonts w:ascii="宋体" w:hAnsi="宋体"/>
          <w:color w:val="FF00FF"/>
          <w:sz w:val="24"/>
        </w:rPr>
      </w:pPr>
    </w:p>
    <w:p>
      <w:pPr>
        <w:spacing w:line="360" w:lineRule="auto"/>
        <w:ind w:right="-110"/>
        <w:jc w:val="left"/>
        <w:rPr>
          <w:rFonts w:ascii="宋体" w:hAnsi="宋体"/>
          <w:b/>
          <w:sz w:val="28"/>
        </w:rPr>
      </w:pPr>
    </w:p>
    <w:p>
      <w:pPr>
        <w:spacing w:line="360" w:lineRule="auto"/>
        <w:ind w:right="-110"/>
        <w:jc w:val="left"/>
        <w:rPr>
          <w:rFonts w:ascii="宋体" w:hAnsi="宋体"/>
          <w:b/>
          <w:sz w:val="28"/>
        </w:rPr>
      </w:pPr>
    </w:p>
    <w:p>
      <w:pPr>
        <w:spacing w:line="360" w:lineRule="auto"/>
        <w:ind w:right="-110"/>
        <w:jc w:val="left"/>
        <w:rPr>
          <w:rFonts w:ascii="宋体" w:hAnsi="宋体"/>
          <w:spacing w:val="40"/>
          <w:sz w:val="52"/>
          <w:szCs w:val="52"/>
        </w:rPr>
      </w:pPr>
      <w:r>
        <w:rPr>
          <w:rFonts w:hint="eastAsia" w:ascii="宋体" w:hAnsi="宋体"/>
          <w:b/>
          <w:sz w:val="28"/>
        </w:rPr>
        <w:t>附件15</w:t>
      </w:r>
    </w:p>
    <w:p>
      <w:pPr>
        <w:spacing w:line="360" w:lineRule="auto"/>
        <w:ind w:right="-110"/>
        <w:jc w:val="center"/>
        <w:rPr>
          <w:rFonts w:ascii="宋体" w:hAnsi="宋体"/>
          <w:spacing w:val="40"/>
          <w:sz w:val="52"/>
          <w:szCs w:val="52"/>
        </w:rPr>
      </w:pPr>
      <w:r>
        <w:rPr>
          <w:rFonts w:hint="eastAsia" w:ascii="宋体" w:hAnsi="宋体"/>
          <w:spacing w:val="40"/>
          <w:sz w:val="52"/>
          <w:szCs w:val="52"/>
        </w:rPr>
        <w:t>项目名称</w:t>
      </w:r>
    </w:p>
    <w:p>
      <w:pPr>
        <w:spacing w:before="312" w:beforeLines="100" w:line="360" w:lineRule="auto"/>
        <w:ind w:right="-108"/>
        <w:jc w:val="center"/>
        <w:rPr>
          <w:rFonts w:ascii="宋体" w:hAnsi="宋体"/>
          <w:sz w:val="36"/>
          <w:szCs w:val="36"/>
        </w:rPr>
      </w:pPr>
      <w:r>
        <w:rPr>
          <w:rFonts w:hint="eastAsia" w:ascii="宋体" w:hAnsi="宋体"/>
          <w:sz w:val="36"/>
          <w:szCs w:val="36"/>
        </w:rPr>
        <w:t>项目编号：（标段）</w:t>
      </w:r>
    </w:p>
    <w:p>
      <w:pPr>
        <w:spacing w:after="100" w:afterAutospacing="1" w:line="360" w:lineRule="auto"/>
        <w:ind w:right="-108"/>
        <w:jc w:val="center"/>
        <w:rPr>
          <w:rFonts w:ascii="宋体" w:hAnsi="宋体"/>
          <w:b/>
          <w:spacing w:val="40"/>
          <w:sz w:val="84"/>
          <w:szCs w:val="84"/>
        </w:rPr>
      </w:pP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报</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价</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文</w:t>
      </w:r>
    </w:p>
    <w:p>
      <w:pPr>
        <w:spacing w:after="100" w:afterAutospacing="1" w:line="360" w:lineRule="auto"/>
        <w:ind w:right="-108"/>
        <w:jc w:val="center"/>
        <w:rPr>
          <w:rFonts w:ascii="宋体" w:hAnsi="宋体"/>
          <w:b/>
          <w:spacing w:val="40"/>
          <w:sz w:val="84"/>
          <w:szCs w:val="84"/>
        </w:rPr>
      </w:pPr>
      <w:r>
        <w:rPr>
          <w:rFonts w:hint="eastAsia" w:ascii="宋体" w:hAnsi="宋体"/>
          <w:b/>
          <w:spacing w:val="40"/>
          <w:sz w:val="84"/>
          <w:szCs w:val="84"/>
        </w:rPr>
        <w:t>件</w:t>
      </w:r>
    </w:p>
    <w:p>
      <w:pPr>
        <w:spacing w:line="360" w:lineRule="auto"/>
        <w:ind w:right="532"/>
        <w:jc w:val="center"/>
        <w:rPr>
          <w:rFonts w:ascii="宋体" w:hAnsi="宋体"/>
          <w:sz w:val="36"/>
          <w:szCs w:val="36"/>
        </w:rPr>
      </w:pPr>
    </w:p>
    <w:p>
      <w:pPr>
        <w:spacing w:line="360" w:lineRule="auto"/>
        <w:ind w:right="532"/>
        <w:rPr>
          <w:rFonts w:ascii="宋体" w:hAnsi="宋体"/>
          <w:sz w:val="36"/>
          <w:szCs w:val="36"/>
        </w:rPr>
      </w:pPr>
    </w:p>
    <w:p>
      <w:pPr>
        <w:spacing w:line="360" w:lineRule="auto"/>
        <w:ind w:right="532"/>
        <w:jc w:val="center"/>
        <w:rPr>
          <w:rFonts w:ascii="宋体" w:hAnsi="宋体"/>
          <w:sz w:val="36"/>
          <w:szCs w:val="36"/>
        </w:rPr>
      </w:pPr>
    </w:p>
    <w:p>
      <w:pPr>
        <w:spacing w:line="360" w:lineRule="auto"/>
        <w:ind w:right="532" w:firstLine="720" w:firstLineChars="200"/>
        <w:rPr>
          <w:rFonts w:ascii="宋体" w:hAnsi="宋体"/>
          <w:sz w:val="36"/>
          <w:szCs w:val="36"/>
        </w:rPr>
      </w:pPr>
      <w:r>
        <w:rPr>
          <w:rFonts w:hint="eastAsia" w:ascii="宋体" w:hAnsi="宋体"/>
          <w:sz w:val="36"/>
          <w:szCs w:val="36"/>
        </w:rPr>
        <w:t>供应商全称（电子印章）：</w:t>
      </w:r>
    </w:p>
    <w:p>
      <w:pPr>
        <w:spacing w:line="360" w:lineRule="auto"/>
        <w:ind w:right="-108" w:firstLine="720" w:firstLineChars="200"/>
        <w:rPr>
          <w:rFonts w:ascii="宋体" w:hAnsi="宋体"/>
          <w:sz w:val="36"/>
          <w:szCs w:val="36"/>
        </w:rPr>
      </w:pPr>
      <w:r>
        <w:rPr>
          <w:rFonts w:hint="eastAsia" w:ascii="宋体" w:hAnsi="宋体"/>
          <w:sz w:val="36"/>
          <w:szCs w:val="36"/>
        </w:rPr>
        <w:t>地    址：</w:t>
      </w:r>
    </w:p>
    <w:p>
      <w:pPr>
        <w:spacing w:line="360" w:lineRule="auto"/>
        <w:ind w:right="-108" w:firstLine="720" w:firstLineChars="200"/>
        <w:rPr>
          <w:rFonts w:ascii="宋体" w:hAnsi="宋体"/>
          <w:sz w:val="36"/>
          <w:szCs w:val="36"/>
        </w:rPr>
      </w:pPr>
      <w:r>
        <w:rPr>
          <w:rFonts w:hint="eastAsia" w:ascii="宋体" w:hAnsi="宋体"/>
          <w:sz w:val="36"/>
          <w:szCs w:val="36"/>
        </w:rPr>
        <w:t>时    间：</w:t>
      </w:r>
    </w:p>
    <w:p>
      <w:pPr>
        <w:spacing w:line="360" w:lineRule="auto"/>
        <w:ind w:right="-108"/>
        <w:jc w:val="center"/>
        <w:rPr>
          <w:rFonts w:ascii="FangSong_GB2312" w:hAnsi="宋体" w:eastAsia="FangSong_GB2312"/>
          <w:b/>
          <w:sz w:val="36"/>
          <w:szCs w:val="36"/>
        </w:rPr>
      </w:pPr>
    </w:p>
    <w:p>
      <w:pPr>
        <w:spacing w:line="360" w:lineRule="auto"/>
        <w:ind w:right="-108"/>
        <w:jc w:val="center"/>
        <w:rPr>
          <w:rFonts w:ascii="宋体" w:hAnsi="宋体"/>
          <w:b/>
          <w:sz w:val="32"/>
          <w:szCs w:val="32"/>
        </w:rPr>
      </w:pPr>
      <w:r>
        <w:rPr>
          <w:rFonts w:hint="eastAsia" w:ascii="宋体" w:hAnsi="宋体"/>
          <w:b/>
          <w:sz w:val="32"/>
          <w:szCs w:val="32"/>
        </w:rPr>
        <w:t>报价文件目录</w:t>
      </w:r>
    </w:p>
    <w:p>
      <w:pPr>
        <w:spacing w:line="360" w:lineRule="auto"/>
        <w:ind w:right="-108"/>
        <w:jc w:val="center"/>
        <w:rPr>
          <w:rFonts w:ascii="FangSong_GB2312" w:hAnsi="宋体" w:eastAsia="FangSong_GB2312"/>
          <w:b/>
          <w:sz w:val="36"/>
          <w:szCs w:val="36"/>
        </w:rPr>
      </w:pPr>
    </w:p>
    <w:p>
      <w:pPr>
        <w:spacing w:line="360" w:lineRule="auto"/>
        <w:rPr>
          <w:rFonts w:ascii="宋体" w:hAnsi="宋体"/>
          <w:sz w:val="24"/>
        </w:rPr>
      </w:pPr>
    </w:p>
    <w:p>
      <w:pPr>
        <w:snapToGrid w:val="0"/>
        <w:spacing w:line="360" w:lineRule="auto"/>
        <w:jc w:val="left"/>
        <w:rPr>
          <w:rFonts w:ascii="宋体" w:hAnsi="宋体"/>
          <w:sz w:val="24"/>
        </w:rPr>
      </w:pPr>
      <w:r>
        <w:rPr>
          <w:rFonts w:hint="eastAsia" w:ascii="宋体" w:hAnsi="宋体"/>
          <w:sz w:val="24"/>
        </w:rPr>
        <w:t>1、开标一览表（附件16）；</w:t>
      </w:r>
    </w:p>
    <w:p>
      <w:pPr>
        <w:pStyle w:val="14"/>
        <w:snapToGrid w:val="0"/>
        <w:spacing w:line="360" w:lineRule="auto"/>
        <w:ind w:left="0" w:leftChars="0"/>
        <w:rPr>
          <w:rFonts w:ascii="宋体" w:hAnsi="宋体" w:eastAsia="宋体"/>
          <w:sz w:val="24"/>
          <w:szCs w:val="24"/>
        </w:rPr>
      </w:pPr>
      <w:r>
        <w:rPr>
          <w:rFonts w:hint="eastAsia" w:ascii="宋体" w:hAnsi="宋体" w:eastAsia="宋体"/>
          <w:sz w:val="24"/>
          <w:szCs w:val="24"/>
        </w:rPr>
        <w:t>2、报价明细表</w:t>
      </w:r>
      <w:r>
        <w:rPr>
          <w:rFonts w:hint="eastAsia" w:ascii="宋体" w:hAnsi="宋体"/>
          <w:sz w:val="24"/>
        </w:rPr>
        <w:t>（附件17）</w:t>
      </w:r>
      <w:r>
        <w:rPr>
          <w:rFonts w:hint="eastAsia" w:ascii="宋体" w:hAnsi="宋体" w:eastAsia="宋体"/>
          <w:sz w:val="24"/>
          <w:szCs w:val="24"/>
        </w:rPr>
        <w:t>；</w:t>
      </w:r>
    </w:p>
    <w:p>
      <w:pPr>
        <w:snapToGrid w:val="0"/>
        <w:spacing w:line="360" w:lineRule="auto"/>
        <w:rPr>
          <w:rFonts w:ascii="宋体" w:hAnsi="宋体"/>
          <w:sz w:val="24"/>
        </w:rPr>
      </w:pPr>
      <w:r>
        <w:rPr>
          <w:rFonts w:hint="eastAsia" w:hAnsi="宋体"/>
          <w:sz w:val="24"/>
        </w:rPr>
        <w:t>3、</w:t>
      </w:r>
      <w:r>
        <w:rPr>
          <w:rFonts w:hint="eastAsia" w:ascii="宋体" w:hAnsi="宋体"/>
          <w:sz w:val="24"/>
        </w:rPr>
        <w:t>针对报价投标人认为其他需要说明的；</w:t>
      </w:r>
    </w:p>
    <w:p>
      <w:pPr>
        <w:pStyle w:val="41"/>
        <w:spacing w:line="360" w:lineRule="auto"/>
        <w:rPr>
          <w:rFonts w:hAnsi="宋体"/>
          <w:sz w:val="24"/>
        </w:rPr>
      </w:pPr>
      <w:r>
        <w:rPr>
          <w:rFonts w:hint="eastAsia" w:hAnsi="宋体"/>
          <w:sz w:val="24"/>
        </w:rPr>
        <w:t>4、</w:t>
      </w:r>
      <w:r>
        <w:rPr>
          <w:rFonts w:hAnsi="宋体"/>
          <w:sz w:val="24"/>
        </w:rPr>
        <w:t>小微企业</w:t>
      </w:r>
      <w:r>
        <w:rPr>
          <w:rFonts w:hint="eastAsia" w:hAnsi="宋体"/>
          <w:sz w:val="24"/>
        </w:rPr>
        <w:t>等</w:t>
      </w:r>
      <w:r>
        <w:rPr>
          <w:rFonts w:hAnsi="宋体"/>
          <w:sz w:val="24"/>
        </w:rPr>
        <w:t>声明函</w:t>
      </w:r>
      <w:r>
        <w:rPr>
          <w:rFonts w:hint="eastAsia" w:hAnsi="宋体"/>
          <w:sz w:val="24"/>
        </w:rPr>
        <w:t>（附件18）；</w:t>
      </w:r>
    </w:p>
    <w:p>
      <w:pPr>
        <w:pStyle w:val="42"/>
        <w:spacing w:line="360" w:lineRule="auto"/>
        <w:rPr>
          <w:rFonts w:ascii="宋体" w:hAnsi="宋体"/>
          <w:kern w:val="0"/>
          <w:sz w:val="24"/>
        </w:rPr>
      </w:pPr>
      <w:r>
        <w:rPr>
          <w:rFonts w:hint="eastAsia" w:ascii="宋体" w:hAnsi="宋体"/>
          <w:kern w:val="0"/>
          <w:sz w:val="24"/>
        </w:rPr>
        <w:t>5、产品适用政府采购政策情况表</w:t>
      </w:r>
      <w:r>
        <w:rPr>
          <w:rFonts w:hint="eastAsia" w:ascii="宋体" w:hAnsi="宋体"/>
          <w:sz w:val="24"/>
        </w:rPr>
        <w:t>（附件19）</w:t>
      </w:r>
      <w:r>
        <w:rPr>
          <w:rFonts w:hint="eastAsia" w:ascii="宋体" w:hAnsi="宋体"/>
          <w:kern w:val="0"/>
          <w:sz w:val="24"/>
        </w:rPr>
        <w:t>。</w:t>
      </w:r>
    </w:p>
    <w:p>
      <w:pPr>
        <w:spacing w:line="360" w:lineRule="auto"/>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ind w:left="480"/>
        <w:rPr>
          <w:rFonts w:ascii="宋体" w:hAnsi="宋体"/>
          <w:b/>
          <w:sz w:val="28"/>
        </w:rPr>
      </w:pPr>
    </w:p>
    <w:p>
      <w:pPr>
        <w:spacing w:line="360" w:lineRule="auto"/>
        <w:rPr>
          <w:rFonts w:ascii="宋体" w:hAnsi="宋体"/>
          <w:b/>
          <w:sz w:val="28"/>
        </w:rPr>
      </w:pPr>
      <w:r>
        <w:rPr>
          <w:rFonts w:hint="eastAsia" w:ascii="宋体" w:hAnsi="宋体"/>
          <w:b/>
          <w:sz w:val="28"/>
        </w:rPr>
        <w:t>附件16</w:t>
      </w:r>
    </w:p>
    <w:p>
      <w:pPr>
        <w:spacing w:line="360" w:lineRule="auto"/>
        <w:ind w:left="-2" w:hanging="2"/>
        <w:jc w:val="center"/>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开标一览表 (第 标)</w:t>
      </w:r>
    </w:p>
    <w:p>
      <w:pPr>
        <w:pStyle w:val="13"/>
        <w:spacing w:line="320" w:lineRule="exact"/>
        <w:rPr>
          <w:rFonts w:hAnsi="宋体"/>
          <w:b/>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项目编号：</w:t>
      </w:r>
    </w:p>
    <w:p>
      <w:pPr>
        <w:pStyle w:val="43"/>
        <w:spacing w:line="360" w:lineRule="auto"/>
        <w:ind w:right="480"/>
        <w:jc w:val="left"/>
        <w:rPr>
          <w:rFonts w:ascii="宋体" w:hAnsi="宋体"/>
          <w:color w:val="000000" w:themeColor="text1"/>
          <w:sz w:val="24"/>
          <w14:textFill>
            <w14:solidFill>
              <w14:schemeClr w14:val="tx1"/>
            </w14:solidFill>
          </w14:textFill>
        </w:rPr>
      </w:pPr>
      <w:r>
        <w:rPr>
          <w:rFonts w:hAnsi="宋体"/>
          <w:b/>
          <w:color w:val="000000" w:themeColor="text1"/>
          <w:sz w:val="24"/>
          <w14:textFill>
            <w14:solidFill>
              <w14:schemeClr w14:val="tx1"/>
            </w14:solidFill>
          </w14:textFill>
        </w:rPr>
        <w:t>项目名称：</w:t>
      </w:r>
      <w:r>
        <w:rPr>
          <w:rFonts w:hint="eastAsia" w:ascii="宋体" w:hAnsi="宋体"/>
          <w:color w:val="000000" w:themeColor="text1"/>
          <w:sz w:val="24"/>
          <w14:textFill>
            <w14:solidFill>
              <w14:schemeClr w14:val="tx1"/>
            </w14:solidFill>
          </w14:textFill>
        </w:rPr>
        <w:t xml:space="preserve">                                     [货币单位：人民币元]</w:t>
      </w:r>
    </w:p>
    <w:p>
      <w:pPr>
        <w:pStyle w:val="43"/>
        <w:spacing w:line="360" w:lineRule="auto"/>
        <w:ind w:right="480"/>
        <w:jc w:val="left"/>
        <w:rPr>
          <w:rFonts w:ascii="宋体" w:hAnsi="宋体"/>
          <w:color w:val="000000" w:themeColor="text1"/>
          <w:sz w:val="24"/>
          <w14:textFill>
            <w14:solidFill>
              <w14:schemeClr w14:val="tx1"/>
            </w14:solidFill>
          </w14:textFill>
        </w:rPr>
      </w:pPr>
    </w:p>
    <w:tbl>
      <w:tblPr>
        <w:tblStyle w:val="23"/>
        <w:tblW w:w="8672"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3213"/>
        <w:gridCol w:w="830"/>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cantSplit/>
          <w:trHeight w:val="1211" w:hRule="atLeast"/>
          <w:jc w:val="center"/>
        </w:trPr>
        <w:tc>
          <w:tcPr>
            <w:tcW w:w="3213" w:type="dxa"/>
            <w:vMerge w:val="restart"/>
            <w:tcBorders>
              <w:top w:val="single" w:color="auto" w:sz="4" w:space="0"/>
              <w:left w:val="single" w:color="auto" w:sz="12" w:space="0"/>
              <w:right w:val="single" w:color="auto" w:sz="4" w:space="0"/>
            </w:tcBorders>
            <w:vAlign w:val="center"/>
          </w:tcPr>
          <w:p>
            <w:pPr>
              <w:jc w:val="center"/>
              <w:rPr>
                <w:rFonts w:ascii="宋体" w:hAnsi="宋体"/>
                <w:sz w:val="24"/>
              </w:rPr>
            </w:pPr>
            <w:r>
              <w:rPr>
                <w:rFonts w:hint="eastAsia" w:ascii="宋体" w:hAnsi="宋体"/>
                <w:sz w:val="24"/>
              </w:rPr>
              <w:t>投标总报价(元)</w:t>
            </w:r>
          </w:p>
        </w:tc>
        <w:tc>
          <w:tcPr>
            <w:tcW w:w="83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大写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cantSplit/>
          <w:trHeight w:val="1530" w:hRule="atLeast"/>
          <w:jc w:val="center"/>
        </w:trPr>
        <w:tc>
          <w:tcPr>
            <w:tcW w:w="3213" w:type="dxa"/>
            <w:vMerge w:val="continue"/>
            <w:tcBorders>
              <w:left w:val="single" w:color="auto" w:sz="12" w:space="0"/>
              <w:bottom w:val="single" w:color="auto" w:sz="4" w:space="0"/>
              <w:right w:val="single" w:color="auto" w:sz="4" w:space="0"/>
            </w:tcBorders>
            <w:vAlign w:val="center"/>
          </w:tcPr>
          <w:p>
            <w:pPr>
              <w:jc w:val="center"/>
              <w:rPr>
                <w:rFonts w:ascii="宋体" w:hAnsi="宋体"/>
                <w:sz w:val="24"/>
              </w:rPr>
            </w:pPr>
          </w:p>
        </w:tc>
        <w:tc>
          <w:tcPr>
            <w:tcW w:w="830"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450" w:lineRule="exact"/>
              <w:jc w:val="center"/>
              <w:textAlignment w:val="bottom"/>
              <w:rPr>
                <w:rFonts w:ascii="宋体" w:hAnsi="宋体"/>
                <w:sz w:val="24"/>
              </w:rPr>
            </w:pPr>
            <w:r>
              <w:rPr>
                <w:rFonts w:hint="eastAsia" w:ascii="宋体" w:hAnsi="宋体"/>
                <w:sz w:val="24"/>
              </w:rPr>
              <w:t>小写</w:t>
            </w:r>
          </w:p>
        </w:tc>
        <w:tc>
          <w:tcPr>
            <w:tcW w:w="4629" w:type="dxa"/>
            <w:tcBorders>
              <w:top w:val="single" w:color="auto" w:sz="4" w:space="0"/>
              <w:left w:val="single" w:color="auto" w:sz="4" w:space="0"/>
              <w:bottom w:val="single" w:color="auto" w:sz="4" w:space="0"/>
              <w:right w:val="single" w:color="auto" w:sz="12" w:space="0"/>
            </w:tcBorders>
            <w:vAlign w:val="center"/>
          </w:tcPr>
          <w:p>
            <w:pPr>
              <w:autoSpaceDE w:val="0"/>
              <w:autoSpaceDN w:val="0"/>
              <w:spacing w:line="450" w:lineRule="exact"/>
              <w:jc w:val="center"/>
              <w:textAlignment w:val="bottom"/>
              <w:rPr>
                <w:rFonts w:ascii="宋体" w:hAnsi="宋体"/>
                <w:sz w:val="24"/>
              </w:rPr>
            </w:pPr>
          </w:p>
        </w:tc>
      </w:tr>
    </w:tbl>
    <w:p>
      <w:pPr>
        <w:spacing w:line="360" w:lineRule="auto"/>
        <w:rPr>
          <w:rFonts w:ascii="宋体" w:hAnsi="宋体"/>
          <w:b/>
          <w:color w:val="000000" w:themeColor="text1"/>
          <w:sz w:val="30"/>
          <w14:textFill>
            <w14:solidFill>
              <w14:schemeClr w14:val="tx1"/>
            </w14:solidFill>
          </w14:textFill>
        </w:rPr>
      </w:pPr>
    </w:p>
    <w:p>
      <w:pPr>
        <w:spacing w:line="360" w:lineRule="auto"/>
        <w:rPr>
          <w:rFonts w:ascii="宋体" w:hAnsi="宋体"/>
          <w:color w:val="000000" w:themeColor="text1"/>
          <w:sz w:val="24"/>
          <w14:textFill>
            <w14:solidFill>
              <w14:schemeClr w14:val="tx1"/>
            </w14:solidFill>
          </w14:textFill>
        </w:rPr>
      </w:pPr>
      <w:r>
        <w:rPr>
          <w:rFonts w:hint="eastAsia" w:ascii="宋体" w:hAnsi="宋体"/>
          <w:b/>
          <w:color w:val="000000" w:themeColor="text1"/>
          <w:szCs w:val="21"/>
          <w14:textFill>
            <w14:solidFill>
              <w14:schemeClr w14:val="tx1"/>
            </w14:solidFill>
          </w14:textFill>
        </w:rPr>
        <w:t>填报要求：</w:t>
      </w:r>
    </w:p>
    <w:p>
      <w:pPr>
        <w:pStyle w:val="2"/>
        <w:spacing w:line="360" w:lineRule="auto"/>
        <w:ind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1.投标总报价是包括货款、标准附件、备品备件、专用工具、包装、运输、装卸、保险、税金、货到就位以及安装、调试、培训、保修、合同包含的所有风险责任等各项费用及不可预见费等所需的全部费用。</w:t>
      </w:r>
    </w:p>
    <w:p>
      <w:pPr>
        <w:spacing w:line="360" w:lineRule="auto"/>
        <w:ind w:firstLine="420" w:firstLineChars="200"/>
        <w:rPr>
          <w:rFonts w:ascii="宋体" w:hAnsi="宋体"/>
          <w:color w:val="000000" w:themeColor="text1"/>
          <w:kern w:val="0"/>
          <w:szCs w:val="21"/>
          <w14:textFill>
            <w14:solidFill>
              <w14:schemeClr w14:val="tx1"/>
            </w14:solidFill>
          </w14:textFill>
        </w:rPr>
      </w:pPr>
      <w:r>
        <w:rPr>
          <w:rFonts w:hint="eastAsia" w:ascii="宋体" w:hAnsi="宋体"/>
          <w:color w:val="000000" w:themeColor="text1"/>
          <w:kern w:val="0"/>
          <w:szCs w:val="21"/>
          <w14:textFill>
            <w14:solidFill>
              <w14:schemeClr w14:val="tx1"/>
            </w14:solidFill>
          </w14:textFill>
        </w:rPr>
        <w:t>2.报价一经涂改，应在涂改处加盖单位电子印章，或者由法定代表人或全权代表签字或盖章，否则其投标作无效标处理。</w:t>
      </w:r>
    </w:p>
    <w:p>
      <w:pPr>
        <w:pStyle w:val="2"/>
      </w:pPr>
    </w:p>
    <w:p>
      <w:pPr>
        <w:spacing w:line="360" w:lineRule="auto"/>
        <w:rPr>
          <w:rFonts w:ascii="宋体" w:hAnsi="宋体"/>
          <w:color w:val="000000" w:themeColor="text1"/>
          <w:sz w:val="24"/>
          <w14:textFill>
            <w14:solidFill>
              <w14:schemeClr w14:val="tx1"/>
            </w14:solidFill>
          </w14:textFill>
        </w:rPr>
      </w:pPr>
    </w:p>
    <w:p>
      <w:pPr>
        <w:spacing w:line="360" w:lineRule="auto"/>
        <w:ind w:left="420"/>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w:t>
      </w:r>
      <w:r>
        <w:rPr>
          <w:rFonts w:hint="eastAsia" w:ascii="宋体" w:hAnsi="宋体"/>
          <w:sz w:val="24"/>
        </w:rPr>
        <w:t>电子印章</w:t>
      </w:r>
      <w:r>
        <w:rPr>
          <w:rFonts w:hint="eastAsia" w:ascii="宋体" w:hAnsi="宋体"/>
          <w:color w:val="000000" w:themeColor="text1"/>
          <w:sz w:val="24"/>
          <w14:textFill>
            <w14:solidFill>
              <w14:schemeClr w14:val="tx1"/>
            </w14:solidFill>
          </w14:textFill>
        </w:rPr>
        <w:t>）：</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spacing w:line="360" w:lineRule="auto"/>
        <w:ind w:firstLine="435"/>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pacing w:line="360" w:lineRule="auto"/>
        <w:ind w:firstLine="435"/>
        <w:rPr>
          <w:rFonts w:ascii="宋体" w:hAnsi="宋体"/>
          <w:color w:val="000000" w:themeColor="text1"/>
          <w:sz w:val="24"/>
          <w14:textFill>
            <w14:solidFill>
              <w14:schemeClr w14:val="tx1"/>
            </w14:solidFill>
          </w14:textFill>
        </w:rPr>
      </w:pPr>
    </w:p>
    <w:p>
      <w:pPr>
        <w:spacing w:line="360" w:lineRule="auto"/>
        <w:rPr>
          <w:rFonts w:ascii="宋体" w:hAnsi="宋体"/>
          <w:b/>
          <w:sz w:val="28"/>
        </w:rPr>
      </w:pPr>
    </w:p>
    <w:p>
      <w:pPr>
        <w:spacing w:line="360" w:lineRule="auto"/>
        <w:rPr>
          <w:rFonts w:ascii="宋体" w:hAnsi="宋体"/>
          <w:b/>
          <w:sz w:val="28"/>
        </w:rPr>
      </w:pPr>
      <w:r>
        <w:rPr>
          <w:rFonts w:hint="eastAsia" w:ascii="宋体" w:hAnsi="宋体"/>
          <w:b/>
          <w:sz w:val="28"/>
        </w:rPr>
        <w:t>附件17</w:t>
      </w:r>
    </w:p>
    <w:p>
      <w:pPr>
        <w:spacing w:line="360" w:lineRule="auto"/>
        <w:ind w:left="480"/>
        <w:jc w:val="center"/>
        <w:rPr>
          <w:rFonts w:ascii="宋体" w:hAnsi="宋体"/>
          <w:color w:val="000000" w:themeColor="text1"/>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报价明细表 (第 标)</w:t>
      </w:r>
    </w:p>
    <w:p>
      <w:pPr>
        <w:spacing w:line="360" w:lineRule="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 xml:space="preserve">  项目编号：                                    [货币单位：人民币元]</w:t>
      </w:r>
    </w:p>
    <w:tbl>
      <w:tblPr>
        <w:tblStyle w:val="23"/>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460"/>
        <w:gridCol w:w="1559"/>
        <w:gridCol w:w="1559"/>
        <w:gridCol w:w="851"/>
        <w:gridCol w:w="992"/>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0" w:hRule="atLeast"/>
        </w:trPr>
        <w:tc>
          <w:tcPr>
            <w:tcW w:w="525" w:type="dxa"/>
            <w:vAlign w:val="center"/>
          </w:tcPr>
          <w:p>
            <w:pPr>
              <w:spacing w:line="360" w:lineRule="auto"/>
              <w:rPr>
                <w:rFonts w:ascii="宋体" w:hAnsi="宋体"/>
                <w:b/>
                <w:sz w:val="24"/>
              </w:rPr>
            </w:pPr>
            <w:r>
              <w:rPr>
                <w:rFonts w:hint="eastAsia" w:ascii="宋体" w:hAnsi="宋体"/>
                <w:b/>
                <w:sz w:val="24"/>
              </w:rPr>
              <w:t>序号</w:t>
            </w:r>
          </w:p>
        </w:tc>
        <w:tc>
          <w:tcPr>
            <w:tcW w:w="1460" w:type="dxa"/>
            <w:vAlign w:val="center"/>
          </w:tcPr>
          <w:p>
            <w:pPr>
              <w:tabs>
                <w:tab w:val="left" w:pos="8280"/>
              </w:tabs>
              <w:autoSpaceDE w:val="0"/>
              <w:autoSpaceDN w:val="0"/>
              <w:adjustRightInd w:val="0"/>
              <w:spacing w:line="360" w:lineRule="auto"/>
              <w:ind w:right="25"/>
              <w:rPr>
                <w:rFonts w:ascii="宋体" w:hAnsi="宋体"/>
                <w:b/>
                <w:sz w:val="24"/>
              </w:rPr>
            </w:pPr>
            <w:r>
              <w:rPr>
                <w:rFonts w:hint="eastAsia" w:ascii="宋体" w:hAnsi="宋体"/>
                <w:b/>
                <w:sz w:val="24"/>
              </w:rPr>
              <w:t>报价项目</w:t>
            </w:r>
          </w:p>
        </w:tc>
        <w:tc>
          <w:tcPr>
            <w:tcW w:w="1559" w:type="dxa"/>
            <w:vAlign w:val="center"/>
          </w:tcPr>
          <w:p>
            <w:pPr>
              <w:tabs>
                <w:tab w:val="left" w:pos="8280"/>
              </w:tabs>
              <w:autoSpaceDE w:val="0"/>
              <w:autoSpaceDN w:val="0"/>
              <w:adjustRightInd w:val="0"/>
              <w:spacing w:line="360" w:lineRule="auto"/>
              <w:ind w:right="25"/>
              <w:jc w:val="center"/>
              <w:rPr>
                <w:rFonts w:ascii="宋体" w:hAnsi="宋体"/>
                <w:b/>
                <w:sz w:val="24"/>
              </w:rPr>
            </w:pPr>
            <w:r>
              <w:rPr>
                <w:rFonts w:hint="eastAsia" w:ascii="宋体" w:hAnsi="宋体"/>
                <w:b/>
                <w:sz w:val="24"/>
              </w:rPr>
              <w:t>品牌、产地</w:t>
            </w:r>
          </w:p>
        </w:tc>
        <w:tc>
          <w:tcPr>
            <w:tcW w:w="1559" w:type="dxa"/>
            <w:vAlign w:val="center"/>
          </w:tcPr>
          <w:p>
            <w:pPr>
              <w:spacing w:line="360" w:lineRule="auto"/>
              <w:ind w:left="52"/>
              <w:jc w:val="center"/>
              <w:rPr>
                <w:rFonts w:ascii="宋体" w:hAnsi="宋体"/>
                <w:b/>
                <w:sz w:val="24"/>
              </w:rPr>
            </w:pPr>
            <w:r>
              <w:rPr>
                <w:rFonts w:hint="eastAsia" w:ascii="宋体" w:hAnsi="宋体"/>
                <w:b/>
                <w:sz w:val="24"/>
              </w:rPr>
              <w:t>型号规格</w:t>
            </w:r>
          </w:p>
        </w:tc>
        <w:tc>
          <w:tcPr>
            <w:tcW w:w="851" w:type="dxa"/>
            <w:vAlign w:val="center"/>
          </w:tcPr>
          <w:p>
            <w:pPr>
              <w:spacing w:line="360" w:lineRule="auto"/>
              <w:ind w:left="152"/>
              <w:jc w:val="center"/>
              <w:rPr>
                <w:rFonts w:ascii="宋体" w:hAnsi="宋体"/>
                <w:b/>
                <w:sz w:val="24"/>
              </w:rPr>
            </w:pPr>
            <w:r>
              <w:rPr>
                <w:rFonts w:hint="eastAsia" w:ascii="宋体" w:hAnsi="宋体"/>
                <w:b/>
                <w:sz w:val="24"/>
              </w:rPr>
              <w:t>数量</w:t>
            </w:r>
          </w:p>
        </w:tc>
        <w:tc>
          <w:tcPr>
            <w:tcW w:w="992" w:type="dxa"/>
            <w:vAlign w:val="center"/>
          </w:tcPr>
          <w:p>
            <w:pPr>
              <w:spacing w:line="360" w:lineRule="auto"/>
              <w:jc w:val="center"/>
              <w:rPr>
                <w:rFonts w:ascii="宋体" w:hAnsi="宋体"/>
                <w:b/>
                <w:sz w:val="24"/>
              </w:rPr>
            </w:pPr>
            <w:r>
              <w:rPr>
                <w:rFonts w:hint="eastAsia" w:ascii="宋体" w:hAnsi="宋体"/>
                <w:b/>
                <w:sz w:val="24"/>
              </w:rPr>
              <w:t>单价</w:t>
            </w:r>
          </w:p>
        </w:tc>
        <w:tc>
          <w:tcPr>
            <w:tcW w:w="992" w:type="dxa"/>
            <w:vAlign w:val="center"/>
          </w:tcPr>
          <w:p>
            <w:pPr>
              <w:spacing w:line="360" w:lineRule="auto"/>
              <w:jc w:val="center"/>
              <w:rPr>
                <w:rFonts w:ascii="宋体" w:hAnsi="宋体"/>
                <w:b/>
                <w:sz w:val="24"/>
              </w:rPr>
            </w:pPr>
            <w:r>
              <w:rPr>
                <w:rFonts w:hint="eastAsia" w:ascii="宋体" w:hAnsi="宋体"/>
                <w:b/>
                <w:sz w:val="24"/>
              </w:rPr>
              <w:t>小计</w:t>
            </w:r>
          </w:p>
        </w:tc>
        <w:tc>
          <w:tcPr>
            <w:tcW w:w="709" w:type="dxa"/>
            <w:vAlign w:val="center"/>
          </w:tcPr>
          <w:p>
            <w:pPr>
              <w:spacing w:line="360" w:lineRule="auto"/>
              <w:jc w:val="center"/>
              <w:rPr>
                <w:rFonts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0" w:hRule="atLeast"/>
        </w:trPr>
        <w:tc>
          <w:tcPr>
            <w:tcW w:w="525" w:type="dxa"/>
            <w:vAlign w:val="center"/>
          </w:tcPr>
          <w:p>
            <w:pPr>
              <w:spacing w:line="360" w:lineRule="auto"/>
              <w:rPr>
                <w:rFonts w:ascii="宋体" w:hAnsi="宋体"/>
                <w:sz w:val="24"/>
              </w:rPr>
            </w:pPr>
          </w:p>
        </w:tc>
        <w:tc>
          <w:tcPr>
            <w:tcW w:w="1460"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851"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992"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6" w:hRule="atLeast"/>
        </w:trPr>
        <w:tc>
          <w:tcPr>
            <w:tcW w:w="8647" w:type="dxa"/>
            <w:gridSpan w:val="8"/>
            <w:tcBorders>
              <w:bottom w:val="single" w:color="auto" w:sz="4" w:space="0"/>
            </w:tcBorders>
            <w:vAlign w:val="center"/>
          </w:tcPr>
          <w:p>
            <w:pPr>
              <w:spacing w:line="360" w:lineRule="auto"/>
              <w:rPr>
                <w:rFonts w:ascii="宋体" w:hAnsi="宋体"/>
                <w:b/>
                <w:sz w:val="24"/>
              </w:rPr>
            </w:pPr>
            <w:r>
              <w:rPr>
                <w:rFonts w:hint="eastAsia" w:ascii="宋体" w:hAnsi="宋体"/>
                <w:b/>
                <w:sz w:val="24"/>
              </w:rPr>
              <w:t>合计人民币：大写                               小写</w:t>
            </w:r>
          </w:p>
        </w:tc>
      </w:tr>
    </w:tbl>
    <w:p>
      <w:pPr>
        <w:spacing w:line="360" w:lineRule="auto"/>
        <w:rPr>
          <w:rFonts w:ascii="宋体" w:hAnsi="宋体"/>
          <w:b/>
          <w:color w:val="000000" w:themeColor="text1"/>
          <w:szCs w:val="21"/>
          <w14:textFill>
            <w14:solidFill>
              <w14:schemeClr w14:val="tx1"/>
            </w14:solidFill>
          </w14:textFill>
        </w:rPr>
      </w:pPr>
    </w:p>
    <w:p>
      <w:pPr>
        <w:spacing w:line="360" w:lineRule="auto"/>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要求：</w:t>
      </w:r>
    </w:p>
    <w:p>
      <w:pPr>
        <w:spacing w:line="360" w:lineRule="auto"/>
        <w:ind w:left="435"/>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本表为《开标一览表》的报价明细表，如有缺项、漏项，视为投标报价中已包含相关费用，采购人无需另外支付任何费用。</w:t>
      </w:r>
    </w:p>
    <w:p>
      <w:pPr>
        <w:spacing w:line="360" w:lineRule="auto"/>
        <w:ind w:left="435"/>
        <w:rPr>
          <w:rFonts w:ascii="宋体"/>
          <w:color w:val="000000" w:themeColor="text1"/>
          <w:szCs w:val="21"/>
          <w:lang w:val="zh-CN"/>
          <w14:textFill>
            <w14:solidFill>
              <w14:schemeClr w14:val="tx1"/>
            </w14:solidFill>
          </w14:textFill>
        </w:rPr>
      </w:pPr>
      <w:r>
        <w:rPr>
          <w:rFonts w:hint="eastAsia" w:ascii="宋体" w:hAnsi="宋体"/>
          <w:color w:val="000000" w:themeColor="text1"/>
          <w:szCs w:val="21"/>
          <w14:textFill>
            <w14:solidFill>
              <w14:schemeClr w14:val="tx1"/>
            </w14:solidFill>
          </w14:textFill>
        </w:rPr>
        <w:t>2.</w:t>
      </w:r>
      <w:r>
        <w:rPr>
          <w:rFonts w:hint="eastAsia" w:ascii="宋体"/>
          <w:color w:val="000000" w:themeColor="text1"/>
          <w:szCs w:val="21"/>
          <w:lang w:val="zh-CN"/>
          <w14:textFill>
            <w14:solidFill>
              <w14:schemeClr w14:val="tx1"/>
            </w14:solidFill>
          </w14:textFill>
        </w:rPr>
        <w:t>“报价明细表”中的报价合计应与“开标一览表”中的投标总报价相一致，不一致时，以开标一览表为准。</w:t>
      </w:r>
    </w:p>
    <w:p>
      <w:pPr>
        <w:spacing w:line="360" w:lineRule="auto"/>
        <w:ind w:left="435"/>
        <w:rPr>
          <w:rFonts w:ascii="宋体"/>
          <w:color w:val="000000" w:themeColor="text1"/>
          <w:szCs w:val="21"/>
          <w:lang w:val="zh-CN"/>
          <w14:textFill>
            <w14:solidFill>
              <w14:schemeClr w14:val="tx1"/>
            </w14:solidFill>
          </w14:textFill>
        </w:rPr>
      </w:pPr>
      <w:r>
        <w:rPr>
          <w:rFonts w:hint="eastAsia" w:ascii="宋体"/>
          <w:color w:val="000000" w:themeColor="text1"/>
          <w:szCs w:val="21"/>
          <w14:textFill>
            <w14:solidFill>
              <w14:schemeClr w14:val="tx1"/>
            </w14:solidFill>
          </w14:textFill>
        </w:rPr>
        <w:t>3.</w:t>
      </w:r>
      <w:r>
        <w:rPr>
          <w:rFonts w:hint="eastAsia" w:ascii="宋体"/>
          <w:color w:val="000000" w:themeColor="text1"/>
          <w:szCs w:val="21"/>
          <w:lang w:val="zh-CN"/>
          <w14:textFill>
            <w14:solidFill>
              <w14:schemeClr w14:val="tx1"/>
            </w14:solidFill>
          </w14:textFill>
        </w:rPr>
        <w:t>投标报价明细表所填内容按招标文件采购设备清单要求为准。如有漏报的，视同已包含在投标总价内或已作优惠处理。有重大缺项的将作无效标处理。</w:t>
      </w:r>
    </w:p>
    <w:p>
      <w:pPr>
        <w:spacing w:line="360" w:lineRule="auto"/>
        <w:ind w:left="435"/>
        <w:rPr>
          <w:rFonts w:ascii="宋体" w:hAnsi="宋体"/>
          <w:color w:val="000000" w:themeColor="text1"/>
          <w:sz w:val="24"/>
          <w14:textFill>
            <w14:solidFill>
              <w14:schemeClr w14:val="tx1"/>
            </w14:solidFill>
          </w14:textFill>
        </w:rPr>
      </w:pPr>
      <w:r>
        <w:rPr>
          <w:rFonts w:hint="eastAsia" w:ascii="宋体"/>
          <w:color w:val="000000" w:themeColor="text1"/>
          <w:szCs w:val="21"/>
          <w:lang w:val="zh-CN"/>
          <w14:textFill>
            <w14:solidFill>
              <w14:schemeClr w14:val="tx1"/>
            </w14:solidFill>
          </w14:textFill>
        </w:rPr>
        <w:t>▲4. 本表中的型号规格必须明确，</w:t>
      </w:r>
      <w:r>
        <w:rPr>
          <w:rFonts w:hint="eastAsia" w:ascii="宋体"/>
          <w:color w:val="000000" w:themeColor="text1"/>
          <w:szCs w:val="21"/>
          <w14:textFill>
            <w14:solidFill>
              <w14:schemeClr w14:val="tx1"/>
            </w14:solidFill>
          </w14:textFill>
        </w:rPr>
        <w:t>软件服务及</w:t>
      </w:r>
      <w:r>
        <w:rPr>
          <w:rFonts w:hint="eastAsia" w:ascii="宋体"/>
          <w:color w:val="000000" w:themeColor="text1"/>
          <w:szCs w:val="21"/>
          <w:lang w:val="zh-CN"/>
          <w14:textFill>
            <w14:solidFill>
              <w14:schemeClr w14:val="tx1"/>
            </w14:solidFill>
          </w14:textFill>
        </w:rPr>
        <w:t>招标文件中明确要求定制的除外。</w:t>
      </w:r>
    </w:p>
    <w:p>
      <w:pPr>
        <w:ind w:left="420"/>
        <w:jc w:val="left"/>
        <w:rPr>
          <w:rFonts w:ascii="宋体" w:hAnsi="宋体"/>
          <w:color w:val="000000" w:themeColor="text1"/>
          <w:sz w:val="24"/>
          <w:u w:val="single"/>
          <w14:textFill>
            <w14:solidFill>
              <w14:schemeClr w14:val="tx1"/>
            </w14:solidFill>
          </w14:textFill>
        </w:rPr>
      </w:pPr>
      <w:r>
        <w:rPr>
          <w:rFonts w:hint="eastAsia" w:ascii="宋体" w:hAnsi="宋体"/>
          <w:color w:val="000000" w:themeColor="text1"/>
          <w:sz w:val="24"/>
          <w14:textFill>
            <w14:solidFill>
              <w14:schemeClr w14:val="tx1"/>
            </w14:solidFill>
          </w14:textFill>
        </w:rPr>
        <w:t>投标人名称（电子印章）：</w:t>
      </w:r>
    </w:p>
    <w:p>
      <w:pPr>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投标人代表签字或盖章：</w:t>
      </w:r>
    </w:p>
    <w:p>
      <w:pPr>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职        务：</w:t>
      </w:r>
    </w:p>
    <w:p>
      <w:pPr>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日        期：</w:t>
      </w:r>
    </w:p>
    <w:p>
      <w:pPr>
        <w:snapToGrid w:val="0"/>
        <w:spacing w:before="156" w:beforeLines="50" w:after="50" w:line="360" w:lineRule="auto"/>
        <w:rPr>
          <w:rFonts w:ascii="宋体" w:hAnsi="宋体"/>
          <w:b/>
          <w:sz w:val="28"/>
        </w:rPr>
      </w:pPr>
    </w:p>
    <w:p>
      <w:pPr>
        <w:snapToGrid w:val="0"/>
        <w:spacing w:before="156" w:beforeLines="50" w:after="50" w:line="360" w:lineRule="auto"/>
        <w:rPr>
          <w:rFonts w:ascii="宋体" w:hAnsi="宋体"/>
          <w:b/>
          <w:sz w:val="28"/>
        </w:rPr>
      </w:pPr>
    </w:p>
    <w:p>
      <w:pPr>
        <w:snapToGrid w:val="0"/>
        <w:spacing w:before="156" w:beforeLines="50" w:after="50" w:line="360" w:lineRule="auto"/>
        <w:rPr>
          <w:rFonts w:ascii="宋体" w:hAnsi="宋体"/>
          <w:b/>
          <w:sz w:val="28"/>
        </w:rPr>
      </w:pPr>
    </w:p>
    <w:p>
      <w:pPr>
        <w:snapToGrid w:val="0"/>
        <w:spacing w:before="156" w:beforeLines="50" w:after="50" w:line="360" w:lineRule="auto"/>
        <w:rPr>
          <w:rFonts w:ascii="宋体" w:hAnsi="宋体"/>
          <w:b/>
          <w:sz w:val="28"/>
        </w:rPr>
      </w:pPr>
    </w:p>
    <w:p>
      <w:pPr>
        <w:snapToGrid w:val="0"/>
        <w:spacing w:before="156" w:beforeLines="50" w:after="50" w:line="360" w:lineRule="auto"/>
        <w:rPr>
          <w:rFonts w:ascii="宋体" w:hAnsi="宋体"/>
          <w:b/>
          <w:sz w:val="28"/>
        </w:rPr>
      </w:pPr>
    </w:p>
    <w:p>
      <w:pPr>
        <w:snapToGrid w:val="0"/>
        <w:spacing w:before="156" w:beforeLines="50" w:after="50" w:line="360" w:lineRule="auto"/>
        <w:rPr>
          <w:rFonts w:ascii="FangSong_GB2312" w:hAnsi="宋体" w:eastAsia="FangSong_GB2312"/>
          <w:bCs/>
          <w:sz w:val="30"/>
          <w:szCs w:val="30"/>
        </w:rPr>
      </w:pPr>
      <w:r>
        <w:rPr>
          <w:rFonts w:hint="eastAsia" w:ascii="宋体" w:hAnsi="宋体"/>
          <w:b/>
          <w:sz w:val="28"/>
        </w:rPr>
        <w:t>附件18</w:t>
      </w:r>
    </w:p>
    <w:p>
      <w:pPr>
        <w:spacing w:line="360" w:lineRule="auto"/>
        <w:ind w:right="-110"/>
        <w:jc w:val="center"/>
        <w:rPr>
          <w:rFonts w:ascii="宋体" w:hAnsi="宋体"/>
          <w:b/>
          <w:sz w:val="32"/>
          <w:szCs w:val="32"/>
        </w:rPr>
      </w:pPr>
      <w:r>
        <w:rPr>
          <w:rFonts w:hint="eastAsia" w:ascii="宋体" w:hAnsi="宋体"/>
          <w:b/>
          <w:sz w:val="32"/>
          <w:szCs w:val="32"/>
        </w:rPr>
        <w:t>小</w:t>
      </w:r>
      <w:r>
        <w:rPr>
          <w:rFonts w:hint="eastAsia" w:ascii="宋体" w:hAnsi="宋体"/>
          <w:b/>
          <w:sz w:val="32"/>
          <w:szCs w:val="32"/>
          <w:lang w:val="en-GB"/>
        </w:rPr>
        <w:t>微</w:t>
      </w:r>
      <w:r>
        <w:rPr>
          <w:rFonts w:hint="eastAsia" w:ascii="宋体" w:hAnsi="宋体"/>
          <w:b/>
          <w:sz w:val="32"/>
          <w:szCs w:val="32"/>
        </w:rPr>
        <w:t>企业声明函</w:t>
      </w:r>
    </w:p>
    <w:p>
      <w:pPr>
        <w:pStyle w:val="44"/>
        <w:spacing w:line="360" w:lineRule="auto"/>
        <w:ind w:firstLine="504" w:firstLineChars="200"/>
        <w:rPr>
          <w:rFonts w:ascii="宋体" w:hAnsi="宋体"/>
          <w:spacing w:val="6"/>
          <w:sz w:val="24"/>
        </w:rPr>
      </w:pPr>
      <w:r>
        <w:rPr>
          <w:rFonts w:hint="eastAsia" w:ascii="宋体" w:hAnsi="宋体"/>
          <w:spacing w:val="6"/>
          <w:sz w:val="24"/>
        </w:rPr>
        <w:t>本公司郑重声明，根据《政府采购促进中小企业发展暂行办法》（财库[2011]181号）的规定，本公司为______（请填写：小型、微型）企业。即，本公司同时满足以下条件：</w:t>
      </w:r>
    </w:p>
    <w:p>
      <w:pPr>
        <w:pStyle w:val="44"/>
        <w:spacing w:line="360" w:lineRule="auto"/>
        <w:ind w:firstLine="504" w:firstLineChars="200"/>
        <w:rPr>
          <w:rFonts w:ascii="宋体" w:hAnsi="宋体"/>
          <w:spacing w:val="6"/>
          <w:sz w:val="24"/>
        </w:rPr>
      </w:pPr>
      <w:r>
        <w:rPr>
          <w:rFonts w:hint="eastAsia" w:ascii="宋体" w:hAnsi="宋体"/>
          <w:spacing w:val="6"/>
          <w:sz w:val="24"/>
        </w:rPr>
        <w:t>1.根据《工业和信息化部、国家统计局、国家发展和改革委员会、财政部关于印发中小企业划型标准规定的通知》（工信部联企业[2011]300号）规定的划分标准：第四条第______项______行业，本公司</w:t>
      </w:r>
      <w:r>
        <w:rPr>
          <w:rFonts w:hint="eastAsia" w:ascii="宋体" w:hAnsi="宋体"/>
          <w:i/>
          <w:spacing w:val="6"/>
          <w:sz w:val="24"/>
          <w:u w:val="dash"/>
        </w:rPr>
        <w:t>（此处填写从业人员和营业收入的具体数据）</w:t>
      </w:r>
      <w:r>
        <w:rPr>
          <w:rFonts w:hint="eastAsia" w:ascii="宋体" w:hAnsi="宋体"/>
          <w:spacing w:val="6"/>
          <w:sz w:val="24"/>
        </w:rPr>
        <w:t>，为______（请填写：小型、微型）企业。</w:t>
      </w:r>
    </w:p>
    <w:p>
      <w:pPr>
        <w:pStyle w:val="44"/>
        <w:spacing w:line="360" w:lineRule="auto"/>
        <w:ind w:firstLine="504" w:firstLineChars="200"/>
        <w:rPr>
          <w:rFonts w:hint="eastAsia" w:ascii="宋体" w:hAnsi="宋体"/>
          <w:spacing w:val="6"/>
          <w:sz w:val="24"/>
        </w:rPr>
      </w:pPr>
      <w:r>
        <w:rPr>
          <w:rFonts w:hint="eastAsia" w:ascii="宋体" w:hAnsi="宋体"/>
          <w:spacing w:val="6"/>
          <w:sz w:val="24"/>
        </w:rPr>
        <w:t>2.本公司参加</w:t>
      </w:r>
      <w:r>
        <w:rPr>
          <w:rFonts w:hint="eastAsia" w:ascii="宋体" w:hAnsi="宋体"/>
          <w:sz w:val="24"/>
        </w:rPr>
        <w:t>×××政府采购中心组织</w:t>
      </w:r>
      <w:r>
        <w:rPr>
          <w:rFonts w:hint="eastAsia" w:ascii="宋体" w:hAnsi="宋体"/>
          <w:spacing w:val="6"/>
          <w:sz w:val="24"/>
        </w:rPr>
        <w:t>的采购项目（项目编号： ）采购活动提供本企业制造的货物，由本企业承担工程、提供服务，或者提供其他______（请填写：小型、微型）企业制造的货物。本条所称货物不包括使用大型企业注册商标的货物。</w:t>
      </w:r>
    </w:p>
    <w:p>
      <w:pPr>
        <w:pStyle w:val="44"/>
        <w:spacing w:line="360" w:lineRule="auto"/>
        <w:ind w:firstLine="504" w:firstLineChars="200"/>
        <w:rPr>
          <w:rFonts w:hint="eastAsia" w:ascii="宋体" w:hAnsi="宋体" w:eastAsiaTheme="minorEastAsia"/>
          <w:strike/>
          <w:dstrike w:val="0"/>
          <w:color w:val="FF0000"/>
          <w:spacing w:val="6"/>
          <w:sz w:val="24"/>
          <w:lang w:val="en-US" w:eastAsia="zh-CN"/>
        </w:rPr>
      </w:pPr>
      <w:r>
        <w:rPr>
          <w:rFonts w:hint="eastAsia" w:ascii="宋体" w:hAnsi="宋体"/>
          <w:strike/>
          <w:dstrike w:val="0"/>
          <w:color w:val="FF0000"/>
          <w:spacing w:val="6"/>
          <w:sz w:val="24"/>
          <w:lang w:val="en-US" w:eastAsia="zh-CN"/>
        </w:rPr>
        <w:t>3.本公司</w:t>
      </w:r>
      <w:r>
        <w:rPr>
          <w:rFonts w:hint="eastAsia" w:cs="Arial" w:asciiTheme="minorEastAsia" w:hAnsiTheme="minorEastAsia" w:eastAsiaTheme="minorEastAsia"/>
          <w:bCs/>
          <w:strike/>
          <w:dstrike w:val="0"/>
          <w:color w:val="FF0000"/>
          <w:sz w:val="24"/>
          <w:lang w:val="en-US" w:eastAsia="zh-CN"/>
        </w:rPr>
        <w:t>小微</w:t>
      </w:r>
      <w:r>
        <w:rPr>
          <w:rFonts w:cs="Arial" w:asciiTheme="minorEastAsia" w:hAnsiTheme="minorEastAsia" w:eastAsiaTheme="minorEastAsia"/>
          <w:bCs/>
          <w:strike/>
          <w:dstrike w:val="0"/>
          <w:color w:val="FF0000"/>
          <w:sz w:val="24"/>
        </w:rPr>
        <w:t>信息查询</w:t>
      </w:r>
      <w:r>
        <w:rPr>
          <w:rFonts w:hint="eastAsia" w:cs="Arial" w:asciiTheme="minorEastAsia" w:hAnsiTheme="minorEastAsia" w:eastAsiaTheme="minorEastAsia"/>
          <w:bCs/>
          <w:strike/>
          <w:dstrike w:val="0"/>
          <w:color w:val="FF0000"/>
          <w:sz w:val="24"/>
          <w:lang w:val="en-US" w:eastAsia="zh-CN"/>
        </w:rPr>
        <w:t>网址：</w:t>
      </w:r>
    </w:p>
    <w:p>
      <w:pPr>
        <w:pStyle w:val="44"/>
        <w:spacing w:line="360" w:lineRule="auto"/>
        <w:ind w:firstLine="504" w:firstLineChars="200"/>
        <w:rPr>
          <w:rFonts w:ascii="宋体" w:hAnsi="宋体"/>
          <w:spacing w:val="6"/>
          <w:sz w:val="24"/>
        </w:rPr>
      </w:pPr>
      <w:r>
        <w:rPr>
          <w:rFonts w:hint="eastAsia" w:ascii="宋体" w:hAnsi="宋体"/>
          <w:spacing w:val="6"/>
          <w:sz w:val="24"/>
        </w:rPr>
        <w:t>本公司对上述声明的真实性负责。如有虚假，将依法承担相应责任。</w:t>
      </w:r>
    </w:p>
    <w:p>
      <w:pPr>
        <w:pStyle w:val="44"/>
        <w:spacing w:line="360" w:lineRule="auto"/>
        <w:ind w:firstLine="504" w:firstLineChars="200"/>
        <w:rPr>
          <w:rFonts w:ascii="宋体" w:hAnsi="宋体"/>
          <w:spacing w:val="6"/>
          <w:sz w:val="24"/>
        </w:rPr>
      </w:pPr>
    </w:p>
    <w:p>
      <w:pPr>
        <w:pStyle w:val="44"/>
        <w:spacing w:line="360" w:lineRule="auto"/>
        <w:ind w:left="4253" w:leftChars="2025"/>
        <w:rPr>
          <w:rFonts w:ascii="宋体" w:hAnsi="宋体"/>
          <w:sz w:val="24"/>
        </w:rPr>
      </w:pPr>
      <w:r>
        <w:rPr>
          <w:rFonts w:hint="eastAsia" w:ascii="宋体" w:hAnsi="宋体"/>
          <w:sz w:val="24"/>
        </w:rPr>
        <w:t>投 标 人（单位电子印章）：</w:t>
      </w:r>
    </w:p>
    <w:p>
      <w:pPr>
        <w:pStyle w:val="44"/>
        <w:spacing w:line="360" w:lineRule="auto"/>
        <w:ind w:left="4253" w:leftChars="2025" w:right="360"/>
        <w:jc w:val="right"/>
        <w:rPr>
          <w:rFonts w:ascii="宋体" w:hAnsi="宋体"/>
          <w:spacing w:val="6"/>
          <w:sz w:val="24"/>
        </w:rPr>
      </w:pPr>
      <w:r>
        <w:rPr>
          <w:rFonts w:hint="eastAsia" w:ascii="宋体" w:hAnsi="宋体"/>
          <w:sz w:val="24"/>
        </w:rPr>
        <w:t xml:space="preserve">日期： </w:t>
      </w:r>
      <w:r>
        <w:rPr>
          <w:rFonts w:hint="eastAsia" w:ascii="宋体" w:hAnsi="宋体" w:cstheme="minorBidi"/>
          <w:color w:val="FF66CC"/>
          <w:sz w:val="24"/>
        </w:rPr>
        <w:t>××</w:t>
      </w:r>
      <w:r>
        <w:rPr>
          <w:rFonts w:hint="eastAsia" w:ascii="宋体" w:hAnsi="宋体" w:cs="Arial"/>
          <w:sz w:val="24"/>
        </w:rPr>
        <w:t>年</w:t>
      </w:r>
      <w:r>
        <w:rPr>
          <w:rFonts w:hint="eastAsia" w:ascii="宋体" w:hAnsi="宋体" w:cstheme="minorBidi"/>
          <w:color w:val="FF66CC"/>
          <w:sz w:val="24"/>
        </w:rPr>
        <w:t>××</w:t>
      </w:r>
      <w:r>
        <w:rPr>
          <w:rFonts w:hint="eastAsia" w:ascii="宋体" w:hAnsi="宋体" w:cs="Arial"/>
          <w:sz w:val="24"/>
        </w:rPr>
        <w:t>月</w:t>
      </w:r>
      <w:r>
        <w:rPr>
          <w:rFonts w:hint="eastAsia" w:ascii="宋体" w:hAnsi="宋体" w:cstheme="minorBidi"/>
          <w:color w:val="FF66CC"/>
          <w:sz w:val="24"/>
        </w:rPr>
        <w:t>××</w:t>
      </w:r>
      <w:r>
        <w:rPr>
          <w:rFonts w:hint="eastAsia" w:ascii="宋体" w:hAnsi="宋体" w:cs="Arial"/>
          <w:sz w:val="24"/>
        </w:rPr>
        <w:t>日</w:t>
      </w:r>
    </w:p>
    <w:p>
      <w:pPr>
        <w:pStyle w:val="44"/>
        <w:spacing w:line="360" w:lineRule="auto"/>
        <w:rPr>
          <w:rFonts w:ascii="宋体" w:hAnsi="宋体"/>
          <w:sz w:val="24"/>
        </w:rPr>
      </w:pPr>
    </w:p>
    <w:p>
      <w:pPr>
        <w:pStyle w:val="44"/>
        <w:spacing w:line="360" w:lineRule="auto"/>
        <w:jc w:val="center"/>
        <w:rPr>
          <w:rFonts w:ascii="宋体" w:hAnsi="宋体"/>
          <w:b/>
          <w:spacing w:val="6"/>
          <w:sz w:val="32"/>
          <w:szCs w:val="32"/>
        </w:rPr>
      </w:pPr>
      <w:r>
        <w:rPr>
          <w:rFonts w:hint="eastAsia" w:ascii="宋体" w:hAnsi="宋体"/>
          <w:b/>
          <w:sz w:val="32"/>
          <w:szCs w:val="32"/>
          <w:lang w:val="en-GB"/>
        </w:rPr>
        <w:t>小微企业声明函（制造商）</w:t>
      </w:r>
    </w:p>
    <w:p>
      <w:pPr>
        <w:pStyle w:val="44"/>
        <w:spacing w:line="360" w:lineRule="auto"/>
        <w:ind w:firstLine="504" w:firstLineChars="200"/>
        <w:rPr>
          <w:rFonts w:ascii="宋体" w:hAnsi="宋体"/>
          <w:spacing w:val="6"/>
          <w:sz w:val="24"/>
        </w:rPr>
      </w:pPr>
      <w:r>
        <w:rPr>
          <w:rFonts w:hint="eastAsia" w:ascii="宋体" w:hAnsi="宋体"/>
          <w:spacing w:val="6"/>
          <w:sz w:val="24"/>
        </w:rPr>
        <w:t>本公司郑重声明，根据《政府采购促进中小企业发展暂行办法》（财库[2011]181号）的规定和《工业和信息化部、国家统计局、国家发展和改革委员会、财政部关于印发中小企业划型标准规定的通知》（工信部联企业[2011]300号）规</w:t>
      </w:r>
      <w:r>
        <w:rPr>
          <w:rFonts w:hint="eastAsia" w:ascii="宋体" w:hAnsi="宋体"/>
          <w:color w:val="auto"/>
          <w:spacing w:val="6"/>
          <w:sz w:val="24"/>
        </w:rPr>
        <w:t>定的划分标准：第四条第______项______行业，本公司（此处填写营业收入和从业人员的具体数据），为______（请填写：小型、微型）企业</w:t>
      </w:r>
      <w:r>
        <w:rPr>
          <w:rFonts w:hint="eastAsia" w:ascii="宋体" w:hAnsi="宋体"/>
          <w:color w:val="auto"/>
          <w:spacing w:val="6"/>
          <w:sz w:val="24"/>
          <w:lang w:eastAsia="zh-CN"/>
        </w:rPr>
        <w:t>，</w:t>
      </w:r>
      <w:r>
        <w:rPr>
          <w:rFonts w:cs="Arial" w:asciiTheme="minorEastAsia" w:hAnsiTheme="minorEastAsia" w:eastAsiaTheme="minorEastAsia"/>
          <w:bCs/>
          <w:color w:val="auto"/>
          <w:sz w:val="24"/>
        </w:rPr>
        <w:t>信息查询</w:t>
      </w:r>
      <w:r>
        <w:rPr>
          <w:rFonts w:hint="eastAsia" w:cs="Arial" w:asciiTheme="minorEastAsia" w:hAnsiTheme="minorEastAsia" w:eastAsiaTheme="minorEastAsia"/>
          <w:bCs/>
          <w:color w:val="auto"/>
          <w:sz w:val="24"/>
          <w:lang w:val="en-US" w:eastAsia="zh-CN"/>
        </w:rPr>
        <w:t>网址为：</w:t>
      </w:r>
    </w:p>
    <w:p>
      <w:pPr>
        <w:pStyle w:val="44"/>
        <w:spacing w:line="360" w:lineRule="auto"/>
        <w:ind w:firstLine="504" w:firstLineChars="200"/>
        <w:rPr>
          <w:rFonts w:ascii="宋体" w:hAnsi="宋体"/>
          <w:spacing w:val="6"/>
          <w:sz w:val="24"/>
        </w:rPr>
      </w:pPr>
      <w:r>
        <w:rPr>
          <w:rFonts w:hint="eastAsia" w:ascii="宋体" w:hAnsi="宋体"/>
          <w:spacing w:val="6"/>
          <w:sz w:val="24"/>
        </w:rPr>
        <w:t>本公司对上述声明的真实性负责。如有虚假，将依法承担相应责任。</w:t>
      </w:r>
    </w:p>
    <w:p>
      <w:pPr>
        <w:pStyle w:val="44"/>
        <w:spacing w:line="360" w:lineRule="auto"/>
        <w:ind w:firstLine="504" w:firstLineChars="200"/>
        <w:rPr>
          <w:rFonts w:ascii="宋体" w:hAnsi="宋体"/>
          <w:spacing w:val="6"/>
          <w:sz w:val="24"/>
        </w:rPr>
      </w:pPr>
    </w:p>
    <w:p>
      <w:pPr>
        <w:pStyle w:val="44"/>
        <w:spacing w:line="360" w:lineRule="auto"/>
        <w:ind w:firstLine="504" w:firstLineChars="200"/>
        <w:jc w:val="center"/>
        <w:rPr>
          <w:rFonts w:ascii="宋体" w:hAnsi="宋体"/>
          <w:spacing w:val="6"/>
          <w:sz w:val="24"/>
        </w:rPr>
      </w:pPr>
      <w:r>
        <w:rPr>
          <w:rFonts w:hint="eastAsia" w:ascii="宋体" w:hAnsi="宋体"/>
          <w:spacing w:val="6"/>
          <w:sz w:val="24"/>
        </w:rPr>
        <w:t>企业名称（单位电子印章）：</w:t>
      </w:r>
    </w:p>
    <w:p>
      <w:pPr>
        <w:pStyle w:val="44"/>
        <w:spacing w:line="360" w:lineRule="auto"/>
        <w:ind w:left="4253" w:leftChars="2025" w:right="360"/>
        <w:jc w:val="center"/>
        <w:rPr>
          <w:rFonts w:ascii="宋体" w:hAnsi="宋体"/>
          <w:spacing w:val="6"/>
          <w:sz w:val="24"/>
        </w:rPr>
      </w:pPr>
      <w:r>
        <w:rPr>
          <w:rFonts w:hint="eastAsia" w:ascii="宋体" w:hAnsi="宋体"/>
          <w:sz w:val="24"/>
        </w:rPr>
        <w:t xml:space="preserve">日期：   </w:t>
      </w:r>
      <w:r>
        <w:rPr>
          <w:rFonts w:hint="eastAsia" w:ascii="宋体" w:hAnsi="宋体" w:cstheme="minorBidi"/>
          <w:color w:val="FF66CC"/>
          <w:sz w:val="24"/>
        </w:rPr>
        <w:t>××</w:t>
      </w:r>
      <w:r>
        <w:rPr>
          <w:rFonts w:hint="eastAsia" w:ascii="宋体" w:hAnsi="宋体" w:cs="Arial"/>
          <w:sz w:val="24"/>
        </w:rPr>
        <w:t>年</w:t>
      </w:r>
      <w:r>
        <w:rPr>
          <w:rFonts w:hint="eastAsia" w:ascii="宋体" w:hAnsi="宋体" w:cstheme="minorBidi"/>
          <w:color w:val="FF66CC"/>
          <w:sz w:val="24"/>
        </w:rPr>
        <w:t>××</w:t>
      </w:r>
      <w:r>
        <w:rPr>
          <w:rFonts w:hint="eastAsia" w:ascii="宋体" w:hAnsi="宋体" w:cs="Arial"/>
          <w:sz w:val="24"/>
        </w:rPr>
        <w:t>月</w:t>
      </w:r>
      <w:r>
        <w:rPr>
          <w:rFonts w:hint="eastAsia" w:ascii="宋体" w:hAnsi="宋体" w:cstheme="minorBidi"/>
          <w:color w:val="FF66CC"/>
          <w:sz w:val="24"/>
        </w:rPr>
        <w:t>××</w:t>
      </w:r>
      <w:r>
        <w:rPr>
          <w:rFonts w:hint="eastAsia" w:ascii="宋体" w:hAnsi="宋体" w:cs="Arial"/>
          <w:sz w:val="24"/>
        </w:rPr>
        <w:t>日</w:t>
      </w:r>
    </w:p>
    <w:p>
      <w:pPr>
        <w:pStyle w:val="13"/>
        <w:spacing w:line="360" w:lineRule="auto"/>
        <w:jc w:val="center"/>
        <w:outlineLvl w:val="1"/>
        <w:rPr>
          <w:rFonts w:hAnsi="宋体"/>
          <w:b/>
          <w:sz w:val="32"/>
          <w:szCs w:val="32"/>
          <w:lang w:val="en-GB"/>
        </w:rPr>
      </w:pPr>
      <w:r>
        <w:rPr>
          <w:rFonts w:hint="eastAsia" w:hAnsi="宋体"/>
          <w:b/>
          <w:sz w:val="32"/>
          <w:szCs w:val="32"/>
          <w:lang w:val="en-GB"/>
        </w:rPr>
        <w:t>残疾人福利性单位声明函</w:t>
      </w:r>
    </w:p>
    <w:p>
      <w:pPr>
        <w:spacing w:line="588" w:lineRule="exact"/>
        <w:ind w:firstLine="504" w:firstLineChars="200"/>
        <w:rPr>
          <w:rFonts w:ascii="宋体" w:hAnsi="宋体"/>
          <w:spacing w:val="6"/>
          <w:sz w:val="24"/>
        </w:rPr>
      </w:pPr>
      <w:r>
        <w:rPr>
          <w:rFonts w:hint="eastAsia" w:ascii="宋体" w:hAnsi="宋体"/>
          <w:spacing w:val="6"/>
          <w:sz w:val="24"/>
        </w:rPr>
        <w:t>本单位郑重声明，根据《财政部 民政部 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spacing w:val="6"/>
          <w:sz w:val="24"/>
        </w:rPr>
      </w:pPr>
      <w:r>
        <w:rPr>
          <w:rFonts w:hint="eastAsia" w:ascii="宋体" w:hAnsi="宋体"/>
          <w:spacing w:val="6"/>
          <w:sz w:val="24"/>
        </w:rPr>
        <w:t>本单位对上述声明的真实性负责。如有虚假，将依法承担相应责任。</w:t>
      </w:r>
    </w:p>
    <w:p>
      <w:pPr>
        <w:tabs>
          <w:tab w:val="left" w:pos="4860"/>
        </w:tabs>
        <w:spacing w:line="588" w:lineRule="exact"/>
        <w:ind w:right="1560" w:firstLine="504" w:firstLineChars="200"/>
        <w:jc w:val="center"/>
        <w:rPr>
          <w:rFonts w:ascii="宋体" w:hAnsi="宋体"/>
          <w:spacing w:val="6"/>
          <w:sz w:val="24"/>
        </w:rPr>
      </w:pPr>
    </w:p>
    <w:p>
      <w:pPr>
        <w:tabs>
          <w:tab w:val="left" w:pos="4860"/>
        </w:tabs>
        <w:spacing w:line="588" w:lineRule="exact"/>
        <w:ind w:right="1560" w:firstLine="504" w:firstLineChars="200"/>
        <w:jc w:val="center"/>
        <w:rPr>
          <w:rFonts w:ascii="宋体" w:hAnsi="宋体"/>
          <w:spacing w:val="6"/>
          <w:sz w:val="24"/>
        </w:rPr>
      </w:pPr>
      <w:r>
        <w:rPr>
          <w:rFonts w:hint="eastAsia" w:ascii="宋体" w:hAnsi="宋体"/>
          <w:spacing w:val="6"/>
          <w:sz w:val="24"/>
        </w:rPr>
        <w:t xml:space="preserve">             单位名称（电子印章）：</w:t>
      </w:r>
    </w:p>
    <w:p>
      <w:pPr>
        <w:tabs>
          <w:tab w:val="left" w:pos="4860"/>
        </w:tabs>
        <w:spacing w:line="588" w:lineRule="exact"/>
        <w:ind w:right="1560" w:firstLine="504" w:firstLineChars="200"/>
        <w:jc w:val="center"/>
        <w:rPr>
          <w:rFonts w:ascii="宋体" w:hAnsi="宋体"/>
          <w:sz w:val="24"/>
        </w:rPr>
      </w:pPr>
      <w:r>
        <w:rPr>
          <w:rFonts w:hint="eastAsia" w:ascii="宋体" w:hAnsi="宋体"/>
          <w:spacing w:val="6"/>
          <w:sz w:val="24"/>
        </w:rPr>
        <w:t xml:space="preserve">       日  期：</w:t>
      </w:r>
    </w:p>
    <w:p>
      <w:pPr>
        <w:pStyle w:val="44"/>
        <w:spacing w:line="360" w:lineRule="auto"/>
        <w:rPr>
          <w:rFonts w:ascii="宋体" w:hAnsi="宋体"/>
          <w:b/>
          <w:sz w:val="28"/>
          <w:szCs w:val="28"/>
        </w:rPr>
      </w:pPr>
    </w:p>
    <w:p>
      <w:pPr>
        <w:pStyle w:val="44"/>
        <w:spacing w:line="360" w:lineRule="auto"/>
        <w:rPr>
          <w:rFonts w:ascii="宋体" w:hAnsi="宋体"/>
          <w:b/>
          <w:sz w:val="28"/>
          <w:szCs w:val="28"/>
        </w:rPr>
      </w:pPr>
    </w:p>
    <w:p>
      <w:pPr>
        <w:pStyle w:val="44"/>
        <w:spacing w:line="360" w:lineRule="auto"/>
        <w:rPr>
          <w:rFonts w:ascii="宋体" w:hAnsi="宋体"/>
          <w:b/>
          <w:sz w:val="28"/>
          <w:szCs w:val="28"/>
        </w:rPr>
      </w:pPr>
    </w:p>
    <w:p>
      <w:pPr>
        <w:pStyle w:val="44"/>
        <w:spacing w:line="360" w:lineRule="auto"/>
        <w:rPr>
          <w:rFonts w:ascii="宋体" w:hAnsi="宋体"/>
          <w:b/>
          <w:sz w:val="28"/>
          <w:szCs w:val="28"/>
        </w:rPr>
      </w:pPr>
    </w:p>
    <w:p>
      <w:pPr>
        <w:pStyle w:val="44"/>
        <w:spacing w:line="360" w:lineRule="auto"/>
        <w:rPr>
          <w:rFonts w:ascii="宋体" w:hAnsi="宋体"/>
          <w:b/>
          <w:sz w:val="28"/>
          <w:szCs w:val="28"/>
        </w:rPr>
      </w:pPr>
    </w:p>
    <w:p>
      <w:pPr>
        <w:pStyle w:val="44"/>
        <w:spacing w:line="360" w:lineRule="auto"/>
        <w:rPr>
          <w:rFonts w:ascii="宋体" w:hAnsi="宋体"/>
          <w:b/>
          <w:sz w:val="28"/>
          <w:szCs w:val="28"/>
        </w:rPr>
      </w:pPr>
    </w:p>
    <w:p>
      <w:pPr>
        <w:pStyle w:val="44"/>
        <w:spacing w:line="360" w:lineRule="auto"/>
        <w:rPr>
          <w:rFonts w:ascii="宋体" w:hAnsi="宋体"/>
          <w:b/>
          <w:sz w:val="28"/>
          <w:szCs w:val="28"/>
        </w:rPr>
      </w:pPr>
    </w:p>
    <w:p>
      <w:pPr>
        <w:pStyle w:val="44"/>
        <w:spacing w:line="360" w:lineRule="auto"/>
        <w:rPr>
          <w:rFonts w:ascii="宋体" w:hAnsi="宋体"/>
          <w:b/>
          <w:sz w:val="28"/>
          <w:szCs w:val="28"/>
        </w:rPr>
      </w:pPr>
    </w:p>
    <w:p>
      <w:pPr>
        <w:pStyle w:val="44"/>
        <w:spacing w:line="360" w:lineRule="auto"/>
        <w:rPr>
          <w:rFonts w:ascii="宋体" w:hAnsi="宋体"/>
          <w:b/>
          <w:sz w:val="28"/>
          <w:szCs w:val="28"/>
        </w:rPr>
      </w:pPr>
    </w:p>
    <w:p>
      <w:pPr>
        <w:pStyle w:val="44"/>
        <w:spacing w:line="360" w:lineRule="auto"/>
        <w:rPr>
          <w:rFonts w:ascii="宋体" w:hAnsi="宋体"/>
          <w:b/>
          <w:sz w:val="28"/>
          <w:szCs w:val="28"/>
        </w:rPr>
      </w:pPr>
    </w:p>
    <w:p>
      <w:pPr>
        <w:pStyle w:val="44"/>
        <w:spacing w:line="360" w:lineRule="auto"/>
        <w:rPr>
          <w:rFonts w:ascii="宋体" w:hAnsi="宋体"/>
          <w:b/>
          <w:sz w:val="28"/>
          <w:szCs w:val="28"/>
        </w:rPr>
      </w:pPr>
      <w:r>
        <w:rPr>
          <w:rFonts w:hint="eastAsia" w:ascii="宋体" w:hAnsi="宋体"/>
          <w:b/>
          <w:sz w:val="28"/>
          <w:szCs w:val="28"/>
        </w:rPr>
        <w:t>附件19</w:t>
      </w:r>
    </w:p>
    <w:p>
      <w:pPr>
        <w:pStyle w:val="45"/>
        <w:spacing w:line="360" w:lineRule="auto"/>
      </w:pPr>
    </w:p>
    <w:p>
      <w:pPr>
        <w:pStyle w:val="42"/>
        <w:spacing w:line="360" w:lineRule="auto"/>
        <w:jc w:val="center"/>
        <w:rPr>
          <w:rFonts w:ascii="宋体" w:hAnsi="宋体"/>
          <w:b/>
          <w:sz w:val="32"/>
          <w:szCs w:val="32"/>
          <w:lang w:val="en-GB"/>
        </w:rPr>
      </w:pPr>
      <w:r>
        <w:rPr>
          <w:rFonts w:hint="eastAsia" w:ascii="宋体" w:hAnsi="宋体"/>
          <w:b/>
          <w:sz w:val="32"/>
          <w:szCs w:val="32"/>
          <w:lang w:val="en-GB"/>
        </w:rPr>
        <w:t>产品适用政府采购政策情况表</w:t>
      </w:r>
    </w:p>
    <w:p>
      <w:pPr>
        <w:pStyle w:val="42"/>
        <w:spacing w:line="360" w:lineRule="auto"/>
        <w:jc w:val="center"/>
        <w:rPr>
          <w:rFonts w:ascii="宋体" w:hAnsi="宋体"/>
          <w:b/>
          <w:sz w:val="32"/>
          <w:szCs w:val="32"/>
          <w:lang w:val="en-GB"/>
        </w:rPr>
      </w:pPr>
    </w:p>
    <w:tbl>
      <w:tblPr>
        <w:tblStyle w:val="23"/>
        <w:tblW w:w="91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2679"/>
        <w:gridCol w:w="3811"/>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restart"/>
            <w:vAlign w:val="center"/>
          </w:tcPr>
          <w:p>
            <w:pPr>
              <w:pStyle w:val="42"/>
              <w:tabs>
                <w:tab w:val="left" w:pos="1260"/>
              </w:tabs>
              <w:jc w:val="center"/>
              <w:rPr>
                <w:rFonts w:ascii="宋体" w:hAnsi="宋体"/>
                <w:sz w:val="24"/>
                <w:lang w:val="en-GB"/>
              </w:rPr>
            </w:pPr>
            <w:r>
              <w:rPr>
                <w:rFonts w:hint="eastAsia" w:ascii="宋体" w:hAnsi="宋体"/>
                <w:sz w:val="24"/>
                <w:lang w:val="en-GB"/>
              </w:rPr>
              <w:t>小微企业扶持政策</w:t>
            </w:r>
          </w:p>
        </w:tc>
        <w:tc>
          <w:tcPr>
            <w:tcW w:w="8111" w:type="dxa"/>
            <w:gridSpan w:val="3"/>
            <w:vAlign w:val="center"/>
          </w:tcPr>
          <w:tbl>
            <w:tblPr>
              <w:tblStyle w:val="23"/>
              <w:tblW w:w="81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8111" w:type="dxa"/>
                  <w:vAlign w:val="center"/>
                </w:tcPr>
                <w:p>
                  <w:pPr>
                    <w:pStyle w:val="42"/>
                    <w:tabs>
                      <w:tab w:val="left" w:pos="1260"/>
                    </w:tabs>
                    <w:spacing w:line="360" w:lineRule="auto"/>
                    <w:rPr>
                      <w:rFonts w:ascii="宋体" w:hAnsi="宋体"/>
                      <w:sz w:val="24"/>
                    </w:rPr>
                  </w:pPr>
                  <w:r>
                    <w:rPr>
                      <w:rFonts w:hint="eastAsia" w:ascii="宋体" w:hAnsi="宋体"/>
                      <w:b/>
                      <w:bCs/>
                      <w:sz w:val="24"/>
                    </w:rPr>
                    <w:t>小型、微型企业投标且所投产品（指货物、工程、服务）由本企业制造，或者所投产品（仅指货物）含有其他小型、微型企业制造的，应</w:t>
                  </w:r>
                  <w:r>
                    <w:rPr>
                      <w:rFonts w:hint="eastAsia" w:ascii="宋体" w:hAnsi="宋体"/>
                      <w:b/>
                      <w:bCs/>
                      <w:sz w:val="24"/>
                      <w:lang w:val="en-GB"/>
                    </w:rPr>
                    <w:t>按要求列出具体产品与金额。</w:t>
                  </w:r>
                </w:p>
              </w:tc>
            </w:tr>
          </w:tbl>
          <w:p>
            <w:pPr>
              <w:pStyle w:val="42"/>
              <w:tabs>
                <w:tab w:val="left" w:pos="1260"/>
              </w:tabs>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42"/>
              <w:tabs>
                <w:tab w:val="left" w:pos="1260"/>
              </w:tabs>
              <w:jc w:val="center"/>
              <w:rPr>
                <w:rFonts w:ascii="宋体" w:hAnsi="宋体"/>
                <w:sz w:val="24"/>
                <w:lang w:val="en-GB"/>
              </w:rPr>
            </w:pPr>
          </w:p>
        </w:tc>
        <w:tc>
          <w:tcPr>
            <w:tcW w:w="2679" w:type="dxa"/>
            <w:vAlign w:val="center"/>
          </w:tcPr>
          <w:p>
            <w:pPr>
              <w:pStyle w:val="42"/>
              <w:tabs>
                <w:tab w:val="left" w:pos="1260"/>
              </w:tabs>
              <w:jc w:val="center"/>
              <w:rPr>
                <w:rFonts w:ascii="宋体" w:hAnsi="宋体"/>
                <w:sz w:val="24"/>
                <w:lang w:val="en-GB"/>
              </w:rPr>
            </w:pPr>
            <w:r>
              <w:rPr>
                <w:rFonts w:hint="eastAsia" w:ascii="宋体" w:hAnsi="宋体"/>
                <w:sz w:val="24"/>
                <w:lang w:val="en-GB"/>
              </w:rPr>
              <w:t>产品名称（品牌、型号）</w:t>
            </w:r>
          </w:p>
        </w:tc>
        <w:tc>
          <w:tcPr>
            <w:tcW w:w="3811" w:type="dxa"/>
            <w:vAlign w:val="center"/>
          </w:tcPr>
          <w:p>
            <w:pPr>
              <w:pStyle w:val="42"/>
              <w:tabs>
                <w:tab w:val="left" w:pos="1260"/>
              </w:tabs>
              <w:jc w:val="center"/>
              <w:rPr>
                <w:rFonts w:ascii="宋体" w:hAnsi="宋体"/>
                <w:sz w:val="24"/>
                <w:lang w:val="en-GB"/>
              </w:rPr>
            </w:pPr>
            <w:r>
              <w:rPr>
                <w:rFonts w:hint="eastAsia" w:ascii="宋体" w:hAnsi="宋体"/>
                <w:sz w:val="24"/>
                <w:lang w:val="en-GB"/>
              </w:rPr>
              <w:t>制造企业名称</w:t>
            </w:r>
          </w:p>
        </w:tc>
        <w:tc>
          <w:tcPr>
            <w:tcW w:w="1621" w:type="dxa"/>
            <w:vAlign w:val="center"/>
          </w:tcPr>
          <w:p>
            <w:pPr>
              <w:pStyle w:val="42"/>
              <w:tabs>
                <w:tab w:val="left" w:pos="1260"/>
              </w:tabs>
              <w:jc w:val="center"/>
              <w:rPr>
                <w:rFonts w:ascii="宋体" w:hAnsi="宋体"/>
                <w:sz w:val="24"/>
                <w:lang w:val="en-GB"/>
              </w:rPr>
            </w:pPr>
            <w:r>
              <w:rPr>
                <w:rFonts w:hint="eastAsia" w:ascii="宋体" w:hAnsi="宋体"/>
                <w:sz w:val="24"/>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42"/>
              <w:tabs>
                <w:tab w:val="left" w:pos="1260"/>
              </w:tabs>
              <w:jc w:val="center"/>
              <w:rPr>
                <w:rFonts w:ascii="宋体" w:hAnsi="宋体"/>
                <w:sz w:val="24"/>
                <w:lang w:val="en-GB"/>
              </w:rPr>
            </w:pPr>
          </w:p>
        </w:tc>
        <w:tc>
          <w:tcPr>
            <w:tcW w:w="2679" w:type="dxa"/>
            <w:vAlign w:val="center"/>
          </w:tcPr>
          <w:p>
            <w:pPr>
              <w:pStyle w:val="42"/>
              <w:tabs>
                <w:tab w:val="left" w:pos="1260"/>
              </w:tabs>
              <w:jc w:val="center"/>
              <w:rPr>
                <w:rFonts w:ascii="宋体" w:hAnsi="宋体"/>
                <w:sz w:val="24"/>
                <w:lang w:val="en-GB"/>
              </w:rPr>
            </w:pPr>
          </w:p>
        </w:tc>
        <w:tc>
          <w:tcPr>
            <w:tcW w:w="3811" w:type="dxa"/>
            <w:vAlign w:val="center"/>
          </w:tcPr>
          <w:p>
            <w:pPr>
              <w:pStyle w:val="42"/>
              <w:tabs>
                <w:tab w:val="left" w:pos="1260"/>
              </w:tabs>
              <w:jc w:val="center"/>
              <w:rPr>
                <w:rFonts w:ascii="宋体" w:hAnsi="宋体"/>
                <w:sz w:val="24"/>
                <w:lang w:val="en-GB"/>
              </w:rPr>
            </w:pPr>
          </w:p>
        </w:tc>
        <w:tc>
          <w:tcPr>
            <w:tcW w:w="1621" w:type="dxa"/>
            <w:vAlign w:val="center"/>
          </w:tcPr>
          <w:p>
            <w:pPr>
              <w:pStyle w:val="42"/>
              <w:tabs>
                <w:tab w:val="left" w:pos="1260"/>
              </w:tabs>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42"/>
              <w:tabs>
                <w:tab w:val="left" w:pos="1260"/>
              </w:tabs>
              <w:jc w:val="center"/>
              <w:rPr>
                <w:rFonts w:ascii="宋体" w:hAnsi="宋体"/>
                <w:sz w:val="24"/>
                <w:lang w:val="en-GB"/>
              </w:rPr>
            </w:pPr>
          </w:p>
        </w:tc>
        <w:tc>
          <w:tcPr>
            <w:tcW w:w="2679" w:type="dxa"/>
            <w:vAlign w:val="center"/>
          </w:tcPr>
          <w:p>
            <w:pPr>
              <w:pStyle w:val="42"/>
              <w:tabs>
                <w:tab w:val="left" w:pos="1260"/>
              </w:tabs>
              <w:jc w:val="center"/>
              <w:rPr>
                <w:rFonts w:ascii="宋体" w:hAnsi="宋体"/>
                <w:sz w:val="24"/>
                <w:lang w:val="en-GB"/>
              </w:rPr>
            </w:pPr>
          </w:p>
        </w:tc>
        <w:tc>
          <w:tcPr>
            <w:tcW w:w="3811" w:type="dxa"/>
            <w:vAlign w:val="center"/>
          </w:tcPr>
          <w:p>
            <w:pPr>
              <w:pStyle w:val="42"/>
              <w:tabs>
                <w:tab w:val="left" w:pos="1260"/>
              </w:tabs>
              <w:jc w:val="center"/>
              <w:rPr>
                <w:rFonts w:ascii="宋体" w:hAnsi="宋体"/>
                <w:sz w:val="24"/>
                <w:lang w:val="en-GB"/>
              </w:rPr>
            </w:pPr>
          </w:p>
        </w:tc>
        <w:tc>
          <w:tcPr>
            <w:tcW w:w="1621" w:type="dxa"/>
            <w:vAlign w:val="center"/>
          </w:tcPr>
          <w:p>
            <w:pPr>
              <w:pStyle w:val="42"/>
              <w:tabs>
                <w:tab w:val="left" w:pos="1260"/>
              </w:tabs>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42"/>
              <w:tabs>
                <w:tab w:val="left" w:pos="1260"/>
              </w:tabs>
              <w:jc w:val="center"/>
              <w:rPr>
                <w:rFonts w:ascii="宋体" w:hAnsi="宋体"/>
                <w:sz w:val="24"/>
                <w:lang w:val="en-GB"/>
              </w:rPr>
            </w:pPr>
          </w:p>
        </w:tc>
        <w:tc>
          <w:tcPr>
            <w:tcW w:w="2679" w:type="dxa"/>
            <w:vAlign w:val="center"/>
          </w:tcPr>
          <w:p>
            <w:pPr>
              <w:pStyle w:val="42"/>
              <w:tabs>
                <w:tab w:val="left" w:pos="1260"/>
              </w:tabs>
              <w:jc w:val="center"/>
              <w:rPr>
                <w:rFonts w:ascii="宋体" w:hAnsi="宋体"/>
                <w:sz w:val="24"/>
                <w:lang w:val="en-GB"/>
              </w:rPr>
            </w:pPr>
          </w:p>
        </w:tc>
        <w:tc>
          <w:tcPr>
            <w:tcW w:w="3811" w:type="dxa"/>
            <w:vAlign w:val="center"/>
          </w:tcPr>
          <w:p>
            <w:pPr>
              <w:pStyle w:val="42"/>
              <w:tabs>
                <w:tab w:val="left" w:pos="1260"/>
              </w:tabs>
              <w:jc w:val="center"/>
              <w:rPr>
                <w:rFonts w:ascii="宋体" w:hAnsi="宋体"/>
                <w:sz w:val="24"/>
                <w:lang w:val="en-GB"/>
              </w:rPr>
            </w:pPr>
          </w:p>
        </w:tc>
        <w:tc>
          <w:tcPr>
            <w:tcW w:w="1621" w:type="dxa"/>
            <w:vAlign w:val="center"/>
          </w:tcPr>
          <w:p>
            <w:pPr>
              <w:pStyle w:val="42"/>
              <w:tabs>
                <w:tab w:val="left" w:pos="1260"/>
              </w:tabs>
              <w:jc w:val="center"/>
              <w:rPr>
                <w:rFonts w:ascii="宋体" w:hAnsi="宋体"/>
                <w:sz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15" w:type="dxa"/>
            <w:vMerge w:val="continue"/>
            <w:vAlign w:val="center"/>
          </w:tcPr>
          <w:p>
            <w:pPr>
              <w:pStyle w:val="42"/>
              <w:tabs>
                <w:tab w:val="left" w:pos="1260"/>
              </w:tabs>
              <w:jc w:val="center"/>
              <w:rPr>
                <w:rFonts w:ascii="宋体" w:hAnsi="宋体"/>
                <w:sz w:val="24"/>
                <w:lang w:val="en-GB"/>
              </w:rPr>
            </w:pPr>
          </w:p>
        </w:tc>
        <w:tc>
          <w:tcPr>
            <w:tcW w:w="6490" w:type="dxa"/>
            <w:gridSpan w:val="2"/>
            <w:vAlign w:val="center"/>
          </w:tcPr>
          <w:p>
            <w:pPr>
              <w:pStyle w:val="42"/>
              <w:tabs>
                <w:tab w:val="left" w:pos="1260"/>
              </w:tabs>
              <w:jc w:val="center"/>
              <w:rPr>
                <w:rFonts w:ascii="宋体" w:hAnsi="宋体"/>
                <w:sz w:val="24"/>
                <w:lang w:val="en-GB"/>
              </w:rPr>
            </w:pPr>
            <w:r>
              <w:rPr>
                <w:rFonts w:hint="eastAsia" w:ascii="宋体" w:hAnsi="宋体"/>
                <w:sz w:val="24"/>
              </w:rPr>
              <w:t>小型、微型企业产品</w:t>
            </w:r>
            <w:r>
              <w:rPr>
                <w:rFonts w:hint="eastAsia" w:ascii="宋体" w:hAnsi="宋体"/>
                <w:sz w:val="24"/>
                <w:lang w:val="en-GB"/>
              </w:rPr>
              <w:t>金额合计（元）</w:t>
            </w:r>
          </w:p>
          <w:p/>
        </w:tc>
        <w:tc>
          <w:tcPr>
            <w:tcW w:w="1621" w:type="dxa"/>
            <w:vAlign w:val="center"/>
          </w:tcPr>
          <w:p>
            <w:pPr>
              <w:pStyle w:val="42"/>
              <w:tabs>
                <w:tab w:val="left" w:pos="1260"/>
              </w:tabs>
              <w:jc w:val="center"/>
              <w:rPr>
                <w:rFonts w:ascii="宋体" w:hAnsi="宋体"/>
                <w:sz w:val="24"/>
                <w:lang w:val="en-GB"/>
              </w:rPr>
            </w:pPr>
          </w:p>
        </w:tc>
      </w:tr>
    </w:tbl>
    <w:p>
      <w:pPr>
        <w:pStyle w:val="42"/>
        <w:spacing w:line="360" w:lineRule="auto"/>
        <w:rPr>
          <w:rFonts w:ascii="宋体" w:hAnsi="宋体"/>
          <w:szCs w:val="21"/>
          <w:lang w:val="en-GB"/>
        </w:rPr>
      </w:pPr>
    </w:p>
    <w:p>
      <w:pPr>
        <w:pStyle w:val="42"/>
        <w:spacing w:line="360" w:lineRule="auto"/>
        <w:rPr>
          <w:rFonts w:ascii="宋体" w:hAnsi="宋体"/>
          <w:szCs w:val="21"/>
          <w:lang w:val="en-GB"/>
        </w:rPr>
      </w:pPr>
      <w:r>
        <w:rPr>
          <w:rFonts w:hint="eastAsia" w:ascii="宋体" w:hAnsi="宋体"/>
          <w:szCs w:val="21"/>
          <w:lang w:val="en-GB"/>
        </w:rPr>
        <w:t>填报要求：</w:t>
      </w:r>
    </w:p>
    <w:p>
      <w:pPr>
        <w:pStyle w:val="42"/>
        <w:widowControl/>
        <w:numPr>
          <w:ilvl w:val="0"/>
          <w:numId w:val="19"/>
        </w:numPr>
        <w:spacing w:line="360" w:lineRule="auto"/>
        <w:ind w:right="84" w:rightChars="40"/>
        <w:jc w:val="left"/>
        <w:rPr>
          <w:rFonts w:ascii="宋体" w:hAnsi="宋体"/>
          <w:szCs w:val="21"/>
          <w:lang w:val="en-GB"/>
        </w:rPr>
      </w:pPr>
      <w:r>
        <w:rPr>
          <w:rFonts w:hint="eastAsia" w:ascii="宋体" w:hAnsi="宋体"/>
          <w:szCs w:val="21"/>
          <w:lang w:val="en-GB"/>
        </w:rPr>
        <w:t>本表的产品名称、规格型号和注册商标、金额要与《报价明细表》一致。</w:t>
      </w:r>
    </w:p>
    <w:p>
      <w:pPr>
        <w:pStyle w:val="42"/>
        <w:widowControl/>
        <w:numPr>
          <w:ilvl w:val="0"/>
          <w:numId w:val="19"/>
        </w:numPr>
        <w:tabs>
          <w:tab w:val="left" w:pos="360"/>
        </w:tabs>
        <w:spacing w:line="360" w:lineRule="auto"/>
        <w:ind w:left="360" w:right="84" w:rightChars="40" w:hanging="360"/>
        <w:jc w:val="left"/>
        <w:rPr>
          <w:rFonts w:ascii="宋体" w:hAnsi="宋体"/>
          <w:szCs w:val="21"/>
          <w:lang w:val="en-GB"/>
        </w:rPr>
      </w:pPr>
      <w:r>
        <w:rPr>
          <w:rFonts w:hint="eastAsia" w:ascii="宋体" w:hAnsi="宋体"/>
          <w:szCs w:val="21"/>
          <w:lang w:val="en-GB"/>
        </w:rPr>
        <w:t>制造商为小型或微型企业时才需要填“制造商企业类型”栏，填写内容为“小型”或“微型”。</w:t>
      </w:r>
    </w:p>
    <w:p>
      <w:pPr>
        <w:pStyle w:val="42"/>
        <w:widowControl/>
        <w:numPr>
          <w:ilvl w:val="0"/>
          <w:numId w:val="19"/>
        </w:numPr>
        <w:spacing w:line="360" w:lineRule="auto"/>
        <w:ind w:right="84" w:rightChars="40"/>
        <w:jc w:val="left"/>
        <w:rPr>
          <w:rFonts w:ascii="宋体" w:hAnsi="宋体"/>
          <w:szCs w:val="21"/>
          <w:lang w:val="en-GB"/>
        </w:rPr>
      </w:pPr>
      <w:r>
        <w:rPr>
          <w:rFonts w:hint="eastAsia" w:ascii="宋体" w:hAnsi="宋体"/>
          <w:szCs w:val="21"/>
          <w:lang w:val="en-GB"/>
        </w:rPr>
        <w:t>请投标人正确填写本表，所填内容将作为评分依据（以“小型、微型企业产品金额合计”为准进行价格折扣，表中所填内容必须与政府采购优惠政策需提供的相关资料相符，如出现不相符或提供资料不全的，该小型、微型企业</w:t>
      </w:r>
      <w:r>
        <w:rPr>
          <w:rFonts w:hint="eastAsia" w:ascii="宋体" w:hAnsi="宋体"/>
          <w:color w:val="auto"/>
          <w:szCs w:val="21"/>
          <w:lang w:val="en-US" w:eastAsia="zh-CN"/>
        </w:rPr>
        <w:t>不符产品核</w:t>
      </w:r>
      <w:r>
        <w:rPr>
          <w:rFonts w:hint="eastAsia" w:ascii="宋体" w:hAnsi="宋体"/>
          <w:szCs w:val="21"/>
          <w:lang w:val="en-GB"/>
        </w:rPr>
        <w:t>计金额将不予以享受小微企业扶持政策优惠）。</w:t>
      </w:r>
    </w:p>
    <w:p>
      <w:pPr>
        <w:tabs>
          <w:tab w:val="left" w:pos="1418"/>
        </w:tabs>
        <w:autoSpaceDE w:val="0"/>
        <w:autoSpaceDN w:val="0"/>
        <w:adjustRightInd w:val="0"/>
        <w:spacing w:line="360" w:lineRule="auto"/>
        <w:ind w:firstLine="480" w:firstLineChars="200"/>
        <w:rPr>
          <w:rFonts w:ascii="宋体"/>
          <w:kern w:val="0"/>
          <w:sz w:val="24"/>
          <w:lang w:val="en-GB"/>
        </w:rPr>
      </w:pPr>
    </w:p>
    <w:p/>
    <w:p>
      <w:pPr>
        <w:snapToGrid w:val="0"/>
        <w:spacing w:line="360" w:lineRule="auto"/>
        <w:ind w:firstLine="480" w:firstLineChars="200"/>
        <w:jc w:val="left"/>
        <w:rPr>
          <w:rFonts w:asciiTheme="minorEastAsia" w:hAnsiTheme="minorEastAsia" w:eastAsiaTheme="minorEastAsia"/>
          <w:sz w:val="24"/>
        </w:rPr>
      </w:pPr>
    </w:p>
    <w:p/>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KaiTi_GB2312">
    <w:altName w:val="微软雅黑"/>
    <w:panose1 w:val="020B0604020202020204"/>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书宋简体">
    <w:altName w:val="宋体"/>
    <w:panose1 w:val="020B0604020202020204"/>
    <w:charset w:val="86"/>
    <w:family w:val="script"/>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FangSong_GB2312">
    <w:altName w:val="仿宋"/>
    <w:panose1 w:val="020B0604020202020204"/>
    <w:charset w:val="86"/>
    <w:family w:val="modern"/>
    <w:pitch w:val="default"/>
    <w:sig w:usb0="00000000" w:usb1="00000000" w:usb2="0000001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yriadPro-Regular">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0" w:lineRule="atLeast"/>
      <w:rPr>
        <w:b/>
        <w:color w:val="000000" w:themeColor="text1"/>
        <w:sz w:val="10"/>
        <w:u w:val="single"/>
        <w14:textFill>
          <w14:solidFill>
            <w14:schemeClr w14:val="tx1"/>
          </w14:solidFill>
        </w14:textFill>
      </w:rPr>
    </w:pPr>
    <w:r>
      <w:rPr>
        <w:rFonts w:hint="eastAsia"/>
        <w:b/>
        <w:i/>
        <w:color w:val="000000" w:themeColor="text1"/>
        <w:kern w:val="0"/>
        <w:sz w:val="18"/>
        <w:u w:val="single"/>
        <w14:textFill>
          <w14:solidFill>
            <w14:schemeClr w14:val="tx1"/>
          </w14:solidFill>
        </w14:textFill>
      </w:rPr>
      <w:t xml:space="preserve">台州市政府采购招标文件                                                            </w:t>
    </w:r>
    <w:r>
      <w:rPr>
        <w:rFonts w:hint="eastAsia"/>
        <w:b/>
        <w:i/>
        <w:color w:val="000000" w:themeColor="text1"/>
        <w:spacing w:val="-20"/>
        <w:kern w:val="0"/>
        <w:sz w:val="18"/>
        <w:u w:val="single"/>
        <w14:textFill>
          <w14:solidFill>
            <w14:schemeClr w14:val="tx1"/>
          </w14:solidFill>
        </w14:textFill>
      </w:rPr>
      <w:t>第</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PAGE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18</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页共</w:t>
    </w:r>
    <w:r>
      <w:rPr>
        <w:b/>
        <w:i/>
        <w:color w:val="000000" w:themeColor="text1"/>
        <w:spacing w:val="-20"/>
        <w:kern w:val="0"/>
        <w:sz w:val="18"/>
        <w:u w:val="single"/>
        <w14:textFill>
          <w14:solidFill>
            <w14:schemeClr w14:val="tx1"/>
          </w14:solidFill>
        </w14:textFill>
      </w:rPr>
      <w:fldChar w:fldCharType="begin"/>
    </w:r>
    <w:r>
      <w:rPr>
        <w:b/>
        <w:i/>
        <w:color w:val="000000" w:themeColor="text1"/>
        <w:spacing w:val="-20"/>
        <w:kern w:val="0"/>
        <w:sz w:val="18"/>
        <w:u w:val="single"/>
        <w14:textFill>
          <w14:solidFill>
            <w14:schemeClr w14:val="tx1"/>
          </w14:solidFill>
        </w14:textFill>
      </w:rPr>
      <w:instrText xml:space="preserve"> NUMPAGES </w:instrText>
    </w:r>
    <w:r>
      <w:rPr>
        <w:b/>
        <w:i/>
        <w:color w:val="000000" w:themeColor="text1"/>
        <w:spacing w:val="-20"/>
        <w:kern w:val="0"/>
        <w:sz w:val="18"/>
        <w:u w:val="single"/>
        <w14:textFill>
          <w14:solidFill>
            <w14:schemeClr w14:val="tx1"/>
          </w14:solidFill>
        </w14:textFill>
      </w:rPr>
      <w:fldChar w:fldCharType="separate"/>
    </w:r>
    <w:r>
      <w:rPr>
        <w:b/>
        <w:i/>
        <w:color w:val="000000" w:themeColor="text1"/>
        <w:spacing w:val="-20"/>
        <w:kern w:val="0"/>
        <w:sz w:val="18"/>
        <w:u w:val="single"/>
        <w14:textFill>
          <w14:solidFill>
            <w14:schemeClr w14:val="tx1"/>
          </w14:solidFill>
        </w14:textFill>
      </w:rPr>
      <w:t>59</w:t>
    </w:r>
    <w:r>
      <w:rPr>
        <w:b/>
        <w:i/>
        <w:color w:val="000000" w:themeColor="text1"/>
        <w:spacing w:val="-20"/>
        <w:kern w:val="0"/>
        <w:sz w:val="18"/>
        <w:u w:val="single"/>
        <w14:textFill>
          <w14:solidFill>
            <w14:schemeClr w14:val="tx1"/>
          </w14:solidFill>
        </w14:textFill>
      </w:rPr>
      <w:fldChar w:fldCharType="end"/>
    </w:r>
    <w:r>
      <w:rPr>
        <w:rFonts w:hint="eastAsia"/>
        <w:b/>
        <w:i/>
        <w:color w:val="000000" w:themeColor="text1"/>
        <w:spacing w:val="-20"/>
        <w:kern w:val="0"/>
        <w:sz w:val="18"/>
        <w:u w:val="single"/>
        <w14:textFill>
          <w14:solidFill>
            <w14:schemeClr w14:val="tx1"/>
          </w14:solidFill>
        </w14:textFill>
      </w:rPr>
      <w:t>页</w:t>
    </w:r>
  </w:p>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tentative="0">
      <w:start w:val="1"/>
      <w:numFmt w:val="decimal"/>
      <w:suff w:val="nothing"/>
      <w:lvlText w:val="%1、"/>
      <w:lvlJc w:val="left"/>
    </w:lvl>
  </w:abstractNum>
  <w:abstractNum w:abstractNumId="1">
    <w:nsid w:val="948E40B3"/>
    <w:multiLevelType w:val="singleLevel"/>
    <w:tmpl w:val="948E40B3"/>
    <w:lvl w:ilvl="0" w:tentative="0">
      <w:start w:val="7"/>
      <w:numFmt w:val="decimal"/>
      <w:suff w:val="nothing"/>
      <w:lvlText w:val="%1、"/>
      <w:lvlJc w:val="left"/>
    </w:lvl>
  </w:abstractNum>
  <w:abstractNum w:abstractNumId="2">
    <w:nsid w:val="95CFA382"/>
    <w:multiLevelType w:val="singleLevel"/>
    <w:tmpl w:val="95CFA382"/>
    <w:lvl w:ilvl="0" w:tentative="0">
      <w:start w:val="1"/>
      <w:numFmt w:val="decimal"/>
      <w:suff w:val="nothing"/>
      <w:lvlText w:val="%1、"/>
      <w:lvlJc w:val="left"/>
    </w:lvl>
  </w:abstractNum>
  <w:abstractNum w:abstractNumId="3">
    <w:nsid w:val="9A48CF71"/>
    <w:multiLevelType w:val="singleLevel"/>
    <w:tmpl w:val="9A48CF71"/>
    <w:lvl w:ilvl="0" w:tentative="0">
      <w:start w:val="1"/>
      <w:numFmt w:val="chineseCounting"/>
      <w:suff w:val="nothing"/>
      <w:lvlText w:val="%1、"/>
      <w:lvlJc w:val="left"/>
      <w:rPr>
        <w:rFonts w:hint="eastAsia"/>
      </w:rPr>
    </w:lvl>
  </w:abstractNum>
  <w:abstractNum w:abstractNumId="4">
    <w:nsid w:val="A19AC19B"/>
    <w:multiLevelType w:val="singleLevel"/>
    <w:tmpl w:val="A19AC19B"/>
    <w:lvl w:ilvl="0" w:tentative="0">
      <w:start w:val="1"/>
      <w:numFmt w:val="decimal"/>
      <w:suff w:val="nothing"/>
      <w:lvlText w:val="%1、"/>
      <w:lvlJc w:val="left"/>
    </w:lvl>
  </w:abstractNum>
  <w:abstractNum w:abstractNumId="5">
    <w:nsid w:val="AE2D8F7B"/>
    <w:multiLevelType w:val="singleLevel"/>
    <w:tmpl w:val="AE2D8F7B"/>
    <w:lvl w:ilvl="0" w:tentative="0">
      <w:start w:val="1"/>
      <w:numFmt w:val="decimal"/>
      <w:pStyle w:val="8"/>
      <w:lvlText w:val="%1."/>
      <w:lvlJc w:val="left"/>
      <w:pPr>
        <w:tabs>
          <w:tab w:val="left" w:pos="360"/>
        </w:tabs>
        <w:ind w:left="360" w:hanging="360"/>
      </w:pPr>
    </w:lvl>
  </w:abstractNum>
  <w:abstractNum w:abstractNumId="6">
    <w:nsid w:val="AF3E1766"/>
    <w:multiLevelType w:val="singleLevel"/>
    <w:tmpl w:val="AF3E1766"/>
    <w:lvl w:ilvl="0" w:tentative="0">
      <w:start w:val="1"/>
      <w:numFmt w:val="decimal"/>
      <w:suff w:val="nothing"/>
      <w:lvlText w:val="（%1）"/>
      <w:lvlJc w:val="left"/>
    </w:lvl>
  </w:abstractNum>
  <w:abstractNum w:abstractNumId="7">
    <w:nsid w:val="BBE9F67C"/>
    <w:multiLevelType w:val="singleLevel"/>
    <w:tmpl w:val="BBE9F67C"/>
    <w:lvl w:ilvl="0" w:tentative="0">
      <w:start w:val="1"/>
      <w:numFmt w:val="chineseCounting"/>
      <w:suff w:val="nothing"/>
      <w:lvlText w:val="%1、"/>
      <w:lvlJc w:val="left"/>
      <w:rPr>
        <w:rFonts w:hint="eastAsia"/>
      </w:rPr>
    </w:lvl>
  </w:abstractNum>
  <w:abstractNum w:abstractNumId="8">
    <w:nsid w:val="BDBCBFA4"/>
    <w:multiLevelType w:val="singleLevel"/>
    <w:tmpl w:val="BDBCBFA4"/>
    <w:lvl w:ilvl="0" w:tentative="0">
      <w:start w:val="11"/>
      <w:numFmt w:val="decimal"/>
      <w:suff w:val="nothing"/>
      <w:lvlText w:val="%1、"/>
      <w:lvlJc w:val="left"/>
    </w:lvl>
  </w:abstractNum>
  <w:abstractNum w:abstractNumId="9">
    <w:nsid w:val="C8A3F0D0"/>
    <w:multiLevelType w:val="singleLevel"/>
    <w:tmpl w:val="C8A3F0D0"/>
    <w:lvl w:ilvl="0" w:tentative="0">
      <w:start w:val="2"/>
      <w:numFmt w:val="chineseCounting"/>
      <w:suff w:val="nothing"/>
      <w:lvlText w:val="（%1）"/>
      <w:lvlJc w:val="left"/>
      <w:pPr>
        <w:ind w:left="140" w:firstLine="0"/>
      </w:pPr>
      <w:rPr>
        <w:rFonts w:hint="eastAsia"/>
      </w:rPr>
    </w:lvl>
  </w:abstractNum>
  <w:abstractNum w:abstractNumId="10">
    <w:nsid w:val="E9CBAF48"/>
    <w:multiLevelType w:val="singleLevel"/>
    <w:tmpl w:val="E9CBAF48"/>
    <w:lvl w:ilvl="0" w:tentative="0">
      <w:start w:val="1"/>
      <w:numFmt w:val="decimal"/>
      <w:suff w:val="nothing"/>
      <w:lvlText w:val="（%1）"/>
      <w:lvlJc w:val="left"/>
    </w:lvl>
  </w:abstractNum>
  <w:abstractNum w:abstractNumId="11">
    <w:nsid w:val="EEAFAC12"/>
    <w:multiLevelType w:val="singleLevel"/>
    <w:tmpl w:val="EEAFAC12"/>
    <w:lvl w:ilvl="0" w:tentative="0">
      <w:start w:val="12"/>
      <w:numFmt w:val="decimal"/>
      <w:suff w:val="nothing"/>
      <w:lvlText w:val="%1、"/>
      <w:lvlJc w:val="left"/>
      <w:pPr>
        <w:ind w:left="-60"/>
      </w:pPr>
    </w:lvl>
  </w:abstractNum>
  <w:abstractNum w:abstractNumId="12">
    <w:nsid w:val="023419C9"/>
    <w:multiLevelType w:val="singleLevel"/>
    <w:tmpl w:val="023419C9"/>
    <w:lvl w:ilvl="0" w:tentative="0">
      <w:start w:val="2"/>
      <w:numFmt w:val="decimal"/>
      <w:suff w:val="nothing"/>
      <w:lvlText w:val="%1、"/>
      <w:lvlJc w:val="left"/>
    </w:lvl>
  </w:abstractNum>
  <w:abstractNum w:abstractNumId="13">
    <w:nsid w:val="1366D8B7"/>
    <w:multiLevelType w:val="singleLevel"/>
    <w:tmpl w:val="1366D8B7"/>
    <w:lvl w:ilvl="0" w:tentative="0">
      <w:start w:val="1"/>
      <w:numFmt w:val="chineseCounting"/>
      <w:suff w:val="nothing"/>
      <w:lvlText w:val="%1、"/>
      <w:lvlJc w:val="left"/>
      <w:rPr>
        <w:rFonts w:hint="eastAsia"/>
      </w:rPr>
    </w:lvl>
  </w:abstractNum>
  <w:abstractNum w:abstractNumId="14">
    <w:nsid w:val="461E5E94"/>
    <w:multiLevelType w:val="singleLevel"/>
    <w:tmpl w:val="461E5E94"/>
    <w:lvl w:ilvl="0" w:tentative="0">
      <w:start w:val="2"/>
      <w:numFmt w:val="chineseCounting"/>
      <w:suff w:val="space"/>
      <w:lvlText w:val="第%1章"/>
      <w:lvlJc w:val="left"/>
      <w:rPr>
        <w:rFonts w:hint="eastAsia"/>
      </w:rPr>
    </w:lvl>
  </w:abstractNum>
  <w:abstractNum w:abstractNumId="15">
    <w:nsid w:val="471E06A1"/>
    <w:multiLevelType w:val="singleLevel"/>
    <w:tmpl w:val="471E06A1"/>
    <w:lvl w:ilvl="0" w:tentative="0">
      <w:start w:val="1"/>
      <w:numFmt w:val="japaneseCounting"/>
      <w:lvlText w:val="%1、"/>
      <w:lvlJc w:val="left"/>
      <w:pPr>
        <w:tabs>
          <w:tab w:val="left" w:pos="960"/>
        </w:tabs>
        <w:ind w:left="960" w:hanging="600"/>
      </w:pPr>
      <w:rPr>
        <w:rFonts w:hint="eastAsia"/>
      </w:rPr>
    </w:lvl>
  </w:abstractNum>
  <w:abstractNum w:abstractNumId="16">
    <w:nsid w:val="636567A2"/>
    <w:multiLevelType w:val="multilevel"/>
    <w:tmpl w:val="636567A2"/>
    <w:lvl w:ilvl="0" w:tentative="0">
      <w:start w:val="1"/>
      <w:numFmt w:val="decimal"/>
      <w:pStyle w:val="3"/>
      <w:lvlText w:val="第%1章"/>
      <w:lvlJc w:val="left"/>
      <w:pPr>
        <w:ind w:left="425" w:hanging="425"/>
      </w:pPr>
      <w:rPr>
        <w:rFonts w:hint="eastAsia"/>
        <w:sz w:val="44"/>
        <w:szCs w:val="44"/>
      </w:rPr>
    </w:lvl>
    <w:lvl w:ilvl="1" w:tentative="0">
      <w:start w:val="1"/>
      <w:numFmt w:val="decimal"/>
      <w:isLgl/>
      <w:suff w:val="nothing"/>
      <w:lvlText w:val="%1.%2  "/>
      <w:lvlJc w:val="left"/>
      <w:pPr>
        <w:ind w:left="851" w:hanging="284"/>
      </w:pPr>
      <w:rPr>
        <w:rFonts w:hint="eastAsia"/>
      </w:rPr>
    </w:lvl>
    <w:lvl w:ilvl="2" w:tentative="0">
      <w:start w:val="1"/>
      <w:numFmt w:val="decimal"/>
      <w:isLgl/>
      <w:lvlText w:val="%1.%2.%3"/>
      <w:lvlJc w:val="left"/>
      <w:pPr>
        <w:ind w:left="0" w:firstLine="0"/>
      </w:pPr>
      <w:rPr>
        <w:rFonts w:hint="eastAsia"/>
      </w:rPr>
    </w:lvl>
    <w:lvl w:ilvl="3" w:tentative="0">
      <w:start w:val="1"/>
      <w:numFmt w:val="decimal"/>
      <w:isLgl/>
      <w:lvlText w:val="%1.%2.%3.%4"/>
      <w:lvlJc w:val="left"/>
      <w:pPr>
        <w:ind w:left="1984" w:hanging="708"/>
      </w:pPr>
      <w:rPr>
        <w:rFonts w:hint="eastAsia"/>
      </w:rPr>
    </w:lvl>
    <w:lvl w:ilvl="4" w:tentative="0">
      <w:start w:val="1"/>
      <w:numFmt w:val="decimal"/>
      <w:lvlText w:val="%1.%2.%3.%4.%5"/>
      <w:lvlJc w:val="left"/>
      <w:pPr>
        <w:tabs>
          <w:tab w:val="left" w:pos="1009"/>
        </w:tabs>
        <w:ind w:left="1009" w:hanging="442"/>
      </w:pPr>
      <w:rPr>
        <w:rFonts w:hint="eastAsia"/>
      </w:rPr>
    </w:lvl>
    <w:lvl w:ilvl="5" w:tentative="0">
      <w:start w:val="1"/>
      <w:numFmt w:val="decimal"/>
      <w:lvlText w:val="%1.%2.%3.%4.%5.%6"/>
      <w:lvlJc w:val="left"/>
      <w:pPr>
        <w:ind w:left="1151" w:hanging="584"/>
      </w:pPr>
      <w:rPr>
        <w:rFonts w:hint="eastAsia"/>
      </w:rPr>
    </w:lvl>
    <w:lvl w:ilvl="6" w:tentative="0">
      <w:start w:val="1"/>
      <w:numFmt w:val="decimal"/>
      <w:lvlRestart w:val="1"/>
      <w:lvlText w:val="%1.%2.%3.%4.%5.%6.%7"/>
      <w:lvlJc w:val="left"/>
      <w:pPr>
        <w:ind w:left="5109" w:hanging="851"/>
      </w:pPr>
      <w:rPr>
        <w:rFonts w:hint="eastAsia"/>
      </w:rPr>
    </w:lvl>
    <w:lvl w:ilvl="7" w:tentative="0">
      <w:start w:val="1"/>
      <w:numFmt w:val="decimal"/>
      <w:lvlRestart w:val="1"/>
      <w:suff w:val="nothing"/>
      <w:lvlText w:val="表%1-%8  "/>
      <w:lvlJc w:val="left"/>
      <w:pPr>
        <w:ind w:left="4820" w:hanging="1417"/>
      </w:pPr>
      <w:rPr>
        <w:rFonts w:hint="eastAsia" w:ascii="Times New Roman" w:hAnsi="Times New Roman" w:cs="Times New Roman"/>
        <w:bCs w:val="0"/>
        <w:i w:val="0"/>
        <w:iCs w:val="0"/>
        <w:caps w:val="0"/>
        <w:smallCaps w:val="0"/>
        <w:strike w:val="0"/>
        <w:dstrike w:val="0"/>
        <w:vanish w:val="0"/>
        <w:spacing w:val="0"/>
        <w:position w:val="0"/>
        <w:u w:val="none"/>
        <w:vertAlign w:val="baseline"/>
      </w:rPr>
    </w:lvl>
    <w:lvl w:ilvl="8" w:tentative="0">
      <w:start w:val="1"/>
      <w:numFmt w:val="decimal"/>
      <w:lvlRestart w:val="1"/>
      <w:suff w:val="nothing"/>
      <w:lvlText w:val="图%1-%9  "/>
      <w:lvlJc w:val="left"/>
      <w:pPr>
        <w:ind w:left="5102" w:hanging="1700"/>
      </w:pPr>
      <w:rPr>
        <w:rFonts w:hint="eastAsia"/>
      </w:rPr>
    </w:lvl>
  </w:abstractNum>
  <w:abstractNum w:abstractNumId="17">
    <w:nsid w:val="66DDD653"/>
    <w:multiLevelType w:val="singleLevel"/>
    <w:tmpl w:val="66DDD653"/>
    <w:lvl w:ilvl="0" w:tentative="0">
      <w:start w:val="1"/>
      <w:numFmt w:val="chineseCounting"/>
      <w:suff w:val="space"/>
      <w:lvlText w:val="第%1章"/>
      <w:lvlJc w:val="left"/>
      <w:rPr>
        <w:rFonts w:hint="eastAsia"/>
      </w:rPr>
    </w:lvl>
  </w:abstractNum>
  <w:abstractNum w:abstractNumId="18">
    <w:nsid w:val="6E6F6101"/>
    <w:multiLevelType w:val="multilevel"/>
    <w:tmpl w:val="6E6F610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
        </w:tabs>
        <w:ind w:left="-4" w:hanging="420"/>
      </w:pPr>
    </w:lvl>
    <w:lvl w:ilvl="2" w:tentative="0">
      <w:start w:val="1"/>
      <w:numFmt w:val="lowerRoman"/>
      <w:lvlText w:val="%3."/>
      <w:lvlJc w:val="right"/>
      <w:pPr>
        <w:tabs>
          <w:tab w:val="left" w:pos="416"/>
        </w:tabs>
        <w:ind w:left="416" w:hanging="420"/>
      </w:pPr>
    </w:lvl>
    <w:lvl w:ilvl="3" w:tentative="0">
      <w:start w:val="1"/>
      <w:numFmt w:val="decimal"/>
      <w:lvlText w:val="%4."/>
      <w:lvlJc w:val="left"/>
      <w:pPr>
        <w:tabs>
          <w:tab w:val="left" w:pos="836"/>
        </w:tabs>
        <w:ind w:left="836" w:hanging="420"/>
      </w:pPr>
    </w:lvl>
    <w:lvl w:ilvl="4" w:tentative="0">
      <w:start w:val="1"/>
      <w:numFmt w:val="lowerLetter"/>
      <w:lvlText w:val="%5)"/>
      <w:lvlJc w:val="left"/>
      <w:pPr>
        <w:tabs>
          <w:tab w:val="left" w:pos="1256"/>
        </w:tabs>
        <w:ind w:left="1256" w:hanging="420"/>
      </w:pPr>
    </w:lvl>
    <w:lvl w:ilvl="5" w:tentative="0">
      <w:start w:val="1"/>
      <w:numFmt w:val="lowerRoman"/>
      <w:lvlText w:val="%6."/>
      <w:lvlJc w:val="right"/>
      <w:pPr>
        <w:tabs>
          <w:tab w:val="left" w:pos="1676"/>
        </w:tabs>
        <w:ind w:left="1676" w:hanging="420"/>
      </w:pPr>
    </w:lvl>
    <w:lvl w:ilvl="6" w:tentative="0">
      <w:start w:val="1"/>
      <w:numFmt w:val="decimal"/>
      <w:lvlText w:val="%7."/>
      <w:lvlJc w:val="left"/>
      <w:pPr>
        <w:tabs>
          <w:tab w:val="left" w:pos="2096"/>
        </w:tabs>
        <w:ind w:left="2096" w:hanging="420"/>
      </w:pPr>
    </w:lvl>
    <w:lvl w:ilvl="7" w:tentative="0">
      <w:start w:val="1"/>
      <w:numFmt w:val="lowerLetter"/>
      <w:lvlText w:val="%8)"/>
      <w:lvlJc w:val="left"/>
      <w:pPr>
        <w:tabs>
          <w:tab w:val="left" w:pos="2516"/>
        </w:tabs>
        <w:ind w:left="2516" w:hanging="420"/>
      </w:pPr>
    </w:lvl>
    <w:lvl w:ilvl="8" w:tentative="0">
      <w:start w:val="1"/>
      <w:numFmt w:val="lowerRoman"/>
      <w:lvlText w:val="%9."/>
      <w:lvlJc w:val="right"/>
      <w:pPr>
        <w:tabs>
          <w:tab w:val="left" w:pos="2936"/>
        </w:tabs>
        <w:ind w:left="2936" w:hanging="420"/>
      </w:pPr>
    </w:lvl>
  </w:abstractNum>
  <w:num w:numId="1">
    <w:abstractNumId w:val="16"/>
  </w:num>
  <w:num w:numId="2">
    <w:abstractNumId w:val="5"/>
  </w:num>
  <w:num w:numId="3">
    <w:abstractNumId w:val="15"/>
  </w:num>
  <w:num w:numId="4">
    <w:abstractNumId w:val="17"/>
  </w:num>
  <w:num w:numId="5">
    <w:abstractNumId w:val="7"/>
  </w:num>
  <w:num w:numId="6">
    <w:abstractNumId w:val="14"/>
  </w:num>
  <w:num w:numId="7">
    <w:abstractNumId w:val="6"/>
  </w:num>
  <w:num w:numId="8">
    <w:abstractNumId w:val="9"/>
  </w:num>
  <w:num w:numId="9">
    <w:abstractNumId w:val="10"/>
  </w:num>
  <w:num w:numId="10">
    <w:abstractNumId w:val="12"/>
  </w:num>
  <w:num w:numId="11">
    <w:abstractNumId w:val="11"/>
  </w:num>
  <w:num w:numId="12">
    <w:abstractNumId w:val="3"/>
  </w:num>
  <w:num w:numId="13">
    <w:abstractNumId w:val="13"/>
  </w:num>
  <w:num w:numId="14">
    <w:abstractNumId w:val="4"/>
  </w:num>
  <w:num w:numId="15">
    <w:abstractNumId w:val="1"/>
  </w:num>
  <w:num w:numId="16">
    <w:abstractNumId w:val="8"/>
  </w:num>
  <w:num w:numId="17">
    <w:abstractNumId w:val="0"/>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970358"/>
    <w:rsid w:val="0006294D"/>
    <w:rsid w:val="00062AB3"/>
    <w:rsid w:val="000821B2"/>
    <w:rsid w:val="000B6EB6"/>
    <w:rsid w:val="000D4942"/>
    <w:rsid w:val="00107BF6"/>
    <w:rsid w:val="00165F2A"/>
    <w:rsid w:val="001B5BCA"/>
    <w:rsid w:val="00201D62"/>
    <w:rsid w:val="0021318F"/>
    <w:rsid w:val="002A1620"/>
    <w:rsid w:val="002D7F8A"/>
    <w:rsid w:val="003102FB"/>
    <w:rsid w:val="00332E30"/>
    <w:rsid w:val="003C5E00"/>
    <w:rsid w:val="003F595C"/>
    <w:rsid w:val="003F78E0"/>
    <w:rsid w:val="0043046A"/>
    <w:rsid w:val="00441FAE"/>
    <w:rsid w:val="00446CEF"/>
    <w:rsid w:val="00482879"/>
    <w:rsid w:val="00491BDF"/>
    <w:rsid w:val="004A6BE3"/>
    <w:rsid w:val="004B4165"/>
    <w:rsid w:val="00527EFD"/>
    <w:rsid w:val="005A1F54"/>
    <w:rsid w:val="00616E31"/>
    <w:rsid w:val="00655E3C"/>
    <w:rsid w:val="00674C42"/>
    <w:rsid w:val="006C3EDC"/>
    <w:rsid w:val="006F4DFE"/>
    <w:rsid w:val="00715DC6"/>
    <w:rsid w:val="00752062"/>
    <w:rsid w:val="007A2629"/>
    <w:rsid w:val="007C1005"/>
    <w:rsid w:val="00802325"/>
    <w:rsid w:val="00847BE5"/>
    <w:rsid w:val="0088066B"/>
    <w:rsid w:val="008D1335"/>
    <w:rsid w:val="008F0524"/>
    <w:rsid w:val="00901D6C"/>
    <w:rsid w:val="00912983"/>
    <w:rsid w:val="00934C69"/>
    <w:rsid w:val="009875E3"/>
    <w:rsid w:val="009B3E22"/>
    <w:rsid w:val="009F3459"/>
    <w:rsid w:val="00A05552"/>
    <w:rsid w:val="00A05DA7"/>
    <w:rsid w:val="00A25426"/>
    <w:rsid w:val="00A30B75"/>
    <w:rsid w:val="00A730CA"/>
    <w:rsid w:val="00BA25A5"/>
    <w:rsid w:val="00BB201C"/>
    <w:rsid w:val="00C376DF"/>
    <w:rsid w:val="00C52E14"/>
    <w:rsid w:val="00C767D4"/>
    <w:rsid w:val="00CC232E"/>
    <w:rsid w:val="00CD1804"/>
    <w:rsid w:val="00D559AE"/>
    <w:rsid w:val="00DF7014"/>
    <w:rsid w:val="00E30A71"/>
    <w:rsid w:val="00E319E7"/>
    <w:rsid w:val="00EF2797"/>
    <w:rsid w:val="00F127FF"/>
    <w:rsid w:val="00FA1220"/>
    <w:rsid w:val="00FC7F87"/>
    <w:rsid w:val="00FD3E5A"/>
    <w:rsid w:val="010D0700"/>
    <w:rsid w:val="0118771F"/>
    <w:rsid w:val="01306B14"/>
    <w:rsid w:val="014011E2"/>
    <w:rsid w:val="01697E85"/>
    <w:rsid w:val="017729D1"/>
    <w:rsid w:val="01935887"/>
    <w:rsid w:val="019B1F82"/>
    <w:rsid w:val="01A5062E"/>
    <w:rsid w:val="01A82F36"/>
    <w:rsid w:val="01AD7B32"/>
    <w:rsid w:val="01BD7005"/>
    <w:rsid w:val="01ED7D22"/>
    <w:rsid w:val="020B50CD"/>
    <w:rsid w:val="02332AD6"/>
    <w:rsid w:val="0239292C"/>
    <w:rsid w:val="023B4212"/>
    <w:rsid w:val="026F3E86"/>
    <w:rsid w:val="027638E8"/>
    <w:rsid w:val="02782E93"/>
    <w:rsid w:val="02945C00"/>
    <w:rsid w:val="02AA5DC5"/>
    <w:rsid w:val="02AD3B7C"/>
    <w:rsid w:val="02C87F06"/>
    <w:rsid w:val="02FC075A"/>
    <w:rsid w:val="0311374C"/>
    <w:rsid w:val="03350EB5"/>
    <w:rsid w:val="0336696D"/>
    <w:rsid w:val="034628D3"/>
    <w:rsid w:val="035F6A7D"/>
    <w:rsid w:val="0386158E"/>
    <w:rsid w:val="03E02B39"/>
    <w:rsid w:val="041C127C"/>
    <w:rsid w:val="04341CD4"/>
    <w:rsid w:val="044405B7"/>
    <w:rsid w:val="044C5ED0"/>
    <w:rsid w:val="0470673A"/>
    <w:rsid w:val="049D4977"/>
    <w:rsid w:val="04A33DD1"/>
    <w:rsid w:val="04B62C76"/>
    <w:rsid w:val="04CC341D"/>
    <w:rsid w:val="04EE1FCD"/>
    <w:rsid w:val="04FB0FDD"/>
    <w:rsid w:val="05137CD7"/>
    <w:rsid w:val="055842D5"/>
    <w:rsid w:val="058E2529"/>
    <w:rsid w:val="05A50164"/>
    <w:rsid w:val="05B43C6D"/>
    <w:rsid w:val="05D92A57"/>
    <w:rsid w:val="05E70F70"/>
    <w:rsid w:val="05E92A8E"/>
    <w:rsid w:val="05F50E9D"/>
    <w:rsid w:val="060B26E0"/>
    <w:rsid w:val="064D7980"/>
    <w:rsid w:val="067C192C"/>
    <w:rsid w:val="06C56D28"/>
    <w:rsid w:val="06D52D47"/>
    <w:rsid w:val="06DC33E7"/>
    <w:rsid w:val="06E40CB7"/>
    <w:rsid w:val="070122F0"/>
    <w:rsid w:val="075E4944"/>
    <w:rsid w:val="075F7318"/>
    <w:rsid w:val="07912ED4"/>
    <w:rsid w:val="079C4ADE"/>
    <w:rsid w:val="07D71AFF"/>
    <w:rsid w:val="07FC1B3E"/>
    <w:rsid w:val="080F2FE4"/>
    <w:rsid w:val="084F68CB"/>
    <w:rsid w:val="08507DA2"/>
    <w:rsid w:val="0855799C"/>
    <w:rsid w:val="085A1BE1"/>
    <w:rsid w:val="086A431A"/>
    <w:rsid w:val="088942F5"/>
    <w:rsid w:val="08A17D16"/>
    <w:rsid w:val="08A9367B"/>
    <w:rsid w:val="08A97B1A"/>
    <w:rsid w:val="08D86E72"/>
    <w:rsid w:val="08DA7C0C"/>
    <w:rsid w:val="091A1CF4"/>
    <w:rsid w:val="093D06B0"/>
    <w:rsid w:val="0941098F"/>
    <w:rsid w:val="0959182B"/>
    <w:rsid w:val="097E255A"/>
    <w:rsid w:val="098951A5"/>
    <w:rsid w:val="09AB4E7B"/>
    <w:rsid w:val="09DC400A"/>
    <w:rsid w:val="0A1357D4"/>
    <w:rsid w:val="0A3B11A3"/>
    <w:rsid w:val="0A6A2A5E"/>
    <w:rsid w:val="0AAF023A"/>
    <w:rsid w:val="0AB2466D"/>
    <w:rsid w:val="0ACF7918"/>
    <w:rsid w:val="0B3A4CFE"/>
    <w:rsid w:val="0B631F3C"/>
    <w:rsid w:val="0B97575B"/>
    <w:rsid w:val="0BB1131B"/>
    <w:rsid w:val="0BB96227"/>
    <w:rsid w:val="0BCA1551"/>
    <w:rsid w:val="0BD6005F"/>
    <w:rsid w:val="0BF02F5F"/>
    <w:rsid w:val="0BF32587"/>
    <w:rsid w:val="0C112745"/>
    <w:rsid w:val="0C1E2BA0"/>
    <w:rsid w:val="0C21217E"/>
    <w:rsid w:val="0C240CE5"/>
    <w:rsid w:val="0C3F6D5B"/>
    <w:rsid w:val="0C765CB2"/>
    <w:rsid w:val="0C835F1C"/>
    <w:rsid w:val="0CDA4F6D"/>
    <w:rsid w:val="0D0475F6"/>
    <w:rsid w:val="0D3668AD"/>
    <w:rsid w:val="0D373669"/>
    <w:rsid w:val="0D764E12"/>
    <w:rsid w:val="0D7D3EC3"/>
    <w:rsid w:val="0D937226"/>
    <w:rsid w:val="0D95664A"/>
    <w:rsid w:val="0DAA6345"/>
    <w:rsid w:val="0DB76F3C"/>
    <w:rsid w:val="0DEB19AF"/>
    <w:rsid w:val="0DFC423F"/>
    <w:rsid w:val="0E2D7F14"/>
    <w:rsid w:val="0E3627D0"/>
    <w:rsid w:val="0E422197"/>
    <w:rsid w:val="0E442DAC"/>
    <w:rsid w:val="0E5A3939"/>
    <w:rsid w:val="0E615169"/>
    <w:rsid w:val="0E970358"/>
    <w:rsid w:val="0EA9275B"/>
    <w:rsid w:val="0EDE4D61"/>
    <w:rsid w:val="0EF214DA"/>
    <w:rsid w:val="0EF27825"/>
    <w:rsid w:val="0F1747D0"/>
    <w:rsid w:val="0F2C2179"/>
    <w:rsid w:val="0F361AD2"/>
    <w:rsid w:val="0F627A48"/>
    <w:rsid w:val="0F766D8E"/>
    <w:rsid w:val="0F7A2A4E"/>
    <w:rsid w:val="0F884221"/>
    <w:rsid w:val="0FBC55C7"/>
    <w:rsid w:val="10392EAE"/>
    <w:rsid w:val="10512053"/>
    <w:rsid w:val="106C2B22"/>
    <w:rsid w:val="10706EC2"/>
    <w:rsid w:val="10801E69"/>
    <w:rsid w:val="108C1A58"/>
    <w:rsid w:val="10A11DDD"/>
    <w:rsid w:val="10A11DF7"/>
    <w:rsid w:val="10A4463E"/>
    <w:rsid w:val="10BB585F"/>
    <w:rsid w:val="10E94F29"/>
    <w:rsid w:val="110C060A"/>
    <w:rsid w:val="112A6A1A"/>
    <w:rsid w:val="11394306"/>
    <w:rsid w:val="11405A21"/>
    <w:rsid w:val="115B05A4"/>
    <w:rsid w:val="11E338D3"/>
    <w:rsid w:val="11EA357E"/>
    <w:rsid w:val="12055D43"/>
    <w:rsid w:val="121D7A45"/>
    <w:rsid w:val="12362DDD"/>
    <w:rsid w:val="12632BF8"/>
    <w:rsid w:val="12807280"/>
    <w:rsid w:val="12B30AED"/>
    <w:rsid w:val="13030129"/>
    <w:rsid w:val="13092F05"/>
    <w:rsid w:val="1316219A"/>
    <w:rsid w:val="13183E3E"/>
    <w:rsid w:val="13215400"/>
    <w:rsid w:val="13552628"/>
    <w:rsid w:val="13725355"/>
    <w:rsid w:val="138B2D26"/>
    <w:rsid w:val="13A13753"/>
    <w:rsid w:val="13A81874"/>
    <w:rsid w:val="13AD4825"/>
    <w:rsid w:val="13C77E0B"/>
    <w:rsid w:val="13CB2484"/>
    <w:rsid w:val="14093B52"/>
    <w:rsid w:val="141C7045"/>
    <w:rsid w:val="142E1189"/>
    <w:rsid w:val="143A36AF"/>
    <w:rsid w:val="145B795E"/>
    <w:rsid w:val="14601483"/>
    <w:rsid w:val="14611E68"/>
    <w:rsid w:val="148463E6"/>
    <w:rsid w:val="14972906"/>
    <w:rsid w:val="14A83AD1"/>
    <w:rsid w:val="14AB3875"/>
    <w:rsid w:val="14B71FA9"/>
    <w:rsid w:val="14C91DBC"/>
    <w:rsid w:val="14D20D9B"/>
    <w:rsid w:val="14E73786"/>
    <w:rsid w:val="15170D44"/>
    <w:rsid w:val="155C6FC7"/>
    <w:rsid w:val="15771668"/>
    <w:rsid w:val="1578364A"/>
    <w:rsid w:val="15901FEA"/>
    <w:rsid w:val="15955A4D"/>
    <w:rsid w:val="15A72BED"/>
    <w:rsid w:val="15B03AAF"/>
    <w:rsid w:val="15CF7A2F"/>
    <w:rsid w:val="160C13D8"/>
    <w:rsid w:val="1621170E"/>
    <w:rsid w:val="16332332"/>
    <w:rsid w:val="167F2F7D"/>
    <w:rsid w:val="168568B9"/>
    <w:rsid w:val="168E5B23"/>
    <w:rsid w:val="16A67694"/>
    <w:rsid w:val="16A71BB1"/>
    <w:rsid w:val="16F059BA"/>
    <w:rsid w:val="16F23890"/>
    <w:rsid w:val="16F57E09"/>
    <w:rsid w:val="16F70B82"/>
    <w:rsid w:val="17200067"/>
    <w:rsid w:val="17400A2B"/>
    <w:rsid w:val="175165AE"/>
    <w:rsid w:val="175F2BE6"/>
    <w:rsid w:val="177A072A"/>
    <w:rsid w:val="177F6CDF"/>
    <w:rsid w:val="1788613E"/>
    <w:rsid w:val="178D2C54"/>
    <w:rsid w:val="17A8137B"/>
    <w:rsid w:val="17AA759A"/>
    <w:rsid w:val="17B4164A"/>
    <w:rsid w:val="17C4052C"/>
    <w:rsid w:val="17C86B7D"/>
    <w:rsid w:val="17E13854"/>
    <w:rsid w:val="17F032A2"/>
    <w:rsid w:val="17FD7E48"/>
    <w:rsid w:val="1844680A"/>
    <w:rsid w:val="18496224"/>
    <w:rsid w:val="185223ED"/>
    <w:rsid w:val="1860029A"/>
    <w:rsid w:val="186B6DE9"/>
    <w:rsid w:val="18B91D2B"/>
    <w:rsid w:val="18BD0806"/>
    <w:rsid w:val="18C40414"/>
    <w:rsid w:val="191C4FE8"/>
    <w:rsid w:val="192720E3"/>
    <w:rsid w:val="19423674"/>
    <w:rsid w:val="19584E18"/>
    <w:rsid w:val="198620BB"/>
    <w:rsid w:val="19A90CB8"/>
    <w:rsid w:val="19D11395"/>
    <w:rsid w:val="19DE4711"/>
    <w:rsid w:val="19F1626B"/>
    <w:rsid w:val="1A604B05"/>
    <w:rsid w:val="1A6A6D44"/>
    <w:rsid w:val="1A817123"/>
    <w:rsid w:val="1A9C4984"/>
    <w:rsid w:val="1AA26C65"/>
    <w:rsid w:val="1AAC690A"/>
    <w:rsid w:val="1ABF0F26"/>
    <w:rsid w:val="1B271A83"/>
    <w:rsid w:val="1B4C0B5A"/>
    <w:rsid w:val="1B595DCE"/>
    <w:rsid w:val="1B861161"/>
    <w:rsid w:val="1BF13BAB"/>
    <w:rsid w:val="1C093ECB"/>
    <w:rsid w:val="1C385A27"/>
    <w:rsid w:val="1C450D40"/>
    <w:rsid w:val="1C570D8E"/>
    <w:rsid w:val="1C5F6A88"/>
    <w:rsid w:val="1C9B76A0"/>
    <w:rsid w:val="1CA40C31"/>
    <w:rsid w:val="1CDD0584"/>
    <w:rsid w:val="1CE4433A"/>
    <w:rsid w:val="1CE76CD9"/>
    <w:rsid w:val="1CF3074E"/>
    <w:rsid w:val="1CF666F0"/>
    <w:rsid w:val="1D402E0C"/>
    <w:rsid w:val="1D4B5507"/>
    <w:rsid w:val="1D500E17"/>
    <w:rsid w:val="1D54609B"/>
    <w:rsid w:val="1D561465"/>
    <w:rsid w:val="1D925794"/>
    <w:rsid w:val="1DB83B2A"/>
    <w:rsid w:val="1DD420D7"/>
    <w:rsid w:val="1DEB7E6D"/>
    <w:rsid w:val="1E0E2DF3"/>
    <w:rsid w:val="1E0F1FD7"/>
    <w:rsid w:val="1E234FBF"/>
    <w:rsid w:val="1E2E56DE"/>
    <w:rsid w:val="1E9001D9"/>
    <w:rsid w:val="1EA30B4C"/>
    <w:rsid w:val="1EA47357"/>
    <w:rsid w:val="1EAD6A61"/>
    <w:rsid w:val="1ED414C4"/>
    <w:rsid w:val="1EE359D8"/>
    <w:rsid w:val="1EE84AA8"/>
    <w:rsid w:val="1F35639C"/>
    <w:rsid w:val="1F513AA8"/>
    <w:rsid w:val="1F6E52A2"/>
    <w:rsid w:val="1F735B62"/>
    <w:rsid w:val="1F762354"/>
    <w:rsid w:val="1FB549C6"/>
    <w:rsid w:val="1FB57D4D"/>
    <w:rsid w:val="201C16D2"/>
    <w:rsid w:val="201C5623"/>
    <w:rsid w:val="204A1E13"/>
    <w:rsid w:val="20610C19"/>
    <w:rsid w:val="209025EE"/>
    <w:rsid w:val="209F4ECE"/>
    <w:rsid w:val="20AE3204"/>
    <w:rsid w:val="20C77828"/>
    <w:rsid w:val="212D0B59"/>
    <w:rsid w:val="214624ED"/>
    <w:rsid w:val="216A28A2"/>
    <w:rsid w:val="217C7240"/>
    <w:rsid w:val="218D4481"/>
    <w:rsid w:val="21C04E95"/>
    <w:rsid w:val="21D573F2"/>
    <w:rsid w:val="21E6371C"/>
    <w:rsid w:val="21FA01A1"/>
    <w:rsid w:val="221D5E85"/>
    <w:rsid w:val="222C1CC0"/>
    <w:rsid w:val="222E2931"/>
    <w:rsid w:val="22484E58"/>
    <w:rsid w:val="227C0DCD"/>
    <w:rsid w:val="228447E5"/>
    <w:rsid w:val="22CB78D5"/>
    <w:rsid w:val="23422BB0"/>
    <w:rsid w:val="23424F53"/>
    <w:rsid w:val="234A5F84"/>
    <w:rsid w:val="23582408"/>
    <w:rsid w:val="235C7E54"/>
    <w:rsid w:val="23660707"/>
    <w:rsid w:val="236E14E2"/>
    <w:rsid w:val="237D0FC2"/>
    <w:rsid w:val="238F7DCE"/>
    <w:rsid w:val="23EC0411"/>
    <w:rsid w:val="24244D92"/>
    <w:rsid w:val="24296133"/>
    <w:rsid w:val="242F631F"/>
    <w:rsid w:val="24311299"/>
    <w:rsid w:val="24397122"/>
    <w:rsid w:val="24436B16"/>
    <w:rsid w:val="244E66FF"/>
    <w:rsid w:val="24577DE4"/>
    <w:rsid w:val="24745171"/>
    <w:rsid w:val="24CE3BAF"/>
    <w:rsid w:val="24D92305"/>
    <w:rsid w:val="24D96B70"/>
    <w:rsid w:val="24DB1E0D"/>
    <w:rsid w:val="24E21308"/>
    <w:rsid w:val="24FA03BB"/>
    <w:rsid w:val="25022BB7"/>
    <w:rsid w:val="2519505F"/>
    <w:rsid w:val="25671AF5"/>
    <w:rsid w:val="25821982"/>
    <w:rsid w:val="25A242DE"/>
    <w:rsid w:val="25D60AD2"/>
    <w:rsid w:val="25D65461"/>
    <w:rsid w:val="25E3371B"/>
    <w:rsid w:val="25E37EE1"/>
    <w:rsid w:val="25E76D27"/>
    <w:rsid w:val="260356E0"/>
    <w:rsid w:val="261F0C17"/>
    <w:rsid w:val="263371F9"/>
    <w:rsid w:val="263B578D"/>
    <w:rsid w:val="266B421D"/>
    <w:rsid w:val="267252A4"/>
    <w:rsid w:val="268400FD"/>
    <w:rsid w:val="26955D22"/>
    <w:rsid w:val="26CE19BE"/>
    <w:rsid w:val="26E00FED"/>
    <w:rsid w:val="27117EDE"/>
    <w:rsid w:val="27482CE9"/>
    <w:rsid w:val="27731F31"/>
    <w:rsid w:val="27A7080A"/>
    <w:rsid w:val="27AC6C4F"/>
    <w:rsid w:val="27E53FBF"/>
    <w:rsid w:val="2813511C"/>
    <w:rsid w:val="28546E15"/>
    <w:rsid w:val="289E691E"/>
    <w:rsid w:val="28B0105B"/>
    <w:rsid w:val="28EA6951"/>
    <w:rsid w:val="28F8402B"/>
    <w:rsid w:val="295802C0"/>
    <w:rsid w:val="296C064D"/>
    <w:rsid w:val="29BB5D7A"/>
    <w:rsid w:val="29C57527"/>
    <w:rsid w:val="29C857FB"/>
    <w:rsid w:val="29D148D0"/>
    <w:rsid w:val="29FC0DA4"/>
    <w:rsid w:val="2A492AF2"/>
    <w:rsid w:val="2A524FCD"/>
    <w:rsid w:val="2A703A89"/>
    <w:rsid w:val="2A7B68DD"/>
    <w:rsid w:val="2A7C3B5D"/>
    <w:rsid w:val="2AB173A3"/>
    <w:rsid w:val="2AB76578"/>
    <w:rsid w:val="2AB83A9D"/>
    <w:rsid w:val="2AC803DC"/>
    <w:rsid w:val="2AF63674"/>
    <w:rsid w:val="2AF9481A"/>
    <w:rsid w:val="2B00287F"/>
    <w:rsid w:val="2B092FB2"/>
    <w:rsid w:val="2B1023C9"/>
    <w:rsid w:val="2B130503"/>
    <w:rsid w:val="2B3D7CE4"/>
    <w:rsid w:val="2B9C69B1"/>
    <w:rsid w:val="2BA2013E"/>
    <w:rsid w:val="2BC417BC"/>
    <w:rsid w:val="2BC7452B"/>
    <w:rsid w:val="2BD47781"/>
    <w:rsid w:val="2BE766BB"/>
    <w:rsid w:val="2BEE482A"/>
    <w:rsid w:val="2C0A7A1A"/>
    <w:rsid w:val="2C5222A1"/>
    <w:rsid w:val="2C5F0A77"/>
    <w:rsid w:val="2C6C259D"/>
    <w:rsid w:val="2CA86CAB"/>
    <w:rsid w:val="2CAE352F"/>
    <w:rsid w:val="2CB108D7"/>
    <w:rsid w:val="2CDA24DC"/>
    <w:rsid w:val="2CF44D88"/>
    <w:rsid w:val="2D0D650F"/>
    <w:rsid w:val="2D33402D"/>
    <w:rsid w:val="2D4C169F"/>
    <w:rsid w:val="2D54010B"/>
    <w:rsid w:val="2D8D51DC"/>
    <w:rsid w:val="2D912C47"/>
    <w:rsid w:val="2DC24596"/>
    <w:rsid w:val="2DD1427F"/>
    <w:rsid w:val="2E011A67"/>
    <w:rsid w:val="2E064C6E"/>
    <w:rsid w:val="2E0D1401"/>
    <w:rsid w:val="2E3A7B8E"/>
    <w:rsid w:val="2E70527F"/>
    <w:rsid w:val="2E9554EF"/>
    <w:rsid w:val="2E9F550B"/>
    <w:rsid w:val="2EA2717F"/>
    <w:rsid w:val="2EA46C20"/>
    <w:rsid w:val="2EB35869"/>
    <w:rsid w:val="2EBE581A"/>
    <w:rsid w:val="2ED222F3"/>
    <w:rsid w:val="2EEE4113"/>
    <w:rsid w:val="2EF726B0"/>
    <w:rsid w:val="2F237FB3"/>
    <w:rsid w:val="2F266F50"/>
    <w:rsid w:val="2F3174F3"/>
    <w:rsid w:val="2F7315B0"/>
    <w:rsid w:val="2F7A755F"/>
    <w:rsid w:val="2F84259E"/>
    <w:rsid w:val="2F8B40F9"/>
    <w:rsid w:val="2FA50222"/>
    <w:rsid w:val="2FB421D2"/>
    <w:rsid w:val="2FD752A5"/>
    <w:rsid w:val="2FDE6467"/>
    <w:rsid w:val="30143D85"/>
    <w:rsid w:val="301719FA"/>
    <w:rsid w:val="312668F0"/>
    <w:rsid w:val="3154539E"/>
    <w:rsid w:val="31752B09"/>
    <w:rsid w:val="31894973"/>
    <w:rsid w:val="31911BA7"/>
    <w:rsid w:val="31A80904"/>
    <w:rsid w:val="31FD2290"/>
    <w:rsid w:val="320202A4"/>
    <w:rsid w:val="321255B0"/>
    <w:rsid w:val="32152C33"/>
    <w:rsid w:val="321A5C9F"/>
    <w:rsid w:val="32493399"/>
    <w:rsid w:val="324A021C"/>
    <w:rsid w:val="324B117A"/>
    <w:rsid w:val="325568BF"/>
    <w:rsid w:val="32614BF6"/>
    <w:rsid w:val="328D47E3"/>
    <w:rsid w:val="3295270B"/>
    <w:rsid w:val="329D60CE"/>
    <w:rsid w:val="32BF3FC3"/>
    <w:rsid w:val="32D55D51"/>
    <w:rsid w:val="32E76E4C"/>
    <w:rsid w:val="32E81934"/>
    <w:rsid w:val="332F7BA5"/>
    <w:rsid w:val="337A6289"/>
    <w:rsid w:val="337D122C"/>
    <w:rsid w:val="337D47A9"/>
    <w:rsid w:val="33A8191E"/>
    <w:rsid w:val="33AB6F91"/>
    <w:rsid w:val="33E1098E"/>
    <w:rsid w:val="34015A86"/>
    <w:rsid w:val="341548E3"/>
    <w:rsid w:val="341C73AD"/>
    <w:rsid w:val="34430263"/>
    <w:rsid w:val="3455210C"/>
    <w:rsid w:val="3457719F"/>
    <w:rsid w:val="34685578"/>
    <w:rsid w:val="3487190D"/>
    <w:rsid w:val="349C79B7"/>
    <w:rsid w:val="34D12FAE"/>
    <w:rsid w:val="34DC0BEE"/>
    <w:rsid w:val="34E94723"/>
    <w:rsid w:val="34F866DB"/>
    <w:rsid w:val="34FD7B2D"/>
    <w:rsid w:val="35375367"/>
    <w:rsid w:val="355264D6"/>
    <w:rsid w:val="35720C10"/>
    <w:rsid w:val="35840EDE"/>
    <w:rsid w:val="358C0F1C"/>
    <w:rsid w:val="35984F34"/>
    <w:rsid w:val="359C74D2"/>
    <w:rsid w:val="35AB7A5F"/>
    <w:rsid w:val="35BF1C6E"/>
    <w:rsid w:val="35C63C79"/>
    <w:rsid w:val="35D57D5C"/>
    <w:rsid w:val="363D0D4C"/>
    <w:rsid w:val="3641268A"/>
    <w:rsid w:val="3651686F"/>
    <w:rsid w:val="367D48AA"/>
    <w:rsid w:val="36886D70"/>
    <w:rsid w:val="36B12758"/>
    <w:rsid w:val="36BE2B6A"/>
    <w:rsid w:val="36FF3B39"/>
    <w:rsid w:val="3756612A"/>
    <w:rsid w:val="37712A39"/>
    <w:rsid w:val="37817852"/>
    <w:rsid w:val="379E03C0"/>
    <w:rsid w:val="37B01E51"/>
    <w:rsid w:val="37B24C52"/>
    <w:rsid w:val="37B54E08"/>
    <w:rsid w:val="37CE3FB8"/>
    <w:rsid w:val="37FC3426"/>
    <w:rsid w:val="38060510"/>
    <w:rsid w:val="38160592"/>
    <w:rsid w:val="3817244B"/>
    <w:rsid w:val="3827060E"/>
    <w:rsid w:val="38474375"/>
    <w:rsid w:val="385C3C40"/>
    <w:rsid w:val="38644486"/>
    <w:rsid w:val="38655796"/>
    <w:rsid w:val="38CB74B5"/>
    <w:rsid w:val="38CD7986"/>
    <w:rsid w:val="38E740D5"/>
    <w:rsid w:val="38FB2630"/>
    <w:rsid w:val="390471EE"/>
    <w:rsid w:val="391A3788"/>
    <w:rsid w:val="394B172B"/>
    <w:rsid w:val="39577F6A"/>
    <w:rsid w:val="39712D4E"/>
    <w:rsid w:val="397C6239"/>
    <w:rsid w:val="39920EA7"/>
    <w:rsid w:val="39A3289B"/>
    <w:rsid w:val="39AE160F"/>
    <w:rsid w:val="39D64FB1"/>
    <w:rsid w:val="39EF0A31"/>
    <w:rsid w:val="39F367FB"/>
    <w:rsid w:val="3A1238E0"/>
    <w:rsid w:val="3A1447B7"/>
    <w:rsid w:val="3A350059"/>
    <w:rsid w:val="3A3D63F8"/>
    <w:rsid w:val="3A426B47"/>
    <w:rsid w:val="3A6E6798"/>
    <w:rsid w:val="3A8D6A95"/>
    <w:rsid w:val="3A992A50"/>
    <w:rsid w:val="3AB253E9"/>
    <w:rsid w:val="3AD01DBA"/>
    <w:rsid w:val="3AE50133"/>
    <w:rsid w:val="3AF65D65"/>
    <w:rsid w:val="3B07581B"/>
    <w:rsid w:val="3B103EC0"/>
    <w:rsid w:val="3B227665"/>
    <w:rsid w:val="3B25794D"/>
    <w:rsid w:val="3B345EA5"/>
    <w:rsid w:val="3B3A7742"/>
    <w:rsid w:val="3B433617"/>
    <w:rsid w:val="3B491C1C"/>
    <w:rsid w:val="3B6E6762"/>
    <w:rsid w:val="3B7A083A"/>
    <w:rsid w:val="3B837FF9"/>
    <w:rsid w:val="3B8E2092"/>
    <w:rsid w:val="3B963763"/>
    <w:rsid w:val="3BCA556B"/>
    <w:rsid w:val="3BD94BB0"/>
    <w:rsid w:val="3BE2383E"/>
    <w:rsid w:val="3BF12A1E"/>
    <w:rsid w:val="3C26501E"/>
    <w:rsid w:val="3C6148EE"/>
    <w:rsid w:val="3C871D6F"/>
    <w:rsid w:val="3C9514F9"/>
    <w:rsid w:val="3CAC27E0"/>
    <w:rsid w:val="3CAC4E84"/>
    <w:rsid w:val="3CB95B3F"/>
    <w:rsid w:val="3CF20D4E"/>
    <w:rsid w:val="3D135034"/>
    <w:rsid w:val="3D4138D6"/>
    <w:rsid w:val="3D426B20"/>
    <w:rsid w:val="3D445AEB"/>
    <w:rsid w:val="3D7413A5"/>
    <w:rsid w:val="3D7C4212"/>
    <w:rsid w:val="3D856805"/>
    <w:rsid w:val="3DB531EC"/>
    <w:rsid w:val="3DD217A4"/>
    <w:rsid w:val="3DED4603"/>
    <w:rsid w:val="3E147F83"/>
    <w:rsid w:val="3E5F5711"/>
    <w:rsid w:val="3E6924FD"/>
    <w:rsid w:val="3E731267"/>
    <w:rsid w:val="3EAD7AA4"/>
    <w:rsid w:val="3ECA4CC1"/>
    <w:rsid w:val="3ED3528D"/>
    <w:rsid w:val="3EF961F5"/>
    <w:rsid w:val="3F4262D2"/>
    <w:rsid w:val="3F4346B4"/>
    <w:rsid w:val="3F5D3F9F"/>
    <w:rsid w:val="3F7E1786"/>
    <w:rsid w:val="3FC34C6E"/>
    <w:rsid w:val="3FE22DB8"/>
    <w:rsid w:val="4023400E"/>
    <w:rsid w:val="402F540C"/>
    <w:rsid w:val="40643820"/>
    <w:rsid w:val="406867C5"/>
    <w:rsid w:val="4079502C"/>
    <w:rsid w:val="40A146E6"/>
    <w:rsid w:val="40C76003"/>
    <w:rsid w:val="40DA19A4"/>
    <w:rsid w:val="40FA0002"/>
    <w:rsid w:val="40FE51DD"/>
    <w:rsid w:val="41064B6E"/>
    <w:rsid w:val="4125288D"/>
    <w:rsid w:val="413B241B"/>
    <w:rsid w:val="41457F4D"/>
    <w:rsid w:val="415D2AB4"/>
    <w:rsid w:val="41745EF0"/>
    <w:rsid w:val="41820135"/>
    <w:rsid w:val="41884255"/>
    <w:rsid w:val="41986365"/>
    <w:rsid w:val="41E170DF"/>
    <w:rsid w:val="41E559E6"/>
    <w:rsid w:val="41EA3CED"/>
    <w:rsid w:val="424D2C38"/>
    <w:rsid w:val="426B3BFD"/>
    <w:rsid w:val="427D008B"/>
    <w:rsid w:val="42910AC3"/>
    <w:rsid w:val="429D15CB"/>
    <w:rsid w:val="429D4CCD"/>
    <w:rsid w:val="42A6641E"/>
    <w:rsid w:val="42AD3A9A"/>
    <w:rsid w:val="42CA3562"/>
    <w:rsid w:val="42D4753C"/>
    <w:rsid w:val="42D53074"/>
    <w:rsid w:val="42D65CE3"/>
    <w:rsid w:val="43000BC3"/>
    <w:rsid w:val="43036342"/>
    <w:rsid w:val="43327CAA"/>
    <w:rsid w:val="43467841"/>
    <w:rsid w:val="438E57BC"/>
    <w:rsid w:val="439D17DF"/>
    <w:rsid w:val="43BA688B"/>
    <w:rsid w:val="43BD3B11"/>
    <w:rsid w:val="43C326B1"/>
    <w:rsid w:val="43C6292D"/>
    <w:rsid w:val="43C93DA7"/>
    <w:rsid w:val="43E63F63"/>
    <w:rsid w:val="43F47D4D"/>
    <w:rsid w:val="43F862B8"/>
    <w:rsid w:val="43FA1665"/>
    <w:rsid w:val="440F6EBE"/>
    <w:rsid w:val="442E2318"/>
    <w:rsid w:val="44460FC4"/>
    <w:rsid w:val="4487596E"/>
    <w:rsid w:val="449065E4"/>
    <w:rsid w:val="44C52600"/>
    <w:rsid w:val="44D77DF3"/>
    <w:rsid w:val="44DD3DC1"/>
    <w:rsid w:val="451E7709"/>
    <w:rsid w:val="45491676"/>
    <w:rsid w:val="4559551E"/>
    <w:rsid w:val="455A0DA3"/>
    <w:rsid w:val="4563730C"/>
    <w:rsid w:val="45863F0F"/>
    <w:rsid w:val="458A0EB8"/>
    <w:rsid w:val="45D83A86"/>
    <w:rsid w:val="45ED1351"/>
    <w:rsid w:val="45F274F9"/>
    <w:rsid w:val="46037123"/>
    <w:rsid w:val="46224E26"/>
    <w:rsid w:val="46997F5B"/>
    <w:rsid w:val="46AD6968"/>
    <w:rsid w:val="46B55E43"/>
    <w:rsid w:val="46DD0EA4"/>
    <w:rsid w:val="46DF04B4"/>
    <w:rsid w:val="46ED47E4"/>
    <w:rsid w:val="471932DC"/>
    <w:rsid w:val="4719546D"/>
    <w:rsid w:val="47506101"/>
    <w:rsid w:val="47732475"/>
    <w:rsid w:val="478038C4"/>
    <w:rsid w:val="478E2B6B"/>
    <w:rsid w:val="47A169CC"/>
    <w:rsid w:val="47BB49A9"/>
    <w:rsid w:val="47C717EA"/>
    <w:rsid w:val="47C94485"/>
    <w:rsid w:val="47E278F4"/>
    <w:rsid w:val="47E44CE0"/>
    <w:rsid w:val="48015D47"/>
    <w:rsid w:val="48193EDE"/>
    <w:rsid w:val="481C3E5D"/>
    <w:rsid w:val="482405DA"/>
    <w:rsid w:val="483B58FB"/>
    <w:rsid w:val="48694FA0"/>
    <w:rsid w:val="488E620E"/>
    <w:rsid w:val="488E768B"/>
    <w:rsid w:val="48BB264B"/>
    <w:rsid w:val="48C02393"/>
    <w:rsid w:val="48FF6A0B"/>
    <w:rsid w:val="493D0335"/>
    <w:rsid w:val="49560508"/>
    <w:rsid w:val="49637B49"/>
    <w:rsid w:val="49656BBF"/>
    <w:rsid w:val="49883A69"/>
    <w:rsid w:val="498F4936"/>
    <w:rsid w:val="49997B70"/>
    <w:rsid w:val="499A1618"/>
    <w:rsid w:val="49D1074D"/>
    <w:rsid w:val="49D45FB3"/>
    <w:rsid w:val="49F41D5E"/>
    <w:rsid w:val="4A047D76"/>
    <w:rsid w:val="4A0B1AB2"/>
    <w:rsid w:val="4A13138D"/>
    <w:rsid w:val="4A1A61CA"/>
    <w:rsid w:val="4A327238"/>
    <w:rsid w:val="4A4C1014"/>
    <w:rsid w:val="4A903713"/>
    <w:rsid w:val="4A943C10"/>
    <w:rsid w:val="4AA92CE9"/>
    <w:rsid w:val="4AC41DB7"/>
    <w:rsid w:val="4B1E31F7"/>
    <w:rsid w:val="4B3E700B"/>
    <w:rsid w:val="4B3F1232"/>
    <w:rsid w:val="4B49165A"/>
    <w:rsid w:val="4B57703E"/>
    <w:rsid w:val="4B630DF5"/>
    <w:rsid w:val="4B662107"/>
    <w:rsid w:val="4BB21D57"/>
    <w:rsid w:val="4BCB3573"/>
    <w:rsid w:val="4BE4367B"/>
    <w:rsid w:val="4C035F37"/>
    <w:rsid w:val="4C22747C"/>
    <w:rsid w:val="4C2E04B1"/>
    <w:rsid w:val="4C514E97"/>
    <w:rsid w:val="4CB90340"/>
    <w:rsid w:val="4CE75373"/>
    <w:rsid w:val="4D076D16"/>
    <w:rsid w:val="4D097EF2"/>
    <w:rsid w:val="4D4C6B8C"/>
    <w:rsid w:val="4D543359"/>
    <w:rsid w:val="4D8F4463"/>
    <w:rsid w:val="4DB67461"/>
    <w:rsid w:val="4E0C268A"/>
    <w:rsid w:val="4E27185A"/>
    <w:rsid w:val="4E3C0271"/>
    <w:rsid w:val="4E3E6AFA"/>
    <w:rsid w:val="4E712BEB"/>
    <w:rsid w:val="4E765E5A"/>
    <w:rsid w:val="4E8318E1"/>
    <w:rsid w:val="4E84385D"/>
    <w:rsid w:val="4E964DA8"/>
    <w:rsid w:val="4EAE23AB"/>
    <w:rsid w:val="4ECC6A22"/>
    <w:rsid w:val="4EEE29D8"/>
    <w:rsid w:val="4EF035BF"/>
    <w:rsid w:val="4EF633AB"/>
    <w:rsid w:val="4F106249"/>
    <w:rsid w:val="4F1670CF"/>
    <w:rsid w:val="4F384879"/>
    <w:rsid w:val="4F55729E"/>
    <w:rsid w:val="4F6F34CD"/>
    <w:rsid w:val="4FBA5A9D"/>
    <w:rsid w:val="4FC06E79"/>
    <w:rsid w:val="4FCA043D"/>
    <w:rsid w:val="4FF74792"/>
    <w:rsid w:val="4FFE6E2E"/>
    <w:rsid w:val="50045703"/>
    <w:rsid w:val="503E32E5"/>
    <w:rsid w:val="504623DA"/>
    <w:rsid w:val="50513BF5"/>
    <w:rsid w:val="50675DFF"/>
    <w:rsid w:val="507900B7"/>
    <w:rsid w:val="509A2890"/>
    <w:rsid w:val="50B924A3"/>
    <w:rsid w:val="50F857A1"/>
    <w:rsid w:val="514756C4"/>
    <w:rsid w:val="514B75E8"/>
    <w:rsid w:val="515167B2"/>
    <w:rsid w:val="51737993"/>
    <w:rsid w:val="51811303"/>
    <w:rsid w:val="5194469F"/>
    <w:rsid w:val="519D0DB4"/>
    <w:rsid w:val="51A53B14"/>
    <w:rsid w:val="51A976EB"/>
    <w:rsid w:val="51AF1C3C"/>
    <w:rsid w:val="51AF3A92"/>
    <w:rsid w:val="51BE4911"/>
    <w:rsid w:val="51D239AD"/>
    <w:rsid w:val="51EF2E47"/>
    <w:rsid w:val="5200122E"/>
    <w:rsid w:val="52121EAC"/>
    <w:rsid w:val="52127134"/>
    <w:rsid w:val="52215111"/>
    <w:rsid w:val="5246452A"/>
    <w:rsid w:val="524661EA"/>
    <w:rsid w:val="525F4868"/>
    <w:rsid w:val="52792847"/>
    <w:rsid w:val="52FF53BF"/>
    <w:rsid w:val="531F30C4"/>
    <w:rsid w:val="533439F8"/>
    <w:rsid w:val="538748A2"/>
    <w:rsid w:val="53A027A5"/>
    <w:rsid w:val="53AE7C89"/>
    <w:rsid w:val="53CE3C26"/>
    <w:rsid w:val="53DF0AB7"/>
    <w:rsid w:val="53E277AB"/>
    <w:rsid w:val="53FB2D98"/>
    <w:rsid w:val="54371409"/>
    <w:rsid w:val="544F049A"/>
    <w:rsid w:val="54760E33"/>
    <w:rsid w:val="54796757"/>
    <w:rsid w:val="549323CE"/>
    <w:rsid w:val="54955562"/>
    <w:rsid w:val="54993E00"/>
    <w:rsid w:val="549B6672"/>
    <w:rsid w:val="54A91F22"/>
    <w:rsid w:val="54BD4069"/>
    <w:rsid w:val="54D56D8A"/>
    <w:rsid w:val="54EE0FF2"/>
    <w:rsid w:val="54F27CFD"/>
    <w:rsid w:val="55182FC4"/>
    <w:rsid w:val="55230FD0"/>
    <w:rsid w:val="555C3C85"/>
    <w:rsid w:val="555F63F6"/>
    <w:rsid w:val="55633F28"/>
    <w:rsid w:val="558167B1"/>
    <w:rsid w:val="55824222"/>
    <w:rsid w:val="55B24F2B"/>
    <w:rsid w:val="55BA7993"/>
    <w:rsid w:val="55BD2F26"/>
    <w:rsid w:val="55D12532"/>
    <w:rsid w:val="5601257D"/>
    <w:rsid w:val="560C38A8"/>
    <w:rsid w:val="56220385"/>
    <w:rsid w:val="56324A88"/>
    <w:rsid w:val="563C5D54"/>
    <w:rsid w:val="566D4B95"/>
    <w:rsid w:val="567C4E04"/>
    <w:rsid w:val="567C7800"/>
    <w:rsid w:val="56BF11D0"/>
    <w:rsid w:val="56FF1D12"/>
    <w:rsid w:val="571E0E32"/>
    <w:rsid w:val="572656D4"/>
    <w:rsid w:val="5731733D"/>
    <w:rsid w:val="57E32845"/>
    <w:rsid w:val="581B2431"/>
    <w:rsid w:val="581D5ED4"/>
    <w:rsid w:val="5836129D"/>
    <w:rsid w:val="583F5996"/>
    <w:rsid w:val="58951701"/>
    <w:rsid w:val="58C12419"/>
    <w:rsid w:val="58DE7069"/>
    <w:rsid w:val="58E952D7"/>
    <w:rsid w:val="58F62B5D"/>
    <w:rsid w:val="58F816CA"/>
    <w:rsid w:val="58FA36D0"/>
    <w:rsid w:val="59226453"/>
    <w:rsid w:val="5949197C"/>
    <w:rsid w:val="5959788A"/>
    <w:rsid w:val="5983201A"/>
    <w:rsid w:val="59AD06A4"/>
    <w:rsid w:val="59C156C3"/>
    <w:rsid w:val="5A050CA3"/>
    <w:rsid w:val="5A133F48"/>
    <w:rsid w:val="5A1E4155"/>
    <w:rsid w:val="5A272D0B"/>
    <w:rsid w:val="5A3938A1"/>
    <w:rsid w:val="5A395D10"/>
    <w:rsid w:val="5A4D586D"/>
    <w:rsid w:val="5A6249B0"/>
    <w:rsid w:val="5A77087F"/>
    <w:rsid w:val="5AC97447"/>
    <w:rsid w:val="5AE376E5"/>
    <w:rsid w:val="5AF9024C"/>
    <w:rsid w:val="5B333C3C"/>
    <w:rsid w:val="5B4B0B56"/>
    <w:rsid w:val="5B4F7613"/>
    <w:rsid w:val="5B7912F6"/>
    <w:rsid w:val="5B8E16C2"/>
    <w:rsid w:val="5B8E6189"/>
    <w:rsid w:val="5B8F694C"/>
    <w:rsid w:val="5B944015"/>
    <w:rsid w:val="5BB00103"/>
    <w:rsid w:val="5BB85320"/>
    <w:rsid w:val="5BDA1759"/>
    <w:rsid w:val="5BE40E22"/>
    <w:rsid w:val="5C664F7B"/>
    <w:rsid w:val="5C6F32F0"/>
    <w:rsid w:val="5C754069"/>
    <w:rsid w:val="5CA34613"/>
    <w:rsid w:val="5CC84163"/>
    <w:rsid w:val="5CF52A1F"/>
    <w:rsid w:val="5D08610F"/>
    <w:rsid w:val="5D0C0B25"/>
    <w:rsid w:val="5D1E702C"/>
    <w:rsid w:val="5D35082C"/>
    <w:rsid w:val="5D87564E"/>
    <w:rsid w:val="5DA43012"/>
    <w:rsid w:val="5DBC0EED"/>
    <w:rsid w:val="5DC51F65"/>
    <w:rsid w:val="5DCD78A7"/>
    <w:rsid w:val="5E0F09F4"/>
    <w:rsid w:val="5E173FF3"/>
    <w:rsid w:val="5E48123B"/>
    <w:rsid w:val="5E603F7F"/>
    <w:rsid w:val="5E6F7159"/>
    <w:rsid w:val="5E72249B"/>
    <w:rsid w:val="5E882033"/>
    <w:rsid w:val="5EC07B5E"/>
    <w:rsid w:val="5EC32F56"/>
    <w:rsid w:val="5ED97846"/>
    <w:rsid w:val="5EE84C68"/>
    <w:rsid w:val="5EEA393B"/>
    <w:rsid w:val="5F0626B0"/>
    <w:rsid w:val="5F1B0044"/>
    <w:rsid w:val="5F8F0673"/>
    <w:rsid w:val="5FC97FEB"/>
    <w:rsid w:val="606301FB"/>
    <w:rsid w:val="60A86DEA"/>
    <w:rsid w:val="60B23C75"/>
    <w:rsid w:val="60D8319C"/>
    <w:rsid w:val="60E42E34"/>
    <w:rsid w:val="61014D78"/>
    <w:rsid w:val="611932AF"/>
    <w:rsid w:val="61227E37"/>
    <w:rsid w:val="614C3C26"/>
    <w:rsid w:val="6165708A"/>
    <w:rsid w:val="6168513E"/>
    <w:rsid w:val="617102D4"/>
    <w:rsid w:val="618C7816"/>
    <w:rsid w:val="619212A2"/>
    <w:rsid w:val="61C52E80"/>
    <w:rsid w:val="61E2672A"/>
    <w:rsid w:val="61FF1183"/>
    <w:rsid w:val="62062D97"/>
    <w:rsid w:val="620C29D9"/>
    <w:rsid w:val="621D5BA4"/>
    <w:rsid w:val="622215D8"/>
    <w:rsid w:val="625E2024"/>
    <w:rsid w:val="62862A94"/>
    <w:rsid w:val="628E0E45"/>
    <w:rsid w:val="631548EA"/>
    <w:rsid w:val="631A6DAA"/>
    <w:rsid w:val="63256512"/>
    <w:rsid w:val="632A2499"/>
    <w:rsid w:val="632D4A3C"/>
    <w:rsid w:val="63391DC6"/>
    <w:rsid w:val="634D4ADC"/>
    <w:rsid w:val="635B6748"/>
    <w:rsid w:val="635C429C"/>
    <w:rsid w:val="635D44B3"/>
    <w:rsid w:val="638667AC"/>
    <w:rsid w:val="638915A5"/>
    <w:rsid w:val="63947A95"/>
    <w:rsid w:val="63995DF3"/>
    <w:rsid w:val="63A17386"/>
    <w:rsid w:val="63D0057D"/>
    <w:rsid w:val="63F55B2B"/>
    <w:rsid w:val="6433403C"/>
    <w:rsid w:val="643B41EF"/>
    <w:rsid w:val="644E70C2"/>
    <w:rsid w:val="644F3C95"/>
    <w:rsid w:val="645D5A93"/>
    <w:rsid w:val="645E43BF"/>
    <w:rsid w:val="646225C9"/>
    <w:rsid w:val="647F4DD6"/>
    <w:rsid w:val="64A94977"/>
    <w:rsid w:val="64B114CF"/>
    <w:rsid w:val="6500184D"/>
    <w:rsid w:val="65194FD3"/>
    <w:rsid w:val="65341A41"/>
    <w:rsid w:val="657C0DAF"/>
    <w:rsid w:val="65B9511C"/>
    <w:rsid w:val="66084C1A"/>
    <w:rsid w:val="660C7F20"/>
    <w:rsid w:val="66361B8F"/>
    <w:rsid w:val="666A0D6A"/>
    <w:rsid w:val="66707A89"/>
    <w:rsid w:val="667906D1"/>
    <w:rsid w:val="66877D70"/>
    <w:rsid w:val="66B479A6"/>
    <w:rsid w:val="66D85417"/>
    <w:rsid w:val="66DC2963"/>
    <w:rsid w:val="66E50410"/>
    <w:rsid w:val="6727655C"/>
    <w:rsid w:val="674C5B25"/>
    <w:rsid w:val="676168D5"/>
    <w:rsid w:val="678A5484"/>
    <w:rsid w:val="678F10A0"/>
    <w:rsid w:val="67967995"/>
    <w:rsid w:val="679B1417"/>
    <w:rsid w:val="67B167D1"/>
    <w:rsid w:val="67B8730F"/>
    <w:rsid w:val="67C26031"/>
    <w:rsid w:val="67EA7E44"/>
    <w:rsid w:val="68035AB6"/>
    <w:rsid w:val="68077B91"/>
    <w:rsid w:val="68315DA2"/>
    <w:rsid w:val="68446CCF"/>
    <w:rsid w:val="68482DB3"/>
    <w:rsid w:val="685F0E50"/>
    <w:rsid w:val="685F1C50"/>
    <w:rsid w:val="68B61411"/>
    <w:rsid w:val="68C80994"/>
    <w:rsid w:val="68CA6271"/>
    <w:rsid w:val="68CD7322"/>
    <w:rsid w:val="68CF4AC4"/>
    <w:rsid w:val="68D67C69"/>
    <w:rsid w:val="68D81E4F"/>
    <w:rsid w:val="68E704C4"/>
    <w:rsid w:val="68FA4F82"/>
    <w:rsid w:val="68FD31D7"/>
    <w:rsid w:val="6916597A"/>
    <w:rsid w:val="69352166"/>
    <w:rsid w:val="69410BEE"/>
    <w:rsid w:val="69605D6D"/>
    <w:rsid w:val="69680525"/>
    <w:rsid w:val="698378D7"/>
    <w:rsid w:val="699022E9"/>
    <w:rsid w:val="69A70179"/>
    <w:rsid w:val="6A235D1A"/>
    <w:rsid w:val="6A2C3949"/>
    <w:rsid w:val="6A35559C"/>
    <w:rsid w:val="6A4F6B08"/>
    <w:rsid w:val="6A714498"/>
    <w:rsid w:val="6A7254F6"/>
    <w:rsid w:val="6A784FDA"/>
    <w:rsid w:val="6AA74D9D"/>
    <w:rsid w:val="6AC3299D"/>
    <w:rsid w:val="6ACF57D2"/>
    <w:rsid w:val="6AFE0E5F"/>
    <w:rsid w:val="6B2C481B"/>
    <w:rsid w:val="6B4B5E14"/>
    <w:rsid w:val="6B4C4CC5"/>
    <w:rsid w:val="6B5D5931"/>
    <w:rsid w:val="6B976CB9"/>
    <w:rsid w:val="6B985AFC"/>
    <w:rsid w:val="6BA16D69"/>
    <w:rsid w:val="6BA2105E"/>
    <w:rsid w:val="6BC0667A"/>
    <w:rsid w:val="6BE7576E"/>
    <w:rsid w:val="6BEC5F07"/>
    <w:rsid w:val="6BF27B2F"/>
    <w:rsid w:val="6C01478C"/>
    <w:rsid w:val="6C0D0E79"/>
    <w:rsid w:val="6C1F6AA2"/>
    <w:rsid w:val="6C2755B4"/>
    <w:rsid w:val="6C2D2F38"/>
    <w:rsid w:val="6C447DFF"/>
    <w:rsid w:val="6C6C35F5"/>
    <w:rsid w:val="6C8E56C0"/>
    <w:rsid w:val="6CAE0411"/>
    <w:rsid w:val="6CB87D98"/>
    <w:rsid w:val="6CE21AC1"/>
    <w:rsid w:val="6CFC1CBF"/>
    <w:rsid w:val="6D5A454A"/>
    <w:rsid w:val="6D5A4B87"/>
    <w:rsid w:val="6D5D3196"/>
    <w:rsid w:val="6D862606"/>
    <w:rsid w:val="6DA13C29"/>
    <w:rsid w:val="6DAF49DA"/>
    <w:rsid w:val="6DCC4856"/>
    <w:rsid w:val="6DE6616A"/>
    <w:rsid w:val="6DF867F1"/>
    <w:rsid w:val="6DF93C55"/>
    <w:rsid w:val="6E140C84"/>
    <w:rsid w:val="6E7F3835"/>
    <w:rsid w:val="6EA56F68"/>
    <w:rsid w:val="6EC461CC"/>
    <w:rsid w:val="6EC46703"/>
    <w:rsid w:val="6ED31B35"/>
    <w:rsid w:val="6EFC549E"/>
    <w:rsid w:val="6F310317"/>
    <w:rsid w:val="6F3A2165"/>
    <w:rsid w:val="6F476AA5"/>
    <w:rsid w:val="6FAE4D6F"/>
    <w:rsid w:val="6FD245E3"/>
    <w:rsid w:val="6FF84FF4"/>
    <w:rsid w:val="70060541"/>
    <w:rsid w:val="70285F75"/>
    <w:rsid w:val="702C07D6"/>
    <w:rsid w:val="703665DE"/>
    <w:rsid w:val="706A3279"/>
    <w:rsid w:val="707022D8"/>
    <w:rsid w:val="70795A00"/>
    <w:rsid w:val="70802C95"/>
    <w:rsid w:val="7086762D"/>
    <w:rsid w:val="70E16CA0"/>
    <w:rsid w:val="70F13518"/>
    <w:rsid w:val="71280F29"/>
    <w:rsid w:val="7135019E"/>
    <w:rsid w:val="716440FB"/>
    <w:rsid w:val="716C618A"/>
    <w:rsid w:val="717B1A6C"/>
    <w:rsid w:val="71A04FFD"/>
    <w:rsid w:val="71AA1DCF"/>
    <w:rsid w:val="71B32340"/>
    <w:rsid w:val="71C20FA6"/>
    <w:rsid w:val="71F9672A"/>
    <w:rsid w:val="71FE77A1"/>
    <w:rsid w:val="720B6D0C"/>
    <w:rsid w:val="72162671"/>
    <w:rsid w:val="721D01CC"/>
    <w:rsid w:val="725E1B15"/>
    <w:rsid w:val="727C06F2"/>
    <w:rsid w:val="72941EC4"/>
    <w:rsid w:val="72B7064C"/>
    <w:rsid w:val="72D36F5F"/>
    <w:rsid w:val="72EB61AE"/>
    <w:rsid w:val="73037FBB"/>
    <w:rsid w:val="73591ED0"/>
    <w:rsid w:val="7360126A"/>
    <w:rsid w:val="73610DB3"/>
    <w:rsid w:val="73616DF7"/>
    <w:rsid w:val="73803F85"/>
    <w:rsid w:val="73A0232C"/>
    <w:rsid w:val="73A77F04"/>
    <w:rsid w:val="73B175BA"/>
    <w:rsid w:val="73CD1573"/>
    <w:rsid w:val="73E90A84"/>
    <w:rsid w:val="73F43BF0"/>
    <w:rsid w:val="741929F9"/>
    <w:rsid w:val="74375E04"/>
    <w:rsid w:val="745919C6"/>
    <w:rsid w:val="745F394E"/>
    <w:rsid w:val="74702A9A"/>
    <w:rsid w:val="74767C80"/>
    <w:rsid w:val="74777C9A"/>
    <w:rsid w:val="749137C0"/>
    <w:rsid w:val="74C90CFC"/>
    <w:rsid w:val="74CB2564"/>
    <w:rsid w:val="74E710E2"/>
    <w:rsid w:val="74FE3D65"/>
    <w:rsid w:val="75036168"/>
    <w:rsid w:val="7540712D"/>
    <w:rsid w:val="7573273D"/>
    <w:rsid w:val="7587153D"/>
    <w:rsid w:val="75A148CD"/>
    <w:rsid w:val="75B52A64"/>
    <w:rsid w:val="75D4285E"/>
    <w:rsid w:val="75E13EAC"/>
    <w:rsid w:val="75F107FD"/>
    <w:rsid w:val="76003C8A"/>
    <w:rsid w:val="7608791A"/>
    <w:rsid w:val="760E6F92"/>
    <w:rsid w:val="761C2BBB"/>
    <w:rsid w:val="7631361A"/>
    <w:rsid w:val="7647399E"/>
    <w:rsid w:val="76476BA1"/>
    <w:rsid w:val="76595D16"/>
    <w:rsid w:val="765A3BA8"/>
    <w:rsid w:val="7677643E"/>
    <w:rsid w:val="767C2539"/>
    <w:rsid w:val="76A86BAB"/>
    <w:rsid w:val="76EB5C86"/>
    <w:rsid w:val="76F10003"/>
    <w:rsid w:val="76F24F99"/>
    <w:rsid w:val="773E66BA"/>
    <w:rsid w:val="774114F6"/>
    <w:rsid w:val="775362A0"/>
    <w:rsid w:val="776A1DE8"/>
    <w:rsid w:val="77747DE6"/>
    <w:rsid w:val="777B59BF"/>
    <w:rsid w:val="77804AF8"/>
    <w:rsid w:val="77BB6441"/>
    <w:rsid w:val="77DC2F21"/>
    <w:rsid w:val="77EA6AAD"/>
    <w:rsid w:val="780C2D10"/>
    <w:rsid w:val="785D00CA"/>
    <w:rsid w:val="785E76E8"/>
    <w:rsid w:val="786C062C"/>
    <w:rsid w:val="78D863AE"/>
    <w:rsid w:val="78E36E01"/>
    <w:rsid w:val="78F364A9"/>
    <w:rsid w:val="79212831"/>
    <w:rsid w:val="79236BC4"/>
    <w:rsid w:val="792A1A22"/>
    <w:rsid w:val="79314661"/>
    <w:rsid w:val="793B5C30"/>
    <w:rsid w:val="7970595C"/>
    <w:rsid w:val="797D2D54"/>
    <w:rsid w:val="7980797E"/>
    <w:rsid w:val="79C17EE8"/>
    <w:rsid w:val="79C51696"/>
    <w:rsid w:val="79C56D77"/>
    <w:rsid w:val="79D15FE4"/>
    <w:rsid w:val="79F07533"/>
    <w:rsid w:val="79F36117"/>
    <w:rsid w:val="7A3F692E"/>
    <w:rsid w:val="7A8D09B0"/>
    <w:rsid w:val="7A940AB6"/>
    <w:rsid w:val="7AA21ED1"/>
    <w:rsid w:val="7AAE6128"/>
    <w:rsid w:val="7ABB1A5A"/>
    <w:rsid w:val="7AE107C6"/>
    <w:rsid w:val="7AEB2433"/>
    <w:rsid w:val="7AEE350D"/>
    <w:rsid w:val="7B170A0B"/>
    <w:rsid w:val="7B3C2695"/>
    <w:rsid w:val="7B3C2E48"/>
    <w:rsid w:val="7B517CF8"/>
    <w:rsid w:val="7B792F7C"/>
    <w:rsid w:val="7B7A27C5"/>
    <w:rsid w:val="7B831C94"/>
    <w:rsid w:val="7B9453EC"/>
    <w:rsid w:val="7C0D2D6E"/>
    <w:rsid w:val="7C41761E"/>
    <w:rsid w:val="7C6B6309"/>
    <w:rsid w:val="7C767CAC"/>
    <w:rsid w:val="7C807EF4"/>
    <w:rsid w:val="7CAF0AA9"/>
    <w:rsid w:val="7CAF451D"/>
    <w:rsid w:val="7CC62A72"/>
    <w:rsid w:val="7CD4486A"/>
    <w:rsid w:val="7D153328"/>
    <w:rsid w:val="7D2943A6"/>
    <w:rsid w:val="7D5125E6"/>
    <w:rsid w:val="7D97407A"/>
    <w:rsid w:val="7D9A44BC"/>
    <w:rsid w:val="7DDD6CEA"/>
    <w:rsid w:val="7DEF588E"/>
    <w:rsid w:val="7DF52C5A"/>
    <w:rsid w:val="7E014E80"/>
    <w:rsid w:val="7E064E23"/>
    <w:rsid w:val="7E260596"/>
    <w:rsid w:val="7E4167E3"/>
    <w:rsid w:val="7E4E4DF5"/>
    <w:rsid w:val="7E565841"/>
    <w:rsid w:val="7E636E14"/>
    <w:rsid w:val="7E753189"/>
    <w:rsid w:val="7E9211C6"/>
    <w:rsid w:val="7EA05120"/>
    <w:rsid w:val="7EB17677"/>
    <w:rsid w:val="7EEC0232"/>
    <w:rsid w:val="7EF41B6E"/>
    <w:rsid w:val="7EFE7741"/>
    <w:rsid w:val="7F1F4848"/>
    <w:rsid w:val="7F4D4A8E"/>
    <w:rsid w:val="7F6874AC"/>
    <w:rsid w:val="7F6B4AD7"/>
    <w:rsid w:val="7F891C56"/>
    <w:rsid w:val="7FB76839"/>
    <w:rsid w:val="7FF37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60" w:after="60"/>
      <w:ind w:firstLine="0"/>
      <w:jc w:val="center"/>
      <w:outlineLvl w:val="0"/>
    </w:pPr>
    <w:rPr>
      <w:b/>
      <w:bCs/>
      <w:kern w:val="44"/>
      <w:sz w:val="44"/>
      <w:szCs w:val="44"/>
    </w:rPr>
  </w:style>
  <w:style w:type="paragraph" w:styleId="4">
    <w:name w:val="heading 2"/>
    <w:basedOn w:val="1"/>
    <w:next w:val="1"/>
    <w:qFormat/>
    <w:uiPriority w:val="0"/>
    <w:pPr>
      <w:tabs>
        <w:tab w:val="left" w:pos="8280"/>
      </w:tabs>
      <w:autoSpaceDE w:val="0"/>
      <w:autoSpaceDN w:val="0"/>
      <w:adjustRightInd w:val="0"/>
      <w:spacing w:line="360" w:lineRule="auto"/>
      <w:ind w:right="25"/>
      <w:outlineLvl w:val="1"/>
    </w:pPr>
    <w:rPr>
      <w:rFonts w:ascii="宋体" w:hAnsi="宋体"/>
      <w:b/>
      <w:sz w:val="32"/>
      <w:szCs w:val="28"/>
    </w:rPr>
  </w:style>
  <w:style w:type="paragraph" w:styleId="5">
    <w:name w:val="heading 3"/>
    <w:basedOn w:val="1"/>
    <w:next w:val="1"/>
    <w:semiHidden/>
    <w:unhideWhenUsed/>
    <w:qFormat/>
    <w:uiPriority w:val="0"/>
    <w:pPr>
      <w:keepNext/>
      <w:keepLines/>
      <w:tabs>
        <w:tab w:val="left" w:pos="8280"/>
      </w:tabs>
      <w:spacing w:before="260" w:after="260" w:line="416" w:lineRule="auto"/>
      <w:outlineLvl w:val="2"/>
    </w:pPr>
    <w:rPr>
      <w:bCs/>
      <w:szCs w:val="32"/>
    </w:rPr>
  </w:style>
  <w:style w:type="paragraph" w:styleId="6">
    <w:name w:val="heading 4"/>
    <w:basedOn w:val="1"/>
    <w:next w:val="1"/>
    <w:qFormat/>
    <w:uiPriority w:val="0"/>
    <w:pPr>
      <w:keepNext/>
      <w:keepLines/>
      <w:tabs>
        <w:tab w:val="left" w:pos="142"/>
        <w:tab w:val="left" w:pos="993"/>
        <w:tab w:val="left" w:pos="1418"/>
        <w:tab w:val="left" w:pos="1560"/>
      </w:tabs>
      <w:adjustRightInd w:val="0"/>
      <w:spacing w:line="377" w:lineRule="auto"/>
      <w:outlineLvl w:val="3"/>
    </w:pPr>
    <w:rPr>
      <w:rFonts w:asciiTheme="majorEastAsia" w:hAnsiTheme="majorEastAsia" w:eastAsiaTheme="majorEastAsia"/>
      <w:b/>
      <w:sz w:val="24"/>
    </w:rPr>
  </w:style>
  <w:style w:type="paragraph" w:styleId="7">
    <w:name w:val="heading 5"/>
    <w:basedOn w:val="1"/>
    <w:next w:val="1"/>
    <w:unhideWhenUsed/>
    <w:qFormat/>
    <w:uiPriority w:val="0"/>
    <w:pPr>
      <w:keepNext/>
      <w:keepLines/>
      <w:spacing w:line="372" w:lineRule="auto"/>
      <w:outlineLvl w:val="4"/>
    </w:pPr>
    <w:rPr>
      <w:rFonts w:asciiTheme="majorEastAsia" w:hAnsiTheme="majorEastAsia" w:eastAsiaTheme="majorEastAsia"/>
      <w:bCs/>
      <w:sz w:val="24"/>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 w:type="paragraph" w:styleId="8">
    <w:name w:val="List Number"/>
    <w:basedOn w:val="1"/>
    <w:qFormat/>
    <w:uiPriority w:val="0"/>
    <w:pPr>
      <w:numPr>
        <w:ilvl w:val="0"/>
        <w:numId w:val="2"/>
      </w:numPr>
    </w:pPr>
  </w:style>
  <w:style w:type="paragraph" w:styleId="9">
    <w:name w:val="caption"/>
    <w:basedOn w:val="1"/>
    <w:next w:val="1"/>
    <w:unhideWhenUsed/>
    <w:qFormat/>
    <w:uiPriority w:val="0"/>
    <w:pPr>
      <w:spacing w:before="152" w:after="160"/>
    </w:pPr>
    <w:rPr>
      <w:rFonts w:ascii="Arial" w:hAnsi="Arial" w:eastAsia="黑体" w:cs="Arial"/>
      <w:sz w:val="20"/>
      <w:szCs w:val="20"/>
    </w:rPr>
  </w:style>
  <w:style w:type="paragraph" w:styleId="10">
    <w:name w:val="annotation text"/>
    <w:basedOn w:val="1"/>
    <w:link w:val="46"/>
    <w:qFormat/>
    <w:uiPriority w:val="0"/>
    <w:pPr>
      <w:jc w:val="left"/>
    </w:pPr>
  </w:style>
  <w:style w:type="paragraph" w:styleId="11">
    <w:name w:val="Body Text"/>
    <w:basedOn w:val="1"/>
    <w:qFormat/>
    <w:uiPriority w:val="0"/>
    <w:pPr>
      <w:spacing w:line="360" w:lineRule="exact"/>
    </w:pPr>
    <w:rPr>
      <w:sz w:val="24"/>
    </w:rPr>
  </w:style>
  <w:style w:type="paragraph" w:styleId="12">
    <w:name w:val="Body Text Indent"/>
    <w:basedOn w:val="1"/>
    <w:next w:val="1"/>
    <w:link w:val="49"/>
    <w:qFormat/>
    <w:uiPriority w:val="0"/>
    <w:pPr>
      <w:spacing w:after="120"/>
      <w:ind w:left="420" w:leftChars="200"/>
    </w:pPr>
  </w:style>
  <w:style w:type="paragraph" w:styleId="13">
    <w:name w:val="Plain Text"/>
    <w:basedOn w:val="1"/>
    <w:qFormat/>
    <w:uiPriority w:val="0"/>
    <w:rPr>
      <w:rFonts w:ascii="宋体" w:hAnsi="Courier New" w:cstheme="minorBidi"/>
    </w:rPr>
  </w:style>
  <w:style w:type="paragraph" w:styleId="14">
    <w:name w:val="Date"/>
    <w:basedOn w:val="1"/>
    <w:next w:val="1"/>
    <w:qFormat/>
    <w:uiPriority w:val="0"/>
    <w:pPr>
      <w:ind w:left="2500" w:leftChars="2500"/>
    </w:pPr>
    <w:rPr>
      <w:rFonts w:eastAsia="KaiTi_GB2312" w:asciiTheme="minorHAnsi" w:hAnsiTheme="minorHAnsi" w:cstheme="minorBidi"/>
      <w:sz w:val="32"/>
      <w:szCs w:val="22"/>
    </w:rPr>
  </w:style>
  <w:style w:type="paragraph" w:styleId="15">
    <w:name w:val="Balloon Text"/>
    <w:basedOn w:val="1"/>
    <w:link w:val="48"/>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8">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9">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20">
    <w:name w:val="annotation subject"/>
    <w:basedOn w:val="10"/>
    <w:next w:val="10"/>
    <w:link w:val="47"/>
    <w:qFormat/>
    <w:uiPriority w:val="0"/>
    <w:rPr>
      <w:b/>
      <w:bCs/>
    </w:rPr>
  </w:style>
  <w:style w:type="paragraph" w:styleId="21">
    <w:name w:val="Body Text First Indent"/>
    <w:basedOn w:val="1"/>
    <w:qFormat/>
    <w:uiPriority w:val="0"/>
    <w:pPr>
      <w:ind w:firstLine="200" w:firstLineChars="200"/>
    </w:pPr>
  </w:style>
  <w:style w:type="paragraph" w:styleId="22">
    <w:name w:val="Body Text First Indent 2"/>
    <w:basedOn w:val="12"/>
    <w:qFormat/>
    <w:uiPriority w:val="0"/>
    <w:pPr>
      <w:ind w:firstLine="420"/>
    </w:pPr>
  </w:style>
  <w:style w:type="table" w:styleId="24">
    <w:name w:val="Table Grid"/>
    <w:basedOn w:val="23"/>
    <w:qFormat/>
    <w:uiPriority w:val="39"/>
    <w:pPr>
      <w:jc w:val="both"/>
    </w:pPr>
    <w:rPr>
      <w:rFonts w:ascii="Arial" w:hAnsi="Arial"/>
    </w:rPr>
    <w:tblP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
  </w:style>
  <w:style w:type="character" w:styleId="26">
    <w:name w:val="Hyperlink"/>
    <w:qFormat/>
    <w:uiPriority w:val="0"/>
    <w:rPr>
      <w:color w:val="0000FF"/>
      <w:u w:val="single"/>
    </w:rPr>
  </w:style>
  <w:style w:type="character" w:styleId="27">
    <w:name w:val="annotation reference"/>
    <w:basedOn w:val="25"/>
    <w:qFormat/>
    <w:uiPriority w:val="0"/>
    <w:rPr>
      <w:sz w:val="21"/>
      <w:szCs w:val="21"/>
    </w:rPr>
  </w:style>
  <w:style w:type="paragraph" w:customStyle="1" w:styleId="28">
    <w:name w:val="无间隔1"/>
    <w:qFormat/>
    <w:uiPriority w:val="99"/>
    <w:pPr>
      <w:adjustRightInd w:val="0"/>
      <w:snapToGrid w:val="0"/>
    </w:pPr>
    <w:rPr>
      <w:rFonts w:ascii="Tahoma" w:hAnsi="Tahoma" w:eastAsia="微软雅黑" w:cstheme="minorBidi"/>
      <w:sz w:val="22"/>
      <w:szCs w:val="22"/>
      <w:lang w:val="en-US" w:eastAsia="zh-CN" w:bidi="ar-SA"/>
    </w:rPr>
  </w:style>
  <w:style w:type="paragraph" w:customStyle="1" w:styleId="29">
    <w:name w:val="Char1"/>
    <w:basedOn w:val="1"/>
    <w:qFormat/>
    <w:uiPriority w:val="0"/>
    <w:rPr>
      <w:rFonts w:ascii="Tahoma" w:hAnsi="Tahoma"/>
      <w:sz w:val="24"/>
      <w:szCs w:val="20"/>
    </w:rPr>
  </w:style>
  <w:style w:type="paragraph" w:customStyle="1" w:styleId="30">
    <w:name w:val="zw"/>
    <w:basedOn w:val="1"/>
    <w:qFormat/>
    <w:uiPriority w:val="0"/>
    <w:pPr>
      <w:widowControl/>
      <w:spacing w:before="30"/>
      <w:ind w:left="100" w:right="100"/>
    </w:pPr>
    <w:rPr>
      <w:rFonts w:ascii="方正书宋简体" w:hAnsi="宋体" w:eastAsia="方正书宋简体"/>
      <w:color w:val="000000"/>
      <w:kern w:val="0"/>
      <w:szCs w:val="21"/>
    </w:rPr>
  </w:style>
  <w:style w:type="paragraph" w:styleId="31">
    <w:name w:val="List Paragraph"/>
    <w:basedOn w:val="1"/>
    <w:qFormat/>
    <w:uiPriority w:val="34"/>
    <w:pPr>
      <w:ind w:firstLine="420" w:firstLineChars="200"/>
    </w:pPr>
    <w:rPr>
      <w:rFonts w:ascii="Calibri" w:hAnsi="Calibri"/>
      <w:szCs w:val="22"/>
    </w:rPr>
  </w:style>
  <w:style w:type="paragraph" w:customStyle="1" w:styleId="32">
    <w:name w:val="列出段落1"/>
    <w:basedOn w:val="1"/>
    <w:qFormat/>
    <w:uiPriority w:val="0"/>
    <w:pPr>
      <w:ind w:firstLine="420" w:firstLineChars="200"/>
    </w:pPr>
    <w:rPr>
      <w:rFonts w:ascii="Calibri" w:hAnsi="Calibri"/>
      <w:kern w:val="0"/>
      <w:szCs w:val="20"/>
    </w:rPr>
  </w:style>
  <w:style w:type="paragraph" w:customStyle="1" w:styleId="33">
    <w:name w:val="无间隔11"/>
    <w:qFormat/>
    <w:uiPriority w:val="0"/>
    <w:pPr>
      <w:adjustRightInd w:val="0"/>
      <w:snapToGrid w:val="0"/>
    </w:pPr>
    <w:rPr>
      <w:rFonts w:ascii="Tahoma" w:hAnsi="Tahoma" w:eastAsia="微软雅黑" w:cstheme="minorBidi"/>
      <w:sz w:val="22"/>
      <w:szCs w:val="22"/>
      <w:lang w:val="en-US" w:eastAsia="zh-CN" w:bidi="ar-SA"/>
    </w:rPr>
  </w:style>
  <w:style w:type="paragraph" w:customStyle="1" w:styleId="3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35">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正文_14"/>
    <w:qFormat/>
    <w:uiPriority w:val="0"/>
    <w:rPr>
      <w:rFonts w:ascii="Times New Roman" w:hAnsi="Times New Roman" w:eastAsia="宋体" w:cs="Times New Roman"/>
      <w:sz w:val="21"/>
      <w:szCs w:val="22"/>
      <w:lang w:val="en-US" w:eastAsia="zh-CN" w:bidi="ar-SA"/>
    </w:rPr>
  </w:style>
  <w:style w:type="paragraph" w:customStyle="1" w:styleId="37">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0">
    <w:name w:val="纯文本_3"/>
    <w:basedOn w:val="39"/>
    <w:qFormat/>
    <w:uiPriority w:val="0"/>
    <w:pPr>
      <w:widowControl/>
      <w:jc w:val="left"/>
    </w:pPr>
    <w:rPr>
      <w:rFonts w:ascii="宋体" w:hAnsi="Courier New" w:eastAsiaTheme="minorEastAsia" w:cstheme="minorBidi"/>
      <w:szCs w:val="21"/>
    </w:rPr>
  </w:style>
  <w:style w:type="paragraph" w:customStyle="1" w:styleId="41">
    <w:name w:val="纯文本_0_1"/>
    <w:basedOn w:val="1"/>
    <w:qFormat/>
    <w:uiPriority w:val="0"/>
    <w:pPr>
      <w:widowControl/>
      <w:jc w:val="left"/>
    </w:pPr>
    <w:rPr>
      <w:rFonts w:ascii="宋体" w:hAnsi="Courier New" w:eastAsiaTheme="minorEastAsia" w:cstheme="minorBidi"/>
      <w:szCs w:val="21"/>
    </w:rPr>
  </w:style>
  <w:style w:type="paragraph" w:customStyle="1" w:styleId="4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Normal_15"/>
    <w:qFormat/>
    <w:uiPriority w:val="0"/>
    <w:pPr>
      <w:widowControl w:val="0"/>
      <w:jc w:val="both"/>
    </w:pPr>
    <w:rPr>
      <w:rFonts w:ascii="Calibri" w:hAnsi="Calibri" w:eastAsia="宋体" w:cs="Times New Roman"/>
      <w:kern w:val="2"/>
      <w:sz w:val="21"/>
      <w:szCs w:val="22"/>
      <w:lang w:val="en-US" w:eastAsia="zh-CN" w:bidi="ar-SA"/>
    </w:rPr>
  </w:style>
  <w:style w:type="character" w:customStyle="1" w:styleId="46">
    <w:name w:val="Comment Text Char"/>
    <w:basedOn w:val="25"/>
    <w:link w:val="10"/>
    <w:qFormat/>
    <w:uiPriority w:val="0"/>
    <w:rPr>
      <w:rFonts w:ascii="Times New Roman" w:hAnsi="Times New Roman" w:eastAsia="宋体" w:cs="Times New Roman"/>
      <w:kern w:val="2"/>
      <w:sz w:val="21"/>
      <w:szCs w:val="24"/>
    </w:rPr>
  </w:style>
  <w:style w:type="character" w:customStyle="1" w:styleId="47">
    <w:name w:val="Comment Subject Char"/>
    <w:basedOn w:val="46"/>
    <w:link w:val="20"/>
    <w:qFormat/>
    <w:uiPriority w:val="0"/>
    <w:rPr>
      <w:rFonts w:ascii="Times New Roman" w:hAnsi="Times New Roman" w:eastAsia="宋体" w:cs="Times New Roman"/>
      <w:b/>
      <w:bCs/>
      <w:kern w:val="2"/>
      <w:sz w:val="21"/>
      <w:szCs w:val="24"/>
    </w:rPr>
  </w:style>
  <w:style w:type="character" w:customStyle="1" w:styleId="48">
    <w:name w:val="Balloon Text Char"/>
    <w:basedOn w:val="25"/>
    <w:link w:val="15"/>
    <w:qFormat/>
    <w:uiPriority w:val="0"/>
    <w:rPr>
      <w:rFonts w:ascii="Times New Roman" w:hAnsi="Times New Roman" w:eastAsia="宋体" w:cs="Times New Roman"/>
      <w:kern w:val="2"/>
      <w:sz w:val="18"/>
      <w:szCs w:val="18"/>
    </w:rPr>
  </w:style>
  <w:style w:type="character" w:customStyle="1" w:styleId="49">
    <w:name w:val="Body Text Indent Char"/>
    <w:basedOn w:val="25"/>
    <w:link w:val="12"/>
    <w:qFormat/>
    <w:uiPriority w:val="0"/>
    <w:rPr>
      <w:kern w:val="2"/>
      <w:sz w:val="21"/>
      <w:szCs w:val="24"/>
    </w:rPr>
  </w:style>
  <w:style w:type="paragraph" w:customStyle="1" w:styleId="50">
    <w:name w:val="_Style 2"/>
    <w:qFormat/>
    <w:uiPriority w:val="99"/>
    <w:pPr>
      <w:adjustRightInd w:val="0"/>
      <w:snapToGrid w:val="0"/>
    </w:pPr>
    <w:rPr>
      <w:rFonts w:ascii="Tahoma" w:hAnsi="Tahoma" w:eastAsia="微软雅黑" w:cs="Tahoma"/>
      <w:sz w:val="22"/>
      <w:szCs w:val="22"/>
      <w:lang w:val="en-US" w:eastAsia="zh-CN" w:bidi="ar-SA"/>
    </w:rPr>
  </w:style>
  <w:style w:type="paragraph" w:customStyle="1" w:styleId="51">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52">
    <w:name w:val="Table Text"/>
    <w:qFormat/>
    <w:uiPriority w:val="0"/>
    <w:pPr>
      <w:snapToGrid w:val="0"/>
      <w:spacing w:before="80" w:after="80"/>
    </w:pPr>
    <w:rPr>
      <w:rFonts w:ascii="Arial" w:hAnsi="Arial" w:eastAsia="宋体" w:cs="Times New Roman"/>
      <w:sz w:val="18"/>
      <w:lang w:val="en-US" w:eastAsia="zh-CN" w:bidi="ar-SA"/>
    </w:rPr>
  </w:style>
  <w:style w:type="paragraph" w:customStyle="1" w:styleId="53">
    <w:name w:val="正文首行缩进（绿盟科技）"/>
    <w:basedOn w:val="54"/>
    <w:qFormat/>
    <w:uiPriority w:val="0"/>
    <w:pPr>
      <w:spacing w:after="50"/>
      <w:ind w:firstLine="200" w:firstLineChars="200"/>
    </w:pPr>
  </w:style>
  <w:style w:type="paragraph" w:customStyle="1" w:styleId="54">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55">
    <w:name w:val="无"/>
    <w:qFormat/>
    <w:uiPriority w:val="0"/>
  </w:style>
  <w:style w:type="character" w:customStyle="1" w:styleId="56">
    <w:name w:val="标题 1 Char Char"/>
    <w:basedOn w:val="25"/>
    <w:qFormat/>
    <w:uiPriority w:val="0"/>
    <w:rPr>
      <w:rFonts w:eastAsia="宋体"/>
      <w:b/>
      <w:spacing w:val="-2"/>
      <w:sz w:val="24"/>
      <w:lang w:val="en-US" w:eastAsia="zh-CN" w:bidi="ar-SA"/>
    </w:rPr>
  </w:style>
  <w:style w:type="character" w:customStyle="1" w:styleId="57">
    <w:name w:val="font51"/>
    <w:basedOn w:val="25"/>
    <w:qFormat/>
    <w:uiPriority w:val="0"/>
    <w:rPr>
      <w:rFonts w:hint="eastAsia" w:ascii="宋体" w:hAnsi="宋体" w:eastAsia="宋体" w:cs="宋体"/>
      <w:color w:val="000000"/>
      <w:sz w:val="18"/>
      <w:szCs w:val="18"/>
      <w:u w:val="none"/>
    </w:rPr>
  </w:style>
  <w:style w:type="character" w:customStyle="1" w:styleId="58">
    <w:name w:val="font61"/>
    <w:basedOn w:val="25"/>
    <w:qFormat/>
    <w:uiPriority w:val="0"/>
    <w:rPr>
      <w:rFonts w:hint="eastAsia" w:ascii="宋体" w:hAnsi="宋体" w:eastAsia="宋体" w:cs="宋体"/>
      <w:b/>
      <w:color w:val="FF0000"/>
      <w:sz w:val="18"/>
      <w:szCs w:val="18"/>
      <w:u w:val="none"/>
    </w:rPr>
  </w:style>
  <w:style w:type="character" w:customStyle="1" w:styleId="59">
    <w:name w:val="font41"/>
    <w:basedOn w:val="25"/>
    <w:qFormat/>
    <w:uiPriority w:val="0"/>
    <w:rPr>
      <w:rFonts w:hint="eastAsia" w:ascii="宋体" w:hAnsi="宋体" w:eastAsia="宋体" w:cs="宋体"/>
      <w:color w:val="000000"/>
      <w:sz w:val="18"/>
      <w:szCs w:val="18"/>
      <w:u w:val="none"/>
    </w:rPr>
  </w:style>
  <w:style w:type="character" w:customStyle="1" w:styleId="60">
    <w:name w:val="font01"/>
    <w:basedOn w:val="25"/>
    <w:qFormat/>
    <w:uiPriority w:val="0"/>
    <w:rPr>
      <w:rFonts w:hint="eastAsia" w:ascii="宋体" w:hAnsi="宋体" w:eastAsia="宋体" w:cs="宋体"/>
      <w:color w:val="000000"/>
      <w:sz w:val="24"/>
      <w:szCs w:val="24"/>
      <w:u w:val="none"/>
    </w:rPr>
  </w:style>
  <w:style w:type="paragraph" w:customStyle="1" w:styleId="61">
    <w:name w:val="_Style 253"/>
    <w:basedOn w:val="1"/>
    <w:next w:val="21"/>
    <w:qFormat/>
    <w:uiPriority w:val="99"/>
  </w:style>
  <w:style w:type="paragraph" w:customStyle="1" w:styleId="62">
    <w:name w:val="*正文"/>
    <w:basedOn w:val="1"/>
    <w:qFormat/>
    <w:uiPriority w:val="0"/>
    <w:pPr>
      <w:spacing w:line="300" w:lineRule="auto"/>
      <w:ind w:firstLine="480" w:firstLineChars="200"/>
    </w:pPr>
    <w:rPr>
      <w:rFonts w:ascii="宋体" w:hAnsi="宋体"/>
      <w:bCs/>
    </w:rPr>
  </w:style>
  <w:style w:type="paragraph" w:customStyle="1" w:styleId="6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4">
    <w:name w:val="样式1"/>
    <w:basedOn w:val="1"/>
    <w:qFormat/>
    <w:uiPriority w:val="0"/>
    <w:pPr>
      <w:tabs>
        <w:tab w:val="left" w:pos="0"/>
      </w:tabs>
    </w:pPr>
    <w:rPr>
      <w:rFonts w:ascii="宋体"/>
      <w:szCs w:val="21"/>
    </w:rPr>
  </w:style>
  <w:style w:type="character" w:customStyle="1" w:styleId="65">
    <w:name w:val="font11"/>
    <w:basedOn w:val="25"/>
    <w:qFormat/>
    <w:uiPriority w:val="0"/>
    <w:rPr>
      <w:rFonts w:hint="eastAsia" w:ascii="宋体" w:hAnsi="宋体" w:eastAsia="宋体" w:cs="宋体"/>
      <w:color w:val="0D0D0D"/>
      <w:sz w:val="18"/>
      <w:szCs w:val="18"/>
      <w:u w:val="none"/>
      <w:vertAlign w:val="superscript"/>
    </w:rPr>
  </w:style>
  <w:style w:type="character" w:customStyle="1" w:styleId="66">
    <w:name w:val="font101"/>
    <w:basedOn w:val="25"/>
    <w:qFormat/>
    <w:uiPriority w:val="0"/>
    <w:rPr>
      <w:rFonts w:hint="default" w:ascii="Times New Roman" w:hAnsi="Times New Roman" w:cs="Times New Roman"/>
      <w:b/>
      <w:color w:val="0D0D0D"/>
      <w:sz w:val="18"/>
      <w:szCs w:val="18"/>
      <w:u w:val="none"/>
    </w:rPr>
  </w:style>
  <w:style w:type="character" w:customStyle="1" w:styleId="67">
    <w:name w:val="font112"/>
    <w:basedOn w:val="25"/>
    <w:qFormat/>
    <w:uiPriority w:val="0"/>
    <w:rPr>
      <w:rFonts w:hint="default" w:ascii="Arial" w:hAnsi="Arial" w:cs="Arial"/>
      <w:color w:val="0D0D0D"/>
      <w:sz w:val="18"/>
      <w:szCs w:val="18"/>
      <w:u w:val="none"/>
    </w:rPr>
  </w:style>
  <w:style w:type="paragraph" w:customStyle="1" w:styleId="68">
    <w:name w:val="正文 + 宋体"/>
    <w:basedOn w:val="1"/>
    <w:qFormat/>
    <w:uiPriority w:val="0"/>
    <w:pPr>
      <w:spacing w:line="360" w:lineRule="auto"/>
    </w:pPr>
    <w:rPr>
      <w:rFonts w:ascii="宋体" w:hAnsi="宋体"/>
      <w:kern w:val="0"/>
      <w:sz w:val="28"/>
      <w:szCs w:val="28"/>
    </w:rPr>
  </w:style>
  <w:style w:type="paragraph" w:customStyle="1" w:styleId="69">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70">
    <w:name w:val="Table Paragraph"/>
    <w:basedOn w:val="1"/>
    <w:qFormat/>
    <w:uiPriority w:val="1"/>
    <w:pPr>
      <w:jc w:val="left"/>
    </w:pPr>
    <w:rPr>
      <w:rFonts w:ascii="Calibri" w:hAnsi="Calibri"/>
      <w:kern w:val="0"/>
      <w:sz w:val="22"/>
      <w:szCs w:val="22"/>
      <w:lang w:eastAsia="en-US"/>
    </w:rPr>
  </w:style>
  <w:style w:type="paragraph" w:customStyle="1" w:styleId="71">
    <w:name w:val="p0"/>
    <w:basedOn w:val="1"/>
    <w:qFormat/>
    <w:uiPriority w:val="0"/>
    <w:pPr>
      <w:widowControl/>
    </w:pPr>
    <w:rPr>
      <w:kern w:val="0"/>
      <w:szCs w:val="21"/>
    </w:rPr>
  </w:style>
  <w:style w:type="paragraph" w:customStyle="1" w:styleId="72">
    <w:name w:val="MY正文"/>
    <w:basedOn w:val="1"/>
    <w:qFormat/>
    <w:uiPriority w:val="0"/>
    <w:pPr>
      <w:spacing w:line="360" w:lineRule="auto"/>
      <w:ind w:firstLine="200" w:firstLineChars="200"/>
    </w:pPr>
    <w:rPr>
      <w:rFonts w:ascii="Times New Roman" w:hAnsi="Times New Roman" w:eastAsia="宋体"/>
      <w:sz w:val="24"/>
    </w:rPr>
  </w:style>
  <w:style w:type="paragraph" w:customStyle="1" w:styleId="73">
    <w:name w:val="正文首行缩进二字符"/>
    <w:basedOn w:val="1"/>
    <w:qFormat/>
    <w:uiPriority w:val="0"/>
    <w:pPr>
      <w:autoSpaceDE w:val="0"/>
      <w:autoSpaceDN w:val="0"/>
      <w:adjustRightInd w:val="0"/>
      <w:spacing w:line="360" w:lineRule="auto"/>
      <w:ind w:firstLine="200" w:firstLineChars="200"/>
    </w:pPr>
    <w:rPr>
      <w:sz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theme/theme1.xml" Type="http://schemas.openxmlformats.org/officeDocument/2006/relationships/theme"/><Relationship Id="rId6" Target="media/image1.jpeg" Type="http://schemas.openxmlformats.org/officeDocument/2006/relationships/image"/><Relationship Id="rId7" Target="../customXml/item1.xml" Type="http://schemas.openxmlformats.org/officeDocument/2006/relationships/customXml"/><Relationship Id="rId8" Target="numbering.xml" Type="http://schemas.openxmlformats.org/officeDocument/2006/relationships/numbering"/><Relationship Id="rId9"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75</Pages>
  <Words>5616</Words>
  <Characters>32014</Characters>
  <Lines>266</Lines>
  <Paragraphs>75</Paragraphs>
  <TotalTime>35</TotalTime>
  <ScaleCrop>false</ScaleCrop>
  <LinksUpToDate>false</LinksUpToDate>
  <CharactersWithSpaces>37555</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2019-07-25T01:04:00Z</dcterms:created>
  <dc:creator>S-mile</dc:creator>
  <cp:lastModifiedBy>红烧肉</cp:lastModifiedBy>
  <cp:lastPrinted>2020-08-25T08:56:00Z</cp:lastPrinted>
  <dcterms:modified xsi:type="dcterms:W3CDTF">2020-11-05T07:50:14Z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