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9"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2023</w:t>
      </w:r>
      <w:r>
        <w:rPr>
          <w:rFonts w:ascii="宋体"/>
          <w:b/>
          <w:kern w:val="0"/>
          <w:sz w:val="32"/>
        </w:rPr>
        <w:t>-</w:t>
      </w:r>
      <w:r>
        <w:rPr>
          <w:rFonts w:hint="eastAsia" w:ascii="宋体"/>
          <w:b/>
          <w:kern w:val="0"/>
          <w:sz w:val="32"/>
        </w:rPr>
        <w:t>GK002号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400" w:firstLineChars="500"/>
        <w:jc w:val="left"/>
        <w:rPr>
          <w:rFonts w:ascii="宋体"/>
          <w:kern w:val="0"/>
          <w:sz w:val="28"/>
        </w:rPr>
      </w:pPr>
    </w:p>
    <w:p>
      <w:pPr>
        <w:autoSpaceDE w:val="0"/>
        <w:autoSpaceDN w:val="0"/>
        <w:adjustRightInd w:val="0"/>
        <w:spacing w:line="360" w:lineRule="auto"/>
        <w:ind w:firstLine="3080" w:firstLineChars="1100"/>
        <w:jc w:val="left"/>
        <w:rPr>
          <w:rFonts w:ascii="宋体"/>
          <w:kern w:val="0"/>
          <w:sz w:val="28"/>
        </w:rPr>
      </w:pPr>
      <w:r>
        <w:rPr>
          <w:rFonts w:hint="eastAsia" w:ascii="宋体"/>
          <w:kern w:val="0"/>
          <w:sz w:val="28"/>
        </w:rPr>
        <w:t>采购项目：物业管理服务采购项目</w:t>
      </w:r>
    </w:p>
    <w:p>
      <w:pPr>
        <w:autoSpaceDE w:val="0"/>
        <w:autoSpaceDN w:val="0"/>
        <w:adjustRightInd w:val="0"/>
        <w:spacing w:line="360" w:lineRule="auto"/>
        <w:ind w:firstLine="1400" w:firstLineChars="500"/>
        <w:jc w:val="left"/>
        <w:rPr>
          <w:rFonts w:ascii="宋体"/>
          <w:kern w:val="0"/>
          <w:sz w:val="28"/>
        </w:rPr>
      </w:pPr>
    </w:p>
    <w:p>
      <w:pPr>
        <w:autoSpaceDE w:val="0"/>
        <w:autoSpaceDN w:val="0"/>
        <w:adjustRightInd w:val="0"/>
        <w:spacing w:line="360" w:lineRule="auto"/>
        <w:ind w:firstLine="2240" w:firstLineChars="800"/>
        <w:jc w:val="left"/>
        <w:rPr>
          <w:rFonts w:ascii="宋体"/>
          <w:kern w:val="0"/>
          <w:sz w:val="28"/>
        </w:rPr>
      </w:pPr>
      <w:r>
        <w:rPr>
          <w:rFonts w:hint="eastAsia" w:ascii="宋体"/>
          <w:kern w:val="0"/>
          <w:sz w:val="28"/>
        </w:rPr>
        <w:t>采 购 人：台州市公安局高速公路交通警察支队</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000000" w:themeColor="text1"/>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2023年</w:t>
      </w:r>
      <w:r>
        <w:rPr>
          <w:rFonts w:hint="eastAsia" w:ascii="宋体" w:hAnsi="宋体" w:cs="宋体"/>
          <w:color w:val="000000" w:themeColor="text1"/>
          <w:kern w:val="0"/>
          <w:sz w:val="28"/>
          <w:szCs w:val="28"/>
          <w:lang w:val="en-US" w:eastAsia="zh-CN"/>
          <w14:textFill>
            <w14:solidFill>
              <w14:schemeClr w14:val="tx1"/>
            </w14:solidFill>
          </w14:textFill>
        </w:rPr>
        <w:t>3</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20</w:t>
      </w:r>
      <w:r>
        <w:rPr>
          <w:rFonts w:hint="eastAsia" w:ascii="宋体" w:hAnsi="宋体" w:cs="宋体"/>
          <w:color w:val="000000" w:themeColor="text1"/>
          <w:kern w:val="0"/>
          <w:sz w:val="28"/>
          <w:szCs w:val="28"/>
          <w14:textFill>
            <w14:solidFill>
              <w14:schemeClr w14:val="tx1"/>
            </w14:solidFill>
          </w14:textFill>
        </w:rPr>
        <w:t>日</w:t>
      </w:r>
    </w:p>
    <w:p>
      <w:pPr>
        <w:spacing w:line="360" w:lineRule="auto"/>
      </w:pPr>
    </w:p>
    <w:p>
      <w:pPr>
        <w:pStyle w:val="28"/>
      </w:pPr>
    </w:p>
    <w:p>
      <w:pPr>
        <w:spacing w:line="360" w:lineRule="auto"/>
      </w:pPr>
    </w:p>
    <w:p>
      <w:pPr>
        <w:rPr>
          <w:rFonts w:ascii="宋体" w:hAnsi="宋体" w:cs="Arial"/>
          <w:b/>
          <w:bCs/>
          <w:sz w:val="36"/>
          <w:szCs w:val="36"/>
        </w:rPr>
      </w:pPr>
    </w:p>
    <w:sdt>
      <w:sdtPr>
        <w:rPr>
          <w:rFonts w:ascii="宋体" w:hAnsi="宋体"/>
          <w:kern w:val="0"/>
          <w:sz w:val="28"/>
          <w:szCs w:val="28"/>
        </w:rPr>
        <w:id w:val="147471336"/>
        <w:docPartObj>
          <w:docPartGallery w:val="Table of Contents"/>
          <w:docPartUnique/>
        </w:docPartObj>
      </w:sdtPr>
      <w:sdtEndPr>
        <w:rPr>
          <w:rFonts w:ascii="宋体" w:hAnsi="宋体"/>
          <w:color w:val="FF0000"/>
          <w:kern w:val="0"/>
          <w:sz w:val="20"/>
          <w:szCs w:val="20"/>
        </w:rPr>
      </w:sdtEndPr>
      <w:sdtContent>
        <w:p>
          <w:pPr>
            <w:spacing w:line="480" w:lineRule="auto"/>
            <w:jc w:val="center"/>
            <w:rPr>
              <w:rFonts w:ascii="宋体" w:hAnsi="宋体"/>
              <w:kern w:val="0"/>
              <w:sz w:val="28"/>
              <w:szCs w:val="28"/>
            </w:rPr>
          </w:pPr>
          <w:bookmarkStart w:id="0" w:name="_Toc25017_WPSOffice_Type1"/>
        </w:p>
        <w:p>
          <w:pPr>
            <w:pStyle w:val="4"/>
          </w:pPr>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9"/>
            <w:tabs>
              <w:tab w:val="right" w:leader="dot" w:pos="8620"/>
            </w:tabs>
            <w:rPr>
              <w:rFonts w:eastAsiaTheme="minorEastAsia" w:cstheme="minorBidi"/>
              <w:sz w:val="28"/>
              <w:szCs w:val="28"/>
            </w:rPr>
          </w:pPr>
          <w:r>
            <w:fldChar w:fldCharType="begin"/>
          </w:r>
          <w:r>
            <w:instrText xml:space="preserve"> HYPERLINK \l "_Toc4350_WPSOffice_Level1" </w:instrText>
          </w:r>
          <w: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9"/>
            <w:tabs>
              <w:tab w:val="right" w:leader="dot" w:pos="8620"/>
            </w:tabs>
            <w:rPr>
              <w:rFonts w:eastAsiaTheme="minorEastAsia" w:cstheme="minorBidi"/>
              <w:sz w:val="28"/>
              <w:szCs w:val="28"/>
            </w:rPr>
          </w:pPr>
          <w:r>
            <w:fldChar w:fldCharType="begin"/>
          </w:r>
          <w:r>
            <w:instrText xml:space="preserve"> HYPERLINK \l "_Toc25017_WPSOffice_Level1" </w:instrText>
          </w:r>
          <w: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9"/>
            <w:tabs>
              <w:tab w:val="right" w:leader="dot" w:pos="8620"/>
            </w:tabs>
            <w:ind w:right="638" w:rightChars="304"/>
            <w:rPr>
              <w:rFonts w:hint="eastAsia" w:eastAsiaTheme="minorEastAsia" w:cstheme="minorBidi"/>
              <w:sz w:val="28"/>
              <w:szCs w:val="28"/>
              <w:lang w:eastAsia="zh-CN"/>
            </w:rPr>
          </w:pPr>
          <w:r>
            <w:fldChar w:fldCharType="begin"/>
          </w:r>
          <w:r>
            <w:instrText xml:space="preserve"> HYPERLINK \l "_Toc13072_WPSOffice_Level1"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第三章 招标需求</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t>1</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5</w:t>
          </w:r>
        </w:p>
        <w:p>
          <w:pPr>
            <w:pStyle w:val="19"/>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fldChar w:fldCharType="begin"/>
          </w:r>
          <w:r>
            <w:instrText xml:space="preserve"> HYPERLINK \l "_Toc31173_WPSOffice_Level1"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第四章 评标</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t>2</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7</w:t>
          </w:r>
        </w:p>
        <w:p>
          <w:pPr>
            <w:pStyle w:val="19"/>
            <w:tabs>
              <w:tab w:val="right" w:leader="dot" w:pos="8620"/>
            </w:tabs>
            <w:rPr>
              <w:rFonts w:hint="eastAsia" w:eastAsiaTheme="minorEastAsia" w:cstheme="minorBidi"/>
              <w:color w:val="000000" w:themeColor="text1"/>
              <w:sz w:val="28"/>
              <w:szCs w:val="28"/>
              <w:lang w:val="en-US" w:eastAsia="zh-CN"/>
              <w14:textFill>
                <w14:solidFill>
                  <w14:schemeClr w14:val="tx1"/>
                </w14:solidFill>
              </w14:textFill>
            </w:rPr>
          </w:pPr>
          <w:r>
            <w:fldChar w:fldCharType="begin"/>
          </w:r>
          <w:r>
            <w:instrText xml:space="preserve"> HYPERLINK \l "_Toc27944_WPSOffice_Level1"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第五章 拟签订的合同文本</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14:textFill>
                <w14:solidFill>
                  <w14:schemeClr w14:val="tx1"/>
                </w14:solidFill>
              </w14:textFill>
            </w:rPr>
            <w:t>3</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6</w:t>
          </w:r>
        </w:p>
        <w:p>
          <w:pPr>
            <w:pStyle w:val="19"/>
            <w:tabs>
              <w:tab w:val="right" w:leader="dot" w:pos="8620"/>
            </w:tabs>
          </w:pPr>
          <w:r>
            <w:fldChar w:fldCharType="begin"/>
          </w:r>
          <w:r>
            <w:instrText xml:space="preserve"> HYPERLINK \l "_Toc5481_WPSOffice_Level1" </w:instrText>
          </w:r>
          <w:r>
            <w:fldChar w:fldCharType="separate"/>
          </w:r>
          <w:r>
            <w:rPr>
              <w:rFonts w:hint="eastAsia" w:eastAsiaTheme="minorEastAsia" w:cstheme="minorBidi"/>
              <w:color w:val="000000" w:themeColor="text1"/>
              <w:sz w:val="28"/>
              <w:szCs w:val="28"/>
              <w14:textFill>
                <w14:solidFill>
                  <w14:schemeClr w14:val="tx1"/>
                </w14:solidFill>
              </w14:textFill>
            </w:rPr>
            <w:t>第六章 投标文件格式</w:t>
          </w:r>
          <w:r>
            <w:rPr>
              <w:rFonts w:eastAsiaTheme="minorEastAsia" w:cstheme="minorBidi"/>
              <w:color w:val="000000" w:themeColor="text1"/>
              <w:sz w:val="28"/>
              <w:szCs w:val="28"/>
              <w14:textFill>
                <w14:solidFill>
                  <w14:schemeClr w14:val="tx1"/>
                </w14:solidFill>
              </w14:textFill>
            </w:rPr>
            <w:tab/>
          </w:r>
          <w:r>
            <w:rPr>
              <w:rFonts w:hint="eastAsia" w:eastAsiaTheme="minorEastAsia" w:cstheme="minorBidi"/>
              <w:color w:val="000000" w:themeColor="text1"/>
              <w:sz w:val="28"/>
              <w:szCs w:val="28"/>
              <w:lang w:val="en-US" w:eastAsia="zh-CN"/>
              <w14:textFill>
                <w14:solidFill>
                  <w14:schemeClr w14:val="tx1"/>
                </w14:solidFill>
              </w14:textFill>
            </w:rPr>
            <w:t>4</w:t>
          </w:r>
          <w:r>
            <w:rPr>
              <w:rFonts w:hint="eastAsia" w:eastAsiaTheme="minorEastAsia" w:cstheme="minorBidi"/>
              <w:color w:val="000000" w:themeColor="text1"/>
              <w:sz w:val="28"/>
              <w:szCs w:val="28"/>
              <w14:textFill>
                <w14:solidFill>
                  <w14:schemeClr w14:val="tx1"/>
                </w14:solidFill>
              </w14:textFill>
            </w:rPr>
            <w:fldChar w:fldCharType="end"/>
          </w:r>
          <w:r>
            <w:rPr>
              <w:rFonts w:hint="eastAsia" w:eastAsiaTheme="minorEastAsia" w:cstheme="minorBidi"/>
              <w:color w:val="000000" w:themeColor="text1"/>
              <w:sz w:val="28"/>
              <w:szCs w:val="28"/>
              <w:lang w:val="en-US" w:eastAsia="zh-CN"/>
              <w14:textFill>
                <w14:solidFill>
                  <w14:schemeClr w14:val="tx1"/>
                </w14:solidFill>
              </w14:textFill>
            </w:rPr>
            <w:t>0</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p>
    <w:p>
      <w:pPr>
        <w:pStyle w:val="13"/>
        <w:rPr>
          <w:rFonts w:asciiTheme="majorEastAsia" w:hAnsiTheme="majorEastAsia" w:eastAsiaTheme="majorEastAsia"/>
          <w:b/>
          <w:sz w:val="36"/>
          <w:szCs w:val="36"/>
        </w:rPr>
      </w:pPr>
    </w:p>
    <w:p>
      <w:pPr>
        <w:rPr>
          <w:rFonts w:asciiTheme="majorEastAsia" w:hAnsiTheme="majorEastAsia" w:eastAsiaTheme="majorEastAsia"/>
          <w:b/>
          <w:sz w:val="36"/>
          <w:szCs w:val="36"/>
        </w:rPr>
      </w:pPr>
    </w:p>
    <w:p>
      <w:pPr>
        <w:pStyle w:val="13"/>
        <w:rPr>
          <w:rFonts w:asciiTheme="majorEastAsia" w:hAnsiTheme="majorEastAsia" w:eastAsiaTheme="majorEastAsia"/>
          <w:b/>
          <w:sz w:val="36"/>
          <w:szCs w:val="36"/>
        </w:rPr>
      </w:pPr>
    </w:p>
    <w:p>
      <w:pPr>
        <w:rPr>
          <w:rFonts w:asciiTheme="majorEastAsia" w:hAnsiTheme="majorEastAsia" w:eastAsiaTheme="majorEastAsia"/>
          <w:b/>
          <w:sz w:val="36"/>
          <w:szCs w:val="36"/>
        </w:rPr>
      </w:pPr>
    </w:p>
    <w:p>
      <w:pPr>
        <w:pStyle w:val="13"/>
        <w:ind w:left="0" w:leftChars="0"/>
      </w:pP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bCs/>
          <w:sz w:val="32"/>
          <w:szCs w:val="32"/>
        </w:rPr>
      </w:pPr>
      <w:bookmarkStart w:id="2" w:name="_Toc4350_WPSOffice_Level1"/>
      <w:r>
        <w:rPr>
          <w:rFonts w:hint="eastAsia" w:ascii="宋体" w:hAnsi="宋体" w:cs="宋体"/>
          <w:b/>
          <w:bCs/>
          <w:sz w:val="32"/>
          <w:szCs w:val="32"/>
        </w:rPr>
        <w:t>投标邀请</w:t>
      </w:r>
      <w:bookmarkEnd w:id="2"/>
    </w:p>
    <w:p>
      <w:pPr>
        <w:autoSpaceDE w:val="0"/>
        <w:autoSpaceDN w:val="0"/>
        <w:adjustRightInd w:val="0"/>
        <w:spacing w:line="360" w:lineRule="auto"/>
        <w:ind w:firstLine="480" w:firstLineChars="200"/>
        <w:jc w:val="left"/>
        <w:rPr>
          <w:rFonts w:asciiTheme="minorEastAsia" w:hAnsiTheme="minorEastAsia" w:eastAsiaTheme="minorEastAsia" w:cstheme="minorEastAsia"/>
          <w:sz w:val="24"/>
        </w:rPr>
      </w:pPr>
      <w:bookmarkStart w:id="3" w:name="_Toc35393621"/>
      <w:bookmarkStart w:id="4" w:name="_Toc28359079"/>
      <w:bookmarkStart w:id="5" w:name="_Toc35393790"/>
      <w:bookmarkStart w:id="6" w:name="_Toc28359002"/>
      <w:bookmarkStart w:id="7" w:name="_Hlk24379207"/>
      <w:r>
        <w:rPr>
          <w:rFonts w:hint="eastAsia" w:asciiTheme="minorEastAsia" w:hAnsiTheme="minorEastAsia" w:eastAsiaTheme="minorEastAsia" w:cstheme="minorEastAsia"/>
          <w:sz w:val="24"/>
        </w:rPr>
        <w:t>台州市政府采购中心受</w:t>
      </w:r>
      <w:r>
        <w:rPr>
          <w:rFonts w:hint="eastAsia" w:ascii="宋体" w:hAnsi="宋体" w:cs="宋体"/>
          <w:sz w:val="24"/>
        </w:rPr>
        <w:t>台州市公安局高速公路交通警察支队</w:t>
      </w:r>
      <w:r>
        <w:rPr>
          <w:rFonts w:hint="eastAsia" w:asciiTheme="minorEastAsia" w:hAnsiTheme="minorEastAsia" w:eastAsiaTheme="minorEastAsia" w:cstheme="minorEastAsia"/>
          <w:sz w:val="24"/>
        </w:rPr>
        <w:t>委托，就</w:t>
      </w:r>
      <w:r>
        <w:rPr>
          <w:rFonts w:hint="eastAsia" w:ascii="宋体" w:hAnsi="宋体" w:cs="宋体"/>
          <w:sz w:val="24"/>
        </w:rPr>
        <w:t>物业管理服务采购项目</w:t>
      </w:r>
      <w:r>
        <w:rPr>
          <w:rFonts w:hint="eastAsia" w:asciiTheme="minorEastAsia" w:hAnsiTheme="minorEastAsia" w:eastAsiaTheme="minorEastAsia" w:cstheme="minorEastAsia"/>
          <w:sz w:val="24"/>
        </w:rPr>
        <w:t>进行公开招标，欢迎符合资格条件的国内投标人参加投标。</w:t>
      </w:r>
    </w:p>
    <w:p>
      <w:pPr>
        <w:pStyle w:val="4"/>
        <w:ind w:firstLine="241" w:firstLineChars="100"/>
        <w:rPr>
          <w:rFonts w:cs="宋体"/>
          <w:bCs/>
          <w:sz w:val="24"/>
          <w:szCs w:val="24"/>
        </w:rPr>
      </w:pPr>
      <w:r>
        <w:rPr>
          <w:rFonts w:hint="eastAsia" w:cs="宋体"/>
          <w:bCs/>
          <w:sz w:val="24"/>
          <w:szCs w:val="24"/>
        </w:rPr>
        <w:t>一、项目基本情况</w:t>
      </w:r>
      <w:bookmarkEnd w:id="3"/>
      <w:bookmarkEnd w:id="4"/>
      <w:bookmarkEnd w:id="5"/>
      <w:bookmarkEnd w:id="6"/>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ascii="宋体" w:hAnsi="宋体" w:cs="宋体"/>
          <w:sz w:val="24"/>
        </w:rPr>
      </w:pPr>
      <w:r>
        <w:rPr>
          <w:rFonts w:hint="eastAsia" w:ascii="宋体" w:hAnsi="宋体" w:cs="宋体"/>
          <w:sz w:val="24"/>
        </w:rPr>
        <w:t>项目编号：</w:t>
      </w:r>
      <w:bookmarkEnd w:id="7"/>
      <w:r>
        <w:rPr>
          <w:rFonts w:hint="eastAsia" w:ascii="宋体" w:hAnsi="宋体" w:cs="宋体"/>
          <w:sz w:val="24"/>
        </w:rPr>
        <w:t>TZCG-2023-GK002号</w:t>
      </w:r>
    </w:p>
    <w:p>
      <w:pPr>
        <w:autoSpaceDE w:val="0"/>
        <w:autoSpaceDN w:val="0"/>
        <w:adjustRightInd w:val="0"/>
        <w:spacing w:line="360" w:lineRule="auto"/>
        <w:ind w:firstLine="240" w:firstLineChars="100"/>
        <w:jc w:val="left"/>
        <w:rPr>
          <w:rFonts w:ascii="宋体" w:hAnsi="宋体" w:cs="宋体"/>
          <w:sz w:val="24"/>
        </w:rPr>
      </w:pPr>
      <w:r>
        <w:rPr>
          <w:rFonts w:hint="eastAsia" w:ascii="宋体" w:hAnsi="宋体" w:cs="宋体"/>
          <w:sz w:val="24"/>
        </w:rPr>
        <w:t>项目名称：台州市公安局高速公路交通警察支队物业管理服务采购项目</w:t>
      </w:r>
    </w:p>
    <w:tbl>
      <w:tblPr>
        <w:tblStyle w:val="22"/>
        <w:tblpPr w:leftFromText="181" w:rightFromText="181" w:bottomFromText="170" w:vertAnchor="text" w:tblpXSpec="center" w:tblpY="1"/>
        <w:tblOverlap w:val="never"/>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4465"/>
        <w:gridCol w:w="933"/>
        <w:gridCol w:w="934"/>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42"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标项号</w:t>
            </w:r>
          </w:p>
        </w:tc>
        <w:tc>
          <w:tcPr>
            <w:tcW w:w="4465" w:type="dxa"/>
            <w:vAlign w:val="center"/>
          </w:tcPr>
          <w:p>
            <w:pPr>
              <w:tabs>
                <w:tab w:val="left" w:pos="8280"/>
              </w:tabs>
              <w:autoSpaceDE w:val="0"/>
              <w:autoSpaceDN w:val="0"/>
              <w:adjustRightInd w:val="0"/>
              <w:ind w:firstLine="105" w:firstLineChars="50"/>
              <w:jc w:val="center"/>
              <w:rPr>
                <w:rFonts w:ascii="宋体" w:hAnsi="宋体" w:cs="宋体"/>
                <w:b/>
                <w:szCs w:val="21"/>
              </w:rPr>
            </w:pPr>
            <w:r>
              <w:rPr>
                <w:rFonts w:hint="eastAsia" w:ascii="宋体" w:hAnsi="宋体" w:cs="宋体"/>
                <w:b/>
                <w:szCs w:val="21"/>
              </w:rPr>
              <w:t>标项名称</w:t>
            </w:r>
          </w:p>
        </w:tc>
        <w:tc>
          <w:tcPr>
            <w:tcW w:w="93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kern w:val="0"/>
                <w:szCs w:val="21"/>
              </w:rPr>
              <w:t>数量</w:t>
            </w:r>
          </w:p>
        </w:tc>
        <w:tc>
          <w:tcPr>
            <w:tcW w:w="934"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单位</w:t>
            </w:r>
          </w:p>
        </w:tc>
        <w:tc>
          <w:tcPr>
            <w:tcW w:w="123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预算</w:t>
            </w:r>
          </w:p>
          <w:p>
            <w:pPr>
              <w:jc w:val="center"/>
              <w:rPr>
                <w:rFonts w:ascii="宋体" w:hAnsi="宋体" w:cs="宋体"/>
                <w:b/>
                <w:szCs w:val="21"/>
              </w:rPr>
            </w:pPr>
            <w:r>
              <w:rPr>
                <w:rFonts w:hint="eastAsia" w:ascii="宋体" w:hAnsi="宋体" w:cs="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42"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4465" w:type="dxa"/>
            <w:vAlign w:val="center"/>
          </w:tcPr>
          <w:p>
            <w:pPr>
              <w:autoSpaceDE w:val="0"/>
              <w:autoSpaceDN w:val="0"/>
              <w:adjustRightInd w:val="0"/>
              <w:spacing w:line="360" w:lineRule="auto"/>
              <w:jc w:val="left"/>
              <w:rPr>
                <w:rFonts w:ascii="宋体" w:hAnsi="宋体" w:cs="宋体"/>
                <w:bCs/>
                <w:szCs w:val="21"/>
              </w:rPr>
            </w:pPr>
            <w:r>
              <w:rPr>
                <w:rFonts w:hint="eastAsia" w:ascii="宋体" w:hAnsi="宋体" w:cs="宋体"/>
                <w:sz w:val="24"/>
              </w:rPr>
              <w:t>台州市公安局高速公路交通警察支队物业管理服务采购项目</w:t>
            </w:r>
          </w:p>
        </w:tc>
        <w:tc>
          <w:tcPr>
            <w:tcW w:w="933" w:type="dxa"/>
            <w:vAlign w:val="center"/>
          </w:tcPr>
          <w:p>
            <w:pPr>
              <w:tabs>
                <w:tab w:val="left" w:pos="8280"/>
              </w:tabs>
              <w:autoSpaceDE w:val="0"/>
              <w:autoSpaceDN w:val="0"/>
              <w:adjustRightInd w:val="0"/>
              <w:jc w:val="center"/>
              <w:rPr>
                <w:rFonts w:ascii="宋体" w:hAnsi="宋体" w:cs="宋体"/>
                <w:bCs/>
                <w:kern w:val="0"/>
                <w:szCs w:val="21"/>
              </w:rPr>
            </w:pPr>
            <w:r>
              <w:rPr>
                <w:rFonts w:hint="eastAsia" w:ascii="宋体" w:hAnsi="宋体" w:cs="宋体"/>
                <w:bCs/>
                <w:kern w:val="0"/>
                <w:szCs w:val="21"/>
              </w:rPr>
              <w:t>3</w:t>
            </w:r>
          </w:p>
        </w:tc>
        <w:tc>
          <w:tcPr>
            <w:tcW w:w="934" w:type="dxa"/>
            <w:vAlign w:val="center"/>
          </w:tcPr>
          <w:p>
            <w:pPr>
              <w:tabs>
                <w:tab w:val="left" w:pos="8280"/>
              </w:tabs>
              <w:autoSpaceDE w:val="0"/>
              <w:autoSpaceDN w:val="0"/>
              <w:adjustRightInd w:val="0"/>
              <w:jc w:val="center"/>
              <w:rPr>
                <w:rFonts w:ascii="宋体" w:hAnsi="宋体" w:cs="宋体"/>
                <w:bCs/>
                <w:kern w:val="0"/>
                <w:szCs w:val="21"/>
              </w:rPr>
            </w:pPr>
            <w:r>
              <w:rPr>
                <w:rFonts w:hint="eastAsia" w:ascii="宋体" w:hAnsi="宋体" w:cs="宋体"/>
                <w:bCs/>
                <w:kern w:val="0"/>
                <w:szCs w:val="21"/>
              </w:rPr>
              <w:t>年</w:t>
            </w:r>
          </w:p>
        </w:tc>
        <w:tc>
          <w:tcPr>
            <w:tcW w:w="1233" w:type="dxa"/>
            <w:vAlign w:val="center"/>
          </w:tcPr>
          <w:p>
            <w:pPr>
              <w:tabs>
                <w:tab w:val="left" w:pos="8280"/>
              </w:tabs>
              <w:autoSpaceDE w:val="0"/>
              <w:autoSpaceDN w:val="0"/>
              <w:adjustRightInd w:val="0"/>
              <w:jc w:val="center"/>
              <w:rPr>
                <w:rFonts w:ascii="宋体" w:hAnsi="宋体" w:cs="宋体"/>
                <w:bCs/>
                <w:kern w:val="0"/>
                <w:szCs w:val="21"/>
              </w:rPr>
            </w:pPr>
            <w:r>
              <w:rPr>
                <w:rFonts w:hint="eastAsia" w:ascii="宋体" w:hAnsi="宋体" w:cs="宋体"/>
                <w:bCs/>
                <w:kern w:val="0"/>
                <w:szCs w:val="21"/>
              </w:rPr>
              <w:t>690</w:t>
            </w:r>
          </w:p>
        </w:tc>
      </w:tr>
    </w:tbl>
    <w:p>
      <w:pPr>
        <w:pStyle w:val="4"/>
        <w:numPr>
          <w:ilvl w:val="0"/>
          <w:numId w:val="4"/>
        </w:numPr>
        <w:tabs>
          <w:tab w:val="left" w:pos="9660"/>
          <w:tab w:val="clear" w:pos="8280"/>
        </w:tabs>
        <w:ind w:right="23" w:firstLine="482" w:firstLineChars="200"/>
        <w:jc w:val="left"/>
      </w:pPr>
      <w:bookmarkStart w:id="8" w:name="_Toc35393622"/>
      <w:bookmarkStart w:id="9" w:name="_Toc28359003"/>
      <w:bookmarkStart w:id="10" w:name="_Toc28359080"/>
      <w:bookmarkStart w:id="11" w:name="_Toc35393791"/>
      <w:r>
        <w:rPr>
          <w:rFonts w:hint="eastAsia" w:cs="宋体"/>
          <w:bCs/>
          <w:sz w:val="24"/>
          <w:szCs w:val="24"/>
        </w:rPr>
        <w:t>投标人的资格要求</w:t>
      </w:r>
      <w:bookmarkEnd w:id="8"/>
      <w:bookmarkEnd w:id="9"/>
      <w:bookmarkEnd w:id="10"/>
      <w:bookmarkEnd w:id="11"/>
    </w:p>
    <w:p>
      <w:pPr>
        <w:spacing w:line="360" w:lineRule="auto"/>
        <w:ind w:left="12" w:firstLine="480" w:firstLineChars="200"/>
        <w:jc w:val="left"/>
      </w:pPr>
      <w:r>
        <w:rPr>
          <w:rFonts w:hint="eastAsia" w:ascii="宋体" w:hAnsi="宋体" w:cs="宋体"/>
          <w:sz w:val="24"/>
        </w:rPr>
        <w:t>（一）满足《中华人民共和国政府采购法》第二十二条规定。</w:t>
      </w:r>
    </w:p>
    <w:p>
      <w:pPr>
        <w:numPr>
          <w:ilvl w:val="0"/>
          <w:numId w:val="5"/>
        </w:numPr>
        <w:adjustRightInd w:val="0"/>
        <w:snapToGrid w:val="0"/>
        <w:spacing w:line="360" w:lineRule="auto"/>
        <w:ind w:firstLine="480" w:firstLineChars="200"/>
        <w:rPr>
          <w:rFonts w:ascii="宋体" w:hAnsi="宋体" w:cs="宋体"/>
          <w:sz w:val="24"/>
        </w:rPr>
      </w:pPr>
      <w:bookmarkStart w:id="12" w:name="_Toc35393623"/>
      <w:bookmarkStart w:id="13" w:name="_Toc28359004"/>
      <w:bookmarkStart w:id="14" w:name="_Toc28359081"/>
      <w:bookmarkStart w:id="15" w:name="_Toc35393792"/>
      <w:r>
        <w:rPr>
          <w:rFonts w:hint="eastAsia" w:ascii="宋体" w:hAnsi="宋体" w:cs="宋体"/>
          <w:sz w:val="24"/>
        </w:rPr>
        <w:t>本项目的特定资格要求：无</w:t>
      </w:r>
    </w:p>
    <w:p>
      <w:pPr>
        <w:spacing w:line="360" w:lineRule="auto"/>
        <w:ind w:firstLine="480" w:firstLineChars="200"/>
        <w:jc w:val="left"/>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jc w:val="left"/>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tabs>
          <w:tab w:val="left" w:pos="9660"/>
          <w:tab w:val="clear" w:pos="8280"/>
        </w:tabs>
        <w:ind w:right="23" w:firstLine="482" w:firstLineChars="200"/>
        <w:jc w:val="left"/>
        <w:rPr>
          <w:rFonts w:cs="宋体"/>
          <w:bCs/>
          <w:sz w:val="24"/>
          <w:szCs w:val="24"/>
        </w:rPr>
      </w:pPr>
      <w:r>
        <w:rPr>
          <w:rFonts w:hint="eastAsia" w:cs="宋体"/>
          <w:bCs/>
          <w:sz w:val="24"/>
          <w:szCs w:val="24"/>
        </w:rPr>
        <w:t>三、获取招标文件</w:t>
      </w:r>
      <w:bookmarkEnd w:id="12"/>
      <w:bookmarkEnd w:id="13"/>
      <w:bookmarkEnd w:id="14"/>
      <w:bookmarkEnd w:id="15"/>
    </w:p>
    <w:p>
      <w:pPr>
        <w:spacing w:line="360" w:lineRule="auto"/>
        <w:ind w:firstLine="480" w:firstLineChars="200"/>
        <w:jc w:val="left"/>
        <w:rPr>
          <w:rFonts w:ascii="宋体" w:hAnsi="宋体" w:cs="宋体"/>
          <w:color w:val="FF0000"/>
          <w:sz w:val="24"/>
        </w:rPr>
      </w:pPr>
      <w:r>
        <w:rPr>
          <w:rFonts w:hint="eastAsia" w:ascii="宋体" w:hAnsi="宋体" w:cs="宋体"/>
          <w:sz w:val="24"/>
        </w:rPr>
        <w:t>（一）时间：</w:t>
      </w:r>
      <w:r>
        <w:rPr>
          <w:rFonts w:hint="eastAsia" w:ascii="宋体" w:hAnsi="宋体" w:cs="宋体"/>
          <w:color w:val="FF0000"/>
          <w:sz w:val="24"/>
        </w:rPr>
        <w:t>2023年3月</w:t>
      </w:r>
      <w:r>
        <w:rPr>
          <w:rFonts w:hint="eastAsia" w:ascii="宋体" w:hAnsi="宋体" w:cs="宋体"/>
          <w:color w:val="FF0000"/>
          <w:sz w:val="24"/>
          <w:lang w:val="en-US" w:eastAsia="zh-CN"/>
        </w:rPr>
        <w:t>20</w:t>
      </w:r>
      <w:r>
        <w:rPr>
          <w:rFonts w:hint="eastAsia" w:ascii="宋体" w:hAnsi="宋体" w:cs="宋体"/>
          <w:color w:val="FF0000"/>
          <w:sz w:val="24"/>
        </w:rPr>
        <w:t>日至2023年3月</w:t>
      </w:r>
      <w:r>
        <w:rPr>
          <w:rFonts w:hint="eastAsia" w:ascii="宋体" w:hAnsi="宋体" w:cs="宋体"/>
          <w:color w:val="FF0000"/>
          <w:sz w:val="24"/>
          <w:lang w:val="en-US" w:eastAsia="zh-CN"/>
        </w:rPr>
        <w:t>24</w:t>
      </w:r>
      <w:r>
        <w:rPr>
          <w:rFonts w:hint="eastAsia" w:ascii="宋体" w:hAnsi="宋体" w:cs="宋体"/>
          <w:color w:val="FF0000"/>
          <w:sz w:val="24"/>
        </w:rPr>
        <w:t>日</w:t>
      </w:r>
    </w:p>
    <w:p>
      <w:pPr>
        <w:spacing w:line="360" w:lineRule="auto"/>
        <w:ind w:firstLine="480" w:firstLineChars="200"/>
        <w:jc w:val="left"/>
        <w:rPr>
          <w:rFonts w:ascii="宋体" w:hAnsi="宋体" w:cs="宋体"/>
          <w:sz w:val="24"/>
        </w:rPr>
      </w:pPr>
      <w:r>
        <w:rPr>
          <w:rFonts w:hint="eastAsia" w:ascii="宋体" w:hAnsi="宋体" w:cs="宋体"/>
          <w:sz w:val="24"/>
        </w:rPr>
        <w:t>（二）方式：浙江政府采购网（</w:t>
      </w:r>
      <w:r>
        <w:rPr>
          <w:rFonts w:ascii="宋体" w:hAnsi="宋体" w:cs="宋体"/>
          <w:sz w:val="24"/>
        </w:rPr>
        <w:t>https://zfcg.czt.zj.gov.cn</w:t>
      </w:r>
      <w:r>
        <w:rPr>
          <w:rFonts w:hint="eastAsia" w:ascii="宋体" w:hAnsi="宋体" w:cs="宋体"/>
          <w:sz w:val="24"/>
        </w:rPr>
        <w:t>）免费下载</w:t>
      </w:r>
    </w:p>
    <w:p>
      <w:pPr>
        <w:pStyle w:val="4"/>
        <w:ind w:right="0" w:firstLine="482" w:firstLineChars="200"/>
        <w:rPr>
          <w:rFonts w:cs="宋体"/>
          <w:bCs/>
          <w:sz w:val="24"/>
          <w:szCs w:val="24"/>
        </w:rPr>
      </w:pPr>
      <w:bookmarkStart w:id="16" w:name="_Toc28359082"/>
      <w:bookmarkStart w:id="17" w:name="_Toc35393624"/>
      <w:bookmarkStart w:id="18" w:name="_Toc35393793"/>
      <w:bookmarkStart w:id="19" w:name="_Toc28359005"/>
      <w:r>
        <w:rPr>
          <w:rFonts w:hint="eastAsia" w:cs="宋体"/>
          <w:bCs/>
          <w:sz w:val="24"/>
          <w:szCs w:val="24"/>
        </w:rPr>
        <w:t>四、提交投标文件</w:t>
      </w:r>
      <w:bookmarkEnd w:id="16"/>
      <w:bookmarkEnd w:id="17"/>
      <w:bookmarkEnd w:id="18"/>
      <w:bookmarkEnd w:id="19"/>
    </w:p>
    <w:p>
      <w:pPr>
        <w:spacing w:line="360" w:lineRule="auto"/>
        <w:ind w:firstLine="480" w:firstLineChars="200"/>
        <w:jc w:val="left"/>
        <w:rPr>
          <w:rFonts w:ascii="宋体" w:hAnsi="宋体" w:cs="宋体"/>
          <w:color w:val="FF0000"/>
          <w:sz w:val="24"/>
        </w:rPr>
      </w:pPr>
      <w:bookmarkStart w:id="20" w:name="_Toc28359007"/>
      <w:bookmarkStart w:id="21" w:name="_Toc28359084"/>
      <w:bookmarkStart w:id="22" w:name="_Toc35393625"/>
      <w:bookmarkStart w:id="23" w:name="_Toc35393794"/>
      <w:r>
        <w:rPr>
          <w:rFonts w:hint="eastAsia" w:ascii="宋体" w:hAnsi="宋体" w:cs="宋体"/>
          <w:sz w:val="24"/>
        </w:rPr>
        <w:t>（一）截止时间（开标时间）：</w:t>
      </w:r>
      <w:r>
        <w:rPr>
          <w:rFonts w:hint="eastAsia" w:ascii="宋体" w:hAnsi="宋体" w:cs="宋体"/>
          <w:color w:val="FF0000"/>
          <w:sz w:val="24"/>
        </w:rPr>
        <w:t>2023年</w:t>
      </w:r>
      <w:r>
        <w:rPr>
          <w:rFonts w:hint="eastAsia" w:ascii="宋体" w:hAnsi="宋体" w:cs="宋体"/>
          <w:color w:val="FF0000"/>
          <w:sz w:val="24"/>
          <w:lang w:val="en-US" w:eastAsia="zh-CN"/>
        </w:rPr>
        <w:t>4</w:t>
      </w:r>
      <w:r>
        <w:rPr>
          <w:rFonts w:hint="eastAsia" w:ascii="宋体" w:hAnsi="宋体" w:cs="宋体"/>
          <w:color w:val="FF0000"/>
          <w:sz w:val="24"/>
        </w:rPr>
        <w:t>月</w:t>
      </w:r>
      <w:r>
        <w:rPr>
          <w:rFonts w:hint="eastAsia" w:ascii="宋体" w:hAnsi="宋体" w:cs="宋体"/>
          <w:color w:val="FF0000"/>
          <w:sz w:val="24"/>
          <w:lang w:val="en-US" w:eastAsia="zh-CN"/>
        </w:rPr>
        <w:t>11</w:t>
      </w:r>
      <w:r>
        <w:rPr>
          <w:rFonts w:hint="eastAsia" w:ascii="宋体" w:hAnsi="宋体" w:cs="宋体"/>
          <w:color w:val="FF0000"/>
          <w:sz w:val="24"/>
        </w:rPr>
        <w:t>日9:00（北京时间）</w:t>
      </w:r>
    </w:p>
    <w:p>
      <w:pPr>
        <w:spacing w:line="360" w:lineRule="auto"/>
        <w:ind w:firstLine="480" w:firstLineChars="200"/>
        <w:jc w:val="left"/>
        <w:rPr>
          <w:rFonts w:ascii="宋体" w:hAnsi="宋体" w:cs="宋体"/>
          <w:sz w:val="24"/>
        </w:rPr>
      </w:pPr>
      <w:r>
        <w:rPr>
          <w:rFonts w:hint="eastAsia" w:ascii="宋体" w:hAnsi="宋体" w:cs="宋体"/>
          <w:sz w:val="24"/>
        </w:rPr>
        <w:t>（二）投标网址：浙江政府采购云平台（http://www.zcygov.cn）</w:t>
      </w:r>
    </w:p>
    <w:bookmarkEnd w:id="20"/>
    <w:bookmarkEnd w:id="21"/>
    <w:bookmarkEnd w:id="22"/>
    <w:bookmarkEnd w:id="23"/>
    <w:p>
      <w:pPr>
        <w:pStyle w:val="21"/>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1"/>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4" w:name="_Toc35393626"/>
      <w:bookmarkStart w:id="25" w:name="_Toc35393795"/>
      <w:r>
        <w:rPr>
          <w:rFonts w:hint="eastAsia" w:cs="宋体"/>
          <w:bCs/>
          <w:sz w:val="24"/>
          <w:szCs w:val="24"/>
        </w:rPr>
        <w:t>六、</w:t>
      </w:r>
      <w:bookmarkEnd w:id="24"/>
      <w:bookmarkEnd w:id="25"/>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6" w:name="_Toc35393627"/>
      <w:bookmarkStart w:id="27" w:name="_Toc35393796"/>
      <w:bookmarkStart w:id="28" w:name="_Toc28359085"/>
      <w:bookmarkStart w:id="29" w:name="_Toc28359008"/>
      <w:r>
        <w:rPr>
          <w:rFonts w:hint="eastAsia" w:cs="宋体"/>
          <w:bCs/>
          <w:sz w:val="24"/>
          <w:szCs w:val="24"/>
        </w:rPr>
        <w:t>七、</w:t>
      </w:r>
      <w:bookmarkEnd w:id="26"/>
      <w:bookmarkEnd w:id="27"/>
      <w:bookmarkEnd w:id="28"/>
      <w:bookmarkEnd w:id="29"/>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720" w:firstLineChars="300"/>
        <w:jc w:val="left"/>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台州市公安局高速公路交通警察支队</w:t>
      </w:r>
    </w:p>
    <w:p>
      <w:pPr>
        <w:spacing w:line="360" w:lineRule="auto"/>
        <w:ind w:firstLine="720" w:firstLineChars="300"/>
        <w:jc w:val="left"/>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台州市椒江区机场路451号</w:t>
      </w:r>
    </w:p>
    <w:p>
      <w:pPr>
        <w:spacing w:line="360" w:lineRule="auto"/>
        <w:ind w:firstLine="720" w:firstLineChars="300"/>
        <w:jc w:val="left"/>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何老师</w:t>
      </w:r>
      <w:bookmarkStart w:id="30" w:name="_Toc28359009"/>
      <w:bookmarkStart w:id="31" w:name="_Toc28359086"/>
    </w:p>
    <w:p>
      <w:pPr>
        <w:spacing w:line="360" w:lineRule="auto"/>
        <w:ind w:firstLine="720" w:firstLineChars="300"/>
        <w:jc w:val="left"/>
        <w:rPr>
          <w:rFonts w:ascii="宋体" w:hAnsi="宋体" w:cs="宋体"/>
          <w:sz w:val="24"/>
          <w:u w:val="single"/>
        </w:rPr>
      </w:pPr>
      <w:r>
        <w:rPr>
          <w:rFonts w:hint="eastAsia" w:ascii="宋体" w:hAnsi="宋体" w:cs="宋体"/>
          <w:sz w:val="24"/>
        </w:rPr>
        <w:t>联系电话：</w:t>
      </w:r>
      <w:r>
        <w:rPr>
          <w:rFonts w:ascii="宋体" w:hAnsi="宋体" w:cs="宋体"/>
          <w:sz w:val="24"/>
          <w:u w:val="single"/>
        </w:rPr>
        <w:t>13616685118</w:t>
      </w:r>
    </w:p>
    <w:bookmarkEnd w:id="30"/>
    <w:bookmarkEnd w:id="31"/>
    <w:p>
      <w:pPr>
        <w:numPr>
          <w:ilvl w:val="0"/>
          <w:numId w:val="6"/>
        </w:numPr>
        <w:spacing w:line="360" w:lineRule="auto"/>
        <w:ind w:firstLine="482" w:firstLineChars="200"/>
        <w:rPr>
          <w:rFonts w:ascii="宋体" w:hAnsi="宋体" w:cs="宋体"/>
          <w:b/>
          <w:bCs/>
          <w:sz w:val="24"/>
        </w:rPr>
      </w:pPr>
      <w:r>
        <w:rPr>
          <w:rFonts w:hint="eastAsia" w:ascii="宋体" w:hAnsi="宋体" w:cs="宋体"/>
          <w:b/>
          <w:bCs/>
          <w:sz w:val="24"/>
        </w:rPr>
        <w:t>采购组织机构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 xml:space="preserve"> 台州市政府采购中心  </w:t>
      </w:r>
    </w:p>
    <w:p>
      <w:pPr>
        <w:spacing w:line="360" w:lineRule="auto"/>
        <w:ind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 xml:space="preserve">台州市市府大道777号 </w:t>
      </w:r>
    </w:p>
    <w:p>
      <w:pPr>
        <w:spacing w:line="360" w:lineRule="auto"/>
        <w:ind w:firstLine="480" w:firstLineChars="200"/>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rPr>
        <w:t xml:space="preserve">陈女士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0576-88685056 </w:t>
      </w:r>
    </w:p>
    <w:p>
      <w:pPr>
        <w:spacing w:line="360" w:lineRule="auto"/>
        <w:ind w:firstLine="480" w:firstLineChars="200"/>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rPr>
        <w:t>候女士（受理注册、中标结果相关质疑及答复）</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0576-88685121 </w:t>
      </w:r>
    </w:p>
    <w:p>
      <w:pPr>
        <w:spacing w:line="360" w:lineRule="auto"/>
        <w:ind w:firstLine="480" w:firstLineChars="200"/>
        <w:rPr>
          <w:rFonts w:ascii="宋体" w:hAnsi="宋体" w:cs="宋体"/>
          <w:sz w:val="24"/>
          <w:u w:val="single"/>
        </w:rPr>
      </w:pPr>
      <w:r>
        <w:rPr>
          <w:rFonts w:hint="eastAsia" w:ascii="宋体" w:hAnsi="宋体" w:cs="宋体"/>
          <w:sz w:val="24"/>
        </w:rPr>
        <w:t>技术人员：</w:t>
      </w:r>
      <w:r>
        <w:rPr>
          <w:rFonts w:hint="eastAsia" w:ascii="宋体" w:hAnsi="宋体" w:cs="宋体"/>
          <w:sz w:val="24"/>
          <w:u w:val="single"/>
        </w:rPr>
        <w:t xml:space="preserve">徐女士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0576-88685161</w:t>
      </w:r>
    </w:p>
    <w:p>
      <w:pPr>
        <w:spacing w:line="360" w:lineRule="auto"/>
        <w:ind w:firstLine="482" w:firstLineChars="200"/>
        <w:rPr>
          <w:rFonts w:ascii="宋体" w:hAnsi="宋体" w:cs="宋体"/>
          <w:b/>
          <w:sz w:val="24"/>
        </w:rPr>
      </w:pPr>
      <w:bookmarkStart w:id="32" w:name="_Toc28359087"/>
      <w:bookmarkStart w:id="33" w:name="_Toc28359010"/>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rPr>
        <w:t>台州市政府采购监管处　</w:t>
      </w:r>
    </w:p>
    <w:p>
      <w:pPr>
        <w:spacing w:line="360" w:lineRule="auto"/>
        <w:ind w:firstLine="480" w:firstLineChars="20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台州市财政局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陈女士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0576-88206705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ascii="宋体" w:hAnsi="宋体" w:cs="宋体"/>
          <w:sz w:val="24"/>
          <w:shd w:val="clear" w:color="auto" w:fill="FFFFFF"/>
        </w:rPr>
      </w:pPr>
      <w:r>
        <w:rPr>
          <w:rFonts w:hint="eastAsia" w:ascii="宋体" w:hAnsi="宋体" w:cs="宋体"/>
          <w:sz w:val="24"/>
        </w:rPr>
        <w:t>联系电话：</w:t>
      </w:r>
      <w:r>
        <w:rPr>
          <w:rFonts w:hint="eastAsia" w:ascii="宋体" w:hAnsi="宋体" w:cs="宋体"/>
          <w:sz w:val="24"/>
          <w:u w:val="single"/>
        </w:rPr>
        <w:t xml:space="preserve">4008817190         </w:t>
      </w:r>
    </w:p>
    <w:bookmarkEnd w:id="32"/>
    <w:bookmarkEnd w:id="33"/>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ascii="宋体" w:hAnsi="宋体" w:cs="宋体"/>
          <w:kern w:val="0"/>
          <w:sz w:val="24"/>
        </w:rPr>
      </w:pPr>
      <w:bookmarkStart w:id="34" w:name="_Toc25017_WPSOffice_Level1"/>
      <w:r>
        <w:rPr>
          <w:rFonts w:hint="eastAsia" w:ascii="宋体" w:hAnsi="宋体" w:cs="宋体"/>
          <w:sz w:val="24"/>
          <w:shd w:val="clear" w:color="auto" w:fill="FFFFFF"/>
        </w:rPr>
        <w:t xml:space="preserve">                                              台州市政府采购中心</w:t>
      </w:r>
      <w:r>
        <w:rPr>
          <w:rFonts w:hint="eastAsia" w:ascii="宋体" w:hAnsi="宋体" w:cs="宋体"/>
          <w:kern w:val="0"/>
          <w:sz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center"/>
        <w:rPr>
          <w:rFonts w:ascii="宋体" w:hAnsi="宋体" w:cs="宋体"/>
          <w:color w:val="FF0000"/>
          <w:kern w:val="0"/>
          <w:sz w:val="24"/>
        </w:rPr>
      </w:pPr>
      <w:r>
        <w:rPr>
          <w:rFonts w:hint="eastAsia" w:ascii="宋体" w:hAnsi="宋体" w:cs="宋体"/>
          <w:kern w:val="0"/>
          <w:sz w:val="24"/>
        </w:rPr>
        <w:t xml:space="preserve">                                         </w:t>
      </w:r>
      <w:r>
        <w:rPr>
          <w:rFonts w:hint="eastAsia" w:ascii="宋体" w:hAnsi="宋体" w:cs="宋体"/>
          <w:color w:val="FF0000"/>
          <w:kern w:val="0"/>
          <w:sz w:val="24"/>
        </w:rPr>
        <w:t xml:space="preserve">  </w:t>
      </w:r>
      <w:r>
        <w:rPr>
          <w:rFonts w:hint="eastAsia" w:ascii="宋体" w:hAnsi="宋体" w:cs="宋体"/>
          <w:color w:val="000000" w:themeColor="text1"/>
          <w:kern w:val="0"/>
          <w:sz w:val="24"/>
          <w14:textFill>
            <w14:solidFill>
              <w14:schemeClr w14:val="tx1"/>
            </w14:solidFill>
          </w14:textFill>
        </w:rPr>
        <w:t xml:space="preserve"> 2023年3月</w:t>
      </w:r>
      <w:r>
        <w:rPr>
          <w:rFonts w:hint="eastAsia" w:ascii="宋体" w:hAnsi="宋体" w:cs="宋体"/>
          <w:color w:val="000000" w:themeColor="text1"/>
          <w:kern w:val="0"/>
          <w:sz w:val="24"/>
          <w:lang w:val="en-US" w:eastAsia="zh-CN"/>
          <w14:textFill>
            <w14:solidFill>
              <w14:schemeClr w14:val="tx1"/>
            </w14:solidFill>
          </w14:textFill>
        </w:rPr>
        <w:t>20</w:t>
      </w:r>
      <w:r>
        <w:rPr>
          <w:rFonts w:hint="eastAsia" w:ascii="宋体" w:hAnsi="宋体" w:cs="宋体"/>
          <w:color w:val="000000" w:themeColor="text1"/>
          <w:kern w:val="0"/>
          <w:sz w:val="24"/>
          <w14:textFill>
            <w14:solidFill>
              <w14:schemeClr w14:val="tx1"/>
            </w14:solidFill>
          </w14:textFill>
        </w:rPr>
        <w:t>日</w:t>
      </w:r>
    </w:p>
    <w:p>
      <w:pPr>
        <w:numPr>
          <w:ilvl w:val="0"/>
          <w:numId w:val="7"/>
        </w:numPr>
        <w:spacing w:line="360" w:lineRule="auto"/>
        <w:jc w:val="center"/>
        <w:rPr>
          <w:rFonts w:asciiTheme="minorEastAsia" w:hAnsiTheme="minorEastAsia" w:eastAsiaTheme="minorEastAsia"/>
          <w:b/>
          <w:sz w:val="32"/>
          <w:szCs w:val="32"/>
        </w:rPr>
      </w:pPr>
    </w:p>
    <w:p>
      <w:pPr>
        <w:spacing w:line="360" w:lineRule="auto"/>
        <w:ind w:firstLine="4176" w:firstLineChars="1300"/>
        <w:rPr>
          <w:rFonts w:asciiTheme="minorEastAsia" w:hAnsiTheme="minorEastAsia" w:eastAsiaTheme="minorEastAsia"/>
          <w:b/>
          <w:sz w:val="32"/>
          <w:szCs w:val="32"/>
        </w:rPr>
      </w:pPr>
      <w:r>
        <w:rPr>
          <w:rFonts w:hint="eastAsia" w:asciiTheme="minorEastAsia" w:hAnsiTheme="minorEastAsia" w:eastAsiaTheme="minorEastAsia"/>
          <w:b/>
          <w:sz w:val="32"/>
          <w:szCs w:val="32"/>
        </w:rPr>
        <w:t>投标人须知</w:t>
      </w:r>
      <w:bookmarkEnd w:id="34"/>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2"/>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995"/>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序号</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 w:val="24"/>
              </w:rPr>
            </w:pPr>
            <w:r>
              <w:rPr>
                <w:rFonts w:hint="eastAsia" w:ascii="宋体" w:hAnsi="宋体" w:cs="宋体"/>
                <w:b/>
                <w:bCs/>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是否允许联合体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是否允许分包</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□是（但主体部分不得分包，详见招标需求内容）/☑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是否包含政府强制采购节能产品</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□是（具体清单见招标需求）/☑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答疑会或</w:t>
            </w:r>
          </w:p>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现场踏勘</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left"/>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无需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投标文件的制作和投标</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请投标人在投标前仔细阅读《政府采购项目电子交易操作指南》。</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Theme="minorEastAsia" w:hAnsiTheme="minorEastAsia" w:eastAsiaTheme="minorEastAsia" w:cstheme="minorEastAsia"/>
                <w:sz w:val="24"/>
              </w:rPr>
              <w:t>https://zfcg.czt.zj.gov.cn/download/index.html）。</w:t>
            </w:r>
            <w:r>
              <w:rPr>
                <w:rFonts w:hint="eastAsia" w:asciiTheme="minorEastAsia" w:hAnsiTheme="minorEastAsia" w:eastAsiaTheme="minorEastAsia" w:cstheme="minorEastAsia"/>
                <w:sz w:val="24"/>
              </w:rPr>
              <w:fldChar w:fldCharType="end"/>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投标人应当在投标截止时间前（开标当天北京时间9:00）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3.投标文件解密：投标人应在开标当天北京时间9:00至9:30完成解密。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备份投标文件的递交</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备份投标文件是通过政采云电子交易客户端制作投标文件产生的备份文件，请投标人自行妥善保管。</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1.使用前提：在解密截止时间前，投标人自行在线解密操作失败，又未能及时联系技术人员帮助解密，或者投标人寻求技术人员帮助仍无法完成解密。</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2.递交截止时间：开标当天9:50（北京时间）。</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3.投递邮箱：开标当天公布的指定邮箱。</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4.未按上述要求递交备份投标文件或所提供的备份投标文件不符合要求的视同放弃投标，仅提交备份投标文件的，投标无效。</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2"/>
              <w:spacing w:line="360" w:lineRule="auto"/>
              <w:ind w:firstLine="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不见面开标直播</w:t>
            </w:r>
          </w:p>
          <w:p>
            <w:pPr>
              <w:spacing w:line="360" w:lineRule="auto"/>
              <w:jc w:val="center"/>
              <w:rPr>
                <w:rFonts w:asciiTheme="minorEastAsia" w:hAnsiTheme="minorEastAsia" w:eastAsiaTheme="minorEastAsia" w:cstheme="minorEastAsia"/>
                <w:color w:val="FF0000"/>
                <w:kern w:val="0"/>
                <w:sz w:val="24"/>
              </w:rPr>
            </w:pP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widowControl/>
              <w:shd w:val="clear" w:color="auto" w:fill="FFFFFF"/>
              <w:spacing w:line="360" w:lineRule="auto"/>
              <w:jc w:val="left"/>
              <w:rPr>
                <w:rFonts w:asciiTheme="minorEastAsia" w:hAnsiTheme="minorEastAsia" w:eastAsiaTheme="minorEastAsia" w:cstheme="minorEastAsia"/>
                <w:color w:val="FF0000"/>
                <w:kern w:val="0"/>
                <w:sz w:val="24"/>
              </w:rPr>
            </w:pPr>
            <w:r>
              <w:rPr>
                <w:rFonts w:hint="eastAsia" w:asciiTheme="minorEastAsia" w:hAnsiTheme="minorEastAsia" w:eastAsiaTheme="minorEastAsia" w:cstheme="minorEastAsia"/>
                <w:color w:val="000000" w:themeColor="text1"/>
                <w:sz w:val="24"/>
                <w14:textFill>
                  <w14:solidFill>
                    <w14:schemeClr w14:val="tx1"/>
                  </w14:solidFill>
                </w14:textFill>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w:t>
            </w:r>
            <w:r>
              <w:rPr>
                <w:rFonts w:hint="eastAsia" w:asciiTheme="minorEastAsia" w:hAnsiTheme="minorEastAsia" w:eastAsiaTheme="minorEastAsia" w:cstheme="minorEastAsia"/>
                <w:bCs/>
                <w:color w:val="000000" w:themeColor="text1"/>
                <w:sz w:val="24"/>
                <w14:textFill>
                  <w14:solidFill>
                    <w14:schemeClr w14:val="tx1"/>
                  </w14:solidFill>
                </w14:textFill>
              </w:rPr>
              <w:t>造成无法响应或响应失败等后果由供应商自行承担。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远程协商要求</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9"/>
              <w:spacing w:line="360" w:lineRule="auto"/>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本项目线上协商通过“政采云视频讲标系统”进行线上视频演示，投标人登录政采云系统-----进入开标大厅---进入本项目进行操作。政采云视频讲标系统在线上视频协商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“政采云视频讲标系统”评委可以看见和听见投标人的画面和声音，投标人只能听见的评委的声音，看不见评委的画面。政采云视频讲标系统目前不支持手机端。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投标与开标注意事项</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4"/>
              <w:spacing w:line="30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1.本项目实行电子投标，投标人自行承担投标一切费用。</w:t>
            </w:r>
          </w:p>
          <w:p>
            <w:pPr>
              <w:pStyle w:val="14"/>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信用信息查询渠道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信用中国（网址：</w:t>
            </w:r>
            <w:r>
              <w:fldChar w:fldCharType="begin"/>
            </w:r>
            <w:r>
              <w:instrText xml:space="preserve"> HYPERLINK "http://www.creditchina.gov.cn" </w:instrText>
            </w:r>
            <w:r>
              <w:fldChar w:fldCharType="separate"/>
            </w:r>
            <w:r>
              <w:rPr>
                <w:rFonts w:hint="eastAsia" w:asciiTheme="minorEastAsia" w:hAnsiTheme="minorEastAsia" w:eastAsiaTheme="minorEastAsia" w:cstheme="minorEastAsia"/>
                <w:sz w:val="24"/>
              </w:rPr>
              <w:t>http://www.creditchina.gov.cn</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中小企业预留份额情况</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color w:val="111F2C"/>
                <w:sz w:val="24"/>
                <w:shd w:val="clear" w:color="auto" w:fill="FFFFFF"/>
              </w:rPr>
            </w:pPr>
            <w:r>
              <w:rPr>
                <w:rFonts w:hint="eastAsia" w:asciiTheme="minorEastAsia" w:hAnsiTheme="minorEastAsia" w:eastAsiaTheme="minorEastAsia" w:cstheme="minorEastAsia"/>
                <w:sz w:val="24"/>
              </w:rPr>
              <w:t>根据《政府采购促进中小企业发展管理办法》（财库〔2020〕46号）文件的规定，本项目(□是 /☑ 否</w:t>
            </w:r>
            <w:r>
              <w:rPr>
                <w:rFonts w:hint="eastAsia" w:asciiTheme="minorEastAsia" w:hAnsiTheme="minorEastAsia" w:eastAsiaTheme="minorEastAsia" w:cstheme="minorEastAsia"/>
                <w:sz w:val="24"/>
                <w:shd w:val="clear" w:color="auto" w:fill="FFFFFF"/>
              </w:rPr>
              <w:t>)</w:t>
            </w:r>
            <w:r>
              <w:rPr>
                <w:rFonts w:hint="eastAsia" w:asciiTheme="minorEastAsia" w:hAnsiTheme="minorEastAsia" w:eastAsiaTheme="minorEastAsia" w:cstheme="minorEastAsia"/>
                <w:sz w:val="24"/>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中小企业优惠措施</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1.项目属性：</w:t>
            </w:r>
            <w:r>
              <w:rPr>
                <w:rFonts w:hint="eastAsia" w:asciiTheme="minorEastAsia" w:hAnsiTheme="minorEastAsia" w:eastAsiaTheme="minorEastAsia" w:cstheme="minorEastAsia"/>
                <w:sz w:val="24"/>
                <w:u w:val="single"/>
              </w:rPr>
              <w:t>服务类</w:t>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2.中小企业划分标准所属行业（具体根据《中小企业划型标准规定》执行）：</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采购标的：</w:t>
            </w:r>
            <w:r>
              <w:rPr>
                <w:rFonts w:hint="eastAsia" w:asciiTheme="minorEastAsia" w:hAnsiTheme="minorEastAsia" w:eastAsiaTheme="minorEastAsia" w:cstheme="minorEastAsia"/>
                <w:sz w:val="24"/>
                <w:u w:val="single"/>
              </w:rPr>
              <w:t>物业管理</w:t>
            </w:r>
            <w:r>
              <w:rPr>
                <w:rFonts w:hint="eastAsia" w:asciiTheme="minorEastAsia" w:hAnsiTheme="minorEastAsia" w:eastAsiaTheme="minorEastAsia" w:cstheme="minorEastAsia"/>
                <w:sz w:val="24"/>
              </w:rPr>
              <w:t>，所属行业：</w:t>
            </w:r>
            <w:r>
              <w:rPr>
                <w:rFonts w:hint="eastAsia" w:asciiTheme="minorEastAsia" w:hAnsiTheme="minorEastAsia" w:eastAsiaTheme="minorEastAsia" w:cstheme="minorEastAsia"/>
                <w:sz w:val="24"/>
                <w:u w:val="single"/>
              </w:rPr>
              <w:t xml:space="preserve">物业管理 </w:t>
            </w:r>
            <w:r>
              <w:rPr>
                <w:rFonts w:hint="eastAsia" w:asciiTheme="minorEastAsia" w:hAnsiTheme="minorEastAsia" w:eastAsiaTheme="minorEastAsia" w:cstheme="minorEastAsia"/>
                <w:sz w:val="24"/>
              </w:rPr>
              <w:t>。</w:t>
            </w:r>
          </w:p>
          <w:p>
            <w:pPr>
              <w:spacing w:line="30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3.属于享受政府采购支持政策的残疾人福利性单位，</w:t>
            </w:r>
            <w:r>
              <w:rPr>
                <w:rFonts w:hint="eastAsia" w:asciiTheme="minorEastAsia" w:hAnsiTheme="minorEastAsia" w:eastAsiaTheme="minorEastAsia" w:cstheme="minorEastAsia"/>
                <w:color w:val="000000" w:themeColor="text1"/>
                <w:sz w:val="24"/>
                <w14:textFill>
                  <w14:solidFill>
                    <w14:schemeClr w14:val="tx1"/>
                  </w14:solidFill>
                </w14:textFill>
              </w:rPr>
              <w:t>应符合财库</w:t>
            </w:r>
            <w:r>
              <w:rPr>
                <w:rFonts w:hint="eastAsia" w:asciiTheme="minorEastAsia" w:hAnsiTheme="minorEastAsia" w:eastAsiaTheme="minorEastAsia" w:cstheme="minorEastAsia"/>
                <w:sz w:val="24"/>
              </w:rPr>
              <w:t>〔2017〕</w:t>
            </w:r>
            <w:r>
              <w:rPr>
                <w:rFonts w:hint="eastAsia" w:asciiTheme="minorEastAsia" w:hAnsiTheme="minorEastAsia" w:eastAsiaTheme="minorEastAsia" w:cstheme="minorEastAsia"/>
                <w:color w:val="000000" w:themeColor="text1"/>
                <w:sz w:val="24"/>
                <w14:textFill>
                  <w14:solidFill>
                    <w14:schemeClr w14:val="tx1"/>
                  </w14:solidFill>
                </w14:textFill>
              </w:rPr>
              <w:t>141号文件规定，</w:t>
            </w:r>
            <w:r>
              <w:rPr>
                <w:rFonts w:hint="eastAsia" w:asciiTheme="minorEastAsia" w:hAnsiTheme="minorEastAsia" w:eastAsiaTheme="minorEastAsia" w:cstheme="minorEastAsia"/>
                <w:sz w:val="24"/>
              </w:rPr>
              <w:t>视同小型、微型企业，</w:t>
            </w:r>
            <w:r>
              <w:rPr>
                <w:rFonts w:hint="eastAsia" w:asciiTheme="minorEastAsia" w:hAnsiTheme="minorEastAsia" w:eastAsiaTheme="minorEastAsia" w:cstheme="minorEastAsia"/>
                <w:color w:val="000000" w:themeColor="text1"/>
                <w:sz w:val="24"/>
                <w14:textFill>
                  <w14:solidFill>
                    <w14:schemeClr w14:val="tx1"/>
                  </w14:solidFill>
                </w14:textFill>
              </w:rPr>
              <w:t>在投标文件中提供《残疾人福利性单位声明函》（见附件），</w:t>
            </w:r>
            <w:r>
              <w:rPr>
                <w:rFonts w:hint="eastAsia" w:asciiTheme="minorEastAsia" w:hAnsiTheme="minorEastAsia" w:eastAsiaTheme="minorEastAsia" w:cstheme="minorEastAsia"/>
                <w:sz w:val="24"/>
              </w:rPr>
              <w:t>享受评审中价格扣除政策</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spacing w:line="30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sz w:val="24"/>
              </w:rPr>
              <w:t>质疑渠道</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实质性条款</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zh-CN"/>
              </w:rPr>
              <w:t>带“</w:t>
            </w:r>
            <w:r>
              <w:rPr>
                <w:rFonts w:hint="eastAsia" w:asciiTheme="minorEastAsia" w:hAnsiTheme="minorEastAsia" w:eastAsiaTheme="minorEastAsia" w:cstheme="minorEastAsia"/>
                <w:bCs/>
                <w:sz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主要性能参数</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书面形式</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w:t>
            </w:r>
          </w:p>
        </w:tc>
        <w:tc>
          <w:tcPr>
            <w:tcW w:w="19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解释权</w:t>
            </w:r>
          </w:p>
        </w:tc>
        <w:tc>
          <w:tcPr>
            <w:tcW w:w="626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30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本招标文件解释权属于采购人和采购组织机构。</w:t>
            </w:r>
          </w:p>
        </w:tc>
      </w:tr>
    </w:tbl>
    <w:p>
      <w:pPr>
        <w:pStyle w:val="14"/>
        <w:snapToGrid w:val="0"/>
        <w:spacing w:line="360" w:lineRule="auto"/>
        <w:ind w:firstLine="482" w:firstLineChars="200"/>
        <w:rPr>
          <w:rFonts w:asciiTheme="minorEastAsia" w:hAnsiTheme="minorEastAsia" w:eastAsiaTheme="minorEastAsia"/>
          <w:b/>
          <w:sz w:val="24"/>
        </w:rPr>
      </w:pPr>
      <w:bookmarkStart w:id="35" w:name="_Toc13072_WPSOffice_Level1"/>
      <w:r>
        <w:rPr>
          <w:rFonts w:hint="eastAsia" w:asciiTheme="minorEastAsia" w:hAnsiTheme="minorEastAsia" w:eastAsiaTheme="minorEastAsia"/>
          <w:b/>
          <w:sz w:val="24"/>
        </w:rPr>
        <w:t>二、说 明</w:t>
      </w:r>
    </w:p>
    <w:p>
      <w:pPr>
        <w:pStyle w:val="15"/>
        <w:numPr>
          <w:ilvl w:val="0"/>
          <w:numId w:val="8"/>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8"/>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sz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4"/>
        <w:snapToGrid w:val="0"/>
        <w:spacing w:line="360" w:lineRule="auto"/>
        <w:ind w:left="2" w:leftChars="1" w:firstLine="482" w:firstLineChars="200"/>
        <w:rPr>
          <w:rFonts w:hAnsi="宋体"/>
          <w:b/>
          <w:sz w:val="24"/>
        </w:rPr>
      </w:pPr>
      <w:r>
        <w:rPr>
          <w:rFonts w:hint="eastAsia" w:hAnsi="宋体"/>
          <w:b/>
          <w:sz w:val="24"/>
        </w:rPr>
        <w:t>（七）特别说明</w:t>
      </w:r>
    </w:p>
    <w:p>
      <w:pPr>
        <w:pStyle w:val="14"/>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9"/>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本招标文件中关于电子招投标的内容、流程，如与政采云系统中最新的内容、操作不一致的，以政采云系统中的要求为准。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9"/>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rPr>
        <w:t>（以联合体形式参加本项目投标的，联合体各方均应当提供如下资格证明材料。</w:t>
      </w:r>
      <w:r>
        <w:rPr>
          <w:rFonts w:hint="eastAsia" w:ascii="宋体" w:hAnsi="宋体"/>
          <w:b/>
          <w:sz w:val="24"/>
        </w:rPr>
        <w:t>）</w:t>
      </w:r>
    </w:p>
    <w:p>
      <w:pPr>
        <w:snapToGrid w:val="0"/>
        <w:spacing w:line="360" w:lineRule="auto"/>
        <w:ind w:firstLine="480" w:firstLineChars="200"/>
        <w:rPr>
          <w:rFonts w:ascii="宋体" w:hAnsi="宋体" w:cs="宋体"/>
          <w:sz w:val="24"/>
        </w:rPr>
      </w:pPr>
      <w:r>
        <w:rPr>
          <w:rFonts w:hint="eastAsia" w:ascii="宋体" w:hAnsi="宋体"/>
          <w:bCs/>
          <w:sz w:val="24"/>
        </w:rPr>
        <w:t>（1）</w:t>
      </w:r>
      <w:r>
        <w:rPr>
          <w:rFonts w:hint="eastAsia" w:ascii="宋体" w:hAnsi="宋体" w:cs="宋体"/>
          <w:sz w:val="24"/>
        </w:rPr>
        <w:t>投标声明书；</w:t>
      </w:r>
    </w:p>
    <w:p>
      <w:pPr>
        <w:snapToGrid w:val="0"/>
        <w:spacing w:line="360" w:lineRule="auto"/>
        <w:ind w:firstLine="480" w:firstLineChars="200"/>
        <w:rPr>
          <w:rFonts w:ascii="宋体" w:hAnsi="宋体" w:cs="宋体"/>
          <w:sz w:val="24"/>
        </w:rPr>
      </w:pPr>
      <w:r>
        <w:rPr>
          <w:rFonts w:hint="eastAsia" w:ascii="宋体" w:hAnsi="宋体" w:cs="宋体"/>
          <w:sz w:val="24"/>
        </w:rPr>
        <w:t>（2）授权委托书或联合体授权委托书（法定代表人亲自办理投标事宜的，则无需提交授权委托书；以联合体形式投标时需提供联合体授权委托书）；</w:t>
      </w:r>
    </w:p>
    <w:p>
      <w:pPr>
        <w:snapToGrid w:val="0"/>
        <w:spacing w:line="360" w:lineRule="auto"/>
        <w:ind w:firstLine="480" w:firstLineChars="200"/>
        <w:rPr>
          <w:rFonts w:ascii="宋体" w:hAnsi="宋体" w:cs="宋体"/>
          <w:sz w:val="24"/>
        </w:rPr>
      </w:pPr>
      <w:r>
        <w:rPr>
          <w:rFonts w:hint="eastAsia" w:ascii="宋体" w:hAnsi="宋体" w:cs="宋体"/>
          <w:sz w:val="24"/>
        </w:rPr>
        <w:t>（3）联合体共同投标协议书（以联合体形式投标时需提供）；</w:t>
      </w:r>
    </w:p>
    <w:p>
      <w:pPr>
        <w:snapToGrid w:val="0"/>
        <w:spacing w:line="360" w:lineRule="auto"/>
        <w:ind w:firstLine="480" w:firstLineChars="200"/>
        <w:rPr>
          <w:rFonts w:ascii="宋体" w:hAnsi="宋体" w:cs="宋体"/>
          <w:sz w:val="24"/>
        </w:rPr>
      </w:pPr>
      <w:r>
        <w:rPr>
          <w:rFonts w:hint="eastAsia" w:ascii="宋体" w:hAnsi="宋体" w:cs="宋体"/>
          <w:sz w:val="24"/>
        </w:rPr>
        <w:t>（4）法人或者其他组织的营业执照等证明文件，自然人的身份证明；</w:t>
      </w:r>
    </w:p>
    <w:p>
      <w:pPr>
        <w:snapToGrid w:val="0"/>
        <w:spacing w:line="360" w:lineRule="auto"/>
        <w:ind w:firstLine="480" w:firstLineChars="200"/>
        <w:rPr>
          <w:rFonts w:ascii="宋体" w:hAnsi="宋体" w:cs="宋体"/>
          <w:sz w:val="24"/>
        </w:rPr>
      </w:pPr>
      <w:r>
        <w:rPr>
          <w:rFonts w:hint="eastAsia" w:ascii="宋体" w:hAnsi="宋体" w:cs="宋体"/>
          <w:sz w:val="24"/>
        </w:rPr>
        <w:t>（5）符合参与政府采购活动的资格条件并且没有税收缴纳、社会保障等方面的失信记录的承诺函；</w:t>
      </w:r>
    </w:p>
    <w:p>
      <w:pPr>
        <w:snapToGrid w:val="0"/>
        <w:spacing w:line="360" w:lineRule="auto"/>
        <w:ind w:firstLine="480" w:firstLineChars="200"/>
        <w:rPr>
          <w:rFonts w:ascii="宋体" w:hAnsi="宋体" w:cs="宋体"/>
          <w:sz w:val="24"/>
        </w:rPr>
      </w:pPr>
      <w:r>
        <w:rPr>
          <w:rFonts w:hint="eastAsia" w:ascii="宋体" w:hAnsi="宋体" w:cs="宋体"/>
          <w:sz w:val="24"/>
        </w:rPr>
        <w:t>（6）具备履行合同所必需的设备和专业技术能力的证明材料（根据项目性质提供）；</w:t>
      </w:r>
    </w:p>
    <w:p>
      <w:pPr>
        <w:snapToGrid w:val="0"/>
        <w:spacing w:line="360" w:lineRule="auto"/>
        <w:ind w:firstLine="480" w:firstLineChars="200"/>
        <w:rPr>
          <w:rFonts w:ascii="宋体" w:hAnsi="宋体" w:cs="宋体"/>
          <w:sz w:val="24"/>
        </w:rPr>
      </w:pPr>
      <w:r>
        <w:rPr>
          <w:rFonts w:hint="eastAsia" w:ascii="宋体" w:hAnsi="宋体" w:cs="宋体"/>
          <w:sz w:val="24"/>
        </w:rPr>
        <w:t>（7）提供采购公告中符合投标人特定条件的有效资质证书扫描件，以及需要说明的其他资料。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b/>
          <w:bCs/>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2"/>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2"/>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投标人对项目现状及需求的理解状况，对项目现状和需求描述的全面性、准确性、针对性，项目功能设计完备、对系统各组成部分等功能进行准确的分析，对项目重点、难点的把握，解决方案及合理化建议）；</w:t>
      </w:r>
    </w:p>
    <w:p>
      <w:pPr>
        <w:pStyle w:val="2"/>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2"/>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2"/>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2"/>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2"/>
        <w:widowControl/>
        <w:numPr>
          <w:ilvl w:val="0"/>
          <w:numId w:val="9"/>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项目分包方案；</w:t>
      </w:r>
      <w:r>
        <w:rPr>
          <w:rFonts w:hint="eastAsia" w:ascii="Calibri" w:hAnsi="Calibri" w:cs="Calibri"/>
          <w:sz w:val="24"/>
          <w:szCs w:val="24"/>
        </w:rPr>
        <w:tab/>
      </w:r>
    </w:p>
    <w:p>
      <w:pPr>
        <w:pStyle w:val="2"/>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2"/>
        <w:widowControl/>
        <w:numPr>
          <w:ilvl w:val="0"/>
          <w:numId w:val="9"/>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9"/>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9"/>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9"/>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9"/>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9"/>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10"/>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widowControl/>
        <w:numPr>
          <w:ilvl w:val="0"/>
          <w:numId w:val="10"/>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2"/>
        <w:widowControl/>
        <w:numPr>
          <w:ilvl w:val="0"/>
          <w:numId w:val="10"/>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lang w:val="en-GB"/>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p>
    <w:p>
      <w:pPr>
        <w:autoSpaceDE w:val="0"/>
        <w:autoSpaceDN w:val="0"/>
        <w:adjustRightInd w:val="0"/>
        <w:spacing w:line="360" w:lineRule="auto"/>
        <w:ind w:firstLine="482" w:firstLineChars="20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2"/>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如采购组织机构顺延截止时间和开标时间，采购组织机构和投标人的权利和义务将受到新的截止时间和开标时间的约束。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4"/>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rPr>
        <w:t>六、评标（详见第四章）</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20"/>
        <w:spacing w:before="0" w:beforeAutospacing="0" w:after="0" w:afterAutospacing="0" w:line="360" w:lineRule="auto"/>
        <w:ind w:firstLine="482" w:firstLineChars="200"/>
        <w:jc w:val="both"/>
        <w:rPr>
          <w:rFonts w:hint="default"/>
          <w:b/>
          <w:bCs/>
        </w:rPr>
      </w:pPr>
      <w:r>
        <w:rPr>
          <w:rFonts w:asciiTheme="minorEastAsia" w:hAnsiTheme="minorEastAsia" w:eastAsiaTheme="minorEastAsia"/>
          <w:b/>
          <w:bCs/>
        </w:rPr>
        <w:t>（一）</w:t>
      </w:r>
      <w:r>
        <w:rPr>
          <w:b/>
          <w:bCs/>
        </w:rPr>
        <w:t>确定中标人</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rPr>
        <w:t>1</w:t>
      </w:r>
      <w:r>
        <w:rPr>
          <w:rFonts w:ascii="宋体" w:hAnsi="宋体"/>
          <w:kern w:val="0"/>
          <w:sz w:val="24"/>
        </w:rPr>
        <w:t>个</w:t>
      </w:r>
      <w:r>
        <w:rPr>
          <w:sz w:val="24"/>
        </w:rPr>
        <w:t>工作日</w:t>
      </w:r>
      <w:r>
        <w:rPr>
          <w:rFonts w:hint="eastAsia" w:ascii="宋体" w:hAnsi="宋体"/>
          <w:kern w:val="0"/>
          <w:sz w:val="24"/>
        </w:rPr>
        <w:t>。</w:t>
      </w:r>
    </w:p>
    <w:p>
      <w:pPr>
        <w:pStyle w:val="9"/>
        <w:numPr>
          <w:ilvl w:val="0"/>
          <w:numId w:val="8"/>
        </w:numPr>
        <w:spacing w:line="360" w:lineRule="auto"/>
        <w:ind w:firstLine="482" w:firstLineChars="200"/>
        <w:jc w:val="both"/>
        <w:rPr>
          <w:b/>
          <w:bCs/>
          <w:sz w:val="24"/>
        </w:rPr>
      </w:pPr>
      <w:r>
        <w:rPr>
          <w:rFonts w:hint="eastAsia"/>
          <w:b/>
          <w:bCs/>
          <w:sz w:val="24"/>
        </w:rPr>
        <w:t>发放中标通知书</w:t>
      </w:r>
    </w:p>
    <w:p>
      <w:pPr>
        <w:pStyle w:val="9"/>
        <w:spacing w:line="360" w:lineRule="auto"/>
        <w:ind w:firstLine="420" w:firstLineChars="175"/>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0"/>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20"/>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2.采购人不得向中标人提出任何不合理的要求作为签订合同的条件。</w:t>
      </w:r>
    </w:p>
    <w:p>
      <w:pPr>
        <w:pStyle w:val="20"/>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3.中标人无故拖延、拒签合同的，将取消中标资格。</w:t>
      </w:r>
    </w:p>
    <w:p>
      <w:pPr>
        <w:pStyle w:val="20"/>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20"/>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5.询问或者质疑事项可能影响中标结果的，采购人应当暂停签订合同，已经签订合同的，应当中止履行合同。</w:t>
      </w:r>
    </w:p>
    <w:p>
      <w:pPr>
        <w:pStyle w:val="20"/>
        <w:spacing w:before="0" w:beforeAutospacing="0" w:after="0" w:afterAutospacing="0" w:line="360" w:lineRule="auto"/>
        <w:ind w:firstLine="482" w:firstLineChars="200"/>
        <w:jc w:val="both"/>
        <w:rPr>
          <w:rFonts w:hint="default" w:cs="仿宋_GB2312"/>
          <w:b/>
        </w:rPr>
      </w:pPr>
      <w:r>
        <w:rPr>
          <w:b/>
        </w:rPr>
        <w:t>（二）合同公告及备案</w:t>
      </w:r>
    </w:p>
    <w:p>
      <w:pPr>
        <w:pStyle w:val="13"/>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7"/>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招标需求</w:t>
      </w:r>
      <w:bookmarkEnd w:id="35"/>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1</w:t>
      </w:r>
      <w:r>
        <w:rPr>
          <w:rFonts w:hint="eastAsia" w:asciiTheme="minorEastAsia" w:hAnsiTheme="minorEastAsia" w:eastAsiaTheme="minorEastAsia"/>
          <w:sz w:val="24"/>
        </w:rPr>
        <w:t>个标项，具体内容如下表：</w:t>
      </w:r>
    </w:p>
    <w:tbl>
      <w:tblPr>
        <w:tblStyle w:val="22"/>
        <w:tblpPr w:leftFromText="181" w:rightFromText="181" w:bottomFromText="170" w:vertAnchor="text" w:tblpXSpec="center" w:tblpY="1"/>
        <w:tblOverlap w:val="never"/>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332"/>
        <w:gridCol w:w="1763"/>
        <w:gridCol w:w="840"/>
        <w:gridCol w:w="950"/>
        <w:gridCol w:w="1183"/>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16" w:type="dxa"/>
            <w:vAlign w:val="center"/>
          </w:tcPr>
          <w:p>
            <w:pPr>
              <w:tabs>
                <w:tab w:val="left" w:pos="8280"/>
              </w:tabs>
              <w:autoSpaceDE w:val="0"/>
              <w:autoSpaceDN w:val="0"/>
              <w:adjustRightInd w:val="0"/>
              <w:jc w:val="center"/>
              <w:rPr>
                <w:rFonts w:ascii="宋体"/>
                <w:b/>
                <w:szCs w:val="21"/>
              </w:rPr>
            </w:pPr>
            <w:r>
              <w:rPr>
                <w:rFonts w:hint="eastAsia" w:ascii="宋体" w:hAnsi="宋体"/>
                <w:b/>
                <w:sz w:val="24"/>
              </w:rPr>
              <w:t>标项号</w:t>
            </w:r>
          </w:p>
        </w:tc>
        <w:tc>
          <w:tcPr>
            <w:tcW w:w="2332" w:type="dxa"/>
            <w:vAlign w:val="center"/>
          </w:tcPr>
          <w:p>
            <w:pPr>
              <w:tabs>
                <w:tab w:val="left" w:pos="8280"/>
              </w:tabs>
              <w:autoSpaceDE w:val="0"/>
              <w:autoSpaceDN w:val="0"/>
              <w:adjustRightInd w:val="0"/>
              <w:jc w:val="center"/>
              <w:rPr>
                <w:rFonts w:ascii="宋体" w:hAnsi="宋体"/>
                <w:b/>
                <w:sz w:val="24"/>
              </w:rPr>
            </w:pPr>
            <w:r>
              <w:rPr>
                <w:rFonts w:hint="eastAsia" w:ascii="宋体" w:hAnsi="宋体"/>
                <w:b/>
                <w:sz w:val="24"/>
              </w:rPr>
              <w:t>项目</w:t>
            </w:r>
          </w:p>
          <w:p>
            <w:pPr>
              <w:tabs>
                <w:tab w:val="left" w:pos="8280"/>
              </w:tabs>
              <w:autoSpaceDE w:val="0"/>
              <w:autoSpaceDN w:val="0"/>
              <w:adjustRightInd w:val="0"/>
              <w:jc w:val="center"/>
              <w:rPr>
                <w:rFonts w:ascii="宋体"/>
                <w:b/>
                <w:szCs w:val="21"/>
              </w:rPr>
            </w:pPr>
            <w:r>
              <w:rPr>
                <w:rFonts w:hint="eastAsia" w:ascii="宋体" w:hAnsi="宋体"/>
                <w:b/>
                <w:sz w:val="24"/>
              </w:rPr>
              <w:t>名称</w:t>
            </w:r>
          </w:p>
        </w:tc>
        <w:tc>
          <w:tcPr>
            <w:tcW w:w="1763" w:type="dxa"/>
            <w:vAlign w:val="center"/>
          </w:tcPr>
          <w:p>
            <w:pPr>
              <w:tabs>
                <w:tab w:val="left" w:pos="8280"/>
              </w:tabs>
              <w:autoSpaceDE w:val="0"/>
              <w:autoSpaceDN w:val="0"/>
              <w:adjustRightInd w:val="0"/>
              <w:jc w:val="center"/>
              <w:rPr>
                <w:rFonts w:ascii="宋体"/>
                <w:b/>
                <w:szCs w:val="21"/>
              </w:rPr>
            </w:pPr>
            <w:r>
              <w:rPr>
                <w:rFonts w:hint="eastAsia" w:ascii="宋体" w:hAnsi="宋体" w:cs="宋体"/>
                <w:b/>
                <w:kern w:val="0"/>
                <w:sz w:val="24"/>
              </w:rPr>
              <w:t>简要技术要求</w:t>
            </w:r>
          </w:p>
        </w:tc>
        <w:tc>
          <w:tcPr>
            <w:tcW w:w="840" w:type="dxa"/>
            <w:vAlign w:val="center"/>
          </w:tcPr>
          <w:p>
            <w:pPr>
              <w:tabs>
                <w:tab w:val="left" w:pos="8280"/>
              </w:tabs>
              <w:autoSpaceDE w:val="0"/>
              <w:autoSpaceDN w:val="0"/>
              <w:adjustRightInd w:val="0"/>
              <w:jc w:val="center"/>
              <w:rPr>
                <w:rFonts w:ascii="宋体"/>
                <w:b/>
                <w:szCs w:val="21"/>
              </w:rPr>
            </w:pPr>
            <w:r>
              <w:rPr>
                <w:rFonts w:hint="eastAsia" w:ascii="宋体" w:hAnsi="宋体"/>
                <w:b/>
                <w:sz w:val="24"/>
              </w:rPr>
              <w:t>数量</w:t>
            </w:r>
          </w:p>
        </w:tc>
        <w:tc>
          <w:tcPr>
            <w:tcW w:w="950" w:type="dxa"/>
            <w:vAlign w:val="center"/>
          </w:tcPr>
          <w:p>
            <w:pPr>
              <w:tabs>
                <w:tab w:val="left" w:pos="8280"/>
              </w:tabs>
              <w:autoSpaceDE w:val="0"/>
              <w:autoSpaceDN w:val="0"/>
              <w:adjustRightInd w:val="0"/>
              <w:jc w:val="center"/>
              <w:rPr>
                <w:rFonts w:ascii="宋体"/>
                <w:b/>
                <w:szCs w:val="21"/>
              </w:rPr>
            </w:pPr>
            <w:r>
              <w:rPr>
                <w:rFonts w:hint="eastAsia" w:ascii="宋体" w:hAnsi="宋体"/>
                <w:b/>
                <w:sz w:val="24"/>
              </w:rPr>
              <w:t>单位</w:t>
            </w:r>
          </w:p>
        </w:tc>
        <w:tc>
          <w:tcPr>
            <w:tcW w:w="1183" w:type="dxa"/>
            <w:vAlign w:val="center"/>
          </w:tcPr>
          <w:p>
            <w:pPr>
              <w:tabs>
                <w:tab w:val="left" w:pos="8280"/>
              </w:tabs>
              <w:autoSpaceDE w:val="0"/>
              <w:autoSpaceDN w:val="0"/>
              <w:adjustRightInd w:val="0"/>
              <w:jc w:val="center"/>
              <w:rPr>
                <w:rFonts w:ascii="宋体" w:hAnsi="宋体"/>
                <w:b/>
                <w:sz w:val="24"/>
              </w:rPr>
            </w:pPr>
            <w:r>
              <w:rPr>
                <w:rFonts w:hint="eastAsia" w:ascii="宋体" w:hAnsi="宋体"/>
                <w:b/>
                <w:sz w:val="24"/>
              </w:rPr>
              <w:t>预算</w:t>
            </w:r>
          </w:p>
          <w:p>
            <w:pPr>
              <w:tabs>
                <w:tab w:val="left" w:pos="8280"/>
              </w:tabs>
              <w:autoSpaceDE w:val="0"/>
              <w:autoSpaceDN w:val="0"/>
              <w:adjustRightInd w:val="0"/>
              <w:jc w:val="center"/>
              <w:rPr>
                <w:rFonts w:ascii="宋体"/>
                <w:b/>
                <w:szCs w:val="21"/>
              </w:rPr>
            </w:pPr>
            <w:r>
              <w:rPr>
                <w:rFonts w:hint="eastAsia" w:ascii="宋体" w:hAnsi="宋体"/>
                <w:b/>
                <w:sz w:val="24"/>
              </w:rPr>
              <w:t>（万元）</w:t>
            </w:r>
          </w:p>
          <w:p>
            <w:pPr>
              <w:tabs>
                <w:tab w:val="left" w:pos="8280"/>
              </w:tabs>
              <w:autoSpaceDE w:val="0"/>
              <w:autoSpaceDN w:val="0"/>
              <w:adjustRightInd w:val="0"/>
              <w:jc w:val="center"/>
              <w:rPr>
                <w:rFonts w:ascii="宋体" w:hAnsi="宋体"/>
                <w:b/>
                <w:szCs w:val="21"/>
              </w:rPr>
            </w:pPr>
          </w:p>
        </w:tc>
        <w:tc>
          <w:tcPr>
            <w:tcW w:w="2475" w:type="dxa"/>
            <w:vAlign w:val="center"/>
          </w:tcPr>
          <w:p>
            <w:pPr>
              <w:tabs>
                <w:tab w:val="left" w:pos="8280"/>
              </w:tabs>
              <w:autoSpaceDE w:val="0"/>
              <w:autoSpaceDN w:val="0"/>
              <w:adjustRightInd w:val="0"/>
              <w:ind w:right="25"/>
              <w:jc w:val="center"/>
              <w:rPr>
                <w:rFonts w:ascii="宋体" w:hAnsi="宋体"/>
                <w:b/>
                <w:sz w:val="24"/>
              </w:rPr>
            </w:pPr>
            <w:r>
              <w:rPr>
                <w:rFonts w:hint="eastAsia" w:asciiTheme="minorEastAsia" w:hAnsiTheme="minorEastAsia" w:eastAsiaTheme="minorEastAsia"/>
                <w:b/>
                <w:sz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16" w:type="dxa"/>
            <w:vAlign w:val="center"/>
          </w:tcPr>
          <w:p>
            <w:pPr>
              <w:tabs>
                <w:tab w:val="left" w:pos="8280"/>
              </w:tabs>
              <w:autoSpaceDE w:val="0"/>
              <w:autoSpaceDN w:val="0"/>
              <w:adjustRightInd w:val="0"/>
              <w:spacing w:line="360" w:lineRule="auto"/>
              <w:jc w:val="center"/>
              <w:rPr>
                <w:rFonts w:ascii="宋体" w:hAnsi="宋体" w:cs="宋体"/>
                <w:sz w:val="24"/>
              </w:rPr>
            </w:pPr>
            <w:r>
              <w:rPr>
                <w:rFonts w:hint="eastAsia" w:ascii="宋体" w:hAnsi="宋体"/>
                <w:sz w:val="24"/>
              </w:rPr>
              <w:t>1</w:t>
            </w:r>
          </w:p>
        </w:tc>
        <w:tc>
          <w:tcPr>
            <w:tcW w:w="2332" w:type="dxa"/>
            <w:vAlign w:val="center"/>
          </w:tcPr>
          <w:p>
            <w:pPr>
              <w:widowControl/>
              <w:jc w:val="center"/>
              <w:rPr>
                <w:rFonts w:ascii="宋体" w:hAnsi="宋体" w:cs="宋体"/>
                <w:b/>
                <w:sz w:val="24"/>
              </w:rPr>
            </w:pPr>
            <w:r>
              <w:rPr>
                <w:rFonts w:hint="eastAsia" w:ascii="宋体" w:hAnsi="宋体" w:cs="宋体"/>
                <w:sz w:val="24"/>
              </w:rPr>
              <w:t>台州市公安局高速公路交通警察支队物业管理服务采购项目</w:t>
            </w:r>
          </w:p>
        </w:tc>
        <w:tc>
          <w:tcPr>
            <w:tcW w:w="1763" w:type="dxa"/>
            <w:vAlign w:val="center"/>
          </w:tcPr>
          <w:p>
            <w:pPr>
              <w:tabs>
                <w:tab w:val="left" w:pos="8280"/>
              </w:tabs>
              <w:autoSpaceDE w:val="0"/>
              <w:autoSpaceDN w:val="0"/>
              <w:adjustRightInd w:val="0"/>
              <w:spacing w:line="360" w:lineRule="auto"/>
              <w:jc w:val="center"/>
              <w:rPr>
                <w:rFonts w:ascii="宋体" w:hAnsi="宋体" w:cs="宋体"/>
                <w:b/>
                <w:sz w:val="24"/>
              </w:rPr>
            </w:pPr>
            <w:r>
              <w:rPr>
                <w:rFonts w:hint="eastAsia" w:asciiTheme="minorEastAsia" w:hAnsiTheme="minorEastAsia" w:eastAsiaTheme="minorEastAsia"/>
                <w:sz w:val="24"/>
              </w:rPr>
              <w:t>详见服务需求</w:t>
            </w:r>
          </w:p>
        </w:tc>
        <w:tc>
          <w:tcPr>
            <w:tcW w:w="840" w:type="dxa"/>
            <w:vAlign w:val="center"/>
          </w:tcPr>
          <w:p>
            <w:pPr>
              <w:tabs>
                <w:tab w:val="left" w:pos="8280"/>
              </w:tabs>
              <w:autoSpaceDE w:val="0"/>
              <w:autoSpaceDN w:val="0"/>
              <w:adjustRightInd w:val="0"/>
              <w:spacing w:line="360" w:lineRule="auto"/>
              <w:ind w:right="25"/>
              <w:jc w:val="center"/>
              <w:rPr>
                <w:rFonts w:ascii="宋体" w:hAnsi="宋体" w:cs="宋体"/>
                <w:bCs/>
                <w:sz w:val="24"/>
              </w:rPr>
            </w:pPr>
            <w:r>
              <w:rPr>
                <w:rFonts w:hint="eastAsia" w:ascii="宋体" w:hAnsi="宋体" w:cs="宋体"/>
                <w:bCs/>
                <w:sz w:val="24"/>
              </w:rPr>
              <w:t>3</w:t>
            </w:r>
          </w:p>
        </w:tc>
        <w:tc>
          <w:tcPr>
            <w:tcW w:w="950" w:type="dxa"/>
            <w:vAlign w:val="center"/>
          </w:tcPr>
          <w:p>
            <w:pPr>
              <w:tabs>
                <w:tab w:val="left" w:pos="8280"/>
              </w:tabs>
              <w:autoSpaceDE w:val="0"/>
              <w:autoSpaceDN w:val="0"/>
              <w:adjustRightInd w:val="0"/>
              <w:spacing w:line="360" w:lineRule="auto"/>
              <w:ind w:right="25"/>
              <w:jc w:val="center"/>
              <w:rPr>
                <w:rFonts w:ascii="宋体" w:hAnsi="宋体" w:cs="宋体"/>
                <w:bCs/>
                <w:sz w:val="24"/>
              </w:rPr>
            </w:pPr>
            <w:r>
              <w:rPr>
                <w:rFonts w:hint="eastAsia" w:ascii="宋体" w:hAnsi="宋体" w:cs="宋体"/>
                <w:bCs/>
                <w:sz w:val="24"/>
              </w:rPr>
              <w:t>年</w:t>
            </w:r>
          </w:p>
        </w:tc>
        <w:tc>
          <w:tcPr>
            <w:tcW w:w="1183" w:type="dxa"/>
            <w:vAlign w:val="center"/>
          </w:tcPr>
          <w:p>
            <w:pPr>
              <w:tabs>
                <w:tab w:val="left" w:pos="8280"/>
              </w:tabs>
              <w:autoSpaceDE w:val="0"/>
              <w:autoSpaceDN w:val="0"/>
              <w:adjustRightInd w:val="0"/>
              <w:jc w:val="center"/>
              <w:rPr>
                <w:rFonts w:ascii="宋体" w:hAnsi="宋体" w:cs="宋体"/>
                <w:sz w:val="24"/>
              </w:rPr>
            </w:pPr>
            <w:r>
              <w:rPr>
                <w:rFonts w:hint="eastAsia" w:ascii="宋体" w:hAnsi="宋体" w:cs="宋体"/>
                <w:sz w:val="24"/>
              </w:rPr>
              <w:t>690</w:t>
            </w:r>
          </w:p>
        </w:tc>
        <w:tc>
          <w:tcPr>
            <w:tcW w:w="2475" w:type="dxa"/>
            <w:vAlign w:val="center"/>
          </w:tcPr>
          <w:p>
            <w:pPr>
              <w:tabs>
                <w:tab w:val="left" w:pos="8280"/>
              </w:tabs>
              <w:autoSpaceDE w:val="0"/>
              <w:autoSpaceDN w:val="0"/>
              <w:adjustRightInd w:val="0"/>
              <w:jc w:val="center"/>
              <w:rPr>
                <w:rFonts w:hint="eastAsia" w:ascii="宋体" w:hAnsi="宋体" w:eastAsia="宋体"/>
                <w:sz w:val="24"/>
                <w:lang w:val="en-US" w:eastAsia="zh-CN"/>
              </w:rPr>
            </w:pPr>
            <w:r>
              <w:rPr>
                <w:rFonts w:hint="eastAsia" w:ascii="宋体" w:hAnsi="宋体" w:cs="宋体"/>
                <w:sz w:val="24"/>
              </w:rPr>
              <w:t>台州市公安局高速公路交通警察支</w:t>
            </w:r>
            <w:r>
              <w:rPr>
                <w:rFonts w:hint="eastAsia" w:ascii="宋体" w:hAnsi="宋体" w:cs="宋体"/>
                <w:sz w:val="24"/>
                <w:lang w:val="en-US" w:eastAsia="zh-CN"/>
              </w:rPr>
              <w:t>队指定地点</w:t>
            </w:r>
          </w:p>
        </w:tc>
      </w:tr>
    </w:tbl>
    <w:p>
      <w:pPr>
        <w:numPr>
          <w:ilvl w:val="0"/>
          <w:numId w:val="11"/>
        </w:num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color w:val="000000" w:themeColor="text1"/>
          <w:sz w:val="24"/>
          <w14:textFill>
            <w14:solidFill>
              <w14:schemeClr w14:val="tx1"/>
            </w14:solidFill>
          </w14:textFill>
        </w:rPr>
        <w:t>服务需求：</w:t>
      </w:r>
    </w:p>
    <w:p>
      <w:pPr>
        <w:pStyle w:val="21"/>
        <w:spacing w:line="360" w:lineRule="auto"/>
        <w:ind w:left="0" w:leftChars="0" w:firstLine="0"/>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sz w:val="24"/>
        </w:rPr>
        <w:t>标段一：台州市公安局高速公路交通警察支队物业管理服务采购项目</w:t>
      </w:r>
      <w:r>
        <w:rPr>
          <w:rFonts w:hint="eastAsia" w:asciiTheme="minorEastAsia" w:hAnsiTheme="minorEastAsia" w:eastAsiaTheme="minorEastAsia" w:cstheme="minorEastAsia"/>
          <w:b/>
          <w:bCs/>
          <w:kern w:val="0"/>
          <w:sz w:val="24"/>
        </w:rPr>
        <w:t>服务参数及需求：</w:t>
      </w:r>
    </w:p>
    <w:p>
      <w:pPr>
        <w:pStyle w:val="2"/>
        <w:spacing w:line="360" w:lineRule="auto"/>
        <w:ind w:firstLine="482" w:firstLineChars="200"/>
        <w:rPr>
          <w:rFonts w:asciiTheme="minorEastAsia" w:hAnsiTheme="minorEastAsia" w:eastAsiaTheme="minorEastAsia" w:cstheme="minorEastAsia"/>
          <w:b/>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t>（一）项目概况</w:t>
      </w:r>
    </w:p>
    <w:p>
      <w:pPr>
        <w:pStyle w:val="2"/>
        <w:spacing w:line="360" w:lineRule="auto"/>
        <w:ind w:firstLine="480"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台州市公安局高速公路交通警察支队隶属于台州市公安局，支队部所在地为浙江省台州市黄岩区北城街道五里牌村203号，支队现有民警158名，辅警263名。支队下辖6个大队，其中一大队有两处驻点，分别位于台州市天台县始丰街道和合北路、临海市大田街道临海北收费站旁；二大队有两处驻点，分别位于临海市江南街道金家汇村市区收费站旁、台州市天台县街头镇塘里村路口；三大队位于支队部所在地；四大队有两处驻点，分别位于台州市仙居县南峰街道仙居收费站旁、仙居县白塔镇高迁村神仙居收费站旁；五大队有1处驻点，位于台州市椒江区三甲街道台州东收费站旁；六大队有1处驻点，位于台州市玉环玉城街道玉环收费站旁，各驻点均已配备厨房、餐厅、健身房、寝室等硬件设施。</w:t>
      </w:r>
    </w:p>
    <w:p>
      <w:pPr>
        <w:spacing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（二）项目范围、内容</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1、完成项目所涉及到的所有区域物业管理服务；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2、项目服务范围内容以项目简介中所涉及到的所有区域的保洁服务、秩序维护服务（包括巡逻、车辆管理等）、工程维修服务、绿化养护服务、会务服务、物业突发事件的应急处置等。</w:t>
      </w:r>
    </w:p>
    <w:p>
      <w:pPr>
        <w:spacing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三、岗位及人员配置要求</w:t>
      </w:r>
    </w:p>
    <w:p>
      <w:p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（一）岗位配置要求（人员配置以实际使用为准，以下仅供参考）：</w:t>
      </w:r>
    </w:p>
    <w:tbl>
      <w:tblPr>
        <w:tblStyle w:val="22"/>
        <w:tblW w:w="9952" w:type="dxa"/>
        <w:tblInd w:w="113" w:type="dxa"/>
        <w:tblLayout w:type="autofit"/>
        <w:tblCellMar>
          <w:top w:w="0" w:type="dxa"/>
          <w:left w:w="108" w:type="dxa"/>
          <w:bottom w:w="0" w:type="dxa"/>
          <w:right w:w="108" w:type="dxa"/>
        </w:tblCellMar>
      </w:tblPr>
      <w:tblGrid>
        <w:gridCol w:w="2405"/>
        <w:gridCol w:w="1701"/>
        <w:gridCol w:w="5846"/>
      </w:tblGrid>
      <w:tr>
        <w:tblPrEx>
          <w:tblCellMar>
            <w:top w:w="0" w:type="dxa"/>
            <w:left w:w="108" w:type="dxa"/>
            <w:bottom w:w="0" w:type="dxa"/>
            <w:right w:w="108" w:type="dxa"/>
          </w:tblCellMar>
        </w:tblPrEx>
        <w:trPr>
          <w:trHeight w:val="567" w:hRule="atLeast"/>
        </w:trPr>
        <w:tc>
          <w:tcPr>
            <w:tcW w:w="24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岗位</w:t>
            </w:r>
          </w:p>
        </w:tc>
        <w:tc>
          <w:tcPr>
            <w:tcW w:w="170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人数</w:t>
            </w:r>
          </w:p>
        </w:tc>
        <w:tc>
          <w:tcPr>
            <w:tcW w:w="584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岗位分布情况</w:t>
            </w:r>
          </w:p>
        </w:tc>
      </w:tr>
      <w:tr>
        <w:tblPrEx>
          <w:tblCellMar>
            <w:top w:w="0" w:type="dxa"/>
            <w:left w:w="108" w:type="dxa"/>
            <w:bottom w:w="0" w:type="dxa"/>
            <w:right w:w="108" w:type="dxa"/>
          </w:tblCellMar>
        </w:tblPrEx>
        <w:trPr>
          <w:trHeight w:val="567" w:hRule="atLeast"/>
        </w:trPr>
        <w:tc>
          <w:tcPr>
            <w:tcW w:w="240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项目经理</w:t>
            </w:r>
          </w:p>
        </w:tc>
        <w:tc>
          <w:tcPr>
            <w:tcW w:w="1701" w:type="dxa"/>
            <w:tcBorders>
              <w:top w:val="nil"/>
              <w:left w:val="nil"/>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w:t>
            </w:r>
          </w:p>
        </w:tc>
        <w:tc>
          <w:tcPr>
            <w:tcW w:w="584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支队1人</w:t>
            </w:r>
          </w:p>
        </w:tc>
      </w:tr>
      <w:tr>
        <w:tblPrEx>
          <w:tblCellMar>
            <w:top w:w="0" w:type="dxa"/>
            <w:left w:w="108" w:type="dxa"/>
            <w:bottom w:w="0" w:type="dxa"/>
            <w:right w:w="108" w:type="dxa"/>
          </w:tblCellMar>
        </w:tblPrEx>
        <w:trPr>
          <w:trHeight w:val="567" w:hRule="atLeast"/>
        </w:trPr>
        <w:tc>
          <w:tcPr>
            <w:tcW w:w="24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保洁</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12</w:t>
            </w:r>
          </w:p>
        </w:tc>
        <w:tc>
          <w:tcPr>
            <w:tcW w:w="584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一大队2人、二大队2人、三大队3人、四大队2人、五大队2人、六大队1人</w:t>
            </w:r>
          </w:p>
        </w:tc>
      </w:tr>
      <w:tr>
        <w:tblPrEx>
          <w:tblCellMar>
            <w:top w:w="0" w:type="dxa"/>
            <w:left w:w="108" w:type="dxa"/>
            <w:bottom w:w="0" w:type="dxa"/>
            <w:right w:w="108" w:type="dxa"/>
          </w:tblCellMar>
        </w:tblPrEx>
        <w:trPr>
          <w:trHeight w:val="567" w:hRule="atLeast"/>
        </w:trPr>
        <w:tc>
          <w:tcPr>
            <w:tcW w:w="24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会务</w:t>
            </w:r>
          </w:p>
        </w:tc>
        <w:tc>
          <w:tcPr>
            <w:tcW w:w="170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1</w:t>
            </w:r>
          </w:p>
        </w:tc>
        <w:tc>
          <w:tcPr>
            <w:tcW w:w="584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支队1人</w:t>
            </w:r>
          </w:p>
        </w:tc>
      </w:tr>
      <w:tr>
        <w:tblPrEx>
          <w:tblCellMar>
            <w:top w:w="0" w:type="dxa"/>
            <w:left w:w="108" w:type="dxa"/>
            <w:bottom w:w="0" w:type="dxa"/>
            <w:right w:w="108" w:type="dxa"/>
          </w:tblCellMar>
        </w:tblPrEx>
        <w:trPr>
          <w:trHeight w:val="567" w:hRule="atLeast"/>
        </w:trPr>
        <w:tc>
          <w:tcPr>
            <w:tcW w:w="24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绿化</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3</w:t>
            </w:r>
          </w:p>
        </w:tc>
        <w:tc>
          <w:tcPr>
            <w:tcW w:w="584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一大队、二大队共用1人，三大队、四大队共用1人，五大队、六大队共用1人</w:t>
            </w:r>
          </w:p>
        </w:tc>
      </w:tr>
      <w:tr>
        <w:tblPrEx>
          <w:tblCellMar>
            <w:top w:w="0" w:type="dxa"/>
            <w:left w:w="108" w:type="dxa"/>
            <w:bottom w:w="0" w:type="dxa"/>
            <w:right w:w="108" w:type="dxa"/>
          </w:tblCellMar>
        </w:tblPrEx>
        <w:trPr>
          <w:trHeight w:val="567" w:hRule="atLeast"/>
        </w:trPr>
        <w:tc>
          <w:tcPr>
            <w:tcW w:w="240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设备维护</w:t>
            </w:r>
          </w:p>
        </w:tc>
        <w:tc>
          <w:tcPr>
            <w:tcW w:w="170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w:t>
            </w:r>
          </w:p>
        </w:tc>
        <w:tc>
          <w:tcPr>
            <w:tcW w:w="584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一大队1人，三大队1人，二大队、四大队共用1人，五大队、六大队共用1人</w:t>
            </w:r>
          </w:p>
        </w:tc>
      </w:tr>
      <w:tr>
        <w:tblPrEx>
          <w:tblCellMar>
            <w:top w:w="0" w:type="dxa"/>
            <w:left w:w="108" w:type="dxa"/>
            <w:bottom w:w="0" w:type="dxa"/>
            <w:right w:w="108" w:type="dxa"/>
          </w:tblCellMar>
        </w:tblPrEx>
        <w:trPr>
          <w:trHeight w:val="567" w:hRule="atLeast"/>
        </w:trPr>
        <w:tc>
          <w:tcPr>
            <w:tcW w:w="240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安保人员</w:t>
            </w:r>
          </w:p>
        </w:tc>
        <w:tc>
          <w:tcPr>
            <w:tcW w:w="1701" w:type="dxa"/>
            <w:tcBorders>
              <w:top w:val="nil"/>
              <w:left w:val="nil"/>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11</w:t>
            </w:r>
          </w:p>
        </w:tc>
        <w:tc>
          <w:tcPr>
            <w:tcW w:w="584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一大队2人、二大队2人、三大队3人、四大队2人、五大队2人</w:t>
            </w:r>
          </w:p>
        </w:tc>
      </w:tr>
      <w:tr>
        <w:tblPrEx>
          <w:tblCellMar>
            <w:top w:w="0" w:type="dxa"/>
            <w:left w:w="108" w:type="dxa"/>
            <w:bottom w:w="0" w:type="dxa"/>
            <w:right w:w="108" w:type="dxa"/>
          </w:tblCellMar>
        </w:tblPrEx>
        <w:trPr>
          <w:trHeight w:val="567" w:hRule="atLeast"/>
        </w:trPr>
        <w:tc>
          <w:tcPr>
            <w:tcW w:w="2405"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总计</w:t>
            </w:r>
          </w:p>
        </w:tc>
        <w:tc>
          <w:tcPr>
            <w:tcW w:w="1701" w:type="dxa"/>
            <w:tcBorders>
              <w:top w:val="nil"/>
              <w:left w:val="nil"/>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32</w:t>
            </w:r>
          </w:p>
        </w:tc>
        <w:tc>
          <w:tcPr>
            <w:tcW w:w="5846"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tc>
      </w:tr>
    </w:tbl>
    <w:p>
      <w:pPr>
        <w:numPr>
          <w:ilvl w:val="0"/>
          <w:numId w:val="6"/>
        </w:numPr>
        <w:spacing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人员和服务要求</w:t>
      </w:r>
      <w:r>
        <w:rPr>
          <w:rFonts w:hint="eastAsia" w:asciiTheme="minorEastAsia" w:hAnsiTheme="minorEastAsia" w:eastAsiaTheme="minorEastAsia" w:cstheme="minorEastAsia"/>
          <w:sz w:val="24"/>
        </w:rPr>
        <w:t>：</w:t>
      </w:r>
    </w:p>
    <w:p>
      <w:pPr>
        <w:spacing w:line="360" w:lineRule="auto"/>
        <w:ind w:left="420" w:left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1、项目经理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年龄50周岁以下，大专及以上学历，持有物业</w:t>
      </w:r>
      <w:r>
        <w:rPr>
          <w:rFonts w:hint="eastAsia" w:asciiTheme="minorEastAsia" w:hAnsiTheme="minorEastAsia" w:eastAsiaTheme="minorEastAsia" w:cstheme="minorEastAsia"/>
          <w:sz w:val="24"/>
          <w:lang w:eastAsia="zh-CN"/>
        </w:rPr>
        <w:t>项目</w:t>
      </w:r>
      <w:r>
        <w:rPr>
          <w:rFonts w:hint="eastAsia" w:asciiTheme="minorEastAsia" w:hAnsiTheme="minorEastAsia" w:eastAsiaTheme="minorEastAsia" w:cstheme="minorEastAsia"/>
          <w:sz w:val="24"/>
        </w:rPr>
        <w:t>经理上岗证书，最好持有保安员证书，三年以上</w:t>
      </w:r>
      <w:r>
        <w:rPr>
          <w:rFonts w:hint="eastAsia" w:asciiTheme="minorEastAsia" w:hAnsiTheme="minorEastAsia" w:eastAsiaTheme="minorEastAsia" w:cstheme="minorEastAsia"/>
          <w:color w:val="000000" w:themeColor="text1"/>
          <w:sz w:val="24"/>
          <w14:textFill>
            <w14:solidFill>
              <w14:schemeClr w14:val="tx1"/>
            </w14:solidFill>
          </w14:textFill>
        </w:rPr>
        <w:t>物业管理项目经</w:t>
      </w:r>
      <w:r>
        <w:rPr>
          <w:rFonts w:hint="eastAsia" w:asciiTheme="minorEastAsia" w:hAnsiTheme="minorEastAsia" w:eastAsiaTheme="minorEastAsia" w:cstheme="minorEastAsia"/>
          <w:sz w:val="24"/>
        </w:rPr>
        <w:t>理工作经验。具有丰富的管理经验和较强的综合协调沟通能力，以及应变处理突发事件的能力。掌握项目所需的相关业务知识，了解各类设备设施及清洁用品的使用规范。对工作认真负责，爱岗敬业，制订本项目的工作计划，并监督、指导、检查计划执行情况，每星期根据实际情况召开工作例会（业主方项目负责人员视情参加）并定期向业主方管理部门汇报有关工作情况。</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工作时间：上午8:00至12:00，下午1:30至17：00（夏令时间14:00至17:30）。</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2、会务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会务内勤服务内容：做好内部业主报修、投诉接待、会务服务、档案管理工作，热情、周到、文明用语，主动询问并及时为客户提供服务；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要求：</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女性，年龄45周岁以下，高中以上文化程度，二年以上会务接待经验，持有客户服务管理师证书。五官端正，举止端庄大方，普通话标准，有礼仪常识，工作勤奋，较强的应变能力，要求完成会务服务接待管理工作，同时能够从事文档及表格的制作，能够认真完成业主交办的各项工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工作时间：上午8:00至12:00，下午1:30至17：00（夏令时间14:00至17:30），其他时段如有会议，应提前30分钟到场，做好相关会务准备，全程做好会务工作。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3、保洁岗</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保洁服务包括办公区、电梯间、楼梯走道、卫生间、会议室、阳台、楼顶、健身房、地下车库及室外道路、绿地等区域的保洁、清扫及垃圾收集、分类、清运工作。保洁人员需能胜任劳动强度。</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要求： </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1）男性60周岁以下，女性55周岁以下，身体健康，无不良嗜好，务必保持人员充裕，正常值班。</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实行环境清洁保障，保洁率达95%以上。保洁服务区域内无卫生死角，保持清洁，无明显污垢、无灰尘、无蜘蛛网，无乱贴、乱画和乱占用，无堆放杂物现象，公共场地纸屑、烟头等废弃物随时清理完毕。办公及公共场所垃圾中转日产日清。按要求对建筑物墙面、地面、楼道、卫生间、门及附属设施、垃圾处理设施等进行清洁工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3）实行每周检查制度。每日对保洁辖区进行检查小结，每周进行检查总结。对发现存在的问题要及时改进。业主每半月进行抽查，对发现存在的问题落实整改措施。</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4）保洁员在工作时发现设施损坏，或有破坏公共设施的行为，应及时通知业主。</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工作时间：上午8:00至12:00，下午1:30至5：00（夏令时间14:00至17:30）。</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工作时间可在总工作时长不变的情况下，根据各大队保洁工作需要调整上下班时间。</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4、绿化岗</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要求：男性60周岁以下，女性55周岁以下，身体健康，无不良嗜好。</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绿化养护服务标准：室内绿植租赁由专职租赁公司负责，室外绿化由绿化养护人员负责。植物配置合理，绿地充分，无裸露土地；花草树木生长正常，修剪及时，无枯枝死杈及病虫害现象；施肥、树木的修剪、割草（草的高度不超过8厘米）、清除杂草、病虫害防治、绿地内卫生保洁、灾后复壮、露天盆景修剪及浇水等；周边区域每年集中清理4次，绿地管理和养护措施落实，无破坏、践踏及随意占用现象，建立日常巡查制度，巡查人员每周对所管辖区的绿地巡查一次。绿化苗木做到每半月不少于一次养护，有枯黄或患有病虫害的绿植及时置换。</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工作时间：上午8:00至12:00，下午1:30至17：00（夏令时间14:00至17:30）</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5、工程设备维护岗</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要求：男性55周岁以内，高中及以上学历，须有三年以上相关维护经验，至少一名工程维护人员同时持有低压及高压电工证。最好持建（构）筑物消防员证或工程职业资格等级证书。</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程服务内容：定期做好用电线路、用水管道、空调设施等检查；协助和督促维保单位定期保养检修电梯、消防、监控、安防、空调、水泵等设备设施并做好记录；做好水、电、门、窗、通讯网络、给排水等的日常零修；及其他临时性任务。</w:t>
      </w:r>
    </w:p>
    <w:p>
      <w:pPr>
        <w:pStyle w:val="10"/>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工作时间：上午8:00至12:00，下午1:30至17：00（夏令时间14:00至17:30）</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6、安保人员</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要求：男性60周岁以下，高中及以上学历，20%以上为退伍人员，身体健康，无不良嗜好。</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内容：安保人员负责本岗位范围内的安保工作。维护正常的秩序和疏导工作，发现问题和异常情况，及时处理并报告；值勤期间必须穿制服，礼貌、周到地回答咨询问题，使用文明用语对待群众，携带安全装备设施，维护好大院的秩序，不得擅自离岗、脱岗，来访人员问清事由，出示有效证件，做好登记日志；负责指挥引导进出车辆和车场的安全管理，维持车场秩序，进入车辆必须停在划定的车位内，保障车辆和行人安全；夜班巡逻保安必须持强光手电，对光线不足或死角地方进行照射，排除藏匿的可以人员。协助业务进行日常的小件搬运工作及邮件存放保管工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工作时间：每日实行8小时工作制，具体上下班时间由所在大队根据需求安排。</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▲人员数量按照招标文件要求的人数进行报价，不得减少。</w:t>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四、其他说明</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1、本次报价是单年报价，</w:t>
      </w:r>
      <w:bookmarkStart w:id="36" w:name="_Hlk126589494"/>
      <w:r>
        <w:rPr>
          <w:rFonts w:hint="eastAsia" w:asciiTheme="minorEastAsia" w:hAnsiTheme="minorEastAsia" w:eastAsiaTheme="minorEastAsia" w:cstheme="minorEastAsia"/>
          <w:sz w:val="24"/>
        </w:rPr>
        <w:t>报价内容包含员工工资、社保、体检、福利、培训、服装、员工劳保用品、保洁工具、保洁易耗品、卫生间用纸、洗手液、安保工具器材、维修工具、空调滤网清洗费、单次300元以下的维修耗材、绿化养护工具及耗材、绿化苗木租赁（六个大队部各20盆，共计120盆）、维护及绿化人员高速往返费用、垃圾清运费用、税金、管理费等。投标单位在标书中应分别列清月度单价及总价，符合国家有关用工规定，物业能够正常运行。</w:t>
      </w:r>
      <w:bookmarkEnd w:id="36"/>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2、投标报价不能超出本项目的预算金额。</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3、中标单位应严格按照管理规定认真履行职责；对于不符合工作要求的人员,采购人有权要求予以更换，中标单位应按照要求及时予以更换。</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4、人员配置变动等特殊情况须经采购人同意。必须采取切实有效措施保持项目服务队伍的稳定，严格控制人员轮换岗比例。</w:t>
      </w:r>
      <w:r>
        <w:rPr>
          <w:rFonts w:hint="eastAsia" w:asciiTheme="minorEastAsia" w:hAnsiTheme="minorEastAsia" w:eastAsiaTheme="minorEastAsia" w:cstheme="minorEastAsia"/>
          <w:color w:val="000000" w:themeColor="text1"/>
          <w:sz w:val="24"/>
          <w14:textFill>
            <w14:solidFill>
              <w14:schemeClr w14:val="tx1"/>
            </w14:solidFill>
          </w14:textFill>
        </w:rPr>
        <w:t>经理等管理人员如在今后合作期间发生调动，</w:t>
      </w:r>
      <w:r>
        <w:rPr>
          <w:rFonts w:hint="eastAsia" w:asciiTheme="minorEastAsia" w:hAnsiTheme="minorEastAsia" w:eastAsiaTheme="minorEastAsia" w:cstheme="minorEastAsia"/>
          <w:bCs/>
          <w:color w:val="000000" w:themeColor="text1"/>
          <w:sz w:val="24"/>
          <w14:textFill>
            <w14:solidFill>
              <w14:schemeClr w14:val="tx1"/>
            </w14:solidFill>
          </w14:textFill>
        </w:rPr>
        <w:t>应提前一个月以书面形式通知采购人，须</w:t>
      </w:r>
      <w:r>
        <w:rPr>
          <w:rFonts w:hint="eastAsia" w:asciiTheme="minorEastAsia" w:hAnsiTheme="minorEastAsia" w:eastAsiaTheme="minorEastAsia" w:cstheme="minorEastAsia"/>
          <w:color w:val="000000" w:themeColor="text1"/>
          <w:sz w:val="24"/>
          <w14:textFill>
            <w14:solidFill>
              <w14:schemeClr w14:val="tx1"/>
            </w14:solidFill>
          </w14:textFill>
        </w:rPr>
        <w:t>提供相同资质的管理人员补充并经采购人同意。</w:t>
      </w:r>
      <w:r>
        <w:rPr>
          <w:rFonts w:hint="eastAsia" w:asciiTheme="minorEastAsia" w:hAnsiTheme="minorEastAsia" w:eastAsiaTheme="minorEastAsia" w:cstheme="minorEastAsia"/>
          <w:bCs/>
          <w:color w:val="000000" w:themeColor="text1"/>
          <w:sz w:val="24"/>
          <w14:textFill>
            <w14:solidFill>
              <w14:schemeClr w14:val="tx1"/>
            </w14:solidFill>
          </w14:textFill>
        </w:rPr>
        <w:t>其他工作人员更换要提前七天告知采购人，确保服务质量不因人员变动</w:t>
      </w:r>
      <w:r>
        <w:rPr>
          <w:rFonts w:hint="eastAsia" w:asciiTheme="minorEastAsia" w:hAnsiTheme="minorEastAsia" w:eastAsiaTheme="minorEastAsia" w:cstheme="minorEastAsia"/>
          <w:color w:val="000000" w:themeColor="text1"/>
          <w:sz w:val="24"/>
          <w14:textFill>
            <w14:solidFill>
              <w14:schemeClr w14:val="tx1"/>
            </w14:solidFill>
          </w14:textFill>
        </w:rPr>
        <w:t>而受影响。</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5、本项目实际服务人数可根据采购人实际运行过程中所需适当核减，未尽事宜以实际运行需求为准。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6、中标单位负责提供在岗服务人员名册及档案，服务时须统一着制服，佩戴标志等。</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7、物业及安保人员在本项目区域执勤时发生伤亡事故，由中标公司负责，与采购方无关。</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中标单位服务人员在服务及执勤期间因失职造成的损失，经相关职能部门认定，由中标单位承担赔偿及法律责任；造成他人损害，导致采购方遭受第三方索赔或起诉，中标单位应自费就上述索赔或起诉为采购方答辩，并承担采购方因此遭受的全部损失和费用。</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9、因中标单位未按规定足额缴纳人员养老保险、医疗保险、失业保险、意外伤害险或因中标单位未按时发放人员工资造成的一切责任和全部损失，由中标公司承担。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10、无条件做好大楼内，各单位（部门）所有活动的安保、后勤保障工作。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11、根据采购单位标准化工作要求，做好物业保洁、安保服务领域的标准化工作。</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12、没有征得采购人事先书面同意，中标单位不得将甲方提供的有关合同或任何合同条文、文件、规格、计划、图纸、样品等资料，提供给与履行本合同无关的其他人，即使向履行本合同有关的人员提供，也应注意保密，并限于履行合同的必须范围。</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、如中标后，允许采购单位参与本项目服务人员的考评，并结合运用采购单位给出的意见。</w:t>
      </w:r>
    </w:p>
    <w:p>
      <w:pPr>
        <w:pStyle w:val="11"/>
        <w:ind w:firstLine="480"/>
        <w:rPr>
          <w:rFonts w:asciiTheme="minorEastAsia" w:hAnsiTheme="minorEastAsia" w:eastAsiaTheme="minorEastAsia" w:cstheme="minorEastAsia"/>
        </w:rPr>
      </w:pPr>
    </w:p>
    <w:p>
      <w:pPr>
        <w:pStyle w:val="11"/>
        <w:ind w:firstLine="480"/>
        <w:rPr>
          <w:rFonts w:asciiTheme="minorEastAsia" w:hAnsiTheme="minorEastAsia" w:eastAsiaTheme="minorEastAsia" w:cstheme="minorEastAsia"/>
        </w:rPr>
      </w:pPr>
    </w:p>
    <w:p>
      <w:pPr>
        <w:pStyle w:val="12"/>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2"/>
      </w:pPr>
    </w:p>
    <w:p>
      <w:pPr>
        <w:pStyle w:val="11"/>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附件</w:t>
      </w:r>
    </w:p>
    <w:p>
      <w:pPr>
        <w:pStyle w:val="12"/>
        <w:rPr>
          <w:rFonts w:asciiTheme="minorEastAsia" w:hAnsiTheme="minorEastAsia" w:eastAsiaTheme="minorEastAsia" w:cstheme="minorEastAsia"/>
          <w:sz w:val="24"/>
          <w:szCs w:val="24"/>
        </w:rPr>
      </w:pPr>
    </w:p>
    <w:p>
      <w:pPr>
        <w:widowControl/>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服务考核标准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考核总分100分，考核周期内成绩不转入下个考核周期。</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考核分数=项目经理考核分*10%+保洁服务考核分×20%+保安服务考核分×20%+绿化养护服务考核分*15%+营房维护服务考核分*20%+会务人员服务考核分*15%。</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1、考核分数≥80分，视为“合格”；</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2、考核分数＜80分，视为“不合格”。</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当月考核得分达到80分（含）以上按全额支付该月服务费，低于80分，扣罚1%该服务类别月服务费并要求限期整改。</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服务期间（含跨年度）连续三个月考核分数低于80分，甲方有权选择无条件终止合同。</w:t>
      </w:r>
    </w:p>
    <w:p>
      <w:pPr>
        <w:spacing w:line="360" w:lineRule="auto"/>
        <w:ind w:firstLine="480" w:firstLineChars="200"/>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一、项目经理考核标准</w:t>
      </w:r>
    </w:p>
    <w:tbl>
      <w:tblPr>
        <w:tblStyle w:val="2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5983"/>
        <w:gridCol w:w="995"/>
        <w:gridCol w:w="703"/>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考核内容</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分值</w:t>
            </w:r>
          </w:p>
        </w:tc>
        <w:tc>
          <w:tcPr>
            <w:tcW w:w="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得分</w:t>
            </w:r>
          </w:p>
        </w:tc>
        <w:tc>
          <w:tcPr>
            <w:tcW w:w="6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认真履行职责，严格按合同做好各项工作，保证服务质量。每出现1项质量问题扣1分。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各项管理制度齐全并正常执行。每出现1项违反管理制度情况扣1分。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物业人员按要求配备到位，配备合理。每出现1人不符合要求扣1分。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按约定要求配置相关设备设施。每出现1次设备设施不满足服务要求的扣1分。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不发生各项投诉。每出现1次投诉的扣1分。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对投诉置之不理，经查属实又不服从主管部门指导、监督的，每出现1次扣2分。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未发生重大安全责任事故，包括人员安全、设备设施安全等。因管理失职造成重大事故的每出现1次扣3分。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被媒体曝光本项目负面信息，影响重大的，每出现1次扣3分。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其他不符合项目管理要求或影响项目形象的情形，每出现1次扣1分。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完成主管部门领导交办的其他工作任务。</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创新服务内容，提供个性化服务。每提供1项加2分。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不设限制</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被媒体做出正面报道的，每次加2分；获得政府部门表扬（奖项、奖励、荣誉）的，每次加3分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不设限制</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合计</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100分</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0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总得分</w:t>
            </w:r>
          </w:p>
        </w:tc>
        <w:tc>
          <w:tcPr>
            <w:tcW w:w="1372"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bl>
    <w:p>
      <w:pPr>
        <w:spacing w:line="360" w:lineRule="auto"/>
        <w:rPr>
          <w:rFonts w:asciiTheme="minorEastAsia" w:hAnsiTheme="minorEastAsia" w:eastAsiaTheme="minorEastAsia" w:cstheme="minorEastAsia"/>
          <w:sz w:val="24"/>
        </w:rPr>
      </w:pP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二、保洁服务考核标准</w:t>
      </w:r>
    </w:p>
    <w:tbl>
      <w:tblPr>
        <w:tblStyle w:val="22"/>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617"/>
        <w:gridCol w:w="2490"/>
        <w:gridCol w:w="3544"/>
        <w:gridCol w:w="749"/>
        <w:gridCol w:w="550"/>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序号</w:t>
            </w:r>
          </w:p>
        </w:tc>
        <w:tc>
          <w:tcPr>
            <w:tcW w:w="617"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类别</w:t>
            </w:r>
          </w:p>
        </w:tc>
        <w:tc>
          <w:tcPr>
            <w:tcW w:w="2490" w:type="dxa"/>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考核项目</w:t>
            </w:r>
          </w:p>
        </w:tc>
        <w:tc>
          <w:tcPr>
            <w:tcW w:w="3544" w:type="dxa"/>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质量标准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分值</w:t>
            </w:r>
          </w:p>
        </w:tc>
        <w:tc>
          <w:tcPr>
            <w:tcW w:w="550"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得分</w:t>
            </w:r>
          </w:p>
        </w:tc>
        <w:tc>
          <w:tcPr>
            <w:tcW w:w="607"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1</w:t>
            </w:r>
          </w:p>
        </w:tc>
        <w:tc>
          <w:tcPr>
            <w:tcW w:w="617" w:type="dxa"/>
            <w:vMerge w:val="restart"/>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基本</w:t>
            </w:r>
          </w:p>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项目</w:t>
            </w:r>
            <w:r>
              <w:rPr>
                <w:rFonts w:hint="eastAsia" w:asciiTheme="minorEastAsia" w:hAnsiTheme="minorEastAsia" w:eastAsiaTheme="minorEastAsia" w:cstheme="minorEastAsia"/>
                <w:sz w:val="24"/>
                <w:lang w:val="zh-CN" w:eastAsia="zh-TW"/>
              </w:rPr>
              <w:br w:type="textWrapping"/>
            </w:r>
            <w:r>
              <w:rPr>
                <w:rFonts w:hint="eastAsia" w:asciiTheme="minorEastAsia" w:hAnsiTheme="minorEastAsia" w:eastAsiaTheme="minorEastAsia" w:cstheme="minorEastAsia"/>
                <w:sz w:val="24"/>
                <w:lang w:val="zh-CN" w:eastAsia="zh-TW"/>
              </w:rPr>
              <w:t>16分</w:t>
            </w: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遵守劳动纪律，按照岗位要求上下班。</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按时上下班，不得做与工作无关的事；当班期间离开本岗位需告知相关负责人。不符合要求每次扣1分。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10</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2</w:t>
            </w:r>
          </w:p>
        </w:tc>
        <w:tc>
          <w:tcPr>
            <w:tcW w:w="617" w:type="dxa"/>
            <w:vMerge w:val="continue"/>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工作时间穿着清洁，按规定要求着工作装，不得穿背心、拖鞋。</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工作时间穿着</w:t>
            </w:r>
            <w:r>
              <w:rPr>
                <w:rFonts w:hint="eastAsia" w:asciiTheme="minorEastAsia" w:hAnsiTheme="minorEastAsia" w:eastAsiaTheme="minorEastAsia" w:cstheme="minorEastAsia"/>
                <w:sz w:val="24"/>
                <w:lang w:val="zh-CN"/>
              </w:rPr>
              <w:t>整</w:t>
            </w:r>
            <w:r>
              <w:rPr>
                <w:rFonts w:hint="eastAsia" w:asciiTheme="minorEastAsia" w:hAnsiTheme="minorEastAsia" w:eastAsiaTheme="minorEastAsia" w:cstheme="minorEastAsia"/>
                <w:sz w:val="24"/>
                <w:lang w:val="zh-CN" w:eastAsia="zh-TW"/>
              </w:rPr>
              <w:t>洁，按规定要求着工作装，不得穿背心、拖鞋。不符合要求每次扣1分。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10</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3</w:t>
            </w:r>
          </w:p>
        </w:tc>
        <w:tc>
          <w:tcPr>
            <w:tcW w:w="617" w:type="dxa"/>
            <w:vMerge w:val="continue"/>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服务认真、热情，不得与工作人员发生争执。</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工作认真，未发生争执。不符合要求每次扣2分。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10</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4</w:t>
            </w:r>
          </w:p>
        </w:tc>
        <w:tc>
          <w:tcPr>
            <w:tcW w:w="617" w:type="dxa"/>
            <w:vMerge w:val="continue"/>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不得损坏、私拿公物及他人财物</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未损坏、私拿公物。不符合要求每次扣2分。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10</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5</w:t>
            </w:r>
          </w:p>
        </w:tc>
        <w:tc>
          <w:tcPr>
            <w:tcW w:w="617" w:type="dxa"/>
            <w:vMerge w:val="restart"/>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公共区域14分</w:t>
            </w: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楼梯、走廊等地面湿拖、干尘推</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无污迹、水迹、口香糖迹、烟头等杂物；不符合要求每次扣</w:t>
            </w:r>
            <w:r>
              <w:rPr>
                <w:rFonts w:hint="eastAsia" w:asciiTheme="minorEastAsia" w:hAnsiTheme="minorEastAsia" w:eastAsiaTheme="minorEastAsia" w:cstheme="minorEastAsia"/>
                <w:sz w:val="24"/>
                <w:lang w:val="zh-CN"/>
              </w:rPr>
              <w:t>1分。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6</w:t>
            </w:r>
          </w:p>
        </w:tc>
        <w:tc>
          <w:tcPr>
            <w:tcW w:w="617" w:type="dxa"/>
            <w:vMerge w:val="continue"/>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楼梯、走廊等墙面、墙角线、扶手、栏杆</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无积尘、蜘蛛网；不符合要求每次扣</w:t>
            </w:r>
            <w:r>
              <w:rPr>
                <w:rFonts w:hint="eastAsia" w:asciiTheme="minorEastAsia" w:hAnsiTheme="minorEastAsia" w:eastAsiaTheme="minorEastAsia" w:cstheme="minorEastAsia"/>
                <w:sz w:val="24"/>
                <w:lang w:val="zh-CN"/>
              </w:rPr>
              <w:t>1分。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7</w:t>
            </w:r>
          </w:p>
        </w:tc>
        <w:tc>
          <w:tcPr>
            <w:tcW w:w="617" w:type="dxa"/>
            <w:vMerge w:val="continue"/>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办公区域通道地面干净整洁</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无污迹、无积水、无垃圾，表面光亮；不符合要求每次扣</w:t>
            </w:r>
            <w:r>
              <w:rPr>
                <w:rFonts w:hint="eastAsia" w:asciiTheme="minorEastAsia" w:hAnsiTheme="minorEastAsia" w:eastAsiaTheme="minorEastAsia" w:cstheme="minorEastAsia"/>
                <w:sz w:val="24"/>
                <w:lang w:val="zh-CN"/>
              </w:rPr>
              <w:t>1分。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8</w:t>
            </w:r>
          </w:p>
        </w:tc>
        <w:tc>
          <w:tcPr>
            <w:tcW w:w="617" w:type="dxa"/>
            <w:vMerge w:val="continue"/>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墙面</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无污迹、无积尘；不符合要求每次扣</w:t>
            </w:r>
            <w:r>
              <w:rPr>
                <w:rFonts w:hint="eastAsia" w:asciiTheme="minorEastAsia" w:hAnsiTheme="minorEastAsia" w:eastAsiaTheme="minorEastAsia" w:cstheme="minorEastAsia"/>
                <w:sz w:val="24"/>
                <w:lang w:val="zh-CN"/>
              </w:rPr>
              <w:t>1分。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9</w:t>
            </w:r>
          </w:p>
        </w:tc>
        <w:tc>
          <w:tcPr>
            <w:tcW w:w="617" w:type="dxa"/>
            <w:vMerge w:val="continue"/>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天花板、灯饰、风口</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无污迹、无积尘、无蜘蛛网；不符合要求每次扣</w:t>
            </w:r>
            <w:r>
              <w:rPr>
                <w:rFonts w:hint="eastAsia" w:asciiTheme="minorEastAsia" w:hAnsiTheme="minorEastAsia" w:eastAsiaTheme="minorEastAsia" w:cstheme="minorEastAsia"/>
                <w:sz w:val="24"/>
                <w:lang w:val="zh-CN"/>
              </w:rPr>
              <w:t>1分。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eastAsia="zh-TW"/>
              </w:rPr>
              <w:t>1</w:t>
            </w:r>
            <w:r>
              <w:rPr>
                <w:rFonts w:hint="eastAsia" w:asciiTheme="minorEastAsia" w:hAnsiTheme="minorEastAsia" w:eastAsiaTheme="minorEastAsia" w:cstheme="minorEastAsia"/>
                <w:sz w:val="24"/>
              </w:rPr>
              <w:t>0</w:t>
            </w:r>
          </w:p>
        </w:tc>
        <w:tc>
          <w:tcPr>
            <w:tcW w:w="617" w:type="dxa"/>
            <w:vMerge w:val="continue"/>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手盆、台面</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无污迹；不符合要求每次扣</w:t>
            </w:r>
            <w:r>
              <w:rPr>
                <w:rFonts w:hint="eastAsia" w:asciiTheme="minorEastAsia" w:hAnsiTheme="minorEastAsia" w:eastAsiaTheme="minorEastAsia" w:cstheme="minorEastAsia"/>
                <w:sz w:val="24"/>
                <w:lang w:val="zh-CN"/>
              </w:rPr>
              <w:t>1分。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eastAsia="zh-TW"/>
              </w:rPr>
              <w:t>1</w:t>
            </w:r>
            <w:r>
              <w:rPr>
                <w:rFonts w:hint="eastAsia" w:asciiTheme="minorEastAsia" w:hAnsiTheme="minorEastAsia" w:eastAsiaTheme="minorEastAsia" w:cstheme="minorEastAsia"/>
                <w:sz w:val="24"/>
              </w:rPr>
              <w:t>1</w:t>
            </w:r>
          </w:p>
        </w:tc>
        <w:tc>
          <w:tcPr>
            <w:tcW w:w="617" w:type="dxa"/>
            <w:vMerge w:val="continue"/>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拖布池</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外池无污迹；不符合要求每次扣</w:t>
            </w:r>
            <w:r>
              <w:rPr>
                <w:rFonts w:hint="eastAsia" w:asciiTheme="minorEastAsia" w:hAnsiTheme="minorEastAsia" w:eastAsiaTheme="minorEastAsia" w:cstheme="minorEastAsia"/>
                <w:sz w:val="24"/>
                <w:lang w:val="zh-CN"/>
              </w:rPr>
              <w:t>1分。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eastAsia="zh-TW"/>
              </w:rPr>
              <w:t>1</w:t>
            </w:r>
            <w:r>
              <w:rPr>
                <w:rFonts w:hint="eastAsia" w:asciiTheme="minorEastAsia" w:hAnsiTheme="minorEastAsia" w:eastAsiaTheme="minorEastAsia" w:cstheme="minorEastAsia"/>
                <w:sz w:val="24"/>
              </w:rPr>
              <w:t>2</w:t>
            </w:r>
          </w:p>
        </w:tc>
        <w:tc>
          <w:tcPr>
            <w:tcW w:w="617" w:type="dxa"/>
            <w:vMerge w:val="continue"/>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物品柜、拖布等清扫工具</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放置规范、整齐；不符合要求每次扣</w:t>
            </w:r>
            <w:r>
              <w:rPr>
                <w:rFonts w:hint="eastAsia" w:asciiTheme="minorEastAsia" w:hAnsiTheme="minorEastAsia" w:eastAsiaTheme="minorEastAsia" w:cstheme="minorEastAsia"/>
                <w:sz w:val="24"/>
                <w:lang w:val="zh-CN"/>
              </w:rPr>
              <w:t>1分。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eastAsia="zh-TW"/>
              </w:rPr>
              <w:t>1</w:t>
            </w:r>
            <w:r>
              <w:rPr>
                <w:rFonts w:hint="eastAsia" w:asciiTheme="minorEastAsia" w:hAnsiTheme="minorEastAsia" w:eastAsiaTheme="minorEastAsia" w:cstheme="minorEastAsia"/>
                <w:sz w:val="24"/>
              </w:rPr>
              <w:t>3</w:t>
            </w:r>
          </w:p>
        </w:tc>
        <w:tc>
          <w:tcPr>
            <w:tcW w:w="617" w:type="dxa"/>
            <w:vMerge w:val="continue"/>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厕门、隔断</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清洁无污迹、无乱张贴物；不符合要求每次扣</w:t>
            </w:r>
            <w:r>
              <w:rPr>
                <w:rFonts w:hint="eastAsia" w:asciiTheme="minorEastAsia" w:hAnsiTheme="minorEastAsia" w:eastAsiaTheme="minorEastAsia" w:cstheme="minorEastAsia"/>
                <w:sz w:val="24"/>
                <w:lang w:val="zh-CN"/>
              </w:rPr>
              <w:t>1分。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574" w:type="dxa"/>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w:t>
            </w:r>
          </w:p>
        </w:tc>
        <w:tc>
          <w:tcPr>
            <w:tcW w:w="617" w:type="dxa"/>
            <w:vMerge w:val="continue"/>
            <w:tcMar>
              <w:top w:w="15" w:type="dxa"/>
              <w:left w:w="15" w:type="dxa"/>
              <w:right w:w="15" w:type="dxa"/>
            </w:tcMar>
            <w:vAlign w:val="center"/>
          </w:tcPr>
          <w:p>
            <w:pPr>
              <w:spacing w:line="360" w:lineRule="auto"/>
              <w:ind w:firstLine="480" w:firstLineChars="200"/>
              <w:jc w:val="center"/>
              <w:rPr>
                <w:rFonts w:asciiTheme="minorEastAsia" w:hAnsiTheme="minorEastAsia" w:eastAsiaTheme="minorEastAsia" w:cstheme="minorEastAsia"/>
                <w:sz w:val="24"/>
                <w:lang w:val="zh-CN" w:eastAsia="zh-TW"/>
              </w:rPr>
            </w:pPr>
          </w:p>
        </w:tc>
        <w:tc>
          <w:tcPr>
            <w:tcW w:w="2490"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便池、地漏</w:t>
            </w:r>
          </w:p>
        </w:tc>
        <w:tc>
          <w:tcPr>
            <w:tcW w:w="3544" w:type="dxa"/>
            <w:tcMar>
              <w:top w:w="15" w:type="dxa"/>
              <w:left w:w="15" w:type="dxa"/>
              <w:right w:w="15" w:type="dxa"/>
            </w:tcMar>
            <w:vAlign w:val="center"/>
          </w:tcPr>
          <w:p>
            <w:pPr>
              <w:spacing w:line="360" w:lineRule="auto"/>
              <w:jc w:val="left"/>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无杂物，无异味，</w:t>
            </w:r>
            <w:r>
              <w:rPr>
                <w:rFonts w:hint="eastAsia" w:asciiTheme="minorEastAsia" w:hAnsiTheme="minorEastAsia" w:eastAsiaTheme="minorEastAsia" w:cstheme="minorEastAsia"/>
                <w:sz w:val="24"/>
                <w:lang w:val="zh-CN"/>
              </w:rPr>
              <w:t>定</w:t>
            </w:r>
            <w:r>
              <w:rPr>
                <w:rFonts w:hint="eastAsia" w:asciiTheme="minorEastAsia" w:hAnsiTheme="minorEastAsia" w:eastAsiaTheme="minorEastAsia" w:cstheme="minorEastAsia"/>
                <w:sz w:val="24"/>
                <w:lang w:val="zh-CN" w:eastAsia="zh-TW"/>
              </w:rPr>
              <w:t>时保洁；不符合要求每次扣</w:t>
            </w:r>
            <w:r>
              <w:rPr>
                <w:rFonts w:hint="eastAsia" w:asciiTheme="minorEastAsia" w:hAnsiTheme="minorEastAsia" w:eastAsiaTheme="minorEastAsia" w:cstheme="minorEastAsia"/>
                <w:sz w:val="24"/>
                <w:lang w:val="zh-CN"/>
              </w:rPr>
              <w:t>1分。</w:t>
            </w:r>
          </w:p>
        </w:tc>
        <w:tc>
          <w:tcPr>
            <w:tcW w:w="749" w:type="dxa"/>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val="zh-CN" w:eastAsia="zh-TW"/>
              </w:rPr>
              <w:t>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 w:hRule="atLeast"/>
          <w:jc w:val="center"/>
        </w:trPr>
        <w:tc>
          <w:tcPr>
            <w:tcW w:w="7225" w:type="dxa"/>
            <w:gridSpan w:val="4"/>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eastAsia="zh-TW"/>
              </w:rPr>
            </w:pPr>
            <w:r>
              <w:rPr>
                <w:rFonts w:hint="eastAsia" w:asciiTheme="minorEastAsia" w:hAnsiTheme="minorEastAsia" w:eastAsiaTheme="minorEastAsia" w:cstheme="minorEastAsia"/>
                <w:sz w:val="24"/>
                <w:lang w:val="zh-CN" w:eastAsia="zh-TW"/>
              </w:rPr>
              <w:t>合计</w:t>
            </w:r>
          </w:p>
        </w:tc>
        <w:tc>
          <w:tcPr>
            <w:tcW w:w="749" w:type="dxa"/>
            <w:vAlign w:val="center"/>
          </w:tcPr>
          <w:p>
            <w:pPr>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100分</w:t>
            </w:r>
          </w:p>
        </w:tc>
        <w:tc>
          <w:tcPr>
            <w:tcW w:w="550" w:type="dxa"/>
          </w:tcPr>
          <w:p>
            <w:pPr>
              <w:spacing w:line="360" w:lineRule="auto"/>
              <w:jc w:val="left"/>
              <w:rPr>
                <w:rFonts w:asciiTheme="minorEastAsia" w:hAnsiTheme="minorEastAsia" w:eastAsiaTheme="minorEastAsia" w:cstheme="minorEastAsia"/>
                <w:sz w:val="24"/>
                <w:lang w:val="zh-CN" w:eastAsia="zh-TW"/>
              </w:rPr>
            </w:pPr>
          </w:p>
        </w:tc>
        <w:tc>
          <w:tcPr>
            <w:tcW w:w="607" w:type="dxa"/>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 w:hRule="atLeast"/>
          <w:jc w:val="center"/>
        </w:trPr>
        <w:tc>
          <w:tcPr>
            <w:tcW w:w="7974" w:type="dxa"/>
            <w:gridSpan w:val="5"/>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总得分</w:t>
            </w:r>
          </w:p>
        </w:tc>
        <w:tc>
          <w:tcPr>
            <w:tcW w:w="1157" w:type="dxa"/>
            <w:gridSpan w:val="2"/>
          </w:tcPr>
          <w:p>
            <w:pPr>
              <w:spacing w:line="360" w:lineRule="auto"/>
              <w:jc w:val="left"/>
              <w:rPr>
                <w:rFonts w:asciiTheme="minorEastAsia" w:hAnsiTheme="minorEastAsia" w:eastAsiaTheme="minorEastAsia" w:cstheme="minorEastAsia"/>
                <w:sz w:val="24"/>
                <w:lang w:val="zh-CN"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 w:hRule="atLeast"/>
          <w:jc w:val="center"/>
        </w:trPr>
        <w:tc>
          <w:tcPr>
            <w:tcW w:w="7974" w:type="dxa"/>
            <w:gridSpan w:val="5"/>
            <w:tcMar>
              <w:top w:w="15" w:type="dxa"/>
              <w:left w:w="15" w:type="dxa"/>
              <w:right w:w="15" w:type="dxa"/>
            </w:tcMar>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备注：如遇部分装修等因素视情定义</w:t>
            </w:r>
          </w:p>
        </w:tc>
        <w:tc>
          <w:tcPr>
            <w:tcW w:w="1157" w:type="dxa"/>
            <w:gridSpan w:val="2"/>
          </w:tcPr>
          <w:p>
            <w:pPr>
              <w:spacing w:line="360" w:lineRule="auto"/>
              <w:jc w:val="left"/>
              <w:rPr>
                <w:rFonts w:asciiTheme="minorEastAsia" w:hAnsiTheme="minorEastAsia" w:eastAsiaTheme="minorEastAsia" w:cstheme="minorEastAsia"/>
                <w:sz w:val="24"/>
                <w:lang w:val="zh-CN" w:eastAsia="zh-TW"/>
              </w:rPr>
            </w:pPr>
          </w:p>
        </w:tc>
      </w:tr>
    </w:tbl>
    <w:p>
      <w:pPr>
        <w:widowControl/>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三、安保服务考核标准</w:t>
      </w:r>
    </w:p>
    <w:tbl>
      <w:tblPr>
        <w:tblStyle w:val="2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5983"/>
        <w:gridCol w:w="995"/>
        <w:gridCol w:w="703"/>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考核内容</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分值</w:t>
            </w:r>
          </w:p>
        </w:tc>
        <w:tc>
          <w:tcPr>
            <w:tcW w:w="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得分</w:t>
            </w:r>
          </w:p>
        </w:tc>
        <w:tc>
          <w:tcPr>
            <w:tcW w:w="6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是否服从命令，听从人员指挥，做好安保工作，未满足的每次扣2分。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是否按时上班，有无早退现象，未满足的每次扣1分。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是否按规定着装，佩戴整齐，仪容仪表整洁，未满足的每次扣1分。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值班岗位物品摆放是否整齐，卫生是否干净，未满足的每次扣1分。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不得在岗期间擅离职守，串岗、脱岗、睡岗，未满足的每次扣1分。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不得在工作时间饮酒，未满足的每次扣2分。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不得在区域内吸烟、嬉戏打闹，未满足的每次扣2分。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是否有和客户、工作人员发生口角、斗殴等行为，未满足的每次扣2分。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车辆管理不到位的，未满足的每次扣1分。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突发事件未及时到场或处置不到位的，未满足的每次扣2分。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合计</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100分</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0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总得分</w:t>
            </w:r>
          </w:p>
        </w:tc>
        <w:tc>
          <w:tcPr>
            <w:tcW w:w="1372"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bl>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四、绿化养护服务考核标准</w:t>
      </w:r>
    </w:p>
    <w:tbl>
      <w:tblPr>
        <w:tblStyle w:val="2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5983"/>
        <w:gridCol w:w="995"/>
        <w:gridCol w:w="703"/>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考核内容</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分值</w:t>
            </w:r>
          </w:p>
        </w:tc>
        <w:tc>
          <w:tcPr>
            <w:tcW w:w="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得分</w:t>
            </w:r>
          </w:p>
        </w:tc>
        <w:tc>
          <w:tcPr>
            <w:tcW w:w="6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绿地泥土裸露、草坪枯死，每出现1处不符合要求的扣1分。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及时进行除草，草坪及时修剪,平整度好，每出现1处不符合要求的扣1分。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乔木：无死株、无缠绕及攀援性藤本、无枯枝、损伤枝、病枝；及时修剪、抹芽、保持植株的完整性；支撑良好，保持植株的美观性；修剪强度不当，绿篱、整形植物未形成规定的几何图形；未及时调整植物形体差异的，每出现1处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因未及时预防，造成园林植物发生病虫害，在治理时，因农药使用不当，植物产生药害且未及时采取补救措施而引起植株器官缺损。每出现1处不符合要求的扣1分。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按要求做好文明施工、安全作业，每出现1次不符合要求的扣1分。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及时清理因事故造成的损坏、伤亡的植株，每出现1次不符合要求的扣1分。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合计</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100分</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0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总得分</w:t>
            </w:r>
          </w:p>
        </w:tc>
        <w:tc>
          <w:tcPr>
            <w:tcW w:w="1372"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bl>
    <w:p>
      <w:pPr>
        <w:spacing w:line="360" w:lineRule="auto"/>
        <w:ind w:firstLine="480" w:firstLineChars="200"/>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五、营房维修服务考核标准</w:t>
      </w:r>
    </w:p>
    <w:tbl>
      <w:tblPr>
        <w:tblStyle w:val="2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5983"/>
        <w:gridCol w:w="995"/>
        <w:gridCol w:w="703"/>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考核内容</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分值</w:t>
            </w:r>
          </w:p>
        </w:tc>
        <w:tc>
          <w:tcPr>
            <w:tcW w:w="7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得分</w:t>
            </w:r>
          </w:p>
        </w:tc>
        <w:tc>
          <w:tcPr>
            <w:tcW w:w="6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工作人员持证上岗。有严格的管理制度，并制度上墙。每出现1次不符合要求的扣1分。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生活饮用水，遇到停水或水污染事件发生时，能及时处理保证正常生活。每出现1次不符合要求的扣1分。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不得向要求服务的部门收取任何费用。每出现1次不符合要求的扣1分。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定期对营房设备进行检查，正常运行，并做好相关记录。每出现1次不符合要求的扣1分。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598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监督维保单位定期保养和保修情况，跟踪监督保养过程并记录。对电梯等维保单位的及时达到现场率与维修质量进行跟踪记录。每出现1次不符合要求的扣1分。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合计</w:t>
            </w:r>
          </w:p>
        </w:tc>
        <w:tc>
          <w:tcPr>
            <w:tcW w:w="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100分</w:t>
            </w:r>
          </w:p>
        </w:tc>
        <w:tc>
          <w:tcPr>
            <w:tcW w:w="70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c>
          <w:tcPr>
            <w:tcW w:w="669"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0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总得分</w:t>
            </w:r>
          </w:p>
        </w:tc>
        <w:tc>
          <w:tcPr>
            <w:tcW w:w="1372"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stheme="minorEastAsia"/>
                <w:sz w:val="24"/>
              </w:rPr>
            </w:pPr>
          </w:p>
        </w:tc>
      </w:tr>
    </w:tbl>
    <w:p>
      <w:pPr>
        <w:spacing w:line="360" w:lineRule="auto"/>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六、会务人员考核标准</w:t>
      </w:r>
    </w:p>
    <w:tbl>
      <w:tblPr>
        <w:tblStyle w:val="2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5983"/>
        <w:gridCol w:w="995"/>
        <w:gridCol w:w="703"/>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序号</w:t>
            </w:r>
          </w:p>
        </w:tc>
        <w:tc>
          <w:tcPr>
            <w:tcW w:w="5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考核内容</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分值</w:t>
            </w:r>
          </w:p>
        </w:tc>
        <w:tc>
          <w:tcPr>
            <w:tcW w:w="7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得分</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598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提前30分钟到场，打开会场所有门窗、空调主机，按采购方要求做好会务工作。每出现1次不符合要求的扣1分。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1</w:t>
            </w:r>
            <w:r>
              <w:rPr>
                <w:rFonts w:hint="eastAsia" w:ascii="宋体" w:hAnsi="宋体" w:cs="宋体"/>
                <w:szCs w:val="21"/>
              </w:rPr>
              <w:t>5</w:t>
            </w:r>
          </w:p>
        </w:tc>
        <w:tc>
          <w:tcPr>
            <w:tcW w:w="70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c>
          <w:tcPr>
            <w:tcW w:w="66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598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按采购方要求做好签到台准备工作，如桌布、桌签、签到本，帮助发放会议日程表等用品，物品摆放整齐到位。每出现1次不符合要求的扣1分。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70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c>
          <w:tcPr>
            <w:tcW w:w="66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598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会议开始后关闭所有通道大门，站在合适位置待命，如会议面积限制或会议保密需要，服务人员站立在会场门外服务。每出现1次不符合要求的扣1分。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70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c>
          <w:tcPr>
            <w:tcW w:w="66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98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会议开始第一</w:t>
            </w:r>
            <w:r>
              <w:rPr>
                <w:rFonts w:asciiTheme="minorEastAsia" w:hAnsiTheme="minorEastAsia" w:eastAsiaTheme="minorEastAsia" w:cstheme="minorEastAsia"/>
                <w:sz w:val="24"/>
              </w:rPr>
              <w:t>次添加茶水，时间一般为10</w:t>
            </w:r>
            <w:r>
              <w:rPr>
                <w:rFonts w:hint="eastAsia" w:asciiTheme="minorEastAsia" w:hAnsiTheme="minorEastAsia" w:eastAsiaTheme="minorEastAsia" w:cstheme="minorEastAsia"/>
                <w:sz w:val="24"/>
              </w:rPr>
              <w:t>至</w:t>
            </w:r>
            <w:r>
              <w:rPr>
                <w:rFonts w:asciiTheme="minorEastAsia" w:hAnsiTheme="minorEastAsia" w:eastAsiaTheme="minorEastAsia" w:cstheme="minorEastAsia"/>
                <w:sz w:val="24"/>
              </w:rPr>
              <w:t>15分钟内，过后每隔15</w:t>
            </w:r>
            <w:r>
              <w:rPr>
                <w:rFonts w:hint="eastAsia" w:asciiTheme="minorEastAsia" w:hAnsiTheme="minorEastAsia" w:eastAsiaTheme="minorEastAsia" w:cstheme="minorEastAsia"/>
                <w:sz w:val="24"/>
              </w:rPr>
              <w:t>至</w:t>
            </w:r>
            <w:r>
              <w:rPr>
                <w:rFonts w:asciiTheme="minorEastAsia" w:hAnsiTheme="minorEastAsia" w:eastAsiaTheme="minorEastAsia" w:cstheme="minorEastAsia"/>
                <w:sz w:val="24"/>
              </w:rPr>
              <w:t>20分钟蓄水</w:t>
            </w:r>
            <w:r>
              <w:rPr>
                <w:rFonts w:hint="eastAsia" w:asciiTheme="minorEastAsia" w:hAnsiTheme="minorEastAsia" w:eastAsiaTheme="minorEastAsia" w:cstheme="minorEastAsia"/>
                <w:sz w:val="24"/>
              </w:rPr>
              <w:t>（</w:t>
            </w:r>
            <w:r>
              <w:rPr>
                <w:rFonts w:asciiTheme="minorEastAsia" w:hAnsiTheme="minorEastAsia" w:eastAsiaTheme="minorEastAsia" w:cstheme="minorEastAsia"/>
                <w:sz w:val="24"/>
              </w:rPr>
              <w:t>视客人习惯及季节情况做灵活调整</w:t>
            </w:r>
            <w:r>
              <w:rPr>
                <w:rFonts w:hint="eastAsia" w:asciiTheme="minorEastAsia" w:hAnsiTheme="minorEastAsia" w:eastAsiaTheme="minorEastAsia" w:cstheme="minorEastAsia"/>
                <w:sz w:val="24"/>
              </w:rPr>
              <w:t>），添加茶水时轻拿轻放，添加完毕后做“请慢用”的手势。每出现1次不符合要求的扣1分。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70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c>
          <w:tcPr>
            <w:tcW w:w="66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598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会议结束后及时打开所有会议室门，清洁收拾会议台面，撤走会议桌上的器皿并送洗，检查会场物品完好情况，发现地面的烟头及时处理，发现客人遗留物品，应做好相应的记录并交至负责人处。每出现1次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70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c>
          <w:tcPr>
            <w:tcW w:w="66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98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落实安全措施，关闭水阀开关，锁好会议室所有门窗，做好会议服务记录，离开前作最后巡视方可离岗。每出现1次不符合要求的扣1分。</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70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c>
          <w:tcPr>
            <w:tcW w:w="66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7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合计</w:t>
            </w:r>
          </w:p>
        </w:tc>
        <w:tc>
          <w:tcPr>
            <w:tcW w:w="9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10</w:t>
            </w:r>
            <w:r>
              <w:rPr>
                <w:rFonts w:hint="eastAsia" w:ascii="宋体" w:hAnsi="宋体" w:cs="宋体"/>
                <w:szCs w:val="21"/>
              </w:rPr>
              <w:t>0分</w:t>
            </w:r>
          </w:p>
        </w:tc>
        <w:tc>
          <w:tcPr>
            <w:tcW w:w="70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c>
          <w:tcPr>
            <w:tcW w:w="669"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7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总得分</w:t>
            </w:r>
          </w:p>
        </w:tc>
        <w:tc>
          <w:tcPr>
            <w:tcW w:w="1372"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p>
        </w:tc>
      </w:tr>
    </w:tbl>
    <w:p>
      <w:pPr>
        <w:spacing w:line="360" w:lineRule="auto"/>
        <w:rPr>
          <w:rFonts w:ascii="宋体" w:hAnsi="宋体" w:cs="宋体"/>
          <w:bCs/>
          <w:sz w:val="28"/>
          <w:szCs w:val="28"/>
        </w:rPr>
      </w:pPr>
      <w:r>
        <w:rPr>
          <w:rFonts w:hint="eastAsia" w:ascii="黑体" w:hAnsi="黑体" w:eastAsia="黑体"/>
          <w:b/>
          <w:sz w:val="28"/>
          <w:szCs w:val="28"/>
        </w:rPr>
        <w:t>三、商务要求</w:t>
      </w:r>
      <w:r>
        <w:rPr>
          <w:rFonts w:hint="eastAsia" w:ascii="宋体" w:hAnsi="宋体" w:cs="宋体"/>
          <w:bCs/>
          <w:sz w:val="28"/>
          <w:szCs w:val="28"/>
        </w:rPr>
        <w:t xml:space="preserve"> ：</w:t>
      </w:r>
    </w:p>
    <w:p>
      <w:pPr>
        <w:pStyle w:val="14"/>
        <w:snapToGrid w:val="0"/>
        <w:spacing w:before="120" w:after="120" w:line="360" w:lineRule="auto"/>
        <w:ind w:firstLine="480" w:firstLineChars="200"/>
        <w:outlineLvl w:val="0"/>
      </w:pPr>
      <w:r>
        <w:rPr>
          <w:rFonts w:hint="eastAsia" w:asciiTheme="minorEastAsia" w:hAnsiTheme="minorEastAsia" w:eastAsiaTheme="minorEastAsia" w:cstheme="minorEastAsia"/>
          <w:color w:val="000000"/>
          <w:sz w:val="24"/>
        </w:rPr>
        <w:t xml:space="preserve">1. </w:t>
      </w:r>
      <w:r>
        <w:rPr>
          <w:rFonts w:hint="eastAsia" w:asciiTheme="minorEastAsia" w:hAnsiTheme="minorEastAsia" w:eastAsiaTheme="minorEastAsia" w:cstheme="minorEastAsia"/>
          <w:color w:val="000000" w:themeColor="text1"/>
          <w:sz w:val="24"/>
          <w14:textFill>
            <w14:solidFill>
              <w14:schemeClr w14:val="tx1"/>
            </w14:solidFill>
          </w14:textFill>
        </w:rPr>
        <w:t>服务期：服务时间</w:t>
      </w:r>
      <w:r>
        <w:rPr>
          <w:rFonts w:hint="eastAsia" w:hAnsi="宋体" w:cs="宋体"/>
          <w:color w:val="000000" w:themeColor="text1"/>
          <w:sz w:val="24"/>
          <w14:textFill>
            <w14:solidFill>
              <w14:schemeClr w14:val="tx1"/>
            </w14:solidFill>
          </w14:textFill>
        </w:rPr>
        <w:t>3年，</w:t>
      </w:r>
      <w:r>
        <w:rPr>
          <w:rFonts w:hint="eastAsia" w:asciiTheme="minorEastAsia" w:hAnsiTheme="minorEastAsia" w:eastAsiaTheme="minorEastAsia" w:cstheme="minorEastAsia"/>
          <w:color w:val="000000" w:themeColor="text1"/>
          <w:sz w:val="24"/>
          <w14:textFill>
            <w14:solidFill>
              <w14:schemeClr w14:val="tx1"/>
            </w14:solidFill>
          </w14:textFill>
        </w:rPr>
        <w:t>具体日期以合同签订时间为准。</w:t>
      </w:r>
    </w:p>
    <w:p>
      <w:pPr>
        <w:numPr>
          <w:ilvl w:val="0"/>
          <w:numId w:val="12"/>
        </w:numPr>
        <w:spacing w:line="360" w:lineRule="auto"/>
        <w:ind w:firstLine="480" w:firstLineChars="200"/>
        <w:rPr>
          <w:rFonts w:ascii="宋体" w:hAnsi="宋体" w:cs="宋体"/>
          <w:sz w:val="24"/>
        </w:rPr>
      </w:pPr>
      <w:r>
        <w:rPr>
          <w:rFonts w:hint="eastAsia" w:asciiTheme="minorEastAsia" w:hAnsiTheme="minorEastAsia" w:eastAsiaTheme="minorEastAsia" w:cstheme="minorEastAsia"/>
          <w:color w:val="000000"/>
          <w:sz w:val="24"/>
        </w:rPr>
        <w:t>服务地点：</w:t>
      </w:r>
      <w:r>
        <w:rPr>
          <w:rFonts w:hint="eastAsia" w:ascii="宋体" w:hAnsi="宋体" w:cs="宋体"/>
          <w:sz w:val="24"/>
        </w:rPr>
        <w:t>台州市椒江区机场路451号及指点地点。</w:t>
      </w:r>
    </w:p>
    <w:p>
      <w:pPr>
        <w:pStyle w:val="15"/>
        <w:numPr>
          <w:ilvl w:val="0"/>
          <w:numId w:val="12"/>
        </w:numPr>
        <w:ind w:left="0" w:leftChars="0" w:firstLine="480" w:firstLineChars="200"/>
        <w:jc w:val="left"/>
        <w:rPr>
          <w:rFonts w:ascii="宋体" w:hAnsi="宋体" w:eastAsia="宋体" w:cs="宋体"/>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进驻时间：</w:t>
      </w:r>
      <w:r>
        <w:rPr>
          <w:rFonts w:hint="eastAsia" w:ascii="宋体" w:hAnsi="宋体" w:eastAsia="宋体" w:cs="宋体"/>
          <w:color w:val="000000" w:themeColor="text1"/>
          <w:sz w:val="24"/>
          <w:szCs w:val="24"/>
          <w14:textFill>
            <w14:solidFill>
              <w14:schemeClr w14:val="tx1"/>
            </w14:solidFill>
          </w14:textFill>
        </w:rPr>
        <w:t>招标公示结束后5天内进场。</w:t>
      </w:r>
    </w:p>
    <w:p>
      <w:pPr>
        <w:pStyle w:val="2"/>
        <w:ind w:firstLine="0"/>
      </w:pPr>
    </w:p>
    <w:p>
      <w:pPr>
        <w:pStyle w:val="14"/>
        <w:adjustRightInd w:val="0"/>
        <w:snapToGrid w:val="0"/>
        <w:spacing w:line="360" w:lineRule="auto"/>
        <w:ind w:left="719" w:leftChars="228" w:hanging="240" w:hangingChars="1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4.</w:t>
      </w:r>
      <w:r>
        <w:rPr>
          <w:rFonts w:hint="eastAsia" w:asciiTheme="minorEastAsia" w:hAnsiTheme="minorEastAsia" w:eastAsiaTheme="minorEastAsia" w:cstheme="minorEastAsia"/>
          <w:color w:val="000000" w:themeColor="text1"/>
          <w:sz w:val="24"/>
          <w14:textFill>
            <w14:solidFill>
              <w14:schemeClr w14:val="tx1"/>
            </w14:solidFill>
          </w14:textFill>
        </w:rPr>
        <w:t>付款条件：（1）</w:t>
      </w:r>
      <w:r>
        <w:rPr>
          <w:rFonts w:hint="eastAsia" w:asciiTheme="minorEastAsia" w:hAnsiTheme="minorEastAsia" w:eastAsiaTheme="minorEastAsia" w:cstheme="minorEastAsia"/>
          <w:sz w:val="24"/>
        </w:rPr>
        <w:t>按中标供应商年服务费总额签订合同，合同生效后按月支付服务费（根据考核情况减去相应扣款后支付）。</w:t>
      </w:r>
    </w:p>
    <w:p>
      <w:pPr>
        <w:pStyle w:val="9"/>
        <w:spacing w:line="360" w:lineRule="auto"/>
        <w:ind w:left="719" w:leftChars="228" w:hanging="240" w:hangingChars="1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sz w:val="24"/>
        </w:rPr>
        <w:t>（2）经考核合格后结算服务费，</w:t>
      </w:r>
      <w:r>
        <w:rPr>
          <w:rFonts w:hint="eastAsia" w:asciiTheme="minorEastAsia" w:hAnsiTheme="minorEastAsia" w:eastAsiaTheme="minorEastAsia" w:cstheme="minorEastAsia"/>
          <w:color w:val="000000" w:themeColor="text1"/>
          <w:sz w:val="24"/>
          <w14:textFill>
            <w14:solidFill>
              <w14:schemeClr w14:val="tx1"/>
            </w14:solidFill>
          </w14:textFill>
        </w:rPr>
        <w:t>服务费用每月按编制岗位数的实际到岗人数进行结算。采购人收到发票后支付上月服务费。</w:t>
      </w:r>
    </w:p>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4"/>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21"/>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20"/>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00" w:themeColor="text1"/>
          <w:kern w:val="0"/>
          <w:sz w:val="24"/>
          <w:u w:val="single"/>
          <w14:textFill>
            <w14:solidFill>
              <w14:schemeClr w14:val="tx1"/>
            </w14:solidFill>
          </w14:textFill>
        </w:rPr>
        <w:t xml:space="preserve"> 8 </w:t>
      </w:r>
      <w:r>
        <w:rPr>
          <w:rFonts w:hint="eastAsia" w:asciiTheme="minorEastAsia" w:hAnsiTheme="minorEastAsia" w:eastAsiaTheme="minorEastAsia"/>
          <w:color w:val="000000" w:themeColor="text1"/>
          <w:kern w:val="0"/>
          <w:sz w:val="24"/>
          <w14:textFill>
            <w14:solidFill>
              <w14:schemeClr w14:val="tx1"/>
            </w14:solidFill>
          </w14:textFill>
        </w:rPr>
        <w:t>项</w:t>
      </w:r>
      <w:r>
        <w:rPr>
          <w:rFonts w:hint="eastAsia" w:asciiTheme="minorEastAsia" w:hAnsiTheme="minorEastAsia" w:eastAsiaTheme="minorEastAsia"/>
          <w:kern w:val="0"/>
          <w:sz w:val="24"/>
        </w:rPr>
        <w:t>（含）以上的；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20"/>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2"/>
        <w:spacing w:line="360" w:lineRule="auto"/>
        <w:ind w:firstLine="480" w:firstLineChars="200"/>
      </w:pPr>
      <w:r>
        <w:rPr>
          <w:rFonts w:hint="eastAsia" w:ascii="宋体" w:hAnsi="宋体" w:cs="宋体"/>
          <w:sz w:val="24"/>
          <w:szCs w:val="24"/>
        </w:rPr>
        <w:t>（十四）未</w:t>
      </w:r>
      <w:r>
        <w:rPr>
          <w:rFonts w:hint="eastAsia" w:ascii="宋体" w:hAnsi="宋体"/>
          <w:kern w:val="0"/>
          <w:sz w:val="24"/>
          <w:szCs w:val="24"/>
        </w:rPr>
        <w:t>按要求提供资格证明文件的；</w:t>
      </w:r>
    </w:p>
    <w:p>
      <w:pPr>
        <w:pStyle w:val="2"/>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（十五）其他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20"/>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20"/>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4"/>
        <w:snapToGrid w:val="0"/>
        <w:spacing w:line="360" w:lineRule="auto"/>
        <w:ind w:firstLine="482" w:firstLineChars="200"/>
        <w:rPr>
          <w:rFonts w:hAnsi="宋体" w:cs="宋体"/>
          <w:b/>
          <w:sz w:val="24"/>
        </w:rPr>
      </w:pPr>
      <w:r>
        <w:rPr>
          <w:rFonts w:hint="eastAsia" w:hAnsi="宋体" w:cs="宋体"/>
          <w:b/>
          <w:sz w:val="24"/>
        </w:rPr>
        <w:t>六、评标过程的监控</w:t>
      </w:r>
    </w:p>
    <w:p>
      <w:pPr>
        <w:pStyle w:val="20"/>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4"/>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4</w:t>
      </w:r>
      <w:r>
        <w:rPr>
          <w:rFonts w:hint="eastAsia" w:ascii="宋体"/>
          <w:color w:val="000000"/>
          <w:sz w:val="24"/>
          <w:lang w:val="zh-CN"/>
        </w:rPr>
        <w:t>%</w:t>
      </w:r>
      <w:r>
        <w:rPr>
          <w:rFonts w:hint="eastAsia" w:ascii="宋体"/>
          <w:color w:val="000000"/>
          <w:sz w:val="24"/>
        </w:rPr>
        <w:t>-6%</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4"/>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9"/>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2"/>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中华人民共和国境内注册的法人或其他组织或自然人，投标时提交有效的营业执照（或事业法人登记证或身份证等相关证明）扫描件，法定代表人委托办理招标事宜的请提交授权委托书（根据附件2-1《授权委托书》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cs="宋体"/>
                <w:szCs w:val="21"/>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按投标文件格式填报设备及专业技术能力情况（根据附件5《投标人基本情况表》和附件7《项目实施人员一览表》填报）。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参加本次采购活动前3年内，在经营活动中没有重大违法记录（根据附件1《投标声明书》）。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1.截止时点：开标后评标前。</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1.单位负责人为同一人或者存在直接控股、管理关系的不同供应商，不得同时参加本项目投标。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.若以联合体形式投标，请提交联合体授权委托书（根据附件2-2《联合体授权委托书》填报），并载明联合体各方承担的工作和义务（根据附件3 《联合体共同投标协议书》填报）。</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2.若以联合体形式投标，联合体各方均须满足上方条款，并提供相应承诺或说明。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ascii="宋体" w:hAnsi="宋体" w:cs="宋体"/>
                <w:color w:val="000000" w:themeColor="text1"/>
                <w:szCs w:val="21"/>
                <w14:textFill>
                  <w14:solidFill>
                    <w14:schemeClr w14:val="tx1"/>
                  </w14:solidFill>
                </w14:textFill>
              </w:rPr>
            </w:pP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根据实际情形设置。</w:t>
            </w:r>
          </w:p>
          <w:p>
            <w:pPr>
              <w:rPr>
                <w:rFonts w:ascii="宋体" w:hAnsi="宋体" w:cs="宋体"/>
                <w:color w:val="000000" w:themeColor="text1"/>
                <w:szCs w:val="21"/>
                <w14:textFill>
                  <w14:solidFill>
                    <w14:schemeClr w14:val="tx1"/>
                  </w14:solidFill>
                </w14:textFill>
              </w:rPr>
            </w:pPr>
          </w:p>
        </w:tc>
      </w:tr>
    </w:tbl>
    <w:p>
      <w:pPr>
        <w:pStyle w:val="9"/>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2"/>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8"/>
              <w:spacing w:line="300" w:lineRule="auto"/>
              <w:ind w:right="3" w:hanging="10"/>
              <w:jc w:val="center"/>
              <w:rPr>
                <w:szCs w:val="21"/>
              </w:rPr>
            </w:pPr>
            <w:r>
              <w:rPr>
                <w:rFonts w:hint="eastAsia"/>
                <w:szCs w:val="21"/>
              </w:rPr>
              <w:t>“▲”实质性条款</w:t>
            </w:r>
          </w:p>
        </w:tc>
        <w:tc>
          <w:tcPr>
            <w:tcW w:w="7183" w:type="dxa"/>
            <w:tcMar>
              <w:top w:w="57" w:type="dxa"/>
              <w:left w:w="108" w:type="dxa"/>
              <w:bottom w:w="0" w:type="dxa"/>
              <w:right w:w="108" w:type="dxa"/>
            </w:tcMar>
            <w:vAlign w:val="center"/>
          </w:tcPr>
          <w:p>
            <w:pPr>
              <w:pStyle w:val="9"/>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8"/>
              <w:spacing w:line="300" w:lineRule="auto"/>
              <w:ind w:right="3" w:hanging="10"/>
              <w:jc w:val="center"/>
              <w:rPr>
                <w:szCs w:val="21"/>
              </w:rPr>
            </w:pPr>
            <w:r>
              <w:rPr>
                <w:rFonts w:hint="eastAsia"/>
                <w:szCs w:val="21"/>
              </w:rPr>
              <w:t>串通投标</w:t>
            </w:r>
          </w:p>
        </w:tc>
        <w:tc>
          <w:tcPr>
            <w:tcW w:w="7183" w:type="dxa"/>
            <w:shd w:val="clear" w:color="auto" w:fill="F6F6F6"/>
            <w:tcMar>
              <w:top w:w="57" w:type="dxa"/>
              <w:left w:w="108" w:type="dxa"/>
              <w:bottom w:w="0" w:type="dxa"/>
              <w:right w:w="108" w:type="dxa"/>
            </w:tcMar>
            <w:vAlign w:val="center"/>
          </w:tcPr>
          <w:p>
            <w:pPr>
              <w:pStyle w:val="9"/>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8"/>
              <w:spacing w:line="300" w:lineRule="auto"/>
              <w:ind w:right="3" w:hanging="10"/>
              <w:jc w:val="center"/>
              <w:rPr>
                <w:szCs w:val="21"/>
              </w:rPr>
            </w:pPr>
            <w:r>
              <w:rPr>
                <w:rFonts w:hint="eastAsia"/>
                <w:szCs w:val="21"/>
              </w:rPr>
              <w:t>附加条件</w:t>
            </w:r>
          </w:p>
        </w:tc>
        <w:tc>
          <w:tcPr>
            <w:tcW w:w="7183" w:type="dxa"/>
            <w:tcMar>
              <w:top w:w="57" w:type="dxa"/>
              <w:left w:w="108" w:type="dxa"/>
              <w:bottom w:w="0" w:type="dxa"/>
              <w:right w:w="108" w:type="dxa"/>
            </w:tcMar>
            <w:vAlign w:val="center"/>
          </w:tcPr>
          <w:p>
            <w:pPr>
              <w:pStyle w:val="9"/>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投标文件未含有采购人不可接受的附加条件。</w:t>
            </w:r>
          </w:p>
        </w:tc>
      </w:tr>
    </w:tbl>
    <w:p>
      <w:pPr>
        <w:pStyle w:val="9"/>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spacing w:line="360" w:lineRule="auto"/>
        <w:ind w:firstLine="480" w:firstLineChars="200"/>
      </w:pPr>
      <w:r>
        <w:rPr>
          <w:rFonts w:hint="eastAsia" w:asciiTheme="minorEastAsia" w:hAnsiTheme="minorEastAsia" w:eastAsiaTheme="minorEastAsia"/>
          <w:kern w:val="0"/>
          <w:sz w:val="24"/>
        </w:rPr>
        <w:t>项目评标方法为综合评分法，总计100分，评标按以下标准及要求进行：</w:t>
      </w:r>
    </w:p>
    <w:p>
      <w:pPr>
        <w:pStyle w:val="10"/>
      </w:pPr>
    </w:p>
    <w:tbl>
      <w:tblPr>
        <w:tblStyle w:val="22"/>
        <w:tblW w:w="10107" w:type="dxa"/>
        <w:tblInd w:w="-171" w:type="dxa"/>
        <w:tblLayout w:type="fixed"/>
        <w:tblCellMar>
          <w:top w:w="0" w:type="dxa"/>
          <w:left w:w="108" w:type="dxa"/>
          <w:bottom w:w="0" w:type="dxa"/>
          <w:right w:w="108" w:type="dxa"/>
        </w:tblCellMar>
      </w:tblPr>
      <w:tblGrid>
        <w:gridCol w:w="740"/>
        <w:gridCol w:w="667"/>
        <w:gridCol w:w="7856"/>
        <w:gridCol w:w="844"/>
      </w:tblGrid>
      <w:tr>
        <w:tblPrEx>
          <w:tblCellMar>
            <w:top w:w="0" w:type="dxa"/>
            <w:left w:w="108" w:type="dxa"/>
            <w:bottom w:w="0" w:type="dxa"/>
            <w:right w:w="108" w:type="dxa"/>
          </w:tblCellMar>
        </w:tblPrEx>
        <w:trPr>
          <w:trHeight w:val="282" w:hRule="atLeast"/>
        </w:trPr>
        <w:tc>
          <w:tcPr>
            <w:tcW w:w="740" w:type="dxa"/>
            <w:tcBorders>
              <w:top w:val="single" w:color="auto" w:sz="4" w:space="0"/>
              <w:left w:val="single" w:color="auto" w:sz="4" w:space="0"/>
              <w:bottom w:val="single" w:color="auto" w:sz="4" w:space="0"/>
              <w:right w:val="single" w:color="auto" w:sz="4" w:space="0"/>
            </w:tcBorders>
            <w:shd w:val="clear" w:color="auto" w:fill="BEBEBE"/>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评分项目</w:t>
            </w:r>
          </w:p>
        </w:tc>
        <w:tc>
          <w:tcPr>
            <w:tcW w:w="8523" w:type="dxa"/>
            <w:gridSpan w:val="2"/>
            <w:tcBorders>
              <w:top w:val="single" w:color="auto" w:sz="4" w:space="0"/>
              <w:left w:val="nil"/>
              <w:bottom w:val="single" w:color="auto" w:sz="4" w:space="0"/>
              <w:right w:val="single" w:color="auto" w:sz="4" w:space="0"/>
            </w:tcBorders>
            <w:shd w:val="clear" w:color="auto" w:fill="BEBEBE"/>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评分细则</w:t>
            </w:r>
          </w:p>
        </w:tc>
        <w:tc>
          <w:tcPr>
            <w:tcW w:w="844" w:type="dxa"/>
            <w:tcBorders>
              <w:top w:val="single" w:color="auto" w:sz="4" w:space="0"/>
              <w:left w:val="nil"/>
              <w:bottom w:val="single" w:color="auto" w:sz="4" w:space="0"/>
              <w:right w:val="single" w:color="auto" w:sz="4" w:space="0"/>
            </w:tcBorders>
            <w:shd w:val="clear" w:color="auto" w:fill="BEBEBE"/>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分值</w:t>
            </w:r>
          </w:p>
        </w:tc>
      </w:tr>
      <w:tr>
        <w:tblPrEx>
          <w:tblCellMar>
            <w:top w:w="0" w:type="dxa"/>
            <w:left w:w="108" w:type="dxa"/>
            <w:bottom w:w="0" w:type="dxa"/>
            <w:right w:w="108" w:type="dxa"/>
          </w:tblCellMar>
        </w:tblPrEx>
        <w:trPr>
          <w:trHeight w:val="2477"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jc w:val="center"/>
              <w:rPr>
                <w:b/>
                <w:bCs/>
                <w:color w:val="000000" w:themeColor="text1"/>
                <w14:textFill>
                  <w14:solidFill>
                    <w14:schemeClr w14:val="tx1"/>
                  </w14:solidFill>
                </w14:textFill>
              </w:rPr>
            </w:pPr>
          </w:p>
          <w:p>
            <w:pPr>
              <w:pStyle w:val="21"/>
              <w:rPr>
                <w:b/>
                <w:bCs/>
                <w:color w:val="000000" w:themeColor="text1"/>
                <w14:textFill>
                  <w14:solidFill>
                    <w14:schemeClr w14:val="tx1"/>
                  </w14:solidFill>
                </w14:textFill>
              </w:rPr>
            </w:pPr>
          </w:p>
          <w:p>
            <w:pPr>
              <w:pStyle w:val="8"/>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pStyle w:val="21"/>
              <w:rPr>
                <w:b/>
                <w:bCs/>
                <w:color w:val="000000" w:themeColor="text1"/>
                <w14:textFill>
                  <w14:solidFill>
                    <w14:schemeClr w14:val="tx1"/>
                  </w14:solidFill>
                </w14:textFill>
              </w:rPr>
            </w:pPr>
          </w:p>
          <w:p>
            <w:pPr>
              <w:pStyle w:val="8"/>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pStyle w:val="21"/>
              <w:rPr>
                <w:b/>
                <w:bCs/>
                <w:color w:val="000000" w:themeColor="text1"/>
                <w14:textFill>
                  <w14:solidFill>
                    <w14:schemeClr w14:val="tx1"/>
                  </w14:solidFill>
                </w14:textFill>
              </w:rPr>
            </w:pPr>
          </w:p>
          <w:p>
            <w:pPr>
              <w:pStyle w:val="8"/>
              <w:rPr>
                <w:color w:val="000000" w:themeColor="text1"/>
                <w14:textFill>
                  <w14:solidFill>
                    <w14:schemeClr w14:val="tx1"/>
                  </w14:solidFill>
                </w14:textFill>
              </w:rPr>
            </w:pPr>
          </w:p>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技术</w:t>
            </w:r>
          </w:p>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和</w:t>
            </w:r>
          </w:p>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服务</w:t>
            </w:r>
          </w:p>
          <w:p>
            <w:pPr>
              <w:rPr>
                <w:rFonts w:ascii="宋体" w:hAnsi="宋体" w:cs="Arial"/>
                <w:b/>
                <w:bCs/>
                <w:color w:val="000000" w:themeColor="text1"/>
                <w:szCs w:val="21"/>
                <w14:textFill>
                  <w14:solidFill>
                    <w14:schemeClr w14:val="tx1"/>
                  </w14:solidFill>
                </w14:textFill>
              </w:rPr>
            </w:pPr>
            <w:r>
              <w:rPr>
                <w:rFonts w:hint="eastAsia"/>
                <w:b/>
                <w:bCs/>
                <w:color w:val="000000" w:themeColor="text1"/>
                <w14:textFill>
                  <w14:solidFill>
                    <w14:schemeClr w14:val="tx1"/>
                  </w14:solidFill>
                </w14:textFill>
              </w:rPr>
              <w:t>方案</w:t>
            </w:r>
          </w:p>
          <w:p>
            <w:pPr>
              <w:rPr>
                <w:b/>
                <w:bCs/>
                <w:color w:val="000000" w:themeColor="text1"/>
                <w14:textFill>
                  <w14:solidFill>
                    <w14:schemeClr w14:val="tx1"/>
                  </w14:solidFill>
                </w14:textFill>
              </w:rPr>
            </w:pPr>
            <w:r>
              <w:rPr>
                <w:rFonts w:hint="eastAsia" w:ascii="宋体" w:hAnsi="宋体" w:cs="Arial"/>
                <w:b/>
                <w:bCs/>
                <w:color w:val="000000" w:themeColor="text1"/>
                <w:szCs w:val="21"/>
                <w14:textFill>
                  <w14:solidFill>
                    <w14:schemeClr w14:val="tx1"/>
                  </w14:solidFill>
                </w14:textFill>
              </w:rPr>
              <w:t>77.5分</w:t>
            </w:r>
          </w:p>
          <w:p>
            <w:pPr>
              <w:jc w:val="center"/>
              <w:rPr>
                <w:b/>
                <w:bCs/>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总体方案</w:t>
            </w:r>
          </w:p>
        </w:tc>
        <w:tc>
          <w:tcPr>
            <w:tcW w:w="7856" w:type="dxa"/>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eastAsia="宋体" w:asciiTheme="minorEastAsia" w:hAnsiTheme="minorEastAsia"/>
                <w:color w:val="000000" w:themeColor="text1"/>
                <w:sz w:val="24"/>
                <w:lang w:eastAsia="zh-CN"/>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根据项目服务</w:t>
            </w:r>
            <w:r>
              <w:rPr>
                <w:rFonts w:hint="eastAsia" w:asciiTheme="minorEastAsia" w:hAnsiTheme="minorEastAsia" w:eastAsiaTheme="minorEastAsia"/>
                <w:color w:val="000000" w:themeColor="text1"/>
                <w:sz w:val="24"/>
                <w:lang w:eastAsia="zh-CN"/>
                <w14:textFill>
                  <w14:solidFill>
                    <w14:schemeClr w14:val="tx1"/>
                  </w14:solidFill>
                </w14:textFill>
              </w:rPr>
              <w:t>需求</w:t>
            </w:r>
            <w:r>
              <w:rPr>
                <w:rFonts w:hint="eastAsia" w:asciiTheme="minorEastAsia" w:hAnsiTheme="minorEastAsia" w:eastAsiaTheme="minorEastAsia"/>
                <w:color w:val="000000" w:themeColor="text1"/>
                <w:sz w:val="24"/>
                <w14:textFill>
                  <w14:solidFill>
                    <w14:schemeClr w14:val="tx1"/>
                  </w14:solidFill>
                </w14:textFill>
              </w:rPr>
              <w:t>，投标人对本项目制定的项目总体方案，包括投标人对项目需求的理解、存在问题、重点、难点的调查分析，</w:t>
            </w:r>
            <w:r>
              <w:rPr>
                <w:rFonts w:hint="eastAsia" w:asciiTheme="minorEastAsia" w:hAnsiTheme="minorEastAsia" w:eastAsiaTheme="minorEastAsia"/>
                <w:color w:val="000000" w:themeColor="text1"/>
                <w:sz w:val="24"/>
                <w:lang w:eastAsia="zh-CN"/>
                <w14:textFill>
                  <w14:solidFill>
                    <w14:schemeClr w14:val="tx1"/>
                  </w14:solidFill>
                </w14:textFill>
              </w:rPr>
              <w:t>以及</w:t>
            </w:r>
            <w:r>
              <w:rPr>
                <w:rFonts w:hint="eastAsia" w:asciiTheme="minorEastAsia" w:hAnsiTheme="minorEastAsia" w:eastAsiaTheme="minorEastAsia"/>
                <w:color w:val="000000" w:themeColor="text1"/>
                <w:sz w:val="24"/>
                <w14:textFill>
                  <w14:solidFill>
                    <w14:schemeClr w14:val="tx1"/>
                  </w14:solidFill>
                </w14:textFill>
              </w:rPr>
              <w:t>提出管理服务的创新思路和合理化建议等情况</w:t>
            </w:r>
            <w:r>
              <w:rPr>
                <w:rFonts w:hint="eastAsia"/>
                <w:color w:val="000000" w:themeColor="text1"/>
                <w:sz w:val="24"/>
                <w:lang w:val="zh-CN"/>
                <w14:textFill>
                  <w14:solidFill>
                    <w14:schemeClr w14:val="tx1"/>
                  </w14:solidFill>
                </w14:textFill>
              </w:rPr>
              <w:t>进行分档评分</w:t>
            </w:r>
            <w:r>
              <w:rPr>
                <w:rFonts w:hint="eastAsia" w:asciiTheme="minorEastAsia" w:hAnsiTheme="minorEastAsia" w:eastAsiaTheme="minorEastAsia"/>
                <w:color w:val="000000" w:themeColor="text1"/>
                <w:sz w:val="24"/>
                <w:lang w:eastAsia="zh-CN"/>
                <w14:textFill>
                  <w14:solidFill>
                    <w14:schemeClr w14:val="tx1"/>
                  </w14:solidFill>
                </w14:textFill>
              </w:rPr>
              <w:t>：</w:t>
            </w:r>
          </w:p>
          <w:p>
            <w:pPr>
              <w:pStyle w:val="10"/>
              <w:rPr>
                <w:color w:val="000000" w:themeColor="text1"/>
                <w14:textFill>
                  <w14:solidFill>
                    <w14:schemeClr w14:val="tx1"/>
                  </w14:solidFill>
                </w14:textFill>
              </w:rPr>
            </w:pPr>
            <w:r>
              <w:rPr>
                <w:rFonts w:hint="eastAsia"/>
                <w:color w:val="000000" w:themeColor="text1"/>
                <w14:textFill>
                  <w14:solidFill>
                    <w14:schemeClr w14:val="tx1"/>
                  </w14:solidFill>
                </w14:textFill>
              </w:rPr>
              <w:t>①深入了解本项目需求，制定的总体方案逻辑清晰、内容完整、对所存在问题有详细阐述，并提出有操作性的合理化解决方案，对管理服务有创新思路的，给6-4.1分；</w:t>
            </w:r>
          </w:p>
          <w:p>
            <w:pPr>
              <w:pStyle w:val="10"/>
              <w:rPr>
                <w:color w:val="000000" w:themeColor="text1"/>
                <w14:textFill>
                  <w14:solidFill>
                    <w14:schemeClr w14:val="tx1"/>
                  </w14:solidFill>
                </w14:textFill>
              </w:rPr>
            </w:pPr>
            <w:r>
              <w:rPr>
                <w:rFonts w:hint="eastAsia"/>
                <w:color w:val="000000" w:themeColor="text1"/>
                <w14:textFill>
                  <w14:solidFill>
                    <w14:schemeClr w14:val="tx1"/>
                  </w14:solidFill>
                </w14:textFill>
              </w:rPr>
              <w:t>②对本项目需求有一定了解，制定的总体方案逻辑基本清晰、内容基本完整，但对存在问题未归纳重难点，解决方案未一一对应的，创新思路不够合理的，给4-2.1分；</w:t>
            </w:r>
          </w:p>
          <w:p>
            <w:pPr>
              <w:pStyle w:val="10"/>
              <w:rPr>
                <w:color w:val="000000" w:themeColor="text1"/>
                <w14:textFill>
                  <w14:solidFill>
                    <w14:schemeClr w14:val="tx1"/>
                  </w14:solidFill>
                </w14:textFill>
              </w:rPr>
            </w:pPr>
            <w:r>
              <w:rPr>
                <w:rFonts w:hint="eastAsia"/>
                <w:color w:val="000000" w:themeColor="text1"/>
                <w14:textFill>
                  <w14:solidFill>
                    <w14:schemeClr w14:val="tx1"/>
                  </w14:solidFill>
                </w14:textFill>
              </w:rPr>
              <w:t>③未对项目需求、存在问题进行调查分析，制定的总体方案逻辑不清晰、内容不完整，照搬或凭空其他没有针对性项目的方案的，给2-0分。</w:t>
            </w:r>
          </w:p>
          <w:p>
            <w:pPr>
              <w:pStyle w:val="10"/>
              <w:rPr>
                <w:color w:val="000000" w:themeColor="text1"/>
                <w14:textFill>
                  <w14:solidFill>
                    <w14:schemeClr w14:val="tx1"/>
                  </w14:solidFill>
                </w14:textFill>
              </w:rPr>
            </w:pPr>
            <w:r>
              <w:rPr>
                <w:rFonts w:hint="eastAsia"/>
                <w:color w:val="000000" w:themeColor="text1"/>
                <w14:textFill>
                  <w14:solidFill>
                    <w14:schemeClr w14:val="tx1"/>
                  </w14:solidFill>
                </w14:textFill>
              </w:rPr>
              <w:t>未提及此项不得分。</w:t>
            </w:r>
          </w:p>
        </w:tc>
        <w:tc>
          <w:tcPr>
            <w:tcW w:w="84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r>
      <w:tr>
        <w:tblPrEx>
          <w:tblCellMar>
            <w:top w:w="0" w:type="dxa"/>
            <w:left w:w="108" w:type="dxa"/>
            <w:bottom w:w="0" w:type="dxa"/>
            <w:right w:w="108" w:type="dxa"/>
          </w:tblCellMar>
        </w:tblPrEx>
        <w:trPr>
          <w:trHeight w:val="309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管理方案</w:t>
            </w:r>
          </w:p>
        </w:tc>
        <w:tc>
          <w:tcPr>
            <w:tcW w:w="785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lang w:val="zh-CN"/>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根据各投标人制订的管理方案，包括①安全制度；②各级人员的管理制度； ③激励机制、监督机制、自我约束机制、信息反馈渠道及处理机制；④考核制度；</w:t>
            </w:r>
            <w:r>
              <w:rPr>
                <w:rFonts w:hint="eastAsia" w:asciiTheme="minorEastAsia" w:hAnsiTheme="minorEastAsia" w:eastAsiaTheme="minorEastAsia"/>
                <w:color w:val="000000" w:themeColor="text1"/>
                <w:sz w:val="24"/>
                <w14:textFill>
                  <w14:solidFill>
                    <w14:schemeClr w14:val="tx1"/>
                  </w14:solidFill>
                </w14:textFill>
              </w:rPr>
              <w:fldChar w:fldCharType="begin"/>
            </w:r>
            <w:r>
              <w:rPr>
                <w:rFonts w:hint="eastAsia" w:asciiTheme="minorEastAsia" w:hAnsiTheme="minorEastAsia" w:eastAsiaTheme="minorEastAsia"/>
                <w:color w:val="000000" w:themeColor="text1"/>
                <w:sz w:val="24"/>
                <w14:textFill>
                  <w14:solidFill>
                    <w14:schemeClr w14:val="tx1"/>
                  </w14:solidFill>
                </w14:textFill>
              </w:rPr>
              <w:instrText xml:space="preserve"> = 5 \* GB3 \* MERGEFORMAT </w:instrText>
            </w:r>
            <w:r>
              <w:rPr>
                <w:rFonts w:hint="eastAsia" w:asciiTheme="minorEastAsia" w:hAnsiTheme="minorEastAsia" w:eastAsiaTheme="minorEastAsia"/>
                <w:color w:val="000000" w:themeColor="text1"/>
                <w:sz w:val="24"/>
                <w14:textFill>
                  <w14:solidFill>
                    <w14:schemeClr w14:val="tx1"/>
                  </w14:solidFill>
                </w14:textFill>
              </w:rPr>
              <w:fldChar w:fldCharType="separate"/>
            </w:r>
            <w:r>
              <w:rPr>
                <w:rFonts w:hint="eastAsia" w:asciiTheme="minorEastAsia" w:hAnsiTheme="minorEastAsia" w:eastAsiaTheme="minorEastAsia"/>
                <w:color w:val="000000" w:themeColor="text1"/>
                <w:sz w:val="24"/>
                <w14:textFill>
                  <w14:solidFill>
                    <w14:schemeClr w14:val="tx1"/>
                  </w14:solidFill>
                </w14:textFill>
              </w:rPr>
              <w:t>⑤</w:t>
            </w:r>
            <w:r>
              <w:rPr>
                <w:rFonts w:hint="eastAsia" w:asciiTheme="minorEastAsia" w:hAnsiTheme="minorEastAsia" w:eastAsiaTheme="minorEastAsia"/>
                <w:color w:val="000000" w:themeColor="text1"/>
                <w:sz w:val="24"/>
                <w14:textFill>
                  <w14:solidFill>
                    <w14:schemeClr w14:val="tx1"/>
                  </w14:solidFill>
                </w14:textFill>
              </w:rPr>
              <w:fldChar w:fldCharType="end"/>
            </w:r>
            <w:r>
              <w:rPr>
                <w:rFonts w:hint="eastAsia" w:asciiTheme="minorEastAsia" w:hAnsiTheme="minorEastAsia" w:eastAsiaTheme="minorEastAsia"/>
                <w:color w:val="000000" w:themeColor="text1"/>
                <w:sz w:val="24"/>
                <w14:textFill>
                  <w14:solidFill>
                    <w14:schemeClr w14:val="tx1"/>
                  </w14:solidFill>
                </w14:textFill>
              </w:rPr>
              <w:t>问题整改与应急管理制度等进行评分。</w:t>
            </w:r>
            <w:r>
              <w:rPr>
                <w:rFonts w:hint="eastAsia"/>
                <w:color w:val="000000" w:themeColor="text1"/>
                <w:sz w:val="24"/>
                <w:lang w:val="zh-CN"/>
                <w14:textFill>
                  <w14:solidFill>
                    <w14:schemeClr w14:val="tx1"/>
                  </w14:solidFill>
                </w14:textFill>
              </w:rPr>
              <w:t>根据以上</w:t>
            </w:r>
            <w:r>
              <w:rPr>
                <w:rFonts w:hint="eastAsia"/>
                <w:color w:val="000000" w:themeColor="text1"/>
                <w:sz w:val="24"/>
                <w14:textFill>
                  <w14:solidFill>
                    <w14:schemeClr w14:val="tx1"/>
                  </w14:solidFill>
                </w14:textFill>
              </w:rPr>
              <w:t>5项</w:t>
            </w:r>
            <w:r>
              <w:rPr>
                <w:rFonts w:hint="eastAsia"/>
                <w:color w:val="000000" w:themeColor="text1"/>
                <w:sz w:val="24"/>
                <w:lang w:val="zh-CN"/>
                <w14:textFill>
                  <w14:solidFill>
                    <w14:schemeClr w14:val="tx1"/>
                  </w14:solidFill>
                </w14:textFill>
              </w:rPr>
              <w:t>管理制度进行分档评分：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w:t>
            </w:r>
            <w:r>
              <w:rPr>
                <w:rFonts w:hint="eastAsia"/>
                <w:color w:val="000000" w:themeColor="text1"/>
                <w:sz w:val="24"/>
                <w:lang w:val="zh-CN"/>
                <w14:textFill>
                  <w14:solidFill>
                    <w14:schemeClr w14:val="tx1"/>
                  </w14:solidFill>
                </w14:textFill>
              </w:rPr>
              <w:t>方案</w:t>
            </w:r>
            <w:r>
              <w:rPr>
                <w:rFonts w:hint="eastAsia"/>
                <w:color w:val="000000" w:themeColor="text1"/>
                <w:sz w:val="24"/>
                <w14:textFill>
                  <w14:solidFill>
                    <w14:schemeClr w14:val="tx1"/>
                  </w14:solidFill>
                </w14:textFill>
              </w:rPr>
              <w:t>符合采购人需求、</w:t>
            </w:r>
            <w:r>
              <w:rPr>
                <w:rFonts w:hint="eastAsia"/>
                <w:color w:val="000000" w:themeColor="text1"/>
                <w:sz w:val="24"/>
                <w:lang w:val="zh-CN"/>
                <w14:textFill>
                  <w14:solidFill>
                    <w14:schemeClr w14:val="tx1"/>
                  </w14:solidFill>
                </w14:textFill>
              </w:rPr>
              <w:t>详实、</w:t>
            </w:r>
            <w:r>
              <w:rPr>
                <w:rFonts w:hint="eastAsia" w:asciiTheme="minorEastAsia" w:hAnsiTheme="minorEastAsia" w:eastAsiaTheme="minorEastAsia"/>
                <w:color w:val="000000" w:themeColor="text1"/>
                <w:sz w:val="24"/>
                <w14:textFill>
                  <w14:solidFill>
                    <w14:schemeClr w14:val="tx1"/>
                  </w14:solidFill>
                </w14:textFill>
              </w:rPr>
              <w:t>制订方案规范具体、全面、有针对性和科学可行性的，给5-3.1分</w:t>
            </w:r>
            <w:r>
              <w:rPr>
                <w:rFonts w:hint="eastAsia"/>
                <w:color w:val="000000" w:themeColor="text1"/>
                <w:sz w:val="24"/>
                <w14:textFill>
                  <w14:solidFill>
                    <w14:schemeClr w14:val="tx1"/>
                  </w14:solidFill>
                </w14:textFill>
              </w:rPr>
              <w:t>；</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②方案基本符合采购人需求、</w:t>
            </w:r>
            <w:r>
              <w:rPr>
                <w:rFonts w:hint="eastAsia" w:asciiTheme="minorEastAsia" w:hAnsiTheme="minorEastAsia" w:eastAsiaTheme="minorEastAsia"/>
                <w:color w:val="000000" w:themeColor="text1"/>
                <w:sz w:val="24"/>
                <w14:textFill>
                  <w14:solidFill>
                    <w14:schemeClr w14:val="tx1"/>
                  </w14:solidFill>
                </w14:textFill>
              </w:rPr>
              <w:t>方案欠具体、欠全面、针对性不够强，给2-1.1分。</w:t>
            </w:r>
          </w:p>
          <w:p>
            <w:pPr>
              <w:pStyle w:val="10"/>
              <w:rPr>
                <w:rFonts w:asciiTheme="minorEastAsia" w:hAnsiTheme="minorEastAsia" w:eastAsia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③方案粗糙</w:t>
            </w:r>
            <w:r>
              <w:rPr>
                <w:rFonts w:hint="eastAsia" w:asciiTheme="minorEastAsia" w:hAnsiTheme="minorEastAsia" w:eastAsiaTheme="minorEastAsia"/>
                <w:color w:val="000000" w:themeColor="text1"/>
                <w14:textFill>
                  <w14:solidFill>
                    <w14:schemeClr w14:val="tx1"/>
                  </w14:solidFill>
                </w14:textFill>
              </w:rPr>
              <w:t>简陋</w:t>
            </w:r>
            <w:r>
              <w:rPr>
                <w:rFonts w:hint="eastAsia"/>
                <w:color w:val="000000" w:themeColor="text1"/>
                <w14:textFill>
                  <w14:solidFill>
                    <w14:schemeClr w14:val="tx1"/>
                  </w14:solidFill>
                </w14:textFill>
              </w:rPr>
              <w:t>、内容缺漏，</w:t>
            </w:r>
            <w:r>
              <w:rPr>
                <w:rFonts w:hint="eastAsia" w:asciiTheme="minorEastAsia" w:hAnsiTheme="minorEastAsia" w:eastAsiaTheme="minorEastAsia"/>
                <w:color w:val="000000" w:themeColor="text1"/>
                <w14:textFill>
                  <w14:solidFill>
                    <w14:schemeClr w14:val="tx1"/>
                  </w14:solidFill>
                </w14:textFill>
              </w:rPr>
              <w:t>方案不全面，针对性不强</w:t>
            </w:r>
            <w:r>
              <w:rPr>
                <w:rFonts w:hint="eastAsia"/>
                <w:color w:val="000000" w:themeColor="text1"/>
                <w14:textFill>
                  <w14:solidFill>
                    <w14:schemeClr w14:val="tx1"/>
                  </w14:solidFill>
                </w14:textFill>
              </w:rPr>
              <w:t>给1-0分</w:t>
            </w:r>
            <w:r>
              <w:rPr>
                <w:rFonts w:hint="eastAsia" w:asciiTheme="minorEastAsia" w:hAnsiTheme="minorEastAsia" w:eastAsiaTheme="minorEastAsia"/>
                <w:color w:val="000000" w:themeColor="text1"/>
                <w14:textFill>
                  <w14:solidFill>
                    <w14:schemeClr w14:val="tx1"/>
                  </w14:solidFill>
                </w14:textFill>
              </w:rPr>
              <w:t>。</w:t>
            </w:r>
          </w:p>
          <w:p>
            <w:pPr>
              <w:pStyle w:val="10"/>
              <w:rPr>
                <w:color w:val="000000" w:themeColor="text1"/>
                <w:lang w:val="zh-CN"/>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未提及此项不得分。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w:t>
            </w:r>
          </w:p>
        </w:tc>
      </w:tr>
      <w:tr>
        <w:tblPrEx>
          <w:tblCellMar>
            <w:top w:w="0" w:type="dxa"/>
            <w:left w:w="108" w:type="dxa"/>
            <w:bottom w:w="0" w:type="dxa"/>
            <w:right w:w="108" w:type="dxa"/>
          </w:tblCellMar>
        </w:tblPrEx>
        <w:trPr>
          <w:trHeight w:val="12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根据各投标人制订的培训计划（①对员工进行岗位培训、②日常培训和文明礼仪培训、③保密培训等）对采购单位的保密措施及服务质量保证措施</w:t>
            </w:r>
            <w:r>
              <w:rPr>
                <w:rFonts w:hint="eastAsia"/>
                <w:color w:val="000000" w:themeColor="text1"/>
                <w:sz w:val="24"/>
                <w:lang w:val="zh-CN"/>
                <w14:textFill>
                  <w14:solidFill>
                    <w14:schemeClr w14:val="tx1"/>
                  </w14:solidFill>
                </w14:textFill>
              </w:rPr>
              <w:t>进行分档评分</w:t>
            </w:r>
            <w:r>
              <w:rPr>
                <w:rFonts w:hint="eastAsia" w:asciiTheme="minorEastAsia" w:hAnsiTheme="minorEastAsia" w:eastAsiaTheme="minorEastAsia"/>
                <w:color w:val="000000" w:themeColor="text1"/>
                <w:sz w:val="24"/>
                <w14:textFill>
                  <w14:solidFill>
                    <w14:schemeClr w14:val="tx1"/>
                  </w14:solidFill>
                </w14:textFill>
              </w:rPr>
              <w:t>：</w:t>
            </w:r>
          </w:p>
          <w:p>
            <w:pP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lang w:val="zh-CN"/>
                <w14:textFill>
                  <w14:solidFill>
                    <w14:schemeClr w14:val="tx1"/>
                  </w14:solidFill>
                </w14:textFill>
              </w:rPr>
              <w:fldChar w:fldCharType="begin"/>
            </w:r>
            <w:r>
              <w:rPr>
                <w:rFonts w:hint="eastAsia" w:asciiTheme="minorEastAsia" w:hAnsiTheme="minorEastAsia" w:eastAsiaTheme="minorEastAsia"/>
                <w:color w:val="000000" w:themeColor="text1"/>
                <w:sz w:val="24"/>
                <w:lang w:val="zh-CN"/>
                <w14:textFill>
                  <w14:solidFill>
                    <w14:schemeClr w14:val="tx1"/>
                  </w14:solidFill>
                </w14:textFill>
              </w:rPr>
              <w:instrText xml:space="preserve"> = 1 \* GB3 </w:instrText>
            </w:r>
            <w:r>
              <w:rPr>
                <w:rFonts w:hint="eastAsia" w:asciiTheme="minorEastAsia" w:hAnsiTheme="minorEastAsia" w:eastAsiaTheme="minorEastAsia"/>
                <w:color w:val="000000" w:themeColor="text1"/>
                <w:sz w:val="24"/>
                <w:lang w:val="zh-CN"/>
                <w14:textFill>
                  <w14:solidFill>
                    <w14:schemeClr w14:val="tx1"/>
                  </w14:solidFill>
                </w14:textFill>
              </w:rPr>
              <w:fldChar w:fldCharType="separate"/>
            </w:r>
            <w:r>
              <w:rPr>
                <w:rFonts w:hint="eastAsia" w:asciiTheme="minorEastAsia" w:hAnsiTheme="minorEastAsia" w:eastAsiaTheme="minorEastAsia"/>
                <w:color w:val="000000" w:themeColor="text1"/>
                <w:sz w:val="24"/>
                <w:lang w:val="zh-CN"/>
                <w14:textFill>
                  <w14:solidFill>
                    <w14:schemeClr w14:val="tx1"/>
                  </w14:solidFill>
                </w14:textFill>
              </w:rPr>
              <w:t>①</w:t>
            </w:r>
            <w:r>
              <w:rPr>
                <w:rFonts w:hint="eastAsia" w:asciiTheme="minorEastAsia" w:hAnsiTheme="minorEastAsia" w:eastAsiaTheme="minorEastAsia"/>
                <w:color w:val="000000" w:themeColor="text1"/>
                <w:sz w:val="24"/>
                <w:lang w:val="zh-CN"/>
                <w14:textFill>
                  <w14:solidFill>
                    <w14:schemeClr w14:val="tx1"/>
                  </w14:solidFill>
                </w14:textFill>
              </w:rPr>
              <w:fldChar w:fldCharType="end"/>
            </w:r>
            <w:r>
              <w:rPr>
                <w:rFonts w:hint="eastAsia" w:asciiTheme="minorEastAsia" w:hAnsiTheme="minorEastAsia" w:eastAsiaTheme="minorEastAsia"/>
                <w:color w:val="000000" w:themeColor="text1"/>
                <w:sz w:val="24"/>
                <w:lang w:val="zh-CN"/>
                <w14:textFill>
                  <w14:solidFill>
                    <w14:schemeClr w14:val="tx1"/>
                  </w14:solidFill>
                </w14:textFill>
              </w:rPr>
              <w:t>方案</w:t>
            </w:r>
            <w:r>
              <w:rPr>
                <w:rFonts w:hint="eastAsia" w:asciiTheme="minorEastAsia" w:hAnsiTheme="minorEastAsia" w:eastAsiaTheme="minorEastAsia"/>
                <w:color w:val="000000" w:themeColor="text1"/>
                <w:sz w:val="24"/>
                <w14:textFill>
                  <w14:solidFill>
                    <w14:schemeClr w14:val="tx1"/>
                  </w14:solidFill>
                </w14:textFill>
              </w:rPr>
              <w:t>符合采购方需求、</w:t>
            </w:r>
            <w:r>
              <w:rPr>
                <w:rFonts w:hint="eastAsia" w:asciiTheme="minorEastAsia" w:hAnsiTheme="minorEastAsia" w:eastAsiaTheme="minorEastAsia"/>
                <w:color w:val="000000" w:themeColor="text1"/>
                <w:sz w:val="24"/>
                <w:lang w:val="zh-CN"/>
                <w14:textFill>
                  <w14:solidFill>
                    <w14:schemeClr w14:val="tx1"/>
                  </w14:solidFill>
                </w14:textFill>
              </w:rPr>
              <w:t>详实、内容新颖、操作性强的给</w:t>
            </w:r>
            <w:r>
              <w:rPr>
                <w:rFonts w:hint="eastAsia" w:asciiTheme="minorEastAsia" w:hAnsiTheme="minorEastAsia" w:eastAsiaTheme="minorEastAsia"/>
                <w:color w:val="000000" w:themeColor="text1"/>
                <w:sz w:val="24"/>
                <w14:textFill>
                  <w14:solidFill>
                    <w14:schemeClr w14:val="tx1"/>
                  </w14:solidFill>
                </w14:textFill>
              </w:rPr>
              <w:t>3-2.1分；</w:t>
            </w:r>
          </w:p>
          <w:p>
            <w:pP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②方案基本符合采购方需求、合理、内容完整、可操作的给2-1.1 分；</w:t>
            </w:r>
          </w:p>
          <w:p>
            <w:pPr>
              <w:rPr>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③方案粗糙、内容缺漏、操作性差的给1-0分。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p>
        </w:tc>
      </w:tr>
      <w:tr>
        <w:tblPrEx>
          <w:tblCellMar>
            <w:top w:w="0" w:type="dxa"/>
            <w:left w:w="108" w:type="dxa"/>
            <w:bottom w:w="0" w:type="dxa"/>
            <w:right w:w="108" w:type="dxa"/>
          </w:tblCellMar>
        </w:tblPrEx>
        <w:trPr>
          <w:trHeight w:val="195"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服务方案</w:t>
            </w:r>
          </w:p>
        </w:tc>
        <w:tc>
          <w:tcPr>
            <w:tcW w:w="785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物业管理区域内保洁服务方案：</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①方案符合采购人需求、详实、内容新颖、操作性强的给4-2.1分；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②方案合理、内容完整、可操作的给2-1.1分；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③方案粗糙、内容缺漏、操作性差的给1-0分。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p>
        </w:tc>
      </w:tr>
      <w:tr>
        <w:tblPrEx>
          <w:tblCellMar>
            <w:top w:w="0" w:type="dxa"/>
            <w:left w:w="108" w:type="dxa"/>
            <w:bottom w:w="0" w:type="dxa"/>
            <w:right w:w="108" w:type="dxa"/>
          </w:tblCellMar>
        </w:tblPrEx>
        <w:trPr>
          <w:trHeight w:val="11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物业管理区域安保消控服务方案：</w:t>
            </w:r>
          </w:p>
          <w:p>
            <w:pPr>
              <w:spacing w:line="300" w:lineRule="auto"/>
              <w:rPr>
                <w:color w:val="000000" w:themeColor="text1"/>
                <w:sz w:val="24"/>
                <w14:textFill>
                  <w14:solidFill>
                    <w14:schemeClr w14:val="tx1"/>
                  </w14:solidFill>
                </w14:textFill>
              </w:rPr>
            </w:pPr>
            <w:r>
              <w:rPr>
                <w:rFonts w:hint="eastAsia"/>
                <w:color w:val="000000" w:themeColor="text1"/>
                <w:sz w:val="24"/>
                <w:lang w:val="zh-CN"/>
                <w14:textFill>
                  <w14:solidFill>
                    <w14:schemeClr w14:val="tx1"/>
                  </w14:solidFill>
                </w14:textFill>
              </w:rPr>
              <w:fldChar w:fldCharType="begin"/>
            </w:r>
            <w:r>
              <w:rPr>
                <w:rFonts w:hint="eastAsia"/>
                <w:color w:val="000000" w:themeColor="text1"/>
                <w:sz w:val="24"/>
                <w:lang w:val="zh-CN"/>
                <w14:textFill>
                  <w14:solidFill>
                    <w14:schemeClr w14:val="tx1"/>
                  </w14:solidFill>
                </w14:textFill>
              </w:rPr>
              <w:instrText xml:space="preserve"> = 1 \* GB3 </w:instrText>
            </w:r>
            <w:r>
              <w:rPr>
                <w:rFonts w:hint="eastAsia"/>
                <w:color w:val="000000" w:themeColor="text1"/>
                <w:sz w:val="24"/>
                <w:lang w:val="zh-CN"/>
                <w14:textFill>
                  <w14:solidFill>
                    <w14:schemeClr w14:val="tx1"/>
                  </w14:solidFill>
                </w14:textFill>
              </w:rPr>
              <w:fldChar w:fldCharType="separate"/>
            </w:r>
            <w:r>
              <w:rPr>
                <w:rFonts w:hint="eastAsia"/>
                <w:color w:val="000000" w:themeColor="text1"/>
                <w:sz w:val="24"/>
                <w:lang w:val="zh-CN"/>
                <w14:textFill>
                  <w14:solidFill>
                    <w14:schemeClr w14:val="tx1"/>
                  </w14:solidFill>
                </w14:textFill>
              </w:rPr>
              <w:t>①</w:t>
            </w:r>
            <w:r>
              <w:rPr>
                <w:rFonts w:hint="eastAsia"/>
                <w:color w:val="000000" w:themeColor="text1"/>
                <w:sz w:val="24"/>
                <w:lang w:val="zh-CN"/>
                <w14:textFill>
                  <w14:solidFill>
                    <w14:schemeClr w14:val="tx1"/>
                  </w14:solidFill>
                </w14:textFill>
              </w:rPr>
              <w:fldChar w:fldCharType="end"/>
            </w:r>
            <w:r>
              <w:rPr>
                <w:rFonts w:hint="eastAsia"/>
                <w:color w:val="000000" w:themeColor="text1"/>
                <w:sz w:val="24"/>
                <w:lang w:val="zh-CN"/>
                <w14:textFill>
                  <w14:solidFill>
                    <w14:schemeClr w14:val="tx1"/>
                  </w14:solidFill>
                </w14:textFill>
              </w:rPr>
              <w:t>方案</w:t>
            </w:r>
            <w:r>
              <w:rPr>
                <w:rFonts w:hint="eastAsia"/>
                <w:color w:val="000000" w:themeColor="text1"/>
                <w:sz w:val="24"/>
                <w14:textFill>
                  <w14:solidFill>
                    <w14:schemeClr w14:val="tx1"/>
                  </w14:solidFill>
                </w14:textFill>
              </w:rPr>
              <w:t>符合采购方需求、</w:t>
            </w:r>
            <w:r>
              <w:rPr>
                <w:rFonts w:hint="eastAsia"/>
                <w:color w:val="000000" w:themeColor="text1"/>
                <w:sz w:val="24"/>
                <w:lang w:val="zh-CN"/>
                <w14:textFill>
                  <w14:solidFill>
                    <w14:schemeClr w14:val="tx1"/>
                  </w14:solidFill>
                </w14:textFill>
              </w:rPr>
              <w:t>详实、内容新颖、操作性强的给</w:t>
            </w:r>
            <w:r>
              <w:rPr>
                <w:rFonts w:hint="eastAsia"/>
                <w:color w:val="000000" w:themeColor="text1"/>
                <w:sz w:val="24"/>
                <w14:textFill>
                  <w14:solidFill>
                    <w14:schemeClr w14:val="tx1"/>
                  </w14:solidFill>
                </w14:textFill>
              </w:rPr>
              <w:t>4-2.1分；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②方案基本符合采购方需求、合理、内容完整、可操作的给2-1.1分；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③方案粗糙、内容缺漏、操作性差的给1-0分。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w:t>
            </w:r>
          </w:p>
        </w:tc>
      </w:tr>
      <w:tr>
        <w:tblPrEx>
          <w:tblCellMar>
            <w:top w:w="0" w:type="dxa"/>
            <w:left w:w="108" w:type="dxa"/>
            <w:bottom w:w="0" w:type="dxa"/>
            <w:right w:w="108" w:type="dxa"/>
          </w:tblCellMar>
        </w:tblPrEx>
        <w:trPr>
          <w:trHeight w:val="55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物业管理区域工程维修服务方案：</w:t>
            </w:r>
          </w:p>
          <w:p>
            <w:pPr>
              <w:rPr>
                <w:color w:val="000000" w:themeColor="text1"/>
                <w:sz w:val="24"/>
                <w14:textFill>
                  <w14:solidFill>
                    <w14:schemeClr w14:val="tx1"/>
                  </w14:solidFill>
                </w14:textFill>
              </w:rPr>
            </w:pPr>
            <w:r>
              <w:rPr>
                <w:rFonts w:hint="eastAsia"/>
                <w:color w:val="000000" w:themeColor="text1"/>
                <w:sz w:val="24"/>
                <w:lang w:val="zh-CN"/>
                <w14:textFill>
                  <w14:solidFill>
                    <w14:schemeClr w14:val="tx1"/>
                  </w14:solidFill>
                </w14:textFill>
              </w:rPr>
              <w:fldChar w:fldCharType="begin"/>
            </w:r>
            <w:r>
              <w:rPr>
                <w:rFonts w:hint="eastAsia"/>
                <w:color w:val="000000" w:themeColor="text1"/>
                <w:sz w:val="24"/>
                <w:lang w:val="zh-CN"/>
                <w14:textFill>
                  <w14:solidFill>
                    <w14:schemeClr w14:val="tx1"/>
                  </w14:solidFill>
                </w14:textFill>
              </w:rPr>
              <w:instrText xml:space="preserve"> = 1 \* GB3 </w:instrText>
            </w:r>
            <w:r>
              <w:rPr>
                <w:rFonts w:hint="eastAsia"/>
                <w:color w:val="000000" w:themeColor="text1"/>
                <w:sz w:val="24"/>
                <w:lang w:val="zh-CN"/>
                <w14:textFill>
                  <w14:solidFill>
                    <w14:schemeClr w14:val="tx1"/>
                  </w14:solidFill>
                </w14:textFill>
              </w:rPr>
              <w:fldChar w:fldCharType="separate"/>
            </w:r>
            <w:r>
              <w:rPr>
                <w:rFonts w:hint="eastAsia"/>
                <w:color w:val="000000" w:themeColor="text1"/>
                <w:sz w:val="24"/>
                <w:lang w:val="zh-CN"/>
                <w14:textFill>
                  <w14:solidFill>
                    <w14:schemeClr w14:val="tx1"/>
                  </w14:solidFill>
                </w14:textFill>
              </w:rPr>
              <w:t>①</w:t>
            </w:r>
            <w:r>
              <w:rPr>
                <w:rFonts w:hint="eastAsia"/>
                <w:color w:val="000000" w:themeColor="text1"/>
                <w:sz w:val="24"/>
                <w:lang w:val="zh-CN"/>
                <w14:textFill>
                  <w14:solidFill>
                    <w14:schemeClr w14:val="tx1"/>
                  </w14:solidFill>
                </w14:textFill>
              </w:rPr>
              <w:fldChar w:fldCharType="end"/>
            </w:r>
            <w:r>
              <w:rPr>
                <w:rFonts w:hint="eastAsia"/>
                <w:color w:val="000000" w:themeColor="text1"/>
                <w:sz w:val="24"/>
                <w:lang w:val="zh-CN"/>
                <w14:textFill>
                  <w14:solidFill>
                    <w14:schemeClr w14:val="tx1"/>
                  </w14:solidFill>
                </w14:textFill>
              </w:rPr>
              <w:t>方案</w:t>
            </w:r>
            <w:r>
              <w:rPr>
                <w:rFonts w:hint="eastAsia"/>
                <w:color w:val="000000" w:themeColor="text1"/>
                <w:sz w:val="24"/>
                <w14:textFill>
                  <w14:solidFill>
                    <w14:schemeClr w14:val="tx1"/>
                  </w14:solidFill>
                </w14:textFill>
              </w:rPr>
              <w:t>符合采购方需求、</w:t>
            </w:r>
            <w:r>
              <w:rPr>
                <w:rFonts w:hint="eastAsia"/>
                <w:color w:val="000000" w:themeColor="text1"/>
                <w:sz w:val="24"/>
                <w:lang w:val="zh-CN"/>
                <w14:textFill>
                  <w14:solidFill>
                    <w14:schemeClr w14:val="tx1"/>
                  </w14:solidFill>
                </w14:textFill>
              </w:rPr>
              <w:t>详实、内容新颖、操作性强的给</w:t>
            </w:r>
            <w:r>
              <w:rPr>
                <w:rFonts w:hint="eastAsia"/>
                <w:color w:val="000000" w:themeColor="text1"/>
                <w:sz w:val="24"/>
                <w14:textFill>
                  <w14:solidFill>
                    <w14:schemeClr w14:val="tx1"/>
                  </w14:solidFill>
                </w14:textFill>
              </w:rPr>
              <w:t>4-2.1 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②方案基本符合采购方需求、合理、内容完整、可操作的给2-1.1分；</w:t>
            </w:r>
          </w:p>
          <w:p>
            <w:pPr>
              <w:spacing w:line="300" w:lineRule="auto"/>
              <w:rPr>
                <w:rFonts w:asciiTheme="minorEastAsia" w:hAnsiTheme="minorEastAsia" w:eastAsiaTheme="minor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③方案粗糙、内容缺漏、操作性差的给1-0分。</w:t>
            </w:r>
          </w:p>
        </w:tc>
        <w:tc>
          <w:tcPr>
            <w:tcW w:w="84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w:t>
            </w:r>
          </w:p>
        </w:tc>
      </w:tr>
      <w:tr>
        <w:tblPrEx>
          <w:tblCellMar>
            <w:top w:w="0" w:type="dxa"/>
            <w:left w:w="108" w:type="dxa"/>
            <w:bottom w:w="0" w:type="dxa"/>
            <w:right w:w="108" w:type="dxa"/>
          </w:tblCellMar>
        </w:tblPrEx>
        <w:trPr>
          <w:trHeight w:val="13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物业管理区域会务接待服务方案：</w:t>
            </w:r>
          </w:p>
          <w:p>
            <w:pPr>
              <w:rPr>
                <w:color w:val="000000" w:themeColor="text1"/>
                <w:sz w:val="24"/>
                <w14:textFill>
                  <w14:solidFill>
                    <w14:schemeClr w14:val="tx1"/>
                  </w14:solidFill>
                </w14:textFill>
              </w:rPr>
            </w:pPr>
            <w:r>
              <w:rPr>
                <w:rFonts w:hint="eastAsia"/>
                <w:color w:val="000000" w:themeColor="text1"/>
                <w:sz w:val="24"/>
                <w:lang w:val="zh-CN"/>
                <w14:textFill>
                  <w14:solidFill>
                    <w14:schemeClr w14:val="tx1"/>
                  </w14:solidFill>
                </w14:textFill>
              </w:rPr>
              <w:fldChar w:fldCharType="begin"/>
            </w:r>
            <w:r>
              <w:rPr>
                <w:rFonts w:hint="eastAsia"/>
                <w:color w:val="000000" w:themeColor="text1"/>
                <w:sz w:val="24"/>
                <w:lang w:val="zh-CN"/>
                <w14:textFill>
                  <w14:solidFill>
                    <w14:schemeClr w14:val="tx1"/>
                  </w14:solidFill>
                </w14:textFill>
              </w:rPr>
              <w:instrText xml:space="preserve"> = 1 \* GB3 </w:instrText>
            </w:r>
            <w:r>
              <w:rPr>
                <w:rFonts w:hint="eastAsia"/>
                <w:color w:val="000000" w:themeColor="text1"/>
                <w:sz w:val="24"/>
                <w:lang w:val="zh-CN"/>
                <w14:textFill>
                  <w14:solidFill>
                    <w14:schemeClr w14:val="tx1"/>
                  </w14:solidFill>
                </w14:textFill>
              </w:rPr>
              <w:fldChar w:fldCharType="separate"/>
            </w:r>
            <w:r>
              <w:rPr>
                <w:rFonts w:hint="eastAsia"/>
                <w:color w:val="000000" w:themeColor="text1"/>
                <w:sz w:val="24"/>
                <w:lang w:val="zh-CN"/>
                <w14:textFill>
                  <w14:solidFill>
                    <w14:schemeClr w14:val="tx1"/>
                  </w14:solidFill>
                </w14:textFill>
              </w:rPr>
              <w:t>①</w:t>
            </w:r>
            <w:r>
              <w:rPr>
                <w:rFonts w:hint="eastAsia"/>
                <w:color w:val="000000" w:themeColor="text1"/>
                <w:sz w:val="24"/>
                <w:lang w:val="zh-CN"/>
                <w14:textFill>
                  <w14:solidFill>
                    <w14:schemeClr w14:val="tx1"/>
                  </w14:solidFill>
                </w14:textFill>
              </w:rPr>
              <w:fldChar w:fldCharType="end"/>
            </w:r>
            <w:r>
              <w:rPr>
                <w:rFonts w:hint="eastAsia"/>
                <w:color w:val="000000" w:themeColor="text1"/>
                <w:sz w:val="24"/>
                <w:lang w:val="zh-CN"/>
                <w14:textFill>
                  <w14:solidFill>
                    <w14:schemeClr w14:val="tx1"/>
                  </w14:solidFill>
                </w14:textFill>
              </w:rPr>
              <w:t>方案</w:t>
            </w:r>
            <w:r>
              <w:rPr>
                <w:rFonts w:hint="eastAsia"/>
                <w:color w:val="000000" w:themeColor="text1"/>
                <w:sz w:val="24"/>
                <w14:textFill>
                  <w14:solidFill>
                    <w14:schemeClr w14:val="tx1"/>
                  </w14:solidFill>
                </w14:textFill>
              </w:rPr>
              <w:t>符合采购方需求、</w:t>
            </w:r>
            <w:r>
              <w:rPr>
                <w:rFonts w:hint="eastAsia"/>
                <w:color w:val="000000" w:themeColor="text1"/>
                <w:sz w:val="24"/>
                <w:lang w:val="zh-CN"/>
                <w14:textFill>
                  <w14:solidFill>
                    <w14:schemeClr w14:val="tx1"/>
                  </w14:solidFill>
                </w14:textFill>
              </w:rPr>
              <w:t>详实、内容新颖、操作性强的给</w:t>
            </w:r>
            <w:r>
              <w:rPr>
                <w:rFonts w:hint="eastAsia"/>
                <w:color w:val="000000" w:themeColor="text1"/>
                <w:sz w:val="24"/>
                <w14:textFill>
                  <w14:solidFill>
                    <w14:schemeClr w14:val="tx1"/>
                  </w14:solidFill>
                </w14:textFill>
              </w:rPr>
              <w:t>4-2.1分；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②方案基本符合采购方需求、合理、内容完整、可操作的给2-1.1分；</w:t>
            </w:r>
          </w:p>
          <w:p>
            <w:pPr>
              <w:spacing w:line="300" w:lineRule="auto"/>
              <w:rPr>
                <w:rFonts w:asciiTheme="minorEastAsia" w:hAnsiTheme="minorEastAsia" w:eastAsiaTheme="minor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③方案粗糙、内容缺漏、操作性差的给1-0分。</w:t>
            </w:r>
          </w:p>
        </w:tc>
        <w:tc>
          <w:tcPr>
            <w:tcW w:w="84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w:t>
            </w:r>
          </w:p>
        </w:tc>
      </w:tr>
      <w:tr>
        <w:tblPrEx>
          <w:tblCellMar>
            <w:top w:w="0" w:type="dxa"/>
            <w:left w:w="108" w:type="dxa"/>
            <w:bottom w:w="0" w:type="dxa"/>
            <w:right w:w="108" w:type="dxa"/>
          </w:tblCellMar>
        </w:tblPrEx>
        <w:trPr>
          <w:trHeight w:val="12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物业管理区域绿化养护服务方案：</w:t>
            </w:r>
          </w:p>
          <w:p>
            <w:pPr>
              <w:rPr>
                <w:color w:val="000000" w:themeColor="text1"/>
                <w:sz w:val="24"/>
                <w14:textFill>
                  <w14:solidFill>
                    <w14:schemeClr w14:val="tx1"/>
                  </w14:solidFill>
                </w14:textFill>
              </w:rPr>
            </w:pPr>
            <w:r>
              <w:rPr>
                <w:rFonts w:hint="eastAsia"/>
                <w:color w:val="000000" w:themeColor="text1"/>
                <w:sz w:val="24"/>
                <w:lang w:val="zh-CN"/>
                <w14:textFill>
                  <w14:solidFill>
                    <w14:schemeClr w14:val="tx1"/>
                  </w14:solidFill>
                </w14:textFill>
              </w:rPr>
              <w:fldChar w:fldCharType="begin"/>
            </w:r>
            <w:r>
              <w:rPr>
                <w:rFonts w:hint="eastAsia"/>
                <w:color w:val="000000" w:themeColor="text1"/>
                <w:sz w:val="24"/>
                <w:lang w:val="zh-CN"/>
                <w14:textFill>
                  <w14:solidFill>
                    <w14:schemeClr w14:val="tx1"/>
                  </w14:solidFill>
                </w14:textFill>
              </w:rPr>
              <w:instrText xml:space="preserve"> = 1 \* GB3 </w:instrText>
            </w:r>
            <w:r>
              <w:rPr>
                <w:rFonts w:hint="eastAsia"/>
                <w:color w:val="000000" w:themeColor="text1"/>
                <w:sz w:val="24"/>
                <w:lang w:val="zh-CN"/>
                <w14:textFill>
                  <w14:solidFill>
                    <w14:schemeClr w14:val="tx1"/>
                  </w14:solidFill>
                </w14:textFill>
              </w:rPr>
              <w:fldChar w:fldCharType="separate"/>
            </w:r>
            <w:r>
              <w:rPr>
                <w:rFonts w:hint="eastAsia"/>
                <w:color w:val="000000" w:themeColor="text1"/>
                <w:sz w:val="24"/>
                <w:lang w:val="zh-CN"/>
                <w14:textFill>
                  <w14:solidFill>
                    <w14:schemeClr w14:val="tx1"/>
                  </w14:solidFill>
                </w14:textFill>
              </w:rPr>
              <w:t>①</w:t>
            </w:r>
            <w:r>
              <w:rPr>
                <w:rFonts w:hint="eastAsia"/>
                <w:color w:val="000000" w:themeColor="text1"/>
                <w:sz w:val="24"/>
                <w:lang w:val="zh-CN"/>
                <w14:textFill>
                  <w14:solidFill>
                    <w14:schemeClr w14:val="tx1"/>
                  </w14:solidFill>
                </w14:textFill>
              </w:rPr>
              <w:fldChar w:fldCharType="end"/>
            </w:r>
            <w:r>
              <w:rPr>
                <w:rFonts w:hint="eastAsia"/>
                <w:color w:val="000000" w:themeColor="text1"/>
                <w:sz w:val="24"/>
                <w:lang w:val="zh-CN"/>
                <w14:textFill>
                  <w14:solidFill>
                    <w14:schemeClr w14:val="tx1"/>
                  </w14:solidFill>
                </w14:textFill>
              </w:rPr>
              <w:t>方案</w:t>
            </w:r>
            <w:r>
              <w:rPr>
                <w:rFonts w:hint="eastAsia"/>
                <w:color w:val="000000" w:themeColor="text1"/>
                <w:sz w:val="24"/>
                <w14:textFill>
                  <w14:solidFill>
                    <w14:schemeClr w14:val="tx1"/>
                  </w14:solidFill>
                </w14:textFill>
              </w:rPr>
              <w:t>符合采购方需求、</w:t>
            </w:r>
            <w:r>
              <w:rPr>
                <w:rFonts w:hint="eastAsia"/>
                <w:color w:val="000000" w:themeColor="text1"/>
                <w:sz w:val="24"/>
                <w:lang w:val="zh-CN"/>
                <w14:textFill>
                  <w14:solidFill>
                    <w14:schemeClr w14:val="tx1"/>
                  </w14:solidFill>
                </w14:textFill>
              </w:rPr>
              <w:t>详实、内容新颖、操作性强的给</w:t>
            </w:r>
            <w:r>
              <w:rPr>
                <w:rFonts w:hint="eastAsia"/>
                <w:color w:val="000000" w:themeColor="text1"/>
                <w:sz w:val="24"/>
                <w14:textFill>
                  <w14:solidFill>
                    <w14:schemeClr w14:val="tx1"/>
                  </w14:solidFill>
                </w14:textFill>
              </w:rPr>
              <w:t>4-2.1分；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②方案基本符合采购方需求、合理、内容完整、可操作的给2-1.1分；</w:t>
            </w:r>
          </w:p>
          <w:p>
            <w:pPr>
              <w:pStyle w:val="10"/>
              <w:rPr>
                <w:color w:val="000000" w:themeColor="text1"/>
                <w14:textFill>
                  <w14:solidFill>
                    <w14:schemeClr w14:val="tx1"/>
                  </w14:solidFill>
                </w14:textFill>
              </w:rPr>
            </w:pPr>
            <w:r>
              <w:rPr>
                <w:rFonts w:hint="eastAsia"/>
                <w:color w:val="000000" w:themeColor="text1"/>
                <w14:textFill>
                  <w14:solidFill>
                    <w14:schemeClr w14:val="tx1"/>
                  </w14:solidFill>
                </w14:textFill>
              </w:rPr>
              <w:t>③方案粗糙、内容缺漏、操作性差的给1-0分。</w:t>
            </w:r>
          </w:p>
        </w:tc>
        <w:tc>
          <w:tcPr>
            <w:tcW w:w="84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w:t>
            </w:r>
          </w:p>
        </w:tc>
      </w:tr>
      <w:tr>
        <w:tblPrEx>
          <w:tblCellMar>
            <w:top w:w="0" w:type="dxa"/>
            <w:left w:w="108" w:type="dxa"/>
            <w:bottom w:w="0" w:type="dxa"/>
            <w:right w:w="108" w:type="dxa"/>
          </w:tblCellMar>
        </w:tblPrEx>
        <w:trPr>
          <w:trHeight w:val="212"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服务人员</w:t>
            </w:r>
          </w:p>
        </w:tc>
        <w:tc>
          <w:tcPr>
            <w:tcW w:w="785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岗位安排方案：管理人员及服务人员的构成情况及人员数量安排是否根据采购人的需求，且针对及全面性进行</w:t>
            </w:r>
            <w:r>
              <w:rPr>
                <w:rFonts w:hint="eastAsia"/>
                <w:color w:val="000000" w:themeColor="text1"/>
                <w:sz w:val="24"/>
                <w:lang w:val="zh-CN"/>
                <w14:textFill>
                  <w14:solidFill>
                    <w14:schemeClr w14:val="tx1"/>
                  </w14:solidFill>
                </w14:textFill>
              </w:rPr>
              <w:t>分档评分</w:t>
            </w:r>
            <w:r>
              <w:rPr>
                <w:rFonts w:hint="eastAsia"/>
                <w:color w:val="000000" w:themeColor="text1"/>
                <w:sz w:val="24"/>
                <w14:textFill>
                  <w14:solidFill>
                    <w14:schemeClr w14:val="tx1"/>
                  </w14:solidFill>
                </w14:textFill>
              </w:rPr>
              <w:t>：</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①人员编制完整、权责清晰、架构高效、各岗位人员数量安排合理的给</w:t>
            </w:r>
            <w:r>
              <w:rPr>
                <w:rFonts w:hint="eastAsia"/>
                <w:color w:val="000000" w:themeColor="text1"/>
                <w:sz w:val="24"/>
                <w:lang w:val="en-US" w:eastAsia="zh-CN"/>
                <w14:textFill>
                  <w14:solidFill>
                    <w14:schemeClr w14:val="tx1"/>
                  </w14:solidFill>
                </w14:textFill>
              </w:rPr>
              <w:t>4.5-2.1</w:t>
            </w:r>
            <w:r>
              <w:rPr>
                <w:rFonts w:hint="eastAsia"/>
                <w:color w:val="000000" w:themeColor="text1"/>
                <w:sz w:val="24"/>
                <w14:textFill>
                  <w14:solidFill>
                    <w14:schemeClr w14:val="tx1"/>
                  </w14:solidFill>
                </w14:textFill>
              </w:rPr>
              <w:t>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②人员编制不完整、权责不清、架构低效、各岗位人员安排不合理的给</w:t>
            </w:r>
            <w:r>
              <w:rPr>
                <w:rFonts w:hint="eastAsia"/>
                <w:color w:val="000000" w:themeColor="text1"/>
                <w:sz w:val="24"/>
                <w:lang w:val="en-US" w:eastAsia="zh-CN"/>
                <w14:textFill>
                  <w14:solidFill>
                    <w14:schemeClr w14:val="tx1"/>
                  </w14:solidFill>
                </w14:textFill>
              </w:rPr>
              <w:t>2-0</w:t>
            </w:r>
            <w:r>
              <w:rPr>
                <w:rFonts w:hint="eastAsia"/>
                <w:color w:val="000000" w:themeColor="text1"/>
                <w:sz w:val="24"/>
                <w14:textFill>
                  <w14:solidFill>
                    <w14:schemeClr w14:val="tx1"/>
                  </w14:solidFill>
                </w14:textFill>
              </w:rPr>
              <w:t>分。</w:t>
            </w:r>
          </w:p>
        </w:tc>
        <w:tc>
          <w:tcPr>
            <w:tcW w:w="844"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.5</w:t>
            </w:r>
          </w:p>
        </w:tc>
      </w:tr>
      <w:tr>
        <w:tblPrEx>
          <w:tblCellMar>
            <w:top w:w="0" w:type="dxa"/>
            <w:left w:w="108" w:type="dxa"/>
            <w:bottom w:w="0" w:type="dxa"/>
            <w:right w:w="108" w:type="dxa"/>
          </w:tblCellMar>
        </w:tblPrEx>
        <w:trPr>
          <w:trHeight w:val="171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spacing w:line="30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项目经理履历要求：</w:t>
            </w:r>
          </w:p>
          <w:p>
            <w:pPr>
              <w:spacing w:line="30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w:instrText>
            </w:r>
            <w:r>
              <w:rPr>
                <w:rFonts w:hint="eastAsia"/>
                <w:color w:val="000000" w:themeColor="text1"/>
                <w:sz w:val="24"/>
                <w14:textFill>
                  <w14:solidFill>
                    <w14:schemeClr w14:val="tx1"/>
                  </w14:solidFill>
                </w14:textFill>
              </w:rPr>
              <w:instrText xml:space="preserve">= 1 \* GB3</w:instrText>
            </w:r>
            <w:r>
              <w:rPr>
                <w:color w:val="000000" w:themeColor="text1"/>
                <w:sz w:val="24"/>
                <w14:textFill>
                  <w14:solidFill>
                    <w14:schemeClr w14:val="tx1"/>
                  </w14:solidFill>
                </w14:textFill>
              </w:rPr>
              <w:instrText xml:space="preserve"> </w:instrText>
            </w:r>
            <w:r>
              <w:rPr>
                <w:color w:val="000000" w:themeColor="text1"/>
                <w:sz w:val="24"/>
                <w14:textFill>
                  <w14:solidFill>
                    <w14:schemeClr w14:val="tx1"/>
                  </w14:solidFill>
                </w14:textFill>
              </w:rPr>
              <w:fldChar w:fldCharType="separate"/>
            </w:r>
            <w:r>
              <w:rPr>
                <w:rFonts w:hint="eastAsia"/>
                <w:color w:val="000000" w:themeColor="text1"/>
                <w:sz w:val="24"/>
                <w14:textFill>
                  <w14:solidFill>
                    <w14:schemeClr w14:val="tx1"/>
                  </w14:solidFill>
                </w14:textFill>
              </w:rPr>
              <w:t>①</w:t>
            </w:r>
            <w:r>
              <w:rPr>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具有本科及以上学历的得2分，具有专科学历得1分；</w:t>
            </w:r>
          </w:p>
          <w:p>
            <w:pPr>
              <w:spacing w:line="30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②具有</w:t>
            </w:r>
            <w:r>
              <w:rPr>
                <w:rFonts w:hint="eastAsia"/>
                <w:color w:val="000000" w:themeColor="text1"/>
                <w:sz w:val="24"/>
                <w:lang w:eastAsia="zh-CN"/>
                <w14:textFill>
                  <w14:solidFill>
                    <w14:schemeClr w14:val="tx1"/>
                  </w14:solidFill>
                </w14:textFill>
              </w:rPr>
              <w:t>物业项目经理</w:t>
            </w:r>
            <w:r>
              <w:rPr>
                <w:rFonts w:hint="eastAsia"/>
                <w:color w:val="000000" w:themeColor="text1"/>
                <w:sz w:val="24"/>
                <w14:textFill>
                  <w14:solidFill>
                    <w14:schemeClr w14:val="tx1"/>
                  </w14:solidFill>
                </w14:textFill>
              </w:rPr>
              <w:t>证书的得2分；</w:t>
            </w:r>
            <w:bookmarkStart w:id="108" w:name="_GoBack"/>
          </w:p>
          <w:bookmarkEnd w:id="108"/>
          <w:p>
            <w:pPr>
              <w:spacing w:line="30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③具有二级及以上保安员证书的得2分；</w:t>
            </w:r>
          </w:p>
          <w:p>
            <w:pPr>
              <w:spacing w:line="360" w:lineRule="auto"/>
              <w:rPr>
                <w:rFonts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④</w:t>
            </w:r>
            <w:r>
              <w:rPr>
                <w:rFonts w:hint="eastAsia"/>
                <w:color w:val="000000" w:themeColor="text1"/>
                <w14:textFill>
                  <w14:solidFill>
                    <w14:schemeClr w14:val="tx1"/>
                  </w14:solidFill>
                </w14:textFill>
              </w:rPr>
              <w:t>具有</w:t>
            </w:r>
            <w:r>
              <w:rPr>
                <w:rFonts w:hint="eastAsia"/>
                <w:color w:val="000000" w:themeColor="text1"/>
                <w:sz w:val="24"/>
                <w14:textFill>
                  <w14:solidFill>
                    <w14:schemeClr w14:val="tx1"/>
                  </w14:solidFill>
                </w14:textFill>
              </w:rPr>
              <w:t>物业管理项目经理工</w:t>
            </w:r>
            <w:r>
              <w:rPr>
                <w:rFonts w:hint="eastAsia" w:asciiTheme="minorEastAsia" w:hAnsiTheme="minorEastAsia" w:eastAsiaTheme="minorEastAsia" w:cstheme="minorEastAsia"/>
                <w:color w:val="000000" w:themeColor="text1"/>
                <w:sz w:val="24"/>
                <w14:textFill>
                  <w14:solidFill>
                    <w14:schemeClr w14:val="tx1"/>
                  </w14:solidFill>
                </w14:textFill>
              </w:rPr>
              <w:t>作经验的，须提供工作证明的，提供三年工作经验以上得2分，提供二年工作经验以上得1分</w:t>
            </w:r>
            <w:r>
              <w:rPr>
                <w:rFonts w:hint="eastAsia"/>
                <w:color w:val="000000" w:themeColor="text1"/>
                <w:sz w:val="24"/>
                <w14:textFill>
                  <w14:solidFill>
                    <w14:schemeClr w14:val="tx1"/>
                  </w14:solidFill>
                </w14:textFill>
              </w:rPr>
              <w:t>。</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（提供</w:t>
            </w:r>
            <w:r>
              <w:rPr>
                <w:rFonts w:hint="eastAsia"/>
                <w:color w:val="000000" w:themeColor="text1"/>
                <w14:textFill>
                  <w14:solidFill>
                    <w14:schemeClr w14:val="tx1"/>
                  </w14:solidFill>
                </w14:textFill>
              </w:rPr>
              <w:t>证书原件扫描件及</w:t>
            </w:r>
            <w:r>
              <w:rPr>
                <w:rFonts w:hint="eastAsia"/>
                <w:color w:val="000000" w:themeColor="text1"/>
                <w:sz w:val="24"/>
                <w14:textFill>
                  <w14:solidFill>
                    <w14:schemeClr w14:val="tx1"/>
                  </w14:solidFill>
                </w14:textFill>
              </w:rPr>
              <w:t>投标截止日前近3个月投标人为其缴纳社保的的社保缴费证明）</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w:t>
            </w:r>
          </w:p>
        </w:tc>
      </w:tr>
      <w:tr>
        <w:tblPrEx>
          <w:tblCellMar>
            <w:top w:w="0" w:type="dxa"/>
            <w:left w:w="108" w:type="dxa"/>
            <w:bottom w:w="0" w:type="dxa"/>
            <w:right w:w="108" w:type="dxa"/>
          </w:tblCellMar>
        </w:tblPrEx>
        <w:trPr>
          <w:trHeight w:val="2131"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spacing w:line="30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会务人员履历要求：</w:t>
            </w:r>
          </w:p>
          <w:p>
            <w:pPr>
              <w:spacing w:line="30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w:instrText>
            </w:r>
            <w:r>
              <w:rPr>
                <w:rFonts w:hint="eastAsia"/>
                <w:color w:val="000000" w:themeColor="text1"/>
                <w:sz w:val="24"/>
                <w14:textFill>
                  <w14:solidFill>
                    <w14:schemeClr w14:val="tx1"/>
                  </w14:solidFill>
                </w14:textFill>
              </w:rPr>
              <w:instrText xml:space="preserve">= 1 \* GB3</w:instrText>
            </w:r>
            <w:r>
              <w:rPr>
                <w:color w:val="000000" w:themeColor="text1"/>
                <w:sz w:val="24"/>
                <w14:textFill>
                  <w14:solidFill>
                    <w14:schemeClr w14:val="tx1"/>
                  </w14:solidFill>
                </w14:textFill>
              </w:rPr>
              <w:instrText xml:space="preserve"> </w:instrText>
            </w:r>
            <w:r>
              <w:rPr>
                <w:color w:val="000000" w:themeColor="text1"/>
                <w:sz w:val="24"/>
                <w14:textFill>
                  <w14:solidFill>
                    <w14:schemeClr w14:val="tx1"/>
                  </w14:solidFill>
                </w14:textFill>
              </w:rPr>
              <w:fldChar w:fldCharType="separate"/>
            </w:r>
            <w:r>
              <w:rPr>
                <w:rFonts w:hint="eastAsia"/>
                <w:color w:val="000000" w:themeColor="text1"/>
                <w:sz w:val="24"/>
                <w14:textFill>
                  <w14:solidFill>
                    <w14:schemeClr w14:val="tx1"/>
                  </w14:solidFill>
                </w14:textFill>
              </w:rPr>
              <w:t>①</w:t>
            </w:r>
            <w:r>
              <w:rPr>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有文秘类大专及以上学历的得2分，高中以上文化程度得1分。</w:t>
            </w:r>
          </w:p>
          <w:p>
            <w:pPr>
              <w:spacing w:line="30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②具有二年以上会务接待经验得1分。</w:t>
            </w:r>
          </w:p>
          <w:p>
            <w:pPr>
              <w:spacing w:line="300" w:lineRule="auto"/>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（注:上述项①②项须为同一人，提供</w:t>
            </w:r>
            <w:r>
              <w:rPr>
                <w:rFonts w:hint="eastAsia"/>
                <w:color w:val="000000" w:themeColor="text1"/>
                <w14:textFill>
                  <w14:solidFill>
                    <w14:schemeClr w14:val="tx1"/>
                  </w14:solidFill>
                </w14:textFill>
              </w:rPr>
              <w:t>证书原件扫描件及</w:t>
            </w:r>
            <w:r>
              <w:rPr>
                <w:rFonts w:hint="eastAsia"/>
                <w:color w:val="000000" w:themeColor="text1"/>
                <w:sz w:val="24"/>
                <w14:textFill>
                  <w14:solidFill>
                    <w14:schemeClr w14:val="tx1"/>
                  </w14:solidFill>
                </w14:textFill>
              </w:rPr>
              <w:t>投标截止日前近3个月投标人为其缴纳社保的的社保缴费证明）</w:t>
            </w:r>
          </w:p>
        </w:tc>
        <w:tc>
          <w:tcPr>
            <w:tcW w:w="84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olor w:val="000000" w:themeColor="text1"/>
                <w:sz w:val="24"/>
                <w:lang w:eastAsia="zh-CN"/>
                <w14:textFill>
                  <w14:solidFill>
                    <w14:schemeClr w14:val="tx1"/>
                  </w14:solidFill>
                </w14:textFill>
              </w:rPr>
            </w:pPr>
            <w:r>
              <w:rPr>
                <w:rFonts w:hint="eastAsia" w:asciiTheme="minorEastAsia" w:hAnsiTheme="minorEastAsia" w:eastAsiaTheme="minorEastAsia"/>
                <w:color w:val="000000" w:themeColor="text1"/>
                <w:sz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21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工程人员履历要求：</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①工程人员中同时持有低压电工证、高压电工证的每人得1分；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②其中一人持建（构）筑物消防员证（国网可查，提供查询截图）的得1分。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③工程人员其中一人的职业资格等级为中级及以上的得2分，初级的得1分，低于初级的不得分，不累计计分，本项最高得2分。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（注:上述项①②③人员均须有三年以上相关工作经验，提供证书原件扫描件及投标截止日前近3个月投标人为其缴纳社保的的社保缴费证明）</w:t>
            </w:r>
          </w:p>
        </w:tc>
        <w:tc>
          <w:tcPr>
            <w:tcW w:w="84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w:t>
            </w:r>
          </w:p>
        </w:tc>
      </w:tr>
      <w:tr>
        <w:tblPrEx>
          <w:tblCellMar>
            <w:top w:w="0" w:type="dxa"/>
            <w:left w:w="108" w:type="dxa"/>
            <w:bottom w:w="0" w:type="dxa"/>
            <w:right w:w="108" w:type="dxa"/>
          </w:tblCellMar>
        </w:tblPrEx>
        <w:trPr>
          <w:trHeight w:val="1845"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eastAsia="宋体" w:asciiTheme="minorEastAsia" w:hAnsi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承诺项目保洁、绿化养护团队成员年龄、工作经验等</w:t>
            </w:r>
            <w:r>
              <w:rPr>
                <w:rFonts w:hint="eastAsia"/>
                <w:color w:val="000000" w:themeColor="text1"/>
                <w:sz w:val="24"/>
                <w:lang w:val="zh-CN"/>
                <w14:textFill>
                  <w14:solidFill>
                    <w14:schemeClr w14:val="tx1"/>
                  </w14:solidFill>
                </w14:textFill>
              </w:rPr>
              <w:t>进行分档评分</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14:textFill>
                  <w14:solidFill>
                    <w14:schemeClr w14:val="tx1"/>
                  </w14:solidFill>
                </w14:textFill>
              </w:rPr>
              <w:instrText xml:space="preserve"> = 1 \* GB3 </w:instrText>
            </w:r>
            <w:r>
              <w:rPr>
                <w:rFonts w:hint="eastAsia" w:asciiTheme="minorEastAsia" w:hAnsiTheme="minorEastAsia" w:eastAsiaTheme="minorEastAsia" w:cstheme="minorEastAsia"/>
                <w:color w:val="000000" w:themeColor="text1"/>
                <w:sz w:val="24"/>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4"/>
                <w14:textFill>
                  <w14:solidFill>
                    <w14:schemeClr w14:val="tx1"/>
                  </w14:solidFill>
                </w14:textFill>
              </w:rPr>
              <w:t>①</w:t>
            </w:r>
            <w:r>
              <w:rPr>
                <w:rFonts w:hint="eastAsia" w:asciiTheme="minorEastAsia" w:hAnsiTheme="minorEastAsia" w:eastAsiaTheme="minorEastAsia" w:cstheme="minorEastAsia"/>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14:textFill>
                  <w14:solidFill>
                    <w14:schemeClr w14:val="tx1"/>
                  </w14:solidFill>
                </w14:textFill>
              </w:rPr>
              <w:t>团队成员（男性均在56周岁以下、女性均在51周岁以下），工作经验丰富，优于项目需求的给3-2.1分；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②团队成员（男性均在58周岁以下、女性均在53周岁以下），工作经验一般，较优于项目需求的给2-1.1分。</w:t>
            </w:r>
          </w:p>
          <w:p>
            <w:pPr>
              <w:pStyle w:val="2"/>
              <w:ind w:firstLine="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③团队成员（男性均在60周岁以下、女性均在55周岁以下），无工作经验，基本满足本次采购服务需求的给1-0分。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r>
      <w:tr>
        <w:tblPrEx>
          <w:tblCellMar>
            <w:top w:w="0" w:type="dxa"/>
            <w:left w:w="108" w:type="dxa"/>
            <w:bottom w:w="0" w:type="dxa"/>
            <w:right w:w="108" w:type="dxa"/>
          </w:tblCellMar>
        </w:tblPrEx>
        <w:trPr>
          <w:trHeight w:val="17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承诺项目保安团队成员年龄、职称、文化程度、工作经验等</w:t>
            </w:r>
            <w:r>
              <w:rPr>
                <w:rFonts w:hint="eastAsia"/>
                <w:color w:val="000000" w:themeColor="text1"/>
                <w:sz w:val="24"/>
                <w:lang w:val="zh-CN"/>
                <w14:textFill>
                  <w14:solidFill>
                    <w14:schemeClr w14:val="tx1"/>
                  </w14:solidFill>
                </w14:textFill>
              </w:rPr>
              <w:t>进行分档评分：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14:textFill>
                  <w14:solidFill>
                    <w14:schemeClr w14:val="tx1"/>
                  </w14:solidFill>
                </w14:textFill>
              </w:rPr>
              <w:instrText xml:space="preserve"> = 1 \* GB3 </w:instrText>
            </w:r>
            <w:r>
              <w:rPr>
                <w:rFonts w:hint="eastAsia" w:asciiTheme="minorEastAsia" w:hAnsiTheme="minorEastAsia" w:eastAsiaTheme="minorEastAsia" w:cstheme="minorEastAsia"/>
                <w:color w:val="000000" w:themeColor="text1"/>
                <w:sz w:val="24"/>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4"/>
                <w14:textFill>
                  <w14:solidFill>
                    <w14:schemeClr w14:val="tx1"/>
                  </w14:solidFill>
                </w14:textFill>
              </w:rPr>
              <w:t>①</w:t>
            </w:r>
            <w:r>
              <w:rPr>
                <w:rFonts w:hint="eastAsia" w:asciiTheme="minorEastAsia" w:hAnsiTheme="minorEastAsia" w:eastAsiaTheme="minorEastAsia" w:cstheme="minorEastAsia"/>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14:textFill>
                  <w14:solidFill>
                    <w14:schemeClr w14:val="tx1"/>
                  </w14:solidFill>
                </w14:textFill>
              </w:rPr>
              <w:t>保安平均年龄（57-55周岁及以下）、技术岗位职称、文化程度高、工作经验丰富，优于本次采购服务需求的给3-2.1分；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②保安平均年龄（59-57周岁）、技术岗位职称、文化程度一般，工作经验欠佳，基本满足本次采购服务需求的给 2-1.1 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③保安平均年龄（60-59周岁）、技术岗位职称、文化程度较低，工作经验不足，基本满足本次采购服务需求的得1-0分。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r>
      <w:tr>
        <w:tblPrEx>
          <w:tblCellMar>
            <w:top w:w="0" w:type="dxa"/>
            <w:left w:w="108" w:type="dxa"/>
            <w:bottom w:w="0" w:type="dxa"/>
            <w:right w:w="108" w:type="dxa"/>
          </w:tblCellMar>
        </w:tblPrEx>
        <w:trPr>
          <w:trHeight w:val="13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提供保安团队成员中退伍人员占比情况</w:t>
            </w:r>
            <w:r>
              <w:rPr>
                <w:rFonts w:hint="eastAsia"/>
                <w:color w:val="000000" w:themeColor="text1"/>
                <w:sz w:val="24"/>
                <w:lang w:val="zh-CN"/>
                <w14:textFill>
                  <w14:solidFill>
                    <w14:schemeClr w14:val="tx1"/>
                  </w14:solidFill>
                </w14:textFill>
              </w:rPr>
              <w:t>进行分档评分：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14:textFill>
                  <w14:solidFill>
                    <w14:schemeClr w14:val="tx1"/>
                  </w14:solidFill>
                </w14:textFill>
              </w:rPr>
              <w:instrText xml:space="preserve"> = 1 \* GB3 </w:instrText>
            </w:r>
            <w:r>
              <w:rPr>
                <w:rFonts w:hint="eastAsia" w:asciiTheme="minorEastAsia" w:hAnsiTheme="minorEastAsia" w:eastAsiaTheme="minorEastAsia" w:cstheme="minorEastAsia"/>
                <w:color w:val="000000" w:themeColor="text1"/>
                <w:sz w:val="24"/>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4"/>
                <w14:textFill>
                  <w14:solidFill>
                    <w14:schemeClr w14:val="tx1"/>
                  </w14:solidFill>
                </w14:textFill>
              </w:rPr>
              <w:t>①</w:t>
            </w:r>
            <w:r>
              <w:rPr>
                <w:rFonts w:hint="eastAsia" w:asciiTheme="minorEastAsia" w:hAnsiTheme="minorEastAsia" w:eastAsiaTheme="minorEastAsia" w:cstheme="minorEastAsia"/>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14:textFill>
                  <w14:solidFill>
                    <w14:schemeClr w14:val="tx1"/>
                  </w14:solidFill>
                </w14:textFill>
              </w:rPr>
              <w:t>退伍人员占保安总人数 40%及以上的给3-2.1分；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②退伍人员占保安总人数30%及以上的给 2-1.1分；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③退伍人员占保安总人数20%及以上的给1-0分。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提供保安员在投标单位近3个月社保缴纳证明（截止开标之日起）</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（须提供退役证原件扫描件查验，未提供不得分）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r>
      <w:tr>
        <w:tblPrEx>
          <w:tblCellMar>
            <w:top w:w="0" w:type="dxa"/>
            <w:left w:w="108" w:type="dxa"/>
            <w:bottom w:w="0" w:type="dxa"/>
            <w:right w:w="108" w:type="dxa"/>
          </w:tblCellMar>
        </w:tblPrEx>
        <w:trPr>
          <w:trHeight w:val="152"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保安团队提供</w:t>
            </w:r>
            <w:r>
              <w:rPr>
                <w:rFonts w:hint="eastAsia" w:asciiTheme="minorEastAsia" w:hAnsiTheme="minorEastAsia" w:eastAsiaTheme="minorEastAsia" w:cstheme="minorEastAsia"/>
                <w:b/>
                <w:bCs/>
                <w:color w:val="000000" w:themeColor="text1"/>
                <w:sz w:val="24"/>
                <w14:textFill>
                  <w14:solidFill>
                    <w14:schemeClr w14:val="tx1"/>
                  </w14:solidFill>
                </w14:textFill>
              </w:rPr>
              <w:t>初级以上的保安员职业资格证书</w:t>
            </w:r>
            <w:r>
              <w:rPr>
                <w:rFonts w:hint="eastAsia" w:asciiTheme="minorEastAsia" w:hAnsiTheme="minorEastAsia" w:eastAsiaTheme="minorEastAsia" w:cstheme="minorEastAsia"/>
                <w:color w:val="000000" w:themeColor="text1"/>
                <w:sz w:val="24"/>
                <w14:textFill>
                  <w14:solidFill>
                    <w14:schemeClr w14:val="tx1"/>
                  </w14:solidFill>
                </w14:textFill>
              </w:rPr>
              <w:t>，根据投标时获证人数占比情况</w:t>
            </w:r>
            <w:r>
              <w:rPr>
                <w:rFonts w:hint="eastAsia"/>
                <w:color w:val="000000" w:themeColor="text1"/>
                <w:sz w:val="24"/>
                <w:lang w:val="zh-CN"/>
                <w14:textFill>
                  <w14:solidFill>
                    <w14:schemeClr w14:val="tx1"/>
                  </w14:solidFill>
                </w14:textFill>
              </w:rPr>
              <w:t>进行分档评分：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14:textFill>
                  <w14:solidFill>
                    <w14:schemeClr w14:val="tx1"/>
                  </w14:solidFill>
                </w14:textFill>
              </w:rPr>
              <w:instrText xml:space="preserve"> = 1 \* GB3 </w:instrText>
            </w:r>
            <w:r>
              <w:rPr>
                <w:rFonts w:hint="eastAsia" w:asciiTheme="minorEastAsia" w:hAnsiTheme="minorEastAsia" w:eastAsiaTheme="minorEastAsia" w:cstheme="minorEastAsia"/>
                <w:color w:val="000000" w:themeColor="text1"/>
                <w:sz w:val="24"/>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4"/>
                <w14:textFill>
                  <w14:solidFill>
                    <w14:schemeClr w14:val="tx1"/>
                  </w14:solidFill>
                </w14:textFill>
              </w:rPr>
              <w:t>①</w:t>
            </w:r>
            <w:r>
              <w:rPr>
                <w:rFonts w:hint="eastAsia" w:asciiTheme="minorEastAsia" w:hAnsiTheme="minorEastAsia" w:eastAsiaTheme="minorEastAsia" w:cstheme="minorEastAsia"/>
                <w:color w:val="000000" w:themeColor="text1"/>
                <w:sz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14:textFill>
                  <w14:solidFill>
                    <w14:schemeClr w14:val="tx1"/>
                  </w14:solidFill>
                </w14:textFill>
              </w:rPr>
              <w:t>获证人数占保安总人数50%及以上的给 3-2.1分；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②获证人数占保安总人数40%及以上的给 2-1.1分；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③获证人数占保安总人数30%及以上的给 1-0分；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提供保安员在投标单位近3个月社保缴纳证明（截止开标之日起）</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（须提供保安员职业资格证书原件扫描件查验，及投标截止日前近3个月投标人为其缴纳社保的的社保缴费证明，未提供不得分）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r>
      <w:tr>
        <w:tblPrEx>
          <w:tblCellMar>
            <w:top w:w="0" w:type="dxa"/>
            <w:left w:w="108" w:type="dxa"/>
            <w:bottom w:w="0" w:type="dxa"/>
            <w:right w:w="108" w:type="dxa"/>
          </w:tblCellMar>
        </w:tblPrEx>
        <w:trPr>
          <w:trHeight w:val="1490"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restart"/>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服务的</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应急措施</w:t>
            </w:r>
          </w:p>
        </w:tc>
        <w:tc>
          <w:tcPr>
            <w:tcW w:w="785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1.对物业突发事件（包括发生台风、暴雨等灾害性天气及其突发事件）时的应急预案及相应的措施</w:t>
            </w:r>
            <w:r>
              <w:rPr>
                <w:rFonts w:hint="eastAsia" w:asciiTheme="minorEastAsia" w:hAnsiTheme="minorEastAsia" w:eastAsiaTheme="minorEastAsia" w:cstheme="minorEastAsia"/>
                <w:color w:val="000000" w:themeColor="text1"/>
                <w:sz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依据应急预案进行分档评分：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①方案详实、内容新颖、操作性强的给3-2.1分；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②方案合理、内容完整、可操作的给2-1.1分；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③方案粗糙、内容缺漏、操作性差的给1-0分。</w:t>
            </w:r>
          </w:p>
        </w:tc>
        <w:tc>
          <w:tcPr>
            <w:tcW w:w="84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r>
      <w:tr>
        <w:tblPrEx>
          <w:tblCellMar>
            <w:top w:w="0" w:type="dxa"/>
            <w:left w:w="108" w:type="dxa"/>
            <w:bottom w:w="0" w:type="dxa"/>
            <w:right w:w="108" w:type="dxa"/>
          </w:tblCellMar>
        </w:tblPrEx>
        <w:trPr>
          <w:trHeight w:val="76"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2.对物业管理区域内的防盗、防火的安全防范巡查、应急供电系统、给排水设备、电气照明装置等设备应急检修措施</w:t>
            </w:r>
            <w:r>
              <w:rPr>
                <w:rFonts w:hint="eastAsia" w:asciiTheme="minorEastAsia" w:hAnsiTheme="minorEastAsia" w:eastAsiaTheme="minorEastAsia" w:cstheme="minorEastAsia"/>
                <w:color w:val="000000" w:themeColor="text1"/>
                <w:sz w:val="24"/>
                <w:lang w:val="zh-CN"/>
                <w14:textFill>
                  <w14:solidFill>
                    <w14:schemeClr w14:val="tx1"/>
                  </w14:solidFill>
                </w14:textFill>
              </w:rPr>
              <w:t>，</w:t>
            </w:r>
            <w:r>
              <w:rPr>
                <w:rFonts w:hint="eastAsia" w:asciiTheme="minorEastAsia" w:hAnsiTheme="minorEastAsia" w:eastAsiaTheme="minorEastAsia" w:cstheme="minorEastAsia"/>
                <w:color w:val="000000" w:themeColor="text1"/>
                <w:sz w:val="24"/>
                <w14:textFill>
                  <w14:solidFill>
                    <w14:schemeClr w14:val="tx1"/>
                  </w14:solidFill>
                </w14:textFill>
              </w:rPr>
              <w:t>依据应急预案进行分档评分：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①方案详实、内容新颖、操作性强的给3-2.1分；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②方案合理、内容完整、可操作的给2-1.1分；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③方案粗糙、内容缺漏、操作性差的给1-0分。</w:t>
            </w:r>
          </w:p>
        </w:tc>
        <w:tc>
          <w:tcPr>
            <w:tcW w:w="84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r>
      <w:tr>
        <w:tblPrEx>
          <w:tblCellMar>
            <w:top w:w="0" w:type="dxa"/>
            <w:left w:w="108" w:type="dxa"/>
            <w:bottom w:w="0" w:type="dxa"/>
            <w:right w:w="108" w:type="dxa"/>
          </w:tblCellMar>
        </w:tblPrEx>
        <w:trPr>
          <w:trHeight w:val="11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vMerge w:val="continue"/>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3.对物业管理区域内重大活动的应急保障预案，依据应急预案进行分档评分：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①方案详实、内容新颖、操作性强的给3-2.1分；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②方案合理、内容完整、可操作的给2-1.1分；</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③方案粗糙、内容缺漏、操作性差的给1-0分。</w:t>
            </w:r>
          </w:p>
        </w:tc>
        <w:tc>
          <w:tcPr>
            <w:tcW w:w="84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r>
      <w:tr>
        <w:tblPrEx>
          <w:tblCellMar>
            <w:top w:w="0" w:type="dxa"/>
            <w:left w:w="108" w:type="dxa"/>
            <w:bottom w:w="0" w:type="dxa"/>
            <w:right w:w="108" w:type="dxa"/>
          </w:tblCellMar>
        </w:tblPrEx>
        <w:trPr>
          <w:trHeight w:val="1297"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优惠承诺和</w:t>
            </w:r>
          </w:p>
          <w:p>
            <w:pPr>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特色服务情况</w:t>
            </w:r>
          </w:p>
        </w:tc>
        <w:tc>
          <w:tcPr>
            <w:tcW w:w="785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是否给出优惠和承诺，是否具有特色服务，提供有效证明材料和采购机构提供的相关数据。依据给出优惠和承诺进行分档评分：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①方案详实、内容新颖、操作性强的给3-2.1分；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②方案合理、内容完整、可操作的给2-1.1分；</w:t>
            </w:r>
          </w:p>
          <w:p>
            <w:pPr>
              <w:rPr>
                <w:color w:val="000000" w:themeColor="text1"/>
                <w:sz w:val="24"/>
                <w:lang w:val="zh-CN"/>
                <w14:textFill>
                  <w14:solidFill>
                    <w14:schemeClr w14:val="tx1"/>
                  </w14:solidFill>
                </w14:textFill>
              </w:rPr>
            </w:pPr>
            <w:r>
              <w:rPr>
                <w:rFonts w:hint="eastAsia"/>
                <w:color w:val="000000" w:themeColor="text1"/>
                <w:sz w:val="24"/>
                <w14:textFill>
                  <w14:solidFill>
                    <w14:schemeClr w14:val="tx1"/>
                  </w14:solidFill>
                </w14:textFill>
              </w:rPr>
              <w:t>③方案粗糙、内容缺漏、操作性差的给1-0分。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p>
        </w:tc>
      </w:tr>
      <w:tr>
        <w:tblPrEx>
          <w:tblCellMar>
            <w:top w:w="0" w:type="dxa"/>
            <w:left w:w="108" w:type="dxa"/>
            <w:bottom w:w="0" w:type="dxa"/>
            <w:right w:w="108" w:type="dxa"/>
          </w:tblCellMar>
        </w:tblPrEx>
        <w:trPr>
          <w:trHeight w:val="2159" w:hRule="atLeast"/>
        </w:trPr>
        <w:tc>
          <w:tcPr>
            <w:tcW w:w="740" w:type="dxa"/>
            <w:vMerge w:val="restart"/>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实力信誉及</w:t>
            </w:r>
          </w:p>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业绩</w:t>
            </w:r>
          </w:p>
          <w:p>
            <w:pPr>
              <w:pStyle w:val="2"/>
              <w:ind w:firstLine="0"/>
              <w:rPr>
                <w:color w:val="000000" w:themeColor="text1"/>
                <w14:textFill>
                  <w14:solidFill>
                    <w14:schemeClr w14:val="tx1"/>
                  </w14:solidFill>
                </w14:textFill>
              </w:rPr>
            </w:pPr>
            <w:r>
              <w:rPr>
                <w:rFonts w:hint="eastAsia"/>
                <w:b/>
                <w:bCs/>
                <w:color w:val="000000" w:themeColor="text1"/>
                <w14:textFill>
                  <w14:solidFill>
                    <w14:schemeClr w14:val="tx1"/>
                  </w14:solidFill>
                </w14:textFill>
              </w:rPr>
              <w:t>7.5分</w:t>
            </w:r>
          </w:p>
        </w:tc>
        <w:tc>
          <w:tcPr>
            <w:tcW w:w="667" w:type="dxa"/>
            <w:tcBorders>
              <w:top w:val="single" w:color="auto" w:sz="4" w:space="0"/>
              <w:left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投标人状况</w:t>
            </w:r>
          </w:p>
        </w:tc>
        <w:tc>
          <w:tcPr>
            <w:tcW w:w="785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公司对项目部管理和支持情况（包括1、管理人员补充、2、一线员工补充、3、人员调剂（即人才储备）、4、人员培训、5、绩效管理、6、质量管理等。人才储备需提供6个月社保缴纳证明，招聘计划需提供过往实施的相关数据。</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人才储备丰富、公司对项目部管理和支持切实有效的给3-2.1分；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人才储备一般、公司对项目部管理和支持一般的给2-1.1分；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人才储备不足、公司对项目部管理和支持不理想的给1-0分。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p>
        </w:tc>
      </w:tr>
      <w:tr>
        <w:tblPrEx>
          <w:tblCellMar>
            <w:top w:w="0" w:type="dxa"/>
            <w:left w:w="108" w:type="dxa"/>
            <w:bottom w:w="0" w:type="dxa"/>
            <w:right w:w="108" w:type="dxa"/>
          </w:tblCellMar>
        </w:tblPrEx>
        <w:trPr>
          <w:trHeight w:val="26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pStyle w:val="2"/>
              <w:ind w:firstLine="0"/>
              <w:rPr>
                <w:b/>
                <w:bCs/>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企业资质</w:t>
            </w:r>
          </w:p>
        </w:tc>
        <w:tc>
          <w:tcPr>
            <w:tcW w:w="785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具备在有效期内的ISO9001质量管理体系、ISO14001环境管理体系、GB/T 45001-2020职业健康安全管理体系认证资质，每个得1分，本项最高得3分。</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p>
        </w:tc>
      </w:tr>
      <w:tr>
        <w:tblPrEx>
          <w:tblCellMar>
            <w:top w:w="0" w:type="dxa"/>
            <w:left w:w="108" w:type="dxa"/>
            <w:bottom w:w="0" w:type="dxa"/>
            <w:right w:w="108" w:type="dxa"/>
          </w:tblCellMar>
        </w:tblPrEx>
        <w:trPr>
          <w:trHeight w:val="802"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p>
        </w:tc>
        <w:tc>
          <w:tcPr>
            <w:tcW w:w="667" w:type="dxa"/>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项目业绩</w:t>
            </w:r>
          </w:p>
        </w:tc>
        <w:tc>
          <w:tcPr>
            <w:tcW w:w="7856" w:type="dxa"/>
            <w:tcBorders>
              <w:top w:val="single" w:color="auto" w:sz="4" w:space="0"/>
              <w:left w:val="single" w:color="auto" w:sz="4" w:space="0"/>
              <w:bottom w:val="single" w:color="auto" w:sz="4" w:space="0"/>
              <w:right w:val="single" w:color="auto" w:sz="4" w:space="0"/>
            </w:tcBorders>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自2020年3月以来（以合同签订时间为准），投标人承担类似物业管理项目实施的经验情况。依照投标人提供的合同案例及发票证明，每个项目都需提供合同扫描件、发票原件扫描件，每提供一个项目得0.5分，最高得1.5分。</w:t>
            </w:r>
          </w:p>
          <w:p>
            <w:pPr>
              <w:pStyle w:val="10"/>
              <w:rPr>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注:以上须提供合同扫描件编入投标文件，若合同甲方为同一个业主且合同为同一个项目名称又分多个年份签订的只能算一个业绩。</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1.5</w:t>
            </w:r>
          </w:p>
        </w:tc>
      </w:tr>
      <w:tr>
        <w:tblPrEx>
          <w:tblCellMar>
            <w:top w:w="0" w:type="dxa"/>
            <w:left w:w="108" w:type="dxa"/>
            <w:bottom w:w="0" w:type="dxa"/>
            <w:right w:w="108" w:type="dxa"/>
          </w:tblCellMar>
        </w:tblPrEx>
        <w:trPr>
          <w:trHeight w:val="85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14:textFill>
                  <w14:solidFill>
                    <w14:schemeClr w14:val="tx1"/>
                  </w14:solidFill>
                </w14:textFill>
              </w:rPr>
            </w:pPr>
            <w:r>
              <w:rPr>
                <w:rFonts w:hint="eastAsia" w:ascii="宋体" w:hAnsi="宋体" w:cs="Arial"/>
                <w:b/>
                <w:bCs/>
                <w:color w:val="000000" w:themeColor="text1"/>
                <w:szCs w:val="21"/>
                <w14:textFill>
                  <w14:solidFill>
                    <w14:schemeClr w14:val="tx1"/>
                  </w14:solidFill>
                </w14:textFill>
              </w:rPr>
              <w:t>价格15分</w:t>
            </w:r>
          </w:p>
        </w:tc>
        <w:tc>
          <w:tcPr>
            <w:tcW w:w="8523"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以合格投标人/供应商有效总报价中的最低价为基准价，基准价为15分。报价得分＝（评标基准价/最终报价）×15%×100（小数点后保留2位小数）。（注：对于小型和微型企业产品的价格给予20%的扣除，用扣除后的价格参与评审。)</w:t>
            </w:r>
          </w:p>
        </w:tc>
        <w:tc>
          <w:tcPr>
            <w:tcW w:w="844"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15</w:t>
            </w:r>
          </w:p>
        </w:tc>
      </w:tr>
    </w:tbl>
    <w:p>
      <w:pPr>
        <w:pStyle w:val="14"/>
        <w:snapToGrid w:val="0"/>
        <w:outlineLvl w:val="0"/>
        <w:rPr>
          <w:rFonts w:hAnsi="宋体" w:cs="宋体"/>
          <w:b/>
          <w:sz w:val="24"/>
        </w:rPr>
      </w:pPr>
      <w:r>
        <w:rPr>
          <w:rFonts w:hint="eastAsia" w:hAnsi="宋体" w:cs="宋体"/>
          <w:b/>
          <w:sz w:val="24"/>
        </w:rPr>
        <w:t>注：</w:t>
      </w:r>
      <w:r>
        <w:rPr>
          <w:rFonts w:hint="eastAsia" w:ascii="Times New Roman" w:hAnsi="Times New Roman" w:cs="Times New Roman"/>
          <w:lang w:val="zh-CN"/>
        </w:rPr>
        <w:t>①</w:t>
      </w:r>
      <w:r>
        <w:rPr>
          <w:rFonts w:hint="eastAsia" w:hAnsi="宋体" w:cs="宋体"/>
          <w:b/>
          <w:sz w:val="24"/>
        </w:rPr>
        <w:t>合同、证书、报告及其他相关证明材料，将原件扫描上传至电子投标文件，并加盖电子印章。</w:t>
      </w:r>
    </w:p>
    <w:p>
      <w:pPr>
        <w:pStyle w:val="28"/>
        <w:ind w:firstLine="440" w:firstLineChars="200"/>
      </w:pPr>
      <w:r>
        <w:rPr>
          <w:rFonts w:hint="eastAsia" w:ascii="Times New Roman" w:hAnsi="Times New Roman" w:eastAsia="宋体" w:cs="Times New Roman"/>
        </w:rPr>
        <w:t>②</w:t>
      </w:r>
      <w:r>
        <w:rPr>
          <w:rFonts w:hint="eastAsia" w:hAnsi="宋体" w:cs="宋体"/>
          <w:b/>
          <w:sz w:val="24"/>
        </w:rPr>
        <w:t>原件备查，采购机构在项目评审直至合同签订、履约期间，有权要求投标人出具投标文件中的合同、证书、报告及其他相关证明材料，予以确认其的真实性和有效性，如出现与事实不符等情况，将根据有关规定以“提供虚假材料谋取中标（成交）”予以处理。</w:t>
      </w:r>
    </w:p>
    <w:p>
      <w:pPr>
        <w:pStyle w:val="21"/>
        <w:ind w:left="0" w:leftChars="0" w:firstLine="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①“政采云平台”上开启的投标报价与电子投标文件中开标一览表（报价表）内容不一致的，以电子投标文件中开标一览表（报价表）为准；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Theme="minorEastAsia" w:hAnsiTheme="minorEastAsia" w:eastAsiaTheme="minorEastAsia"/>
          <w:b/>
          <w:sz w:val="36"/>
          <w:szCs w:val="36"/>
        </w:rPr>
      </w:pPr>
      <w:r>
        <w:rPr>
          <w:rFonts w:hint="eastAsia" w:ascii="宋体" w:hAnsi="宋体" w:cs="宋体"/>
          <w:sz w:val="24"/>
        </w:rPr>
        <w:t>评标委员会根据全体评标成员签字的原始评标记录和评标结果编写评标报告。</w:t>
      </w:r>
      <w:bookmarkStart w:id="37" w:name="_Toc27944_WPSOffice_Level1"/>
    </w:p>
    <w:p>
      <w:pPr>
        <w:spacing w:line="360" w:lineRule="auto"/>
        <w:jc w:val="center"/>
        <w:rPr>
          <w:rFonts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7"/>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4"/>
        <w:snapToGrid w:val="0"/>
        <w:spacing w:line="360" w:lineRule="auto"/>
        <w:rPr>
          <w:rFonts w:hAnsi="宋体"/>
          <w:sz w:val="24"/>
        </w:rPr>
      </w:pPr>
      <w:r>
        <w:rPr>
          <w:rFonts w:hAnsi="宋体"/>
          <w:sz w:val="24"/>
        </w:rPr>
        <w:t>项目名称：                                项目编号：</w:t>
      </w:r>
    </w:p>
    <w:p>
      <w:pPr>
        <w:pStyle w:val="14"/>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4"/>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4"/>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4"/>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4"/>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20"/>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20"/>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4"/>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4"/>
        <w:snapToGrid w:val="0"/>
        <w:spacing w:line="360" w:lineRule="auto"/>
        <w:ind w:firstLine="480" w:firstLineChars="200"/>
        <w:rPr>
          <w:rFonts w:hAnsi="宋体"/>
          <w:sz w:val="24"/>
        </w:rPr>
      </w:pPr>
      <w:r>
        <w:rPr>
          <w:rFonts w:hint="eastAsia" w:hAnsi="宋体"/>
          <w:sz w:val="24"/>
        </w:rPr>
        <w:t>（二）若侵犯,由乙方赔偿甲方因此遭受的损失（包括但不限于应对及追偿过程中所支付的律师费、差旅费、诉讼费、保全费、鉴定费、评估费等）。</w:t>
      </w:r>
    </w:p>
    <w:p>
      <w:pPr>
        <w:pStyle w:val="14"/>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4"/>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4"/>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4"/>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4"/>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4"/>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4"/>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4"/>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4"/>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4"/>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4"/>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4"/>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4"/>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4"/>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4"/>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4"/>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4"/>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本合同一式柒份。甲方执伍份、乙方执贰份。本项目未尽事宜以招标文件、投标文件及澄清文件等为准。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left"/>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38" w:name="_Toc5481_WPSOffice_Level1"/>
      <w:r>
        <w:rPr>
          <w:rFonts w:hint="eastAsia" w:asciiTheme="minorEastAsia" w:hAnsiTheme="minorEastAsia" w:eastAsiaTheme="minorEastAsia"/>
          <w:b/>
          <w:sz w:val="36"/>
          <w:szCs w:val="36"/>
        </w:rPr>
        <w:t>第六章 投标文件格式</w:t>
      </w:r>
      <w:bookmarkEnd w:id="38"/>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39" w:name="_Toc32372_WPSOffice_Level1"/>
      <w:bookmarkStart w:id="40" w:name="_Toc19093_WPSOffice_Level1"/>
      <w:bookmarkStart w:id="41" w:name="_Toc4956_WPSOffice_Level1"/>
      <w:r>
        <w:rPr>
          <w:rFonts w:hint="eastAsia"/>
          <w:sz w:val="52"/>
          <w:szCs w:val="52"/>
        </w:rPr>
        <w:t>项目名称</w:t>
      </w:r>
      <w:bookmarkEnd w:id="39"/>
      <w:bookmarkEnd w:id="40"/>
      <w:bookmarkEnd w:id="41"/>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1"/>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3"/>
        </w:numPr>
        <w:spacing w:line="360" w:lineRule="auto"/>
        <w:ind w:hanging="5"/>
        <w:rPr>
          <w:sz w:val="28"/>
          <w:szCs w:val="36"/>
        </w:rPr>
      </w:pPr>
      <w:bookmarkStart w:id="42" w:name="_Toc12587_WPSOffice_Level1"/>
      <w:bookmarkStart w:id="43" w:name="_Toc27049_WPSOffice_Level1"/>
      <w:r>
        <w:rPr>
          <w:rFonts w:hint="eastAsia"/>
          <w:sz w:val="28"/>
          <w:szCs w:val="36"/>
        </w:rPr>
        <w:t>投标声明书（附件2）</w:t>
      </w:r>
      <w:bookmarkEnd w:id="42"/>
      <w:bookmarkEnd w:id="43"/>
    </w:p>
    <w:p>
      <w:pPr>
        <w:numPr>
          <w:ilvl w:val="0"/>
          <w:numId w:val="13"/>
        </w:numPr>
        <w:spacing w:line="360" w:lineRule="auto"/>
        <w:ind w:hanging="5"/>
        <w:rPr>
          <w:sz w:val="28"/>
          <w:szCs w:val="36"/>
        </w:rPr>
      </w:pPr>
      <w:bookmarkStart w:id="44" w:name="_Toc25574_WPSOffice_Level1"/>
      <w:bookmarkStart w:id="45" w:name="_Toc28306_WPSOffice_Level1"/>
      <w:r>
        <w:rPr>
          <w:rFonts w:hint="eastAsia"/>
          <w:sz w:val="28"/>
          <w:szCs w:val="36"/>
        </w:rPr>
        <w:t>授权委托书（法定代表人办理投标事宜的，则无需提交)（附件3）</w:t>
      </w:r>
      <w:bookmarkEnd w:id="44"/>
      <w:bookmarkEnd w:id="45"/>
    </w:p>
    <w:p>
      <w:pPr>
        <w:numPr>
          <w:ilvl w:val="0"/>
          <w:numId w:val="13"/>
        </w:numPr>
        <w:spacing w:line="360" w:lineRule="auto"/>
        <w:ind w:hanging="5"/>
        <w:rPr>
          <w:sz w:val="28"/>
          <w:szCs w:val="36"/>
        </w:rPr>
      </w:pPr>
      <w:r>
        <w:rPr>
          <w:rFonts w:hint="eastAsia"/>
          <w:sz w:val="28"/>
          <w:szCs w:val="36"/>
        </w:rPr>
        <w:t>联合体授权委托书及联合体声明、协议（若项目接受联合体投标时需提供）</w:t>
      </w:r>
    </w:p>
    <w:p>
      <w:pPr>
        <w:numPr>
          <w:ilvl w:val="0"/>
          <w:numId w:val="13"/>
        </w:numPr>
        <w:spacing w:line="360" w:lineRule="auto"/>
        <w:ind w:hanging="5"/>
        <w:rPr>
          <w:sz w:val="28"/>
          <w:szCs w:val="36"/>
        </w:rPr>
      </w:pPr>
      <w:bookmarkStart w:id="46" w:name="_Toc32100_WPSOffice_Level1"/>
      <w:bookmarkStart w:id="47" w:name="_Toc29616_WPSOffice_Level1"/>
      <w:r>
        <w:rPr>
          <w:rFonts w:hint="eastAsia"/>
          <w:sz w:val="28"/>
          <w:szCs w:val="36"/>
        </w:rPr>
        <w:t>法人或者其他组织的营业执照等证明文件，自然人的身份证明</w:t>
      </w:r>
      <w:bookmarkEnd w:id="46"/>
      <w:bookmarkEnd w:id="47"/>
    </w:p>
    <w:p>
      <w:pPr>
        <w:numPr>
          <w:ilvl w:val="0"/>
          <w:numId w:val="13"/>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13"/>
        </w:numPr>
        <w:spacing w:line="360" w:lineRule="auto"/>
        <w:ind w:hanging="5"/>
        <w:rPr>
          <w:sz w:val="28"/>
          <w:szCs w:val="36"/>
        </w:rPr>
      </w:pPr>
      <w:bookmarkStart w:id="48" w:name="_Toc2696_WPSOffice_Level1"/>
      <w:bookmarkStart w:id="49" w:name="_Toc30751_WPSOffice_Level1"/>
      <w:r>
        <w:rPr>
          <w:rFonts w:hint="eastAsia"/>
          <w:sz w:val="28"/>
          <w:szCs w:val="36"/>
        </w:rPr>
        <w:t>具备履行合同所必需的设备和专业技术能力的证明材料</w:t>
      </w:r>
      <w:bookmarkEnd w:id="48"/>
      <w:bookmarkEnd w:id="49"/>
    </w:p>
    <w:p>
      <w:pPr>
        <w:numPr>
          <w:ilvl w:val="0"/>
          <w:numId w:val="13"/>
        </w:numPr>
        <w:spacing w:line="360" w:lineRule="auto"/>
        <w:ind w:hanging="5"/>
        <w:rPr>
          <w:sz w:val="28"/>
          <w:szCs w:val="36"/>
        </w:rPr>
      </w:pPr>
      <w:bookmarkStart w:id="50" w:name="_Toc14150_WPSOffice_Level1"/>
      <w:bookmarkStart w:id="51" w:name="_Toc4587_WPSOffice_Level1"/>
      <w:r>
        <w:rPr>
          <w:rFonts w:hint="eastAsia"/>
          <w:sz w:val="28"/>
          <w:szCs w:val="36"/>
        </w:rPr>
        <w:t>本项目要求的特定资质证书</w:t>
      </w:r>
      <w:bookmarkEnd w:id="50"/>
      <w:bookmarkEnd w:id="51"/>
    </w:p>
    <w:p>
      <w:pPr>
        <w:spacing w:line="360" w:lineRule="auto"/>
        <w:rPr>
          <w:rFonts w:ascii="宋体" w:hAnsi="宋体"/>
          <w:b/>
          <w:sz w:val="28"/>
        </w:rPr>
      </w:pPr>
    </w:p>
    <w:p>
      <w:pPr>
        <w:spacing w:line="360" w:lineRule="auto"/>
        <w:ind w:left="420"/>
        <w:rPr>
          <w:rFonts w:ascii="宋体" w:hAnsi="宋体"/>
          <w:b/>
          <w:sz w:val="28"/>
        </w:rPr>
      </w:pPr>
    </w:p>
    <w:p>
      <w:pPr>
        <w:pStyle w:val="28"/>
        <w:rPr>
          <w:rFonts w:ascii="宋体" w:hAnsi="宋体"/>
          <w:b/>
          <w:sz w:val="28"/>
        </w:rPr>
      </w:pPr>
    </w:p>
    <w:p>
      <w:pPr>
        <w:pStyle w:val="28"/>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pStyle w:val="2"/>
        <w:rPr>
          <w:rFonts w:ascii="宋体" w:hAnsi="宋体"/>
          <w:b/>
          <w:sz w:val="28"/>
        </w:rPr>
      </w:pPr>
    </w:p>
    <w:p>
      <w:pPr>
        <w:pStyle w:val="2"/>
        <w:rPr>
          <w:rFonts w:ascii="宋体" w:hAnsi="宋体"/>
          <w:b/>
          <w:sz w:val="28"/>
        </w:rPr>
      </w:pPr>
    </w:p>
    <w:p>
      <w:pPr>
        <w:pStyle w:val="2"/>
        <w:rPr>
          <w:rFonts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bookmarkStart w:id="52" w:name="_Toc30723_WPSOffice_Level1"/>
      <w:bookmarkStart w:id="53" w:name="_Toc31708_WPSOffice_Level1"/>
      <w:r>
        <w:rPr>
          <w:rFonts w:hint="eastAsia" w:ascii="宋体" w:hAnsi="宋体"/>
          <w:b/>
          <w:kern w:val="0"/>
          <w:sz w:val="32"/>
          <w:szCs w:val="32"/>
          <w:lang w:val="zh-CN"/>
        </w:rPr>
        <w:t>投标声明书</w:t>
      </w:r>
      <w:bookmarkEnd w:id="52"/>
      <w:bookmarkEnd w:id="53"/>
    </w:p>
    <w:p>
      <w:pPr>
        <w:snapToGrid w:val="0"/>
        <w:spacing w:before="120"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4"/>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4"/>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4"/>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4"/>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4"/>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4"/>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200"/>
        <w:rPr>
          <w:rFonts w:ascii="宋体" w:hAnsi="宋体" w:cs="仿宋_GB2312"/>
          <w:kern w:val="0"/>
          <w:sz w:val="24"/>
        </w:rPr>
      </w:pP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bookmarkStart w:id="54" w:name="_Toc6870_WPSOffice_Level1"/>
      <w:bookmarkStart w:id="55" w:name="_Toc24373_WPSOffice_Level1"/>
      <w:r>
        <w:rPr>
          <w:b/>
          <w:sz w:val="32"/>
          <w:szCs w:val="32"/>
        </w:rPr>
        <w:t>授权</w:t>
      </w:r>
      <w:r>
        <w:rPr>
          <w:rFonts w:hint="eastAsia"/>
          <w:b/>
          <w:sz w:val="32"/>
          <w:szCs w:val="32"/>
        </w:rPr>
        <w:t>委托</w:t>
      </w:r>
      <w:r>
        <w:rPr>
          <w:b/>
          <w:sz w:val="32"/>
          <w:szCs w:val="32"/>
        </w:rPr>
        <w:t>书</w:t>
      </w:r>
      <w:bookmarkEnd w:id="54"/>
      <w:bookmarkEnd w:id="55"/>
    </w:p>
    <w:p>
      <w:pPr>
        <w:snapToGrid w:val="0"/>
        <w:spacing w:before="120"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4"/>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4"/>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2"/>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snapToGrid w:val="0"/>
        <w:spacing w:before="120" w:beforeLines="50" w:after="50" w:line="360" w:lineRule="auto"/>
        <w:rPr>
          <w:rFonts w:ascii="宋体" w:hAnsi="宋体"/>
          <w:sz w:val="52"/>
          <w:szCs w:val="52"/>
        </w:rPr>
      </w:pPr>
      <w:bookmarkStart w:id="56" w:name="_Toc20519_WPSOffice_Level1"/>
      <w:bookmarkStart w:id="57" w:name="_Toc351_WPSOffice_Level1"/>
      <w:r>
        <w:rPr>
          <w:rFonts w:hint="eastAsia" w:ascii="宋体" w:hAnsi="宋体"/>
          <w:b/>
          <w:sz w:val="28"/>
        </w:rPr>
        <w:t>附件4</w:t>
      </w:r>
      <w:bookmarkEnd w:id="56"/>
      <w:bookmarkEnd w:id="57"/>
    </w:p>
    <w:p>
      <w:pPr>
        <w:jc w:val="center"/>
        <w:rPr>
          <w:sz w:val="52"/>
          <w:szCs w:val="52"/>
        </w:rPr>
      </w:pPr>
      <w:bookmarkStart w:id="58" w:name="_Toc12331_WPSOffice_Level1"/>
      <w:bookmarkStart w:id="59" w:name="_Toc16825_WPSOffice_Level1"/>
      <w:bookmarkStart w:id="60" w:name="_Toc26389_WPSOffice_Level1"/>
      <w:r>
        <w:rPr>
          <w:rFonts w:hint="eastAsia"/>
          <w:sz w:val="52"/>
          <w:szCs w:val="52"/>
        </w:rPr>
        <w:t>项目名称</w:t>
      </w:r>
      <w:bookmarkEnd w:id="58"/>
      <w:bookmarkEnd w:id="59"/>
      <w:bookmarkEnd w:id="60"/>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1"/>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jc w:val="center"/>
        <w:rPr>
          <w:b/>
          <w:bCs/>
          <w:sz w:val="32"/>
          <w:szCs w:val="32"/>
          <w:lang w:val="zh-CN"/>
        </w:rPr>
      </w:pPr>
      <w:bookmarkStart w:id="61" w:name="_Toc11308_WPSOffice_Level1"/>
      <w:bookmarkStart w:id="62" w:name="_Toc5889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1"/>
      <w:bookmarkEnd w:id="62"/>
    </w:p>
    <w:p>
      <w:pPr>
        <w:spacing w:line="360" w:lineRule="auto"/>
        <w:rPr>
          <w:sz w:val="24"/>
        </w:rPr>
      </w:pPr>
    </w:p>
    <w:p>
      <w:pPr>
        <w:spacing w:line="360" w:lineRule="auto"/>
        <w:ind w:firstLine="562" w:firstLineChars="200"/>
        <w:rPr>
          <w:b/>
          <w:bCs/>
          <w:sz w:val="28"/>
          <w:szCs w:val="28"/>
        </w:rPr>
      </w:pPr>
      <w:bookmarkStart w:id="63" w:name="_Toc21250_WPSOffice_Level1"/>
      <w:bookmarkStart w:id="64" w:name="_Toc20529_WPSOffice_Level1"/>
      <w:r>
        <w:rPr>
          <w:rFonts w:hint="eastAsia"/>
          <w:b/>
          <w:bCs/>
          <w:sz w:val="28"/>
          <w:szCs w:val="28"/>
        </w:rPr>
        <w:t>第一部分  技术方案描述部分</w:t>
      </w:r>
      <w:bookmarkEnd w:id="63"/>
      <w:bookmarkEnd w:id="64"/>
    </w:p>
    <w:p>
      <w:pPr>
        <w:numPr>
          <w:ilvl w:val="0"/>
          <w:numId w:val="15"/>
        </w:numPr>
        <w:spacing w:line="360" w:lineRule="auto"/>
        <w:ind w:left="5" w:firstLine="415"/>
        <w:rPr>
          <w:sz w:val="28"/>
          <w:szCs w:val="28"/>
        </w:rPr>
      </w:pPr>
      <w:r>
        <w:rPr>
          <w:rFonts w:hint="eastAsia"/>
          <w:sz w:val="28"/>
          <w:szCs w:val="28"/>
        </w:rPr>
        <w:t>投标人情况介绍（附件5）</w:t>
      </w:r>
    </w:p>
    <w:p>
      <w:pPr>
        <w:numPr>
          <w:ilvl w:val="0"/>
          <w:numId w:val="15"/>
        </w:numPr>
        <w:spacing w:line="360" w:lineRule="auto"/>
        <w:ind w:left="5" w:firstLine="415"/>
        <w:rPr>
          <w:sz w:val="28"/>
          <w:szCs w:val="28"/>
        </w:rPr>
      </w:pPr>
      <w:r>
        <w:rPr>
          <w:rFonts w:hint="eastAsia"/>
          <w:sz w:val="28"/>
          <w:szCs w:val="28"/>
        </w:rPr>
        <w:t>项目需求的理解与分析</w:t>
      </w:r>
    </w:p>
    <w:p>
      <w:pPr>
        <w:numPr>
          <w:ilvl w:val="0"/>
          <w:numId w:val="15"/>
        </w:numPr>
        <w:spacing w:line="360" w:lineRule="auto"/>
        <w:ind w:left="5" w:firstLine="415"/>
        <w:rPr>
          <w:sz w:val="28"/>
          <w:szCs w:val="28"/>
        </w:rPr>
      </w:pPr>
      <w:r>
        <w:rPr>
          <w:rFonts w:hint="eastAsia"/>
          <w:sz w:val="28"/>
          <w:szCs w:val="28"/>
        </w:rPr>
        <w:t>总体设计（技术、服务）方案</w:t>
      </w:r>
    </w:p>
    <w:p>
      <w:pPr>
        <w:numPr>
          <w:ilvl w:val="0"/>
          <w:numId w:val="15"/>
        </w:numPr>
        <w:spacing w:line="360" w:lineRule="auto"/>
        <w:ind w:left="5" w:firstLine="415"/>
        <w:rPr>
          <w:sz w:val="28"/>
          <w:szCs w:val="28"/>
        </w:rPr>
      </w:pPr>
      <w:r>
        <w:rPr>
          <w:rFonts w:hint="eastAsia"/>
          <w:sz w:val="28"/>
          <w:szCs w:val="28"/>
        </w:rPr>
        <w:t>功能设计方案</w:t>
      </w:r>
    </w:p>
    <w:p>
      <w:pPr>
        <w:numPr>
          <w:ilvl w:val="0"/>
          <w:numId w:val="15"/>
        </w:numPr>
        <w:spacing w:line="360" w:lineRule="auto"/>
        <w:ind w:left="5" w:firstLine="415"/>
        <w:rPr>
          <w:sz w:val="28"/>
          <w:szCs w:val="28"/>
        </w:rPr>
      </w:pPr>
      <w:r>
        <w:rPr>
          <w:rFonts w:hint="eastAsia"/>
          <w:sz w:val="28"/>
          <w:szCs w:val="28"/>
        </w:rPr>
        <w:t>质量保证方案</w:t>
      </w:r>
    </w:p>
    <w:p>
      <w:pPr>
        <w:numPr>
          <w:ilvl w:val="0"/>
          <w:numId w:val="15"/>
        </w:numPr>
        <w:spacing w:line="360" w:lineRule="auto"/>
        <w:ind w:left="5" w:firstLine="415"/>
        <w:rPr>
          <w:sz w:val="28"/>
          <w:szCs w:val="28"/>
        </w:rPr>
      </w:pPr>
      <w:r>
        <w:rPr>
          <w:rFonts w:hint="eastAsia"/>
          <w:sz w:val="28"/>
          <w:szCs w:val="28"/>
        </w:rPr>
        <w:t>项目实施方案</w:t>
      </w:r>
    </w:p>
    <w:p>
      <w:pPr>
        <w:numPr>
          <w:ilvl w:val="0"/>
          <w:numId w:val="15"/>
        </w:numPr>
        <w:spacing w:line="360" w:lineRule="auto"/>
        <w:ind w:left="5" w:firstLine="415"/>
        <w:rPr>
          <w:sz w:val="28"/>
          <w:szCs w:val="28"/>
        </w:rPr>
      </w:pPr>
      <w:r>
        <w:rPr>
          <w:rFonts w:hint="eastAsia"/>
          <w:sz w:val="28"/>
          <w:szCs w:val="28"/>
        </w:rPr>
        <w:t>技术需求响应表（附件6）</w:t>
      </w:r>
    </w:p>
    <w:p>
      <w:pPr>
        <w:numPr>
          <w:ilvl w:val="0"/>
          <w:numId w:val="15"/>
        </w:numPr>
        <w:spacing w:line="360" w:lineRule="auto"/>
        <w:ind w:left="5" w:firstLine="415"/>
        <w:rPr>
          <w:sz w:val="28"/>
          <w:szCs w:val="28"/>
        </w:rPr>
      </w:pPr>
      <w:r>
        <w:rPr>
          <w:rFonts w:hint="eastAsia"/>
          <w:sz w:val="28"/>
          <w:szCs w:val="28"/>
        </w:rPr>
        <w:t>项目实施人员一览表（附件7）</w:t>
      </w:r>
    </w:p>
    <w:p>
      <w:pPr>
        <w:numPr>
          <w:ilvl w:val="0"/>
          <w:numId w:val="15"/>
        </w:numPr>
        <w:spacing w:line="360" w:lineRule="auto"/>
        <w:ind w:left="5" w:firstLine="415"/>
        <w:rPr>
          <w:sz w:val="28"/>
          <w:szCs w:val="28"/>
        </w:rPr>
      </w:pPr>
      <w:r>
        <w:rPr>
          <w:rFonts w:hint="eastAsia"/>
          <w:sz w:val="28"/>
          <w:szCs w:val="28"/>
        </w:rPr>
        <w:t>工程量/原材料、人工费清单（均不含报价）</w:t>
      </w:r>
    </w:p>
    <w:p>
      <w:pPr>
        <w:numPr>
          <w:ilvl w:val="0"/>
          <w:numId w:val="15"/>
        </w:numPr>
        <w:spacing w:line="360" w:lineRule="auto"/>
        <w:ind w:left="5" w:firstLine="415"/>
        <w:rPr>
          <w:sz w:val="28"/>
          <w:szCs w:val="28"/>
        </w:rPr>
      </w:pPr>
      <w:r>
        <w:rPr>
          <w:rFonts w:hint="eastAsia"/>
          <w:sz w:val="28"/>
          <w:szCs w:val="28"/>
        </w:rPr>
        <w:t>项目负责人资格情况表（附件8）</w:t>
      </w:r>
    </w:p>
    <w:p>
      <w:pPr>
        <w:numPr>
          <w:ilvl w:val="0"/>
          <w:numId w:val="15"/>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5"/>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实施服务与保障的能力及方案（包括服务方式、服务网点、技术培训、实施期与运维期服务的内容和措施等）（附件9）</w:t>
      </w:r>
    </w:p>
    <w:p>
      <w:pPr>
        <w:numPr>
          <w:ilvl w:val="0"/>
          <w:numId w:val="15"/>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5" w:name="_Toc20986_WPSOffice_Level1"/>
      <w:bookmarkStart w:id="66" w:name="_Toc30029_WPSOffice_Level1"/>
      <w:r>
        <w:rPr>
          <w:rFonts w:hint="eastAsia"/>
          <w:b/>
          <w:bCs/>
          <w:sz w:val="28"/>
          <w:szCs w:val="28"/>
        </w:rPr>
        <w:t xml:space="preserve">第二部分  </w:t>
      </w:r>
      <w:bookmarkEnd w:id="65"/>
      <w:bookmarkEnd w:id="66"/>
      <w:r>
        <w:rPr>
          <w:rFonts w:hint="eastAsia"/>
          <w:b/>
          <w:bCs/>
          <w:sz w:val="28"/>
          <w:szCs w:val="28"/>
        </w:rPr>
        <w:t>商务响应及其他部分</w:t>
      </w:r>
    </w:p>
    <w:p>
      <w:pPr>
        <w:numPr>
          <w:ilvl w:val="0"/>
          <w:numId w:val="16"/>
        </w:numPr>
        <w:spacing w:line="360" w:lineRule="auto"/>
        <w:ind w:hanging="5"/>
        <w:rPr>
          <w:sz w:val="28"/>
          <w:szCs w:val="28"/>
        </w:rPr>
      </w:pPr>
      <w:r>
        <w:rPr>
          <w:rFonts w:hint="eastAsia"/>
          <w:sz w:val="28"/>
          <w:szCs w:val="28"/>
        </w:rPr>
        <w:t>证书一览表（附件10）</w:t>
      </w:r>
    </w:p>
    <w:p>
      <w:pPr>
        <w:numPr>
          <w:ilvl w:val="0"/>
          <w:numId w:val="16"/>
        </w:numPr>
        <w:spacing w:line="360" w:lineRule="auto"/>
        <w:ind w:hanging="5"/>
        <w:rPr>
          <w:sz w:val="28"/>
          <w:szCs w:val="28"/>
        </w:rPr>
      </w:pPr>
      <w:r>
        <w:rPr>
          <w:rFonts w:hint="eastAsia"/>
          <w:sz w:val="28"/>
          <w:szCs w:val="28"/>
        </w:rPr>
        <w:t>近三年来类似项目的成功案例（附件11）</w:t>
      </w:r>
    </w:p>
    <w:p>
      <w:pPr>
        <w:pStyle w:val="2"/>
        <w:numPr>
          <w:ilvl w:val="0"/>
          <w:numId w:val="16"/>
        </w:numPr>
        <w:spacing w:line="360" w:lineRule="auto"/>
        <w:ind w:hanging="5"/>
        <w:rPr>
          <w:sz w:val="28"/>
          <w:szCs w:val="28"/>
        </w:rPr>
      </w:pPr>
      <w:r>
        <w:rPr>
          <w:rFonts w:hint="eastAsia"/>
          <w:sz w:val="28"/>
          <w:szCs w:val="28"/>
        </w:rPr>
        <w:t>商务需求响应表（附件12）</w:t>
      </w:r>
    </w:p>
    <w:p>
      <w:pPr>
        <w:pStyle w:val="2"/>
        <w:spacing w:line="360" w:lineRule="auto"/>
        <w:ind w:firstLine="480" w:firstLineChars="200"/>
        <w:rPr>
          <w:sz w:val="24"/>
          <w:szCs w:val="24"/>
        </w:rPr>
      </w:pPr>
    </w:p>
    <w:p>
      <w:pPr>
        <w:pStyle w:val="2"/>
        <w:ind w:firstLine="0"/>
        <w:rPr>
          <w:sz w:val="28"/>
          <w:szCs w:val="28"/>
        </w:rPr>
      </w:pPr>
    </w:p>
    <w:p>
      <w:pPr>
        <w:pStyle w:val="2"/>
        <w:rPr>
          <w:sz w:val="28"/>
          <w:szCs w:val="28"/>
        </w:rPr>
      </w:pPr>
    </w:p>
    <w:p>
      <w:pPr>
        <w:pStyle w:val="2"/>
        <w:rPr>
          <w:sz w:val="28"/>
          <w:szCs w:val="28"/>
        </w:rPr>
      </w:pPr>
    </w:p>
    <w:p>
      <w:pPr>
        <w:pStyle w:val="32"/>
        <w:shd w:val="clear" w:color="auto" w:fill="FFFFFF"/>
        <w:spacing w:before="0" w:beforeAutospacing="0" w:after="0" w:afterAutospacing="0" w:line="360" w:lineRule="auto"/>
        <w:rPr>
          <w:b/>
          <w:sz w:val="28"/>
        </w:rPr>
      </w:pPr>
      <w:r>
        <w:rPr>
          <w:rFonts w:hint="eastAsia"/>
          <w:b/>
          <w:sz w:val="28"/>
        </w:rPr>
        <w:t>附件5</w:t>
      </w:r>
    </w:p>
    <w:p>
      <w:pPr>
        <w:pStyle w:val="32"/>
        <w:shd w:val="clear" w:color="auto" w:fill="FFFFFF"/>
        <w:spacing w:before="0" w:beforeAutospacing="0" w:after="0" w:afterAutospacing="0" w:line="360" w:lineRule="auto"/>
        <w:jc w:val="center"/>
        <w:rPr>
          <w:rFonts w:eastAsia="微软雅黑"/>
          <w:sz w:val="36"/>
          <w:szCs w:val="36"/>
        </w:rPr>
      </w:pPr>
      <w:r>
        <w:rPr>
          <w:rFonts w:hint="eastAsia"/>
          <w:b/>
          <w:sz w:val="32"/>
          <w:szCs w:val="32"/>
        </w:rPr>
        <w:t xml:space="preserve">  </w:t>
      </w:r>
      <w:bookmarkStart w:id="67" w:name="_Toc14261_WPSOffice_Level1"/>
      <w:bookmarkStart w:id="68" w:name="_Toc13307_WPSOffice_Level1"/>
      <w:r>
        <w:rPr>
          <w:rFonts w:hint="eastAsia"/>
          <w:b/>
          <w:sz w:val="32"/>
          <w:szCs w:val="32"/>
        </w:rPr>
        <w:t>投标</w:t>
      </w:r>
      <w:r>
        <w:rPr>
          <w:rFonts w:hint="eastAsia"/>
          <w:b/>
          <w:bCs/>
          <w:sz w:val="32"/>
          <w:szCs w:val="32"/>
        </w:rPr>
        <w:t>人基本情况表</w:t>
      </w:r>
      <w:bookmarkEnd w:id="67"/>
      <w:bookmarkEnd w:id="68"/>
    </w:p>
    <w:tbl>
      <w:tblPr>
        <w:tblStyle w:val="22"/>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1</w:t>
            </w:r>
            <w:r>
              <w:rPr>
                <w:rFonts w:hint="eastAsia"/>
                <w:bCs/>
              </w:rPr>
              <w:t>.</w:t>
            </w:r>
          </w:p>
          <w:p>
            <w:pPr>
              <w:pStyle w:val="32"/>
              <w:shd w:val="clear" w:color="auto" w:fill="FFFFFF"/>
              <w:spacing w:before="0" w:beforeAutospacing="0" w:after="0" w:afterAutospacing="0"/>
              <w:jc w:val="center"/>
              <w:rPr>
                <w:bCs/>
              </w:rPr>
            </w:pPr>
            <w:r>
              <w:rPr>
                <w:rFonts w:hint="eastAsia"/>
                <w:bCs/>
              </w:rPr>
              <w:t>企</w:t>
            </w:r>
          </w:p>
          <w:p>
            <w:pPr>
              <w:pStyle w:val="32"/>
              <w:shd w:val="clear" w:color="auto" w:fill="FFFFFF"/>
              <w:spacing w:before="0" w:beforeAutospacing="0" w:after="0" w:afterAutospacing="0"/>
              <w:jc w:val="center"/>
              <w:rPr>
                <w:bCs/>
              </w:rPr>
            </w:pPr>
            <w:r>
              <w:rPr>
                <w:rFonts w:hint="eastAsia"/>
                <w:bCs/>
              </w:rPr>
              <w:t>业</w:t>
            </w:r>
          </w:p>
          <w:p>
            <w:pPr>
              <w:pStyle w:val="32"/>
              <w:shd w:val="clear" w:color="auto" w:fill="FFFFFF"/>
              <w:spacing w:before="0" w:beforeAutospacing="0" w:after="0" w:afterAutospacing="0"/>
              <w:jc w:val="center"/>
              <w:rPr>
                <w:bCs/>
              </w:rPr>
            </w:pPr>
            <w:r>
              <w:rPr>
                <w:rFonts w:hint="eastAsia"/>
                <w:bCs/>
              </w:rPr>
              <w:t>概</w:t>
            </w:r>
          </w:p>
          <w:p>
            <w:pPr>
              <w:pStyle w:val="32"/>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平方米</w:t>
            </w:r>
          </w:p>
          <w:p>
            <w:pPr>
              <w:pStyle w:val="32"/>
              <w:shd w:val="clear" w:color="auto" w:fill="FFFFFF"/>
              <w:spacing w:before="0" w:beforeAutospacing="0" w:after="0" w:afterAutospacing="0"/>
              <w:jc w:val="center"/>
              <w:rPr>
                <w:bCs/>
              </w:rPr>
            </w:pPr>
            <w:r>
              <w:rPr>
                <w:rFonts w:hint="eastAsia"/>
                <w:bCs/>
              </w:rPr>
              <w:t>□自有</w:t>
            </w:r>
          </w:p>
          <w:p>
            <w:pPr>
              <w:pStyle w:val="32"/>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2"/>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bCs/>
              </w:rPr>
              <w:t>2</w:t>
            </w:r>
            <w:r>
              <w:rPr>
                <w:rFonts w:hint="eastAsia"/>
                <w:bCs/>
              </w:rPr>
              <w:t>．</w:t>
            </w:r>
          </w:p>
          <w:p>
            <w:pPr>
              <w:pStyle w:val="32"/>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2"/>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2"/>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2"/>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2"/>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2"/>
              <w:spacing w:before="0" w:beforeAutospacing="0" w:after="0" w:afterAutospacing="0"/>
              <w:jc w:val="center"/>
              <w:rPr>
                <w:bCs/>
              </w:rPr>
            </w:pPr>
          </w:p>
        </w:tc>
        <w:tc>
          <w:tcPr>
            <w:tcW w:w="933" w:type="dxa"/>
            <w:tcMar>
              <w:top w:w="57" w:type="dxa"/>
              <w:left w:w="85" w:type="dxa"/>
              <w:bottom w:w="0" w:type="dxa"/>
              <w:right w:w="85" w:type="dxa"/>
            </w:tcMar>
            <w:vAlign w:val="center"/>
          </w:tcPr>
          <w:p>
            <w:pPr>
              <w:pStyle w:val="32"/>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2"/>
              <w:shd w:val="clear" w:color="auto" w:fill="FFFFFF"/>
              <w:spacing w:before="0" w:beforeAutospacing="0" w:after="0" w:afterAutospacing="0"/>
              <w:jc w:val="center"/>
              <w:rPr>
                <w:bCs/>
              </w:rPr>
            </w:pPr>
          </w:p>
        </w:tc>
      </w:tr>
    </w:tbl>
    <w:p>
      <w:pPr>
        <w:pStyle w:val="32"/>
        <w:shd w:val="clear" w:color="auto" w:fill="FFFFFF"/>
        <w:spacing w:before="0" w:beforeAutospacing="0" w:after="0" w:afterAutospacing="0" w:line="360" w:lineRule="auto"/>
        <w:rPr>
          <w:b/>
          <w:sz w:val="21"/>
          <w:szCs w:val="21"/>
        </w:rPr>
      </w:pPr>
      <w:r>
        <w:rPr>
          <w:rFonts w:hint="eastAsia"/>
          <w:b/>
          <w:sz w:val="21"/>
          <w:szCs w:val="21"/>
        </w:rPr>
        <w:t>要求：</w:t>
      </w:r>
    </w:p>
    <w:p>
      <w:pPr>
        <w:pStyle w:val="32"/>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spacing w:line="360" w:lineRule="auto"/>
        <w:rPr>
          <w:rFonts w:ascii="宋体" w:hAnsi="宋体"/>
          <w:b/>
          <w:sz w:val="28"/>
        </w:rPr>
      </w:pPr>
      <w:r>
        <w:rPr>
          <w:rFonts w:hint="eastAsia" w:ascii="宋体" w:hAnsi="宋体"/>
          <w:b/>
          <w:sz w:val="28"/>
        </w:rPr>
        <w:t>附件6</w:t>
      </w:r>
    </w:p>
    <w:p>
      <w:pPr>
        <w:spacing w:line="360" w:lineRule="auto"/>
        <w:jc w:val="center"/>
        <w:rPr>
          <w:rFonts w:ascii="宋体" w:hAnsi="宋体"/>
          <w:sz w:val="24"/>
        </w:rPr>
      </w:pPr>
      <w:bookmarkStart w:id="69" w:name="_Toc12856_WPSOffice_Level1"/>
      <w:bookmarkStart w:id="70" w:name="_Toc26601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9"/>
      <w:bookmarkEnd w:id="70"/>
    </w:p>
    <w:tbl>
      <w:tblPr>
        <w:tblStyle w:val="22"/>
        <w:tblpPr w:leftFromText="181" w:rightFromText="181" w:bottomFromText="170" w:vertAnchor="tex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560" w:type="dxa"/>
            <w:tcMar>
              <w:top w:w="57" w:type="dxa"/>
              <w:left w:w="108" w:type="dxa"/>
              <w:bottom w:w="0" w:type="dxa"/>
              <w:right w:w="108" w:type="dxa"/>
            </w:tcMar>
            <w:vAlign w:val="center"/>
          </w:tcPr>
          <w:p>
            <w:pPr>
              <w:ind w:left="152"/>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bl>
    <w:p>
      <w:pPr>
        <w:pStyle w:val="34"/>
        <w:tabs>
          <w:tab w:val="left" w:pos="360"/>
        </w:tabs>
        <w:spacing w:line="360" w:lineRule="auto"/>
        <w:ind w:right="84" w:rightChars="40"/>
        <w:rPr>
          <w:rFonts w:ascii="宋体"/>
          <w:b/>
          <w:szCs w:val="21"/>
        </w:rPr>
      </w:pPr>
      <w:r>
        <w:rPr>
          <w:rFonts w:hint="eastAsia" w:ascii="宋体"/>
          <w:b/>
          <w:szCs w:val="21"/>
        </w:rPr>
        <w:t>要求：</w:t>
      </w:r>
    </w:p>
    <w:p>
      <w:pPr>
        <w:pStyle w:val="34"/>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4"/>
        <w:spacing w:line="360" w:lineRule="auto"/>
        <w:ind w:right="84" w:rightChars="40" w:firstLine="420" w:firstLineChars="200"/>
        <w:rPr>
          <w:rFonts w:ascii="宋体"/>
          <w:szCs w:val="21"/>
        </w:rPr>
      </w:pPr>
      <w:r>
        <w:rPr>
          <w:rFonts w:hint="eastAsia" w:ascii="宋体"/>
          <w:szCs w:val="21"/>
        </w:rPr>
        <w:t>2.本表参照本招标文件第三部分“招标需求”内第二条“具体技术需求”填制，投标人应根据投标设备的性能指标、服务指标，对照招标文件要求在“偏离情况”栏注明“正偏离”、“负偏离”或“无偏离”。</w:t>
      </w:r>
    </w:p>
    <w:p>
      <w:pPr>
        <w:pStyle w:val="34"/>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sz w:val="24"/>
        </w:rPr>
      </w:pPr>
      <w:r>
        <w:rPr>
          <w:rFonts w:hint="eastAsia" w:ascii="宋体" w:hAnsi="宋体"/>
          <w:b/>
          <w:sz w:val="28"/>
        </w:rPr>
        <w:t>附件7</w:t>
      </w:r>
    </w:p>
    <w:p>
      <w:pPr>
        <w:snapToGrid w:val="0"/>
        <w:spacing w:line="360" w:lineRule="auto"/>
        <w:jc w:val="center"/>
        <w:rPr>
          <w:rFonts w:ascii="宋体" w:hAnsi="宋体"/>
          <w:b/>
          <w:sz w:val="32"/>
          <w:szCs w:val="32"/>
        </w:rPr>
      </w:pPr>
      <w:bookmarkStart w:id="71" w:name="_Toc23671_WPSOffice_Level1"/>
      <w:bookmarkStart w:id="72" w:name="_Toc20569_WPSOffice_Level1"/>
      <w:r>
        <w:rPr>
          <w:rFonts w:hint="eastAsia" w:ascii="宋体" w:hAnsi="宋体"/>
          <w:b/>
          <w:sz w:val="32"/>
          <w:szCs w:val="32"/>
        </w:rPr>
        <w:t>项目实施人员一览表</w:t>
      </w:r>
      <w:bookmarkEnd w:id="71"/>
      <w:bookmarkEnd w:id="72"/>
    </w:p>
    <w:p>
      <w:pPr>
        <w:snapToGrid w:val="0"/>
        <w:spacing w:line="360" w:lineRule="auto"/>
        <w:jc w:val="center"/>
        <w:rPr>
          <w:rFonts w:ascii="宋体" w:hAnsi="宋体"/>
          <w:sz w:val="24"/>
        </w:rPr>
      </w:pPr>
      <w:r>
        <w:rPr>
          <w:rFonts w:hint="eastAsia" w:ascii="宋体" w:hAnsi="宋体"/>
          <w:sz w:val="24"/>
        </w:rPr>
        <w:t>（主要从业人员及其技术资格）</w:t>
      </w:r>
    </w:p>
    <w:tbl>
      <w:tblPr>
        <w:tblStyle w:val="22"/>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Cs w:val="21"/>
              </w:rPr>
            </w:pPr>
            <w:r>
              <w:rPr>
                <w:rFonts w:hint="eastAsia" w:ascii="宋体" w:hAnsi="宋体"/>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Cs w:val="21"/>
              </w:rPr>
            </w:pPr>
            <w:r>
              <w:rPr>
                <w:rFonts w:hint="eastAsia" w:ascii="宋体" w:hAnsi="宋体"/>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120"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napToGrid w:val="0"/>
              <w:spacing w:before="120"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5"/>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Cs/>
          <w:szCs w:val="21"/>
        </w:rPr>
        <w:t>1.在填</w:t>
      </w:r>
      <w:r>
        <w:rPr>
          <w:rFonts w:hint="eastAsia" w:ascii="宋体" w:hAnsi="宋体"/>
          <w:szCs w:val="21"/>
        </w:rPr>
        <w:t>写时，如本表格不适合投标单位的实际情况，可根据本表格式自行划表填写。</w:t>
      </w:r>
    </w:p>
    <w:p>
      <w:pPr>
        <w:pStyle w:val="33"/>
        <w:spacing w:line="360" w:lineRule="auto"/>
        <w:ind w:left="424" w:leftChars="202"/>
        <w:rPr>
          <w:rFonts w:ascii="宋体" w:hAnsi="宋体"/>
          <w:szCs w:val="21"/>
        </w:rPr>
      </w:pPr>
      <w:r>
        <w:rPr>
          <w:rFonts w:hint="eastAsia" w:ascii="宋体" w:hAnsi="宋体"/>
          <w:szCs w:val="21"/>
        </w:rPr>
        <w:t>2.附人员证书。</w:t>
      </w:r>
    </w:p>
    <w:p>
      <w:pPr>
        <w:pStyle w:val="33"/>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2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1"/>
      </w:pPr>
    </w:p>
    <w:p>
      <w:pPr>
        <w:pStyle w:val="21"/>
      </w:pPr>
    </w:p>
    <w:p>
      <w:pPr>
        <w:spacing w:line="360" w:lineRule="auto"/>
        <w:rPr>
          <w:rFonts w:ascii="宋体" w:hAnsi="宋体"/>
        </w:rPr>
      </w:pPr>
      <w:r>
        <w:rPr>
          <w:rFonts w:hint="eastAsia" w:ascii="宋体" w:hAnsi="宋体"/>
          <w:b/>
          <w:sz w:val="28"/>
        </w:rPr>
        <w:t>附件8</w:t>
      </w:r>
    </w:p>
    <w:p>
      <w:pPr>
        <w:spacing w:before="120" w:beforeLines="50" w:after="120" w:afterLines="50" w:line="360" w:lineRule="auto"/>
        <w:ind w:right="-10"/>
        <w:jc w:val="center"/>
        <w:rPr>
          <w:rFonts w:ascii="宋体" w:hAnsi="宋体"/>
          <w:b/>
          <w:bCs/>
          <w:sz w:val="32"/>
          <w:szCs w:val="32"/>
        </w:rPr>
      </w:pPr>
      <w:bookmarkStart w:id="73" w:name="_Toc12710_WPSOffice_Level1"/>
      <w:bookmarkStart w:id="74" w:name="_Toc23055_WPSOffice_Level1"/>
      <w:r>
        <w:rPr>
          <w:rFonts w:hint="eastAsia" w:ascii="宋体" w:hAnsi="宋体"/>
          <w:b/>
          <w:bCs/>
          <w:sz w:val="32"/>
          <w:szCs w:val="32"/>
        </w:rPr>
        <w:t>项目负责人资格情况表</w:t>
      </w:r>
      <w:bookmarkEnd w:id="73"/>
      <w:bookmarkEnd w:id="74"/>
    </w:p>
    <w:tbl>
      <w:tblPr>
        <w:tblStyle w:val="2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2"/>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
                <w:szCs w:val="21"/>
              </w:rPr>
            </w:pPr>
            <w:r>
              <w:rPr>
                <w:rFonts w:hint="eastAsia" w:ascii="宋体" w:hAnsi="宋体" w:cs="Arial"/>
                <w:b/>
                <w:szCs w:val="21"/>
              </w:rPr>
              <w:t>序号</w:t>
            </w:r>
          </w:p>
        </w:tc>
        <w:tc>
          <w:tcPr>
            <w:tcW w:w="3159" w:type="dxa"/>
            <w:tcMar>
              <w:top w:w="57" w:type="dxa"/>
              <w:left w:w="108" w:type="dxa"/>
              <w:bottom w:w="0" w:type="dxa"/>
              <w:right w:w="108" w:type="dxa"/>
            </w:tcMar>
            <w:vAlign w:val="center"/>
          </w:tcPr>
          <w:p>
            <w:pPr>
              <w:pStyle w:val="37"/>
              <w:spacing w:line="360" w:lineRule="auto"/>
              <w:jc w:val="center"/>
              <w:rPr>
                <w:rFonts w:ascii="宋体" w:hAnsi="宋体" w:cs="Arial"/>
                <w:b/>
                <w:szCs w:val="21"/>
              </w:rPr>
            </w:pPr>
            <w:r>
              <w:rPr>
                <w:rFonts w:hint="eastAsia" w:ascii="宋体" w:hAnsi="宋体" w:cs="Arial"/>
                <w:b/>
                <w:szCs w:val="21"/>
              </w:rPr>
              <w:t>项目</w:t>
            </w:r>
          </w:p>
        </w:tc>
        <w:tc>
          <w:tcPr>
            <w:tcW w:w="3731" w:type="dxa"/>
            <w:tcMar>
              <w:top w:w="57" w:type="dxa"/>
              <w:left w:w="108" w:type="dxa"/>
              <w:bottom w:w="0" w:type="dxa"/>
              <w:right w:w="108" w:type="dxa"/>
            </w:tcMar>
            <w:vAlign w:val="center"/>
          </w:tcPr>
          <w:p>
            <w:pPr>
              <w:pStyle w:val="37"/>
              <w:spacing w:line="360" w:lineRule="auto"/>
              <w:jc w:val="center"/>
              <w:rPr>
                <w:rFonts w:ascii="宋体" w:hAnsi="宋体" w:cs="Arial"/>
                <w:b/>
                <w:szCs w:val="21"/>
              </w:rPr>
            </w:pPr>
            <w:r>
              <w:rPr>
                <w:rFonts w:hint="eastAsia" w:ascii="宋体" w:hAnsi="宋体" w:cs="Arial"/>
                <w:b/>
                <w:szCs w:val="21"/>
              </w:rPr>
              <w:t>投标人承诺</w:t>
            </w:r>
          </w:p>
        </w:tc>
        <w:tc>
          <w:tcPr>
            <w:tcW w:w="1373" w:type="dxa"/>
            <w:tcMar>
              <w:top w:w="57" w:type="dxa"/>
              <w:left w:w="108" w:type="dxa"/>
              <w:bottom w:w="0" w:type="dxa"/>
              <w:right w:w="108" w:type="dxa"/>
            </w:tcMar>
            <w:vAlign w:val="center"/>
          </w:tcPr>
          <w:p>
            <w:pPr>
              <w:pStyle w:val="37"/>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7"/>
              <w:spacing w:line="360" w:lineRule="auto"/>
              <w:jc w:val="center"/>
              <w:rPr>
                <w:rFonts w:ascii="宋体" w:hAnsi="宋体" w:cs="Arial"/>
                <w:bCs/>
                <w:szCs w:val="21"/>
              </w:rPr>
            </w:pPr>
            <w:r>
              <w:rPr>
                <w:rFonts w:hint="eastAsia" w:ascii="宋体" w:hAnsi="宋体" w:cs="Arial"/>
                <w:bCs/>
                <w:szCs w:val="21"/>
              </w:rPr>
              <w:t>1</w:t>
            </w:r>
          </w:p>
        </w:tc>
        <w:tc>
          <w:tcPr>
            <w:tcW w:w="3159" w:type="dxa"/>
            <w:vMerge w:val="restart"/>
            <w:tcMar>
              <w:top w:w="57" w:type="dxa"/>
              <w:left w:w="108" w:type="dxa"/>
              <w:bottom w:w="0" w:type="dxa"/>
              <w:right w:w="108" w:type="dxa"/>
            </w:tcMar>
            <w:vAlign w:val="center"/>
          </w:tcPr>
          <w:p>
            <w:pPr>
              <w:pStyle w:val="37"/>
              <w:widowControl/>
              <w:spacing w:line="360" w:lineRule="auto"/>
              <w:jc w:val="left"/>
              <w:rPr>
                <w:rFonts w:ascii="宋体" w:hAnsi="宋体" w:cs="Arial"/>
                <w:bCs/>
                <w:szCs w:val="21"/>
              </w:rPr>
            </w:pPr>
            <w:r>
              <w:rPr>
                <w:rFonts w:hint="eastAsia" w:ascii="宋体" w:hAnsi="宋体" w:cs="Arial"/>
                <w:bCs/>
                <w:szCs w:val="21"/>
              </w:rPr>
              <w:t>服务实施期内服务情况(</w:t>
            </w:r>
            <w:r>
              <w:rPr>
                <w:rFonts w:ascii="宋体" w:hAnsi="宋体" w:cs="Arial"/>
                <w:bCs/>
                <w:szCs w:val="21"/>
              </w:rPr>
              <w:t>服务</w:t>
            </w:r>
            <w:r>
              <w:rPr>
                <w:rFonts w:hint="eastAsia" w:ascii="宋体" w:hAnsi="宋体" w:cs="Arial"/>
                <w:bCs/>
                <w:szCs w:val="21"/>
              </w:rPr>
              <w:t>方式、</w:t>
            </w:r>
            <w:r>
              <w:rPr>
                <w:rFonts w:ascii="宋体" w:hAnsi="宋体" w:cs="Arial"/>
                <w:bCs/>
                <w:szCs w:val="21"/>
              </w:rPr>
              <w:t>服务的内容和措施</w:t>
            </w:r>
            <w:r>
              <w:rPr>
                <w:rFonts w:hint="eastAsia" w:ascii="宋体" w:hAnsi="宋体" w:cs="Arial"/>
                <w:bCs/>
                <w:szCs w:val="21"/>
              </w:rPr>
              <w:t>等等，可用附页和宣传材料)。</w:t>
            </w:r>
          </w:p>
        </w:tc>
        <w:tc>
          <w:tcPr>
            <w:tcW w:w="3731" w:type="dxa"/>
            <w:tcMar>
              <w:top w:w="57" w:type="dxa"/>
              <w:left w:w="108" w:type="dxa"/>
              <w:bottom w:w="0" w:type="dxa"/>
              <w:right w:w="108" w:type="dxa"/>
            </w:tcMar>
          </w:tcPr>
          <w:p>
            <w:pPr>
              <w:pStyle w:val="37"/>
              <w:spacing w:line="360" w:lineRule="auto"/>
              <w:rPr>
                <w:rFonts w:ascii="宋体" w:hAnsi="宋体" w:cs="Arial"/>
                <w:bCs/>
                <w:szCs w:val="21"/>
              </w:rPr>
            </w:pPr>
            <w:r>
              <w:rPr>
                <w:rFonts w:hint="eastAsia" w:ascii="宋体" w:hAnsi="宋体" w:cs="Arial"/>
                <w:bCs/>
                <w:szCs w:val="21"/>
              </w:rPr>
              <w:t>生产厂商售后服务情况：</w:t>
            </w:r>
          </w:p>
        </w:tc>
        <w:tc>
          <w:tcPr>
            <w:tcW w:w="1373" w:type="dxa"/>
            <w:tcMar>
              <w:top w:w="57" w:type="dxa"/>
              <w:left w:w="108" w:type="dxa"/>
              <w:bottom w:w="0" w:type="dxa"/>
              <w:right w:w="108" w:type="dxa"/>
            </w:tcMar>
          </w:tcPr>
          <w:p>
            <w:pPr>
              <w:pStyle w:val="37"/>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Cs w:val="21"/>
              </w:rPr>
            </w:pPr>
          </w:p>
        </w:tc>
        <w:tc>
          <w:tcPr>
            <w:tcW w:w="3159" w:type="dxa"/>
            <w:vMerge w:val="continue"/>
            <w:tcMar>
              <w:top w:w="57" w:type="dxa"/>
              <w:left w:w="108" w:type="dxa"/>
              <w:bottom w:w="0" w:type="dxa"/>
              <w:right w:w="108" w:type="dxa"/>
            </w:tcMar>
            <w:vAlign w:val="center"/>
          </w:tcPr>
          <w:p>
            <w:pPr>
              <w:pStyle w:val="37"/>
              <w:widowControl/>
              <w:spacing w:line="360" w:lineRule="auto"/>
              <w:jc w:val="left"/>
              <w:rPr>
                <w:rFonts w:ascii="宋体" w:hAnsi="宋体" w:cs="Arial"/>
                <w:bCs/>
                <w:szCs w:val="21"/>
              </w:rPr>
            </w:pPr>
          </w:p>
        </w:tc>
        <w:tc>
          <w:tcPr>
            <w:tcW w:w="3731" w:type="dxa"/>
            <w:tcMar>
              <w:top w:w="57" w:type="dxa"/>
              <w:left w:w="108" w:type="dxa"/>
              <w:bottom w:w="0" w:type="dxa"/>
              <w:right w:w="108" w:type="dxa"/>
            </w:tcMar>
          </w:tcPr>
          <w:p>
            <w:pPr>
              <w:pStyle w:val="37"/>
              <w:spacing w:line="360" w:lineRule="auto"/>
              <w:rPr>
                <w:rFonts w:ascii="宋体" w:hAnsi="宋体" w:cs="Arial"/>
                <w:bCs/>
                <w:szCs w:val="21"/>
              </w:rPr>
            </w:pPr>
            <w:r>
              <w:rPr>
                <w:rFonts w:hint="eastAsia" w:ascii="宋体" w:hAnsi="宋体" w:cs="Arial"/>
                <w:bCs/>
                <w:szCs w:val="21"/>
              </w:rPr>
              <w:t>投标人售后服务情况：</w:t>
            </w:r>
          </w:p>
        </w:tc>
        <w:tc>
          <w:tcPr>
            <w:tcW w:w="1373" w:type="dxa"/>
            <w:tcMar>
              <w:top w:w="57" w:type="dxa"/>
              <w:left w:w="108" w:type="dxa"/>
              <w:bottom w:w="0" w:type="dxa"/>
              <w:right w:w="108" w:type="dxa"/>
            </w:tcMar>
          </w:tcPr>
          <w:p>
            <w:pPr>
              <w:pStyle w:val="37"/>
              <w:spacing w:line="360" w:lineRule="auto"/>
              <w:jc w:val="left"/>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7"/>
              <w:spacing w:line="360" w:lineRule="auto"/>
              <w:jc w:val="center"/>
              <w:rPr>
                <w:rFonts w:ascii="宋体" w:hAnsi="宋体" w:cs="Arial"/>
                <w:bCs/>
                <w:szCs w:val="21"/>
              </w:rPr>
            </w:pPr>
            <w:r>
              <w:rPr>
                <w:rFonts w:hint="eastAsia" w:ascii="宋体" w:hAnsi="宋体" w:cs="Arial"/>
                <w:bCs/>
                <w:szCs w:val="21"/>
              </w:rPr>
              <w:t>2</w:t>
            </w:r>
          </w:p>
        </w:tc>
        <w:tc>
          <w:tcPr>
            <w:tcW w:w="3159" w:type="dxa"/>
            <w:tcMar>
              <w:top w:w="57" w:type="dxa"/>
              <w:left w:w="108" w:type="dxa"/>
              <w:bottom w:w="0" w:type="dxa"/>
              <w:right w:w="108" w:type="dxa"/>
            </w:tcMar>
            <w:vAlign w:val="center"/>
          </w:tcPr>
          <w:p>
            <w:pPr>
              <w:pStyle w:val="37"/>
              <w:spacing w:line="360" w:lineRule="auto"/>
              <w:rPr>
                <w:rFonts w:ascii="宋体" w:hAnsi="宋体" w:cs="Arial"/>
                <w:bCs/>
                <w:szCs w:val="21"/>
              </w:rPr>
            </w:pPr>
            <w:r>
              <w:rPr>
                <w:rFonts w:hint="eastAsia" w:ascii="宋体" w:hAnsi="宋体" w:cs="Arial"/>
                <w:bCs/>
                <w:szCs w:val="21"/>
              </w:rPr>
              <w:t>运维期服务情况(</w:t>
            </w:r>
            <w:r>
              <w:rPr>
                <w:rFonts w:ascii="宋体" w:hAnsi="宋体" w:cs="Arial"/>
                <w:bCs/>
                <w:szCs w:val="21"/>
              </w:rPr>
              <w:t>服务</w:t>
            </w:r>
            <w:r>
              <w:rPr>
                <w:rFonts w:hint="eastAsia" w:ascii="宋体" w:hAnsi="宋体" w:cs="Arial"/>
                <w:bCs/>
                <w:szCs w:val="21"/>
              </w:rPr>
              <w:t>方式、服务网点</w:t>
            </w:r>
            <w:r>
              <w:rPr>
                <w:rFonts w:ascii="宋体" w:hAnsi="宋体" w:cs="Arial"/>
                <w:bCs/>
                <w:szCs w:val="21"/>
              </w:rPr>
              <w:t>、服务的内容和措施</w:t>
            </w:r>
            <w:r>
              <w:rPr>
                <w:rFonts w:hint="eastAsia" w:ascii="宋体" w:hAnsi="宋体" w:cs="Arial"/>
                <w:bCs/>
                <w:szCs w:val="21"/>
              </w:rPr>
              <w:t>等等，可用附页和宣传材料)。</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Cs w:val="21"/>
              </w:rPr>
            </w:pPr>
          </w:p>
          <w:p>
            <w:pPr>
              <w:pStyle w:val="37"/>
              <w:widowControl/>
              <w:spacing w:line="360" w:lineRule="auto"/>
              <w:jc w:val="left"/>
              <w:rPr>
                <w:rFonts w:ascii="宋体" w:hAnsi="宋体" w:cs="Arial"/>
                <w:bCs/>
                <w:szCs w:val="21"/>
              </w:rPr>
            </w:pPr>
          </w:p>
          <w:p>
            <w:pPr>
              <w:pStyle w:val="37"/>
              <w:spacing w:line="360" w:lineRule="auto"/>
              <w:rPr>
                <w:rFonts w:ascii="宋体" w:hAnsi="宋体" w:cs="Arial"/>
                <w:bCs/>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Cs w:val="21"/>
              </w:rPr>
            </w:pPr>
          </w:p>
          <w:p>
            <w:pPr>
              <w:pStyle w:val="37"/>
              <w:widowControl/>
              <w:spacing w:line="360" w:lineRule="auto"/>
              <w:jc w:val="left"/>
              <w:rPr>
                <w:rFonts w:ascii="宋体" w:hAnsi="宋体" w:cs="Arial"/>
                <w:bCs/>
                <w:szCs w:val="21"/>
              </w:rPr>
            </w:pPr>
          </w:p>
          <w:p>
            <w:pPr>
              <w:pStyle w:val="37"/>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Cs w:val="21"/>
              </w:rPr>
            </w:pPr>
            <w:r>
              <w:rPr>
                <w:rFonts w:hint="eastAsia" w:ascii="宋体" w:hAnsi="宋体" w:cs="Arial"/>
                <w:bCs/>
                <w:szCs w:val="21"/>
              </w:rPr>
              <w:t xml:space="preserve"> 3</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Cs w:val="21"/>
              </w:rPr>
            </w:pPr>
            <w:r>
              <w:rPr>
                <w:rFonts w:hint="eastAsia" w:ascii="宋体" w:hAnsi="宋体" w:cs="Arial"/>
                <w:bCs/>
                <w:szCs w:val="21"/>
              </w:rPr>
              <w:t>培训方案（可用附页）。</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i/>
                <w:szCs w:val="21"/>
              </w:rPr>
            </w:pPr>
          </w:p>
          <w:p>
            <w:pPr>
              <w:pStyle w:val="37"/>
              <w:widowControl/>
              <w:spacing w:line="360" w:lineRule="auto"/>
              <w:jc w:val="left"/>
              <w:rPr>
                <w:rFonts w:ascii="宋体" w:hAnsi="宋体" w:cs="Arial"/>
                <w:bCs/>
                <w:i/>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i/>
                <w:szCs w:val="21"/>
              </w:rPr>
            </w:pPr>
          </w:p>
          <w:p>
            <w:pPr>
              <w:pStyle w:val="37"/>
              <w:widowControl/>
              <w:spacing w:line="360" w:lineRule="auto"/>
              <w:jc w:val="left"/>
              <w:rPr>
                <w:rFonts w:ascii="宋体" w:hAnsi="宋体" w:cs="Arial"/>
                <w:bCs/>
                <w:i/>
                <w:szCs w:val="21"/>
              </w:rPr>
            </w:pPr>
          </w:p>
          <w:p>
            <w:pPr>
              <w:pStyle w:val="37"/>
              <w:widowControl/>
              <w:spacing w:line="360" w:lineRule="auto"/>
              <w:jc w:val="left"/>
              <w:rPr>
                <w:rFonts w:ascii="宋体" w:hAns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7"/>
              <w:widowControl/>
              <w:spacing w:line="360" w:lineRule="auto"/>
              <w:jc w:val="left"/>
              <w:rPr>
                <w:rFonts w:ascii="宋体" w:hAnsi="宋体" w:cs="Arial"/>
                <w:bCs/>
                <w:szCs w:val="21"/>
              </w:rPr>
            </w:pPr>
            <w:r>
              <w:rPr>
                <w:rFonts w:ascii="宋体" w:hAnsi="宋体" w:cs="Arial"/>
                <w:bCs/>
                <w:szCs w:val="21"/>
              </w:rPr>
              <w:t>……</w:t>
            </w:r>
          </w:p>
        </w:tc>
        <w:tc>
          <w:tcPr>
            <w:tcW w:w="3159" w:type="dxa"/>
            <w:tcMar>
              <w:top w:w="57" w:type="dxa"/>
              <w:left w:w="108" w:type="dxa"/>
              <w:bottom w:w="0" w:type="dxa"/>
              <w:right w:w="108" w:type="dxa"/>
            </w:tcMar>
            <w:vAlign w:val="center"/>
          </w:tcPr>
          <w:p>
            <w:pPr>
              <w:pStyle w:val="37"/>
              <w:widowControl/>
              <w:spacing w:line="360" w:lineRule="auto"/>
              <w:jc w:val="left"/>
              <w:rPr>
                <w:rFonts w:ascii="宋体" w:hAnsi="宋体" w:cs="Arial"/>
                <w:bCs/>
                <w:szCs w:val="21"/>
              </w:rPr>
            </w:pPr>
            <w:r>
              <w:rPr>
                <w:rFonts w:ascii="宋体" w:hAnsi="宋体" w:cs="Arial"/>
                <w:bCs/>
                <w:szCs w:val="21"/>
              </w:rPr>
              <w:t>……</w:t>
            </w:r>
          </w:p>
        </w:tc>
        <w:tc>
          <w:tcPr>
            <w:tcW w:w="3731" w:type="dxa"/>
            <w:tcMar>
              <w:top w:w="57" w:type="dxa"/>
              <w:left w:w="108" w:type="dxa"/>
              <w:bottom w:w="0" w:type="dxa"/>
              <w:right w:w="108" w:type="dxa"/>
            </w:tcMar>
          </w:tcPr>
          <w:p>
            <w:pPr>
              <w:pStyle w:val="37"/>
              <w:widowControl/>
              <w:spacing w:line="360" w:lineRule="auto"/>
              <w:jc w:val="left"/>
              <w:rPr>
                <w:rFonts w:ascii="宋体" w:hAnsi="宋体" w:cs="Arial"/>
                <w:bCs/>
                <w:szCs w:val="21"/>
              </w:rPr>
            </w:pPr>
          </w:p>
        </w:tc>
        <w:tc>
          <w:tcPr>
            <w:tcW w:w="1373" w:type="dxa"/>
            <w:tcMar>
              <w:top w:w="57" w:type="dxa"/>
              <w:left w:w="108" w:type="dxa"/>
              <w:bottom w:w="0" w:type="dxa"/>
              <w:right w:w="108" w:type="dxa"/>
            </w:tcMar>
          </w:tcPr>
          <w:p>
            <w:pPr>
              <w:pStyle w:val="37"/>
              <w:widowControl/>
              <w:spacing w:line="360" w:lineRule="auto"/>
              <w:jc w:val="left"/>
              <w:rPr>
                <w:rFonts w:ascii="宋体" w:hAnsi="宋体" w:cs="Arial"/>
                <w:bCs/>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r>
        <w:rPr>
          <w:rFonts w:hint="eastAsia" w:ascii="宋体" w:hAnsi="宋体"/>
          <w:sz w:val="24"/>
          <w:u w:val="single"/>
        </w:rPr>
        <w:t xml:space="preserve">                      </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r>
        <w:rPr>
          <w:rFonts w:hint="eastAsia" w:ascii="宋体" w:hAnsi="宋体"/>
          <w:sz w:val="24"/>
          <w:u w:val="single"/>
        </w:rPr>
        <w:t xml:space="preserve">                            </w:t>
      </w:r>
    </w:p>
    <w:p>
      <w:pPr>
        <w:pStyle w:val="35"/>
        <w:spacing w:line="360" w:lineRule="auto"/>
        <w:jc w:val="left"/>
        <w:rPr>
          <w:rFonts w:ascii="宋体" w:hAnsi="宋体"/>
          <w:b/>
          <w:sz w:val="28"/>
        </w:rPr>
      </w:pPr>
    </w:p>
    <w:p>
      <w:pPr>
        <w:pStyle w:val="35"/>
        <w:spacing w:line="360" w:lineRule="auto"/>
        <w:jc w:val="left"/>
        <w:rPr>
          <w:rFonts w:ascii="宋体" w:hAnsi="宋体"/>
          <w:b/>
          <w:sz w:val="28"/>
        </w:rPr>
      </w:pPr>
    </w:p>
    <w:p>
      <w:pPr>
        <w:pStyle w:val="35"/>
        <w:spacing w:line="360" w:lineRule="auto"/>
        <w:jc w:val="left"/>
        <w:rPr>
          <w:rFonts w:ascii="宋体" w:hAnsi="宋体"/>
          <w:b/>
          <w:sz w:val="28"/>
        </w:rPr>
      </w:pPr>
      <w:r>
        <w:rPr>
          <w:rFonts w:hint="eastAsia" w:ascii="宋体" w:hAnsi="宋体"/>
          <w:b/>
          <w:sz w:val="28"/>
        </w:rPr>
        <w:t>附件10</w:t>
      </w:r>
    </w:p>
    <w:p>
      <w:pPr>
        <w:pStyle w:val="36"/>
        <w:spacing w:line="360" w:lineRule="auto"/>
        <w:jc w:val="center"/>
        <w:rPr>
          <w:rFonts w:ascii="宋体" w:hAnsi="宋体" w:cs="Arial"/>
          <w:sz w:val="28"/>
          <w:szCs w:val="28"/>
        </w:rPr>
      </w:pPr>
      <w:bookmarkStart w:id="75" w:name="_Toc11030_WPSOffice_Level1"/>
      <w:bookmarkStart w:id="76" w:name="_Toc17604_WPSOffice_Level1"/>
      <w:r>
        <w:rPr>
          <w:rFonts w:hint="eastAsia" w:ascii="宋体" w:hAnsi="宋体"/>
          <w:b/>
          <w:sz w:val="32"/>
          <w:szCs w:val="32"/>
        </w:rPr>
        <w:t>证书一览表</w:t>
      </w:r>
      <w:bookmarkEnd w:id="75"/>
      <w:bookmarkEnd w:id="76"/>
    </w:p>
    <w:tbl>
      <w:tblPr>
        <w:tblStyle w:val="22"/>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tcPr>
          <w:p>
            <w:pPr>
              <w:pStyle w:val="36"/>
              <w:spacing w:line="360" w:lineRule="auto"/>
              <w:jc w:val="center"/>
              <w:rPr>
                <w:rFonts w:ascii="宋体" w:hAnsi="宋体" w:cs="Arial"/>
                <w:b/>
                <w:bCs/>
                <w:szCs w:val="21"/>
              </w:rPr>
            </w:pPr>
            <w:r>
              <w:rPr>
                <w:rFonts w:hint="eastAsia" w:ascii="宋体" w:hAnsi="宋体" w:cs="Arial"/>
                <w:b/>
                <w:bCs/>
                <w:szCs w:val="21"/>
              </w:rPr>
              <w:t>证书名称</w:t>
            </w:r>
          </w:p>
        </w:tc>
        <w:tc>
          <w:tcPr>
            <w:tcW w:w="2258" w:type="dxa"/>
            <w:tcBorders>
              <w:top w:val="single" w:color="auto" w:sz="4" w:space="0"/>
              <w:bottom w:val="single" w:color="auto" w:sz="4" w:space="0"/>
            </w:tcBorders>
            <w:tcMar>
              <w:top w:w="57" w:type="dxa"/>
              <w:left w:w="85" w:type="dxa"/>
              <w:bottom w:w="0" w:type="dxa"/>
              <w:right w:w="85" w:type="dxa"/>
            </w:tcMar>
          </w:tcPr>
          <w:p>
            <w:pPr>
              <w:pStyle w:val="36"/>
              <w:spacing w:line="360" w:lineRule="auto"/>
              <w:jc w:val="center"/>
              <w:rPr>
                <w:rFonts w:ascii="宋体" w:hAnsi="宋体" w:cs="Arial"/>
                <w:b/>
                <w:bCs/>
                <w:szCs w:val="21"/>
              </w:rPr>
            </w:pPr>
            <w:r>
              <w:rPr>
                <w:rFonts w:hint="eastAsia" w:ascii="宋体" w:hAnsi="宋体" w:cs="Arial"/>
                <w:b/>
                <w:bCs/>
                <w:szCs w:val="21"/>
              </w:rPr>
              <w:t>发证单位</w:t>
            </w:r>
          </w:p>
        </w:tc>
        <w:tc>
          <w:tcPr>
            <w:tcW w:w="2260" w:type="dxa"/>
            <w:tcBorders>
              <w:top w:val="single" w:color="auto" w:sz="4" w:space="0"/>
              <w:bottom w:val="single" w:color="auto" w:sz="4" w:space="0"/>
            </w:tcBorders>
            <w:tcMar>
              <w:top w:w="57" w:type="dxa"/>
              <w:left w:w="85" w:type="dxa"/>
              <w:bottom w:w="0" w:type="dxa"/>
              <w:right w:w="85" w:type="dxa"/>
            </w:tcMar>
          </w:tcPr>
          <w:p>
            <w:pPr>
              <w:pStyle w:val="36"/>
              <w:spacing w:line="360" w:lineRule="auto"/>
              <w:jc w:val="center"/>
              <w:rPr>
                <w:rFonts w:ascii="宋体" w:hAnsi="宋体" w:cs="Arial"/>
                <w:b/>
                <w:bCs/>
                <w:szCs w:val="21"/>
              </w:rPr>
            </w:pPr>
            <w:r>
              <w:rPr>
                <w:rFonts w:hint="eastAsia" w:ascii="宋体" w:hAnsi="宋体" w:cs="Arial"/>
                <w:b/>
                <w:bCs/>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tcPr>
          <w:p>
            <w:pPr>
              <w:pStyle w:val="36"/>
              <w:spacing w:line="360" w:lineRule="auto"/>
              <w:jc w:val="center"/>
              <w:rPr>
                <w:rFonts w:ascii="宋体" w:hAnsi="宋体" w:cs="Arial"/>
                <w:b/>
                <w:bCs/>
                <w:szCs w:val="21"/>
              </w:rPr>
            </w:pPr>
            <w:r>
              <w:rPr>
                <w:rFonts w:hint="eastAsia" w:ascii="宋体" w:hAnsi="宋体" w:cs="Arial"/>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c>
          <w:tcPr>
            <w:tcW w:w="2258" w:type="dxa"/>
            <w:tcMar>
              <w:top w:w="57" w:type="dxa"/>
              <w:left w:w="85" w:type="dxa"/>
              <w:bottom w:w="0" w:type="dxa"/>
              <w:right w:w="85" w:type="dxa"/>
            </w:tcMar>
          </w:tcPr>
          <w:p>
            <w:pPr>
              <w:pStyle w:val="36"/>
              <w:spacing w:line="360" w:lineRule="auto"/>
              <w:jc w:val="center"/>
              <w:rPr>
                <w:rFonts w:ascii="宋体" w:hAnsi="宋体" w:cs="Arial"/>
                <w:szCs w:val="21"/>
              </w:rPr>
            </w:pPr>
          </w:p>
        </w:tc>
        <w:tc>
          <w:tcPr>
            <w:tcW w:w="2260" w:type="dxa"/>
            <w:tcMar>
              <w:top w:w="57" w:type="dxa"/>
              <w:left w:w="85" w:type="dxa"/>
              <w:bottom w:w="0" w:type="dxa"/>
              <w:right w:w="85" w:type="dxa"/>
            </w:tcMar>
          </w:tcPr>
          <w:p>
            <w:pPr>
              <w:pStyle w:val="36"/>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tcPr>
          <w:p>
            <w:pPr>
              <w:pStyle w:val="36"/>
              <w:spacing w:line="360" w:lineRule="auto"/>
              <w:jc w:val="center"/>
              <w:rPr>
                <w:rFonts w:ascii="宋体" w:hAnsi="宋体" w:cs="Arial"/>
                <w:szCs w:val="21"/>
              </w:rPr>
            </w:pPr>
          </w:p>
        </w:tc>
      </w:tr>
    </w:tbl>
    <w:p>
      <w:pPr>
        <w:pStyle w:val="36"/>
        <w:tabs>
          <w:tab w:val="left" w:pos="1050"/>
        </w:tabs>
        <w:spacing w:line="360" w:lineRule="auto"/>
        <w:rPr>
          <w:rFonts w:ascii="宋体" w:hAnsi="宋体"/>
          <w:szCs w:val="21"/>
        </w:rPr>
      </w:pPr>
      <w:r>
        <w:rPr>
          <w:rFonts w:hint="eastAsia" w:ascii="宋体" w:hAnsi="宋体"/>
          <w:b/>
          <w:szCs w:val="21"/>
        </w:rPr>
        <w:t>要求：</w:t>
      </w:r>
    </w:p>
    <w:p>
      <w:pPr>
        <w:pStyle w:val="36"/>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6"/>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6"/>
        <w:tabs>
          <w:tab w:val="left" w:pos="1050"/>
        </w:tabs>
        <w:spacing w:line="360" w:lineRule="auto"/>
        <w:rPr>
          <w:rFonts w:ascii="仿宋_GB2312" w:hAnsi="宋体" w:eastAsia="仿宋_GB2312"/>
          <w:sz w:val="24"/>
        </w:rPr>
      </w:pPr>
    </w:p>
    <w:p>
      <w:pPr>
        <w:pStyle w:val="36"/>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1"/>
        <w:rPr>
          <w:rFonts w:ascii="宋体" w:hAnsi="宋体"/>
          <w:b/>
          <w:sz w:val="28"/>
        </w:rPr>
      </w:pPr>
    </w:p>
    <w:p>
      <w:pPr>
        <w:pStyle w:val="21"/>
        <w:rPr>
          <w:rFonts w:ascii="宋体" w:hAnsi="宋体"/>
          <w:b/>
          <w:sz w:val="28"/>
        </w:rPr>
      </w:pPr>
    </w:p>
    <w:p>
      <w:pPr>
        <w:spacing w:line="360" w:lineRule="auto"/>
        <w:rPr>
          <w:rFonts w:ascii="宋体" w:hAnsi="宋体"/>
          <w:b/>
          <w:sz w:val="28"/>
        </w:rPr>
      </w:pPr>
      <w:r>
        <w:rPr>
          <w:rFonts w:hint="eastAsia" w:ascii="宋体" w:hAnsi="宋体"/>
          <w:b/>
          <w:sz w:val="28"/>
        </w:rPr>
        <w:t>附件11</w:t>
      </w:r>
    </w:p>
    <w:p>
      <w:pPr>
        <w:spacing w:line="360" w:lineRule="auto"/>
        <w:jc w:val="center"/>
        <w:rPr>
          <w:rFonts w:ascii="宋体" w:hAnsi="宋体"/>
          <w:b/>
          <w:bCs/>
          <w:kern w:val="0"/>
          <w:sz w:val="32"/>
          <w:szCs w:val="32"/>
        </w:rPr>
      </w:pPr>
      <w:bookmarkStart w:id="77" w:name="_Toc7134_WPSOffice_Level1"/>
      <w:bookmarkStart w:id="78" w:name="_Toc19231_WPSOffice_Level1"/>
      <w:r>
        <w:rPr>
          <w:rFonts w:hint="eastAsia" w:ascii="宋体" w:hAnsi="宋体"/>
          <w:b/>
          <w:bCs/>
          <w:kern w:val="0"/>
          <w:sz w:val="32"/>
          <w:szCs w:val="32"/>
        </w:rPr>
        <w:t>投标人类似项目实施情况一览表</w:t>
      </w:r>
      <w:bookmarkEnd w:id="77"/>
      <w:bookmarkEnd w:id="78"/>
    </w:p>
    <w:tbl>
      <w:tblPr>
        <w:tblStyle w:val="22"/>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5"/>
              <w:spacing w:line="360" w:lineRule="auto"/>
              <w:rPr>
                <w:rFonts w:asciiTheme="minorEastAsia" w:hAnsiTheme="minorEastAsia" w:eastAsiaTheme="minorEastAsia" w:cstheme="minorEastAsia"/>
                <w:szCs w:val="21"/>
              </w:rPr>
            </w:pPr>
          </w:p>
        </w:tc>
      </w:tr>
    </w:tbl>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20"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1"/>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6"/>
        <w:tabs>
          <w:tab w:val="left" w:pos="1050"/>
        </w:tabs>
        <w:spacing w:line="360" w:lineRule="auto"/>
        <w:rPr>
          <w:rFonts w:ascii="宋体" w:hAnsi="宋体"/>
          <w:b/>
          <w:sz w:val="28"/>
        </w:rPr>
      </w:pPr>
    </w:p>
    <w:p>
      <w:pPr>
        <w:pStyle w:val="36"/>
        <w:tabs>
          <w:tab w:val="left" w:pos="1050"/>
        </w:tabs>
        <w:spacing w:line="360" w:lineRule="auto"/>
        <w:rPr>
          <w:rFonts w:ascii="宋体" w:hAnsi="宋体"/>
          <w:b/>
          <w:sz w:val="28"/>
        </w:rPr>
      </w:pPr>
    </w:p>
    <w:p>
      <w:pPr>
        <w:pStyle w:val="36"/>
        <w:tabs>
          <w:tab w:val="left" w:pos="1050"/>
        </w:tabs>
        <w:spacing w:line="360" w:lineRule="auto"/>
        <w:rPr>
          <w:rFonts w:ascii="宋体" w:hAnsi="宋体"/>
          <w:b/>
          <w:sz w:val="28"/>
        </w:rPr>
      </w:pPr>
    </w:p>
    <w:p>
      <w:pPr>
        <w:pStyle w:val="36"/>
        <w:tabs>
          <w:tab w:val="left" w:pos="1050"/>
        </w:tabs>
        <w:spacing w:line="360" w:lineRule="auto"/>
        <w:rPr>
          <w:rFonts w:ascii="仿宋_GB2312" w:hAnsi="宋体"/>
          <w:sz w:val="24"/>
        </w:rPr>
      </w:pPr>
      <w:r>
        <w:rPr>
          <w:rFonts w:hint="eastAsia" w:ascii="宋体" w:hAnsi="宋体"/>
          <w:b/>
          <w:sz w:val="28"/>
        </w:rPr>
        <w:t>附件12</w:t>
      </w:r>
    </w:p>
    <w:p>
      <w:pPr>
        <w:spacing w:line="360" w:lineRule="auto"/>
        <w:ind w:left="549" w:hanging="549" w:hangingChars="171"/>
        <w:jc w:val="center"/>
        <w:rPr>
          <w:rFonts w:ascii="宋体" w:hAnsi="宋体"/>
          <w:b/>
          <w:sz w:val="18"/>
          <w:szCs w:val="18"/>
        </w:rPr>
      </w:pPr>
      <w:bookmarkStart w:id="79" w:name="_Toc21582_WPSOffice_Level1"/>
      <w:bookmarkStart w:id="80" w:name="_Toc3068_WPSOffice_Level1"/>
      <w:r>
        <w:rPr>
          <w:rFonts w:hint="eastAsia" w:ascii="宋体" w:hAnsi="宋体"/>
          <w:b/>
          <w:sz w:val="32"/>
          <w:szCs w:val="32"/>
        </w:rPr>
        <w:t>商务需求响应表(第 标)</w:t>
      </w:r>
      <w:bookmarkEnd w:id="79"/>
      <w:bookmarkEnd w:id="80"/>
    </w:p>
    <w:tbl>
      <w:tblPr>
        <w:tblStyle w:val="22"/>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Cs w:val="21"/>
              </w:rPr>
            </w:pPr>
            <w:r>
              <w:rPr>
                <w:rFonts w:hint="eastAsia" w:ascii="宋体" w:hAnsi="宋体"/>
                <w:b/>
                <w:szCs w:val="21"/>
              </w:rPr>
              <w:t>序号</w:t>
            </w:r>
          </w:p>
        </w:tc>
        <w:tc>
          <w:tcPr>
            <w:tcW w:w="2534" w:type="dxa"/>
            <w:tcMar>
              <w:top w:w="57" w:type="dxa"/>
              <w:left w:w="108" w:type="dxa"/>
              <w:bottom w:w="0" w:type="dxa"/>
              <w:right w:w="108" w:type="dxa"/>
            </w:tcMar>
            <w:vAlign w:val="center"/>
          </w:tcPr>
          <w:p>
            <w:pPr>
              <w:rPr>
                <w:rFonts w:ascii="宋体" w:hAnsi="宋体"/>
                <w:b/>
                <w:szCs w:val="21"/>
              </w:rPr>
            </w:pPr>
            <w:r>
              <w:rPr>
                <w:rFonts w:hint="eastAsia" w:ascii="宋体" w:hAnsi="宋体"/>
                <w:b/>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Cs w:val="21"/>
              </w:rPr>
            </w:pPr>
            <w:r>
              <w:rPr>
                <w:rFonts w:hint="eastAsia" w:ascii="宋体" w:hAnsi="宋体"/>
                <w:b/>
                <w:szCs w:val="21"/>
              </w:rPr>
              <w:t>招标需求</w:t>
            </w:r>
          </w:p>
        </w:tc>
        <w:tc>
          <w:tcPr>
            <w:tcW w:w="1365" w:type="dxa"/>
            <w:tcMar>
              <w:top w:w="57" w:type="dxa"/>
              <w:left w:w="108" w:type="dxa"/>
              <w:bottom w:w="0" w:type="dxa"/>
              <w:right w:w="108" w:type="dxa"/>
            </w:tcMar>
            <w:vAlign w:val="center"/>
          </w:tcPr>
          <w:p>
            <w:pPr>
              <w:ind w:left="152"/>
              <w:rPr>
                <w:rFonts w:ascii="宋体" w:hAnsi="宋体"/>
                <w:b/>
                <w:szCs w:val="21"/>
              </w:rPr>
            </w:pPr>
            <w:r>
              <w:rPr>
                <w:rFonts w:hint="eastAsia" w:ascii="宋体" w:hAnsi="宋体"/>
                <w:b/>
                <w:szCs w:val="21"/>
              </w:rPr>
              <w:t>是否响应</w:t>
            </w:r>
          </w:p>
        </w:tc>
        <w:tc>
          <w:tcPr>
            <w:tcW w:w="2625" w:type="dxa"/>
            <w:tcMar>
              <w:top w:w="57" w:type="dxa"/>
              <w:left w:w="108" w:type="dxa"/>
              <w:bottom w:w="0" w:type="dxa"/>
              <w:right w:w="108" w:type="dxa"/>
            </w:tcMar>
            <w:vAlign w:val="center"/>
          </w:tcPr>
          <w:p>
            <w:pPr>
              <w:jc w:val="center"/>
              <w:rPr>
                <w:rFonts w:ascii="宋体" w:hAnsi="宋体"/>
                <w:b/>
                <w:szCs w:val="21"/>
              </w:rPr>
            </w:pPr>
            <w:r>
              <w:rPr>
                <w:rFonts w:hint="eastAsia" w:ascii="宋体" w:hAnsi="宋体"/>
                <w:b/>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服务时间及地点</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付款条件</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备品备件及耗材等要求</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bl>
    <w:p>
      <w:pPr>
        <w:spacing w:line="360" w:lineRule="auto"/>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spacing w:line="360" w:lineRule="auto"/>
        <w:ind w:right="-110"/>
        <w:jc w:val="left"/>
        <w:rPr>
          <w:rFonts w:ascii="宋体" w:hAnsi="宋体"/>
          <w:sz w:val="52"/>
          <w:szCs w:val="52"/>
        </w:rPr>
      </w:pPr>
      <w:r>
        <w:rPr>
          <w:rFonts w:hint="eastAsia" w:ascii="宋体" w:hAnsi="宋体"/>
          <w:b/>
          <w:sz w:val="28"/>
        </w:rPr>
        <w:t>附件13</w:t>
      </w:r>
    </w:p>
    <w:p>
      <w:pPr>
        <w:jc w:val="center"/>
        <w:rPr>
          <w:sz w:val="52"/>
          <w:szCs w:val="52"/>
        </w:rPr>
      </w:pPr>
      <w:bookmarkStart w:id="81" w:name="_Toc21322_WPSOffice_Level1"/>
      <w:bookmarkStart w:id="82" w:name="_Toc4615_WPSOffice_Level1"/>
      <w:bookmarkStart w:id="83" w:name="_Toc30468_WPSOffice_Level1"/>
    </w:p>
    <w:p>
      <w:pPr>
        <w:jc w:val="center"/>
        <w:rPr>
          <w:sz w:val="52"/>
          <w:szCs w:val="52"/>
        </w:rPr>
      </w:pPr>
    </w:p>
    <w:p>
      <w:pPr>
        <w:jc w:val="center"/>
        <w:rPr>
          <w:sz w:val="52"/>
          <w:szCs w:val="52"/>
        </w:rPr>
      </w:pPr>
      <w:r>
        <w:rPr>
          <w:rFonts w:hint="eastAsia"/>
          <w:sz w:val="52"/>
          <w:szCs w:val="52"/>
        </w:rPr>
        <w:t>项目名称</w:t>
      </w:r>
      <w:bookmarkEnd w:id="81"/>
      <w:bookmarkEnd w:id="82"/>
      <w:bookmarkEnd w:id="83"/>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1"/>
      </w:pPr>
    </w:p>
    <w:p>
      <w:pPr>
        <w:jc w:val="center"/>
        <w:rPr>
          <w:sz w:val="84"/>
          <w:szCs w:val="84"/>
        </w:rPr>
      </w:pPr>
      <w:bookmarkStart w:id="84" w:name="_Toc8885_WPSOffice_Level1"/>
      <w:bookmarkStart w:id="85" w:name="_Toc9453_WPSOffice_Level1"/>
      <w:r>
        <w:rPr>
          <w:rFonts w:hint="eastAsia"/>
          <w:sz w:val="84"/>
          <w:szCs w:val="84"/>
        </w:rPr>
        <w:t>报</w:t>
      </w:r>
      <w:bookmarkEnd w:id="84"/>
      <w:bookmarkEnd w:id="85"/>
    </w:p>
    <w:p>
      <w:pPr>
        <w:jc w:val="center"/>
        <w:rPr>
          <w:sz w:val="84"/>
          <w:szCs w:val="84"/>
        </w:rPr>
      </w:pPr>
      <w:bookmarkStart w:id="86" w:name="_Toc7485_WPSOffice_Level1"/>
      <w:bookmarkStart w:id="87" w:name="_Toc10910_WPSOffice_Level1"/>
      <w:r>
        <w:rPr>
          <w:rFonts w:hint="eastAsia"/>
          <w:sz w:val="84"/>
          <w:szCs w:val="84"/>
        </w:rPr>
        <w:t>价</w:t>
      </w:r>
      <w:bookmarkEnd w:id="86"/>
      <w:bookmarkEnd w:id="87"/>
    </w:p>
    <w:p>
      <w:pPr>
        <w:jc w:val="center"/>
        <w:rPr>
          <w:sz w:val="84"/>
          <w:szCs w:val="84"/>
        </w:rPr>
      </w:pPr>
      <w:bookmarkStart w:id="88" w:name="_Toc3932_WPSOffice_Level1"/>
      <w:bookmarkStart w:id="89" w:name="_Toc14572_WPSOffice_Level1"/>
      <w:r>
        <w:rPr>
          <w:rFonts w:hint="eastAsia"/>
          <w:sz w:val="84"/>
          <w:szCs w:val="84"/>
        </w:rPr>
        <w:t>文</w:t>
      </w:r>
      <w:bookmarkEnd w:id="88"/>
      <w:bookmarkEnd w:id="89"/>
    </w:p>
    <w:p>
      <w:pPr>
        <w:jc w:val="center"/>
        <w:rPr>
          <w:sz w:val="84"/>
          <w:szCs w:val="84"/>
        </w:rPr>
      </w:pPr>
      <w:bookmarkStart w:id="90" w:name="_Toc16973_WPSOffice_Level1"/>
      <w:bookmarkStart w:id="91" w:name="_Toc7562_WPSOffice_Level1"/>
      <w:r>
        <w:rPr>
          <w:rFonts w:hint="eastAsia"/>
          <w:sz w:val="84"/>
          <w:szCs w:val="84"/>
        </w:rPr>
        <w:t>件</w:t>
      </w:r>
      <w:bookmarkEnd w:id="90"/>
      <w:bookmarkEnd w:id="91"/>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2" w:name="_Toc4603_WPSOffice_Level1"/>
      <w:bookmarkStart w:id="93" w:name="_Toc26700_WPSOffice_Level1"/>
      <w:r>
        <w:rPr>
          <w:rFonts w:hint="eastAsia" w:ascii="宋体" w:hAnsi="宋体"/>
          <w:sz w:val="36"/>
          <w:szCs w:val="36"/>
        </w:rPr>
        <w:t>投标人全称（公章）：</w:t>
      </w:r>
      <w:bookmarkEnd w:id="92"/>
      <w:bookmarkEnd w:id="93"/>
    </w:p>
    <w:p>
      <w:pPr>
        <w:spacing w:line="360" w:lineRule="auto"/>
        <w:ind w:right="-108" w:firstLine="720" w:firstLineChars="200"/>
        <w:rPr>
          <w:rFonts w:ascii="宋体" w:hAnsi="宋体"/>
          <w:sz w:val="36"/>
          <w:szCs w:val="36"/>
        </w:rPr>
      </w:pPr>
      <w:bookmarkStart w:id="94" w:name="_Toc32593_WPSOffice_Level1"/>
      <w:bookmarkStart w:id="95" w:name="_Toc1391_WPSOffice_Level1"/>
      <w:r>
        <w:rPr>
          <w:rFonts w:hint="eastAsia" w:ascii="宋体" w:hAnsi="宋体"/>
          <w:sz w:val="36"/>
          <w:szCs w:val="36"/>
        </w:rPr>
        <w:t>地    址：</w:t>
      </w:r>
      <w:bookmarkEnd w:id="94"/>
      <w:bookmarkEnd w:id="95"/>
    </w:p>
    <w:p>
      <w:pPr>
        <w:spacing w:line="360" w:lineRule="auto"/>
        <w:ind w:right="-108" w:firstLine="720" w:firstLineChars="200"/>
        <w:rPr>
          <w:rFonts w:ascii="宋体" w:hAnsi="宋体"/>
          <w:sz w:val="36"/>
          <w:szCs w:val="36"/>
        </w:rPr>
      </w:pPr>
      <w:bookmarkStart w:id="96" w:name="_Toc3791_WPSOffice_Level1"/>
      <w:bookmarkStart w:id="97" w:name="_Toc20938_WPSOffice_Level1"/>
      <w:r>
        <w:rPr>
          <w:rFonts w:hint="eastAsia" w:ascii="宋体" w:hAnsi="宋体"/>
          <w:sz w:val="36"/>
          <w:szCs w:val="36"/>
        </w:rPr>
        <w:t>时    间：</w:t>
      </w:r>
      <w:bookmarkEnd w:id="96"/>
      <w:bookmarkEnd w:id="97"/>
    </w:p>
    <w:p>
      <w:pPr>
        <w:spacing w:line="360" w:lineRule="auto"/>
        <w:ind w:right="-108"/>
        <w:jc w:val="center"/>
        <w:rPr>
          <w:rFonts w:ascii="仿宋_GB2312" w:hAnsi="宋体" w:eastAsia="仿宋_GB2312"/>
          <w:b/>
          <w:sz w:val="36"/>
          <w:szCs w:val="36"/>
        </w:rPr>
      </w:pPr>
    </w:p>
    <w:p>
      <w:pPr>
        <w:pStyle w:val="21"/>
      </w:pPr>
    </w:p>
    <w:p>
      <w:pPr>
        <w:pStyle w:val="21"/>
      </w:pPr>
    </w:p>
    <w:p>
      <w:pPr>
        <w:pStyle w:val="21"/>
      </w:pPr>
    </w:p>
    <w:p>
      <w:pPr>
        <w:pStyle w:val="21"/>
      </w:pPr>
    </w:p>
    <w:p>
      <w:pPr>
        <w:pStyle w:val="21"/>
      </w:pPr>
    </w:p>
    <w:p>
      <w:pPr>
        <w:pStyle w:val="21"/>
      </w:pPr>
    </w:p>
    <w:p>
      <w:pPr>
        <w:pStyle w:val="21"/>
      </w:pPr>
    </w:p>
    <w:p>
      <w:pPr>
        <w:pStyle w:val="2"/>
        <w:rPr>
          <w:rFonts w:ascii="仿宋_GB2312" w:hAnsi="宋体" w:eastAsia="仿宋_GB2312"/>
          <w:b/>
          <w:sz w:val="36"/>
          <w:szCs w:val="36"/>
        </w:rPr>
      </w:pPr>
    </w:p>
    <w:p>
      <w:pPr>
        <w:spacing w:line="480" w:lineRule="auto"/>
        <w:jc w:val="center"/>
        <w:rPr>
          <w:rFonts w:ascii="宋体" w:hAnsi="宋体"/>
          <w:b/>
          <w:bCs/>
          <w:sz w:val="36"/>
          <w:szCs w:val="36"/>
        </w:rPr>
      </w:pPr>
      <w:bookmarkStart w:id="98" w:name="_Toc19972_WPSOffice_Level1"/>
      <w:bookmarkStart w:id="99" w:name="_Toc29537_WPSOffice_Level1"/>
      <w:r>
        <w:rPr>
          <w:rFonts w:hint="eastAsia" w:ascii="宋体" w:hAnsi="宋体"/>
          <w:b/>
          <w:bCs/>
          <w:sz w:val="36"/>
          <w:szCs w:val="36"/>
        </w:rPr>
        <w:t>报价文件目录</w:t>
      </w:r>
      <w:bookmarkEnd w:id="98"/>
      <w:bookmarkEnd w:id="99"/>
    </w:p>
    <w:p>
      <w:pPr>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bookmarkStart w:id="100" w:name="_Toc29988_WPSOffice_Level1"/>
      <w:bookmarkStart w:id="101" w:name="_Toc6778_WPSOffice_Level1"/>
      <w:r>
        <w:rPr>
          <w:rFonts w:hint="eastAsia" w:asciiTheme="minorEastAsia" w:hAnsiTheme="minorEastAsia" w:eastAsiaTheme="minorEastAsia" w:cstheme="minorEastAsia"/>
          <w:sz w:val="28"/>
          <w:szCs w:val="28"/>
        </w:rPr>
        <w:t>1.开标一览表（附件14）</w:t>
      </w:r>
      <w:bookmarkEnd w:id="100"/>
      <w:bookmarkEnd w:id="101"/>
    </w:p>
    <w:p>
      <w:pPr>
        <w:spacing w:line="360" w:lineRule="auto"/>
        <w:rPr>
          <w:rFonts w:asciiTheme="minorEastAsia" w:hAnsiTheme="minorEastAsia" w:eastAsiaTheme="minorEastAsia" w:cstheme="minorEastAsia"/>
          <w:sz w:val="28"/>
          <w:szCs w:val="28"/>
        </w:rPr>
      </w:pPr>
      <w:bookmarkStart w:id="102" w:name="_Toc15601_WPSOffice_Level1"/>
      <w:bookmarkStart w:id="103" w:name="_Toc11601_WPSOffice_Level1"/>
      <w:r>
        <w:rPr>
          <w:rFonts w:hint="eastAsia" w:asciiTheme="minorEastAsia" w:hAnsiTheme="minorEastAsia" w:eastAsiaTheme="minorEastAsia" w:cstheme="minorEastAsia"/>
          <w:sz w:val="28"/>
          <w:szCs w:val="28"/>
        </w:rPr>
        <w:t>2.报价明细表（附件15）</w:t>
      </w:r>
      <w:bookmarkEnd w:id="102"/>
      <w:bookmarkEnd w:id="103"/>
    </w:p>
    <w:p>
      <w:pPr>
        <w:spacing w:line="360" w:lineRule="auto"/>
        <w:rPr>
          <w:rFonts w:asciiTheme="minorEastAsia" w:hAnsiTheme="minorEastAsia" w:eastAsiaTheme="minorEastAsia" w:cstheme="minorEastAsia"/>
          <w:sz w:val="28"/>
          <w:szCs w:val="28"/>
          <w:lang w:val="en-GB"/>
        </w:rPr>
      </w:pPr>
      <w:r>
        <w:rPr>
          <w:rFonts w:hint="eastAsia" w:asciiTheme="minorEastAsia" w:hAnsiTheme="minorEastAsia" w:eastAsiaTheme="minorEastAsia" w:cstheme="minorEastAsia"/>
          <w:sz w:val="28"/>
          <w:szCs w:val="28"/>
        </w:rPr>
        <w:t>3.配置服务人员费用报价明细表（附件16）</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4.设备机械、器材、工具物资配备清单（附件17）</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5.耗材配备表 （附件18） </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6.中小企业声明函（附件19）</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7.针对报价投标人认为其他需要说明的；</w:t>
      </w:r>
    </w:p>
    <w:p>
      <w:pPr>
        <w:spacing w:line="360" w:lineRule="auto"/>
        <w:rPr>
          <w:rFonts w:asciiTheme="minorEastAsia" w:hAnsiTheme="minorEastAsia" w:eastAsiaTheme="minorEastAsia" w:cstheme="minorEastAsia"/>
          <w:sz w:val="28"/>
          <w:szCs w:val="28"/>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bookmarkStart w:id="104" w:name="_Toc16144_WPSOffice_Level1"/>
      <w:bookmarkStart w:id="105" w:name="_Toc30363_WPSOffice_Level1"/>
      <w:r>
        <w:rPr>
          <w:rFonts w:hint="eastAsia" w:ascii="宋体" w:hAnsi="宋体"/>
          <w:b/>
          <w:sz w:val="32"/>
          <w:szCs w:val="32"/>
        </w:rPr>
        <w:t xml:space="preserve">开标一览表 </w:t>
      </w:r>
      <w:bookmarkEnd w:id="104"/>
      <w:bookmarkEnd w:id="105"/>
    </w:p>
    <w:p>
      <w:pPr>
        <w:pStyle w:val="14"/>
        <w:spacing w:line="320" w:lineRule="exact"/>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2"/>
        <w:tblW w:w="933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80"/>
        <w:gridCol w:w="1500"/>
        <w:gridCol w:w="1150"/>
        <w:gridCol w:w="2067"/>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color w:val="000000"/>
              </w:rPr>
              <w:t>序号</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rPr>
                <w:color w:val="000000"/>
              </w:rPr>
            </w:pPr>
            <w:r>
              <w:rPr>
                <w:rFonts w:hint="eastAsia"/>
                <w:color w:val="000000"/>
              </w:rPr>
              <w:t>项目名称</w:t>
            </w:r>
          </w:p>
        </w:tc>
        <w:tc>
          <w:tcPr>
            <w:tcW w:w="15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rPr>
            </w:pPr>
            <w:r>
              <w:rPr>
                <w:rFonts w:hint="eastAsia"/>
              </w:rPr>
              <w:t>服务期限</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岗位数</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单位</w:t>
            </w:r>
          </w:p>
          <w:p>
            <w:pPr>
              <w:tabs>
                <w:tab w:val="left" w:pos="8280"/>
              </w:tabs>
              <w:autoSpaceDE w:val="0"/>
              <w:autoSpaceDN w:val="0"/>
              <w:adjustRightInd w:val="0"/>
              <w:spacing w:line="360" w:lineRule="auto"/>
              <w:ind w:right="25"/>
              <w:jc w:val="center"/>
            </w:pPr>
            <w:r>
              <w:rPr>
                <w:rFonts w:hint="eastAsia"/>
              </w:rPr>
              <w:t>（元/每岗.月）</w:t>
            </w:r>
          </w:p>
        </w:tc>
        <w:tc>
          <w:tcPr>
            <w:tcW w:w="2400" w:type="dxa"/>
            <w:tcBorders>
              <w:top w:val="single" w:color="auto" w:sz="4" w:space="0"/>
              <w:left w:val="single" w:color="auto" w:sz="4" w:space="0"/>
              <w:bottom w:val="single" w:color="auto" w:sz="4" w:space="0"/>
              <w:right w:val="single" w:color="auto" w:sz="4" w:space="0"/>
            </w:tcBorders>
            <w:vAlign w:val="center"/>
          </w:tcPr>
          <w:p>
            <w:pPr>
              <w:spacing w:line="360" w:lineRule="auto"/>
              <w:ind w:left="132" w:leftChars="63"/>
              <w:jc w:val="center"/>
              <w:rPr>
                <w:color w:val="000000"/>
              </w:rPr>
            </w:pPr>
            <w:r>
              <w:rPr>
                <w:rFonts w:hint="eastAsia"/>
                <w:color w:val="00000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r>
              <w:rPr>
                <w:rFonts w:hint="eastAsia"/>
                <w:color w:val="000000"/>
              </w:rPr>
              <w:t>1</w:t>
            </w:r>
          </w:p>
        </w:tc>
        <w:tc>
          <w:tcPr>
            <w:tcW w:w="138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rPr>
                <w:color w:val="000000"/>
              </w:rPr>
            </w:pPr>
          </w:p>
        </w:tc>
        <w:tc>
          <w:tcPr>
            <w:tcW w:w="15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ind w:right="25"/>
              <w:jc w:val="center"/>
              <w:rPr>
                <w:color w:val="000000"/>
              </w:rPr>
            </w:pPr>
            <w:r>
              <w:rPr>
                <w:rFonts w:hint="eastAsia"/>
                <w:color w:val="000000"/>
              </w:rPr>
              <w:t>3年</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r>
              <w:rPr>
                <w:rFonts w:hint="eastAsia"/>
              </w:rPr>
              <w:t xml:space="preserve"> 人</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p>
        </w:tc>
        <w:tc>
          <w:tcPr>
            <w:tcW w:w="2400" w:type="dxa"/>
            <w:tcBorders>
              <w:top w:val="single" w:color="auto" w:sz="4" w:space="0"/>
              <w:left w:val="single" w:color="auto" w:sz="4" w:space="0"/>
              <w:bottom w:val="single" w:color="auto" w:sz="4" w:space="0"/>
              <w:right w:val="single" w:color="auto" w:sz="4" w:space="0"/>
            </w:tcBorders>
            <w:vAlign w:val="center"/>
          </w:tcPr>
          <w:p>
            <w:pPr>
              <w:tabs>
                <w:tab w:val="left" w:pos="8280"/>
              </w:tabs>
              <w:autoSpaceDE w:val="0"/>
              <w:autoSpaceDN w:val="0"/>
              <w:adjustRightInd w:val="0"/>
              <w:spacing w:line="360" w:lineRule="auto"/>
              <w:ind w:right="2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color w:val="000000"/>
              </w:rPr>
            </w:pPr>
            <w:r>
              <w:rPr>
                <w:rFonts w:hint="eastAsia"/>
                <w:color w:val="000000"/>
              </w:rPr>
              <w:t>报价说明：总价＝服务期限*岗位数*单位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933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color w:val="000000"/>
              </w:rPr>
            </w:pPr>
            <w:r>
              <w:rPr>
                <w:rFonts w:hint="eastAsia"/>
                <w:color w:val="000000"/>
              </w:rPr>
              <w:t>合计人民币（总价）：大写：                      小写：</w:t>
            </w:r>
          </w:p>
          <w:p>
            <w:pPr>
              <w:spacing w:line="360" w:lineRule="auto"/>
              <w:jc w:val="right"/>
              <w:rPr>
                <w:rFonts w:cs="宋体"/>
                <w:bCs/>
                <w:color w:val="000000"/>
              </w:rPr>
            </w:pPr>
            <w:r>
              <w:rPr>
                <w:rFonts w:hint="eastAsia" w:cs="宋体"/>
                <w:bCs/>
                <w:color w:val="000000"/>
              </w:rPr>
              <w:t>（商务报价小数点后保留两位小数）</w:t>
            </w:r>
          </w:p>
        </w:tc>
      </w:tr>
    </w:tbl>
    <w:p>
      <w:pPr>
        <w:pStyle w:val="41"/>
        <w:spacing w:line="360" w:lineRule="auto"/>
        <w:ind w:right="480" w:firstLine="480" w:firstLineChars="200"/>
        <w:jc w:val="left"/>
        <w:rPr>
          <w:rFonts w:ascii="宋体" w:hAnsi="宋体"/>
          <w:sz w:val="24"/>
        </w:rPr>
      </w:pPr>
    </w:p>
    <w:p>
      <w:pPr>
        <w:pStyle w:val="21"/>
        <w:ind w:left="0" w:leftChars="0" w:firstLine="0"/>
        <w:rPr>
          <w:rFonts w:ascii="宋体" w:hAnsi="宋体"/>
          <w:sz w:val="24"/>
        </w:rPr>
      </w:pPr>
      <w:r>
        <w:rPr>
          <w:rFonts w:hint="eastAsia" w:ascii="宋体" w:hAnsi="宋体"/>
          <w:b/>
          <w:szCs w:val="21"/>
        </w:rPr>
        <w:t>填报要求：</w:t>
      </w:r>
      <w:r>
        <w:rPr>
          <w:rFonts w:hint="eastAsia" w:ascii="宋体" w:hAnsi="宋体"/>
          <w:szCs w:val="21"/>
        </w:rPr>
        <w:t>投标报价包括本项目采购需求和投入使用的所有费用，包括但不限于主件、标准附件、备品备件、施工、服务、专用工具、安装、调试、检验、培训、运输、保险、税款等。</w:t>
      </w:r>
    </w:p>
    <w:p>
      <w:pPr>
        <w:pStyle w:val="21"/>
        <w:ind w:left="0" w:leftChars="0" w:firstLine="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pStyle w:val="2"/>
        <w:rPr>
          <w:rFonts w:ascii="宋体" w:hAnsi="宋体"/>
          <w:b/>
          <w:sz w:val="28"/>
        </w:rPr>
      </w:pPr>
    </w:p>
    <w:p>
      <w:pPr>
        <w:spacing w:line="360" w:lineRule="auto"/>
        <w:ind w:left="-2" w:hanging="2"/>
        <w:jc w:val="center"/>
        <w:rPr>
          <w:rFonts w:ascii="宋体" w:hAnsi="宋体"/>
          <w:b/>
          <w:sz w:val="32"/>
          <w:szCs w:val="32"/>
        </w:rPr>
      </w:pPr>
    </w:p>
    <w:p>
      <w:pPr>
        <w:spacing w:line="360" w:lineRule="auto"/>
        <w:ind w:left="-2" w:hanging="2"/>
        <w:jc w:val="center"/>
        <w:rPr>
          <w:rFonts w:ascii="宋体" w:hAnsi="宋体"/>
          <w:b/>
          <w:sz w:val="32"/>
          <w:szCs w:val="32"/>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附件15</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4"/>
        <w:spacing w:line="320" w:lineRule="exact"/>
        <w:ind w:firstLine="482" w:firstLineChars="200"/>
        <w:rPr>
          <w:rFonts w:hAnsi="宋体"/>
          <w:b/>
          <w:sz w:val="24"/>
        </w:rPr>
      </w:pPr>
      <w:r>
        <w:rPr>
          <w:rFonts w:hAnsi="宋体"/>
          <w:b/>
          <w:sz w:val="24"/>
        </w:rPr>
        <w:t>项目编号：</w:t>
      </w:r>
    </w:p>
    <w:p>
      <w:pPr>
        <w:pStyle w:val="41"/>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2"/>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16"/>
        <w:gridCol w:w="1149"/>
        <w:gridCol w:w="987"/>
        <w:gridCol w:w="1049"/>
        <w:gridCol w:w="720"/>
        <w:gridCol w:w="1244"/>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04" w:type="dxa"/>
            <w:vAlign w:val="center"/>
          </w:tcPr>
          <w:p>
            <w:pPr>
              <w:spacing w:line="0" w:lineRule="atLeast"/>
              <w:jc w:val="center"/>
              <w:rPr>
                <w:rFonts w:ascii="宋体" w:hAnsi="宋体"/>
                <w:b/>
                <w:color w:val="000000"/>
                <w:sz w:val="24"/>
              </w:rPr>
            </w:pPr>
            <w:r>
              <w:rPr>
                <w:rFonts w:hint="eastAsia" w:ascii="宋体" w:hAnsi="宋体"/>
                <w:b/>
                <w:color w:val="000000"/>
                <w:sz w:val="24"/>
              </w:rPr>
              <w:t>序号</w:t>
            </w:r>
          </w:p>
        </w:tc>
        <w:tc>
          <w:tcPr>
            <w:tcW w:w="1916" w:type="dxa"/>
            <w:vAlign w:val="center"/>
          </w:tcPr>
          <w:p>
            <w:pPr>
              <w:spacing w:line="0" w:lineRule="atLeast"/>
              <w:jc w:val="center"/>
              <w:rPr>
                <w:rFonts w:ascii="宋体" w:hAnsi="宋体"/>
                <w:b/>
                <w:color w:val="000000"/>
                <w:sz w:val="24"/>
              </w:rPr>
            </w:pPr>
            <w:r>
              <w:rPr>
                <w:rFonts w:hint="eastAsia" w:ascii="宋体" w:hAnsi="宋体"/>
                <w:b/>
                <w:color w:val="000000"/>
                <w:sz w:val="24"/>
              </w:rPr>
              <w:t>名称</w:t>
            </w:r>
          </w:p>
        </w:tc>
        <w:tc>
          <w:tcPr>
            <w:tcW w:w="1149" w:type="dxa"/>
            <w:vAlign w:val="center"/>
          </w:tcPr>
          <w:p>
            <w:pPr>
              <w:spacing w:line="0" w:lineRule="atLeast"/>
              <w:jc w:val="center"/>
              <w:rPr>
                <w:rFonts w:ascii="宋体" w:hAnsi="宋体"/>
                <w:b/>
                <w:color w:val="000000"/>
                <w:sz w:val="24"/>
              </w:rPr>
            </w:pPr>
            <w:r>
              <w:rPr>
                <w:rFonts w:hint="eastAsia" w:ascii="宋体" w:hAnsi="宋体"/>
                <w:b/>
                <w:color w:val="000000"/>
                <w:sz w:val="24"/>
              </w:rPr>
              <w:t>第</w:t>
            </w:r>
            <w:r>
              <w:rPr>
                <w:rFonts w:ascii="宋体" w:hAnsi="宋体"/>
                <w:b/>
                <w:color w:val="000000"/>
                <w:sz w:val="24"/>
              </w:rPr>
              <w:t>1</w:t>
            </w:r>
            <w:r>
              <w:rPr>
                <w:rFonts w:hint="eastAsia" w:ascii="宋体" w:hAnsi="宋体"/>
                <w:b/>
                <w:color w:val="000000"/>
                <w:sz w:val="24"/>
              </w:rPr>
              <w:t>年</w:t>
            </w:r>
          </w:p>
          <w:p>
            <w:pPr>
              <w:spacing w:line="0" w:lineRule="atLeast"/>
              <w:jc w:val="center"/>
              <w:rPr>
                <w:rFonts w:ascii="宋体" w:hAnsi="宋体"/>
                <w:b/>
                <w:color w:val="000000"/>
                <w:sz w:val="24"/>
              </w:rPr>
            </w:pPr>
            <w:r>
              <w:rPr>
                <w:rFonts w:hint="eastAsia" w:ascii="宋体" w:hAnsi="宋体"/>
                <w:b/>
                <w:color w:val="000000"/>
                <w:sz w:val="24"/>
              </w:rPr>
              <w:t>价格</w:t>
            </w:r>
          </w:p>
        </w:tc>
        <w:tc>
          <w:tcPr>
            <w:tcW w:w="987" w:type="dxa"/>
            <w:vAlign w:val="center"/>
          </w:tcPr>
          <w:p>
            <w:pPr>
              <w:spacing w:line="0" w:lineRule="atLeast"/>
              <w:jc w:val="center"/>
              <w:rPr>
                <w:rFonts w:ascii="宋体" w:hAnsi="宋体"/>
                <w:b/>
                <w:color w:val="000000"/>
                <w:sz w:val="24"/>
              </w:rPr>
            </w:pPr>
            <w:r>
              <w:rPr>
                <w:rFonts w:hint="eastAsia" w:ascii="宋体" w:hAnsi="宋体"/>
                <w:b/>
                <w:color w:val="000000"/>
                <w:sz w:val="24"/>
              </w:rPr>
              <w:t>第</w:t>
            </w:r>
            <w:r>
              <w:rPr>
                <w:rFonts w:ascii="宋体" w:hAnsi="宋体"/>
                <w:b/>
                <w:color w:val="000000"/>
                <w:sz w:val="24"/>
              </w:rPr>
              <w:t>2</w:t>
            </w:r>
            <w:r>
              <w:rPr>
                <w:rFonts w:hint="eastAsia" w:ascii="宋体" w:hAnsi="宋体"/>
                <w:b/>
                <w:color w:val="000000"/>
                <w:sz w:val="24"/>
              </w:rPr>
              <w:t>年</w:t>
            </w:r>
          </w:p>
          <w:p>
            <w:pPr>
              <w:spacing w:line="0" w:lineRule="atLeast"/>
              <w:jc w:val="center"/>
              <w:rPr>
                <w:rFonts w:ascii="宋体" w:hAnsi="宋体"/>
                <w:b/>
                <w:color w:val="000000"/>
                <w:sz w:val="24"/>
              </w:rPr>
            </w:pPr>
            <w:r>
              <w:rPr>
                <w:rFonts w:hint="eastAsia" w:ascii="宋体" w:hAnsi="宋体"/>
                <w:b/>
                <w:color w:val="000000"/>
                <w:sz w:val="24"/>
              </w:rPr>
              <w:t>价格</w:t>
            </w:r>
          </w:p>
        </w:tc>
        <w:tc>
          <w:tcPr>
            <w:tcW w:w="1049" w:type="dxa"/>
            <w:vAlign w:val="center"/>
          </w:tcPr>
          <w:p>
            <w:pPr>
              <w:spacing w:line="0" w:lineRule="atLeast"/>
              <w:jc w:val="center"/>
              <w:rPr>
                <w:rFonts w:ascii="宋体" w:hAnsi="宋体"/>
                <w:b/>
                <w:color w:val="000000"/>
                <w:sz w:val="24"/>
              </w:rPr>
            </w:pPr>
            <w:r>
              <w:rPr>
                <w:rFonts w:hint="eastAsia" w:ascii="宋体" w:hAnsi="宋体"/>
                <w:b/>
                <w:color w:val="000000"/>
                <w:sz w:val="24"/>
              </w:rPr>
              <w:t>第3年</w:t>
            </w:r>
          </w:p>
          <w:p>
            <w:pPr>
              <w:spacing w:line="0" w:lineRule="atLeast"/>
              <w:jc w:val="center"/>
              <w:rPr>
                <w:rFonts w:ascii="宋体" w:hAnsi="宋体"/>
                <w:b/>
                <w:color w:val="000000"/>
                <w:sz w:val="24"/>
              </w:rPr>
            </w:pPr>
            <w:r>
              <w:rPr>
                <w:rFonts w:hint="eastAsia" w:ascii="宋体" w:hAnsi="宋体"/>
                <w:b/>
                <w:color w:val="000000"/>
                <w:sz w:val="24"/>
              </w:rPr>
              <w:t>价格</w:t>
            </w:r>
          </w:p>
        </w:tc>
        <w:tc>
          <w:tcPr>
            <w:tcW w:w="720" w:type="dxa"/>
            <w:vAlign w:val="center"/>
          </w:tcPr>
          <w:p>
            <w:pPr>
              <w:spacing w:line="0" w:lineRule="atLeast"/>
              <w:jc w:val="center"/>
              <w:rPr>
                <w:rFonts w:ascii="宋体" w:hAnsi="宋体"/>
                <w:b/>
                <w:color w:val="000000"/>
                <w:sz w:val="24"/>
              </w:rPr>
            </w:pPr>
            <w:r>
              <w:rPr>
                <w:rFonts w:hint="eastAsia" w:ascii="宋体" w:hAnsi="宋体"/>
                <w:b/>
                <w:color w:val="000000"/>
                <w:sz w:val="24"/>
              </w:rPr>
              <w:t>小计</w:t>
            </w:r>
          </w:p>
        </w:tc>
        <w:tc>
          <w:tcPr>
            <w:tcW w:w="1244" w:type="dxa"/>
            <w:vAlign w:val="center"/>
          </w:tcPr>
          <w:p>
            <w:pPr>
              <w:spacing w:line="0" w:lineRule="atLeast"/>
              <w:jc w:val="center"/>
              <w:rPr>
                <w:rFonts w:ascii="宋体" w:hAnsi="宋体"/>
                <w:b/>
                <w:color w:val="000000"/>
                <w:sz w:val="24"/>
              </w:rPr>
            </w:pPr>
            <w:r>
              <w:rPr>
                <w:rFonts w:hint="eastAsia" w:ascii="宋体" w:hAnsi="宋体"/>
                <w:b/>
                <w:color w:val="000000"/>
                <w:sz w:val="24"/>
              </w:rPr>
              <w:t>结算</w:t>
            </w:r>
          </w:p>
          <w:p>
            <w:pPr>
              <w:spacing w:line="0" w:lineRule="atLeast"/>
              <w:jc w:val="center"/>
              <w:rPr>
                <w:rFonts w:ascii="宋体" w:hAnsi="宋体"/>
                <w:b/>
                <w:color w:val="000000"/>
                <w:sz w:val="24"/>
              </w:rPr>
            </w:pPr>
            <w:r>
              <w:rPr>
                <w:rFonts w:hint="eastAsia" w:ascii="宋体" w:hAnsi="宋体"/>
                <w:b/>
                <w:color w:val="000000"/>
                <w:sz w:val="24"/>
              </w:rPr>
              <w:t>方式</w:t>
            </w:r>
          </w:p>
        </w:tc>
        <w:tc>
          <w:tcPr>
            <w:tcW w:w="1845" w:type="dxa"/>
            <w:vAlign w:val="center"/>
          </w:tcPr>
          <w:p>
            <w:pPr>
              <w:spacing w:line="0" w:lineRule="atLeast"/>
              <w:jc w:val="center"/>
              <w:rPr>
                <w:rFonts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ascii="宋体" w:hAnsi="宋体"/>
                <w:sz w:val="24"/>
              </w:rPr>
              <w:t>1</w:t>
            </w:r>
          </w:p>
        </w:tc>
        <w:tc>
          <w:tcPr>
            <w:tcW w:w="1916" w:type="dxa"/>
            <w:vAlign w:val="center"/>
          </w:tcPr>
          <w:p>
            <w:pPr>
              <w:spacing w:line="0" w:lineRule="atLeast"/>
              <w:jc w:val="center"/>
              <w:rPr>
                <w:rFonts w:ascii="宋体" w:hAnsi="宋体"/>
                <w:sz w:val="24"/>
              </w:rPr>
            </w:pPr>
            <w:r>
              <w:rPr>
                <w:rFonts w:hint="eastAsia" w:ascii="宋体" w:hAnsi="宋体"/>
                <w:sz w:val="24"/>
              </w:rPr>
              <w:t>卫生保洁</w:t>
            </w:r>
          </w:p>
        </w:tc>
        <w:tc>
          <w:tcPr>
            <w:tcW w:w="1149" w:type="dxa"/>
            <w:vAlign w:val="center"/>
          </w:tcPr>
          <w:p>
            <w:pPr>
              <w:spacing w:line="0" w:lineRule="atLeast"/>
              <w:jc w:val="center"/>
              <w:rPr>
                <w:rFonts w:ascii="宋体" w:hAnsi="宋体"/>
                <w:sz w:val="24"/>
              </w:rPr>
            </w:pPr>
          </w:p>
        </w:tc>
        <w:tc>
          <w:tcPr>
            <w:tcW w:w="987" w:type="dxa"/>
            <w:vAlign w:val="center"/>
          </w:tcPr>
          <w:p>
            <w:pPr>
              <w:spacing w:line="0" w:lineRule="atLeast"/>
              <w:jc w:val="center"/>
              <w:rPr>
                <w:rFonts w:ascii="宋体" w:hAnsi="宋体"/>
                <w:sz w:val="24"/>
              </w:rPr>
            </w:pPr>
          </w:p>
        </w:tc>
        <w:tc>
          <w:tcPr>
            <w:tcW w:w="1049" w:type="dxa"/>
            <w:vAlign w:val="center"/>
          </w:tcPr>
          <w:p>
            <w:pPr>
              <w:spacing w:line="0" w:lineRule="atLeast"/>
              <w:jc w:val="center"/>
              <w:rPr>
                <w:rFonts w:ascii="宋体" w:hAnsi="宋体"/>
                <w:sz w:val="24"/>
              </w:rPr>
            </w:pPr>
          </w:p>
        </w:tc>
        <w:tc>
          <w:tcPr>
            <w:tcW w:w="720" w:type="dxa"/>
            <w:vAlign w:val="center"/>
          </w:tcPr>
          <w:p>
            <w:pPr>
              <w:spacing w:line="0" w:lineRule="atLeast"/>
              <w:jc w:val="center"/>
              <w:rPr>
                <w:rFonts w:ascii="宋体" w:hAnsi="宋体"/>
                <w:sz w:val="24"/>
              </w:rPr>
            </w:pPr>
          </w:p>
        </w:tc>
        <w:tc>
          <w:tcPr>
            <w:tcW w:w="1244" w:type="dxa"/>
            <w:vAlign w:val="center"/>
          </w:tcPr>
          <w:p>
            <w:pPr>
              <w:spacing w:line="0" w:lineRule="atLeast"/>
              <w:jc w:val="center"/>
              <w:rPr>
                <w:rFonts w:ascii="宋体" w:hAnsi="宋体"/>
                <w:sz w:val="24"/>
              </w:rPr>
            </w:pPr>
          </w:p>
        </w:tc>
        <w:tc>
          <w:tcPr>
            <w:tcW w:w="1845" w:type="dxa"/>
            <w:vAlign w:val="center"/>
          </w:tcPr>
          <w:p>
            <w:pPr>
              <w:spacing w:line="0" w:lineRule="atLeast"/>
              <w:jc w:val="center"/>
              <w:rPr>
                <w:rFonts w:ascii="宋体" w:hAnsi="宋体"/>
                <w:sz w:val="24"/>
              </w:rPr>
            </w:pP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2</w:t>
            </w:r>
          </w:p>
        </w:tc>
        <w:tc>
          <w:tcPr>
            <w:tcW w:w="1916" w:type="dxa"/>
            <w:vAlign w:val="center"/>
          </w:tcPr>
          <w:p>
            <w:pPr>
              <w:spacing w:line="0" w:lineRule="atLeast"/>
              <w:jc w:val="center"/>
              <w:rPr>
                <w:rFonts w:ascii="宋体" w:hAnsi="宋体"/>
                <w:sz w:val="24"/>
              </w:rPr>
            </w:pPr>
            <w:r>
              <w:rPr>
                <w:rFonts w:hint="eastAsia" w:ascii="宋体" w:hAnsi="宋体"/>
                <w:sz w:val="24"/>
              </w:rPr>
              <w:t>保安</w:t>
            </w:r>
          </w:p>
        </w:tc>
        <w:tc>
          <w:tcPr>
            <w:tcW w:w="1149" w:type="dxa"/>
            <w:vAlign w:val="center"/>
          </w:tcPr>
          <w:p>
            <w:pPr>
              <w:spacing w:line="0" w:lineRule="atLeast"/>
              <w:jc w:val="center"/>
              <w:rPr>
                <w:rFonts w:ascii="宋体" w:hAnsi="宋体"/>
                <w:sz w:val="24"/>
              </w:rPr>
            </w:pPr>
          </w:p>
        </w:tc>
        <w:tc>
          <w:tcPr>
            <w:tcW w:w="987" w:type="dxa"/>
            <w:vAlign w:val="center"/>
          </w:tcPr>
          <w:p>
            <w:pPr>
              <w:spacing w:line="0" w:lineRule="atLeast"/>
              <w:jc w:val="center"/>
              <w:rPr>
                <w:rFonts w:ascii="宋体" w:hAnsi="宋体"/>
                <w:sz w:val="24"/>
              </w:rPr>
            </w:pPr>
          </w:p>
        </w:tc>
        <w:tc>
          <w:tcPr>
            <w:tcW w:w="1049" w:type="dxa"/>
            <w:vAlign w:val="center"/>
          </w:tcPr>
          <w:p>
            <w:pPr>
              <w:spacing w:line="0" w:lineRule="atLeast"/>
              <w:jc w:val="center"/>
              <w:rPr>
                <w:rFonts w:ascii="宋体" w:hAnsi="宋体"/>
                <w:sz w:val="24"/>
              </w:rPr>
            </w:pPr>
          </w:p>
        </w:tc>
        <w:tc>
          <w:tcPr>
            <w:tcW w:w="720" w:type="dxa"/>
            <w:vAlign w:val="center"/>
          </w:tcPr>
          <w:p>
            <w:pPr>
              <w:spacing w:line="0" w:lineRule="atLeast"/>
              <w:jc w:val="center"/>
              <w:rPr>
                <w:rFonts w:ascii="宋体" w:hAnsi="宋体"/>
                <w:sz w:val="24"/>
              </w:rPr>
            </w:pPr>
          </w:p>
        </w:tc>
        <w:tc>
          <w:tcPr>
            <w:tcW w:w="1244" w:type="dxa"/>
            <w:vAlign w:val="center"/>
          </w:tcPr>
          <w:p>
            <w:pPr>
              <w:spacing w:line="0" w:lineRule="atLeast"/>
              <w:jc w:val="center"/>
              <w:rPr>
                <w:rFonts w:ascii="宋体" w:hAnsi="宋体"/>
                <w:sz w:val="24"/>
              </w:rPr>
            </w:pPr>
          </w:p>
        </w:tc>
        <w:tc>
          <w:tcPr>
            <w:tcW w:w="1845" w:type="dxa"/>
            <w:vAlign w:val="center"/>
          </w:tcPr>
          <w:p>
            <w:pPr>
              <w:spacing w:line="0" w:lineRule="atLeast"/>
              <w:jc w:val="center"/>
              <w:rPr>
                <w:rFonts w:ascii="宋体" w:hAnsi="宋体"/>
                <w:sz w:val="24"/>
              </w:rPr>
            </w:pP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3</w:t>
            </w:r>
          </w:p>
        </w:tc>
        <w:tc>
          <w:tcPr>
            <w:tcW w:w="1916" w:type="dxa"/>
            <w:vAlign w:val="center"/>
          </w:tcPr>
          <w:p>
            <w:pPr>
              <w:spacing w:line="0" w:lineRule="atLeast"/>
              <w:jc w:val="center"/>
              <w:rPr>
                <w:rFonts w:ascii="宋体" w:hAnsi="宋体"/>
                <w:sz w:val="24"/>
              </w:rPr>
            </w:pPr>
            <w:r>
              <w:rPr>
                <w:rFonts w:hint="eastAsia" w:ascii="仿宋_GB2312" w:hAnsi="仿宋" w:eastAsia="仿宋_GB2312"/>
                <w:color w:val="FF0000"/>
                <w:sz w:val="30"/>
                <w:szCs w:val="30"/>
              </w:rPr>
              <w:t>……</w:t>
            </w:r>
          </w:p>
        </w:tc>
        <w:tc>
          <w:tcPr>
            <w:tcW w:w="1149" w:type="dxa"/>
            <w:vAlign w:val="center"/>
          </w:tcPr>
          <w:p>
            <w:pPr>
              <w:spacing w:line="0" w:lineRule="atLeast"/>
              <w:jc w:val="center"/>
              <w:rPr>
                <w:rFonts w:ascii="宋体" w:hAnsi="宋体"/>
                <w:sz w:val="24"/>
              </w:rPr>
            </w:pPr>
          </w:p>
        </w:tc>
        <w:tc>
          <w:tcPr>
            <w:tcW w:w="987" w:type="dxa"/>
            <w:vAlign w:val="center"/>
          </w:tcPr>
          <w:p>
            <w:pPr>
              <w:spacing w:line="0" w:lineRule="atLeast"/>
              <w:jc w:val="center"/>
              <w:rPr>
                <w:rFonts w:ascii="宋体" w:hAnsi="宋体"/>
                <w:sz w:val="24"/>
              </w:rPr>
            </w:pPr>
          </w:p>
        </w:tc>
        <w:tc>
          <w:tcPr>
            <w:tcW w:w="1049" w:type="dxa"/>
            <w:vAlign w:val="center"/>
          </w:tcPr>
          <w:p>
            <w:pPr>
              <w:spacing w:line="0" w:lineRule="atLeast"/>
              <w:jc w:val="center"/>
              <w:rPr>
                <w:rFonts w:ascii="宋体" w:hAnsi="宋体"/>
                <w:sz w:val="24"/>
              </w:rPr>
            </w:pPr>
          </w:p>
        </w:tc>
        <w:tc>
          <w:tcPr>
            <w:tcW w:w="720" w:type="dxa"/>
            <w:vAlign w:val="center"/>
          </w:tcPr>
          <w:p>
            <w:pPr>
              <w:spacing w:line="0" w:lineRule="atLeast"/>
              <w:jc w:val="center"/>
              <w:rPr>
                <w:rFonts w:ascii="宋体" w:hAnsi="宋体"/>
                <w:sz w:val="24"/>
              </w:rPr>
            </w:pPr>
          </w:p>
        </w:tc>
        <w:tc>
          <w:tcPr>
            <w:tcW w:w="1244" w:type="dxa"/>
            <w:vAlign w:val="center"/>
          </w:tcPr>
          <w:p>
            <w:pPr>
              <w:spacing w:line="0" w:lineRule="atLeast"/>
              <w:jc w:val="center"/>
              <w:rPr>
                <w:rFonts w:ascii="宋体" w:hAnsi="宋体"/>
                <w:sz w:val="24"/>
              </w:rPr>
            </w:pPr>
          </w:p>
        </w:tc>
        <w:tc>
          <w:tcPr>
            <w:tcW w:w="184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4</w:t>
            </w:r>
          </w:p>
        </w:tc>
        <w:tc>
          <w:tcPr>
            <w:tcW w:w="1916" w:type="dxa"/>
            <w:vAlign w:val="center"/>
          </w:tcPr>
          <w:p>
            <w:pPr>
              <w:spacing w:line="0" w:lineRule="atLeast"/>
              <w:jc w:val="center"/>
              <w:rPr>
                <w:rFonts w:ascii="宋体" w:hAnsi="宋体"/>
                <w:sz w:val="24"/>
              </w:rPr>
            </w:pPr>
            <w:r>
              <w:rPr>
                <w:rFonts w:hint="eastAsia" w:ascii="宋体" w:hAnsi="宋体"/>
                <w:sz w:val="24"/>
              </w:rPr>
              <w:t>综合考核奖励金</w:t>
            </w:r>
          </w:p>
        </w:tc>
        <w:tc>
          <w:tcPr>
            <w:tcW w:w="1149" w:type="dxa"/>
            <w:vAlign w:val="center"/>
          </w:tcPr>
          <w:p>
            <w:pPr>
              <w:spacing w:line="0" w:lineRule="atLeast"/>
              <w:jc w:val="center"/>
              <w:rPr>
                <w:rFonts w:ascii="宋体" w:hAnsi="宋体"/>
                <w:sz w:val="24"/>
              </w:rPr>
            </w:pPr>
          </w:p>
        </w:tc>
        <w:tc>
          <w:tcPr>
            <w:tcW w:w="987" w:type="dxa"/>
            <w:vAlign w:val="center"/>
          </w:tcPr>
          <w:p>
            <w:pPr>
              <w:spacing w:line="0" w:lineRule="atLeast"/>
              <w:jc w:val="center"/>
              <w:rPr>
                <w:rFonts w:ascii="宋体" w:hAnsi="宋体"/>
                <w:sz w:val="24"/>
              </w:rPr>
            </w:pPr>
          </w:p>
        </w:tc>
        <w:tc>
          <w:tcPr>
            <w:tcW w:w="1049" w:type="dxa"/>
            <w:vAlign w:val="center"/>
          </w:tcPr>
          <w:p>
            <w:pPr>
              <w:spacing w:line="0" w:lineRule="atLeast"/>
              <w:jc w:val="center"/>
              <w:rPr>
                <w:rFonts w:ascii="宋体" w:hAnsi="宋体"/>
                <w:sz w:val="24"/>
              </w:rPr>
            </w:pPr>
          </w:p>
        </w:tc>
        <w:tc>
          <w:tcPr>
            <w:tcW w:w="720" w:type="dxa"/>
            <w:vAlign w:val="center"/>
          </w:tcPr>
          <w:p>
            <w:pPr>
              <w:spacing w:line="0" w:lineRule="atLeast"/>
              <w:jc w:val="center"/>
              <w:rPr>
                <w:rFonts w:ascii="宋体" w:hAnsi="宋体"/>
                <w:sz w:val="24"/>
              </w:rPr>
            </w:pPr>
          </w:p>
        </w:tc>
        <w:tc>
          <w:tcPr>
            <w:tcW w:w="1244" w:type="dxa"/>
            <w:vAlign w:val="center"/>
          </w:tcPr>
          <w:p>
            <w:pPr>
              <w:spacing w:line="0" w:lineRule="atLeast"/>
              <w:jc w:val="center"/>
              <w:rPr>
                <w:rFonts w:ascii="宋体" w:hAnsi="宋体"/>
                <w:sz w:val="24"/>
              </w:rPr>
            </w:pPr>
          </w:p>
        </w:tc>
        <w:tc>
          <w:tcPr>
            <w:tcW w:w="184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5</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工作服</w:t>
            </w:r>
          </w:p>
        </w:tc>
        <w:tc>
          <w:tcPr>
            <w:tcW w:w="1149" w:type="dxa"/>
            <w:vAlign w:val="center"/>
          </w:tcPr>
          <w:p>
            <w:pPr>
              <w:spacing w:line="0" w:lineRule="atLeast"/>
              <w:jc w:val="center"/>
              <w:rPr>
                <w:rFonts w:ascii="宋体" w:hAnsi="宋体"/>
                <w:sz w:val="24"/>
              </w:rPr>
            </w:pPr>
          </w:p>
        </w:tc>
        <w:tc>
          <w:tcPr>
            <w:tcW w:w="987" w:type="dxa"/>
            <w:vAlign w:val="center"/>
          </w:tcPr>
          <w:p>
            <w:pPr>
              <w:spacing w:line="0" w:lineRule="atLeast"/>
              <w:jc w:val="center"/>
              <w:rPr>
                <w:rFonts w:ascii="宋体" w:hAnsi="宋体"/>
                <w:sz w:val="24"/>
              </w:rPr>
            </w:pPr>
          </w:p>
        </w:tc>
        <w:tc>
          <w:tcPr>
            <w:tcW w:w="1049" w:type="dxa"/>
            <w:vAlign w:val="center"/>
          </w:tcPr>
          <w:p>
            <w:pPr>
              <w:spacing w:line="0" w:lineRule="atLeast"/>
              <w:jc w:val="center"/>
              <w:rPr>
                <w:rFonts w:ascii="宋体" w:hAnsi="宋体"/>
                <w:sz w:val="24"/>
              </w:rPr>
            </w:pPr>
          </w:p>
        </w:tc>
        <w:tc>
          <w:tcPr>
            <w:tcW w:w="720" w:type="dxa"/>
            <w:vAlign w:val="center"/>
          </w:tcPr>
          <w:p>
            <w:pPr>
              <w:spacing w:line="0" w:lineRule="atLeast"/>
              <w:jc w:val="center"/>
              <w:rPr>
                <w:rFonts w:ascii="宋体" w:hAnsi="宋体"/>
                <w:sz w:val="24"/>
              </w:rPr>
            </w:pPr>
          </w:p>
        </w:tc>
        <w:tc>
          <w:tcPr>
            <w:tcW w:w="1244" w:type="dxa"/>
            <w:vAlign w:val="center"/>
          </w:tcPr>
          <w:p>
            <w:pPr>
              <w:spacing w:line="0" w:lineRule="atLeast"/>
              <w:jc w:val="center"/>
              <w:rPr>
                <w:rFonts w:ascii="宋体" w:hAnsi="宋体"/>
                <w:sz w:val="24"/>
              </w:rPr>
            </w:pPr>
          </w:p>
        </w:tc>
        <w:tc>
          <w:tcPr>
            <w:tcW w:w="184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6</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保洁用具</w:t>
            </w:r>
          </w:p>
        </w:tc>
        <w:tc>
          <w:tcPr>
            <w:tcW w:w="1149" w:type="dxa"/>
            <w:vAlign w:val="center"/>
          </w:tcPr>
          <w:p>
            <w:pPr>
              <w:spacing w:line="0" w:lineRule="atLeast"/>
              <w:jc w:val="center"/>
              <w:rPr>
                <w:rFonts w:ascii="宋体" w:hAnsi="宋体"/>
                <w:sz w:val="24"/>
              </w:rPr>
            </w:pPr>
          </w:p>
        </w:tc>
        <w:tc>
          <w:tcPr>
            <w:tcW w:w="987" w:type="dxa"/>
            <w:vAlign w:val="center"/>
          </w:tcPr>
          <w:p>
            <w:pPr>
              <w:spacing w:line="0" w:lineRule="atLeast"/>
              <w:jc w:val="center"/>
              <w:rPr>
                <w:rFonts w:ascii="宋体" w:hAnsi="宋体"/>
                <w:sz w:val="24"/>
              </w:rPr>
            </w:pPr>
          </w:p>
        </w:tc>
        <w:tc>
          <w:tcPr>
            <w:tcW w:w="1049" w:type="dxa"/>
            <w:vAlign w:val="center"/>
          </w:tcPr>
          <w:p>
            <w:pPr>
              <w:spacing w:line="0" w:lineRule="atLeast"/>
              <w:jc w:val="center"/>
              <w:rPr>
                <w:rFonts w:ascii="宋体" w:hAnsi="宋体"/>
                <w:sz w:val="24"/>
              </w:rPr>
            </w:pPr>
          </w:p>
        </w:tc>
        <w:tc>
          <w:tcPr>
            <w:tcW w:w="720" w:type="dxa"/>
            <w:vAlign w:val="center"/>
          </w:tcPr>
          <w:p>
            <w:pPr>
              <w:spacing w:line="0" w:lineRule="atLeast"/>
              <w:jc w:val="center"/>
              <w:rPr>
                <w:rFonts w:ascii="宋体" w:hAnsi="宋体"/>
                <w:sz w:val="24"/>
              </w:rPr>
            </w:pPr>
          </w:p>
        </w:tc>
        <w:tc>
          <w:tcPr>
            <w:tcW w:w="1244" w:type="dxa"/>
            <w:vAlign w:val="center"/>
          </w:tcPr>
          <w:p>
            <w:pPr>
              <w:spacing w:line="0" w:lineRule="atLeast"/>
              <w:jc w:val="center"/>
              <w:rPr>
                <w:rFonts w:ascii="宋体" w:hAnsi="宋体"/>
                <w:sz w:val="24"/>
              </w:rPr>
            </w:pPr>
          </w:p>
        </w:tc>
        <w:tc>
          <w:tcPr>
            <w:tcW w:w="1845" w:type="dxa"/>
            <w:vAlign w:val="center"/>
          </w:tcPr>
          <w:p>
            <w:pPr>
              <w:spacing w:line="0" w:lineRule="atLeast"/>
              <w:jc w:val="center"/>
              <w:rPr>
                <w:rFonts w:ascii="宋体" w:hAnsi="宋体"/>
                <w:sz w:val="24"/>
              </w:rPr>
            </w:pPr>
            <w:r>
              <w:rPr>
                <w:rFonts w:hint="eastAsia" w:ascii="宋体" w:hAnsi="宋体"/>
                <w:bCs/>
                <w:kern w:val="0"/>
                <w:sz w:val="24"/>
              </w:rPr>
              <w:t>详见技术需求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7</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清洁材料</w:t>
            </w:r>
          </w:p>
        </w:tc>
        <w:tc>
          <w:tcPr>
            <w:tcW w:w="1149" w:type="dxa"/>
            <w:vAlign w:val="center"/>
          </w:tcPr>
          <w:p>
            <w:pPr>
              <w:spacing w:line="0" w:lineRule="atLeast"/>
              <w:jc w:val="center"/>
              <w:rPr>
                <w:rFonts w:ascii="宋体" w:hAnsi="宋体"/>
                <w:sz w:val="24"/>
              </w:rPr>
            </w:pPr>
          </w:p>
        </w:tc>
        <w:tc>
          <w:tcPr>
            <w:tcW w:w="987" w:type="dxa"/>
            <w:vAlign w:val="center"/>
          </w:tcPr>
          <w:p>
            <w:pPr>
              <w:spacing w:line="0" w:lineRule="atLeast"/>
              <w:jc w:val="center"/>
              <w:rPr>
                <w:rFonts w:ascii="宋体" w:hAnsi="宋体"/>
                <w:sz w:val="24"/>
              </w:rPr>
            </w:pPr>
          </w:p>
        </w:tc>
        <w:tc>
          <w:tcPr>
            <w:tcW w:w="1049" w:type="dxa"/>
            <w:vAlign w:val="center"/>
          </w:tcPr>
          <w:p>
            <w:pPr>
              <w:spacing w:line="0" w:lineRule="atLeast"/>
              <w:jc w:val="center"/>
              <w:rPr>
                <w:rFonts w:ascii="宋体" w:hAnsi="宋体"/>
                <w:sz w:val="24"/>
              </w:rPr>
            </w:pPr>
          </w:p>
        </w:tc>
        <w:tc>
          <w:tcPr>
            <w:tcW w:w="720" w:type="dxa"/>
            <w:vAlign w:val="center"/>
          </w:tcPr>
          <w:p>
            <w:pPr>
              <w:spacing w:line="0" w:lineRule="atLeast"/>
              <w:jc w:val="center"/>
              <w:rPr>
                <w:rFonts w:ascii="宋体" w:hAnsi="宋体"/>
                <w:sz w:val="24"/>
              </w:rPr>
            </w:pPr>
          </w:p>
        </w:tc>
        <w:tc>
          <w:tcPr>
            <w:tcW w:w="1244" w:type="dxa"/>
            <w:vAlign w:val="center"/>
          </w:tcPr>
          <w:p>
            <w:pPr>
              <w:spacing w:line="0" w:lineRule="atLeast"/>
              <w:jc w:val="center"/>
              <w:rPr>
                <w:rFonts w:ascii="宋体" w:hAnsi="宋体"/>
                <w:sz w:val="24"/>
              </w:rPr>
            </w:pPr>
          </w:p>
        </w:tc>
        <w:tc>
          <w:tcPr>
            <w:tcW w:w="1845" w:type="dxa"/>
            <w:vAlign w:val="center"/>
          </w:tcPr>
          <w:p>
            <w:pPr>
              <w:spacing w:line="0" w:lineRule="atLeast"/>
              <w:jc w:val="center"/>
              <w:rPr>
                <w:rFonts w:ascii="宋体" w:hAnsi="宋体"/>
                <w:sz w:val="24"/>
              </w:rPr>
            </w:pPr>
            <w:r>
              <w:rPr>
                <w:rFonts w:hint="eastAsia" w:ascii="仿宋_GB2312" w:hAnsi="仿宋" w:eastAsia="仿宋_GB2312"/>
                <w:color w:val="000000" w:themeColor="text1"/>
                <w:sz w:val="30"/>
                <w:szCs w:val="30"/>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8</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劳保用品</w:t>
            </w:r>
          </w:p>
        </w:tc>
        <w:tc>
          <w:tcPr>
            <w:tcW w:w="1149" w:type="dxa"/>
            <w:vAlign w:val="center"/>
          </w:tcPr>
          <w:p>
            <w:pPr>
              <w:spacing w:line="0" w:lineRule="atLeast"/>
              <w:jc w:val="center"/>
              <w:rPr>
                <w:rFonts w:ascii="宋体" w:hAnsi="宋体"/>
                <w:sz w:val="24"/>
              </w:rPr>
            </w:pPr>
          </w:p>
        </w:tc>
        <w:tc>
          <w:tcPr>
            <w:tcW w:w="987" w:type="dxa"/>
            <w:vAlign w:val="center"/>
          </w:tcPr>
          <w:p>
            <w:pPr>
              <w:spacing w:line="0" w:lineRule="atLeast"/>
              <w:jc w:val="center"/>
              <w:rPr>
                <w:rFonts w:ascii="宋体" w:hAnsi="宋体"/>
                <w:sz w:val="24"/>
              </w:rPr>
            </w:pPr>
          </w:p>
        </w:tc>
        <w:tc>
          <w:tcPr>
            <w:tcW w:w="1049" w:type="dxa"/>
            <w:vAlign w:val="center"/>
          </w:tcPr>
          <w:p>
            <w:pPr>
              <w:spacing w:line="0" w:lineRule="atLeast"/>
              <w:jc w:val="center"/>
              <w:rPr>
                <w:rFonts w:ascii="宋体" w:hAnsi="宋体"/>
                <w:sz w:val="24"/>
              </w:rPr>
            </w:pPr>
          </w:p>
        </w:tc>
        <w:tc>
          <w:tcPr>
            <w:tcW w:w="720" w:type="dxa"/>
            <w:vAlign w:val="center"/>
          </w:tcPr>
          <w:p>
            <w:pPr>
              <w:spacing w:line="0" w:lineRule="atLeast"/>
              <w:jc w:val="center"/>
              <w:rPr>
                <w:rFonts w:ascii="宋体" w:hAnsi="宋体"/>
                <w:sz w:val="24"/>
              </w:rPr>
            </w:pPr>
          </w:p>
        </w:tc>
        <w:tc>
          <w:tcPr>
            <w:tcW w:w="1244" w:type="dxa"/>
            <w:vAlign w:val="center"/>
          </w:tcPr>
          <w:p>
            <w:pPr>
              <w:spacing w:line="0" w:lineRule="atLeast"/>
              <w:jc w:val="center"/>
              <w:rPr>
                <w:rFonts w:ascii="宋体" w:hAnsi="宋体"/>
                <w:sz w:val="24"/>
              </w:rPr>
            </w:pPr>
          </w:p>
        </w:tc>
        <w:tc>
          <w:tcPr>
            <w:tcW w:w="184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9</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卫生、消杀用品</w:t>
            </w:r>
          </w:p>
        </w:tc>
        <w:tc>
          <w:tcPr>
            <w:tcW w:w="1149" w:type="dxa"/>
            <w:vAlign w:val="center"/>
          </w:tcPr>
          <w:p>
            <w:pPr>
              <w:spacing w:line="0" w:lineRule="atLeast"/>
              <w:jc w:val="center"/>
              <w:rPr>
                <w:rFonts w:ascii="宋体" w:hAnsi="宋体"/>
                <w:sz w:val="24"/>
              </w:rPr>
            </w:pPr>
          </w:p>
        </w:tc>
        <w:tc>
          <w:tcPr>
            <w:tcW w:w="987" w:type="dxa"/>
            <w:vAlign w:val="center"/>
          </w:tcPr>
          <w:p>
            <w:pPr>
              <w:spacing w:line="0" w:lineRule="atLeast"/>
              <w:jc w:val="center"/>
              <w:rPr>
                <w:rFonts w:ascii="宋体" w:hAnsi="宋体"/>
                <w:sz w:val="24"/>
              </w:rPr>
            </w:pPr>
          </w:p>
        </w:tc>
        <w:tc>
          <w:tcPr>
            <w:tcW w:w="1049" w:type="dxa"/>
            <w:vAlign w:val="center"/>
          </w:tcPr>
          <w:p>
            <w:pPr>
              <w:spacing w:line="0" w:lineRule="atLeast"/>
              <w:jc w:val="center"/>
              <w:rPr>
                <w:rFonts w:ascii="宋体" w:hAnsi="宋体"/>
                <w:sz w:val="24"/>
              </w:rPr>
            </w:pPr>
          </w:p>
        </w:tc>
        <w:tc>
          <w:tcPr>
            <w:tcW w:w="720" w:type="dxa"/>
            <w:vAlign w:val="center"/>
          </w:tcPr>
          <w:p>
            <w:pPr>
              <w:spacing w:line="0" w:lineRule="atLeast"/>
              <w:jc w:val="center"/>
              <w:rPr>
                <w:rFonts w:ascii="宋体" w:hAnsi="宋体"/>
                <w:sz w:val="24"/>
              </w:rPr>
            </w:pPr>
          </w:p>
        </w:tc>
        <w:tc>
          <w:tcPr>
            <w:tcW w:w="1244" w:type="dxa"/>
            <w:vAlign w:val="center"/>
          </w:tcPr>
          <w:p>
            <w:pPr>
              <w:spacing w:line="0" w:lineRule="atLeast"/>
              <w:jc w:val="center"/>
              <w:rPr>
                <w:rFonts w:ascii="宋体" w:hAnsi="宋体"/>
                <w:sz w:val="24"/>
              </w:rPr>
            </w:pPr>
          </w:p>
        </w:tc>
        <w:tc>
          <w:tcPr>
            <w:tcW w:w="184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4" w:type="dxa"/>
            <w:vAlign w:val="center"/>
          </w:tcPr>
          <w:p>
            <w:pPr>
              <w:spacing w:line="0" w:lineRule="atLeast"/>
              <w:jc w:val="center"/>
              <w:rPr>
                <w:rFonts w:ascii="宋体" w:hAnsi="宋体"/>
                <w:sz w:val="24"/>
              </w:rPr>
            </w:pPr>
            <w:r>
              <w:rPr>
                <w:rFonts w:hint="eastAsia" w:ascii="宋体" w:hAnsi="宋体"/>
                <w:sz w:val="24"/>
              </w:rPr>
              <w:t>10</w:t>
            </w:r>
          </w:p>
        </w:tc>
        <w:tc>
          <w:tcPr>
            <w:tcW w:w="1916" w:type="dxa"/>
            <w:vAlign w:val="center"/>
          </w:tcPr>
          <w:p>
            <w:pPr>
              <w:spacing w:line="0" w:lineRule="atLeast"/>
              <w:jc w:val="center"/>
              <w:rPr>
                <w:rFonts w:ascii="宋体" w:hAnsi="宋体"/>
                <w:color w:val="000000" w:themeColor="text1"/>
                <w:sz w:val="24"/>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w:t>
            </w:r>
          </w:p>
        </w:tc>
        <w:tc>
          <w:tcPr>
            <w:tcW w:w="1149" w:type="dxa"/>
            <w:vAlign w:val="center"/>
          </w:tcPr>
          <w:p>
            <w:pPr>
              <w:spacing w:line="0" w:lineRule="atLeast"/>
              <w:jc w:val="center"/>
              <w:rPr>
                <w:rFonts w:ascii="宋体" w:hAnsi="宋体"/>
                <w:sz w:val="24"/>
              </w:rPr>
            </w:pPr>
          </w:p>
        </w:tc>
        <w:tc>
          <w:tcPr>
            <w:tcW w:w="987" w:type="dxa"/>
            <w:vAlign w:val="center"/>
          </w:tcPr>
          <w:p>
            <w:pPr>
              <w:spacing w:line="0" w:lineRule="atLeast"/>
              <w:jc w:val="center"/>
              <w:rPr>
                <w:rFonts w:ascii="宋体" w:hAnsi="宋体"/>
                <w:sz w:val="24"/>
              </w:rPr>
            </w:pPr>
          </w:p>
        </w:tc>
        <w:tc>
          <w:tcPr>
            <w:tcW w:w="1049" w:type="dxa"/>
            <w:vAlign w:val="center"/>
          </w:tcPr>
          <w:p>
            <w:pPr>
              <w:spacing w:line="0" w:lineRule="atLeast"/>
              <w:jc w:val="center"/>
              <w:rPr>
                <w:rFonts w:ascii="宋体" w:hAnsi="宋体"/>
                <w:sz w:val="24"/>
              </w:rPr>
            </w:pPr>
          </w:p>
        </w:tc>
        <w:tc>
          <w:tcPr>
            <w:tcW w:w="720" w:type="dxa"/>
            <w:vAlign w:val="center"/>
          </w:tcPr>
          <w:p>
            <w:pPr>
              <w:spacing w:line="0" w:lineRule="atLeast"/>
              <w:jc w:val="center"/>
              <w:rPr>
                <w:rFonts w:ascii="宋体" w:hAnsi="宋体"/>
                <w:sz w:val="24"/>
              </w:rPr>
            </w:pPr>
          </w:p>
        </w:tc>
        <w:tc>
          <w:tcPr>
            <w:tcW w:w="1244" w:type="dxa"/>
            <w:vAlign w:val="center"/>
          </w:tcPr>
          <w:p>
            <w:pPr>
              <w:spacing w:line="0" w:lineRule="atLeast"/>
              <w:jc w:val="center"/>
              <w:rPr>
                <w:rFonts w:ascii="宋体" w:hAnsi="宋体"/>
                <w:sz w:val="24"/>
              </w:rPr>
            </w:pPr>
          </w:p>
        </w:tc>
        <w:tc>
          <w:tcPr>
            <w:tcW w:w="1845" w:type="dxa"/>
            <w:vAlign w:val="center"/>
          </w:tcPr>
          <w:p>
            <w:pPr>
              <w:spacing w:line="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0" w:lineRule="atLeast"/>
              <w:jc w:val="center"/>
              <w:rPr>
                <w:rFonts w:ascii="宋体" w:hAnsi="宋体"/>
                <w:sz w:val="24"/>
              </w:rPr>
            </w:pPr>
          </w:p>
        </w:tc>
        <w:tc>
          <w:tcPr>
            <w:tcW w:w="1916" w:type="dxa"/>
            <w:vAlign w:val="center"/>
          </w:tcPr>
          <w:p>
            <w:pPr>
              <w:spacing w:line="0" w:lineRule="atLeast"/>
              <w:jc w:val="center"/>
              <w:rPr>
                <w:rFonts w:ascii="仿宋_GB2312" w:hAnsi="仿宋" w:eastAsia="仿宋_GB2312"/>
                <w:sz w:val="30"/>
                <w:szCs w:val="30"/>
              </w:rPr>
            </w:pPr>
            <w:r>
              <w:rPr>
                <w:rFonts w:hint="eastAsia" w:ascii="仿宋_GB2312" w:hAnsi="仿宋" w:eastAsia="仿宋_GB2312"/>
                <w:sz w:val="30"/>
                <w:szCs w:val="30"/>
              </w:rPr>
              <w:t>合计</w:t>
            </w:r>
          </w:p>
        </w:tc>
        <w:tc>
          <w:tcPr>
            <w:tcW w:w="1149" w:type="dxa"/>
            <w:vAlign w:val="center"/>
          </w:tcPr>
          <w:p>
            <w:pPr>
              <w:spacing w:line="0" w:lineRule="atLeast"/>
              <w:jc w:val="center"/>
              <w:rPr>
                <w:rFonts w:ascii="宋体" w:hAnsi="宋体"/>
                <w:sz w:val="24"/>
              </w:rPr>
            </w:pPr>
          </w:p>
        </w:tc>
        <w:tc>
          <w:tcPr>
            <w:tcW w:w="987" w:type="dxa"/>
            <w:vAlign w:val="center"/>
          </w:tcPr>
          <w:p>
            <w:pPr>
              <w:spacing w:line="0" w:lineRule="atLeast"/>
              <w:jc w:val="center"/>
              <w:rPr>
                <w:rFonts w:ascii="宋体" w:hAnsi="宋体"/>
                <w:sz w:val="24"/>
              </w:rPr>
            </w:pPr>
          </w:p>
        </w:tc>
        <w:tc>
          <w:tcPr>
            <w:tcW w:w="1049" w:type="dxa"/>
            <w:vAlign w:val="center"/>
          </w:tcPr>
          <w:p>
            <w:pPr>
              <w:spacing w:line="0" w:lineRule="atLeast"/>
              <w:jc w:val="center"/>
              <w:rPr>
                <w:rFonts w:ascii="宋体" w:hAnsi="宋体"/>
                <w:sz w:val="24"/>
              </w:rPr>
            </w:pPr>
          </w:p>
        </w:tc>
        <w:tc>
          <w:tcPr>
            <w:tcW w:w="720" w:type="dxa"/>
            <w:vAlign w:val="center"/>
          </w:tcPr>
          <w:p>
            <w:pPr>
              <w:spacing w:line="0" w:lineRule="atLeast"/>
              <w:jc w:val="center"/>
              <w:rPr>
                <w:rFonts w:ascii="宋体" w:hAnsi="宋体"/>
                <w:sz w:val="24"/>
              </w:rPr>
            </w:pPr>
          </w:p>
        </w:tc>
        <w:tc>
          <w:tcPr>
            <w:tcW w:w="1244" w:type="dxa"/>
            <w:vAlign w:val="center"/>
          </w:tcPr>
          <w:p>
            <w:pPr>
              <w:spacing w:line="0" w:lineRule="atLeast"/>
              <w:jc w:val="center"/>
              <w:rPr>
                <w:rFonts w:ascii="宋体" w:hAnsi="宋体"/>
                <w:sz w:val="24"/>
              </w:rPr>
            </w:pPr>
          </w:p>
        </w:tc>
        <w:tc>
          <w:tcPr>
            <w:tcW w:w="1845" w:type="dxa"/>
            <w:vAlign w:val="center"/>
          </w:tcPr>
          <w:p>
            <w:pPr>
              <w:spacing w:line="0" w:lineRule="atLeast"/>
              <w:jc w:val="center"/>
              <w:rPr>
                <w:rFonts w:ascii="宋体" w:hAnsi="宋体"/>
                <w:sz w:val="24"/>
              </w:rPr>
            </w:pPr>
          </w:p>
        </w:tc>
      </w:tr>
    </w:tbl>
    <w:p>
      <w:pPr>
        <w:pStyle w:val="41"/>
        <w:spacing w:line="360" w:lineRule="auto"/>
        <w:ind w:right="480"/>
        <w:jc w:val="left"/>
        <w:rPr>
          <w:rFonts w:ascii="宋体" w:hAnsi="宋体"/>
          <w:sz w:val="24"/>
        </w:rPr>
      </w:pPr>
    </w:p>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 本表为《开标一览表》的报价明细表，如有缺项、漏项，视为投标报价中已包含相关费用，采购人无需另外支付任何费用。</w:t>
      </w:r>
    </w:p>
    <w:p>
      <w:pPr>
        <w:spacing w:line="360" w:lineRule="auto"/>
        <w:ind w:left="435"/>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snapToGrid w:val="0"/>
        <w:spacing w:before="120" w:beforeLines="50" w:after="50" w:line="360" w:lineRule="auto"/>
        <w:rPr>
          <w:rFonts w:hAnsi="宋体"/>
          <w:b/>
          <w:sz w:val="32"/>
          <w:szCs w:val="32"/>
        </w:rPr>
      </w:pPr>
      <w:r>
        <w:rPr>
          <w:rFonts w:hint="eastAsia" w:ascii="宋体" w:hAnsi="宋体"/>
          <w:b/>
          <w:sz w:val="28"/>
        </w:rPr>
        <w:t>附件16</w:t>
      </w:r>
    </w:p>
    <w:p>
      <w:pPr>
        <w:pStyle w:val="39"/>
        <w:spacing w:line="360" w:lineRule="auto"/>
        <w:jc w:val="center"/>
        <w:rPr>
          <w:rFonts w:hAnsi="宋体"/>
          <w:b/>
          <w:sz w:val="32"/>
          <w:szCs w:val="32"/>
          <w:lang w:val="en-GB"/>
        </w:rPr>
      </w:pPr>
      <w:r>
        <w:rPr>
          <w:rFonts w:hint="eastAsia" w:hAnsi="宋体"/>
          <w:b/>
          <w:sz w:val="32"/>
          <w:szCs w:val="32"/>
        </w:rPr>
        <w:t xml:space="preserve">    配置服务人员费用报价明细表      </w:t>
      </w:r>
      <w:r>
        <w:rPr>
          <w:rFonts w:hint="eastAsia" w:hAnsi="宋体"/>
          <w:sz w:val="24"/>
        </w:rPr>
        <w:t xml:space="preserve"> </w:t>
      </w:r>
    </w:p>
    <w:p>
      <w:pPr>
        <w:pStyle w:val="56"/>
        <w:spacing w:line="360" w:lineRule="auto"/>
        <w:rPr>
          <w:rFonts w:ascii="宋体" w:hAnsi="宋体"/>
          <w:b/>
          <w:sz w:val="24"/>
        </w:rPr>
      </w:pPr>
      <w:r>
        <w:rPr>
          <w:rFonts w:hint="eastAsia" w:ascii="宋体" w:hAnsi="宋体"/>
          <w:sz w:val="24"/>
        </w:rPr>
        <w:t xml:space="preserve">投标人名称： </w:t>
      </w:r>
    </w:p>
    <w:p>
      <w:pPr>
        <w:spacing w:line="360" w:lineRule="auto"/>
        <w:rPr>
          <w:rFonts w:ascii="宋体" w:hAnsi="宋体"/>
          <w:sz w:val="24"/>
        </w:rPr>
      </w:pP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w:t>
      </w:r>
    </w:p>
    <w:p>
      <w:pPr>
        <w:pStyle w:val="56"/>
        <w:spacing w:line="360" w:lineRule="auto"/>
        <w:jc w:val="right"/>
        <w:rPr>
          <w:rFonts w:ascii="宋体" w:hAnsi="宋体"/>
          <w:sz w:val="24"/>
        </w:rPr>
      </w:pPr>
      <w:r>
        <w:rPr>
          <w:rFonts w:hint="eastAsia" w:ascii="宋体" w:hAnsi="宋体"/>
          <w:sz w:val="24"/>
        </w:rPr>
        <w:t xml:space="preserve"> [货币单位：人民币元]</w:t>
      </w:r>
    </w:p>
    <w:tbl>
      <w:tblPr>
        <w:tblStyle w:val="22"/>
        <w:tblpPr w:leftFromText="180" w:rightFromText="180" w:vertAnchor="text" w:horzAnchor="page" w:tblpX="1575" w:tblpY="31"/>
        <w:tblW w:w="92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901"/>
        <w:gridCol w:w="1110"/>
        <w:gridCol w:w="1035"/>
        <w:gridCol w:w="710"/>
        <w:gridCol w:w="850"/>
        <w:gridCol w:w="840"/>
        <w:gridCol w:w="117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75" w:type="dxa"/>
            <w:vMerge w:val="restart"/>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901" w:type="dxa"/>
            <w:vMerge w:val="restart"/>
            <w:noWrap/>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岗位名称</w:t>
            </w:r>
          </w:p>
        </w:tc>
        <w:tc>
          <w:tcPr>
            <w:tcW w:w="1110"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要求配备人数（人）</w:t>
            </w:r>
          </w:p>
        </w:tc>
        <w:tc>
          <w:tcPr>
            <w:tcW w:w="1035"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拟派驻人数（人）</w:t>
            </w:r>
          </w:p>
        </w:tc>
        <w:tc>
          <w:tcPr>
            <w:tcW w:w="2400" w:type="dxa"/>
            <w:gridSpan w:val="3"/>
            <w:tcBorders>
              <w:bottom w:val="single" w:color="auto" w:sz="4" w:space="0"/>
            </w:tcBorders>
          </w:tcPr>
          <w:p>
            <w:pPr>
              <w:widowControl/>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每人每月费用</w:t>
            </w:r>
            <w:r>
              <w:rPr>
                <w:rFonts w:hint="eastAsia" w:ascii="黑体" w:hAnsi="宋体" w:eastAsia="黑体" w:cs="黑体"/>
                <w:color w:val="000000"/>
                <w:kern w:val="0"/>
                <w:sz w:val="22"/>
                <w:szCs w:val="22"/>
              </w:rPr>
              <w:t>（元/人/月）</w:t>
            </w:r>
          </w:p>
        </w:tc>
        <w:tc>
          <w:tcPr>
            <w:tcW w:w="1170" w:type="dxa"/>
            <w:vMerge w:val="restart"/>
          </w:tcPr>
          <w:p>
            <w:pPr>
              <w:pStyle w:val="56"/>
              <w:spacing w:line="360" w:lineRule="auto"/>
              <w:jc w:val="center"/>
              <w:rPr>
                <w:rFonts w:ascii="仿宋_GB2312" w:hAnsi="宋体" w:eastAsia="仿宋_GB2312"/>
                <w:bCs/>
                <w:sz w:val="24"/>
              </w:rPr>
            </w:pPr>
            <w:r>
              <w:rPr>
                <w:rFonts w:hint="eastAsia" w:ascii="仿宋_GB2312" w:hAnsi="宋体" w:eastAsia="仿宋_GB2312"/>
                <w:bCs/>
                <w:sz w:val="24"/>
              </w:rPr>
              <w:t>每月费用</w:t>
            </w:r>
          </w:p>
          <w:p>
            <w:pPr>
              <w:widowControl/>
              <w:jc w:val="center"/>
              <w:textAlignment w:val="center"/>
              <w:rPr>
                <w:rFonts w:ascii="黑体" w:hAnsi="宋体" w:eastAsia="黑体" w:cs="黑体"/>
                <w:color w:val="000000"/>
                <w:kern w:val="0"/>
                <w:sz w:val="22"/>
                <w:szCs w:val="22"/>
              </w:rPr>
            </w:pPr>
            <w:r>
              <w:rPr>
                <w:rFonts w:hint="eastAsia" w:ascii="仿宋_GB2312" w:hAnsi="宋体" w:eastAsia="仿宋_GB2312"/>
                <w:bCs/>
                <w:sz w:val="24"/>
              </w:rPr>
              <w:t>（小计×人数）</w:t>
            </w:r>
          </w:p>
        </w:tc>
        <w:tc>
          <w:tcPr>
            <w:tcW w:w="930" w:type="dxa"/>
            <w:vMerge w:val="restart"/>
          </w:tcPr>
          <w:p>
            <w:pPr>
              <w:widowControl/>
              <w:jc w:val="center"/>
              <w:textAlignment w:val="center"/>
              <w:rPr>
                <w:rFonts w:ascii="黑体" w:hAnsi="宋体" w:eastAsia="黑体" w:cs="黑体"/>
                <w:color w:val="000000"/>
                <w:kern w:val="0"/>
                <w:sz w:val="22"/>
                <w:szCs w:val="22"/>
              </w:rPr>
            </w:pPr>
            <w:r>
              <w:rPr>
                <w:rFonts w:hint="eastAsia" w:ascii="黑体" w:hAnsi="宋体" w:eastAsia="黑体" w:cs="黑体"/>
                <w:color w:val="000000"/>
                <w:kern w:val="0"/>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trPr>
        <w:tc>
          <w:tcPr>
            <w:tcW w:w="675" w:type="dxa"/>
            <w:vMerge w:val="continue"/>
            <w:noWrap/>
            <w:vAlign w:val="center"/>
          </w:tcPr>
          <w:p>
            <w:pPr>
              <w:widowControl/>
              <w:jc w:val="center"/>
              <w:textAlignment w:val="center"/>
              <w:rPr>
                <w:rFonts w:ascii="黑体" w:hAnsi="宋体" w:eastAsia="黑体" w:cs="黑体"/>
                <w:color w:val="000000"/>
                <w:kern w:val="0"/>
                <w:sz w:val="24"/>
              </w:rPr>
            </w:pPr>
          </w:p>
        </w:tc>
        <w:tc>
          <w:tcPr>
            <w:tcW w:w="1901" w:type="dxa"/>
            <w:vMerge w:val="continue"/>
            <w:noWrap/>
            <w:vAlign w:val="center"/>
          </w:tcPr>
          <w:p>
            <w:pPr>
              <w:widowControl/>
              <w:jc w:val="center"/>
              <w:textAlignment w:val="center"/>
              <w:rPr>
                <w:rFonts w:ascii="黑体" w:hAnsi="宋体" w:eastAsia="黑体" w:cs="黑体"/>
                <w:color w:val="000000"/>
                <w:kern w:val="0"/>
                <w:sz w:val="24"/>
              </w:rPr>
            </w:pPr>
          </w:p>
        </w:tc>
        <w:tc>
          <w:tcPr>
            <w:tcW w:w="1110" w:type="dxa"/>
            <w:vMerge w:val="continue"/>
          </w:tcPr>
          <w:p>
            <w:pPr>
              <w:widowControl/>
              <w:jc w:val="center"/>
              <w:textAlignment w:val="center"/>
              <w:rPr>
                <w:rFonts w:ascii="黑体" w:hAnsi="宋体" w:eastAsia="黑体" w:cs="黑体"/>
                <w:color w:val="000000"/>
                <w:kern w:val="0"/>
                <w:sz w:val="22"/>
                <w:szCs w:val="22"/>
              </w:rPr>
            </w:pPr>
          </w:p>
        </w:tc>
        <w:tc>
          <w:tcPr>
            <w:tcW w:w="1035" w:type="dxa"/>
            <w:vMerge w:val="continue"/>
          </w:tcPr>
          <w:p>
            <w:pPr>
              <w:widowControl/>
              <w:jc w:val="center"/>
              <w:textAlignment w:val="center"/>
              <w:rPr>
                <w:rFonts w:ascii="黑体" w:hAnsi="宋体" w:eastAsia="黑体" w:cs="黑体"/>
                <w:color w:val="000000"/>
                <w:kern w:val="0"/>
                <w:sz w:val="22"/>
                <w:szCs w:val="22"/>
              </w:rPr>
            </w:pPr>
          </w:p>
        </w:tc>
        <w:tc>
          <w:tcPr>
            <w:tcW w:w="710" w:type="dxa"/>
            <w:tcBorders>
              <w:top w:val="single" w:color="auto" w:sz="4" w:space="0"/>
              <w:right w:val="single" w:color="auto" w:sz="4" w:space="0"/>
            </w:tcBorders>
            <w:vAlign w:val="center"/>
          </w:tcPr>
          <w:p>
            <w:pPr>
              <w:pStyle w:val="56"/>
              <w:spacing w:line="360" w:lineRule="auto"/>
              <w:jc w:val="center"/>
              <w:rPr>
                <w:rFonts w:ascii="仿宋_GB2312" w:hAnsi="宋体" w:eastAsia="仿宋_GB2312"/>
                <w:bCs/>
                <w:sz w:val="24"/>
              </w:rPr>
            </w:pPr>
            <w:r>
              <w:rPr>
                <w:rFonts w:hint="eastAsia" w:ascii="仿宋_GB2312" w:hAnsi="宋体" w:eastAsia="仿宋_GB2312"/>
                <w:bCs/>
                <w:sz w:val="24"/>
              </w:rPr>
              <w:t>工资</w:t>
            </w:r>
          </w:p>
        </w:tc>
        <w:tc>
          <w:tcPr>
            <w:tcW w:w="850" w:type="dxa"/>
            <w:tcBorders>
              <w:top w:val="single" w:color="auto" w:sz="4" w:space="0"/>
              <w:left w:val="single" w:color="auto" w:sz="4" w:space="0"/>
              <w:right w:val="single" w:color="auto" w:sz="4" w:space="0"/>
            </w:tcBorders>
            <w:vAlign w:val="center"/>
          </w:tcPr>
          <w:p>
            <w:pPr>
              <w:pStyle w:val="56"/>
              <w:spacing w:line="360" w:lineRule="auto"/>
              <w:jc w:val="center"/>
              <w:rPr>
                <w:rFonts w:ascii="仿宋_GB2312" w:hAnsi="宋体" w:eastAsia="仿宋_GB2312"/>
                <w:bCs/>
                <w:sz w:val="24"/>
              </w:rPr>
            </w:pPr>
            <w:r>
              <w:rPr>
                <w:rFonts w:hint="eastAsia" w:ascii="仿宋_GB2312" w:hAnsi="宋体" w:eastAsia="仿宋_GB2312"/>
                <w:bCs/>
                <w:sz w:val="24"/>
              </w:rPr>
              <w:t>社保等</w:t>
            </w:r>
          </w:p>
        </w:tc>
        <w:tc>
          <w:tcPr>
            <w:tcW w:w="840" w:type="dxa"/>
            <w:tcBorders>
              <w:top w:val="single" w:color="auto" w:sz="4" w:space="0"/>
              <w:left w:val="single" w:color="auto" w:sz="4" w:space="0"/>
            </w:tcBorders>
            <w:vAlign w:val="center"/>
          </w:tcPr>
          <w:p>
            <w:pPr>
              <w:pStyle w:val="56"/>
              <w:spacing w:line="360" w:lineRule="auto"/>
              <w:jc w:val="center"/>
              <w:rPr>
                <w:rFonts w:ascii="仿宋_GB2312" w:hAnsi="宋体" w:eastAsia="仿宋_GB2312"/>
                <w:bCs/>
                <w:sz w:val="24"/>
              </w:rPr>
            </w:pPr>
            <w:r>
              <w:rPr>
                <w:rFonts w:hint="eastAsia" w:ascii="仿宋_GB2312" w:hAnsi="宋体" w:eastAsia="仿宋_GB2312"/>
                <w:bCs/>
                <w:sz w:val="24"/>
              </w:rPr>
              <w:t>小计</w:t>
            </w:r>
          </w:p>
        </w:tc>
        <w:tc>
          <w:tcPr>
            <w:tcW w:w="1170" w:type="dxa"/>
            <w:vMerge w:val="continue"/>
          </w:tcPr>
          <w:p>
            <w:pPr>
              <w:widowControl/>
              <w:jc w:val="center"/>
              <w:textAlignment w:val="center"/>
              <w:rPr>
                <w:rFonts w:ascii="黑体" w:hAnsi="宋体" w:eastAsia="黑体" w:cs="黑体"/>
                <w:color w:val="000000"/>
                <w:kern w:val="0"/>
                <w:sz w:val="22"/>
                <w:szCs w:val="22"/>
              </w:rPr>
            </w:pPr>
          </w:p>
        </w:tc>
        <w:tc>
          <w:tcPr>
            <w:tcW w:w="930" w:type="dxa"/>
            <w:vMerge w:val="continue"/>
          </w:tcPr>
          <w:p>
            <w:pPr>
              <w:widowControl/>
              <w:jc w:val="center"/>
              <w:textAlignment w:val="center"/>
              <w:rPr>
                <w:rFonts w:ascii="黑体" w:hAnsi="宋体" w:eastAsia="黑体" w:cs="黑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 w:hRule="atLeast"/>
        </w:trPr>
        <w:tc>
          <w:tcPr>
            <w:tcW w:w="675" w:type="dxa"/>
            <w:noWrap/>
            <w:vAlign w:val="center"/>
          </w:tcPr>
          <w:p>
            <w:pPr>
              <w:widowControl/>
              <w:jc w:val="center"/>
              <w:textAlignment w:val="center"/>
              <w:rPr>
                <w:rFonts w:ascii="仿宋_GB2312" w:eastAsia="仿宋_GB2312"/>
              </w:rPr>
            </w:pPr>
            <w:r>
              <w:rPr>
                <w:rFonts w:hint="eastAsia" w:ascii="仿宋_GB2312" w:hAnsi="宋体" w:eastAsia="仿宋_GB2312" w:cs="黑体"/>
                <w:color w:val="000000"/>
                <w:kern w:val="0"/>
                <w:sz w:val="24"/>
              </w:rPr>
              <w:t>1</w:t>
            </w:r>
          </w:p>
        </w:tc>
        <w:tc>
          <w:tcPr>
            <w:tcW w:w="1901" w:type="dxa"/>
            <w:noWrap/>
            <w:vAlign w:val="center"/>
          </w:tcPr>
          <w:p>
            <w:pPr>
              <w:adjustRightInd w:val="0"/>
              <w:snapToGrid w:val="0"/>
              <w:spacing w:line="360" w:lineRule="auto"/>
              <w:ind w:firstLine="420" w:firstLineChars="200"/>
              <w:rPr>
                <w:rFonts w:ascii="仿宋_GB2312" w:hAnsi="宋体" w:eastAsia="仿宋_GB2312" w:cs="黑体"/>
                <w:color w:val="000000"/>
                <w:kern w:val="0"/>
                <w:sz w:val="24"/>
              </w:rPr>
            </w:pPr>
            <w:r>
              <w:rPr>
                <w:rFonts w:hint="eastAsia" w:ascii="宋体" w:hAnsi="宋体" w:cs="宋体"/>
                <w:color w:val="000000"/>
                <w:kern w:val="0"/>
                <w:szCs w:val="21"/>
                <w:lang w:bidi="ar"/>
              </w:rPr>
              <w:t>项目经理</w:t>
            </w:r>
          </w:p>
        </w:tc>
        <w:tc>
          <w:tcPr>
            <w:tcW w:w="1110" w:type="dxa"/>
            <w:vAlign w:val="center"/>
          </w:tcPr>
          <w:p>
            <w:pPr>
              <w:widowControl/>
              <w:spacing w:line="312" w:lineRule="auto"/>
              <w:jc w:val="center"/>
              <w:textAlignment w:val="center"/>
              <w:rPr>
                <w:rFonts w:ascii="宋体" w:hAnsi="宋体" w:cs="宋体"/>
                <w:kern w:val="0"/>
                <w:szCs w:val="21"/>
                <w:lang w:bidi="ar"/>
              </w:rPr>
            </w:pPr>
          </w:p>
        </w:tc>
        <w:tc>
          <w:tcPr>
            <w:tcW w:w="1035" w:type="dxa"/>
            <w:tcBorders>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bottom w:val="single" w:color="auto" w:sz="4" w:space="0"/>
              <w:right w:val="single" w:color="auto" w:sz="4" w:space="0"/>
            </w:tcBorders>
            <w:vAlign w:val="center"/>
          </w:tcPr>
          <w:p>
            <w:pPr>
              <w:pStyle w:val="56"/>
              <w:spacing w:line="312" w:lineRule="auto"/>
              <w:jc w:val="center"/>
              <w:rPr>
                <w:rFonts w:ascii="仿宋_GB2312" w:hAnsi="宋体" w:eastAsia="仿宋_GB2312"/>
                <w:bCs/>
                <w:sz w:val="24"/>
              </w:rPr>
            </w:pPr>
          </w:p>
        </w:tc>
        <w:tc>
          <w:tcPr>
            <w:tcW w:w="850" w:type="dxa"/>
            <w:tcBorders>
              <w:left w:val="single" w:color="auto" w:sz="4" w:space="0"/>
              <w:bottom w:val="single" w:color="auto" w:sz="4" w:space="0"/>
              <w:right w:val="single" w:color="auto" w:sz="4" w:space="0"/>
            </w:tcBorders>
            <w:vAlign w:val="center"/>
          </w:tcPr>
          <w:p>
            <w:pPr>
              <w:pStyle w:val="56"/>
              <w:spacing w:line="312" w:lineRule="auto"/>
              <w:jc w:val="center"/>
              <w:rPr>
                <w:rFonts w:ascii="仿宋_GB2312" w:hAnsi="宋体" w:eastAsia="仿宋_GB2312"/>
                <w:bCs/>
                <w:sz w:val="24"/>
              </w:rPr>
            </w:pPr>
          </w:p>
        </w:tc>
        <w:tc>
          <w:tcPr>
            <w:tcW w:w="840" w:type="dxa"/>
            <w:tcBorders>
              <w:left w:val="single" w:color="auto" w:sz="4" w:space="0"/>
              <w:bottom w:val="single" w:color="auto" w:sz="4" w:space="0"/>
            </w:tcBorders>
            <w:vAlign w:val="center"/>
          </w:tcPr>
          <w:p>
            <w:pPr>
              <w:pStyle w:val="56"/>
              <w:spacing w:line="312" w:lineRule="auto"/>
              <w:jc w:val="center"/>
              <w:rPr>
                <w:rFonts w:ascii="仿宋_GB2312" w:hAnsi="宋体" w:eastAsia="仿宋_GB2312"/>
                <w:bCs/>
                <w:sz w:val="24"/>
              </w:rPr>
            </w:pPr>
          </w:p>
        </w:tc>
        <w:tc>
          <w:tcPr>
            <w:tcW w:w="1170" w:type="dxa"/>
            <w:tcBorders>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 w:hRule="atLeast"/>
        </w:trPr>
        <w:tc>
          <w:tcPr>
            <w:tcW w:w="675" w:type="dxa"/>
            <w:noWrap/>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2</w:t>
            </w:r>
          </w:p>
        </w:tc>
        <w:tc>
          <w:tcPr>
            <w:tcW w:w="1901" w:type="dxa"/>
            <w:noWrap/>
            <w:vAlign w:val="center"/>
          </w:tcPr>
          <w:p>
            <w:pPr>
              <w:widowControl/>
              <w:jc w:val="center"/>
              <w:textAlignment w:val="center"/>
              <w:rPr>
                <w:rFonts w:ascii="仿宋_GB2312" w:hAnsi="宋体" w:eastAsia="仿宋_GB2312" w:cs="黑体"/>
                <w:color w:val="000000"/>
                <w:kern w:val="0"/>
                <w:sz w:val="24"/>
              </w:rPr>
            </w:pPr>
            <w:r>
              <w:rPr>
                <w:rFonts w:hint="eastAsia" w:ascii="宋体" w:hAnsi="宋体" w:cs="宋体"/>
                <w:color w:val="000000"/>
                <w:kern w:val="0"/>
                <w:szCs w:val="21"/>
                <w:lang w:bidi="ar"/>
              </w:rPr>
              <w:t>保洁</w:t>
            </w:r>
            <w:r>
              <w:rPr>
                <w:rFonts w:hint="eastAsia" w:ascii="宋体" w:hAnsi="宋体" w:cs="宋体"/>
                <w:kern w:val="0"/>
                <w:szCs w:val="21"/>
                <w:lang w:bidi="ar"/>
              </w:rPr>
              <w:t>人员</w:t>
            </w:r>
          </w:p>
        </w:tc>
        <w:tc>
          <w:tcPr>
            <w:tcW w:w="1110" w:type="dxa"/>
            <w:vAlign w:val="center"/>
          </w:tcPr>
          <w:p>
            <w:pPr>
              <w:widowControl/>
              <w:spacing w:line="312" w:lineRule="auto"/>
              <w:jc w:val="center"/>
              <w:textAlignment w:val="center"/>
              <w:rPr>
                <w:rFonts w:ascii="宋体" w:hAnsi="宋体" w:cs="宋体"/>
                <w:kern w:val="0"/>
                <w:szCs w:val="21"/>
                <w:lang w:bidi="ar"/>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675" w:type="dxa"/>
            <w:tcBorders>
              <w:bottom w:val="single" w:color="auto" w:sz="4" w:space="0"/>
            </w:tcBorders>
            <w:noWrap/>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3</w:t>
            </w:r>
          </w:p>
        </w:tc>
        <w:tc>
          <w:tcPr>
            <w:tcW w:w="1901" w:type="dxa"/>
            <w:tcBorders>
              <w:bottom w:val="single" w:color="auto" w:sz="4" w:space="0"/>
            </w:tcBorders>
            <w:noWrap/>
            <w:vAlign w:val="center"/>
          </w:tcPr>
          <w:p>
            <w:pPr>
              <w:widowControl/>
              <w:spacing w:line="312" w:lineRule="auto"/>
              <w:jc w:val="center"/>
              <w:textAlignment w:val="center"/>
              <w:rPr>
                <w:rFonts w:ascii="宋体" w:hAnsi="宋体" w:cs="宋体"/>
                <w:kern w:val="0"/>
                <w:szCs w:val="21"/>
                <w:lang w:bidi="ar"/>
              </w:rPr>
            </w:pPr>
            <w:r>
              <w:rPr>
                <w:rFonts w:hint="eastAsia" w:ascii="宋体" w:hAnsi="宋体" w:cs="宋体"/>
                <w:kern w:val="0"/>
                <w:szCs w:val="21"/>
                <w:lang w:bidi="ar"/>
              </w:rPr>
              <w:t>保安人员</w:t>
            </w:r>
          </w:p>
        </w:tc>
        <w:tc>
          <w:tcPr>
            <w:tcW w:w="1110" w:type="dxa"/>
            <w:tcBorders>
              <w:bottom w:val="single" w:color="auto" w:sz="4" w:space="0"/>
            </w:tcBorders>
            <w:vAlign w:val="center"/>
          </w:tcPr>
          <w:p>
            <w:pPr>
              <w:widowControl/>
              <w:spacing w:line="312" w:lineRule="auto"/>
              <w:jc w:val="center"/>
              <w:textAlignment w:val="center"/>
              <w:rPr>
                <w:rFonts w:ascii="宋体" w:hAnsi="宋体" w:cs="宋体"/>
                <w:kern w:val="0"/>
                <w:szCs w:val="21"/>
                <w:lang w:bidi="ar"/>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Borders>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675" w:type="dxa"/>
            <w:tcBorders>
              <w:top w:val="single" w:color="auto" w:sz="4" w:space="0"/>
              <w:bottom w:val="single" w:color="auto" w:sz="4" w:space="0"/>
            </w:tcBorders>
            <w:noWrap/>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4</w:t>
            </w:r>
          </w:p>
        </w:tc>
        <w:tc>
          <w:tcPr>
            <w:tcW w:w="1901" w:type="dxa"/>
            <w:tcBorders>
              <w:top w:val="single" w:color="auto" w:sz="4" w:space="0"/>
              <w:bottom w:val="single" w:color="auto" w:sz="4" w:space="0"/>
            </w:tcBorders>
            <w:noWrap/>
            <w:vAlign w:val="center"/>
          </w:tcPr>
          <w:p>
            <w:pPr>
              <w:widowControl/>
              <w:spacing w:line="312" w:lineRule="auto"/>
              <w:jc w:val="center"/>
              <w:textAlignment w:val="center"/>
              <w:rPr>
                <w:rFonts w:ascii="宋体" w:hAnsi="宋体" w:cs="宋体"/>
                <w:kern w:val="0"/>
                <w:szCs w:val="21"/>
                <w:lang w:bidi="ar"/>
              </w:rPr>
            </w:pPr>
            <w:r>
              <w:rPr>
                <w:rFonts w:hint="eastAsia" w:ascii="宋体" w:hAnsi="宋体" w:cs="宋体"/>
                <w:kern w:val="0"/>
                <w:szCs w:val="21"/>
                <w:lang w:bidi="ar"/>
              </w:rPr>
              <w:t>会务人员</w:t>
            </w:r>
          </w:p>
        </w:tc>
        <w:tc>
          <w:tcPr>
            <w:tcW w:w="1110" w:type="dxa"/>
            <w:tcBorders>
              <w:top w:val="single" w:color="auto" w:sz="4" w:space="0"/>
              <w:bottom w:val="single" w:color="auto" w:sz="4" w:space="0"/>
            </w:tcBorders>
            <w:vAlign w:val="center"/>
          </w:tcPr>
          <w:p>
            <w:pPr>
              <w:adjustRightInd w:val="0"/>
              <w:snapToGrid w:val="0"/>
              <w:jc w:val="center"/>
              <w:rPr>
                <w:rFonts w:ascii="宋体" w:hAnsi="宋体"/>
                <w:szCs w:val="21"/>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 w:hRule="atLeast"/>
        </w:trPr>
        <w:tc>
          <w:tcPr>
            <w:tcW w:w="675" w:type="dxa"/>
            <w:tcBorders>
              <w:top w:val="single" w:color="auto" w:sz="4" w:space="0"/>
              <w:bottom w:val="single" w:color="auto" w:sz="4" w:space="0"/>
            </w:tcBorders>
            <w:noWrap/>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5</w:t>
            </w:r>
          </w:p>
        </w:tc>
        <w:tc>
          <w:tcPr>
            <w:tcW w:w="1901" w:type="dxa"/>
            <w:tcBorders>
              <w:top w:val="single" w:color="auto" w:sz="4" w:space="0"/>
              <w:bottom w:val="single" w:color="auto" w:sz="4" w:space="0"/>
            </w:tcBorders>
            <w:noWrap/>
            <w:vAlign w:val="center"/>
          </w:tcPr>
          <w:p>
            <w:pPr>
              <w:widowControl/>
              <w:spacing w:line="312" w:lineRule="auto"/>
              <w:jc w:val="center"/>
              <w:textAlignment w:val="center"/>
              <w:rPr>
                <w:rFonts w:ascii="宋体" w:hAnsi="宋体" w:cs="宋体"/>
                <w:kern w:val="0"/>
                <w:szCs w:val="21"/>
                <w:lang w:bidi="ar"/>
              </w:rPr>
            </w:pPr>
            <w:r>
              <w:rPr>
                <w:rFonts w:hint="eastAsia" w:ascii="仿宋_GB2312" w:hAnsi="仿宋" w:eastAsia="仿宋_GB2312"/>
                <w:color w:val="000000" w:themeColor="text1"/>
                <w:sz w:val="30"/>
                <w:szCs w:val="30"/>
                <w14:textFill>
                  <w14:solidFill>
                    <w14:schemeClr w14:val="tx1"/>
                  </w14:solidFill>
                </w14:textFill>
              </w:rPr>
              <w:t>……</w:t>
            </w:r>
          </w:p>
        </w:tc>
        <w:tc>
          <w:tcPr>
            <w:tcW w:w="1110" w:type="dxa"/>
            <w:tcBorders>
              <w:top w:val="single" w:color="auto" w:sz="4" w:space="0"/>
              <w:bottom w:val="single" w:color="auto" w:sz="4" w:space="0"/>
            </w:tcBorders>
            <w:vAlign w:val="center"/>
          </w:tcPr>
          <w:p>
            <w:pPr>
              <w:adjustRightInd w:val="0"/>
              <w:snapToGrid w:val="0"/>
              <w:jc w:val="center"/>
              <w:rPr>
                <w:rFonts w:ascii="宋体" w:hAnsi="宋体"/>
                <w:szCs w:val="21"/>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 w:hRule="atLeast"/>
        </w:trPr>
        <w:tc>
          <w:tcPr>
            <w:tcW w:w="675" w:type="dxa"/>
            <w:tcBorders>
              <w:top w:val="single" w:color="auto" w:sz="4" w:space="0"/>
              <w:bottom w:val="single" w:color="auto" w:sz="4" w:space="0"/>
            </w:tcBorders>
            <w:noWrap/>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6</w:t>
            </w:r>
          </w:p>
        </w:tc>
        <w:tc>
          <w:tcPr>
            <w:tcW w:w="1901" w:type="dxa"/>
            <w:tcBorders>
              <w:top w:val="single" w:color="auto" w:sz="4" w:space="0"/>
              <w:bottom w:val="single" w:color="auto" w:sz="4" w:space="0"/>
            </w:tcBorders>
            <w:noWrap/>
            <w:vAlign w:val="center"/>
          </w:tcPr>
          <w:p>
            <w:pPr>
              <w:widowControl/>
              <w:spacing w:line="312" w:lineRule="auto"/>
              <w:jc w:val="center"/>
              <w:textAlignment w:val="center"/>
              <w:rPr>
                <w:rFonts w:ascii="宋体" w:hAnsi="宋体" w:cs="宋体"/>
                <w:kern w:val="0"/>
                <w:szCs w:val="21"/>
                <w:lang w:bidi="ar"/>
              </w:rPr>
            </w:pPr>
          </w:p>
        </w:tc>
        <w:tc>
          <w:tcPr>
            <w:tcW w:w="1110" w:type="dxa"/>
            <w:tcBorders>
              <w:top w:val="single" w:color="auto" w:sz="4" w:space="0"/>
              <w:bottom w:val="single" w:color="auto" w:sz="4" w:space="0"/>
            </w:tcBorders>
            <w:vAlign w:val="center"/>
          </w:tcPr>
          <w:p>
            <w:pPr>
              <w:widowControl/>
              <w:spacing w:line="312" w:lineRule="auto"/>
              <w:jc w:val="center"/>
              <w:textAlignment w:val="center"/>
              <w:rPr>
                <w:rFonts w:ascii="宋体" w:hAnsi="宋体" w:cs="宋体"/>
                <w:kern w:val="0"/>
                <w:szCs w:val="21"/>
                <w:lang w:bidi="ar"/>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 w:hRule="atLeast"/>
        </w:trPr>
        <w:tc>
          <w:tcPr>
            <w:tcW w:w="675" w:type="dxa"/>
            <w:tcBorders>
              <w:top w:val="single" w:color="auto" w:sz="4" w:space="0"/>
              <w:bottom w:val="single" w:color="auto" w:sz="4" w:space="0"/>
            </w:tcBorders>
            <w:noWrap/>
            <w:vAlign w:val="center"/>
          </w:tcPr>
          <w:p>
            <w:pPr>
              <w:widowControl/>
              <w:jc w:val="center"/>
              <w:textAlignment w:val="center"/>
              <w:rPr>
                <w:rFonts w:ascii="仿宋_GB2312" w:hAnsi="宋体" w:eastAsia="仿宋_GB2312" w:cs="黑体"/>
                <w:color w:val="000000"/>
                <w:kern w:val="0"/>
                <w:sz w:val="24"/>
              </w:rPr>
            </w:pPr>
            <w:r>
              <w:rPr>
                <w:rFonts w:hint="eastAsia" w:ascii="仿宋_GB2312" w:hAnsi="宋体" w:eastAsia="仿宋_GB2312" w:cs="黑体"/>
                <w:color w:val="000000"/>
                <w:kern w:val="0"/>
                <w:sz w:val="24"/>
              </w:rPr>
              <w:t>7</w:t>
            </w:r>
          </w:p>
        </w:tc>
        <w:tc>
          <w:tcPr>
            <w:tcW w:w="1901" w:type="dxa"/>
            <w:tcBorders>
              <w:top w:val="single" w:color="auto" w:sz="4" w:space="0"/>
              <w:bottom w:val="single" w:color="auto" w:sz="4" w:space="0"/>
            </w:tcBorders>
            <w:noWrap/>
            <w:vAlign w:val="center"/>
          </w:tcPr>
          <w:p>
            <w:pPr>
              <w:widowControl/>
              <w:spacing w:line="312" w:lineRule="auto"/>
              <w:jc w:val="center"/>
              <w:textAlignment w:val="center"/>
              <w:rPr>
                <w:rFonts w:ascii="宋体" w:hAnsi="宋体" w:cs="宋体"/>
                <w:kern w:val="0"/>
                <w:szCs w:val="21"/>
                <w:lang w:bidi="ar"/>
              </w:rPr>
            </w:pPr>
          </w:p>
        </w:tc>
        <w:tc>
          <w:tcPr>
            <w:tcW w:w="1110" w:type="dxa"/>
            <w:tcBorders>
              <w:top w:val="single" w:color="auto" w:sz="4" w:space="0"/>
              <w:bottom w:val="single" w:color="auto" w:sz="4" w:space="0"/>
            </w:tcBorders>
            <w:vAlign w:val="center"/>
          </w:tcPr>
          <w:p>
            <w:pPr>
              <w:widowControl/>
              <w:spacing w:line="312" w:lineRule="auto"/>
              <w:jc w:val="center"/>
              <w:textAlignment w:val="center"/>
              <w:rPr>
                <w:rFonts w:ascii="宋体" w:hAnsi="宋体" w:cs="宋体"/>
                <w:kern w:val="0"/>
                <w:szCs w:val="21"/>
                <w:lang w:bidi="ar"/>
              </w:rPr>
            </w:pPr>
          </w:p>
        </w:tc>
        <w:tc>
          <w:tcPr>
            <w:tcW w:w="1035"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c>
          <w:tcPr>
            <w:tcW w:w="710" w:type="dxa"/>
            <w:tcBorders>
              <w:top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840" w:type="dxa"/>
            <w:tcBorders>
              <w:top w:val="single" w:color="auto" w:sz="4" w:space="0"/>
              <w:left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1170" w:type="dxa"/>
            <w:tcBorders>
              <w:top w:val="single" w:color="auto" w:sz="4" w:space="0"/>
              <w:bottom w:val="single" w:color="auto" w:sz="4" w:space="0"/>
            </w:tcBorders>
            <w:vAlign w:val="center"/>
          </w:tcPr>
          <w:p>
            <w:pPr>
              <w:widowControl/>
              <w:spacing w:line="312" w:lineRule="auto"/>
              <w:jc w:val="center"/>
              <w:textAlignment w:val="center"/>
              <w:rPr>
                <w:rFonts w:ascii="仿宋_GB2312" w:hAnsi="宋体" w:eastAsia="仿宋_GB2312" w:cs="黑体"/>
                <w:b/>
                <w:color w:val="000000"/>
                <w:kern w:val="0"/>
                <w:sz w:val="22"/>
                <w:szCs w:val="22"/>
              </w:rPr>
            </w:pPr>
          </w:p>
        </w:tc>
        <w:tc>
          <w:tcPr>
            <w:tcW w:w="930" w:type="dxa"/>
            <w:tcBorders>
              <w:top w:val="single" w:color="auto" w:sz="4" w:space="0"/>
              <w:bottom w:val="single" w:color="auto" w:sz="4" w:space="0"/>
            </w:tcBorders>
          </w:tcPr>
          <w:p>
            <w:pPr>
              <w:widowControl/>
              <w:spacing w:line="312" w:lineRule="auto"/>
              <w:jc w:val="center"/>
              <w:textAlignment w:val="center"/>
              <w:rPr>
                <w:rFonts w:ascii="仿宋_GB2312" w:hAnsi="宋体" w:eastAsia="仿宋_GB2312" w:cs="黑体"/>
                <w:b/>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trPr>
        <w:tc>
          <w:tcPr>
            <w:tcW w:w="2576" w:type="dxa"/>
            <w:gridSpan w:val="2"/>
            <w:noWrap/>
            <w:vAlign w:val="center"/>
          </w:tcPr>
          <w:p>
            <w:pPr>
              <w:widowControl/>
              <w:spacing w:line="312" w:lineRule="auto"/>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合  计(元）</w:t>
            </w:r>
          </w:p>
        </w:tc>
        <w:tc>
          <w:tcPr>
            <w:tcW w:w="1110" w:type="dxa"/>
            <w:vAlign w:val="center"/>
          </w:tcPr>
          <w:p>
            <w:pPr>
              <w:widowControl/>
              <w:spacing w:line="312" w:lineRule="auto"/>
              <w:jc w:val="center"/>
              <w:textAlignment w:val="center"/>
              <w:rPr>
                <w:rFonts w:ascii="仿宋_GB2312" w:hAnsi="宋体" w:eastAsia="仿宋_GB2312" w:cs="宋体"/>
                <w:b/>
                <w:color w:val="000000"/>
                <w:kern w:val="0"/>
                <w:sz w:val="24"/>
              </w:rPr>
            </w:pPr>
          </w:p>
        </w:tc>
        <w:tc>
          <w:tcPr>
            <w:tcW w:w="1035" w:type="dxa"/>
          </w:tcPr>
          <w:p>
            <w:pPr>
              <w:widowControl/>
              <w:spacing w:line="312" w:lineRule="auto"/>
              <w:jc w:val="center"/>
              <w:textAlignment w:val="center"/>
              <w:rPr>
                <w:rFonts w:ascii="宋体" w:hAnsi="宋体" w:cs="宋体"/>
                <w:b/>
                <w:color w:val="000000"/>
                <w:kern w:val="0"/>
                <w:sz w:val="24"/>
              </w:rPr>
            </w:pPr>
          </w:p>
        </w:tc>
        <w:tc>
          <w:tcPr>
            <w:tcW w:w="2400" w:type="dxa"/>
            <w:gridSpan w:val="3"/>
            <w:vAlign w:val="center"/>
          </w:tcPr>
          <w:p>
            <w:pPr>
              <w:widowControl/>
              <w:spacing w:line="312" w:lineRule="auto"/>
              <w:jc w:val="center"/>
              <w:textAlignment w:val="center"/>
              <w:rPr>
                <w:rFonts w:ascii="仿宋_GB2312" w:hAnsi="宋体" w:eastAsia="仿宋_GB2312" w:cs="宋体"/>
                <w:b/>
                <w:color w:val="000000"/>
                <w:kern w:val="0"/>
                <w:sz w:val="24"/>
              </w:rPr>
            </w:pPr>
            <w:r>
              <w:rPr>
                <w:rFonts w:hint="eastAsia" w:ascii="宋体" w:hAnsi="宋体" w:cs="宋体"/>
                <w:color w:val="000000"/>
                <w:kern w:val="0"/>
                <w:sz w:val="24"/>
              </w:rPr>
              <w:t>∕</w:t>
            </w:r>
          </w:p>
        </w:tc>
        <w:tc>
          <w:tcPr>
            <w:tcW w:w="1170" w:type="dxa"/>
            <w:tcBorders>
              <w:top w:val="single" w:color="auto" w:sz="4" w:space="0"/>
            </w:tcBorders>
            <w:vAlign w:val="center"/>
          </w:tcPr>
          <w:p>
            <w:pPr>
              <w:widowControl/>
              <w:spacing w:line="312" w:lineRule="auto"/>
              <w:jc w:val="center"/>
              <w:textAlignment w:val="center"/>
              <w:rPr>
                <w:rFonts w:ascii="仿宋_GB2312" w:hAnsi="宋体" w:eastAsia="仿宋_GB2312" w:cs="宋体"/>
                <w:b/>
                <w:color w:val="000000"/>
                <w:kern w:val="0"/>
                <w:sz w:val="24"/>
              </w:rPr>
            </w:pPr>
          </w:p>
        </w:tc>
        <w:tc>
          <w:tcPr>
            <w:tcW w:w="930" w:type="dxa"/>
          </w:tcPr>
          <w:p>
            <w:pPr>
              <w:widowControl/>
              <w:spacing w:line="312" w:lineRule="auto"/>
              <w:jc w:val="center"/>
              <w:textAlignment w:val="center"/>
              <w:rPr>
                <w:rFonts w:ascii="仿宋_GB2312" w:hAnsi="宋体" w:eastAsia="仿宋_GB2312" w:cs="宋体"/>
                <w:b/>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9221" w:type="dxa"/>
            <w:gridSpan w:val="9"/>
            <w:vAlign w:val="bottom"/>
          </w:tcPr>
          <w:p>
            <w:pPr>
              <w:rPr>
                <w:color w:val="000000"/>
              </w:rPr>
            </w:pPr>
            <w:r>
              <w:rPr>
                <w:rFonts w:hint="eastAsia"/>
                <w:color w:val="000000"/>
              </w:rPr>
              <w:t>合计人民币（总价）：大写：                      小写：</w:t>
            </w:r>
          </w:p>
          <w:p>
            <w:pPr>
              <w:widowControl/>
              <w:textAlignment w:val="center"/>
              <w:rPr>
                <w:rFonts w:cs="宋体"/>
                <w:bCs/>
                <w:color w:val="000000"/>
              </w:rPr>
            </w:pPr>
            <w:r>
              <w:rPr>
                <w:rFonts w:hint="eastAsia" w:cs="宋体"/>
                <w:bCs/>
                <w:color w:val="000000"/>
              </w:rPr>
              <w:t xml:space="preserve">                                                 </w:t>
            </w:r>
          </w:p>
          <w:p>
            <w:pPr>
              <w:widowControl/>
              <w:ind w:firstLine="4410" w:firstLineChars="2100"/>
              <w:textAlignment w:val="center"/>
              <w:rPr>
                <w:rFonts w:ascii="仿宋_GB2312" w:hAnsi="宋体" w:eastAsia="仿宋_GB2312" w:cs="宋体"/>
                <w:b/>
                <w:color w:val="000000"/>
                <w:kern w:val="0"/>
                <w:sz w:val="24"/>
                <w:u w:val="single"/>
              </w:rPr>
            </w:pPr>
            <w:r>
              <w:rPr>
                <w:rFonts w:hint="eastAsia" w:cs="宋体"/>
                <w:bCs/>
                <w:color w:val="000000"/>
              </w:rPr>
              <w:t xml:space="preserve">            （商务报价小数点后保留两位小数）</w:t>
            </w:r>
          </w:p>
        </w:tc>
      </w:tr>
    </w:tbl>
    <w:p>
      <w:pPr>
        <w:pStyle w:val="57"/>
        <w:spacing w:line="360" w:lineRule="auto"/>
        <w:ind w:right="84" w:rightChars="40"/>
        <w:rPr>
          <w:rFonts w:hAnsi="宋体"/>
          <w:b/>
          <w:color w:val="000000"/>
        </w:rPr>
      </w:pPr>
    </w:p>
    <w:p>
      <w:pPr>
        <w:pStyle w:val="57"/>
        <w:spacing w:line="360" w:lineRule="auto"/>
        <w:ind w:right="84" w:rightChars="40"/>
        <w:rPr>
          <w:rFonts w:hAnsi="宋体"/>
        </w:rPr>
      </w:pPr>
      <w:r>
        <w:rPr>
          <w:rFonts w:hint="eastAsia" w:hAnsi="宋体"/>
          <w:b/>
          <w:color w:val="000000"/>
        </w:rPr>
        <w:t>附注</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1.此表为配置服务人员费用的报价明细表，投标人可视人员配置情况补充分项内容。</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1"/>
        <w:rPr>
          <w:rFonts w:ascii="宋体" w:hAnsi="宋体"/>
          <w:szCs w:val="21"/>
        </w:rPr>
      </w:pPr>
      <w:r>
        <w:rPr>
          <w:rFonts w:hint="eastAsia" w:ascii="宋体" w:hAnsi="宋体"/>
          <w:szCs w:val="21"/>
        </w:rPr>
        <w:t xml:space="preserve">2. </w:t>
      </w:r>
      <w:r>
        <w:rPr>
          <w:rFonts w:hint="eastAsia" w:ascii="宋体" w:hAnsi="宋体"/>
          <w:bCs/>
          <w:szCs w:val="21"/>
        </w:rPr>
        <w:t>合计</w:t>
      </w:r>
      <w:r>
        <w:rPr>
          <w:rFonts w:hint="eastAsia" w:ascii="宋体" w:hAnsi="宋体"/>
          <w:szCs w:val="21"/>
        </w:rPr>
        <w:t>价应与附件15《报价明细表》中的人员费用的每月报价相符。</w:t>
      </w:r>
    </w:p>
    <w:p>
      <w:pPr>
        <w:pStyle w:val="56"/>
        <w:tabs>
          <w:tab w:val="left" w:pos="255"/>
          <w:tab w:val="left" w:pos="2030"/>
          <w:tab w:val="left" w:pos="3130"/>
          <w:tab w:val="left" w:pos="4730"/>
          <w:tab w:val="left" w:pos="6430"/>
          <w:tab w:val="left" w:pos="8130"/>
          <w:tab w:val="left" w:pos="9030"/>
          <w:tab w:val="left" w:pos="9530"/>
        </w:tabs>
        <w:autoSpaceDE w:val="0"/>
        <w:autoSpaceDN w:val="0"/>
        <w:adjustRightInd w:val="0"/>
        <w:spacing w:line="360" w:lineRule="auto"/>
        <w:ind w:left="315" w:hanging="315" w:hangingChars="150"/>
        <w:rPr>
          <w:rFonts w:ascii="宋体" w:hAnsi="宋体"/>
          <w:szCs w:val="21"/>
        </w:rPr>
      </w:pPr>
      <w:r>
        <w:rPr>
          <w:rFonts w:hint="eastAsia" w:ascii="宋体" w:hAnsi="宋体"/>
          <w:szCs w:val="21"/>
        </w:rPr>
        <w:t>3. 每人每月工资不得低于台州市企业职工最低工资标准。</w:t>
      </w:r>
    </w:p>
    <w:p>
      <w:pPr>
        <w:pStyle w:val="39"/>
        <w:tabs>
          <w:tab w:val="left" w:pos="0"/>
        </w:tabs>
        <w:spacing w:line="360" w:lineRule="auto"/>
        <w:rPr>
          <w:rFonts w:hAnsi="宋体"/>
          <w:sz w:val="24"/>
        </w:rPr>
      </w:pPr>
      <w:r>
        <w:rPr>
          <w:rFonts w:hint="eastAsia" w:hAnsi="宋体"/>
        </w:rPr>
        <w:t>4. 社保等费用指企业按国家规定必须为服务人员支付的社会保险费用及其他应付费用。</w:t>
      </w:r>
    </w:p>
    <w:p>
      <w:pPr>
        <w:rPr>
          <w:rFonts w:ascii="宋体" w:hAnsi="宋体"/>
          <w:sz w:val="24"/>
        </w:rPr>
      </w:pPr>
    </w:p>
    <w:p>
      <w:pPr>
        <w:rPr>
          <w:rFonts w:ascii="宋体" w:hAnsi="宋体"/>
          <w:sz w:val="24"/>
          <w:u w:val="single"/>
        </w:rPr>
      </w:pPr>
      <w:r>
        <w:rPr>
          <w:rFonts w:hint="eastAsia" w:ascii="宋体" w:hAnsi="宋体"/>
          <w:sz w:val="24"/>
        </w:rPr>
        <w:t>投标人名称（公章）：</w:t>
      </w:r>
      <w:r>
        <w:rPr>
          <w:rFonts w:hint="eastAsia" w:ascii="宋体" w:hAnsi="宋体"/>
          <w:sz w:val="24"/>
          <w:u w:val="single"/>
        </w:rPr>
        <w:t xml:space="preserve">                      </w:t>
      </w:r>
    </w:p>
    <w:p>
      <w:pPr>
        <w:ind w:left="420"/>
        <w:rPr>
          <w:rFonts w:ascii="宋体" w:hAnsi="宋体"/>
          <w:sz w:val="24"/>
        </w:rPr>
      </w:pPr>
    </w:p>
    <w:p>
      <w:pPr>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rPr>
          <w:rFonts w:ascii="宋体" w:hAnsi="宋体"/>
          <w:sz w:val="24"/>
        </w:rPr>
      </w:pPr>
    </w:p>
    <w:p>
      <w:pPr>
        <w:rPr>
          <w:rFonts w:ascii="宋体" w:hAnsi="宋体"/>
          <w:sz w:val="24"/>
        </w:rPr>
      </w:pPr>
      <w:r>
        <w:rPr>
          <w:rFonts w:hint="eastAsia" w:ascii="宋体" w:hAnsi="宋体"/>
          <w:sz w:val="24"/>
        </w:rPr>
        <w:t>职        务：</w:t>
      </w:r>
      <w:r>
        <w:rPr>
          <w:rFonts w:hint="eastAsia" w:ascii="宋体" w:hAnsi="宋体"/>
          <w:sz w:val="24"/>
          <w:u w:val="single"/>
        </w:rPr>
        <w:t xml:space="preserve">                           </w:t>
      </w:r>
    </w:p>
    <w:p>
      <w:pPr>
        <w:rPr>
          <w:rFonts w:ascii="宋体" w:hAnsi="宋体"/>
          <w:sz w:val="24"/>
        </w:rPr>
      </w:pPr>
    </w:p>
    <w:p>
      <w:pPr>
        <w:rPr>
          <w:rFonts w:ascii="宋体" w:hAnsi="宋体"/>
          <w:b/>
          <w:color w:val="000000"/>
          <w:sz w:val="28"/>
        </w:rPr>
      </w:pPr>
      <w:r>
        <w:rPr>
          <w:rFonts w:hint="eastAsia" w:ascii="宋体" w:hAnsi="宋体"/>
          <w:sz w:val="24"/>
        </w:rPr>
        <w:t>日        期：</w:t>
      </w:r>
      <w:r>
        <w:rPr>
          <w:rFonts w:hint="eastAsia" w:ascii="宋体" w:hAnsi="宋体"/>
          <w:sz w:val="24"/>
          <w:u w:val="single"/>
        </w:rPr>
        <w:t xml:space="preserve">                            </w:t>
      </w:r>
    </w:p>
    <w:p>
      <w:pPr>
        <w:spacing w:line="320" w:lineRule="exact"/>
        <w:ind w:firstLine="435"/>
        <w:rPr>
          <w:rFonts w:ascii="宋体" w:hAnsi="宋体"/>
          <w:b/>
          <w:color w:val="000000"/>
          <w:sz w:val="28"/>
        </w:rPr>
      </w:pPr>
    </w:p>
    <w:p>
      <w:pPr>
        <w:spacing w:line="320" w:lineRule="exact"/>
        <w:ind w:firstLine="435"/>
        <w:rPr>
          <w:rFonts w:ascii="宋体" w:hAnsi="宋体"/>
          <w:b/>
          <w:color w:val="000000"/>
          <w:sz w:val="28"/>
        </w:rPr>
      </w:pPr>
      <w:r>
        <w:rPr>
          <w:rFonts w:hint="eastAsia" w:ascii="宋体" w:hAnsi="宋体"/>
          <w:b/>
          <w:color w:val="000000"/>
          <w:sz w:val="28"/>
        </w:rPr>
        <w:t>附件17</w:t>
      </w:r>
    </w:p>
    <w:p>
      <w:pPr>
        <w:snapToGrid w:val="0"/>
        <w:spacing w:before="50" w:after="120" w:afterLines="50"/>
        <w:jc w:val="center"/>
        <w:rPr>
          <w:b/>
          <w:kern w:val="0"/>
          <w:sz w:val="28"/>
          <w:szCs w:val="28"/>
        </w:rPr>
      </w:pPr>
      <w:r>
        <w:rPr>
          <w:rFonts w:hint="eastAsia"/>
          <w:b/>
          <w:kern w:val="0"/>
          <w:sz w:val="28"/>
          <w:szCs w:val="28"/>
        </w:rPr>
        <w:t>设备机械、器材、工具物资配备清单</w:t>
      </w:r>
    </w:p>
    <w:p>
      <w:pPr>
        <w:spacing w:line="360" w:lineRule="atLeast"/>
        <w:ind w:left="480"/>
        <w:jc w:val="center"/>
        <w:rPr>
          <w:rFonts w:ascii="宋体" w:hAnsi="宋体"/>
          <w:b/>
          <w:color w:val="000000"/>
          <w:sz w:val="32"/>
          <w:szCs w:val="32"/>
        </w:rPr>
      </w:pPr>
      <w:r>
        <w:rPr>
          <w:rFonts w:hint="eastAsia" w:ascii="宋体" w:hAnsi="宋体"/>
          <w:b/>
          <w:color w:val="000000"/>
          <w:sz w:val="32"/>
          <w:szCs w:val="32"/>
        </w:rPr>
        <w:t xml:space="preserve"> (标项   )</w:t>
      </w:r>
      <w:r>
        <w:rPr>
          <w:rFonts w:hint="eastAsia" w:ascii="宋体" w:hAnsi="宋体"/>
          <w:color w:val="000000"/>
          <w:sz w:val="24"/>
        </w:rPr>
        <w:t xml:space="preserve">                  </w:t>
      </w:r>
    </w:p>
    <w:p>
      <w:pPr>
        <w:jc w:val="center"/>
        <w:rPr>
          <w:rFonts w:ascii="宋体" w:hAnsi="宋体"/>
          <w:color w:val="000000"/>
        </w:rPr>
      </w:pPr>
      <w:r>
        <w:rPr>
          <w:rFonts w:hint="eastAsia" w:ascii="宋体" w:hAnsi="宋体"/>
          <w:color w:val="000000"/>
          <w:sz w:val="24"/>
        </w:rPr>
        <w:t xml:space="preserve">                                                                                       </w:t>
      </w:r>
    </w:p>
    <w:p>
      <w:pPr>
        <w:spacing w:line="320" w:lineRule="exact"/>
        <w:rPr>
          <w:rFonts w:ascii="宋体" w:hAnsi="宋体"/>
          <w:color w:val="000000"/>
          <w:sz w:val="24"/>
        </w:rPr>
      </w:pPr>
      <w:r>
        <w:rPr>
          <w:rFonts w:hint="eastAsia" w:ascii="宋体" w:hAnsi="宋体"/>
          <w:color w:val="000000"/>
          <w:sz w:val="24"/>
        </w:rPr>
        <w:t xml:space="preserve">  项目编号：</w:t>
      </w:r>
      <w:r>
        <w:rPr>
          <w:rFonts w:hint="eastAsia" w:ascii="宋体" w:hAnsi="宋体"/>
          <w:color w:val="000000"/>
          <w:sz w:val="24"/>
          <w:u w:val="single"/>
        </w:rPr>
        <w:t xml:space="preserve">             </w:t>
      </w:r>
    </w:p>
    <w:p>
      <w:pPr>
        <w:spacing w:line="320" w:lineRule="exact"/>
        <w:ind w:left="420"/>
        <w:rPr>
          <w:rFonts w:ascii="宋体" w:hAnsi="宋体"/>
          <w:color w:val="000000"/>
          <w:sz w:val="24"/>
        </w:rPr>
      </w:pPr>
    </w:p>
    <w:tbl>
      <w:tblPr>
        <w:tblStyle w:val="2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65"/>
        <w:gridCol w:w="912"/>
        <w:gridCol w:w="1701"/>
        <w:gridCol w:w="1134"/>
        <w:gridCol w:w="9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1965"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91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701"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1134"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993"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c>
          <w:tcPr>
            <w:tcW w:w="1417" w:type="dxa"/>
            <w:vAlign w:val="center"/>
          </w:tcPr>
          <w:p>
            <w:pPr>
              <w:spacing w:line="360" w:lineRule="auto"/>
              <w:ind w:left="52"/>
              <w:jc w:val="center"/>
              <w:rPr>
                <w:rFonts w:ascii="宋体" w:hAnsi="宋体"/>
                <w:b/>
                <w:color w:val="000000"/>
                <w:sz w:val="24"/>
              </w:rPr>
            </w:pPr>
            <w:r>
              <w:rPr>
                <w:rFonts w:hint="eastAsia" w:ascii="宋体" w:hAnsi="宋体"/>
                <w:b/>
                <w:color w:val="000000"/>
                <w:sz w:val="24"/>
              </w:rPr>
              <w:t>技术指标和参数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0" w:hRule="atLeast"/>
        </w:trPr>
        <w:tc>
          <w:tcPr>
            <w:tcW w:w="525" w:type="dxa"/>
            <w:vAlign w:val="center"/>
          </w:tcPr>
          <w:p>
            <w:pPr>
              <w:spacing w:line="360" w:lineRule="auto"/>
              <w:rPr>
                <w:rFonts w:ascii="宋体" w:hAnsi="宋体"/>
                <w:color w:val="000000"/>
                <w:sz w:val="24"/>
              </w:rPr>
            </w:pPr>
          </w:p>
        </w:tc>
        <w:tc>
          <w:tcPr>
            <w:tcW w:w="1965" w:type="dxa"/>
            <w:vAlign w:val="center"/>
          </w:tcPr>
          <w:p>
            <w:pPr>
              <w:spacing w:line="360" w:lineRule="auto"/>
              <w:rPr>
                <w:rFonts w:ascii="宋体" w:hAnsi="宋体"/>
                <w:color w:val="000000"/>
                <w:sz w:val="24"/>
              </w:rPr>
            </w:pPr>
          </w:p>
        </w:tc>
        <w:tc>
          <w:tcPr>
            <w:tcW w:w="912" w:type="dxa"/>
            <w:vAlign w:val="center"/>
          </w:tcPr>
          <w:p>
            <w:pPr>
              <w:spacing w:line="360" w:lineRule="auto"/>
              <w:rPr>
                <w:rFonts w:ascii="宋体" w:hAnsi="宋体"/>
                <w:color w:val="000000"/>
                <w:sz w:val="24"/>
              </w:rPr>
            </w:pPr>
          </w:p>
        </w:tc>
        <w:tc>
          <w:tcPr>
            <w:tcW w:w="1701"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417" w:type="dxa"/>
            <w:vAlign w:val="center"/>
          </w:tcPr>
          <w:p>
            <w:pPr>
              <w:spacing w:line="360" w:lineRule="auto"/>
              <w:rPr>
                <w:rFonts w:ascii="宋体" w:hAnsi="宋体"/>
                <w:color w:val="000000"/>
                <w:sz w:val="24"/>
              </w:rPr>
            </w:pPr>
          </w:p>
        </w:tc>
      </w:tr>
    </w:tbl>
    <w:p>
      <w:pPr>
        <w:spacing w:line="320" w:lineRule="exact"/>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20" w:lineRule="exact"/>
        <w:ind w:left="420"/>
        <w:rPr>
          <w:rFonts w:ascii="宋体" w:hAnsi="宋体"/>
          <w:color w:val="000000"/>
          <w:sz w:val="24"/>
        </w:rPr>
      </w:pPr>
    </w:p>
    <w:p>
      <w:pPr>
        <w:spacing w:line="320" w:lineRule="exact"/>
        <w:ind w:left="420"/>
        <w:rPr>
          <w:rFonts w:ascii="宋体" w:hAnsi="宋体"/>
          <w:color w:val="000000"/>
          <w:sz w:val="24"/>
        </w:rPr>
      </w:pPr>
    </w:p>
    <w:p>
      <w:pPr>
        <w:spacing w:line="320" w:lineRule="exact"/>
        <w:ind w:left="420" w:firstLine="571" w:firstLineChars="238"/>
        <w:rPr>
          <w:rFonts w:ascii="宋体" w:hAnsi="宋体"/>
          <w:color w:val="000000"/>
          <w:sz w:val="24"/>
          <w:u w:val="single"/>
        </w:rPr>
      </w:pPr>
      <w:r>
        <w:rPr>
          <w:rFonts w:hint="eastAsia" w:ascii="宋体" w:hAnsi="宋体"/>
          <w:color w:val="000000"/>
          <w:sz w:val="24"/>
        </w:rPr>
        <w:t>投标人名称（公章）：</w:t>
      </w:r>
      <w:r>
        <w:rPr>
          <w:rFonts w:hint="eastAsia" w:ascii="宋体" w:hAnsi="宋体"/>
          <w:color w:val="000000"/>
          <w:sz w:val="24"/>
          <w:u w:val="single"/>
        </w:rPr>
        <w:t xml:space="preserve">                     </w:t>
      </w:r>
    </w:p>
    <w:p>
      <w:pPr>
        <w:spacing w:line="320" w:lineRule="exact"/>
        <w:ind w:left="420"/>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ascii="宋体" w:hAnsi="宋体"/>
          <w:color w:val="000000"/>
          <w:sz w:val="24"/>
        </w:rPr>
      </w:pPr>
    </w:p>
    <w:p>
      <w:pPr>
        <w:spacing w:line="320" w:lineRule="exact"/>
        <w:ind w:firstLine="993"/>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20" w:lineRule="exact"/>
        <w:ind w:firstLine="435"/>
        <w:rPr>
          <w:rFonts w:ascii="宋体" w:hAnsi="宋体"/>
          <w:b/>
          <w:color w:val="000000"/>
          <w:sz w:val="28"/>
        </w:rPr>
      </w:pPr>
    </w:p>
    <w:p>
      <w:pPr>
        <w:pStyle w:val="2"/>
        <w:rPr>
          <w:rFonts w:ascii="宋体" w:hAnsi="宋体"/>
          <w:b/>
          <w:color w:val="000000"/>
          <w:sz w:val="28"/>
        </w:rPr>
      </w:pPr>
    </w:p>
    <w:p/>
    <w:p>
      <w:pPr>
        <w:pStyle w:val="2"/>
      </w:pPr>
    </w:p>
    <w:p/>
    <w:p>
      <w:pPr>
        <w:pStyle w:val="2"/>
      </w:pPr>
    </w:p>
    <w:p/>
    <w:p>
      <w:pPr>
        <w:pStyle w:val="2"/>
      </w:pPr>
    </w:p>
    <w:p>
      <w:pPr>
        <w:snapToGrid w:val="0"/>
        <w:spacing w:before="120" w:beforeLines="50" w:after="50" w:line="360" w:lineRule="auto"/>
        <w:rPr>
          <w:rFonts w:ascii="宋体" w:hAnsi="宋体"/>
          <w:b/>
          <w:color w:val="000000" w:themeColor="text1"/>
          <w:sz w:val="28"/>
          <w14:textFill>
            <w14:solidFill>
              <w14:schemeClr w14:val="tx1"/>
            </w14:solidFill>
          </w14:textFill>
        </w:rPr>
      </w:pPr>
      <w:r>
        <w:rPr>
          <w:rFonts w:hint="eastAsia" w:ascii="宋体" w:hAnsi="宋体"/>
          <w:b/>
          <w:sz w:val="28"/>
        </w:rPr>
        <w:t>附件18</w:t>
      </w:r>
    </w:p>
    <w:p>
      <w:pPr>
        <w:pStyle w:val="7"/>
        <w:snapToGrid w:val="0"/>
        <w:ind w:firstLine="2889" w:firstLineChars="800"/>
        <w:rPr>
          <w:color w:val="FF0000"/>
          <w:sz w:val="28"/>
          <w:szCs w:val="28"/>
        </w:rPr>
      </w:pPr>
      <w:r>
        <w:rPr>
          <w:rFonts w:hint="eastAsia"/>
          <w:b/>
          <w:spacing w:val="40"/>
          <w:kern w:val="0"/>
          <w:sz w:val="28"/>
          <w:szCs w:val="28"/>
        </w:rPr>
        <w:t>耗材配备表</w:t>
      </w:r>
      <w:r>
        <w:rPr>
          <w:rFonts w:hint="eastAsia"/>
          <w:spacing w:val="40"/>
          <w:kern w:val="0"/>
          <w:sz w:val="28"/>
          <w:szCs w:val="28"/>
        </w:rPr>
        <w:t xml:space="preserve">   </w:t>
      </w:r>
    </w:p>
    <w:p>
      <w:pPr>
        <w:snapToGrid w:val="0"/>
        <w:spacing w:before="50" w:after="120" w:afterLines="50"/>
        <w:jc w:val="center"/>
        <w:rPr>
          <w:spacing w:val="40"/>
          <w:kern w:val="0"/>
        </w:rPr>
      </w:pPr>
    </w:p>
    <w:p>
      <w:pPr>
        <w:snapToGrid w:val="0"/>
        <w:spacing w:before="50" w:after="120" w:afterLines="50"/>
        <w:jc w:val="center"/>
        <w:rPr>
          <w:spacing w:val="40"/>
          <w:kern w:val="0"/>
        </w:rPr>
      </w:pPr>
      <w:r>
        <w:rPr>
          <w:rFonts w:hint="eastAsia"/>
          <w:spacing w:val="40"/>
          <w:kern w:val="0"/>
        </w:rPr>
        <w:t>（</w:t>
      </w:r>
      <w:r>
        <w:rPr>
          <w:spacing w:val="40"/>
          <w:kern w:val="0"/>
        </w:rPr>
        <w:t>低值易耗品、一次性用品、清洁材料</w:t>
      </w:r>
      <w:r>
        <w:rPr>
          <w:rFonts w:hint="eastAsia"/>
          <w:spacing w:val="40"/>
          <w:kern w:val="0"/>
        </w:rPr>
        <w:t>等）</w:t>
      </w:r>
    </w:p>
    <w:p>
      <w:pPr>
        <w:snapToGrid w:val="0"/>
        <w:spacing w:before="50" w:after="120" w:afterLines="50"/>
        <w:jc w:val="center"/>
        <w:rPr>
          <w:spacing w:val="40"/>
          <w:kern w:val="0"/>
        </w:rPr>
      </w:pPr>
    </w:p>
    <w:p>
      <w:pPr>
        <w:pStyle w:val="7"/>
        <w:snapToGrid w:val="0"/>
        <w:rPr>
          <w:rFonts w:ascii="宋体" w:hAnsi="宋体" w:eastAsia="宋体"/>
          <w:sz w:val="24"/>
          <w:szCs w:val="24"/>
          <w:u w:val="single"/>
        </w:rPr>
      </w:pPr>
      <w:r>
        <w:rPr>
          <w:rFonts w:hint="eastAsia" w:ascii="宋体" w:hAnsi="宋体" w:eastAsia="宋体"/>
          <w:sz w:val="24"/>
          <w:szCs w:val="24"/>
        </w:rPr>
        <w:t xml:space="preserve">       </w:t>
      </w:r>
    </w:p>
    <w:tbl>
      <w:tblPr>
        <w:tblStyle w:val="22"/>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443"/>
        <w:gridCol w:w="2717"/>
        <w:gridCol w:w="956"/>
        <w:gridCol w:w="1260"/>
        <w:gridCol w:w="153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vAlign w:val="center"/>
          </w:tcPr>
          <w:p>
            <w:pPr>
              <w:adjustRightInd w:val="0"/>
              <w:snapToGrid w:val="0"/>
              <w:spacing w:line="400" w:lineRule="atLeast"/>
              <w:jc w:val="center"/>
              <w:rPr>
                <w:rFonts w:cs="Arial"/>
              </w:rPr>
            </w:pPr>
            <w:r>
              <w:rPr>
                <w:rFonts w:hint="eastAsia" w:cs="Arial"/>
              </w:rPr>
              <w:t>序号</w:t>
            </w:r>
          </w:p>
        </w:tc>
        <w:tc>
          <w:tcPr>
            <w:tcW w:w="1443" w:type="dxa"/>
            <w:vAlign w:val="center"/>
          </w:tcPr>
          <w:p>
            <w:pPr>
              <w:adjustRightInd w:val="0"/>
              <w:snapToGrid w:val="0"/>
              <w:spacing w:line="400" w:lineRule="atLeast"/>
              <w:jc w:val="center"/>
              <w:rPr>
                <w:rFonts w:cs="Arial"/>
              </w:rPr>
            </w:pPr>
            <w:r>
              <w:rPr>
                <w:rFonts w:hint="eastAsia" w:cs="Arial"/>
              </w:rPr>
              <w:t>名称</w:t>
            </w:r>
          </w:p>
        </w:tc>
        <w:tc>
          <w:tcPr>
            <w:tcW w:w="2717" w:type="dxa"/>
            <w:vAlign w:val="center"/>
          </w:tcPr>
          <w:p>
            <w:pPr>
              <w:adjustRightInd w:val="0"/>
              <w:snapToGrid w:val="0"/>
              <w:spacing w:line="400" w:lineRule="atLeast"/>
              <w:jc w:val="center"/>
              <w:rPr>
                <w:rFonts w:cs="Arial"/>
              </w:rPr>
            </w:pPr>
            <w:r>
              <w:rPr>
                <w:rFonts w:hint="eastAsia" w:cs="Arial"/>
              </w:rPr>
              <w:t>品牌、规格</w:t>
            </w:r>
          </w:p>
        </w:tc>
        <w:tc>
          <w:tcPr>
            <w:tcW w:w="956" w:type="dxa"/>
            <w:vAlign w:val="center"/>
          </w:tcPr>
          <w:p>
            <w:pPr>
              <w:adjustRightInd w:val="0"/>
              <w:snapToGrid w:val="0"/>
              <w:spacing w:line="400" w:lineRule="atLeast"/>
              <w:jc w:val="center"/>
              <w:rPr>
                <w:rFonts w:cs="Arial"/>
              </w:rPr>
            </w:pPr>
            <w:r>
              <w:rPr>
                <w:rFonts w:hint="eastAsia" w:cs="Arial"/>
              </w:rPr>
              <w:t>产地</w:t>
            </w:r>
          </w:p>
        </w:tc>
        <w:tc>
          <w:tcPr>
            <w:tcW w:w="1260" w:type="dxa"/>
            <w:vAlign w:val="center"/>
          </w:tcPr>
          <w:p>
            <w:pPr>
              <w:adjustRightInd w:val="0"/>
              <w:snapToGrid w:val="0"/>
              <w:spacing w:line="400" w:lineRule="atLeast"/>
              <w:jc w:val="center"/>
              <w:rPr>
                <w:rFonts w:cs="Arial"/>
              </w:rPr>
            </w:pPr>
            <w:r>
              <w:rPr>
                <w:rFonts w:hint="eastAsia" w:cs="Arial"/>
              </w:rPr>
              <w:t>数量</w:t>
            </w:r>
          </w:p>
        </w:tc>
        <w:tc>
          <w:tcPr>
            <w:tcW w:w="153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（月/元）</w:t>
            </w:r>
          </w:p>
        </w:tc>
        <w:tc>
          <w:tcPr>
            <w:tcW w:w="1543" w:type="dxa"/>
            <w:vAlign w:val="center"/>
          </w:tcPr>
          <w:p>
            <w:pPr>
              <w:adjustRightInd w:val="0"/>
              <w:snapToGrid w:val="0"/>
              <w:spacing w:line="400" w:lineRule="atLeast"/>
              <w:jc w:val="center"/>
              <w:rPr>
                <w:rFonts w:cs="Arial"/>
              </w:rPr>
            </w:pPr>
            <w:r>
              <w:rPr>
                <w:rFonts w:cs="Arial"/>
              </w:rPr>
              <w:t>估算</w:t>
            </w:r>
            <w:r>
              <w:rPr>
                <w:rFonts w:hint="eastAsia" w:cs="Arial"/>
              </w:rPr>
              <w:t>价格</w:t>
            </w:r>
            <w:r>
              <w:rPr>
                <w:rFonts w:cs="Arial"/>
              </w:rPr>
              <w:t>（年/元）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41" w:type="dxa"/>
          </w:tcPr>
          <w:p>
            <w:pPr>
              <w:adjustRightInd w:val="0"/>
              <w:snapToGrid w:val="0"/>
              <w:spacing w:line="400" w:lineRule="atLeast"/>
              <w:jc w:val="center"/>
              <w:rPr>
                <w:rFonts w:cs="Arial"/>
              </w:rPr>
            </w:pPr>
          </w:p>
        </w:tc>
        <w:tc>
          <w:tcPr>
            <w:tcW w:w="1443" w:type="dxa"/>
          </w:tcPr>
          <w:p>
            <w:pPr>
              <w:adjustRightInd w:val="0"/>
              <w:snapToGrid w:val="0"/>
              <w:spacing w:line="400" w:lineRule="atLeast"/>
              <w:jc w:val="center"/>
              <w:rPr>
                <w:rFonts w:cs="Arial"/>
              </w:rPr>
            </w:pPr>
          </w:p>
        </w:tc>
        <w:tc>
          <w:tcPr>
            <w:tcW w:w="2717" w:type="dxa"/>
          </w:tcPr>
          <w:p>
            <w:pPr>
              <w:adjustRightInd w:val="0"/>
              <w:snapToGrid w:val="0"/>
              <w:spacing w:line="400" w:lineRule="atLeast"/>
              <w:jc w:val="center"/>
              <w:rPr>
                <w:rFonts w:cs="Arial"/>
              </w:rPr>
            </w:pPr>
          </w:p>
        </w:tc>
        <w:tc>
          <w:tcPr>
            <w:tcW w:w="956" w:type="dxa"/>
          </w:tcPr>
          <w:p>
            <w:pPr>
              <w:adjustRightInd w:val="0"/>
              <w:snapToGrid w:val="0"/>
              <w:spacing w:line="400" w:lineRule="atLeast"/>
              <w:jc w:val="center"/>
              <w:rPr>
                <w:rFonts w:cs="Arial"/>
              </w:rPr>
            </w:pPr>
          </w:p>
        </w:tc>
        <w:tc>
          <w:tcPr>
            <w:tcW w:w="1260" w:type="dxa"/>
          </w:tcPr>
          <w:p>
            <w:pPr>
              <w:adjustRightInd w:val="0"/>
              <w:snapToGrid w:val="0"/>
              <w:spacing w:line="400" w:lineRule="atLeast"/>
              <w:jc w:val="center"/>
              <w:rPr>
                <w:rFonts w:cs="Arial"/>
              </w:rPr>
            </w:pPr>
          </w:p>
        </w:tc>
        <w:tc>
          <w:tcPr>
            <w:tcW w:w="1533" w:type="dxa"/>
          </w:tcPr>
          <w:p>
            <w:pPr>
              <w:adjustRightInd w:val="0"/>
              <w:snapToGrid w:val="0"/>
              <w:spacing w:line="400" w:lineRule="atLeast"/>
              <w:jc w:val="center"/>
              <w:rPr>
                <w:rFonts w:cs="Arial"/>
              </w:rPr>
            </w:pPr>
          </w:p>
        </w:tc>
        <w:tc>
          <w:tcPr>
            <w:tcW w:w="1543" w:type="dxa"/>
          </w:tcPr>
          <w:p>
            <w:pPr>
              <w:adjustRightInd w:val="0"/>
              <w:snapToGrid w:val="0"/>
              <w:spacing w:line="400" w:lineRule="atLeast"/>
              <w:jc w:val="center"/>
              <w:rPr>
                <w:rFonts w:cs="Arial"/>
              </w:rPr>
            </w:pPr>
          </w:p>
        </w:tc>
      </w:tr>
    </w:tbl>
    <w:p>
      <w:pPr>
        <w:snapToGrid w:val="0"/>
        <w:spacing w:before="50" w:after="50"/>
        <w:rPr>
          <w:spacing w:val="20"/>
        </w:rPr>
      </w:pPr>
    </w:p>
    <w:p>
      <w:pPr>
        <w:pStyle w:val="2"/>
        <w:rPr>
          <w:spacing w:val="20"/>
        </w:rPr>
      </w:pPr>
    </w:p>
    <w:p>
      <w:pPr>
        <w:pStyle w:val="2"/>
        <w:rPr>
          <w:spacing w:val="20"/>
        </w:rPr>
      </w:pPr>
    </w:p>
    <w:p>
      <w:pPr>
        <w:spacing w:line="360" w:lineRule="auto"/>
        <w:ind w:left="420"/>
        <w:rPr>
          <w:u w:val="single"/>
        </w:rPr>
      </w:pPr>
      <w:r>
        <w:rPr>
          <w:rFonts w:hint="eastAsia"/>
        </w:rPr>
        <w:t>投标人名称（盖章）：</w:t>
      </w:r>
      <w:r>
        <w:rPr>
          <w:rFonts w:hint="eastAsia"/>
          <w:u w:val="single"/>
        </w:rPr>
        <w:t xml:space="preserve">                      </w:t>
      </w:r>
    </w:p>
    <w:p>
      <w:pPr>
        <w:spacing w:line="360" w:lineRule="auto"/>
        <w:ind w:left="420"/>
      </w:pPr>
      <w:r>
        <w:rPr>
          <w:rFonts w:hint="eastAsia"/>
        </w:rPr>
        <w:t xml:space="preserve"> </w:t>
      </w:r>
    </w:p>
    <w:p>
      <w:pPr>
        <w:spacing w:line="360" w:lineRule="auto"/>
        <w:ind w:firstLine="435"/>
      </w:pPr>
      <w:r>
        <w:rPr>
          <w:rFonts w:hint="eastAsia"/>
        </w:rPr>
        <w:t>投标人代表签字：</w:t>
      </w:r>
      <w:r>
        <w:rPr>
          <w:rFonts w:hint="eastAsia"/>
          <w:u w:val="single"/>
        </w:rPr>
        <w:t xml:space="preserve">                          </w:t>
      </w:r>
    </w:p>
    <w:p>
      <w:pPr>
        <w:spacing w:line="360" w:lineRule="auto"/>
        <w:ind w:firstLine="435"/>
      </w:pPr>
    </w:p>
    <w:p>
      <w:pPr>
        <w:spacing w:line="360" w:lineRule="auto"/>
        <w:ind w:firstLine="435"/>
      </w:pPr>
      <w:r>
        <w:rPr>
          <w:rFonts w:hint="eastAsia"/>
        </w:rPr>
        <w:t>职        务：</w:t>
      </w:r>
      <w:r>
        <w:rPr>
          <w:rFonts w:hint="eastAsia"/>
          <w:u w:val="single"/>
        </w:rPr>
        <w:t xml:space="preserve">                            </w:t>
      </w:r>
    </w:p>
    <w:p>
      <w:pPr>
        <w:spacing w:line="360" w:lineRule="auto"/>
        <w:ind w:firstLine="435"/>
      </w:pPr>
    </w:p>
    <w:p>
      <w:pPr>
        <w:spacing w:line="360" w:lineRule="auto"/>
        <w:ind w:left="437"/>
        <w:rPr>
          <w:u w:val="single"/>
        </w:rPr>
      </w:pPr>
      <w:r>
        <w:rPr>
          <w:rFonts w:hint="eastAsia"/>
        </w:rPr>
        <w:t>日        期：</w:t>
      </w:r>
      <w:r>
        <w:rPr>
          <w:rFonts w:hint="eastAsia"/>
          <w:u w:val="single"/>
        </w:rPr>
        <w:t xml:space="preserve">                            </w:t>
      </w:r>
    </w:p>
    <w:p>
      <w:pPr>
        <w:adjustRightInd w:val="0"/>
        <w:snapToGrid w:val="0"/>
        <w:spacing w:line="360" w:lineRule="auto"/>
        <w:rPr>
          <w:rFonts w:ascii="仿宋_GB2312" w:hAnsi="仿宋" w:eastAsia="仿宋_GB2312"/>
          <w:color w:val="000000" w:themeColor="text1"/>
          <w:sz w:val="28"/>
          <w:szCs w:val="28"/>
          <w14:textFill>
            <w14:solidFill>
              <w14:schemeClr w14:val="tx1"/>
            </w14:solidFill>
          </w14:textFill>
        </w:rPr>
      </w:pPr>
    </w:p>
    <w:p>
      <w:pPr>
        <w:pStyle w:val="10"/>
        <w:rPr>
          <w:rFonts w:ascii="仿宋_GB2312" w:hAnsi="仿宋" w:eastAsia="仿宋_GB2312"/>
          <w:color w:val="000000" w:themeColor="text1"/>
          <w:sz w:val="28"/>
          <w:szCs w:val="28"/>
          <w14:textFill>
            <w14:solidFill>
              <w14:schemeClr w14:val="tx1"/>
            </w14:solidFill>
          </w14:textFill>
        </w:rPr>
      </w:pPr>
    </w:p>
    <w:p>
      <w:pPr>
        <w:pStyle w:val="11"/>
        <w:ind w:firstLine="560"/>
        <w:rPr>
          <w:rFonts w:ascii="仿宋_GB2312" w:hAnsi="仿宋" w:eastAsia="仿宋_GB2312"/>
          <w:color w:val="000000" w:themeColor="text1"/>
          <w:sz w:val="28"/>
          <w:szCs w:val="28"/>
          <w14:textFill>
            <w14:solidFill>
              <w14:schemeClr w14:val="tx1"/>
            </w14:solidFill>
          </w14:textFill>
        </w:rPr>
      </w:pPr>
    </w:p>
    <w:p/>
    <w:p>
      <w:pPr>
        <w:spacing w:line="320" w:lineRule="exact"/>
        <w:rPr>
          <w:rFonts w:ascii="宋体" w:hAnsi="宋体"/>
          <w:b/>
          <w:color w:val="000000" w:themeColor="text1"/>
          <w:sz w:val="28"/>
          <w14:textFill>
            <w14:solidFill>
              <w14:schemeClr w14:val="tx1"/>
            </w14:solidFill>
          </w14:textFill>
        </w:rPr>
      </w:pPr>
    </w:p>
    <w:p>
      <w:pPr>
        <w:spacing w:line="320" w:lineRule="exact"/>
        <w:ind w:firstLine="435"/>
        <w:rPr>
          <w:rFonts w:ascii="宋体" w:hAnsi="宋体"/>
          <w:b/>
          <w:color w:val="000000" w:themeColor="text1"/>
          <w:sz w:val="28"/>
          <w14:textFill>
            <w14:solidFill>
              <w14:schemeClr w14:val="tx1"/>
            </w14:solidFill>
          </w14:textFill>
        </w:rPr>
      </w:pPr>
    </w:p>
    <w:p>
      <w:pPr>
        <w:spacing w:line="320" w:lineRule="exact"/>
        <w:ind w:firstLine="435"/>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附件19</w:t>
      </w:r>
    </w:p>
    <w:p>
      <w:pPr>
        <w:pStyle w:val="10"/>
      </w:pPr>
    </w:p>
    <w:p>
      <w:pPr>
        <w:pStyle w:val="10"/>
      </w:pPr>
    </w:p>
    <w:p>
      <w:pPr>
        <w:pStyle w:val="42"/>
        <w:spacing w:line="360" w:lineRule="auto"/>
        <w:jc w:val="center"/>
        <w:rPr>
          <w:rFonts w:ascii="宋体" w:hAnsi="宋体"/>
          <w:b/>
          <w:sz w:val="32"/>
          <w:szCs w:val="32"/>
          <w:lang w:val="en-GB"/>
        </w:rPr>
      </w:pPr>
      <w:r>
        <w:rPr>
          <w:rFonts w:hint="eastAsia" w:ascii="宋体" w:hAnsi="宋体"/>
          <w:b/>
          <w:sz w:val="32"/>
          <w:szCs w:val="32"/>
          <w:lang w:val="en-GB"/>
        </w:rPr>
        <w:t>中小企业声明函</w:t>
      </w:r>
      <w:r>
        <w:rPr>
          <w:rFonts w:hint="eastAsia" w:ascii="宋体" w:hAnsi="宋体"/>
          <w:b/>
          <w:sz w:val="32"/>
          <w:szCs w:val="32"/>
        </w:rPr>
        <w:t xml:space="preserve">    </w:t>
      </w:r>
      <w:r>
        <w:rPr>
          <w:rFonts w:hint="eastAsia" w:ascii="宋体" w:hAnsi="宋体"/>
          <w:b/>
          <w:sz w:val="32"/>
          <w:szCs w:val="32"/>
          <w:lang w:val="en-GB"/>
        </w:rPr>
        <w:t>（标项</w:t>
      </w:r>
      <w:r>
        <w:rPr>
          <w:rFonts w:hint="eastAsia" w:ascii="宋体" w:hAnsi="宋体"/>
          <w:b/>
          <w:sz w:val="32"/>
          <w:szCs w:val="32"/>
        </w:rPr>
        <w:t xml:space="preserve">  </w:t>
      </w:r>
      <w:r>
        <w:rPr>
          <w:rFonts w:hint="eastAsia" w:ascii="宋体" w:hAnsi="宋体"/>
          <w:b/>
          <w:sz w:val="32"/>
          <w:szCs w:val="32"/>
          <w:lang w:val="en-GB"/>
        </w:rPr>
        <w:t>）</w:t>
      </w:r>
    </w:p>
    <w:p>
      <w:pPr>
        <w:pStyle w:val="42"/>
        <w:spacing w:line="360" w:lineRule="auto"/>
        <w:jc w:val="center"/>
        <w:rPr>
          <w:rFonts w:ascii="宋体" w:hAnsi="宋体"/>
          <w:b/>
          <w:sz w:val="24"/>
          <w:lang w:val="en-GB"/>
        </w:rPr>
      </w:pPr>
    </w:p>
    <w:p>
      <w:pPr>
        <w:pStyle w:val="42"/>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2"/>
        <w:numPr>
          <w:ilvl w:val="0"/>
          <w:numId w:val="17"/>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2"/>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2"/>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2"/>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2"/>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2"/>
        <w:spacing w:line="360" w:lineRule="auto"/>
        <w:rPr>
          <w:rFonts w:ascii="宋体" w:hAnsi="宋体"/>
          <w:sz w:val="24"/>
        </w:rPr>
      </w:pPr>
    </w:p>
    <w:p>
      <w:pPr>
        <w:pStyle w:val="42"/>
        <w:spacing w:line="360" w:lineRule="auto"/>
        <w:ind w:firstLine="4800" w:firstLineChars="2000"/>
        <w:rPr>
          <w:rFonts w:ascii="宋体" w:hAnsi="宋体"/>
          <w:sz w:val="24"/>
        </w:rPr>
      </w:pPr>
      <w:r>
        <w:rPr>
          <w:rFonts w:hint="eastAsia" w:ascii="宋体" w:hAnsi="宋体"/>
          <w:sz w:val="24"/>
        </w:rPr>
        <w:t xml:space="preserve">企业名称（盖章）：              </w:t>
      </w:r>
    </w:p>
    <w:p>
      <w:pPr>
        <w:pStyle w:val="42"/>
        <w:spacing w:line="360" w:lineRule="auto"/>
        <w:ind w:firstLine="4800" w:firstLineChars="2000"/>
        <w:rPr>
          <w:rFonts w:ascii="宋体" w:hAnsi="宋体"/>
          <w:sz w:val="24"/>
        </w:rPr>
      </w:pPr>
      <w:r>
        <w:rPr>
          <w:rFonts w:hint="eastAsia" w:ascii="宋体" w:hAnsi="宋体"/>
          <w:sz w:val="24"/>
        </w:rPr>
        <w:t>日期：</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4" w:type="first"/>
          <w:headerReference r:id="rId3" w:type="default"/>
          <w:footerReference r:id="rId5"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4"/>
        <w:spacing w:line="360" w:lineRule="auto"/>
        <w:jc w:val="center"/>
        <w:outlineLvl w:val="1"/>
        <w:rPr>
          <w:rFonts w:hAnsi="宋体" w:cs="宋体"/>
          <w:b/>
          <w:sz w:val="32"/>
          <w:szCs w:val="32"/>
          <w:lang w:val="en-GB"/>
        </w:rPr>
      </w:pPr>
      <w:bookmarkStart w:id="106" w:name="_Toc27483_WPSOffice_Level1"/>
      <w:bookmarkStart w:id="107" w:name="_Toc17646_WPSOffice_Level1"/>
      <w:r>
        <w:rPr>
          <w:rFonts w:hint="eastAsia" w:hAnsi="宋体" w:cs="宋体"/>
          <w:b/>
          <w:sz w:val="32"/>
          <w:szCs w:val="32"/>
          <w:lang w:val="en-GB"/>
        </w:rPr>
        <w:t>残疾人福利性单位声明函</w:t>
      </w:r>
      <w:bookmarkEnd w:id="106"/>
      <w:bookmarkEnd w:id="107"/>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pStyle w:val="21"/>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2"/>
        <w:spacing w:line="360" w:lineRule="auto"/>
        <w:ind w:left="4788" w:leftChars="2280"/>
        <w:rPr>
          <w:rFonts w:ascii="宋体" w:hAnsi="宋体" w:cs="宋体"/>
          <w:sz w:val="24"/>
        </w:rPr>
      </w:pPr>
      <w:r>
        <w:rPr>
          <w:rFonts w:hint="eastAsia" w:ascii="宋体" w:hAnsi="宋体" w:cs="宋体"/>
          <w:sz w:val="24"/>
        </w:rPr>
        <w:t xml:space="preserve">       </w:t>
      </w:r>
    </w:p>
    <w:p>
      <w:pPr>
        <w:pStyle w:val="42"/>
        <w:spacing w:line="360" w:lineRule="auto"/>
        <w:ind w:left="4788" w:leftChars="2280"/>
        <w:rPr>
          <w:rFonts w:ascii="宋体" w:hAnsi="宋体"/>
          <w:sz w:val="24"/>
        </w:rPr>
      </w:pPr>
      <w:r>
        <w:rPr>
          <w:rFonts w:hint="eastAsia" w:ascii="宋体" w:hAnsi="宋体"/>
          <w:sz w:val="24"/>
        </w:rPr>
        <w:t>单位名称（盖章）：</w:t>
      </w:r>
    </w:p>
    <w:p>
      <w:pPr>
        <w:pStyle w:val="42"/>
        <w:spacing w:line="360" w:lineRule="auto"/>
        <w:ind w:left="3591" w:leftChars="1710" w:firstLine="1200" w:firstLineChars="500"/>
        <w:rPr>
          <w:rFonts w:ascii="宋体" w:hAnsi="宋体"/>
          <w:sz w:val="24"/>
        </w:rPr>
      </w:pPr>
      <w:r>
        <w:rPr>
          <w:rFonts w:hint="eastAsia" w:ascii="宋体" w:hAnsi="宋体"/>
          <w:sz w:val="24"/>
        </w:rPr>
        <w:t>日  期  ：</w:t>
      </w:r>
    </w:p>
    <w:p>
      <w:pPr>
        <w:pStyle w:val="42"/>
        <w:spacing w:line="360" w:lineRule="auto"/>
        <w:ind w:left="3591" w:leftChars="1710" w:firstLine="1200" w:firstLineChars="500"/>
        <w:rPr>
          <w:rFonts w:ascii="宋体" w:hAnsi="宋体"/>
          <w:sz w:val="24"/>
        </w:rPr>
      </w:pPr>
    </w:p>
    <w:p>
      <w:pPr>
        <w:pStyle w:val="42"/>
        <w:spacing w:line="360" w:lineRule="auto"/>
        <w:ind w:left="3591" w:leftChars="1710" w:firstLine="1200" w:firstLineChars="500"/>
        <w:rPr>
          <w:rFonts w:ascii="宋体" w:hAnsi="宋体"/>
          <w:sz w:val="24"/>
        </w:rPr>
      </w:pPr>
    </w:p>
    <w:p>
      <w:pPr>
        <w:pStyle w:val="42"/>
        <w:spacing w:line="360" w:lineRule="auto"/>
        <w:ind w:left="3591" w:leftChars="1710" w:firstLine="1200" w:firstLineChars="500"/>
        <w:rPr>
          <w:rFonts w:ascii="宋体" w:hAnsi="宋体"/>
          <w:sz w:val="24"/>
        </w:rPr>
      </w:pPr>
    </w:p>
    <w:p>
      <w:pPr>
        <w:pStyle w:val="42"/>
        <w:spacing w:line="360" w:lineRule="auto"/>
        <w:ind w:left="3591" w:leftChars="1710" w:firstLine="1200" w:firstLineChars="500"/>
        <w:rPr>
          <w:rFonts w:ascii="宋体" w:hAnsi="宋体"/>
          <w:sz w:val="24"/>
        </w:rPr>
      </w:pPr>
    </w:p>
    <w:p>
      <w:pPr>
        <w:pStyle w:val="42"/>
        <w:spacing w:line="360" w:lineRule="auto"/>
        <w:ind w:left="3591" w:leftChars="1710" w:firstLine="1200" w:firstLineChars="500"/>
        <w:rPr>
          <w:rFonts w:ascii="宋体" w:hAnsi="宋体"/>
          <w:sz w:val="24"/>
        </w:rPr>
      </w:pPr>
    </w:p>
    <w:p>
      <w:pPr>
        <w:pStyle w:val="42"/>
        <w:spacing w:line="360" w:lineRule="auto"/>
        <w:ind w:left="3591" w:leftChars="1710" w:firstLine="1200" w:firstLineChars="500"/>
        <w:rPr>
          <w:rFonts w:ascii="宋体" w:hAnsi="宋体"/>
          <w:sz w:val="24"/>
        </w:rPr>
      </w:pPr>
    </w:p>
    <w:p>
      <w:pPr>
        <w:pStyle w:val="42"/>
        <w:spacing w:line="360" w:lineRule="auto"/>
        <w:ind w:left="3591" w:leftChars="1710" w:firstLine="1200" w:firstLineChars="500"/>
        <w:rPr>
          <w:rFonts w:ascii="宋体" w:hAnsi="宋体"/>
          <w:sz w:val="24"/>
        </w:rPr>
      </w:pPr>
    </w:p>
    <w:p>
      <w:pPr>
        <w:pStyle w:val="42"/>
        <w:spacing w:line="360" w:lineRule="auto"/>
        <w:ind w:left="3591" w:leftChars="1710" w:firstLine="1200" w:firstLineChars="500"/>
        <w:rPr>
          <w:rFonts w:ascii="宋体" w:hAnsi="宋体"/>
          <w:sz w:val="24"/>
        </w:rPr>
      </w:pPr>
    </w:p>
    <w:p>
      <w:pPr>
        <w:pStyle w:val="42"/>
        <w:spacing w:line="360" w:lineRule="auto"/>
        <w:ind w:left="3591" w:leftChars="1710" w:firstLine="1200" w:firstLineChars="500"/>
        <w:rPr>
          <w:rFonts w:ascii="宋体" w:hAnsi="宋体"/>
          <w:sz w:val="24"/>
        </w:rPr>
      </w:pPr>
    </w:p>
    <w:p>
      <w:pPr>
        <w:pStyle w:val="42"/>
        <w:spacing w:line="360" w:lineRule="auto"/>
        <w:ind w:left="3591" w:leftChars="1710" w:firstLine="1200" w:firstLineChars="500"/>
        <w:rPr>
          <w:rFonts w:ascii="宋体" w:hAnsi="宋体"/>
          <w:sz w:val="24"/>
        </w:rPr>
      </w:pPr>
    </w:p>
    <w:p>
      <w:pPr>
        <w:pStyle w:val="42"/>
        <w:spacing w:line="360" w:lineRule="auto"/>
        <w:ind w:left="3591" w:leftChars="1710" w:firstLine="1200" w:firstLineChars="500"/>
        <w:rPr>
          <w:rFonts w:ascii="宋体" w:hAnsi="宋体"/>
          <w:sz w:val="24"/>
        </w:rPr>
      </w:pPr>
    </w:p>
    <w:p>
      <w:pPr>
        <w:pStyle w:val="42"/>
        <w:spacing w:line="360" w:lineRule="auto"/>
        <w:ind w:left="3591" w:leftChars="1710" w:firstLine="1200" w:firstLineChars="500"/>
        <w:rPr>
          <w:rFonts w:ascii="宋体" w:hAnsi="宋体"/>
          <w:sz w:val="24"/>
        </w:rPr>
      </w:pPr>
    </w:p>
    <w:p>
      <w:pPr>
        <w:pStyle w:val="42"/>
        <w:spacing w:line="360" w:lineRule="auto"/>
        <w:ind w:left="3591" w:leftChars="1710" w:firstLine="1200" w:firstLineChars="500"/>
        <w:rPr>
          <w:rFonts w:ascii="宋体" w:hAnsi="宋体"/>
          <w:sz w:val="24"/>
        </w:rPr>
      </w:pPr>
    </w:p>
    <w:p>
      <w:pPr>
        <w:pStyle w:val="42"/>
        <w:spacing w:line="360" w:lineRule="auto"/>
        <w:ind w:left="3591" w:leftChars="1710" w:firstLine="1200" w:firstLineChars="500"/>
        <w:rPr>
          <w:rFonts w:ascii="宋体" w:hAnsi="宋体"/>
          <w:sz w:val="24"/>
        </w:rPr>
      </w:pPr>
    </w:p>
    <w:p>
      <w:pPr>
        <w:spacing w:line="360" w:lineRule="auto"/>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pPr>
    <w:r>
      <w:rPr>
        <w:rFonts w:hint="eastAsia"/>
        <w:b/>
        <w:i/>
        <w:color w:val="000000" w:themeColor="text1"/>
        <w:kern w:val="0"/>
        <w:sz w:val="18"/>
        <w:u w:val="single"/>
        <w14:textFill>
          <w14:solidFill>
            <w14:schemeClr w14:val="tx1"/>
          </w14:solidFill>
        </w14:textFill>
      </w:rPr>
      <w:t xml:space="preserve">台州市政府采购招标文件--服务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60</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60</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61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96FDE905"/>
    <w:multiLevelType w:val="singleLevel"/>
    <w:tmpl w:val="96FDE905"/>
    <w:lvl w:ilvl="0" w:tentative="0">
      <w:start w:val="2"/>
      <w:numFmt w:val="chineseCounting"/>
      <w:suff w:val="nothing"/>
      <w:lvlText w:val="（%1）"/>
      <w:lvlJc w:val="left"/>
      <w:rPr>
        <w:rFonts w:hint="eastAsia"/>
      </w:rPr>
    </w:lvl>
  </w:abstractNum>
  <w:abstractNum w:abstractNumId="2">
    <w:nsid w:val="C8F99F11"/>
    <w:multiLevelType w:val="singleLevel"/>
    <w:tmpl w:val="C8F99F11"/>
    <w:lvl w:ilvl="0" w:tentative="0">
      <w:start w:val="1"/>
      <w:numFmt w:val="decimal"/>
      <w:lvlText w:val="%1."/>
      <w:lvlJc w:val="left"/>
      <w:pPr>
        <w:ind w:left="425" w:hanging="425"/>
      </w:pPr>
      <w:rPr>
        <w:rFonts w:hint="default"/>
      </w:rPr>
    </w:lvl>
  </w:abstractNum>
  <w:abstractNum w:abstractNumId="3">
    <w:nsid w:val="D927700D"/>
    <w:multiLevelType w:val="singleLevel"/>
    <w:tmpl w:val="D927700D"/>
    <w:lvl w:ilvl="0" w:tentative="0">
      <w:start w:val="2"/>
      <w:numFmt w:val="chineseCounting"/>
      <w:suff w:val="nothing"/>
      <w:lvlText w:val="%1、"/>
      <w:lvlJc w:val="left"/>
      <w:rPr>
        <w:rFonts w:hint="eastAsia"/>
      </w:rPr>
    </w:lvl>
  </w:abstractNum>
  <w:abstractNum w:abstractNumId="4">
    <w:nsid w:val="DF48CB86"/>
    <w:multiLevelType w:val="singleLevel"/>
    <w:tmpl w:val="DF48CB86"/>
    <w:lvl w:ilvl="0" w:tentative="0">
      <w:start w:val="1"/>
      <w:numFmt w:val="chineseCounting"/>
      <w:suff w:val="nothing"/>
      <w:lvlText w:val="（%1）"/>
      <w:lvlJc w:val="left"/>
      <w:rPr>
        <w:rFonts w:hint="eastAsia"/>
      </w:rPr>
    </w:lvl>
  </w:abstractNum>
  <w:abstractNum w:abstractNumId="5">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6">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7">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8">
    <w:nsid w:val="2DFA049A"/>
    <w:multiLevelType w:val="singleLevel"/>
    <w:tmpl w:val="2DFA049A"/>
    <w:lvl w:ilvl="0" w:tentative="0">
      <w:start w:val="2"/>
      <w:numFmt w:val="chineseCounting"/>
      <w:suff w:val="nothing"/>
      <w:lvlText w:val="%1、"/>
      <w:lvlJc w:val="left"/>
      <w:rPr>
        <w:rFonts w:hint="eastAsia"/>
      </w:rPr>
    </w:lvl>
  </w:abstractNum>
  <w:abstractNum w:abstractNumId="9">
    <w:nsid w:val="461E5E94"/>
    <w:multiLevelType w:val="singleLevel"/>
    <w:tmpl w:val="461E5E94"/>
    <w:lvl w:ilvl="0" w:tentative="0">
      <w:start w:val="2"/>
      <w:numFmt w:val="chineseCounting"/>
      <w:suff w:val="space"/>
      <w:lvlText w:val="第%1章"/>
      <w:lvlJc w:val="left"/>
      <w:rPr>
        <w:rFonts w:hint="eastAsia"/>
      </w:rPr>
    </w:lvl>
  </w:abstractNum>
  <w:abstractNum w:abstractNumId="10">
    <w:nsid w:val="4CE2A114"/>
    <w:multiLevelType w:val="singleLevel"/>
    <w:tmpl w:val="4CE2A114"/>
    <w:lvl w:ilvl="0" w:tentative="0">
      <w:start w:val="2"/>
      <w:numFmt w:val="chineseCounting"/>
      <w:suff w:val="nothing"/>
      <w:lvlText w:val="（%1）"/>
      <w:lvlJc w:val="left"/>
      <w:rPr>
        <w:rFonts w:hint="eastAsia"/>
      </w:rPr>
    </w:lvl>
  </w:abstractNum>
  <w:abstractNum w:abstractNumId="11">
    <w:nsid w:val="53F985B4"/>
    <w:multiLevelType w:val="singleLevel"/>
    <w:tmpl w:val="53F985B4"/>
    <w:lvl w:ilvl="0" w:tentative="0">
      <w:start w:val="1"/>
      <w:numFmt w:val="decimal"/>
      <w:lvlText w:val="%1."/>
      <w:lvlJc w:val="left"/>
      <w:pPr>
        <w:tabs>
          <w:tab w:val="left" w:pos="312"/>
        </w:tabs>
      </w:pPr>
    </w:lvl>
  </w:abstractNum>
  <w:abstractNum w:abstractNumId="12">
    <w:nsid w:val="5BE338C7"/>
    <w:multiLevelType w:val="singleLevel"/>
    <w:tmpl w:val="5BE338C7"/>
    <w:lvl w:ilvl="0" w:tentative="0">
      <w:start w:val="1"/>
      <w:numFmt w:val="decimal"/>
      <w:lvlText w:val="%1."/>
      <w:lvlJc w:val="left"/>
      <w:pPr>
        <w:ind w:left="425" w:hanging="425"/>
      </w:pPr>
      <w:rPr>
        <w:rFonts w:hint="default"/>
      </w:rPr>
    </w:lvl>
  </w:abstractNum>
  <w:abstractNum w:abstractNumId="13">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4">
    <w:nsid w:val="66DDD653"/>
    <w:multiLevelType w:val="singleLevel"/>
    <w:tmpl w:val="66DDD653"/>
    <w:lvl w:ilvl="0" w:tentative="0">
      <w:start w:val="1"/>
      <w:numFmt w:val="chineseCounting"/>
      <w:suff w:val="space"/>
      <w:lvlText w:val="第%1章"/>
      <w:lvlJc w:val="left"/>
      <w:rPr>
        <w:rFonts w:hint="eastAsia"/>
      </w:rPr>
    </w:lvl>
  </w:abstractNum>
  <w:abstractNum w:abstractNumId="15">
    <w:nsid w:val="7488A27B"/>
    <w:multiLevelType w:val="singleLevel"/>
    <w:tmpl w:val="7488A27B"/>
    <w:lvl w:ilvl="0" w:tentative="0">
      <w:start w:val="1"/>
      <w:numFmt w:val="decimal"/>
      <w:lvlText w:val="%1."/>
      <w:lvlJc w:val="left"/>
      <w:pPr>
        <w:ind w:left="425" w:hanging="425"/>
      </w:pPr>
      <w:rPr>
        <w:rFonts w:hint="default"/>
      </w:rPr>
    </w:lvl>
  </w:abstractNum>
  <w:abstractNum w:abstractNumId="16">
    <w:nsid w:val="74937385"/>
    <w:multiLevelType w:val="singleLevel"/>
    <w:tmpl w:val="74937385"/>
    <w:lvl w:ilvl="0" w:tentative="0">
      <w:start w:val="2"/>
      <w:numFmt w:val="decimal"/>
      <w:lvlText w:val="%1."/>
      <w:lvlJc w:val="left"/>
      <w:pPr>
        <w:tabs>
          <w:tab w:val="left" w:pos="312"/>
        </w:tabs>
      </w:pPr>
    </w:lvl>
  </w:abstractNum>
  <w:num w:numId="1">
    <w:abstractNumId w:val="13"/>
  </w:num>
  <w:num w:numId="2">
    <w:abstractNumId w:val="7"/>
  </w:num>
  <w:num w:numId="3">
    <w:abstractNumId w:val="14"/>
  </w:num>
  <w:num w:numId="4">
    <w:abstractNumId w:val="8"/>
  </w:num>
  <w:num w:numId="5">
    <w:abstractNumId w:val="10"/>
  </w:num>
  <w:num w:numId="6">
    <w:abstractNumId w:val="1"/>
  </w:num>
  <w:num w:numId="7">
    <w:abstractNumId w:val="9"/>
  </w:num>
  <w:num w:numId="8">
    <w:abstractNumId w:val="4"/>
  </w:num>
  <w:num w:numId="9">
    <w:abstractNumId w:val="5"/>
  </w:num>
  <w:num w:numId="10">
    <w:abstractNumId w:val="6"/>
  </w:num>
  <w:num w:numId="11">
    <w:abstractNumId w:val="3"/>
  </w:num>
  <w:num w:numId="12">
    <w:abstractNumId w:val="16"/>
  </w:num>
  <w:num w:numId="13">
    <w:abstractNumId w:val="0"/>
  </w:num>
  <w:num w:numId="14">
    <w:abstractNumId w:val="12"/>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DFhOWUzZDYzNDIyMjIzN2QyMDQxNmZhNWNhYzIifQ=="/>
  </w:docVars>
  <w:rsids>
    <w:rsidRoot w:val="685F2B0C"/>
    <w:rsid w:val="00030D77"/>
    <w:rsid w:val="00071BA1"/>
    <w:rsid w:val="000A2B60"/>
    <w:rsid w:val="001146EF"/>
    <w:rsid w:val="00165EE9"/>
    <w:rsid w:val="00186236"/>
    <w:rsid w:val="00291503"/>
    <w:rsid w:val="00315916"/>
    <w:rsid w:val="00434F0B"/>
    <w:rsid w:val="00466319"/>
    <w:rsid w:val="0049548B"/>
    <w:rsid w:val="005D0DD1"/>
    <w:rsid w:val="00667357"/>
    <w:rsid w:val="006D5C96"/>
    <w:rsid w:val="007477AD"/>
    <w:rsid w:val="007A3E63"/>
    <w:rsid w:val="008248FA"/>
    <w:rsid w:val="00827E0B"/>
    <w:rsid w:val="00905DA1"/>
    <w:rsid w:val="00987EDA"/>
    <w:rsid w:val="009D46C4"/>
    <w:rsid w:val="009D6A9E"/>
    <w:rsid w:val="00A12741"/>
    <w:rsid w:val="00A30552"/>
    <w:rsid w:val="00A85AC9"/>
    <w:rsid w:val="00A921FD"/>
    <w:rsid w:val="00AB072A"/>
    <w:rsid w:val="00AB49B7"/>
    <w:rsid w:val="00BC216D"/>
    <w:rsid w:val="00C061A0"/>
    <w:rsid w:val="00C50B60"/>
    <w:rsid w:val="00C52A0D"/>
    <w:rsid w:val="00CA2C6C"/>
    <w:rsid w:val="00CB51F3"/>
    <w:rsid w:val="00D0009A"/>
    <w:rsid w:val="00D14AD5"/>
    <w:rsid w:val="00D325EC"/>
    <w:rsid w:val="00D36717"/>
    <w:rsid w:val="00D40771"/>
    <w:rsid w:val="00D81728"/>
    <w:rsid w:val="00DB1553"/>
    <w:rsid w:val="00E42018"/>
    <w:rsid w:val="00F61B02"/>
    <w:rsid w:val="00FC1E7F"/>
    <w:rsid w:val="00FF7A94"/>
    <w:rsid w:val="01057174"/>
    <w:rsid w:val="010742D5"/>
    <w:rsid w:val="010F7B98"/>
    <w:rsid w:val="011A2A76"/>
    <w:rsid w:val="01270A4D"/>
    <w:rsid w:val="012B5E09"/>
    <w:rsid w:val="012F4BAE"/>
    <w:rsid w:val="017033BE"/>
    <w:rsid w:val="01847147"/>
    <w:rsid w:val="01851778"/>
    <w:rsid w:val="019511BB"/>
    <w:rsid w:val="01A729ED"/>
    <w:rsid w:val="01AE11E6"/>
    <w:rsid w:val="01B729F0"/>
    <w:rsid w:val="01C40DDD"/>
    <w:rsid w:val="01C54B55"/>
    <w:rsid w:val="01C764F1"/>
    <w:rsid w:val="01CC793F"/>
    <w:rsid w:val="01D31020"/>
    <w:rsid w:val="01E96BCD"/>
    <w:rsid w:val="01F53A09"/>
    <w:rsid w:val="02111B48"/>
    <w:rsid w:val="0213141D"/>
    <w:rsid w:val="02222883"/>
    <w:rsid w:val="026715EB"/>
    <w:rsid w:val="026D6E7C"/>
    <w:rsid w:val="02730BCE"/>
    <w:rsid w:val="028A6EB8"/>
    <w:rsid w:val="02A01370"/>
    <w:rsid w:val="02A14C7A"/>
    <w:rsid w:val="02A4494E"/>
    <w:rsid w:val="02B25201"/>
    <w:rsid w:val="02B774B9"/>
    <w:rsid w:val="02B822B3"/>
    <w:rsid w:val="02C62BA9"/>
    <w:rsid w:val="02E21F95"/>
    <w:rsid w:val="030A7540"/>
    <w:rsid w:val="0327697F"/>
    <w:rsid w:val="034C79A8"/>
    <w:rsid w:val="035E327D"/>
    <w:rsid w:val="03624C71"/>
    <w:rsid w:val="036A4C1E"/>
    <w:rsid w:val="037171B2"/>
    <w:rsid w:val="03723D7D"/>
    <w:rsid w:val="039848E6"/>
    <w:rsid w:val="03A55E37"/>
    <w:rsid w:val="04071573"/>
    <w:rsid w:val="040C6061"/>
    <w:rsid w:val="04357EE7"/>
    <w:rsid w:val="043E0AAC"/>
    <w:rsid w:val="044F2C90"/>
    <w:rsid w:val="04544089"/>
    <w:rsid w:val="04604D98"/>
    <w:rsid w:val="046611D6"/>
    <w:rsid w:val="04762FE4"/>
    <w:rsid w:val="048361AE"/>
    <w:rsid w:val="048962DE"/>
    <w:rsid w:val="04AB3B8E"/>
    <w:rsid w:val="04AF39AC"/>
    <w:rsid w:val="04B97A70"/>
    <w:rsid w:val="04C403D8"/>
    <w:rsid w:val="04C74740"/>
    <w:rsid w:val="04DA625A"/>
    <w:rsid w:val="04E5097D"/>
    <w:rsid w:val="04E6106A"/>
    <w:rsid w:val="04E8551A"/>
    <w:rsid w:val="04EF476C"/>
    <w:rsid w:val="04F80D9E"/>
    <w:rsid w:val="04F96FF0"/>
    <w:rsid w:val="05121E5F"/>
    <w:rsid w:val="051911CE"/>
    <w:rsid w:val="0528054A"/>
    <w:rsid w:val="05287815"/>
    <w:rsid w:val="052D2D41"/>
    <w:rsid w:val="0538232A"/>
    <w:rsid w:val="0552233D"/>
    <w:rsid w:val="05782C43"/>
    <w:rsid w:val="057F6DC9"/>
    <w:rsid w:val="05903056"/>
    <w:rsid w:val="059E57C8"/>
    <w:rsid w:val="05B01B1D"/>
    <w:rsid w:val="05C97FCE"/>
    <w:rsid w:val="05E17C80"/>
    <w:rsid w:val="05E55725"/>
    <w:rsid w:val="05E5760D"/>
    <w:rsid w:val="06066F04"/>
    <w:rsid w:val="0639353C"/>
    <w:rsid w:val="06474E34"/>
    <w:rsid w:val="06484055"/>
    <w:rsid w:val="065949DD"/>
    <w:rsid w:val="06653EC4"/>
    <w:rsid w:val="066F5090"/>
    <w:rsid w:val="06764670"/>
    <w:rsid w:val="067D77AC"/>
    <w:rsid w:val="06906281"/>
    <w:rsid w:val="0699402C"/>
    <w:rsid w:val="069C64C8"/>
    <w:rsid w:val="06A0112C"/>
    <w:rsid w:val="06A81BEC"/>
    <w:rsid w:val="06C126B1"/>
    <w:rsid w:val="06D575E9"/>
    <w:rsid w:val="06DA1EA9"/>
    <w:rsid w:val="06DC2725"/>
    <w:rsid w:val="06DC60DB"/>
    <w:rsid w:val="06EA503D"/>
    <w:rsid w:val="06F44F8B"/>
    <w:rsid w:val="06F84851"/>
    <w:rsid w:val="06FB0045"/>
    <w:rsid w:val="073079A2"/>
    <w:rsid w:val="0734001B"/>
    <w:rsid w:val="07456165"/>
    <w:rsid w:val="074A2095"/>
    <w:rsid w:val="077B362D"/>
    <w:rsid w:val="077E1A2E"/>
    <w:rsid w:val="079A6E72"/>
    <w:rsid w:val="079F3EE7"/>
    <w:rsid w:val="07AA1AB7"/>
    <w:rsid w:val="07BB34AA"/>
    <w:rsid w:val="07DF5164"/>
    <w:rsid w:val="07E50580"/>
    <w:rsid w:val="07EE133F"/>
    <w:rsid w:val="07FA2981"/>
    <w:rsid w:val="080219A6"/>
    <w:rsid w:val="08065B86"/>
    <w:rsid w:val="080D259C"/>
    <w:rsid w:val="08253C58"/>
    <w:rsid w:val="0825634E"/>
    <w:rsid w:val="08274ACF"/>
    <w:rsid w:val="08310251"/>
    <w:rsid w:val="084703F0"/>
    <w:rsid w:val="085F196E"/>
    <w:rsid w:val="086504F8"/>
    <w:rsid w:val="08696EDC"/>
    <w:rsid w:val="08705B4A"/>
    <w:rsid w:val="087A7753"/>
    <w:rsid w:val="08810C3F"/>
    <w:rsid w:val="08814CE3"/>
    <w:rsid w:val="08884C10"/>
    <w:rsid w:val="089212EB"/>
    <w:rsid w:val="08986544"/>
    <w:rsid w:val="08AB7979"/>
    <w:rsid w:val="08B35707"/>
    <w:rsid w:val="08B35D45"/>
    <w:rsid w:val="08BB6846"/>
    <w:rsid w:val="08D55A74"/>
    <w:rsid w:val="08DC3175"/>
    <w:rsid w:val="08DF02AB"/>
    <w:rsid w:val="08E052CE"/>
    <w:rsid w:val="08E549F5"/>
    <w:rsid w:val="08E92ED7"/>
    <w:rsid w:val="08ED7D63"/>
    <w:rsid w:val="08FD3C48"/>
    <w:rsid w:val="09023B78"/>
    <w:rsid w:val="090E39C3"/>
    <w:rsid w:val="0910543C"/>
    <w:rsid w:val="09161D47"/>
    <w:rsid w:val="0922247D"/>
    <w:rsid w:val="093D3ABC"/>
    <w:rsid w:val="099373A2"/>
    <w:rsid w:val="099C619C"/>
    <w:rsid w:val="09AF5ECF"/>
    <w:rsid w:val="09C14869"/>
    <w:rsid w:val="09C445CF"/>
    <w:rsid w:val="09CE19BC"/>
    <w:rsid w:val="09CE36FE"/>
    <w:rsid w:val="09D904AF"/>
    <w:rsid w:val="09E70A54"/>
    <w:rsid w:val="09E84CCD"/>
    <w:rsid w:val="09EA39F6"/>
    <w:rsid w:val="09F051C8"/>
    <w:rsid w:val="0A051115"/>
    <w:rsid w:val="0A0A0F35"/>
    <w:rsid w:val="0A171CC6"/>
    <w:rsid w:val="0A3A5C5D"/>
    <w:rsid w:val="0A474A0E"/>
    <w:rsid w:val="0A4B7B0B"/>
    <w:rsid w:val="0A8528D5"/>
    <w:rsid w:val="0A8A0A3A"/>
    <w:rsid w:val="0A92134D"/>
    <w:rsid w:val="0AB52BD8"/>
    <w:rsid w:val="0AC62F4A"/>
    <w:rsid w:val="0AC92E6A"/>
    <w:rsid w:val="0AD56F1F"/>
    <w:rsid w:val="0AD876A7"/>
    <w:rsid w:val="0AEA3C8C"/>
    <w:rsid w:val="0AFC1873"/>
    <w:rsid w:val="0B0C79EC"/>
    <w:rsid w:val="0B1E0CF0"/>
    <w:rsid w:val="0B1E2894"/>
    <w:rsid w:val="0B3A637F"/>
    <w:rsid w:val="0B4F6D0B"/>
    <w:rsid w:val="0B5A3215"/>
    <w:rsid w:val="0B69655D"/>
    <w:rsid w:val="0BCE1370"/>
    <w:rsid w:val="0BCF240A"/>
    <w:rsid w:val="0BD84E5C"/>
    <w:rsid w:val="0BE34CD8"/>
    <w:rsid w:val="0BE45BD8"/>
    <w:rsid w:val="0BE83010"/>
    <w:rsid w:val="0BF47D4E"/>
    <w:rsid w:val="0BF86799"/>
    <w:rsid w:val="0C0E2F3B"/>
    <w:rsid w:val="0C377F1F"/>
    <w:rsid w:val="0C516743"/>
    <w:rsid w:val="0C586AD2"/>
    <w:rsid w:val="0C5D1BDB"/>
    <w:rsid w:val="0C700C3A"/>
    <w:rsid w:val="0C7E2237"/>
    <w:rsid w:val="0CA34118"/>
    <w:rsid w:val="0CA758F8"/>
    <w:rsid w:val="0CCD457A"/>
    <w:rsid w:val="0CD63002"/>
    <w:rsid w:val="0CD81BE1"/>
    <w:rsid w:val="0CED2959"/>
    <w:rsid w:val="0CEF3BF8"/>
    <w:rsid w:val="0D000761"/>
    <w:rsid w:val="0D222E5C"/>
    <w:rsid w:val="0D3F7F2E"/>
    <w:rsid w:val="0D5648B3"/>
    <w:rsid w:val="0D5A25F6"/>
    <w:rsid w:val="0D6344EC"/>
    <w:rsid w:val="0D6540B7"/>
    <w:rsid w:val="0D705EC6"/>
    <w:rsid w:val="0D7446FA"/>
    <w:rsid w:val="0D784FA5"/>
    <w:rsid w:val="0DB14507"/>
    <w:rsid w:val="0DB757B9"/>
    <w:rsid w:val="0DD405FA"/>
    <w:rsid w:val="0DD459AE"/>
    <w:rsid w:val="0DE545F3"/>
    <w:rsid w:val="0DE7555E"/>
    <w:rsid w:val="0DE85E53"/>
    <w:rsid w:val="0E0316BF"/>
    <w:rsid w:val="0E072513"/>
    <w:rsid w:val="0E15651D"/>
    <w:rsid w:val="0E3E5A73"/>
    <w:rsid w:val="0E5C7AAD"/>
    <w:rsid w:val="0E95313D"/>
    <w:rsid w:val="0EB86A70"/>
    <w:rsid w:val="0EC402F9"/>
    <w:rsid w:val="0ECB4844"/>
    <w:rsid w:val="0ED734E8"/>
    <w:rsid w:val="0EE20165"/>
    <w:rsid w:val="0EF3685E"/>
    <w:rsid w:val="0EFD219B"/>
    <w:rsid w:val="0F0D0D2C"/>
    <w:rsid w:val="0F383F56"/>
    <w:rsid w:val="0F385060"/>
    <w:rsid w:val="0F4470B9"/>
    <w:rsid w:val="0F58781F"/>
    <w:rsid w:val="0F5D7625"/>
    <w:rsid w:val="0F6147A2"/>
    <w:rsid w:val="0F6C4862"/>
    <w:rsid w:val="0F86061B"/>
    <w:rsid w:val="0F907B37"/>
    <w:rsid w:val="0FC27645"/>
    <w:rsid w:val="0FD4645C"/>
    <w:rsid w:val="0FDC3146"/>
    <w:rsid w:val="1007199F"/>
    <w:rsid w:val="101A3630"/>
    <w:rsid w:val="102C199B"/>
    <w:rsid w:val="10417A9D"/>
    <w:rsid w:val="10507CE0"/>
    <w:rsid w:val="105576A8"/>
    <w:rsid w:val="10725EA8"/>
    <w:rsid w:val="107F3497"/>
    <w:rsid w:val="10A81283"/>
    <w:rsid w:val="10B95885"/>
    <w:rsid w:val="10BE1B05"/>
    <w:rsid w:val="10C30105"/>
    <w:rsid w:val="10C64B9C"/>
    <w:rsid w:val="10CB7C05"/>
    <w:rsid w:val="10CF3933"/>
    <w:rsid w:val="10DE62E5"/>
    <w:rsid w:val="10FC5772"/>
    <w:rsid w:val="10FD1FE7"/>
    <w:rsid w:val="11124F95"/>
    <w:rsid w:val="113053DF"/>
    <w:rsid w:val="11344EBE"/>
    <w:rsid w:val="114A0BD3"/>
    <w:rsid w:val="115B5C4F"/>
    <w:rsid w:val="115C7668"/>
    <w:rsid w:val="11674FFD"/>
    <w:rsid w:val="11740829"/>
    <w:rsid w:val="117C20D6"/>
    <w:rsid w:val="118A244C"/>
    <w:rsid w:val="118A3102"/>
    <w:rsid w:val="11942353"/>
    <w:rsid w:val="11A2124C"/>
    <w:rsid w:val="11C20C82"/>
    <w:rsid w:val="11C8536C"/>
    <w:rsid w:val="11CA7F8A"/>
    <w:rsid w:val="11D0460B"/>
    <w:rsid w:val="11DE5C79"/>
    <w:rsid w:val="12101447"/>
    <w:rsid w:val="12215961"/>
    <w:rsid w:val="122D652B"/>
    <w:rsid w:val="12313C64"/>
    <w:rsid w:val="12486EC1"/>
    <w:rsid w:val="125F1817"/>
    <w:rsid w:val="128D04EC"/>
    <w:rsid w:val="12AA2320"/>
    <w:rsid w:val="12BB3B36"/>
    <w:rsid w:val="12D544CC"/>
    <w:rsid w:val="12DB1F3F"/>
    <w:rsid w:val="12DB53B1"/>
    <w:rsid w:val="12E81B94"/>
    <w:rsid w:val="12F776ED"/>
    <w:rsid w:val="13257C63"/>
    <w:rsid w:val="132F1FB4"/>
    <w:rsid w:val="133707C2"/>
    <w:rsid w:val="13441C72"/>
    <w:rsid w:val="134C77A5"/>
    <w:rsid w:val="13731B39"/>
    <w:rsid w:val="13732205"/>
    <w:rsid w:val="137F0CE3"/>
    <w:rsid w:val="1397433E"/>
    <w:rsid w:val="13A50343"/>
    <w:rsid w:val="13B07D7B"/>
    <w:rsid w:val="13C30E6E"/>
    <w:rsid w:val="141839BA"/>
    <w:rsid w:val="14184CF2"/>
    <w:rsid w:val="141B13D5"/>
    <w:rsid w:val="141C741E"/>
    <w:rsid w:val="14234B06"/>
    <w:rsid w:val="1424570B"/>
    <w:rsid w:val="144D400B"/>
    <w:rsid w:val="14983A03"/>
    <w:rsid w:val="149D3DC9"/>
    <w:rsid w:val="149E1778"/>
    <w:rsid w:val="14A91D27"/>
    <w:rsid w:val="14AD4839"/>
    <w:rsid w:val="14B922F8"/>
    <w:rsid w:val="14BE16D1"/>
    <w:rsid w:val="14C53647"/>
    <w:rsid w:val="14EA0703"/>
    <w:rsid w:val="14EA3450"/>
    <w:rsid w:val="14F11A91"/>
    <w:rsid w:val="14F767B6"/>
    <w:rsid w:val="15064E11"/>
    <w:rsid w:val="150662B4"/>
    <w:rsid w:val="15180794"/>
    <w:rsid w:val="151B4D60"/>
    <w:rsid w:val="15287486"/>
    <w:rsid w:val="15316F23"/>
    <w:rsid w:val="15433136"/>
    <w:rsid w:val="15840A84"/>
    <w:rsid w:val="159D4B97"/>
    <w:rsid w:val="15AF033B"/>
    <w:rsid w:val="16031113"/>
    <w:rsid w:val="160C1329"/>
    <w:rsid w:val="162C6AF9"/>
    <w:rsid w:val="16332D75"/>
    <w:rsid w:val="16493207"/>
    <w:rsid w:val="164C20F2"/>
    <w:rsid w:val="16502A53"/>
    <w:rsid w:val="16725D01"/>
    <w:rsid w:val="16777B9F"/>
    <w:rsid w:val="168F227C"/>
    <w:rsid w:val="169A575C"/>
    <w:rsid w:val="16AD5C51"/>
    <w:rsid w:val="16BF34C9"/>
    <w:rsid w:val="16C11894"/>
    <w:rsid w:val="16C377D3"/>
    <w:rsid w:val="16C85686"/>
    <w:rsid w:val="16CF5E02"/>
    <w:rsid w:val="171F0861"/>
    <w:rsid w:val="1731374B"/>
    <w:rsid w:val="173B1F0E"/>
    <w:rsid w:val="173D243C"/>
    <w:rsid w:val="173E0892"/>
    <w:rsid w:val="173E6AE4"/>
    <w:rsid w:val="17534ECF"/>
    <w:rsid w:val="1763654B"/>
    <w:rsid w:val="17B95FAA"/>
    <w:rsid w:val="17BB03A7"/>
    <w:rsid w:val="17CC10F7"/>
    <w:rsid w:val="17DC7BF0"/>
    <w:rsid w:val="17F76D6B"/>
    <w:rsid w:val="180053F0"/>
    <w:rsid w:val="181011F1"/>
    <w:rsid w:val="185C1918"/>
    <w:rsid w:val="185F5F75"/>
    <w:rsid w:val="1869193F"/>
    <w:rsid w:val="188227EF"/>
    <w:rsid w:val="18851F02"/>
    <w:rsid w:val="188B5D59"/>
    <w:rsid w:val="189220EE"/>
    <w:rsid w:val="189E4B47"/>
    <w:rsid w:val="18B01145"/>
    <w:rsid w:val="18BB7DC5"/>
    <w:rsid w:val="18BF7099"/>
    <w:rsid w:val="18DC7C01"/>
    <w:rsid w:val="18E36CFC"/>
    <w:rsid w:val="19000C71"/>
    <w:rsid w:val="192A06DB"/>
    <w:rsid w:val="193028F8"/>
    <w:rsid w:val="194B7296"/>
    <w:rsid w:val="19800DAF"/>
    <w:rsid w:val="198218DD"/>
    <w:rsid w:val="198B70ED"/>
    <w:rsid w:val="198D1B84"/>
    <w:rsid w:val="198E4D52"/>
    <w:rsid w:val="19923F06"/>
    <w:rsid w:val="199724DC"/>
    <w:rsid w:val="19A8111D"/>
    <w:rsid w:val="19AF2729"/>
    <w:rsid w:val="19B47419"/>
    <w:rsid w:val="19C534ED"/>
    <w:rsid w:val="19CA28B1"/>
    <w:rsid w:val="19D35C0A"/>
    <w:rsid w:val="19E51688"/>
    <w:rsid w:val="19E6075D"/>
    <w:rsid w:val="19EE2A8B"/>
    <w:rsid w:val="19EE41FA"/>
    <w:rsid w:val="1A0550B3"/>
    <w:rsid w:val="1A1830B1"/>
    <w:rsid w:val="1A2F4589"/>
    <w:rsid w:val="1A304E0A"/>
    <w:rsid w:val="1A457A4A"/>
    <w:rsid w:val="1A4C1D4A"/>
    <w:rsid w:val="1A587B66"/>
    <w:rsid w:val="1A5A6066"/>
    <w:rsid w:val="1A5B78E2"/>
    <w:rsid w:val="1A642D06"/>
    <w:rsid w:val="1A647FAE"/>
    <w:rsid w:val="1A667FBC"/>
    <w:rsid w:val="1A777345"/>
    <w:rsid w:val="1A813E1F"/>
    <w:rsid w:val="1A8357FC"/>
    <w:rsid w:val="1A902A9F"/>
    <w:rsid w:val="1A9F2503"/>
    <w:rsid w:val="1AA3486A"/>
    <w:rsid w:val="1AB20D2C"/>
    <w:rsid w:val="1ACB0301"/>
    <w:rsid w:val="1ACE692C"/>
    <w:rsid w:val="1AD11A1D"/>
    <w:rsid w:val="1AE33064"/>
    <w:rsid w:val="1AF357C2"/>
    <w:rsid w:val="1B193AF0"/>
    <w:rsid w:val="1B1D07A3"/>
    <w:rsid w:val="1B3B15AA"/>
    <w:rsid w:val="1B6A3FBF"/>
    <w:rsid w:val="1B74180F"/>
    <w:rsid w:val="1B862B23"/>
    <w:rsid w:val="1B866E0B"/>
    <w:rsid w:val="1B8C6B7B"/>
    <w:rsid w:val="1B8F3DB2"/>
    <w:rsid w:val="1B9301AF"/>
    <w:rsid w:val="1B9E29B4"/>
    <w:rsid w:val="1BA67BD5"/>
    <w:rsid w:val="1BBF65FB"/>
    <w:rsid w:val="1BC2281C"/>
    <w:rsid w:val="1BF657FB"/>
    <w:rsid w:val="1C031CE4"/>
    <w:rsid w:val="1C063704"/>
    <w:rsid w:val="1C1F113E"/>
    <w:rsid w:val="1C374515"/>
    <w:rsid w:val="1C4235A6"/>
    <w:rsid w:val="1C4F222F"/>
    <w:rsid w:val="1C642C34"/>
    <w:rsid w:val="1C6E7E6B"/>
    <w:rsid w:val="1C7979FF"/>
    <w:rsid w:val="1CA86A15"/>
    <w:rsid w:val="1CAF0A06"/>
    <w:rsid w:val="1CBB4247"/>
    <w:rsid w:val="1CDB47CB"/>
    <w:rsid w:val="1CF01B23"/>
    <w:rsid w:val="1CFA7EEF"/>
    <w:rsid w:val="1CFB1146"/>
    <w:rsid w:val="1D1338EC"/>
    <w:rsid w:val="1D295919"/>
    <w:rsid w:val="1D37062D"/>
    <w:rsid w:val="1D3B199E"/>
    <w:rsid w:val="1D456E66"/>
    <w:rsid w:val="1D5B6D2E"/>
    <w:rsid w:val="1D6B7198"/>
    <w:rsid w:val="1D8B1A23"/>
    <w:rsid w:val="1DB45D52"/>
    <w:rsid w:val="1DBB0E8E"/>
    <w:rsid w:val="1DC84F72"/>
    <w:rsid w:val="1DD97941"/>
    <w:rsid w:val="1DDE0A5C"/>
    <w:rsid w:val="1DEC270F"/>
    <w:rsid w:val="1DF10281"/>
    <w:rsid w:val="1E0672A1"/>
    <w:rsid w:val="1E087E4C"/>
    <w:rsid w:val="1E0D3D46"/>
    <w:rsid w:val="1E12107B"/>
    <w:rsid w:val="1E1F7DB7"/>
    <w:rsid w:val="1E331E3B"/>
    <w:rsid w:val="1E370C0B"/>
    <w:rsid w:val="1E375915"/>
    <w:rsid w:val="1E4E212D"/>
    <w:rsid w:val="1E561B49"/>
    <w:rsid w:val="1E5A2895"/>
    <w:rsid w:val="1E5B5B74"/>
    <w:rsid w:val="1E813A78"/>
    <w:rsid w:val="1E847B39"/>
    <w:rsid w:val="1E860C88"/>
    <w:rsid w:val="1EAD27E8"/>
    <w:rsid w:val="1EBE74AF"/>
    <w:rsid w:val="1ED175FF"/>
    <w:rsid w:val="1ED462A6"/>
    <w:rsid w:val="1ED61CF8"/>
    <w:rsid w:val="1ED734FA"/>
    <w:rsid w:val="1EDB21B2"/>
    <w:rsid w:val="1EE21D29"/>
    <w:rsid w:val="1EE72005"/>
    <w:rsid w:val="1EF133A3"/>
    <w:rsid w:val="1EF54909"/>
    <w:rsid w:val="1F1715AF"/>
    <w:rsid w:val="1F2A54BC"/>
    <w:rsid w:val="1F2F246F"/>
    <w:rsid w:val="1F3E1D5D"/>
    <w:rsid w:val="1F3F789D"/>
    <w:rsid w:val="1F6E3177"/>
    <w:rsid w:val="1F6F04BA"/>
    <w:rsid w:val="1F8129BD"/>
    <w:rsid w:val="1FA15315"/>
    <w:rsid w:val="1FA45952"/>
    <w:rsid w:val="1FA616CA"/>
    <w:rsid w:val="1FAA1CAD"/>
    <w:rsid w:val="1FCB71D3"/>
    <w:rsid w:val="20027E74"/>
    <w:rsid w:val="2024650C"/>
    <w:rsid w:val="20337402"/>
    <w:rsid w:val="20374B08"/>
    <w:rsid w:val="204663FA"/>
    <w:rsid w:val="20624FA2"/>
    <w:rsid w:val="206A1137"/>
    <w:rsid w:val="206C1D16"/>
    <w:rsid w:val="20797094"/>
    <w:rsid w:val="20835E3C"/>
    <w:rsid w:val="20AA1825"/>
    <w:rsid w:val="20B42340"/>
    <w:rsid w:val="20BB1EB1"/>
    <w:rsid w:val="20FD1F3A"/>
    <w:rsid w:val="21097FEA"/>
    <w:rsid w:val="21144C23"/>
    <w:rsid w:val="212A1B0E"/>
    <w:rsid w:val="212A75E7"/>
    <w:rsid w:val="21333432"/>
    <w:rsid w:val="2156737C"/>
    <w:rsid w:val="21593740"/>
    <w:rsid w:val="21596800"/>
    <w:rsid w:val="215C6880"/>
    <w:rsid w:val="2163612C"/>
    <w:rsid w:val="217039C6"/>
    <w:rsid w:val="21754AF5"/>
    <w:rsid w:val="217E7700"/>
    <w:rsid w:val="218158E0"/>
    <w:rsid w:val="218F0080"/>
    <w:rsid w:val="21BA53F5"/>
    <w:rsid w:val="21C0095E"/>
    <w:rsid w:val="220134AF"/>
    <w:rsid w:val="220B781D"/>
    <w:rsid w:val="2220525E"/>
    <w:rsid w:val="22330AF7"/>
    <w:rsid w:val="224449F5"/>
    <w:rsid w:val="225D16C1"/>
    <w:rsid w:val="2266010D"/>
    <w:rsid w:val="2266736E"/>
    <w:rsid w:val="226A2E83"/>
    <w:rsid w:val="226E674C"/>
    <w:rsid w:val="22712A0D"/>
    <w:rsid w:val="22734646"/>
    <w:rsid w:val="22853AE2"/>
    <w:rsid w:val="22B609EC"/>
    <w:rsid w:val="22C23296"/>
    <w:rsid w:val="22C24A6D"/>
    <w:rsid w:val="22CF4727"/>
    <w:rsid w:val="22D22D2B"/>
    <w:rsid w:val="22E35CB6"/>
    <w:rsid w:val="23037359"/>
    <w:rsid w:val="230F2900"/>
    <w:rsid w:val="23280561"/>
    <w:rsid w:val="2330019D"/>
    <w:rsid w:val="233429F8"/>
    <w:rsid w:val="233D0598"/>
    <w:rsid w:val="235E2799"/>
    <w:rsid w:val="23666663"/>
    <w:rsid w:val="23693289"/>
    <w:rsid w:val="23762954"/>
    <w:rsid w:val="23795972"/>
    <w:rsid w:val="2388093E"/>
    <w:rsid w:val="239147E1"/>
    <w:rsid w:val="23922691"/>
    <w:rsid w:val="23AA616E"/>
    <w:rsid w:val="23BB34F7"/>
    <w:rsid w:val="23C91D2E"/>
    <w:rsid w:val="23CB333E"/>
    <w:rsid w:val="23D031BA"/>
    <w:rsid w:val="23E17175"/>
    <w:rsid w:val="23F52A44"/>
    <w:rsid w:val="23F91B39"/>
    <w:rsid w:val="2427272F"/>
    <w:rsid w:val="243510A4"/>
    <w:rsid w:val="243A5F83"/>
    <w:rsid w:val="244702BD"/>
    <w:rsid w:val="24600C0F"/>
    <w:rsid w:val="247C356A"/>
    <w:rsid w:val="247E0687"/>
    <w:rsid w:val="248024EA"/>
    <w:rsid w:val="249C183C"/>
    <w:rsid w:val="24A20628"/>
    <w:rsid w:val="24B45D14"/>
    <w:rsid w:val="24C45D4A"/>
    <w:rsid w:val="24FE0E05"/>
    <w:rsid w:val="24FE2369"/>
    <w:rsid w:val="25171BA0"/>
    <w:rsid w:val="251B18C1"/>
    <w:rsid w:val="25222461"/>
    <w:rsid w:val="253432D4"/>
    <w:rsid w:val="25501E67"/>
    <w:rsid w:val="25524FA6"/>
    <w:rsid w:val="25532EC3"/>
    <w:rsid w:val="25572B8A"/>
    <w:rsid w:val="255B0F77"/>
    <w:rsid w:val="25925077"/>
    <w:rsid w:val="25A316E5"/>
    <w:rsid w:val="25AB7A3A"/>
    <w:rsid w:val="25AF3989"/>
    <w:rsid w:val="25B24E51"/>
    <w:rsid w:val="25BF517A"/>
    <w:rsid w:val="25C056FC"/>
    <w:rsid w:val="25C73339"/>
    <w:rsid w:val="25C86149"/>
    <w:rsid w:val="25D62822"/>
    <w:rsid w:val="25E057D1"/>
    <w:rsid w:val="25F16B68"/>
    <w:rsid w:val="260663DB"/>
    <w:rsid w:val="260F60FD"/>
    <w:rsid w:val="26546373"/>
    <w:rsid w:val="26841C6E"/>
    <w:rsid w:val="268F456F"/>
    <w:rsid w:val="26934343"/>
    <w:rsid w:val="26B424FB"/>
    <w:rsid w:val="26B73D93"/>
    <w:rsid w:val="26B91614"/>
    <w:rsid w:val="26E62133"/>
    <w:rsid w:val="26F07F12"/>
    <w:rsid w:val="27000F69"/>
    <w:rsid w:val="271635D9"/>
    <w:rsid w:val="271E7D95"/>
    <w:rsid w:val="27231852"/>
    <w:rsid w:val="272332E8"/>
    <w:rsid w:val="27611B1A"/>
    <w:rsid w:val="277835B5"/>
    <w:rsid w:val="277A5916"/>
    <w:rsid w:val="277F68D2"/>
    <w:rsid w:val="27870FB2"/>
    <w:rsid w:val="27897907"/>
    <w:rsid w:val="278F0AAA"/>
    <w:rsid w:val="27B84345"/>
    <w:rsid w:val="27CB7A47"/>
    <w:rsid w:val="27CF31D6"/>
    <w:rsid w:val="27D33279"/>
    <w:rsid w:val="27D86AE1"/>
    <w:rsid w:val="27E53B63"/>
    <w:rsid w:val="27EE6E31"/>
    <w:rsid w:val="27F52A10"/>
    <w:rsid w:val="280E4470"/>
    <w:rsid w:val="283E405F"/>
    <w:rsid w:val="28477238"/>
    <w:rsid w:val="286C6A99"/>
    <w:rsid w:val="287F4298"/>
    <w:rsid w:val="28CA4870"/>
    <w:rsid w:val="28D9203E"/>
    <w:rsid w:val="29092B39"/>
    <w:rsid w:val="291D0364"/>
    <w:rsid w:val="293D309F"/>
    <w:rsid w:val="29430898"/>
    <w:rsid w:val="294712E8"/>
    <w:rsid w:val="295E1181"/>
    <w:rsid w:val="297837BD"/>
    <w:rsid w:val="297E0074"/>
    <w:rsid w:val="298330BD"/>
    <w:rsid w:val="29AB625B"/>
    <w:rsid w:val="29AE18A7"/>
    <w:rsid w:val="29B00B02"/>
    <w:rsid w:val="29B449E4"/>
    <w:rsid w:val="29B661A7"/>
    <w:rsid w:val="29DB1483"/>
    <w:rsid w:val="29DC3277"/>
    <w:rsid w:val="29E8151E"/>
    <w:rsid w:val="29FA460F"/>
    <w:rsid w:val="2A0454D7"/>
    <w:rsid w:val="2A07620C"/>
    <w:rsid w:val="2A0B6D48"/>
    <w:rsid w:val="2A225DF1"/>
    <w:rsid w:val="2A397DF9"/>
    <w:rsid w:val="2A585CB7"/>
    <w:rsid w:val="2A635BF5"/>
    <w:rsid w:val="2A7C5019"/>
    <w:rsid w:val="2A8E3410"/>
    <w:rsid w:val="2AA607D0"/>
    <w:rsid w:val="2AC017A8"/>
    <w:rsid w:val="2AF05EF0"/>
    <w:rsid w:val="2B0B7E57"/>
    <w:rsid w:val="2B127E2F"/>
    <w:rsid w:val="2B3677A4"/>
    <w:rsid w:val="2B566DA9"/>
    <w:rsid w:val="2B595843"/>
    <w:rsid w:val="2B65243A"/>
    <w:rsid w:val="2B7F5D7B"/>
    <w:rsid w:val="2B9073EB"/>
    <w:rsid w:val="2B960845"/>
    <w:rsid w:val="2BAD682D"/>
    <w:rsid w:val="2BC41873"/>
    <w:rsid w:val="2BCD4767"/>
    <w:rsid w:val="2BD0231B"/>
    <w:rsid w:val="2BE266E9"/>
    <w:rsid w:val="2BEE5A9C"/>
    <w:rsid w:val="2BF612E4"/>
    <w:rsid w:val="2C0A350E"/>
    <w:rsid w:val="2C2A54CD"/>
    <w:rsid w:val="2C6B41B7"/>
    <w:rsid w:val="2C7566AC"/>
    <w:rsid w:val="2C83526D"/>
    <w:rsid w:val="2C89739D"/>
    <w:rsid w:val="2CAF7AE9"/>
    <w:rsid w:val="2CB550EC"/>
    <w:rsid w:val="2CC03DE8"/>
    <w:rsid w:val="2CCD4376"/>
    <w:rsid w:val="2CD914D4"/>
    <w:rsid w:val="2CDA65AE"/>
    <w:rsid w:val="2CE54697"/>
    <w:rsid w:val="2CE634EC"/>
    <w:rsid w:val="2CF75E8A"/>
    <w:rsid w:val="2CF947D9"/>
    <w:rsid w:val="2CFA06CC"/>
    <w:rsid w:val="2D067C4C"/>
    <w:rsid w:val="2D3F090C"/>
    <w:rsid w:val="2D473273"/>
    <w:rsid w:val="2D480265"/>
    <w:rsid w:val="2D6879F6"/>
    <w:rsid w:val="2D80355B"/>
    <w:rsid w:val="2D8167C0"/>
    <w:rsid w:val="2D88535C"/>
    <w:rsid w:val="2D9C1D44"/>
    <w:rsid w:val="2D9C5EBB"/>
    <w:rsid w:val="2DAB174B"/>
    <w:rsid w:val="2DAC3053"/>
    <w:rsid w:val="2DB40F04"/>
    <w:rsid w:val="2DB55317"/>
    <w:rsid w:val="2DBF011F"/>
    <w:rsid w:val="2DC72F38"/>
    <w:rsid w:val="2DD04A2C"/>
    <w:rsid w:val="2E073EDF"/>
    <w:rsid w:val="2E1A2D69"/>
    <w:rsid w:val="2E1C2312"/>
    <w:rsid w:val="2E255A7A"/>
    <w:rsid w:val="2E334A71"/>
    <w:rsid w:val="2E543C44"/>
    <w:rsid w:val="2E5F7DFE"/>
    <w:rsid w:val="2E617376"/>
    <w:rsid w:val="2E7A5410"/>
    <w:rsid w:val="2E840E29"/>
    <w:rsid w:val="2EB87882"/>
    <w:rsid w:val="2EB93CCD"/>
    <w:rsid w:val="2ED13170"/>
    <w:rsid w:val="2EED2E43"/>
    <w:rsid w:val="2EF44200"/>
    <w:rsid w:val="2F011E82"/>
    <w:rsid w:val="2F063F34"/>
    <w:rsid w:val="2F115073"/>
    <w:rsid w:val="2F191EB9"/>
    <w:rsid w:val="2F2B1BEC"/>
    <w:rsid w:val="2F415E64"/>
    <w:rsid w:val="2F60404A"/>
    <w:rsid w:val="2F6858EF"/>
    <w:rsid w:val="2F7674B4"/>
    <w:rsid w:val="2F767D34"/>
    <w:rsid w:val="2F9B0B20"/>
    <w:rsid w:val="2FC51659"/>
    <w:rsid w:val="2FCB2DE8"/>
    <w:rsid w:val="2FD15B01"/>
    <w:rsid w:val="2FD23E16"/>
    <w:rsid w:val="30082C17"/>
    <w:rsid w:val="301306B6"/>
    <w:rsid w:val="301A6B35"/>
    <w:rsid w:val="301F4798"/>
    <w:rsid w:val="301F76D3"/>
    <w:rsid w:val="302B3EE0"/>
    <w:rsid w:val="30385048"/>
    <w:rsid w:val="30400DE6"/>
    <w:rsid w:val="3046030C"/>
    <w:rsid w:val="30466CDD"/>
    <w:rsid w:val="304E0B54"/>
    <w:rsid w:val="304E5B92"/>
    <w:rsid w:val="30577166"/>
    <w:rsid w:val="30634CFA"/>
    <w:rsid w:val="30A8450A"/>
    <w:rsid w:val="30B147B2"/>
    <w:rsid w:val="30C47C02"/>
    <w:rsid w:val="30ED7526"/>
    <w:rsid w:val="30FE64F4"/>
    <w:rsid w:val="310D00D7"/>
    <w:rsid w:val="311346E6"/>
    <w:rsid w:val="311A48AE"/>
    <w:rsid w:val="311E37B6"/>
    <w:rsid w:val="311E5799"/>
    <w:rsid w:val="312132A7"/>
    <w:rsid w:val="3148575D"/>
    <w:rsid w:val="314A5A0E"/>
    <w:rsid w:val="315340D2"/>
    <w:rsid w:val="315F4907"/>
    <w:rsid w:val="3163566D"/>
    <w:rsid w:val="31682139"/>
    <w:rsid w:val="317B43D3"/>
    <w:rsid w:val="318B0E76"/>
    <w:rsid w:val="319957F6"/>
    <w:rsid w:val="31A32450"/>
    <w:rsid w:val="31BE2B8F"/>
    <w:rsid w:val="31C036D0"/>
    <w:rsid w:val="31C90302"/>
    <w:rsid w:val="31D953B1"/>
    <w:rsid w:val="31EC1741"/>
    <w:rsid w:val="31EF6CF0"/>
    <w:rsid w:val="31F7619B"/>
    <w:rsid w:val="32045187"/>
    <w:rsid w:val="321F0CAE"/>
    <w:rsid w:val="321F3505"/>
    <w:rsid w:val="322B0318"/>
    <w:rsid w:val="323330D4"/>
    <w:rsid w:val="323B0398"/>
    <w:rsid w:val="32494369"/>
    <w:rsid w:val="324C0B81"/>
    <w:rsid w:val="32517D1E"/>
    <w:rsid w:val="326C2300"/>
    <w:rsid w:val="329B0438"/>
    <w:rsid w:val="32AE3934"/>
    <w:rsid w:val="32B2391C"/>
    <w:rsid w:val="32B444CD"/>
    <w:rsid w:val="32B63AAA"/>
    <w:rsid w:val="32B87106"/>
    <w:rsid w:val="32CE1FF1"/>
    <w:rsid w:val="32E32BA9"/>
    <w:rsid w:val="3301513E"/>
    <w:rsid w:val="3304078A"/>
    <w:rsid w:val="33091096"/>
    <w:rsid w:val="33232830"/>
    <w:rsid w:val="3341533E"/>
    <w:rsid w:val="33843CA1"/>
    <w:rsid w:val="33C46A54"/>
    <w:rsid w:val="341A4418"/>
    <w:rsid w:val="342D5ABF"/>
    <w:rsid w:val="34497D80"/>
    <w:rsid w:val="344D764F"/>
    <w:rsid w:val="34690455"/>
    <w:rsid w:val="34743D78"/>
    <w:rsid w:val="34797438"/>
    <w:rsid w:val="348F756B"/>
    <w:rsid w:val="34AA1765"/>
    <w:rsid w:val="34B86D9B"/>
    <w:rsid w:val="34B87A7E"/>
    <w:rsid w:val="34D7618A"/>
    <w:rsid w:val="34E94753"/>
    <w:rsid w:val="34FE589B"/>
    <w:rsid w:val="350D4A91"/>
    <w:rsid w:val="351A5633"/>
    <w:rsid w:val="351D7469"/>
    <w:rsid w:val="351E40AC"/>
    <w:rsid w:val="35273BF4"/>
    <w:rsid w:val="3529493E"/>
    <w:rsid w:val="35330B48"/>
    <w:rsid w:val="353B29E7"/>
    <w:rsid w:val="354632DC"/>
    <w:rsid w:val="35487054"/>
    <w:rsid w:val="355D4407"/>
    <w:rsid w:val="3562042D"/>
    <w:rsid w:val="35850AE6"/>
    <w:rsid w:val="359F5039"/>
    <w:rsid w:val="35A74497"/>
    <w:rsid w:val="35A74E2B"/>
    <w:rsid w:val="35A94199"/>
    <w:rsid w:val="35B05630"/>
    <w:rsid w:val="35C33EC5"/>
    <w:rsid w:val="35C81BD5"/>
    <w:rsid w:val="35CE05E0"/>
    <w:rsid w:val="35CF6801"/>
    <w:rsid w:val="35DE1818"/>
    <w:rsid w:val="35E05711"/>
    <w:rsid w:val="35E548A3"/>
    <w:rsid w:val="35ED404E"/>
    <w:rsid w:val="35FB3FAE"/>
    <w:rsid w:val="36243C2B"/>
    <w:rsid w:val="364041CF"/>
    <w:rsid w:val="36475152"/>
    <w:rsid w:val="365674EF"/>
    <w:rsid w:val="36575075"/>
    <w:rsid w:val="366814B8"/>
    <w:rsid w:val="367134DE"/>
    <w:rsid w:val="36787E34"/>
    <w:rsid w:val="36806674"/>
    <w:rsid w:val="3692435D"/>
    <w:rsid w:val="36940077"/>
    <w:rsid w:val="36C077CA"/>
    <w:rsid w:val="36FC06E4"/>
    <w:rsid w:val="36FC1E00"/>
    <w:rsid w:val="370945C1"/>
    <w:rsid w:val="370B0055"/>
    <w:rsid w:val="371371EE"/>
    <w:rsid w:val="3724764D"/>
    <w:rsid w:val="372D5AED"/>
    <w:rsid w:val="373A6E70"/>
    <w:rsid w:val="374733FC"/>
    <w:rsid w:val="374976F8"/>
    <w:rsid w:val="37533A9C"/>
    <w:rsid w:val="377F4883"/>
    <w:rsid w:val="37821544"/>
    <w:rsid w:val="3787676D"/>
    <w:rsid w:val="37953793"/>
    <w:rsid w:val="37980319"/>
    <w:rsid w:val="37A53093"/>
    <w:rsid w:val="37A61E10"/>
    <w:rsid w:val="37C624B2"/>
    <w:rsid w:val="37E702EC"/>
    <w:rsid w:val="37FE23FA"/>
    <w:rsid w:val="381B27FE"/>
    <w:rsid w:val="384B0C09"/>
    <w:rsid w:val="384B76ED"/>
    <w:rsid w:val="384C22E9"/>
    <w:rsid w:val="38591578"/>
    <w:rsid w:val="387056C8"/>
    <w:rsid w:val="38727414"/>
    <w:rsid w:val="388B3981"/>
    <w:rsid w:val="38923664"/>
    <w:rsid w:val="38AF4648"/>
    <w:rsid w:val="38B3392D"/>
    <w:rsid w:val="38B37C06"/>
    <w:rsid w:val="38B90269"/>
    <w:rsid w:val="38C27D84"/>
    <w:rsid w:val="38E50A97"/>
    <w:rsid w:val="38E94C26"/>
    <w:rsid w:val="38EF3B98"/>
    <w:rsid w:val="391E370A"/>
    <w:rsid w:val="392F5095"/>
    <w:rsid w:val="393C7ED6"/>
    <w:rsid w:val="39406DCB"/>
    <w:rsid w:val="3944671E"/>
    <w:rsid w:val="39465433"/>
    <w:rsid w:val="39581B4E"/>
    <w:rsid w:val="395B6912"/>
    <w:rsid w:val="396E48FD"/>
    <w:rsid w:val="3988070A"/>
    <w:rsid w:val="3996509C"/>
    <w:rsid w:val="39A56F77"/>
    <w:rsid w:val="39B61C3E"/>
    <w:rsid w:val="39B8407C"/>
    <w:rsid w:val="39BE4A11"/>
    <w:rsid w:val="39CB75EB"/>
    <w:rsid w:val="39ED6A5C"/>
    <w:rsid w:val="39EF2828"/>
    <w:rsid w:val="3A0C72AD"/>
    <w:rsid w:val="3A27520A"/>
    <w:rsid w:val="3A340232"/>
    <w:rsid w:val="3A3F6C87"/>
    <w:rsid w:val="3A465FD4"/>
    <w:rsid w:val="3A956A72"/>
    <w:rsid w:val="3A974416"/>
    <w:rsid w:val="3AD70862"/>
    <w:rsid w:val="3AE76311"/>
    <w:rsid w:val="3B0E1700"/>
    <w:rsid w:val="3B1109C9"/>
    <w:rsid w:val="3B234763"/>
    <w:rsid w:val="3B2552D7"/>
    <w:rsid w:val="3B2E0A9A"/>
    <w:rsid w:val="3B3F7D03"/>
    <w:rsid w:val="3B4734EC"/>
    <w:rsid w:val="3B4A067F"/>
    <w:rsid w:val="3B6C3376"/>
    <w:rsid w:val="3B914D14"/>
    <w:rsid w:val="3B950B19"/>
    <w:rsid w:val="3B970D6B"/>
    <w:rsid w:val="3BA40EF1"/>
    <w:rsid w:val="3BE51125"/>
    <w:rsid w:val="3BE90506"/>
    <w:rsid w:val="3BEB6832"/>
    <w:rsid w:val="3BEE1FD7"/>
    <w:rsid w:val="3BF178CC"/>
    <w:rsid w:val="3BF677D5"/>
    <w:rsid w:val="3BFA2E9E"/>
    <w:rsid w:val="3C3947B6"/>
    <w:rsid w:val="3C395948"/>
    <w:rsid w:val="3C40766B"/>
    <w:rsid w:val="3C476B61"/>
    <w:rsid w:val="3C4F6F1A"/>
    <w:rsid w:val="3C583A62"/>
    <w:rsid w:val="3C6A5B02"/>
    <w:rsid w:val="3C813EBD"/>
    <w:rsid w:val="3C89722C"/>
    <w:rsid w:val="3C925C0E"/>
    <w:rsid w:val="3C9C5ED7"/>
    <w:rsid w:val="3CA24375"/>
    <w:rsid w:val="3CB702EA"/>
    <w:rsid w:val="3CBD35C8"/>
    <w:rsid w:val="3CC24029"/>
    <w:rsid w:val="3CCF0F73"/>
    <w:rsid w:val="3CE437F4"/>
    <w:rsid w:val="3CEE4B53"/>
    <w:rsid w:val="3D202664"/>
    <w:rsid w:val="3D386985"/>
    <w:rsid w:val="3D3906B1"/>
    <w:rsid w:val="3D584E9B"/>
    <w:rsid w:val="3D6A1245"/>
    <w:rsid w:val="3D812D05"/>
    <w:rsid w:val="3D880E45"/>
    <w:rsid w:val="3D9C69C1"/>
    <w:rsid w:val="3DA0424A"/>
    <w:rsid w:val="3DA419D7"/>
    <w:rsid w:val="3DAE3D2B"/>
    <w:rsid w:val="3DC729DF"/>
    <w:rsid w:val="3DDA6370"/>
    <w:rsid w:val="3DDD2C1B"/>
    <w:rsid w:val="3DE466F1"/>
    <w:rsid w:val="3DFF5060"/>
    <w:rsid w:val="3E136870"/>
    <w:rsid w:val="3E244C06"/>
    <w:rsid w:val="3E405A3C"/>
    <w:rsid w:val="3E5312CD"/>
    <w:rsid w:val="3E541955"/>
    <w:rsid w:val="3E5D5F3B"/>
    <w:rsid w:val="3E615282"/>
    <w:rsid w:val="3E8429B9"/>
    <w:rsid w:val="3E886F46"/>
    <w:rsid w:val="3EAF5499"/>
    <w:rsid w:val="3EBE7D18"/>
    <w:rsid w:val="3ECC547A"/>
    <w:rsid w:val="3ED26B65"/>
    <w:rsid w:val="3EE01AD6"/>
    <w:rsid w:val="3EF06066"/>
    <w:rsid w:val="3EFC5719"/>
    <w:rsid w:val="3F0062A9"/>
    <w:rsid w:val="3F1A1718"/>
    <w:rsid w:val="3F2E2A49"/>
    <w:rsid w:val="3F35224C"/>
    <w:rsid w:val="3F3B11B3"/>
    <w:rsid w:val="3F3E3276"/>
    <w:rsid w:val="3F450160"/>
    <w:rsid w:val="3F4E5041"/>
    <w:rsid w:val="3F506818"/>
    <w:rsid w:val="3F5B13C7"/>
    <w:rsid w:val="3F5E44CF"/>
    <w:rsid w:val="3F727971"/>
    <w:rsid w:val="3FE36C1C"/>
    <w:rsid w:val="3FEB19D5"/>
    <w:rsid w:val="3FF51B86"/>
    <w:rsid w:val="4007654B"/>
    <w:rsid w:val="400B2917"/>
    <w:rsid w:val="400E2C48"/>
    <w:rsid w:val="403326AF"/>
    <w:rsid w:val="40340044"/>
    <w:rsid w:val="40574465"/>
    <w:rsid w:val="405A7C3B"/>
    <w:rsid w:val="40661E5E"/>
    <w:rsid w:val="406E45AD"/>
    <w:rsid w:val="4070618B"/>
    <w:rsid w:val="407C0CAD"/>
    <w:rsid w:val="40924D64"/>
    <w:rsid w:val="40937486"/>
    <w:rsid w:val="40963A57"/>
    <w:rsid w:val="40B808FD"/>
    <w:rsid w:val="40BC4452"/>
    <w:rsid w:val="40D16C5D"/>
    <w:rsid w:val="410A3110"/>
    <w:rsid w:val="41263FC1"/>
    <w:rsid w:val="41310CA2"/>
    <w:rsid w:val="414D59F2"/>
    <w:rsid w:val="417E2272"/>
    <w:rsid w:val="41893506"/>
    <w:rsid w:val="419453CF"/>
    <w:rsid w:val="419915A4"/>
    <w:rsid w:val="41A82FD1"/>
    <w:rsid w:val="41C35995"/>
    <w:rsid w:val="41CF7D38"/>
    <w:rsid w:val="41FC4A89"/>
    <w:rsid w:val="41FD072C"/>
    <w:rsid w:val="420F1D94"/>
    <w:rsid w:val="421B33FA"/>
    <w:rsid w:val="42220C2D"/>
    <w:rsid w:val="422C362E"/>
    <w:rsid w:val="423E5ED2"/>
    <w:rsid w:val="42402E61"/>
    <w:rsid w:val="424441F1"/>
    <w:rsid w:val="424807CB"/>
    <w:rsid w:val="425B7242"/>
    <w:rsid w:val="425E0F00"/>
    <w:rsid w:val="426D5149"/>
    <w:rsid w:val="427E3E3A"/>
    <w:rsid w:val="428917B7"/>
    <w:rsid w:val="429C09DF"/>
    <w:rsid w:val="429D5A35"/>
    <w:rsid w:val="42CB0006"/>
    <w:rsid w:val="42F1595A"/>
    <w:rsid w:val="43054BB1"/>
    <w:rsid w:val="430B7DA4"/>
    <w:rsid w:val="430D4AC0"/>
    <w:rsid w:val="431E047F"/>
    <w:rsid w:val="431E13F4"/>
    <w:rsid w:val="431E65EF"/>
    <w:rsid w:val="4336193D"/>
    <w:rsid w:val="435A4BBF"/>
    <w:rsid w:val="435A7F52"/>
    <w:rsid w:val="436A6565"/>
    <w:rsid w:val="437A019F"/>
    <w:rsid w:val="43891F34"/>
    <w:rsid w:val="43915A26"/>
    <w:rsid w:val="439711A6"/>
    <w:rsid w:val="439D67BD"/>
    <w:rsid w:val="439E4578"/>
    <w:rsid w:val="43B21221"/>
    <w:rsid w:val="43B34232"/>
    <w:rsid w:val="43C63987"/>
    <w:rsid w:val="43E97C54"/>
    <w:rsid w:val="43FB7AE7"/>
    <w:rsid w:val="4400649E"/>
    <w:rsid w:val="4413082D"/>
    <w:rsid w:val="441426C6"/>
    <w:rsid w:val="441466E5"/>
    <w:rsid w:val="4421734C"/>
    <w:rsid w:val="442E1A11"/>
    <w:rsid w:val="44437D45"/>
    <w:rsid w:val="44460A9F"/>
    <w:rsid w:val="4478624B"/>
    <w:rsid w:val="447D3DB0"/>
    <w:rsid w:val="4493367B"/>
    <w:rsid w:val="44A575B6"/>
    <w:rsid w:val="44A72843"/>
    <w:rsid w:val="44A818BD"/>
    <w:rsid w:val="44AB74B4"/>
    <w:rsid w:val="44B2771E"/>
    <w:rsid w:val="44B8368E"/>
    <w:rsid w:val="44C86FAD"/>
    <w:rsid w:val="451D487E"/>
    <w:rsid w:val="452905F3"/>
    <w:rsid w:val="4531085A"/>
    <w:rsid w:val="453D6C80"/>
    <w:rsid w:val="4554734F"/>
    <w:rsid w:val="45570BED"/>
    <w:rsid w:val="456A35B3"/>
    <w:rsid w:val="45A45439"/>
    <w:rsid w:val="45AF4E96"/>
    <w:rsid w:val="45C53143"/>
    <w:rsid w:val="45CA7348"/>
    <w:rsid w:val="45CB72CE"/>
    <w:rsid w:val="45E765DF"/>
    <w:rsid w:val="460C7193"/>
    <w:rsid w:val="461F4864"/>
    <w:rsid w:val="46284338"/>
    <w:rsid w:val="462B6DAB"/>
    <w:rsid w:val="465F5302"/>
    <w:rsid w:val="46804174"/>
    <w:rsid w:val="46977D08"/>
    <w:rsid w:val="469B5592"/>
    <w:rsid w:val="46A5400A"/>
    <w:rsid w:val="46B12676"/>
    <w:rsid w:val="46C67C71"/>
    <w:rsid w:val="46CC5A2A"/>
    <w:rsid w:val="46DB6342"/>
    <w:rsid w:val="46F207EA"/>
    <w:rsid w:val="46F40267"/>
    <w:rsid w:val="46F87058"/>
    <w:rsid w:val="47283388"/>
    <w:rsid w:val="47426A8F"/>
    <w:rsid w:val="4750618B"/>
    <w:rsid w:val="47695820"/>
    <w:rsid w:val="477633BB"/>
    <w:rsid w:val="477A20CD"/>
    <w:rsid w:val="47997EC0"/>
    <w:rsid w:val="47C35102"/>
    <w:rsid w:val="47C90408"/>
    <w:rsid w:val="47CA3491"/>
    <w:rsid w:val="47DE0285"/>
    <w:rsid w:val="47EA0372"/>
    <w:rsid w:val="47F77566"/>
    <w:rsid w:val="4806637A"/>
    <w:rsid w:val="48131737"/>
    <w:rsid w:val="481C1DA4"/>
    <w:rsid w:val="481C1F20"/>
    <w:rsid w:val="481C7F38"/>
    <w:rsid w:val="482932B2"/>
    <w:rsid w:val="48353471"/>
    <w:rsid w:val="48452D6C"/>
    <w:rsid w:val="48455675"/>
    <w:rsid w:val="48490177"/>
    <w:rsid w:val="4854370B"/>
    <w:rsid w:val="48734131"/>
    <w:rsid w:val="48801F0A"/>
    <w:rsid w:val="48802209"/>
    <w:rsid w:val="489C4879"/>
    <w:rsid w:val="489C7EA5"/>
    <w:rsid w:val="489F22D8"/>
    <w:rsid w:val="48F36B0C"/>
    <w:rsid w:val="49026A18"/>
    <w:rsid w:val="49276E58"/>
    <w:rsid w:val="4936793D"/>
    <w:rsid w:val="494B4338"/>
    <w:rsid w:val="497C5511"/>
    <w:rsid w:val="49987633"/>
    <w:rsid w:val="499C63C9"/>
    <w:rsid w:val="49B65DC9"/>
    <w:rsid w:val="49C34AA3"/>
    <w:rsid w:val="49DC2C49"/>
    <w:rsid w:val="49DD4852"/>
    <w:rsid w:val="4A131AB1"/>
    <w:rsid w:val="4A34760C"/>
    <w:rsid w:val="4A571AF5"/>
    <w:rsid w:val="4A64259A"/>
    <w:rsid w:val="4A6943A9"/>
    <w:rsid w:val="4AA4128B"/>
    <w:rsid w:val="4AAA7028"/>
    <w:rsid w:val="4AAD305D"/>
    <w:rsid w:val="4AD50D4A"/>
    <w:rsid w:val="4AD52CE0"/>
    <w:rsid w:val="4ADC75C4"/>
    <w:rsid w:val="4AF2177C"/>
    <w:rsid w:val="4B04060B"/>
    <w:rsid w:val="4B0663E3"/>
    <w:rsid w:val="4B0F2FC4"/>
    <w:rsid w:val="4B2977E3"/>
    <w:rsid w:val="4B357CDA"/>
    <w:rsid w:val="4B3A3263"/>
    <w:rsid w:val="4B404F96"/>
    <w:rsid w:val="4B4D6D1A"/>
    <w:rsid w:val="4B5A0EC6"/>
    <w:rsid w:val="4B5F395F"/>
    <w:rsid w:val="4B775B45"/>
    <w:rsid w:val="4BB73A13"/>
    <w:rsid w:val="4BE11286"/>
    <w:rsid w:val="4BE22955"/>
    <w:rsid w:val="4BE331DB"/>
    <w:rsid w:val="4BFC332A"/>
    <w:rsid w:val="4C1C493F"/>
    <w:rsid w:val="4C491FB6"/>
    <w:rsid w:val="4C4B3142"/>
    <w:rsid w:val="4C60411D"/>
    <w:rsid w:val="4C78186F"/>
    <w:rsid w:val="4C8909FE"/>
    <w:rsid w:val="4C8C73CE"/>
    <w:rsid w:val="4C9743B6"/>
    <w:rsid w:val="4CA56DBD"/>
    <w:rsid w:val="4CA7530F"/>
    <w:rsid w:val="4CAC6F4F"/>
    <w:rsid w:val="4CC254E6"/>
    <w:rsid w:val="4CCD70EB"/>
    <w:rsid w:val="4CCE259F"/>
    <w:rsid w:val="4CD15334"/>
    <w:rsid w:val="4CDC2AC2"/>
    <w:rsid w:val="4CEF194A"/>
    <w:rsid w:val="4D123D13"/>
    <w:rsid w:val="4D215B29"/>
    <w:rsid w:val="4D4473CA"/>
    <w:rsid w:val="4D594184"/>
    <w:rsid w:val="4D670A85"/>
    <w:rsid w:val="4D80617B"/>
    <w:rsid w:val="4D806473"/>
    <w:rsid w:val="4D87100E"/>
    <w:rsid w:val="4D8C6147"/>
    <w:rsid w:val="4DB87F6B"/>
    <w:rsid w:val="4DC608A6"/>
    <w:rsid w:val="4DF85FC0"/>
    <w:rsid w:val="4E1074C8"/>
    <w:rsid w:val="4E1B446E"/>
    <w:rsid w:val="4E2B1D2E"/>
    <w:rsid w:val="4E4D1FDB"/>
    <w:rsid w:val="4E527CB0"/>
    <w:rsid w:val="4E54216E"/>
    <w:rsid w:val="4E6F1EF6"/>
    <w:rsid w:val="4E726590"/>
    <w:rsid w:val="4E78193F"/>
    <w:rsid w:val="4E7B029B"/>
    <w:rsid w:val="4E862BE7"/>
    <w:rsid w:val="4E9C2A45"/>
    <w:rsid w:val="4ECB07EA"/>
    <w:rsid w:val="4EDA18B9"/>
    <w:rsid w:val="4EDC0E0D"/>
    <w:rsid w:val="4F0E208E"/>
    <w:rsid w:val="4F216F20"/>
    <w:rsid w:val="4F573543"/>
    <w:rsid w:val="4F6D467A"/>
    <w:rsid w:val="4FC25484"/>
    <w:rsid w:val="4FE70DC0"/>
    <w:rsid w:val="4FED507D"/>
    <w:rsid w:val="4FFB62E9"/>
    <w:rsid w:val="500F0A42"/>
    <w:rsid w:val="501C4E89"/>
    <w:rsid w:val="501C6357"/>
    <w:rsid w:val="501E77BE"/>
    <w:rsid w:val="502B325D"/>
    <w:rsid w:val="503F1E18"/>
    <w:rsid w:val="504646F8"/>
    <w:rsid w:val="505C119D"/>
    <w:rsid w:val="505D795E"/>
    <w:rsid w:val="50630959"/>
    <w:rsid w:val="506A3CEE"/>
    <w:rsid w:val="50715259"/>
    <w:rsid w:val="50AD3336"/>
    <w:rsid w:val="50C62458"/>
    <w:rsid w:val="50DD3BA3"/>
    <w:rsid w:val="50E33C7D"/>
    <w:rsid w:val="50E61CAB"/>
    <w:rsid w:val="50E8074E"/>
    <w:rsid w:val="5132754D"/>
    <w:rsid w:val="513564CC"/>
    <w:rsid w:val="514E3A09"/>
    <w:rsid w:val="51570EC4"/>
    <w:rsid w:val="517C3AF1"/>
    <w:rsid w:val="51915B3D"/>
    <w:rsid w:val="5192284F"/>
    <w:rsid w:val="519805C3"/>
    <w:rsid w:val="519A07DF"/>
    <w:rsid w:val="519F5121"/>
    <w:rsid w:val="519F5DF6"/>
    <w:rsid w:val="51AB06D5"/>
    <w:rsid w:val="51C90872"/>
    <w:rsid w:val="51CB2747"/>
    <w:rsid w:val="51F06651"/>
    <w:rsid w:val="5229273F"/>
    <w:rsid w:val="52547228"/>
    <w:rsid w:val="52884ADC"/>
    <w:rsid w:val="529432E6"/>
    <w:rsid w:val="52A8026E"/>
    <w:rsid w:val="52B15DE1"/>
    <w:rsid w:val="52C97D0A"/>
    <w:rsid w:val="52CE189A"/>
    <w:rsid w:val="52D22AF1"/>
    <w:rsid w:val="52D7511B"/>
    <w:rsid w:val="52EC7710"/>
    <w:rsid w:val="53053A1B"/>
    <w:rsid w:val="532C197B"/>
    <w:rsid w:val="534C6115"/>
    <w:rsid w:val="53561F88"/>
    <w:rsid w:val="536B5C40"/>
    <w:rsid w:val="5393203B"/>
    <w:rsid w:val="53A31472"/>
    <w:rsid w:val="53BC34C4"/>
    <w:rsid w:val="53CE29B7"/>
    <w:rsid w:val="53E93F16"/>
    <w:rsid w:val="53F04BF7"/>
    <w:rsid w:val="53FC6951"/>
    <w:rsid w:val="540337E7"/>
    <w:rsid w:val="54142032"/>
    <w:rsid w:val="54143B82"/>
    <w:rsid w:val="54214E10"/>
    <w:rsid w:val="54322F51"/>
    <w:rsid w:val="54417711"/>
    <w:rsid w:val="54451376"/>
    <w:rsid w:val="54756BB0"/>
    <w:rsid w:val="54776BE8"/>
    <w:rsid w:val="547B2C44"/>
    <w:rsid w:val="547F7066"/>
    <w:rsid w:val="54834E17"/>
    <w:rsid w:val="548C0083"/>
    <w:rsid w:val="549A6999"/>
    <w:rsid w:val="549F7BBD"/>
    <w:rsid w:val="54BC10AE"/>
    <w:rsid w:val="54D45DB6"/>
    <w:rsid w:val="54DE257B"/>
    <w:rsid w:val="54F82DE2"/>
    <w:rsid w:val="55091415"/>
    <w:rsid w:val="551663CF"/>
    <w:rsid w:val="5533415E"/>
    <w:rsid w:val="553B71C1"/>
    <w:rsid w:val="553D5A1E"/>
    <w:rsid w:val="5544465C"/>
    <w:rsid w:val="554A23D1"/>
    <w:rsid w:val="55503112"/>
    <w:rsid w:val="555B4C1C"/>
    <w:rsid w:val="55665E4B"/>
    <w:rsid w:val="557C6AE7"/>
    <w:rsid w:val="55827F51"/>
    <w:rsid w:val="55A0704C"/>
    <w:rsid w:val="55A923B9"/>
    <w:rsid w:val="55CB540B"/>
    <w:rsid w:val="55DD38ED"/>
    <w:rsid w:val="561A3EA2"/>
    <w:rsid w:val="563A433F"/>
    <w:rsid w:val="56434C8D"/>
    <w:rsid w:val="565C6063"/>
    <w:rsid w:val="56650681"/>
    <w:rsid w:val="56702659"/>
    <w:rsid w:val="56723AD9"/>
    <w:rsid w:val="568A68D9"/>
    <w:rsid w:val="56903C43"/>
    <w:rsid w:val="56A438D4"/>
    <w:rsid w:val="56B33344"/>
    <w:rsid w:val="56BA5C7F"/>
    <w:rsid w:val="56D02D3A"/>
    <w:rsid w:val="56D50ABF"/>
    <w:rsid w:val="56EA1F97"/>
    <w:rsid w:val="56F20776"/>
    <w:rsid w:val="56FF3E75"/>
    <w:rsid w:val="57030BDD"/>
    <w:rsid w:val="570F0FFB"/>
    <w:rsid w:val="57125C08"/>
    <w:rsid w:val="574C432A"/>
    <w:rsid w:val="574E065D"/>
    <w:rsid w:val="57513101"/>
    <w:rsid w:val="57546577"/>
    <w:rsid w:val="575B7C13"/>
    <w:rsid w:val="576E7E03"/>
    <w:rsid w:val="577613A7"/>
    <w:rsid w:val="578A5B09"/>
    <w:rsid w:val="57AA49F3"/>
    <w:rsid w:val="57AA5D1A"/>
    <w:rsid w:val="57BE32DB"/>
    <w:rsid w:val="57D631F8"/>
    <w:rsid w:val="57E73000"/>
    <w:rsid w:val="57F2073E"/>
    <w:rsid w:val="58082218"/>
    <w:rsid w:val="581028EA"/>
    <w:rsid w:val="581A61D6"/>
    <w:rsid w:val="58207669"/>
    <w:rsid w:val="58344161"/>
    <w:rsid w:val="58477312"/>
    <w:rsid w:val="58507E4A"/>
    <w:rsid w:val="585D0DF7"/>
    <w:rsid w:val="58647451"/>
    <w:rsid w:val="587055D0"/>
    <w:rsid w:val="587316C8"/>
    <w:rsid w:val="587C6061"/>
    <w:rsid w:val="58AD641D"/>
    <w:rsid w:val="58B35DB0"/>
    <w:rsid w:val="58B420E4"/>
    <w:rsid w:val="58E72343"/>
    <w:rsid w:val="58F92391"/>
    <w:rsid w:val="59135C67"/>
    <w:rsid w:val="592B7F6F"/>
    <w:rsid w:val="593C1329"/>
    <w:rsid w:val="5947124D"/>
    <w:rsid w:val="59505DD3"/>
    <w:rsid w:val="59572737"/>
    <w:rsid w:val="595A34E9"/>
    <w:rsid w:val="595B7937"/>
    <w:rsid w:val="597C7365"/>
    <w:rsid w:val="597F7369"/>
    <w:rsid w:val="598C3589"/>
    <w:rsid w:val="59997155"/>
    <w:rsid w:val="59A179F0"/>
    <w:rsid w:val="59A2414B"/>
    <w:rsid w:val="59A37E28"/>
    <w:rsid w:val="59BE0DE3"/>
    <w:rsid w:val="59C97EB4"/>
    <w:rsid w:val="59DD570D"/>
    <w:rsid w:val="59FE08FA"/>
    <w:rsid w:val="5A060D86"/>
    <w:rsid w:val="5A07600C"/>
    <w:rsid w:val="5A0E1FEB"/>
    <w:rsid w:val="5A76260D"/>
    <w:rsid w:val="5A886394"/>
    <w:rsid w:val="5A9F6060"/>
    <w:rsid w:val="5AA9478F"/>
    <w:rsid w:val="5ACF7403"/>
    <w:rsid w:val="5AD563E4"/>
    <w:rsid w:val="5B3475AF"/>
    <w:rsid w:val="5B4648C3"/>
    <w:rsid w:val="5B46719F"/>
    <w:rsid w:val="5B737DCF"/>
    <w:rsid w:val="5B78480A"/>
    <w:rsid w:val="5BA42A14"/>
    <w:rsid w:val="5BB47CCC"/>
    <w:rsid w:val="5BD05B9D"/>
    <w:rsid w:val="5BD343E6"/>
    <w:rsid w:val="5BD92251"/>
    <w:rsid w:val="5BE00F61"/>
    <w:rsid w:val="5BFB5206"/>
    <w:rsid w:val="5C596836"/>
    <w:rsid w:val="5C9F4EFC"/>
    <w:rsid w:val="5CB65A64"/>
    <w:rsid w:val="5CBC5DD4"/>
    <w:rsid w:val="5CCB6787"/>
    <w:rsid w:val="5CD26BB3"/>
    <w:rsid w:val="5CEB063E"/>
    <w:rsid w:val="5D0B0214"/>
    <w:rsid w:val="5D1A0A42"/>
    <w:rsid w:val="5D4065CB"/>
    <w:rsid w:val="5D4F1710"/>
    <w:rsid w:val="5D6714E3"/>
    <w:rsid w:val="5D71045F"/>
    <w:rsid w:val="5D740167"/>
    <w:rsid w:val="5D7B2C57"/>
    <w:rsid w:val="5DA55EAC"/>
    <w:rsid w:val="5DAC626B"/>
    <w:rsid w:val="5DAD68CB"/>
    <w:rsid w:val="5DC37880"/>
    <w:rsid w:val="5DD9443E"/>
    <w:rsid w:val="5DEF6092"/>
    <w:rsid w:val="5DF57F5D"/>
    <w:rsid w:val="5E0737C3"/>
    <w:rsid w:val="5E146811"/>
    <w:rsid w:val="5E385608"/>
    <w:rsid w:val="5E3F1ED0"/>
    <w:rsid w:val="5E4A015A"/>
    <w:rsid w:val="5E4B73F5"/>
    <w:rsid w:val="5E4E1E2F"/>
    <w:rsid w:val="5E533E7F"/>
    <w:rsid w:val="5E5845CF"/>
    <w:rsid w:val="5E5E0F0F"/>
    <w:rsid w:val="5E7E280E"/>
    <w:rsid w:val="5E9D36BD"/>
    <w:rsid w:val="5EA16DA8"/>
    <w:rsid w:val="5EA343F9"/>
    <w:rsid w:val="5EC413AB"/>
    <w:rsid w:val="5EFA6F15"/>
    <w:rsid w:val="5F164D5E"/>
    <w:rsid w:val="5F1F0576"/>
    <w:rsid w:val="5F2D2E3D"/>
    <w:rsid w:val="5F383B90"/>
    <w:rsid w:val="5F41673E"/>
    <w:rsid w:val="5F511649"/>
    <w:rsid w:val="5F741C71"/>
    <w:rsid w:val="5F797526"/>
    <w:rsid w:val="5F884475"/>
    <w:rsid w:val="5F940261"/>
    <w:rsid w:val="5F9525E6"/>
    <w:rsid w:val="5FA40A7B"/>
    <w:rsid w:val="5FA8111A"/>
    <w:rsid w:val="5FAC17B4"/>
    <w:rsid w:val="5FB51E86"/>
    <w:rsid w:val="5FBE713C"/>
    <w:rsid w:val="5FDA399F"/>
    <w:rsid w:val="5FDE3F8D"/>
    <w:rsid w:val="5FEA6984"/>
    <w:rsid w:val="5FEB09A6"/>
    <w:rsid w:val="5FFA79ED"/>
    <w:rsid w:val="60247E3E"/>
    <w:rsid w:val="603312D1"/>
    <w:rsid w:val="60350249"/>
    <w:rsid w:val="60395667"/>
    <w:rsid w:val="603D5158"/>
    <w:rsid w:val="60597AB8"/>
    <w:rsid w:val="606D0EF6"/>
    <w:rsid w:val="60806A99"/>
    <w:rsid w:val="60AF592A"/>
    <w:rsid w:val="60B442A8"/>
    <w:rsid w:val="60E1486B"/>
    <w:rsid w:val="60F577E0"/>
    <w:rsid w:val="60FD7810"/>
    <w:rsid w:val="61013040"/>
    <w:rsid w:val="610E310A"/>
    <w:rsid w:val="611C35B8"/>
    <w:rsid w:val="611D1C0E"/>
    <w:rsid w:val="612E684E"/>
    <w:rsid w:val="61774699"/>
    <w:rsid w:val="619C3A74"/>
    <w:rsid w:val="61A25580"/>
    <w:rsid w:val="61AE7556"/>
    <w:rsid w:val="61C55F7F"/>
    <w:rsid w:val="61CA3612"/>
    <w:rsid w:val="61D41854"/>
    <w:rsid w:val="61EB473F"/>
    <w:rsid w:val="61F46458"/>
    <w:rsid w:val="62282B27"/>
    <w:rsid w:val="622A071C"/>
    <w:rsid w:val="62373E29"/>
    <w:rsid w:val="623C143F"/>
    <w:rsid w:val="6243457B"/>
    <w:rsid w:val="625A6442"/>
    <w:rsid w:val="6265459F"/>
    <w:rsid w:val="626D784A"/>
    <w:rsid w:val="62B15989"/>
    <w:rsid w:val="62C31135"/>
    <w:rsid w:val="62C76106"/>
    <w:rsid w:val="62CC474C"/>
    <w:rsid w:val="637B0B27"/>
    <w:rsid w:val="63874046"/>
    <w:rsid w:val="638B4892"/>
    <w:rsid w:val="63A51788"/>
    <w:rsid w:val="63AF3482"/>
    <w:rsid w:val="63BA261B"/>
    <w:rsid w:val="63BB45AD"/>
    <w:rsid w:val="63C33BC6"/>
    <w:rsid w:val="63C73E6D"/>
    <w:rsid w:val="63CB04C7"/>
    <w:rsid w:val="63CE0B55"/>
    <w:rsid w:val="63D058FE"/>
    <w:rsid w:val="63DD4529"/>
    <w:rsid w:val="63E91153"/>
    <w:rsid w:val="63FC0611"/>
    <w:rsid w:val="64010633"/>
    <w:rsid w:val="640A6CF6"/>
    <w:rsid w:val="641222ED"/>
    <w:rsid w:val="64202DC6"/>
    <w:rsid w:val="642A5CE4"/>
    <w:rsid w:val="642B5582"/>
    <w:rsid w:val="642D54E3"/>
    <w:rsid w:val="643B41CE"/>
    <w:rsid w:val="644878A5"/>
    <w:rsid w:val="64516BFF"/>
    <w:rsid w:val="645A795A"/>
    <w:rsid w:val="64643953"/>
    <w:rsid w:val="64675615"/>
    <w:rsid w:val="64963CFA"/>
    <w:rsid w:val="649A55A6"/>
    <w:rsid w:val="64B31A3E"/>
    <w:rsid w:val="64B4350F"/>
    <w:rsid w:val="64B81584"/>
    <w:rsid w:val="64BB7086"/>
    <w:rsid w:val="64DF720B"/>
    <w:rsid w:val="64E57B6C"/>
    <w:rsid w:val="64F83414"/>
    <w:rsid w:val="64FB2F8F"/>
    <w:rsid w:val="6502750F"/>
    <w:rsid w:val="65531B68"/>
    <w:rsid w:val="655769D7"/>
    <w:rsid w:val="657F7E07"/>
    <w:rsid w:val="65847A92"/>
    <w:rsid w:val="658C66C4"/>
    <w:rsid w:val="65B76CC0"/>
    <w:rsid w:val="65C54D53"/>
    <w:rsid w:val="65C86337"/>
    <w:rsid w:val="65D86667"/>
    <w:rsid w:val="65DC6542"/>
    <w:rsid w:val="65FE3124"/>
    <w:rsid w:val="66017061"/>
    <w:rsid w:val="660F67F5"/>
    <w:rsid w:val="66172E7A"/>
    <w:rsid w:val="66256FD4"/>
    <w:rsid w:val="662F78E6"/>
    <w:rsid w:val="66475BEE"/>
    <w:rsid w:val="66921396"/>
    <w:rsid w:val="669A00A1"/>
    <w:rsid w:val="669A0A1D"/>
    <w:rsid w:val="66C77EC3"/>
    <w:rsid w:val="66CB310C"/>
    <w:rsid w:val="66CD32EE"/>
    <w:rsid w:val="66D439F4"/>
    <w:rsid w:val="66EB48F9"/>
    <w:rsid w:val="66EF31C1"/>
    <w:rsid w:val="66F24268"/>
    <w:rsid w:val="66F61BBC"/>
    <w:rsid w:val="66FB71D3"/>
    <w:rsid w:val="67024A05"/>
    <w:rsid w:val="6715219E"/>
    <w:rsid w:val="67286643"/>
    <w:rsid w:val="672877B6"/>
    <w:rsid w:val="67340A1D"/>
    <w:rsid w:val="67415D12"/>
    <w:rsid w:val="67645CC5"/>
    <w:rsid w:val="67672ABA"/>
    <w:rsid w:val="6772598A"/>
    <w:rsid w:val="677D570F"/>
    <w:rsid w:val="678E4A7E"/>
    <w:rsid w:val="679D0438"/>
    <w:rsid w:val="679F14A6"/>
    <w:rsid w:val="67A7594A"/>
    <w:rsid w:val="67F71CAA"/>
    <w:rsid w:val="68060525"/>
    <w:rsid w:val="68093B71"/>
    <w:rsid w:val="68374646"/>
    <w:rsid w:val="683D13F8"/>
    <w:rsid w:val="6851003F"/>
    <w:rsid w:val="68532F31"/>
    <w:rsid w:val="685F2B0C"/>
    <w:rsid w:val="686A5890"/>
    <w:rsid w:val="686E4CA0"/>
    <w:rsid w:val="6870598D"/>
    <w:rsid w:val="687C44AC"/>
    <w:rsid w:val="68871E8E"/>
    <w:rsid w:val="68994EF5"/>
    <w:rsid w:val="68C36416"/>
    <w:rsid w:val="68C52CD8"/>
    <w:rsid w:val="68CD1043"/>
    <w:rsid w:val="68CD56D6"/>
    <w:rsid w:val="68CE0878"/>
    <w:rsid w:val="68DF3F07"/>
    <w:rsid w:val="68E14DD2"/>
    <w:rsid w:val="68FF17F8"/>
    <w:rsid w:val="691205CB"/>
    <w:rsid w:val="691F6273"/>
    <w:rsid w:val="6938799E"/>
    <w:rsid w:val="695B03FD"/>
    <w:rsid w:val="6961512D"/>
    <w:rsid w:val="696F20FA"/>
    <w:rsid w:val="697221B5"/>
    <w:rsid w:val="69875626"/>
    <w:rsid w:val="69895C32"/>
    <w:rsid w:val="69A364DF"/>
    <w:rsid w:val="69A773FE"/>
    <w:rsid w:val="69AC4EE2"/>
    <w:rsid w:val="69B15060"/>
    <w:rsid w:val="69B44C96"/>
    <w:rsid w:val="69B72806"/>
    <w:rsid w:val="69C21FC2"/>
    <w:rsid w:val="69CB7528"/>
    <w:rsid w:val="69CC031D"/>
    <w:rsid w:val="69CC5602"/>
    <w:rsid w:val="69D05F1F"/>
    <w:rsid w:val="69DE1C53"/>
    <w:rsid w:val="69DF0F70"/>
    <w:rsid w:val="69E62E62"/>
    <w:rsid w:val="69EC0ACA"/>
    <w:rsid w:val="69F431E5"/>
    <w:rsid w:val="69FB05D9"/>
    <w:rsid w:val="6A097E59"/>
    <w:rsid w:val="6A21429B"/>
    <w:rsid w:val="6A2922A9"/>
    <w:rsid w:val="6A317FEC"/>
    <w:rsid w:val="6A395739"/>
    <w:rsid w:val="6A667351"/>
    <w:rsid w:val="6A690452"/>
    <w:rsid w:val="6A8E65B0"/>
    <w:rsid w:val="6A945F2A"/>
    <w:rsid w:val="6A9C15D4"/>
    <w:rsid w:val="6ABE50E7"/>
    <w:rsid w:val="6AC86B5F"/>
    <w:rsid w:val="6AD5470C"/>
    <w:rsid w:val="6AF1512E"/>
    <w:rsid w:val="6B083DA0"/>
    <w:rsid w:val="6B372870"/>
    <w:rsid w:val="6B4C78DC"/>
    <w:rsid w:val="6B6D4BD4"/>
    <w:rsid w:val="6B736C65"/>
    <w:rsid w:val="6B884223"/>
    <w:rsid w:val="6BB64010"/>
    <w:rsid w:val="6BCC6A33"/>
    <w:rsid w:val="6BE94680"/>
    <w:rsid w:val="6BF101DF"/>
    <w:rsid w:val="6BF42F9C"/>
    <w:rsid w:val="6C0D454B"/>
    <w:rsid w:val="6C1648A2"/>
    <w:rsid w:val="6C176E2D"/>
    <w:rsid w:val="6C2B5B56"/>
    <w:rsid w:val="6C2B766A"/>
    <w:rsid w:val="6C405A24"/>
    <w:rsid w:val="6C4C1DDE"/>
    <w:rsid w:val="6C7360A2"/>
    <w:rsid w:val="6C87570F"/>
    <w:rsid w:val="6C946C8C"/>
    <w:rsid w:val="6C98271E"/>
    <w:rsid w:val="6C991968"/>
    <w:rsid w:val="6C9A0601"/>
    <w:rsid w:val="6C9E30D4"/>
    <w:rsid w:val="6C9F11D5"/>
    <w:rsid w:val="6CA36342"/>
    <w:rsid w:val="6CAC415B"/>
    <w:rsid w:val="6CB357D4"/>
    <w:rsid w:val="6CD6095A"/>
    <w:rsid w:val="6CD867D6"/>
    <w:rsid w:val="6CDD5A7D"/>
    <w:rsid w:val="6CE41A66"/>
    <w:rsid w:val="6CEA21C3"/>
    <w:rsid w:val="6D09664F"/>
    <w:rsid w:val="6D1A3ED2"/>
    <w:rsid w:val="6D1C5D45"/>
    <w:rsid w:val="6D2052F1"/>
    <w:rsid w:val="6D2A1AE4"/>
    <w:rsid w:val="6D2C0363"/>
    <w:rsid w:val="6D420584"/>
    <w:rsid w:val="6D4556BC"/>
    <w:rsid w:val="6D4F64CA"/>
    <w:rsid w:val="6D6B3D3F"/>
    <w:rsid w:val="6D7C6B86"/>
    <w:rsid w:val="6D837F22"/>
    <w:rsid w:val="6D886D51"/>
    <w:rsid w:val="6D98425A"/>
    <w:rsid w:val="6D9C4CB2"/>
    <w:rsid w:val="6DAC52D8"/>
    <w:rsid w:val="6DBC3DCA"/>
    <w:rsid w:val="6DCC4C0D"/>
    <w:rsid w:val="6DD62446"/>
    <w:rsid w:val="6DE52F24"/>
    <w:rsid w:val="6DF66946"/>
    <w:rsid w:val="6E0B0643"/>
    <w:rsid w:val="6E0D5193"/>
    <w:rsid w:val="6E166FE8"/>
    <w:rsid w:val="6E2B38B7"/>
    <w:rsid w:val="6E3A4A84"/>
    <w:rsid w:val="6E3A60E1"/>
    <w:rsid w:val="6E42100A"/>
    <w:rsid w:val="6E4341AC"/>
    <w:rsid w:val="6E5879FE"/>
    <w:rsid w:val="6E7C1AB1"/>
    <w:rsid w:val="6E8126B3"/>
    <w:rsid w:val="6E9D5BDB"/>
    <w:rsid w:val="6EBE3907"/>
    <w:rsid w:val="6EC2108E"/>
    <w:rsid w:val="6EDF666B"/>
    <w:rsid w:val="6EEB5D7F"/>
    <w:rsid w:val="6F3E67F6"/>
    <w:rsid w:val="6F422179"/>
    <w:rsid w:val="6F436F8F"/>
    <w:rsid w:val="6F4638FD"/>
    <w:rsid w:val="6F4D5562"/>
    <w:rsid w:val="6F573414"/>
    <w:rsid w:val="6F6109CB"/>
    <w:rsid w:val="6F663712"/>
    <w:rsid w:val="6F6D69E8"/>
    <w:rsid w:val="6F71097A"/>
    <w:rsid w:val="6F8B29B5"/>
    <w:rsid w:val="6F9B0752"/>
    <w:rsid w:val="6F9C54FA"/>
    <w:rsid w:val="6FA03D51"/>
    <w:rsid w:val="6FB757E7"/>
    <w:rsid w:val="6FBD3BBF"/>
    <w:rsid w:val="6FBE3EB8"/>
    <w:rsid w:val="6FD156E3"/>
    <w:rsid w:val="6FD7268F"/>
    <w:rsid w:val="6FED75FB"/>
    <w:rsid w:val="70041560"/>
    <w:rsid w:val="703467FC"/>
    <w:rsid w:val="7040732E"/>
    <w:rsid w:val="706D5DDD"/>
    <w:rsid w:val="7086364B"/>
    <w:rsid w:val="70874D6B"/>
    <w:rsid w:val="70894A2F"/>
    <w:rsid w:val="708A3FA6"/>
    <w:rsid w:val="709D6E34"/>
    <w:rsid w:val="70A42103"/>
    <w:rsid w:val="70B12A29"/>
    <w:rsid w:val="70F818AE"/>
    <w:rsid w:val="710B27AB"/>
    <w:rsid w:val="712C6F85"/>
    <w:rsid w:val="71320E55"/>
    <w:rsid w:val="71321C7C"/>
    <w:rsid w:val="71340B64"/>
    <w:rsid w:val="71452DCF"/>
    <w:rsid w:val="71514B26"/>
    <w:rsid w:val="71546F0E"/>
    <w:rsid w:val="715776FB"/>
    <w:rsid w:val="716517C9"/>
    <w:rsid w:val="716E2CB8"/>
    <w:rsid w:val="7170146E"/>
    <w:rsid w:val="717268C8"/>
    <w:rsid w:val="71802D0E"/>
    <w:rsid w:val="718F5890"/>
    <w:rsid w:val="719323BF"/>
    <w:rsid w:val="71947C4E"/>
    <w:rsid w:val="71BF5087"/>
    <w:rsid w:val="71C23C59"/>
    <w:rsid w:val="71C57971"/>
    <w:rsid w:val="71EC11CD"/>
    <w:rsid w:val="71F60662"/>
    <w:rsid w:val="720506A4"/>
    <w:rsid w:val="72114AD2"/>
    <w:rsid w:val="72143E26"/>
    <w:rsid w:val="72151032"/>
    <w:rsid w:val="721750DD"/>
    <w:rsid w:val="722B6EAC"/>
    <w:rsid w:val="7235573F"/>
    <w:rsid w:val="723629FF"/>
    <w:rsid w:val="726C56B8"/>
    <w:rsid w:val="727B25B1"/>
    <w:rsid w:val="7288771C"/>
    <w:rsid w:val="728D4961"/>
    <w:rsid w:val="72911F34"/>
    <w:rsid w:val="729D380E"/>
    <w:rsid w:val="72A179F0"/>
    <w:rsid w:val="72A458E1"/>
    <w:rsid w:val="72B11E4B"/>
    <w:rsid w:val="72C40DC1"/>
    <w:rsid w:val="72CE592F"/>
    <w:rsid w:val="72D03C09"/>
    <w:rsid w:val="72E82B4F"/>
    <w:rsid w:val="72F838AA"/>
    <w:rsid w:val="730A65F1"/>
    <w:rsid w:val="73134385"/>
    <w:rsid w:val="731358A4"/>
    <w:rsid w:val="731726EC"/>
    <w:rsid w:val="73197AE0"/>
    <w:rsid w:val="73221860"/>
    <w:rsid w:val="7338174B"/>
    <w:rsid w:val="733A4EF6"/>
    <w:rsid w:val="733D0234"/>
    <w:rsid w:val="733E33D3"/>
    <w:rsid w:val="733F0360"/>
    <w:rsid w:val="734D525A"/>
    <w:rsid w:val="736D76AA"/>
    <w:rsid w:val="737419E8"/>
    <w:rsid w:val="73773239"/>
    <w:rsid w:val="73781BAB"/>
    <w:rsid w:val="73835DC4"/>
    <w:rsid w:val="738542A5"/>
    <w:rsid w:val="73931741"/>
    <w:rsid w:val="73C761B5"/>
    <w:rsid w:val="73C97C37"/>
    <w:rsid w:val="73D872D7"/>
    <w:rsid w:val="73E6017C"/>
    <w:rsid w:val="73E948D7"/>
    <w:rsid w:val="73F0174C"/>
    <w:rsid w:val="73FA14E3"/>
    <w:rsid w:val="740A7F35"/>
    <w:rsid w:val="740F4C23"/>
    <w:rsid w:val="741975FE"/>
    <w:rsid w:val="742D4CA1"/>
    <w:rsid w:val="743106D8"/>
    <w:rsid w:val="74336AF3"/>
    <w:rsid w:val="74613585"/>
    <w:rsid w:val="74656DD1"/>
    <w:rsid w:val="74694BE6"/>
    <w:rsid w:val="746A5998"/>
    <w:rsid w:val="747D1B6F"/>
    <w:rsid w:val="747D3462"/>
    <w:rsid w:val="74812030"/>
    <w:rsid w:val="74827185"/>
    <w:rsid w:val="74836A59"/>
    <w:rsid w:val="74886161"/>
    <w:rsid w:val="749D5D6D"/>
    <w:rsid w:val="74A039B1"/>
    <w:rsid w:val="74C113A5"/>
    <w:rsid w:val="74E54A8F"/>
    <w:rsid w:val="74E66F49"/>
    <w:rsid w:val="74EB245C"/>
    <w:rsid w:val="753A451C"/>
    <w:rsid w:val="753C15BB"/>
    <w:rsid w:val="755723C0"/>
    <w:rsid w:val="75585493"/>
    <w:rsid w:val="755E6626"/>
    <w:rsid w:val="756B5E6B"/>
    <w:rsid w:val="75841DF5"/>
    <w:rsid w:val="75892B14"/>
    <w:rsid w:val="758C4CA2"/>
    <w:rsid w:val="759E6EAB"/>
    <w:rsid w:val="75D40046"/>
    <w:rsid w:val="75D96E3B"/>
    <w:rsid w:val="75F93477"/>
    <w:rsid w:val="76050235"/>
    <w:rsid w:val="762646E1"/>
    <w:rsid w:val="762F29E5"/>
    <w:rsid w:val="7634381B"/>
    <w:rsid w:val="763B583E"/>
    <w:rsid w:val="764374F1"/>
    <w:rsid w:val="764A4A86"/>
    <w:rsid w:val="765377F4"/>
    <w:rsid w:val="76634D94"/>
    <w:rsid w:val="768537A4"/>
    <w:rsid w:val="76925456"/>
    <w:rsid w:val="76944E76"/>
    <w:rsid w:val="769A26CA"/>
    <w:rsid w:val="76B33626"/>
    <w:rsid w:val="76C34928"/>
    <w:rsid w:val="76C82136"/>
    <w:rsid w:val="76D17FE1"/>
    <w:rsid w:val="76DF15B8"/>
    <w:rsid w:val="76FB601C"/>
    <w:rsid w:val="7708778F"/>
    <w:rsid w:val="770B7BD2"/>
    <w:rsid w:val="770C299B"/>
    <w:rsid w:val="771C3A33"/>
    <w:rsid w:val="772868C8"/>
    <w:rsid w:val="772C33D8"/>
    <w:rsid w:val="77315CAC"/>
    <w:rsid w:val="774668C1"/>
    <w:rsid w:val="7758241F"/>
    <w:rsid w:val="778364BE"/>
    <w:rsid w:val="7793757F"/>
    <w:rsid w:val="7797719E"/>
    <w:rsid w:val="7799548D"/>
    <w:rsid w:val="779E208D"/>
    <w:rsid w:val="77A275D5"/>
    <w:rsid w:val="77BA114A"/>
    <w:rsid w:val="77CB499F"/>
    <w:rsid w:val="77D55B7E"/>
    <w:rsid w:val="77ED1FBE"/>
    <w:rsid w:val="77EE4C9B"/>
    <w:rsid w:val="78035492"/>
    <w:rsid w:val="780E4F77"/>
    <w:rsid w:val="781B5927"/>
    <w:rsid w:val="7840713B"/>
    <w:rsid w:val="784D7EEE"/>
    <w:rsid w:val="784F5AA8"/>
    <w:rsid w:val="78766973"/>
    <w:rsid w:val="787764A6"/>
    <w:rsid w:val="78867CFB"/>
    <w:rsid w:val="789F760C"/>
    <w:rsid w:val="78AC7677"/>
    <w:rsid w:val="78AE1EE3"/>
    <w:rsid w:val="78D06FA5"/>
    <w:rsid w:val="78D35C78"/>
    <w:rsid w:val="78F044C0"/>
    <w:rsid w:val="78FB67DB"/>
    <w:rsid w:val="790A599B"/>
    <w:rsid w:val="790A7749"/>
    <w:rsid w:val="793D3D59"/>
    <w:rsid w:val="795F47C4"/>
    <w:rsid w:val="795F4B87"/>
    <w:rsid w:val="7964594B"/>
    <w:rsid w:val="799447B2"/>
    <w:rsid w:val="79993DEC"/>
    <w:rsid w:val="79AC25AE"/>
    <w:rsid w:val="79CD1CC3"/>
    <w:rsid w:val="79D33A4B"/>
    <w:rsid w:val="79EA1578"/>
    <w:rsid w:val="79F9227E"/>
    <w:rsid w:val="7A03141B"/>
    <w:rsid w:val="7A0A0021"/>
    <w:rsid w:val="7A1C7734"/>
    <w:rsid w:val="7A2303F1"/>
    <w:rsid w:val="7A2F68CB"/>
    <w:rsid w:val="7A314C4D"/>
    <w:rsid w:val="7A532F6D"/>
    <w:rsid w:val="7A7B75D1"/>
    <w:rsid w:val="7A9E603E"/>
    <w:rsid w:val="7AA163B3"/>
    <w:rsid w:val="7AAE0103"/>
    <w:rsid w:val="7AB01F3D"/>
    <w:rsid w:val="7AC90735"/>
    <w:rsid w:val="7ACE4950"/>
    <w:rsid w:val="7AD7365B"/>
    <w:rsid w:val="7ADB04CF"/>
    <w:rsid w:val="7ADD1DF2"/>
    <w:rsid w:val="7AE03894"/>
    <w:rsid w:val="7AF64768"/>
    <w:rsid w:val="7AFE0D18"/>
    <w:rsid w:val="7B2E5EF7"/>
    <w:rsid w:val="7B364826"/>
    <w:rsid w:val="7B397DE9"/>
    <w:rsid w:val="7B3E2A6D"/>
    <w:rsid w:val="7B4B5341"/>
    <w:rsid w:val="7B5758BB"/>
    <w:rsid w:val="7B5B1A0B"/>
    <w:rsid w:val="7B5E6DA2"/>
    <w:rsid w:val="7B640663"/>
    <w:rsid w:val="7B70050C"/>
    <w:rsid w:val="7B7B492E"/>
    <w:rsid w:val="7B856E03"/>
    <w:rsid w:val="7BB31608"/>
    <w:rsid w:val="7BC2255D"/>
    <w:rsid w:val="7BD95DD9"/>
    <w:rsid w:val="7BE50BC8"/>
    <w:rsid w:val="7BF9716D"/>
    <w:rsid w:val="7C015130"/>
    <w:rsid w:val="7C077508"/>
    <w:rsid w:val="7C1F4334"/>
    <w:rsid w:val="7C356E6C"/>
    <w:rsid w:val="7C42078B"/>
    <w:rsid w:val="7C5713BA"/>
    <w:rsid w:val="7C5E2286"/>
    <w:rsid w:val="7C6701E6"/>
    <w:rsid w:val="7C695398"/>
    <w:rsid w:val="7C6D2C5C"/>
    <w:rsid w:val="7C867073"/>
    <w:rsid w:val="7C8D2D58"/>
    <w:rsid w:val="7C966836"/>
    <w:rsid w:val="7CA503F5"/>
    <w:rsid w:val="7CB302CB"/>
    <w:rsid w:val="7CCA1F6A"/>
    <w:rsid w:val="7CD662C0"/>
    <w:rsid w:val="7CF404F4"/>
    <w:rsid w:val="7D174CD6"/>
    <w:rsid w:val="7D1948FD"/>
    <w:rsid w:val="7D2C6F9F"/>
    <w:rsid w:val="7D3D633F"/>
    <w:rsid w:val="7D4D5561"/>
    <w:rsid w:val="7D4F7E21"/>
    <w:rsid w:val="7D543264"/>
    <w:rsid w:val="7D671C4B"/>
    <w:rsid w:val="7D6D7156"/>
    <w:rsid w:val="7D7115AD"/>
    <w:rsid w:val="7D714BA8"/>
    <w:rsid w:val="7D914462"/>
    <w:rsid w:val="7D943A85"/>
    <w:rsid w:val="7D97686F"/>
    <w:rsid w:val="7DA939D5"/>
    <w:rsid w:val="7DAE4568"/>
    <w:rsid w:val="7DC85A4E"/>
    <w:rsid w:val="7DEB18F7"/>
    <w:rsid w:val="7DED1B13"/>
    <w:rsid w:val="7DF16BFA"/>
    <w:rsid w:val="7DF550BA"/>
    <w:rsid w:val="7DFD50DA"/>
    <w:rsid w:val="7E314B4A"/>
    <w:rsid w:val="7E3D4651"/>
    <w:rsid w:val="7E531FFF"/>
    <w:rsid w:val="7E5E764B"/>
    <w:rsid w:val="7EA6356B"/>
    <w:rsid w:val="7EAC5DED"/>
    <w:rsid w:val="7EC16AFC"/>
    <w:rsid w:val="7EC76882"/>
    <w:rsid w:val="7ECB55B8"/>
    <w:rsid w:val="7EE60311"/>
    <w:rsid w:val="7EE626A2"/>
    <w:rsid w:val="7EEC63E7"/>
    <w:rsid w:val="7EF54C4F"/>
    <w:rsid w:val="7EFB3937"/>
    <w:rsid w:val="7F020EC4"/>
    <w:rsid w:val="7F340541"/>
    <w:rsid w:val="7F381A2F"/>
    <w:rsid w:val="7F4219EB"/>
    <w:rsid w:val="7F5957B0"/>
    <w:rsid w:val="7F9846AE"/>
    <w:rsid w:val="7F9A7F46"/>
    <w:rsid w:val="7FAC0CF9"/>
    <w:rsid w:val="7FAD0277"/>
    <w:rsid w:val="7FBD28C5"/>
    <w:rsid w:val="7FC50214"/>
    <w:rsid w:val="7FEC1957"/>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6">
    <w:name w:val="List Number"/>
    <w:basedOn w:val="1"/>
    <w:qFormat/>
    <w:uiPriority w:val="0"/>
    <w:pPr>
      <w:numPr>
        <w:ilvl w:val="0"/>
        <w:numId w:val="2"/>
      </w:numPr>
    </w:p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toa heading"/>
    <w:basedOn w:val="1"/>
    <w:next w:val="1"/>
    <w:semiHidden/>
    <w:qFormat/>
    <w:uiPriority w:val="99"/>
    <w:pPr>
      <w:spacing w:before="120"/>
    </w:pPr>
    <w:rPr>
      <w:rFonts w:ascii="Arial" w:hAnsi="Arial" w:cs="Arial"/>
      <w:sz w:val="24"/>
    </w:rPr>
  </w:style>
  <w:style w:type="paragraph" w:styleId="9">
    <w:name w:val="annotation text"/>
    <w:basedOn w:val="1"/>
    <w:qFormat/>
    <w:uiPriority w:val="0"/>
    <w:pPr>
      <w:jc w:val="left"/>
    </w:pPr>
  </w:style>
  <w:style w:type="paragraph" w:styleId="10">
    <w:name w:val="Body Text"/>
    <w:basedOn w:val="1"/>
    <w:next w:val="11"/>
    <w:qFormat/>
    <w:uiPriority w:val="0"/>
    <w:pPr>
      <w:spacing w:line="360" w:lineRule="exact"/>
    </w:pPr>
    <w:rPr>
      <w:sz w:val="24"/>
    </w:rPr>
  </w:style>
  <w:style w:type="paragraph" w:styleId="11">
    <w:name w:val="Body Text First Indent"/>
    <w:basedOn w:val="10"/>
    <w:next w:val="12"/>
    <w:qFormat/>
    <w:uiPriority w:val="0"/>
    <w:pPr>
      <w:ind w:firstLine="200" w:firstLineChars="200"/>
    </w:pPr>
  </w:style>
  <w:style w:type="paragraph" w:styleId="12">
    <w:name w:val="toc 6"/>
    <w:basedOn w:val="1"/>
    <w:next w:val="1"/>
    <w:qFormat/>
    <w:uiPriority w:val="99"/>
    <w:pPr>
      <w:widowControl/>
      <w:ind w:left="1000"/>
      <w:jc w:val="left"/>
    </w:pPr>
    <w:rPr>
      <w:kern w:val="0"/>
      <w:sz w:val="18"/>
      <w:szCs w:val="20"/>
    </w:rPr>
  </w:style>
  <w:style w:type="paragraph" w:styleId="13">
    <w:name w:val="Body Text Indent"/>
    <w:basedOn w:val="1"/>
    <w:next w:val="1"/>
    <w:qFormat/>
    <w:uiPriority w:val="0"/>
    <w:pPr>
      <w:spacing w:after="120"/>
      <w:ind w:left="420" w:leftChars="200"/>
    </w:pPr>
  </w:style>
  <w:style w:type="paragraph" w:styleId="14">
    <w:name w:val="Plain Text"/>
    <w:basedOn w:val="1"/>
    <w:next w:val="15"/>
    <w:qFormat/>
    <w:uiPriority w:val="0"/>
    <w:rPr>
      <w:rFonts w:ascii="宋体" w:hAnsi="Courier New" w:cstheme="minorBidi"/>
    </w:rPr>
  </w:style>
  <w:style w:type="paragraph" w:styleId="15">
    <w:name w:val="Date"/>
    <w:basedOn w:val="1"/>
    <w:next w:val="1"/>
    <w:qFormat/>
    <w:uiPriority w:val="0"/>
    <w:pPr>
      <w:ind w:left="2500" w:leftChars="2500"/>
    </w:pPr>
    <w:rPr>
      <w:rFonts w:eastAsia="楷体_GB2312" w:asciiTheme="minorHAnsi" w:hAnsiTheme="minorHAnsi" w:cstheme="minorBidi"/>
      <w:sz w:val="32"/>
      <w:szCs w:val="22"/>
    </w:rPr>
  </w:style>
  <w:style w:type="paragraph" w:styleId="16">
    <w:name w:val="Balloon Text"/>
    <w:basedOn w:val="1"/>
    <w:link w:val="51"/>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1">
    <w:name w:val="Body Text First Indent 2"/>
    <w:basedOn w:val="13"/>
    <w:qFormat/>
    <w:uiPriority w:val="0"/>
    <w:pPr>
      <w:ind w:firstLine="420"/>
    </w:pPr>
  </w:style>
  <w:style w:type="table" w:styleId="23">
    <w:name w:val="Table Grid"/>
    <w:basedOn w:val="22"/>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qFormat/>
    <w:uiPriority w:val="0"/>
    <w:rPr>
      <w:color w:val="0000FF"/>
      <w:u w:val="single"/>
    </w:rPr>
  </w:style>
  <w:style w:type="character" w:styleId="27">
    <w:name w:val="annotation reference"/>
    <w:basedOn w:val="24"/>
    <w:qFormat/>
    <w:uiPriority w:val="0"/>
    <w:rPr>
      <w:sz w:val="21"/>
      <w:szCs w:val="21"/>
    </w:rPr>
  </w:style>
  <w:style w:type="paragraph" w:customStyle="1" w:styleId="28">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9">
    <w:name w:val="List Paragraph"/>
    <w:basedOn w:val="1"/>
    <w:qFormat/>
    <w:uiPriority w:val="34"/>
    <w:pPr>
      <w:ind w:firstLine="420" w:firstLineChars="200"/>
    </w:pPr>
    <w:rPr>
      <w:rFonts w:ascii="Calibri" w:hAnsi="Calibri"/>
      <w:szCs w:val="22"/>
    </w:rPr>
  </w:style>
  <w:style w:type="paragraph" w:customStyle="1" w:styleId="30">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1">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4"/>
    <w:qFormat/>
    <w:uiPriority w:val="0"/>
    <w:rPr>
      <w:rFonts w:ascii="Times New Roman" w:hAnsi="Times New Roman" w:eastAsia="宋体" w:cs="Times New Roman"/>
      <w:sz w:val="21"/>
      <w:szCs w:val="22"/>
      <w:lang w:val="en-US" w:eastAsia="zh-CN" w:bidi="ar-SA"/>
    </w:rPr>
  </w:style>
  <w:style w:type="paragraph" w:customStyle="1" w:styleId="3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纯文本_3"/>
    <w:basedOn w:val="37"/>
    <w:qFormat/>
    <w:uiPriority w:val="0"/>
    <w:pPr>
      <w:widowControl/>
      <w:jc w:val="left"/>
    </w:pPr>
    <w:rPr>
      <w:rFonts w:ascii="宋体" w:hAnsi="Courier New" w:eastAsiaTheme="minorEastAsia" w:cstheme="minorBidi"/>
      <w:szCs w:val="21"/>
    </w:rPr>
  </w:style>
  <w:style w:type="paragraph" w:customStyle="1" w:styleId="39">
    <w:name w:val="纯文本_0_1"/>
    <w:basedOn w:val="1"/>
    <w:qFormat/>
    <w:uiPriority w:val="0"/>
    <w:pPr>
      <w:widowControl/>
      <w:jc w:val="left"/>
    </w:pPr>
    <w:rPr>
      <w:rFonts w:ascii="宋体" w:hAnsi="Courier New" w:eastAsiaTheme="minorEastAsia" w:cstheme="minorBidi"/>
      <w:szCs w:val="21"/>
    </w:rPr>
  </w:style>
  <w:style w:type="paragraph" w:customStyle="1" w:styleId="4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font21"/>
    <w:basedOn w:val="24"/>
    <w:qFormat/>
    <w:uiPriority w:val="0"/>
    <w:rPr>
      <w:rFonts w:hint="default" w:ascii="Arial" w:hAnsi="Arial" w:cs="Arial"/>
      <w:color w:val="000000"/>
      <w:sz w:val="20"/>
      <w:szCs w:val="20"/>
      <w:u w:val="none"/>
    </w:rPr>
  </w:style>
  <w:style w:type="character" w:customStyle="1" w:styleId="45">
    <w:name w:val="font01"/>
    <w:basedOn w:val="24"/>
    <w:qFormat/>
    <w:uiPriority w:val="0"/>
    <w:rPr>
      <w:rFonts w:hint="eastAsia" w:ascii="宋体" w:hAnsi="宋体" w:eastAsia="宋体" w:cs="宋体"/>
      <w:color w:val="000000"/>
      <w:sz w:val="20"/>
      <w:szCs w:val="20"/>
      <w:u w:val="none"/>
    </w:rPr>
  </w:style>
  <w:style w:type="paragraph" w:customStyle="1" w:styleId="46">
    <w:name w:val="纯文本1"/>
    <w:basedOn w:val="47"/>
    <w:qFormat/>
    <w:uiPriority w:val="0"/>
    <w:pPr>
      <w:widowControl/>
      <w:jc w:val="left"/>
    </w:pPr>
    <w:rPr>
      <w:rFonts w:ascii="宋体" w:hAnsi="Courier New"/>
    </w:rPr>
  </w:style>
  <w:style w:type="paragraph" w:customStyle="1" w:styleId="47">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8">
    <w:name w:val="Table Paragraph"/>
    <w:basedOn w:val="1"/>
    <w:qFormat/>
    <w:uiPriority w:val="1"/>
    <w:rPr>
      <w:rFonts w:ascii="宋体" w:hAnsi="宋体" w:cs="宋体"/>
    </w:rPr>
  </w:style>
  <w:style w:type="paragraph" w:customStyle="1" w:styleId="49">
    <w:name w:val="WPSOffice手动目录 1"/>
    <w:qFormat/>
    <w:uiPriority w:val="0"/>
    <w:rPr>
      <w:rFonts w:ascii="Times New Roman" w:hAnsi="Times New Roman" w:eastAsia="宋体" w:cs="Times New Roman"/>
      <w:lang w:val="en-US" w:eastAsia="zh-CN" w:bidi="ar-SA"/>
    </w:rPr>
  </w:style>
  <w:style w:type="paragraph" w:customStyle="1" w:styleId="50">
    <w:name w:val="默认段落字体 Para Char Char Char Char Char Char Char Char Char1 Char Char Char Char"/>
    <w:basedOn w:val="1"/>
    <w:qFormat/>
    <w:uiPriority w:val="0"/>
    <w:rPr>
      <w:rFonts w:ascii="Tahoma" w:hAnsi="Tahoma"/>
      <w:sz w:val="24"/>
      <w:szCs w:val="20"/>
    </w:rPr>
  </w:style>
  <w:style w:type="character" w:customStyle="1" w:styleId="51">
    <w:name w:val="批注框文本 Char"/>
    <w:basedOn w:val="24"/>
    <w:link w:val="16"/>
    <w:qFormat/>
    <w:uiPriority w:val="0"/>
    <w:rPr>
      <w:kern w:val="2"/>
      <w:sz w:val="18"/>
      <w:szCs w:val="18"/>
    </w:rPr>
  </w:style>
  <w:style w:type="paragraph" w:customStyle="1" w:styleId="52">
    <w:name w:val="英文"/>
    <w:basedOn w:val="1"/>
    <w:link w:val="54"/>
    <w:qFormat/>
    <w:uiPriority w:val="0"/>
    <w:pPr>
      <w:adjustRightInd w:val="0"/>
      <w:snapToGrid w:val="0"/>
      <w:spacing w:line="360" w:lineRule="auto"/>
      <w:ind w:firstLine="480" w:firstLineChars="200"/>
    </w:pPr>
    <w:rPr>
      <w:rFonts w:ascii="Arial" w:hAnsi="Arial" w:cs="Arial"/>
      <w:sz w:val="24"/>
    </w:rPr>
  </w:style>
  <w:style w:type="paragraph" w:customStyle="1" w:styleId="53">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4">
    <w:name w:val="英文 Char"/>
    <w:link w:val="52"/>
    <w:qFormat/>
    <w:uiPriority w:val="0"/>
    <w:rPr>
      <w:rFonts w:ascii="Arial" w:hAnsi="Arial" w:cs="Arial"/>
      <w:sz w:val="24"/>
    </w:rPr>
  </w:style>
  <w:style w:type="paragraph" w:customStyle="1" w:styleId="55">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纯文本_1"/>
    <w:basedOn w:val="1"/>
    <w:qFormat/>
    <w:uiPriority w:val="0"/>
    <w:pPr>
      <w:widowControl/>
      <w:jc w:val="left"/>
    </w:pPr>
    <w:rPr>
      <w:rFonts w:ascii="宋体" w:hAnsi="Courier New" w:eastAsiaTheme="minorEastAsia" w:cstheme="minorBidi"/>
      <w:szCs w:val="21"/>
    </w:rPr>
  </w:style>
  <w:style w:type="paragraph" w:styleId="58">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59">
    <w:name w:val="正文2"/>
    <w:basedOn w:val="1"/>
    <w:qFormat/>
    <w:uiPriority w:val="0"/>
    <w:pPr>
      <w:spacing w:before="156" w:line="360" w:lineRule="auto"/>
      <w:ind w:firstLine="510" w:firstLineChars="200"/>
    </w:pPr>
    <w:rPr>
      <w:sz w:val="24"/>
      <w:szCs w:val="20"/>
    </w:rPr>
  </w:style>
  <w:style w:type="paragraph" w:customStyle="1" w:styleId="60">
    <w:name w:val="0"/>
    <w:basedOn w:val="1"/>
    <w:qFormat/>
    <w:uiPriority w:val="0"/>
    <w:pPr>
      <w:widowControl/>
      <w:snapToGrid w:val="0"/>
      <w:spacing w:line="365" w:lineRule="atLeast"/>
      <w:ind w:left="1"/>
    </w:pPr>
    <w:rPr>
      <w:sz w:val="20"/>
      <w:szCs w:val="20"/>
    </w:rPr>
  </w:style>
  <w:style w:type="character" w:customStyle="1" w:styleId="61">
    <w:name w:val="font101"/>
    <w:basedOn w:val="24"/>
    <w:qFormat/>
    <w:uiPriority w:val="0"/>
    <w:rPr>
      <w:rFonts w:hint="eastAsia" w:ascii="仿宋" w:hAnsi="仿宋" w:eastAsia="仿宋" w:cs="仿宋"/>
      <w:color w:val="000000"/>
      <w:sz w:val="32"/>
      <w:szCs w:val="32"/>
      <w:u w:val="none"/>
    </w:rPr>
  </w:style>
  <w:style w:type="character" w:customStyle="1" w:styleId="62">
    <w:name w:val="font71"/>
    <w:basedOn w:val="24"/>
    <w:qFormat/>
    <w:uiPriority w:val="0"/>
    <w:rPr>
      <w:rFonts w:hint="eastAsia" w:ascii="仿宋" w:hAnsi="仿宋" w:eastAsia="仿宋" w:cs="仿宋"/>
      <w:color w:val="FF0000"/>
      <w:sz w:val="32"/>
      <w:szCs w:val="32"/>
      <w:u w:val="none"/>
    </w:rPr>
  </w:style>
  <w:style w:type="character" w:customStyle="1" w:styleId="63">
    <w:name w:val="font112"/>
    <w:basedOn w:val="24"/>
    <w:qFormat/>
    <w:uiPriority w:val="0"/>
    <w:rPr>
      <w:rFonts w:hint="eastAsia" w:ascii="仿宋" w:hAnsi="仿宋" w:eastAsia="仿宋" w:cs="仿宋"/>
      <w:color w:val="000000"/>
      <w:sz w:val="32"/>
      <w:szCs w:val="32"/>
      <w:u w:val="none"/>
    </w:rPr>
  </w:style>
  <w:style w:type="character" w:customStyle="1" w:styleId="64">
    <w:name w:val="font11"/>
    <w:basedOn w:val="24"/>
    <w:qFormat/>
    <w:uiPriority w:val="0"/>
    <w:rPr>
      <w:rFonts w:hint="eastAsia" w:ascii="仿宋" w:hAnsi="仿宋" w:eastAsia="仿宋" w:cs="仿宋"/>
      <w:color w:val="C00000"/>
      <w:sz w:val="32"/>
      <w:szCs w:val="32"/>
      <w:u w:val="none"/>
    </w:rPr>
  </w:style>
  <w:style w:type="character" w:customStyle="1" w:styleId="65">
    <w:name w:val="font81"/>
    <w:basedOn w:val="24"/>
    <w:qFormat/>
    <w:uiPriority w:val="0"/>
    <w:rPr>
      <w:rFonts w:hint="eastAsia" w:ascii="仿宋" w:hAnsi="仿宋" w:eastAsia="仿宋" w:cs="仿宋"/>
      <w:color w:val="000000"/>
      <w:sz w:val="32"/>
      <w:szCs w:val="32"/>
      <w:u w:val="none"/>
    </w:rPr>
  </w:style>
  <w:style w:type="table" w:customStyle="1" w:styleId="66">
    <w:name w:val="网格型1"/>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7">
    <w:name w:val="列表段落1"/>
    <w:basedOn w:val="1"/>
    <w:qFormat/>
    <w:uiPriority w:val="1"/>
    <w:pPr>
      <w:ind w:left="475" w:firstLine="48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27819</Words>
  <Characters>28928</Characters>
  <Lines>244</Lines>
  <Paragraphs>68</Paragraphs>
  <TotalTime>18</TotalTime>
  <ScaleCrop>false</ScaleCrop>
  <LinksUpToDate>false</LinksUpToDate>
  <CharactersWithSpaces>30931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2023-03-09T06:10:00Z</dcterms:created>
  <dc:creator>Thorpe521</dc:creator>
  <cp:lastModifiedBy>阿拉丁</cp:lastModifiedBy>
  <cp:lastPrinted>2022-09-09T06:50:00Z</cp:lastPrinted>
  <dcterms:modified xsi:type="dcterms:W3CDTF">2023-03-20T02:00:49Z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2B2F7AB8A359457490B2FF2AF6C7ADF4</vt:lpwstr>
  </property>
</Properties>
</file>