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2</w:t>
      </w:r>
      <w:r>
        <w:rPr>
          <w:rFonts w:ascii="宋体"/>
          <w:b/>
          <w:kern w:val="0"/>
          <w:sz w:val="32"/>
        </w:rPr>
        <w:t>-</w:t>
      </w:r>
      <w:r>
        <w:rPr>
          <w:rFonts w:hint="eastAsia" w:ascii="宋体"/>
          <w:b/>
          <w:kern w:val="0"/>
          <w:sz w:val="32"/>
        </w:rPr>
        <w:t>GK0</w:t>
      </w:r>
      <w:r>
        <w:rPr>
          <w:rFonts w:hint="eastAsia" w:ascii="宋体"/>
          <w:b/>
          <w:kern w:val="0"/>
          <w:sz w:val="32"/>
          <w:lang w:val="en-US" w:eastAsia="zh-CN"/>
        </w:rPr>
        <w:t>09</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520" w:firstLineChars="900"/>
        <w:jc w:val="left"/>
        <w:rPr>
          <w:rFonts w:hint="eastAsia" w:ascii="宋体" w:eastAsia="宋体"/>
          <w:kern w:val="0"/>
          <w:sz w:val="28"/>
          <w:lang w:val="en-US" w:eastAsia="zh-CN"/>
        </w:rPr>
      </w:pPr>
      <w:r>
        <w:rPr>
          <w:rFonts w:hint="eastAsia" w:ascii="宋体"/>
          <w:kern w:val="0"/>
          <w:sz w:val="28"/>
        </w:rPr>
        <w:t>采购项目：</w:t>
      </w:r>
      <w:r>
        <w:rPr>
          <w:rFonts w:hint="eastAsia" w:ascii="宋体"/>
          <w:kern w:val="0"/>
          <w:sz w:val="28"/>
          <w:lang w:val="en-US" w:eastAsia="zh-CN"/>
        </w:rPr>
        <w:t>2022年度保安、保洁等物业服务项目</w:t>
      </w:r>
    </w:p>
    <w:p>
      <w:pPr>
        <w:autoSpaceDE w:val="0"/>
        <w:autoSpaceDN w:val="0"/>
        <w:adjustRightInd w:val="0"/>
        <w:spacing w:line="360" w:lineRule="auto"/>
        <w:ind w:firstLine="2520" w:firstLineChars="900"/>
        <w:jc w:val="left"/>
        <w:rPr>
          <w:rFonts w:hint="eastAsia" w:ascii="宋体" w:eastAsia="宋体"/>
          <w:kern w:val="0"/>
          <w:sz w:val="28"/>
          <w:lang w:val="en-US" w:eastAsia="zh-CN"/>
        </w:rPr>
      </w:pPr>
      <w:r>
        <w:rPr>
          <w:rFonts w:hint="eastAsia" w:ascii="宋体"/>
          <w:kern w:val="0"/>
          <w:sz w:val="28"/>
        </w:rPr>
        <w:t>采 购 人：台州市殡仪馆</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2022</w:t>
      </w:r>
      <w:r>
        <w:rPr>
          <w:rFonts w:hint="eastAsia" w:ascii="宋体" w:hAnsi="宋体" w:cs="宋体"/>
          <w:kern w:val="0"/>
          <w:sz w:val="28"/>
          <w:szCs w:val="28"/>
        </w:rPr>
        <w:t>年</w:t>
      </w:r>
      <w:r>
        <w:rPr>
          <w:rFonts w:hint="eastAsia" w:ascii="宋体" w:hAnsi="宋体" w:cs="宋体"/>
          <w:kern w:val="0"/>
          <w:sz w:val="28"/>
          <w:szCs w:val="28"/>
          <w:lang w:val="en-US" w:eastAsia="zh-CN"/>
        </w:rPr>
        <w:t>6</w:t>
      </w:r>
      <w:r>
        <w:rPr>
          <w:rFonts w:hint="eastAsia" w:ascii="宋体" w:hAnsi="宋体" w:cs="宋体"/>
          <w:kern w:val="0"/>
          <w:sz w:val="28"/>
          <w:szCs w:val="28"/>
        </w:rPr>
        <w:t>月</w:t>
      </w:r>
      <w:r>
        <w:rPr>
          <w:rFonts w:hint="eastAsia" w:ascii="宋体" w:hAnsi="宋体" w:cs="宋体"/>
          <w:kern w:val="0"/>
          <w:sz w:val="28"/>
          <w:szCs w:val="28"/>
          <w:lang w:val="en-US" w:eastAsia="zh-CN"/>
        </w:rPr>
        <w:t>9</w:t>
      </w:r>
      <w:r>
        <w:rPr>
          <w:rFonts w:hint="eastAsia" w:ascii="宋体" w:hAnsi="宋体" w:cs="宋体"/>
          <w:kern w:val="0"/>
          <w:sz w:val="28"/>
          <w:szCs w:val="28"/>
        </w:rPr>
        <w:t>日</w:t>
      </w:r>
    </w:p>
    <w:p>
      <w:pPr>
        <w:spacing w:line="360" w:lineRule="auto"/>
      </w:pPr>
    </w:p>
    <w:p>
      <w:pPr>
        <w:pStyle w:val="28"/>
      </w:pPr>
    </w:p>
    <w:p>
      <w:pPr>
        <w:spacing w:line="360" w:lineRule="auto"/>
      </w:pPr>
    </w:p>
    <w:p>
      <w:pPr>
        <w:rPr>
          <w:rFonts w:ascii="宋体" w:hAnsi="宋体" w:cs="Arial"/>
          <w:b/>
          <w:bCs/>
          <w:sz w:val="36"/>
          <w:szCs w:val="36"/>
        </w:rPr>
      </w:pPr>
      <w:r>
        <w:rPr>
          <w:rFonts w:hint="eastAsia" w:ascii="宋体" w:hAnsi="宋体" w:cs="Arial"/>
          <w:b/>
          <w:bCs/>
          <w:sz w:val="36"/>
          <w:szCs w:val="36"/>
        </w:rPr>
        <w:br w:type="page"/>
      </w: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kern w:val="0"/>
              <w:sz w:val="28"/>
              <w:szCs w:val="28"/>
            </w:rPr>
          </w:pPr>
          <w:bookmarkStart w:id="0" w:name="_Toc25017_WPSOffice_Type1"/>
        </w:p>
        <w:p>
          <w:pPr>
            <w:pStyle w:val="4"/>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9"/>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val="0"/>
          <w:kern w:val="2"/>
          <w:sz w:val="24"/>
          <w:szCs w:val="24"/>
          <w:lang w:val="en-US" w:eastAsia="zh-CN" w:bidi="ar-SA"/>
        </w:rPr>
      </w:pPr>
      <w:bookmarkStart w:id="5" w:name="_Toc4350_WPSOffice_Level1"/>
      <w:r>
        <w:rPr>
          <w:rFonts w:hint="eastAsia" w:ascii="宋体" w:hAnsi="宋体" w:eastAsia="宋体" w:cs="宋体"/>
          <w:b w:val="0"/>
          <w:kern w:val="2"/>
          <w:sz w:val="24"/>
          <w:szCs w:val="24"/>
          <w:lang w:val="en-US" w:eastAsia="zh-CN" w:bidi="ar-SA"/>
        </w:rPr>
        <w:t>投标邀请</w:t>
      </w:r>
      <w:bookmarkEnd w:id="5"/>
    </w:p>
    <w:p>
      <w:pPr>
        <w:pStyle w:val="4"/>
        <w:ind w:firstLine="480" w:firstLineChars="200"/>
        <w:rPr>
          <w:rFonts w:hint="eastAsia" w:ascii="宋体" w:hAnsi="宋体" w:eastAsia="宋体" w:cs="宋体"/>
          <w:b w:val="0"/>
          <w:kern w:val="2"/>
          <w:sz w:val="24"/>
          <w:szCs w:val="24"/>
          <w:lang w:val="en-US" w:eastAsia="zh-CN" w:bidi="ar-SA"/>
        </w:rPr>
      </w:pPr>
      <w:bookmarkStart w:id="6" w:name="_Toc35393621"/>
      <w:bookmarkStart w:id="7" w:name="_Toc28359002"/>
      <w:bookmarkStart w:id="8" w:name="_Toc28359079"/>
      <w:bookmarkStart w:id="9" w:name="_Toc35393790"/>
      <w:bookmarkStart w:id="10" w:name="_Hlk24379207"/>
      <w:r>
        <w:rPr>
          <w:rFonts w:hint="eastAsia" w:ascii="宋体" w:hAnsi="宋体" w:eastAsia="宋体" w:cs="宋体"/>
          <w:b w:val="0"/>
          <w:kern w:val="2"/>
          <w:sz w:val="24"/>
          <w:szCs w:val="24"/>
          <w:lang w:val="en-US" w:eastAsia="zh-CN" w:bidi="ar-SA"/>
        </w:rPr>
        <w:t>台州市政府采购中心受台州市殡仪馆委托，就2022年度保安、保洁等物业服务采购项目进行公开招标，欢迎符合资格条件的国内投标人参加投标。</w:t>
      </w:r>
    </w:p>
    <w:p>
      <w:pPr>
        <w:pStyle w:val="4"/>
        <w:ind w:firstLine="241" w:firstLineChars="1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hint="eastAsia" w:ascii="宋体" w:hAnsi="宋体" w:cs="宋体"/>
          <w:sz w:val="24"/>
        </w:rPr>
      </w:pPr>
      <w:r>
        <w:rPr>
          <w:rFonts w:hint="eastAsia" w:ascii="宋体" w:hAnsi="宋体" w:cs="宋体"/>
          <w:sz w:val="24"/>
        </w:rPr>
        <w:t>项目编号：</w:t>
      </w:r>
      <w:bookmarkEnd w:id="10"/>
      <w:r>
        <w:rPr>
          <w:rFonts w:hint="eastAsia" w:ascii="宋体" w:hAnsi="宋体" w:cs="宋体"/>
          <w:sz w:val="24"/>
        </w:rPr>
        <w:t>TZCG-20</w:t>
      </w:r>
      <w:r>
        <w:rPr>
          <w:rFonts w:hint="eastAsia" w:ascii="宋体" w:hAnsi="宋体" w:cs="宋体"/>
          <w:sz w:val="24"/>
          <w:lang w:val="en-US" w:eastAsia="zh-CN"/>
        </w:rPr>
        <w:t>22</w:t>
      </w:r>
      <w:r>
        <w:rPr>
          <w:rFonts w:hint="eastAsia" w:ascii="宋体" w:hAnsi="宋体" w:cs="宋体"/>
          <w:sz w:val="24"/>
        </w:rPr>
        <w:t>-GK0</w:t>
      </w:r>
      <w:r>
        <w:rPr>
          <w:rFonts w:hint="eastAsia" w:ascii="宋体" w:hAnsi="宋体" w:cs="宋体"/>
          <w:sz w:val="24"/>
          <w:lang w:val="en-US" w:eastAsia="zh-CN"/>
        </w:rPr>
        <w:t>09</w:t>
      </w:r>
      <w:r>
        <w:rPr>
          <w:rFonts w:hint="eastAsia" w:ascii="宋体" w:hAnsi="宋体" w:cs="宋体"/>
          <w:sz w:val="24"/>
        </w:rPr>
        <w:t>号</w:t>
      </w:r>
    </w:p>
    <w:p>
      <w:pPr>
        <w:autoSpaceDE w:val="0"/>
        <w:autoSpaceDN w:val="0"/>
        <w:adjustRightInd w:val="0"/>
        <w:spacing w:line="360" w:lineRule="auto"/>
        <w:ind w:firstLine="240" w:firstLineChars="100"/>
        <w:jc w:val="left"/>
        <w:rPr>
          <w:rFonts w:hint="eastAsia" w:ascii="宋体" w:hAnsi="宋体" w:cs="宋体"/>
          <w:sz w:val="24"/>
        </w:rPr>
      </w:pPr>
      <w:r>
        <w:rPr>
          <w:rFonts w:hint="eastAsia" w:ascii="宋体" w:hAnsi="宋体" w:cs="宋体"/>
          <w:sz w:val="24"/>
        </w:rPr>
        <w:t>项目名称：2022年度保安、保洁等物业服务采购项目</w:t>
      </w:r>
    </w:p>
    <w:tbl>
      <w:tblPr>
        <w:tblStyle w:val="22"/>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844"/>
        <w:gridCol w:w="916"/>
        <w:gridCol w:w="1084"/>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3844"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16"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108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76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3844" w:type="dxa"/>
            <w:vAlign w:val="center"/>
          </w:tcPr>
          <w:p>
            <w:pPr>
              <w:autoSpaceDE w:val="0"/>
              <w:autoSpaceDN w:val="0"/>
              <w:adjustRightInd w:val="0"/>
              <w:spacing w:line="360" w:lineRule="auto"/>
              <w:jc w:val="left"/>
              <w:rPr>
                <w:rFonts w:ascii="宋体" w:hAnsi="宋体" w:cs="宋体"/>
                <w:b/>
                <w:sz w:val="21"/>
                <w:szCs w:val="21"/>
              </w:rPr>
            </w:pPr>
            <w:r>
              <w:rPr>
                <w:rFonts w:hint="eastAsia" w:ascii="宋体" w:hAnsi="宋体" w:cs="宋体"/>
                <w:b/>
                <w:sz w:val="21"/>
                <w:szCs w:val="21"/>
              </w:rPr>
              <w:t>2022年度保安、保洁等物业服务采购项目</w:t>
            </w:r>
          </w:p>
        </w:tc>
        <w:tc>
          <w:tcPr>
            <w:tcW w:w="916" w:type="dxa"/>
            <w:vAlign w:val="center"/>
          </w:tcPr>
          <w:p>
            <w:pPr>
              <w:tabs>
                <w:tab w:val="left" w:pos="8280"/>
              </w:tabs>
              <w:autoSpaceDE w:val="0"/>
              <w:autoSpaceDN w:val="0"/>
              <w:adjustRightInd w:val="0"/>
              <w:jc w:val="center"/>
              <w:rPr>
                <w:rFonts w:hint="eastAsia" w:ascii="宋体" w:hAnsi="宋体" w:cs="宋体"/>
                <w:b/>
                <w:kern w:val="0"/>
                <w:sz w:val="21"/>
                <w:szCs w:val="21"/>
              </w:rPr>
            </w:pPr>
            <w:r>
              <w:rPr>
                <w:rFonts w:hint="eastAsia" w:ascii="宋体" w:hAnsi="宋体" w:cs="宋体"/>
                <w:b/>
                <w:kern w:val="0"/>
                <w:sz w:val="21"/>
                <w:szCs w:val="21"/>
                <w:lang w:val="en-US" w:eastAsia="zh-CN"/>
              </w:rPr>
              <w:t>1</w:t>
            </w:r>
          </w:p>
        </w:tc>
        <w:tc>
          <w:tcPr>
            <w:tcW w:w="1084" w:type="dxa"/>
            <w:vAlign w:val="center"/>
          </w:tcPr>
          <w:p>
            <w:pPr>
              <w:tabs>
                <w:tab w:val="left" w:pos="8280"/>
              </w:tabs>
              <w:autoSpaceDE w:val="0"/>
              <w:autoSpaceDN w:val="0"/>
              <w:adjustRightInd w:val="0"/>
              <w:jc w:val="center"/>
              <w:rPr>
                <w:rFonts w:hint="eastAsia" w:ascii="宋体" w:hAnsi="宋体" w:cs="宋体"/>
                <w:b/>
                <w:kern w:val="0"/>
                <w:sz w:val="21"/>
                <w:szCs w:val="21"/>
              </w:rPr>
            </w:pPr>
            <w:r>
              <w:rPr>
                <w:rFonts w:hint="eastAsia" w:ascii="宋体" w:hAnsi="宋体" w:cs="宋体"/>
                <w:b/>
                <w:kern w:val="0"/>
                <w:sz w:val="21"/>
                <w:szCs w:val="21"/>
                <w:lang w:val="en-US" w:eastAsia="zh-CN"/>
              </w:rPr>
              <w:t>年</w:t>
            </w:r>
          </w:p>
        </w:tc>
        <w:tc>
          <w:tcPr>
            <w:tcW w:w="1763" w:type="dxa"/>
            <w:vAlign w:val="center"/>
          </w:tcPr>
          <w:p>
            <w:pPr>
              <w:tabs>
                <w:tab w:val="left" w:pos="8280"/>
              </w:tabs>
              <w:autoSpaceDE w:val="0"/>
              <w:autoSpaceDN w:val="0"/>
              <w:adjustRightInd w:val="0"/>
              <w:jc w:val="center"/>
              <w:rPr>
                <w:rFonts w:hint="eastAsia" w:ascii="宋体" w:hAnsi="宋体" w:cs="宋体"/>
                <w:b/>
                <w:kern w:val="0"/>
                <w:sz w:val="21"/>
                <w:szCs w:val="21"/>
              </w:rPr>
            </w:pPr>
            <w:r>
              <w:rPr>
                <w:rFonts w:hint="eastAsia" w:ascii="宋体" w:hAnsi="宋体" w:cs="宋体"/>
                <w:b/>
                <w:kern w:val="0"/>
                <w:sz w:val="21"/>
                <w:szCs w:val="21"/>
              </w:rPr>
              <w:t>485</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35393622"/>
      <w:bookmarkStart w:id="12" w:name="_Toc28359003"/>
      <w:bookmarkStart w:id="13" w:name="_Toc35393791"/>
      <w:bookmarkStart w:id="14" w:name="_Toc28359080"/>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adjustRightInd w:val="0"/>
        <w:snapToGrid w:val="0"/>
        <w:spacing w:line="360" w:lineRule="auto"/>
        <w:ind w:firstLine="480" w:firstLineChars="200"/>
        <w:rPr>
          <w:rFonts w:hint="eastAsia" w:ascii="宋体" w:hAnsi="宋体" w:cs="宋体"/>
          <w:sz w:val="24"/>
        </w:rPr>
      </w:pPr>
      <w:bookmarkStart w:id="15" w:name="_Toc35393792"/>
      <w:bookmarkStart w:id="16" w:name="_Toc28359004"/>
      <w:bookmarkStart w:id="17" w:name="_Toc35393623"/>
      <w:bookmarkStart w:id="18" w:name="_Toc28359081"/>
      <w:r>
        <w:rPr>
          <w:rFonts w:hint="eastAsia" w:ascii="宋体" w:hAnsi="宋体" w:cs="宋体"/>
          <w:sz w:val="24"/>
        </w:rPr>
        <w:t>（二）本项目的特定资格要求：</w:t>
      </w:r>
    </w:p>
    <w:p>
      <w:pPr>
        <w:snapToGrid w:val="0"/>
        <w:spacing w:line="360" w:lineRule="auto"/>
        <w:ind w:firstLine="540" w:firstLineChars="225"/>
        <w:rPr>
          <w:rFonts w:hint="eastAsia" w:eastAsia="宋体"/>
          <w:lang w:val="en-US" w:eastAsia="zh-CN"/>
        </w:rPr>
      </w:pPr>
      <w:r>
        <w:rPr>
          <w:rFonts w:hint="eastAsia" w:ascii="宋体" w:hAnsi="宋体" w:cs="宋体"/>
          <w:sz w:val="24"/>
        </w:rPr>
        <w:t>投标人营业执照经营范围需包含物业管理服务或保安、保洁、绿化养护等内容。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lang w:val="en-US" w:eastAsia="zh-CN"/>
        </w:rPr>
        <w:t>2022</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13</w:t>
      </w:r>
      <w:r>
        <w:rPr>
          <w:rFonts w:hint="eastAsia" w:ascii="宋体" w:hAnsi="宋体" w:cs="宋体"/>
          <w:sz w:val="24"/>
        </w:rPr>
        <w:t>日至</w:t>
      </w:r>
      <w:r>
        <w:rPr>
          <w:rFonts w:hint="eastAsia" w:ascii="宋体" w:hAnsi="宋体" w:cs="宋体"/>
          <w:sz w:val="24"/>
          <w:lang w:val="en-US" w:eastAsia="zh-CN"/>
        </w:rPr>
        <w:t>2022</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17</w:t>
      </w:r>
      <w:r>
        <w:rPr>
          <w:rFonts w:hint="eastAsia" w:ascii="宋体" w:hAnsi="宋体" w:cs="宋体"/>
          <w:sz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28359082"/>
      <w:bookmarkStart w:id="20" w:name="_Toc35393624"/>
      <w:bookmarkStart w:id="21" w:name="_Toc35393793"/>
      <w:bookmarkStart w:id="22" w:name="_Toc28359005"/>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794"/>
      <w:bookmarkStart w:id="24" w:name="_Toc35393625"/>
      <w:bookmarkStart w:id="25" w:name="_Toc28359084"/>
      <w:bookmarkStart w:id="26" w:name="_Toc28359007"/>
      <w:r>
        <w:rPr>
          <w:rFonts w:hint="eastAsia" w:ascii="宋体" w:hAnsi="宋体" w:cs="宋体"/>
          <w:sz w:val="24"/>
        </w:rPr>
        <w:t>（一）截止时间（开标时间）：</w:t>
      </w:r>
      <w:r>
        <w:rPr>
          <w:rFonts w:hint="eastAsia" w:ascii="宋体" w:hAnsi="宋体" w:cs="宋体"/>
          <w:sz w:val="24"/>
          <w:lang w:val="en-US" w:eastAsia="zh-CN"/>
        </w:rPr>
        <w:t>2022</w:t>
      </w:r>
      <w:r>
        <w:rPr>
          <w:rFonts w:hint="eastAsia" w:ascii="宋体" w:hAnsi="宋体" w:cs="宋体"/>
          <w:sz w:val="24"/>
        </w:rPr>
        <w:t>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5</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点整（北京时间）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796"/>
      <w:bookmarkStart w:id="30" w:name="_Toc35393627"/>
      <w:bookmarkStart w:id="31" w:name="_Toc28359008"/>
      <w:bookmarkStart w:id="32" w:name="_Toc28359085"/>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台州市殡仪馆　</w:t>
      </w:r>
    </w:p>
    <w:p>
      <w:pPr>
        <w:spacing w:line="360" w:lineRule="auto"/>
        <w:ind w:left="1079" w:leftChars="371" w:hanging="300" w:hangingChars="125"/>
        <w:jc w:val="left"/>
        <w:rPr>
          <w:rFonts w:hint="eastAsia" w:ascii="宋体" w:hAnsi="宋体" w:cs="宋体"/>
          <w:sz w:val="24"/>
          <w:u w:val="single"/>
          <w:lang w:eastAsia="zh-CN"/>
        </w:rPr>
      </w:pPr>
      <w:r>
        <w:rPr>
          <w:rFonts w:hint="eastAsia" w:ascii="宋体" w:hAnsi="宋体" w:cs="宋体"/>
          <w:sz w:val="24"/>
        </w:rPr>
        <w:t>地址：</w:t>
      </w:r>
      <w:r>
        <w:rPr>
          <w:rFonts w:hint="eastAsia" w:ascii="宋体" w:hAnsi="宋体" w:cs="宋体"/>
          <w:sz w:val="24"/>
          <w:u w:val="single"/>
        </w:rPr>
        <w:t>台州市路桥区桐屿街道下岭村</w:t>
      </w:r>
    </w:p>
    <w:p>
      <w:pPr>
        <w:spacing w:line="360" w:lineRule="auto"/>
        <w:ind w:firstLine="720" w:firstLineChars="300"/>
        <w:rPr>
          <w:rFonts w:hint="eastAsia" w:ascii="宋体" w:hAnsi="宋体" w:cs="宋体"/>
          <w:sz w:val="24"/>
          <w:u w:val="single"/>
          <w:lang w:eastAsia="zh-CN"/>
        </w:rPr>
      </w:pPr>
      <w:r>
        <w:rPr>
          <w:rFonts w:hint="eastAsia" w:ascii="宋体" w:hAnsi="宋体" w:cs="宋体"/>
          <w:sz w:val="24"/>
        </w:rPr>
        <w:t>联系人：</w:t>
      </w:r>
      <w:r>
        <w:rPr>
          <w:rFonts w:hint="eastAsia" w:ascii="宋体" w:hAnsi="宋体" w:cs="宋体"/>
          <w:sz w:val="24"/>
          <w:u w:val="single"/>
        </w:rPr>
        <w:t>张</w:t>
      </w:r>
      <w:r>
        <w:rPr>
          <w:rFonts w:hint="eastAsia" w:ascii="宋体" w:hAnsi="宋体" w:cs="宋体"/>
          <w:sz w:val="24"/>
          <w:u w:val="single"/>
          <w:lang w:eastAsia="zh-CN"/>
        </w:rPr>
        <w:t>老师</w:t>
      </w:r>
      <w:bookmarkStart w:id="33" w:name="_Toc28359009"/>
      <w:bookmarkStart w:id="34" w:name="_Toc28359086"/>
    </w:p>
    <w:p>
      <w:pPr>
        <w:spacing w:line="360" w:lineRule="auto"/>
        <w:ind w:firstLine="720" w:firstLineChars="3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0576-82323893　</w:t>
      </w:r>
    </w:p>
    <w:bookmarkEnd w:id="33"/>
    <w:bookmarkEnd w:id="34"/>
    <w:p>
      <w:pPr>
        <w:numPr>
          <w:ilvl w:val="0"/>
          <w:numId w:val="4"/>
        </w:numPr>
        <w:spacing w:line="360" w:lineRule="auto"/>
        <w:ind w:firstLine="482" w:firstLineChars="200"/>
        <w:rPr>
          <w:rFonts w:hint="eastAsia" w:ascii="宋体" w:hAnsi="宋体" w:cs="宋体"/>
          <w:b/>
          <w:bCs/>
          <w:sz w:val="24"/>
        </w:rPr>
      </w:pPr>
      <w:r>
        <w:rPr>
          <w:rFonts w:hint="eastAsia" w:ascii="宋体" w:hAnsi="宋体" w:cs="宋体"/>
          <w:b/>
          <w:bCs/>
          <w:sz w:val="24"/>
        </w:rPr>
        <w:t>采购组织机构</w:t>
      </w:r>
    </w:p>
    <w:p>
      <w:pPr>
        <w:spacing w:line="360" w:lineRule="auto"/>
        <w:ind w:firstLine="480" w:firstLineChars="200"/>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hint="eastAsia" w:ascii="宋体" w:hAnsi="宋体" w:cs="宋体"/>
          <w:sz w:val="24"/>
          <w:u w:val="single"/>
        </w:rPr>
      </w:pPr>
      <w:r>
        <w:rPr>
          <w:rFonts w:hint="eastAsia" w:ascii="宋体" w:hAnsi="宋体" w:cs="宋体"/>
          <w:sz w:val="24"/>
        </w:rPr>
        <w:t>项目联系人：</w:t>
      </w:r>
      <w:r>
        <w:rPr>
          <w:rFonts w:hint="eastAsia" w:ascii="宋体" w:hAnsi="宋体" w:cs="宋体"/>
          <w:sz w:val="24"/>
          <w:u w:val="single"/>
        </w:rPr>
        <w:t>陈老师</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88685056</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受理联系人：</w:t>
      </w:r>
      <w:r>
        <w:rPr>
          <w:rFonts w:hint="eastAsia" w:ascii="宋体" w:hAnsi="宋体" w:cs="宋体"/>
          <w:sz w:val="24"/>
          <w:u w:val="single"/>
        </w:rPr>
        <w:t>候女士（受理注册、中标结果相关质疑及答复）</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0576-88685121 </w:t>
      </w:r>
    </w:p>
    <w:p>
      <w:pPr>
        <w:spacing w:line="360" w:lineRule="auto"/>
        <w:ind w:firstLine="480" w:firstLineChars="200"/>
        <w:rPr>
          <w:rFonts w:ascii="宋体" w:hAnsi="宋体" w:cs="宋体"/>
          <w:sz w:val="24"/>
          <w:u w:val="single"/>
        </w:rPr>
      </w:pPr>
      <w:r>
        <w:rPr>
          <w:rFonts w:hint="eastAsia" w:ascii="宋体" w:hAnsi="宋体" w:cs="宋体"/>
          <w:sz w:val="24"/>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p>
    <w:p>
      <w:pPr>
        <w:spacing w:line="360" w:lineRule="auto"/>
        <w:ind w:firstLine="480" w:firstLineChars="200"/>
        <w:rPr>
          <w:rFonts w:hint="default" w:ascii="宋体" w:hAnsi="宋体" w:cs="宋体"/>
          <w:sz w:val="24"/>
          <w:u w:val="single"/>
          <w:lang w:val="en-US" w:eastAsia="zh-CN"/>
        </w:rPr>
      </w:pPr>
      <w:r>
        <w:rPr>
          <w:rFonts w:hint="eastAsia" w:ascii="宋体" w:hAnsi="宋体" w:cs="宋体"/>
          <w:sz w:val="24"/>
        </w:rPr>
        <w:t>联系电话：</w:t>
      </w:r>
      <w:r>
        <w:rPr>
          <w:rFonts w:hint="eastAsia" w:ascii="宋体" w:hAnsi="宋体" w:cs="宋体"/>
          <w:sz w:val="24"/>
          <w:u w:val="single"/>
          <w:lang w:eastAsia="zh-CN"/>
        </w:rPr>
        <w:t>0576-886851</w:t>
      </w:r>
      <w:r>
        <w:rPr>
          <w:rFonts w:hint="eastAsia" w:ascii="宋体" w:hAnsi="宋体" w:cs="宋体"/>
          <w:sz w:val="24"/>
          <w:u w:val="single"/>
          <w:lang w:val="en-US" w:eastAsia="zh-CN"/>
        </w:rPr>
        <w:t>61</w:t>
      </w:r>
    </w:p>
    <w:p>
      <w:pPr>
        <w:spacing w:line="360" w:lineRule="auto"/>
        <w:ind w:firstLine="482" w:firstLineChars="200"/>
        <w:rPr>
          <w:rFonts w:ascii="宋体" w:hAnsi="宋体" w:cs="宋体"/>
          <w:b/>
          <w:sz w:val="24"/>
        </w:rPr>
      </w:pPr>
      <w:bookmarkStart w:id="35" w:name="_Toc28359087"/>
      <w:bookmarkStart w:id="36" w:name="_Toc28359010"/>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5"/>
    <w:bookmarkEnd w:id="36"/>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kern w:val="0"/>
          <w:sz w:val="24"/>
        </w:rPr>
      </w:pPr>
      <w:bookmarkStart w:id="37" w:name="_Toc25017_WPSOffice_Level1"/>
      <w:r>
        <w:rPr>
          <w:rFonts w:hint="eastAsia" w:ascii="宋体" w:hAnsi="宋体" w:cs="宋体"/>
          <w:sz w:val="24"/>
          <w:shd w:val="clear" w:color="auto" w:fill="FFFFFF"/>
          <w:lang w:val="en-US" w:eastAsia="zh-CN"/>
        </w:rPr>
        <w:t xml:space="preserve">                                              </w:t>
      </w: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rPr>
      </w:pPr>
      <w:r>
        <w:rPr>
          <w:rFonts w:hint="eastAsia" w:ascii="宋体" w:hAnsi="宋体" w:cs="宋体"/>
          <w:kern w:val="0"/>
          <w:sz w:val="24"/>
          <w:lang w:val="en-US" w:eastAsia="zh-CN"/>
        </w:rPr>
        <w:t xml:space="preserve">                                            2022</w:t>
      </w:r>
      <w:r>
        <w:rPr>
          <w:rFonts w:hint="eastAsia" w:ascii="宋体" w:hAnsi="宋体" w:cs="宋体"/>
          <w:kern w:val="0"/>
          <w:sz w:val="24"/>
        </w:rPr>
        <w:t>年</w:t>
      </w:r>
      <w:r>
        <w:rPr>
          <w:rFonts w:hint="eastAsia" w:ascii="宋体" w:hAnsi="宋体" w:cs="宋体"/>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w:t>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2"/>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□是（但主体部分不得分包，详见招标需求内容）/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是否包含政府强制采购节能产品</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□是（具体清单见招标需求）/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textAlignment w:val="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领取</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招标采购文件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后，采购人将统一组织现场勘察，各投标供应商请在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2022</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4"/>
                <w:szCs w:val="24"/>
                <w14:textFill>
                  <w14:solidFill>
                    <w14:schemeClr w14:val="tx1"/>
                  </w14:solidFill>
                </w14:textFill>
              </w:rPr>
              <w:t>日前将公司名称、联系人、联系电话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告知</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采购联系人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张老师</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联系电话：0576-82323893，具体勘察时间、地点另行通知。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请投标人在投标前仔细阅读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政府采购项目电子交易操作指南</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1.投标文件的制作：投标人按照本项目招标文件和政采云平台的要求，通过“政采云电子交易客户端”编制、加密并递交投标文件（下载网址：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"http://www.zjzfcg.gov.cn/bidClientTemplate/2019-09-24/12975.html）。"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https://zfcg.czt.zj.gov.cn/download/index.html）。</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2.投标：投标人应当在投标截止时间前（开标当天北京时间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3.投标文件解密：投标人应在开标当天北京时间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lang w:val="en-US" w:eastAsia="zh-CN"/>
              </w:rPr>
              <w:t>9:30</w:t>
            </w:r>
            <w:r>
              <w:rPr>
                <w:rFonts w:hint="eastAsia" w:asciiTheme="minorEastAsia" w:hAnsiTheme="minorEastAsia" w:eastAsiaTheme="minorEastAsia" w:cstheme="minorEastAsia"/>
                <w:sz w:val="24"/>
                <w:szCs w:val="24"/>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1.使用前提：在解密截止时间前，投标人自行在线解密操作失败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2.递交截止时间：开标当天</w:t>
            </w:r>
            <w:r>
              <w:rPr>
                <w:rFonts w:hint="eastAsia" w:asciiTheme="minorEastAsia" w:hAnsiTheme="minorEastAsia" w:eastAsiaTheme="minorEastAsia" w:cstheme="minorEastAsia"/>
                <w:sz w:val="24"/>
                <w:szCs w:val="24"/>
                <w:lang w:val="en-US" w:eastAsia="zh-CN"/>
              </w:rPr>
              <w:t>9:50</w:t>
            </w:r>
            <w:r>
              <w:rPr>
                <w:rFonts w:hint="eastAsia" w:asciiTheme="minorEastAsia" w:hAnsiTheme="minorEastAsia" w:eastAsiaTheme="minorEastAsia" w:cstheme="minorEastAsia"/>
                <w:sz w:val="24"/>
                <w:szCs w:val="24"/>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numPr>
                <w:ilvl w:val="0"/>
                <w:numId w:val="0"/>
              </w:num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不见面开标直播</w:t>
            </w:r>
          </w:p>
          <w:p>
            <w:pPr>
              <w:spacing w:line="360" w:lineRule="auto"/>
              <w:jc w:val="center"/>
              <w:rPr>
                <w:rFonts w:hint="eastAsia" w:asciiTheme="minorEastAsia" w:hAnsiTheme="minorEastAsia" w:eastAsiaTheme="minorEastAsia" w:cstheme="minorEastAsia"/>
                <w:color w:val="FF0000"/>
                <w:kern w:val="0"/>
                <w:sz w:val="24"/>
                <w:szCs w:val="24"/>
                <w:lang w:val="en-US" w:eastAsia="zh-CN" w:bidi="ar-SA"/>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rightChars="0" w:firstLine="0" w:firstLineChars="0"/>
              <w:jc w:val="left"/>
              <w:rPr>
                <w:rFonts w:hint="eastAsia" w:asciiTheme="minorEastAsia" w:hAnsiTheme="minorEastAsia" w:eastAsiaTheme="minorEastAsia" w:cstheme="minorEastAsia"/>
                <w:color w:val="FF0000"/>
                <w:kern w:val="0"/>
                <w:sz w:val="24"/>
                <w:szCs w:val="24"/>
                <w:lang w:val="en-US" w:eastAsia="zh-CN" w:bidi="ar-SA"/>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造成无法</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或</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失败等后果由供应商自行承担</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auto"/>
                <w:sz w:val="24"/>
                <w:szCs w:val="24"/>
              </w:rPr>
              <w:t>远程</w:t>
            </w:r>
            <w:r>
              <w:rPr>
                <w:rFonts w:hint="eastAsia" w:asciiTheme="minorEastAsia" w:hAnsiTheme="minorEastAsia" w:eastAsiaTheme="minorEastAsia" w:cstheme="minorEastAsia"/>
                <w:color w:val="auto"/>
                <w:sz w:val="24"/>
                <w:szCs w:val="24"/>
                <w:lang w:eastAsia="zh-CN"/>
              </w:rPr>
              <w:t>协商</w:t>
            </w:r>
            <w:r>
              <w:rPr>
                <w:rFonts w:hint="eastAsia" w:asciiTheme="minorEastAsia" w:hAnsiTheme="minorEastAsia" w:eastAsiaTheme="minorEastAsia" w:cstheme="minorEastAsia"/>
                <w:color w:val="auto"/>
                <w:sz w:val="24"/>
                <w:szCs w:val="24"/>
              </w:rPr>
              <w:t>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60" w:lineRule="auto"/>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线上</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通过“政采云视频讲标系统”进行线上视频演示，投标人登录政采云系统-----进入开标大厅---进入本项目进行操作。政采云视频讲标系统在线上视频</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1.本项目实行电子投标，投标人自行承担投标一切费用。</w:t>
            </w:r>
          </w:p>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信用中国（网址：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http://www.creditchina.gov.cn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中国政府采购网（网址：http://www.ccgp.gov.cn</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111F2C"/>
                <w:sz w:val="24"/>
                <w:szCs w:val="24"/>
                <w:shd w:val="clear" w:color="auto" w:fill="FFFFFF"/>
              </w:rPr>
            </w:pPr>
            <w:r>
              <w:rPr>
                <w:rFonts w:hint="eastAsia" w:asciiTheme="minorEastAsia" w:hAnsiTheme="minorEastAsia" w:eastAsiaTheme="minorEastAsia" w:cstheme="minorEastAsia"/>
                <w:sz w:val="24"/>
                <w:szCs w:val="24"/>
              </w:rPr>
              <w:t>根据《政府采购促进中小企业发展管理办法》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财库〔2020〕46号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文件的规定，本项目(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1.项目属性</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single"/>
                <w:lang w:eastAsia="zh-CN"/>
              </w:rPr>
              <w:t>服务</w:t>
            </w:r>
            <w:r>
              <w:rPr>
                <w:rFonts w:hint="eastAsia" w:asciiTheme="minorEastAsia" w:hAnsiTheme="minorEastAsia" w:eastAsiaTheme="minorEastAsia" w:cstheme="minorEastAsia"/>
                <w:sz w:val="24"/>
                <w:szCs w:val="24"/>
                <w:u w:val="single"/>
              </w:rPr>
              <w:t>类</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2.中小企业划分标准所属行业（具体根据《中小企业划型标准规定》执行）</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采购标的：</w:t>
            </w:r>
            <w:r>
              <w:rPr>
                <w:rFonts w:hint="eastAsia" w:asciiTheme="minorEastAsia" w:hAnsiTheme="minorEastAsia" w:eastAsiaTheme="minorEastAsia" w:cstheme="minorEastAsia"/>
                <w:sz w:val="24"/>
                <w:szCs w:val="24"/>
                <w:u w:val="single"/>
                <w:lang w:eastAsia="zh-CN"/>
              </w:rPr>
              <w:t>物业管理</w:t>
            </w:r>
            <w:r>
              <w:rPr>
                <w:rFonts w:hint="eastAsia" w:asciiTheme="minorEastAsia" w:hAnsiTheme="minorEastAsia" w:eastAsiaTheme="minorEastAsia" w:cstheme="minorEastAsia"/>
                <w:sz w:val="24"/>
                <w:szCs w:val="24"/>
              </w:rPr>
              <w:t>，所属行业：</w:t>
            </w:r>
            <w:r>
              <w:rPr>
                <w:rFonts w:hint="eastAsia" w:asciiTheme="minorEastAsia" w:hAnsiTheme="minorEastAsia" w:eastAsiaTheme="minorEastAsia" w:cstheme="minorEastAsia"/>
                <w:sz w:val="24"/>
                <w:szCs w:val="24"/>
                <w:u w:val="single"/>
                <w:lang w:eastAsia="zh-CN"/>
              </w:rPr>
              <w:t>物业管理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3.属于享受政府采购支持政策的残疾人福利性单位，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应符合财库</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141号文件规定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视同小型、微型企业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文件中提供《残疾人福利性单位声明函》（见附件）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享受评审中价格扣除政策</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4.根据财库〔20</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带“</w:t>
            </w:r>
            <w:r>
              <w:rPr>
                <w:rFonts w:hint="eastAsia" w:asciiTheme="minorEastAsia" w:hAnsiTheme="minorEastAsia" w:eastAsiaTheme="minorEastAsia" w:cstheme="minorEastAsia"/>
                <w:bCs/>
                <w:sz w:val="24"/>
                <w:szCs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bookmarkStart w:id="38" w:name="_Toc13072_WPSOffice_Level1"/>
      <w:r>
        <w:rPr>
          <w:rFonts w:hint="eastAsia" w:asciiTheme="minorEastAsia" w:hAnsiTheme="minorEastAsia" w:eastAsiaTheme="minorEastAsia"/>
          <w:b/>
          <w:sz w:val="24"/>
        </w:rPr>
        <w:t>二、说 明</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21"/>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9"/>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4"/>
        <w:snapToGrid w:val="0"/>
        <w:spacing w:line="360" w:lineRule="auto"/>
        <w:ind w:firstLine="482" w:firstLineChars="200"/>
        <w:rPr>
          <w:rFonts w:hAnsi="宋体" w:cs="宋体"/>
          <w:b/>
          <w:sz w:val="24"/>
        </w:rPr>
      </w:pPr>
      <w:r>
        <w:rPr>
          <w:rFonts w:hint="eastAsia" w:hAnsi="宋体" w:cs="宋体"/>
          <w:b/>
          <w:sz w:val="24"/>
        </w:rPr>
        <w:t>（七）特别说明</w:t>
      </w:r>
    </w:p>
    <w:p>
      <w:pPr>
        <w:pStyle w:val="14"/>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9"/>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9"/>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授权委托书（法定代表人亲自办理投标事宜的，则无需提交</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2"/>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2"/>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2"/>
        <w:widowControl/>
        <w:adjustRightInd w:val="0"/>
        <w:snapToGrid w:val="0"/>
        <w:spacing w:line="360" w:lineRule="auto"/>
        <w:ind w:firstLine="480" w:firstLineChars="200"/>
        <w:rPr>
          <w:sz w:val="24"/>
        </w:rPr>
      </w:pPr>
      <w:r>
        <w:rPr>
          <w:rFonts w:hint="eastAsia"/>
          <w:sz w:val="24"/>
        </w:rPr>
        <w:t>②技术需求响应表；</w:t>
      </w:r>
    </w:p>
    <w:p>
      <w:pPr>
        <w:pStyle w:val="2"/>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2"/>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0"/>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0"/>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（二）发布中标结果公告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9"/>
        <w:numPr>
          <w:ilvl w:val="0"/>
          <w:numId w:val="0"/>
        </w:numPr>
        <w:spacing w:line="360" w:lineRule="auto"/>
        <w:ind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（三）发放中标通知书</w:t>
      </w:r>
    </w:p>
    <w:p>
      <w:pPr>
        <w:pStyle w:val="9"/>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20"/>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20"/>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本次招标共</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rPr>
        <w:t>个标项，具体内容如下表：</w:t>
      </w:r>
    </w:p>
    <w:tbl>
      <w:tblPr>
        <w:tblStyle w:val="22"/>
        <w:tblpPr w:leftFromText="181" w:rightFromText="181" w:bottomFromText="170" w:vertAnchor="text" w:tblpXSpec="center" w:tblpY="1"/>
        <w:tblOverlap w:val="never"/>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519"/>
        <w:gridCol w:w="1905"/>
        <w:gridCol w:w="990"/>
        <w:gridCol w:w="1080"/>
        <w:gridCol w:w="1593"/>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lang w:eastAsia="zh-CN"/>
              </w:rPr>
              <w:t>标项</w:t>
            </w:r>
            <w:r>
              <w:rPr>
                <w:rFonts w:hint="eastAsia" w:ascii="宋体" w:hAnsi="宋体"/>
                <w:b/>
                <w:sz w:val="24"/>
              </w:rPr>
              <w:t>号</w:t>
            </w:r>
          </w:p>
        </w:tc>
        <w:tc>
          <w:tcPr>
            <w:tcW w:w="2519"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jc w:val="center"/>
              <w:rPr>
                <w:rFonts w:ascii="宋体"/>
                <w:b/>
                <w:sz w:val="21"/>
                <w:szCs w:val="21"/>
              </w:rPr>
            </w:pPr>
            <w:r>
              <w:rPr>
                <w:rFonts w:hint="eastAsia" w:ascii="宋体" w:hAnsi="宋体"/>
                <w:b/>
                <w:sz w:val="24"/>
              </w:rPr>
              <w:t>名称</w:t>
            </w:r>
          </w:p>
        </w:tc>
        <w:tc>
          <w:tcPr>
            <w:tcW w:w="1905"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4"/>
              </w:rPr>
              <w:t>简要技术要求</w:t>
            </w:r>
          </w:p>
        </w:tc>
        <w:tc>
          <w:tcPr>
            <w:tcW w:w="99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数量</w:t>
            </w:r>
          </w:p>
        </w:tc>
        <w:tc>
          <w:tcPr>
            <w:tcW w:w="108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单位</w:t>
            </w:r>
          </w:p>
        </w:tc>
        <w:tc>
          <w:tcPr>
            <w:tcW w:w="1593" w:type="dxa"/>
            <w:vAlign w:val="center"/>
          </w:tcPr>
          <w:p>
            <w:pPr>
              <w:tabs>
                <w:tab w:val="left" w:pos="8280"/>
              </w:tabs>
              <w:autoSpaceDE w:val="0"/>
              <w:autoSpaceDN w:val="0"/>
              <w:adjustRightInd w:val="0"/>
              <w:spacing w:line="360" w:lineRule="auto"/>
              <w:ind w:right="25"/>
              <w:jc w:val="center"/>
              <w:rPr>
                <w:rFonts w:ascii="宋体" w:hAnsi="宋体"/>
                <w:b/>
                <w:sz w:val="24"/>
                <w:szCs w:val="21"/>
              </w:rPr>
            </w:pPr>
            <w:r>
              <w:rPr>
                <w:rFonts w:hint="eastAsia" w:ascii="宋体" w:hAnsi="宋体"/>
                <w:b/>
                <w:sz w:val="24"/>
                <w:szCs w:val="21"/>
              </w:rPr>
              <w:t>服务面积</w:t>
            </w:r>
          </w:p>
          <w:p>
            <w:pPr>
              <w:tabs>
                <w:tab w:val="left" w:pos="8280"/>
              </w:tabs>
              <w:autoSpaceDE w:val="0"/>
              <w:autoSpaceDN w:val="0"/>
              <w:adjustRightInd w:val="0"/>
              <w:spacing w:line="360" w:lineRule="auto"/>
              <w:ind w:right="25" w:rightChars="0"/>
              <w:jc w:val="center"/>
              <w:rPr>
                <w:rFonts w:ascii="宋体" w:hAnsi="宋体" w:eastAsia="宋体" w:cs="Times New Roman"/>
                <w:b/>
                <w:kern w:val="2"/>
                <w:sz w:val="24"/>
                <w:szCs w:val="21"/>
                <w:lang w:val="en-US" w:eastAsia="zh-CN" w:bidi="ar-SA"/>
              </w:rPr>
            </w:pPr>
            <w:r>
              <w:rPr>
                <w:rFonts w:hint="eastAsia" w:ascii="宋体" w:hAnsi="宋体"/>
                <w:b/>
                <w:sz w:val="24"/>
                <w:szCs w:val="21"/>
              </w:rPr>
              <w:t>（㎡）</w:t>
            </w:r>
          </w:p>
        </w:tc>
        <w:tc>
          <w:tcPr>
            <w:tcW w:w="127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总预算（万元）</w:t>
            </w:r>
          </w:p>
          <w:p>
            <w:pPr>
              <w:tabs>
                <w:tab w:val="left" w:pos="8280"/>
              </w:tabs>
              <w:autoSpaceDE w:val="0"/>
              <w:autoSpaceDN w:val="0"/>
              <w:adjustRightInd w:val="0"/>
              <w:jc w:val="center"/>
              <w:rPr>
                <w:rFonts w:ascii="宋体" w:hAnsi="宋体" w:eastAsia="宋体" w:cs="Times New Roman"/>
                <w:b/>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spacing w:line="360" w:lineRule="auto"/>
              <w:jc w:val="center"/>
              <w:rPr>
                <w:rFonts w:hint="eastAsia" w:ascii="宋体" w:hAnsi="宋体" w:eastAsia="宋体" w:cs="宋体"/>
                <w:sz w:val="24"/>
                <w:szCs w:val="24"/>
              </w:rPr>
            </w:pPr>
            <w:r>
              <w:rPr>
                <w:rFonts w:hint="eastAsia" w:ascii="宋体" w:hAnsi="宋体"/>
                <w:sz w:val="24"/>
                <w:szCs w:val="24"/>
              </w:rPr>
              <w:t>1</w:t>
            </w:r>
          </w:p>
        </w:tc>
        <w:tc>
          <w:tcPr>
            <w:tcW w:w="2519" w:type="dxa"/>
            <w:vAlign w:val="center"/>
          </w:tcPr>
          <w:p>
            <w:pPr>
              <w:tabs>
                <w:tab w:val="left" w:pos="8280"/>
              </w:tabs>
              <w:autoSpaceDE w:val="0"/>
              <w:autoSpaceDN w:val="0"/>
              <w:adjustRightInd w:val="0"/>
              <w:spacing w:line="360" w:lineRule="auto"/>
              <w:jc w:val="center"/>
              <w:rPr>
                <w:rFonts w:hint="eastAsia" w:ascii="宋体" w:hAnsi="宋体" w:eastAsia="宋体" w:cs="宋体"/>
                <w:b/>
                <w:sz w:val="24"/>
                <w:szCs w:val="24"/>
              </w:rPr>
            </w:pPr>
            <w:r>
              <w:rPr>
                <w:rFonts w:hint="eastAsia" w:ascii="宋体" w:hAnsi="宋体"/>
                <w:sz w:val="24"/>
                <w:szCs w:val="24"/>
              </w:rPr>
              <w:t>台州市殡仪馆2022年度保安、保洁等物业服务采购项目</w:t>
            </w:r>
          </w:p>
        </w:tc>
        <w:tc>
          <w:tcPr>
            <w:tcW w:w="1905" w:type="dxa"/>
            <w:vAlign w:val="center"/>
          </w:tcPr>
          <w:p>
            <w:pPr>
              <w:tabs>
                <w:tab w:val="left" w:pos="8280"/>
              </w:tabs>
              <w:autoSpaceDE w:val="0"/>
              <w:autoSpaceDN w:val="0"/>
              <w:adjustRightInd w:val="0"/>
              <w:spacing w:line="360" w:lineRule="auto"/>
              <w:jc w:val="center"/>
              <w:rPr>
                <w:rFonts w:hint="eastAsia" w:ascii="宋体" w:hAnsi="宋体" w:eastAsia="宋体" w:cs="宋体"/>
                <w:b/>
                <w:sz w:val="24"/>
                <w:szCs w:val="24"/>
              </w:rPr>
            </w:pPr>
            <w:r>
              <w:rPr>
                <w:rFonts w:hint="eastAsia" w:asciiTheme="minorEastAsia" w:hAnsiTheme="minorEastAsia" w:eastAsiaTheme="minorEastAsia"/>
                <w:sz w:val="24"/>
                <w:szCs w:val="24"/>
              </w:rPr>
              <w:t>详见</w:t>
            </w:r>
            <w:r>
              <w:rPr>
                <w:rFonts w:hint="eastAsia" w:asciiTheme="minorEastAsia" w:hAnsiTheme="minorEastAsia" w:eastAsiaTheme="minorEastAsia"/>
                <w:sz w:val="24"/>
                <w:szCs w:val="24"/>
                <w:lang w:eastAsia="zh-CN"/>
              </w:rPr>
              <w:t>服务</w:t>
            </w:r>
            <w:r>
              <w:rPr>
                <w:rFonts w:hint="eastAsia" w:asciiTheme="minorEastAsia" w:hAnsiTheme="minorEastAsia" w:eastAsiaTheme="minorEastAsia"/>
                <w:sz w:val="24"/>
                <w:szCs w:val="24"/>
              </w:rPr>
              <w:t>需求</w:t>
            </w:r>
          </w:p>
        </w:tc>
        <w:tc>
          <w:tcPr>
            <w:tcW w:w="990" w:type="dxa"/>
            <w:vAlign w:val="center"/>
          </w:tcPr>
          <w:p>
            <w:pPr>
              <w:tabs>
                <w:tab w:val="left" w:pos="8280"/>
              </w:tabs>
              <w:autoSpaceDE w:val="0"/>
              <w:autoSpaceDN w:val="0"/>
              <w:adjustRightInd w:val="0"/>
              <w:spacing w:line="360" w:lineRule="auto"/>
              <w:ind w:right="25" w:rightChars="0" w:firstLine="240" w:firstLineChars="0"/>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1</w:t>
            </w:r>
          </w:p>
        </w:tc>
        <w:tc>
          <w:tcPr>
            <w:tcW w:w="1080" w:type="dxa"/>
            <w:vAlign w:val="center"/>
          </w:tcPr>
          <w:p>
            <w:pPr>
              <w:tabs>
                <w:tab w:val="left" w:pos="8280"/>
              </w:tabs>
              <w:autoSpaceDE w:val="0"/>
              <w:autoSpaceDN w:val="0"/>
              <w:adjustRightInd w:val="0"/>
              <w:spacing w:line="360" w:lineRule="auto"/>
              <w:ind w:right="25" w:rightChars="0"/>
              <w:rPr>
                <w:rFonts w:hint="eastAsia" w:ascii="宋体" w:hAnsi="宋体" w:eastAsia="宋体" w:cs="宋体"/>
                <w:bCs/>
                <w:sz w:val="24"/>
                <w:szCs w:val="24"/>
              </w:rPr>
            </w:pPr>
            <w:r>
              <w:rPr>
                <w:rFonts w:hint="eastAsia" w:ascii="宋体" w:hAnsi="宋体" w:eastAsia="宋体" w:cs="宋体"/>
                <w:bCs/>
                <w:sz w:val="24"/>
                <w:szCs w:val="24"/>
              </w:rPr>
              <w:t>年</w:t>
            </w:r>
          </w:p>
        </w:tc>
        <w:tc>
          <w:tcPr>
            <w:tcW w:w="1593" w:type="dxa"/>
            <w:vAlign w:val="center"/>
          </w:tcPr>
          <w:p>
            <w:pPr>
              <w:widowControl/>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szCs w:val="24"/>
              </w:rPr>
              <w:t>约115200</w:t>
            </w:r>
          </w:p>
        </w:tc>
        <w:tc>
          <w:tcPr>
            <w:tcW w:w="1270" w:type="dxa"/>
            <w:vAlign w:val="center"/>
          </w:tcPr>
          <w:p>
            <w:pPr>
              <w:tabs>
                <w:tab w:val="left" w:pos="8280"/>
              </w:tabs>
              <w:autoSpaceDE w:val="0"/>
              <w:autoSpaceDN w:val="0"/>
              <w:adjustRightInd w:val="0"/>
              <w:spacing w:line="360" w:lineRule="auto"/>
              <w:jc w:val="center"/>
              <w:rPr>
                <w:rFonts w:hint="eastAsia" w:ascii="宋体" w:hAnsi="宋体" w:eastAsia="宋体" w:cs="宋体"/>
                <w:kern w:val="2"/>
                <w:sz w:val="24"/>
                <w:szCs w:val="24"/>
                <w:lang w:val="en-US" w:eastAsia="zh-CN" w:bidi="ar-SA"/>
              </w:rPr>
            </w:pPr>
            <w:r>
              <w:rPr>
                <w:rFonts w:hint="eastAsia" w:ascii="宋体" w:hAnsi="宋体"/>
                <w:sz w:val="24"/>
                <w:szCs w:val="24"/>
                <w:lang w:val="en-US" w:eastAsia="zh-CN"/>
              </w:rPr>
              <w:t>485</w:t>
            </w:r>
          </w:p>
        </w:tc>
      </w:tr>
    </w:tbl>
    <w:p>
      <w:pPr>
        <w:numPr>
          <w:ilvl w:val="0"/>
          <w:numId w:val="6"/>
        </w:numPr>
        <w:tabs>
          <w:tab w:val="left" w:pos="8280"/>
        </w:tabs>
        <w:autoSpaceDE w:val="0"/>
        <w:autoSpaceDN w:val="0"/>
        <w:adjustRightInd w:val="0"/>
        <w:spacing w:line="360" w:lineRule="auto"/>
        <w:ind w:right="25" w:rightChars="0" w:firstLine="482" w:firstLineChars="200"/>
        <w:jc w:val="left"/>
        <w:rPr>
          <w:rFonts w:ascii="宋体" w:hAnsi="宋体"/>
          <w:sz w:val="28"/>
          <w:szCs w:val="28"/>
        </w:rP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需求</w:t>
      </w:r>
      <w:r>
        <w:rPr>
          <w:rFonts w:hint="eastAsia" w:asciiTheme="minorEastAsia" w:hAnsiTheme="minorEastAsia" w:eastAsiaTheme="minorEastAsia"/>
          <w:b/>
          <w:color w:val="000000" w:themeColor="text1"/>
          <w:sz w:val="24"/>
          <w:lang w:eastAsia="zh-CN"/>
          <w14:textFill>
            <w14:solidFill>
              <w14:schemeClr w14:val="tx1"/>
            </w14:solidFill>
          </w14:textFill>
        </w:rPr>
        <w:t>：</w:t>
      </w:r>
    </w:p>
    <w:p>
      <w:pPr>
        <w:pStyle w:val="29"/>
        <w:spacing w:line="360" w:lineRule="auto"/>
        <w:ind w:left="0" w:leftChars="0" w:firstLine="0" w:firstLineChars="0"/>
        <w:textAlignment w:val="center"/>
        <w:rPr>
          <w:rFonts w:ascii="宋体" w:hAnsi="宋体" w:cs="仿宋_GB2312"/>
          <w:b/>
          <w:sz w:val="24"/>
        </w:rPr>
      </w:pPr>
      <w:r>
        <w:rPr>
          <w:rFonts w:hint="eastAsia" w:ascii="宋体" w:hAnsi="宋体" w:cs="仿宋_GB2312"/>
          <w:b/>
          <w:sz w:val="24"/>
        </w:rPr>
        <w:t>（一）岗位人员需求：</w:t>
      </w:r>
    </w:p>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 xml:space="preserve"> 1、保安、消控服务。2022年度台州市殡仪馆共设保安、消控人员25岗（详见表1），其中新馆正门（东门）、北门、灵车入口、消控室以及老馆正门等点位共有12个岗位需24小时轮班值守，且要求全年有人在岗，余下岗位（机动巡逻岗除外）为8小时岗。根据上述岗位需求，本次保安服务要求配备保安及消控人员至少42名（详见表2），其中主管1名，保安员不少于36名（其中机动巡逻设3人），消控员不少于5名。</w:t>
      </w:r>
    </w:p>
    <w:p>
      <w:pPr>
        <w:spacing w:line="400" w:lineRule="exact"/>
        <w:ind w:firstLine="482" w:firstLineChars="200"/>
        <w:jc w:val="center"/>
        <w:rPr>
          <w:rFonts w:hint="eastAsia" w:ascii="宋体" w:hAnsi="宋体" w:eastAsia="宋体" w:cs="仿宋_GB2312"/>
          <w:b/>
          <w:kern w:val="2"/>
          <w:sz w:val="24"/>
          <w:szCs w:val="22"/>
          <w:lang w:val="en-US" w:eastAsia="zh-CN" w:bidi="ar-SA"/>
        </w:rPr>
      </w:pPr>
      <w:r>
        <w:rPr>
          <w:rFonts w:hint="eastAsia" w:ascii="宋体" w:hAnsi="宋体" w:eastAsia="宋体" w:cs="仿宋_GB2312"/>
          <w:b/>
          <w:kern w:val="2"/>
          <w:sz w:val="24"/>
          <w:szCs w:val="22"/>
          <w:lang w:val="en-US" w:eastAsia="zh-CN" w:bidi="ar-SA"/>
        </w:rPr>
        <w:t>表1：保安、消控人员岗位表</w:t>
      </w:r>
    </w:p>
    <w:tbl>
      <w:tblPr>
        <w:tblStyle w:val="22"/>
        <w:tblW w:w="7957" w:type="dxa"/>
        <w:jc w:val="center"/>
        <w:tblLayout w:type="fixed"/>
        <w:tblCellMar>
          <w:top w:w="0" w:type="dxa"/>
          <w:left w:w="108" w:type="dxa"/>
          <w:bottom w:w="0" w:type="dxa"/>
          <w:right w:w="108" w:type="dxa"/>
        </w:tblCellMar>
      </w:tblPr>
      <w:tblGrid>
        <w:gridCol w:w="965"/>
        <w:gridCol w:w="567"/>
        <w:gridCol w:w="2872"/>
        <w:gridCol w:w="1426"/>
        <w:gridCol w:w="2127"/>
      </w:tblGrid>
      <w:tr>
        <w:tblPrEx>
          <w:tblCellMar>
            <w:top w:w="0" w:type="dxa"/>
            <w:left w:w="108" w:type="dxa"/>
            <w:bottom w:w="0" w:type="dxa"/>
            <w:right w:w="108" w:type="dxa"/>
          </w:tblCellMar>
        </w:tblPrEx>
        <w:trPr>
          <w:trHeight w:val="127" w:hRule="atLeast"/>
          <w:jc w:val="center"/>
        </w:trPr>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馆区</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序号</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服务点位</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岗位数</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岗位工时</w:t>
            </w:r>
            <w:r>
              <w:rPr>
                <w:rFonts w:hint="eastAsia" w:ascii="宋体" w:hAnsi="宋体" w:cs="宋体" w:eastAsiaTheme="minorEastAsia"/>
                <w:bCs/>
                <w:kern w:val="2"/>
                <w:sz w:val="24"/>
                <w:szCs w:val="24"/>
                <w:lang w:val="en-US" w:eastAsia="zh-CN" w:bidi="ar-SA"/>
              </w:rPr>
              <w:br w:type="textWrapping"/>
            </w:r>
            <w:r>
              <w:rPr>
                <w:rFonts w:hint="eastAsia" w:ascii="宋体" w:hAnsi="宋体" w:cs="宋体" w:eastAsiaTheme="minorEastAsia"/>
                <w:bCs/>
                <w:kern w:val="2"/>
                <w:sz w:val="24"/>
                <w:szCs w:val="24"/>
                <w:lang w:val="en-US" w:eastAsia="zh-CN" w:bidi="ar-SA"/>
              </w:rPr>
              <w:t>（单位：小时/日）</w:t>
            </w:r>
          </w:p>
        </w:tc>
      </w:tr>
      <w:tr>
        <w:tblPrEx>
          <w:tblCellMar>
            <w:top w:w="0" w:type="dxa"/>
            <w:left w:w="108" w:type="dxa"/>
            <w:bottom w:w="0" w:type="dxa"/>
            <w:right w:w="108" w:type="dxa"/>
          </w:tblCellMar>
        </w:tblPrEx>
        <w:trPr>
          <w:trHeight w:val="360" w:hRule="atLeast"/>
          <w:jc w:val="center"/>
        </w:trPr>
        <w:tc>
          <w:tcPr>
            <w:tcW w:w="9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新馆</w:t>
            </w:r>
          </w:p>
        </w:tc>
        <w:tc>
          <w:tcPr>
            <w:tcW w:w="567"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东门出入（含馆内巡逻）</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4</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地下车库出入口（东门、灵车专用车道）</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3</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北门</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4</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消控室</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5</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馆前道路</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6</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地下车库</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7</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北门人行通道</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地上停车场</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9</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地上管理</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10</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地下管理</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11</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东门地下车库入口</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老馆</w:t>
            </w:r>
          </w:p>
        </w:tc>
        <w:tc>
          <w:tcPr>
            <w:tcW w:w="567"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12</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正大门出入</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cs="宋体" w:eastAsiaTheme="minorEastAsia"/>
                <w:bCs/>
                <w:kern w:val="2"/>
                <w:sz w:val="24"/>
                <w:szCs w:val="24"/>
                <w:lang w:val="en-US" w:eastAsia="zh-CN" w:bidi="ar-SA"/>
              </w:rPr>
            </w:pPr>
          </w:p>
        </w:tc>
        <w:tc>
          <w:tcPr>
            <w:tcW w:w="567"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13</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馆内管理</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965"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全馆</w:t>
            </w:r>
          </w:p>
        </w:tc>
        <w:tc>
          <w:tcPr>
            <w:tcW w:w="567"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14</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机动巡逻</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≥8</w:t>
            </w:r>
          </w:p>
        </w:tc>
      </w:tr>
      <w:tr>
        <w:tblPrEx>
          <w:tblCellMar>
            <w:top w:w="0" w:type="dxa"/>
            <w:left w:w="108" w:type="dxa"/>
            <w:bottom w:w="0" w:type="dxa"/>
            <w:right w:w="108" w:type="dxa"/>
          </w:tblCellMar>
        </w:tblPrEx>
        <w:trPr>
          <w:trHeight w:val="360" w:hRule="atLeast"/>
          <w:jc w:val="center"/>
        </w:trPr>
        <w:tc>
          <w:tcPr>
            <w:tcW w:w="4404"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合   计</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25</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w:t>
            </w:r>
          </w:p>
        </w:tc>
      </w:tr>
    </w:tbl>
    <w:p>
      <w:pPr>
        <w:pStyle w:val="29"/>
        <w:spacing w:line="360" w:lineRule="auto"/>
        <w:textAlignment w:val="center"/>
        <w:rPr>
          <w:rFonts w:ascii="宋体" w:hAnsi="宋体"/>
          <w:b/>
          <w:bCs/>
          <w:spacing w:val="6"/>
          <w:sz w:val="24"/>
          <w:highlight w:val="yellow"/>
        </w:rPr>
      </w:pPr>
    </w:p>
    <w:tbl>
      <w:tblPr>
        <w:tblStyle w:val="22"/>
        <w:tblpPr w:leftFromText="180" w:rightFromText="180" w:vertAnchor="text" w:horzAnchor="margin" w:tblpX="864" w:tblpY="514"/>
        <w:tblW w:w="80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5"/>
        <w:gridCol w:w="2280"/>
        <w:gridCol w:w="1830"/>
        <w:gridCol w:w="31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825" w:type="dxa"/>
            <w:noWrap/>
            <w:vAlign w:val="center"/>
          </w:tcPr>
          <w:p>
            <w:pPr>
              <w:spacing w:line="360" w:lineRule="auto"/>
              <w:jc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序号</w:t>
            </w:r>
          </w:p>
        </w:tc>
        <w:tc>
          <w:tcPr>
            <w:tcW w:w="2280" w:type="dxa"/>
            <w:noWrap/>
            <w:vAlign w:val="center"/>
          </w:tcPr>
          <w:p>
            <w:pPr>
              <w:spacing w:line="360" w:lineRule="auto"/>
              <w:ind w:firstLine="480" w:firstLineChars="200"/>
              <w:jc w:val="both"/>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岗位名称</w:t>
            </w:r>
          </w:p>
        </w:tc>
        <w:tc>
          <w:tcPr>
            <w:tcW w:w="1830" w:type="dxa"/>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人数（人）</w:t>
            </w:r>
          </w:p>
        </w:tc>
        <w:tc>
          <w:tcPr>
            <w:tcW w:w="3105" w:type="dxa"/>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825" w:type="dxa"/>
            <w:noWrap/>
            <w:vAlign w:val="center"/>
          </w:tcPr>
          <w:p>
            <w:pPr>
              <w:spacing w:line="360" w:lineRule="auto"/>
              <w:jc w:val="center"/>
              <w:rPr>
                <w:rFonts w:hint="default"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1</w:t>
            </w:r>
          </w:p>
        </w:tc>
        <w:tc>
          <w:tcPr>
            <w:tcW w:w="2280" w:type="dxa"/>
            <w:noWrap/>
            <w:vAlign w:val="center"/>
          </w:tcPr>
          <w:p>
            <w:pPr>
              <w:spacing w:line="360" w:lineRule="auto"/>
              <w:ind w:firstLine="480" w:firstLineChars="200"/>
              <w:jc w:val="both"/>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主管</w:t>
            </w:r>
          </w:p>
        </w:tc>
        <w:tc>
          <w:tcPr>
            <w:tcW w:w="1830" w:type="dxa"/>
            <w:vAlign w:val="center"/>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1</w:t>
            </w:r>
          </w:p>
        </w:tc>
        <w:tc>
          <w:tcPr>
            <w:tcW w:w="3105" w:type="dxa"/>
          </w:tcPr>
          <w:p>
            <w:pPr>
              <w:spacing w:line="360" w:lineRule="auto"/>
              <w:ind w:firstLine="480" w:firstLineChars="200"/>
              <w:rPr>
                <w:rFonts w:hint="eastAsia" w:ascii="宋体" w:hAnsi="宋体" w:eastAsia="宋体" w:cs="仿宋_GB2312"/>
                <w:b w:val="0"/>
                <w:bCs/>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825" w:type="dxa"/>
            <w:noWrap/>
            <w:vAlign w:val="center"/>
          </w:tcPr>
          <w:p>
            <w:pPr>
              <w:spacing w:line="360" w:lineRule="auto"/>
              <w:jc w:val="center"/>
              <w:rPr>
                <w:rFonts w:hint="default"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2</w:t>
            </w:r>
          </w:p>
        </w:tc>
        <w:tc>
          <w:tcPr>
            <w:tcW w:w="2280" w:type="dxa"/>
            <w:noWrap/>
            <w:vAlign w:val="center"/>
          </w:tcPr>
          <w:p>
            <w:pPr>
              <w:spacing w:line="360" w:lineRule="auto"/>
              <w:ind w:firstLine="480" w:firstLineChars="200"/>
              <w:jc w:val="both"/>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保安员1</w:t>
            </w:r>
          </w:p>
        </w:tc>
        <w:tc>
          <w:tcPr>
            <w:tcW w:w="1830" w:type="dxa"/>
            <w:vAlign w:val="center"/>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≥33</w:t>
            </w:r>
          </w:p>
        </w:tc>
        <w:tc>
          <w:tcPr>
            <w:tcW w:w="3105" w:type="dxa"/>
          </w:tcPr>
          <w:p>
            <w:pPr>
              <w:spacing w:line="360" w:lineRule="auto"/>
              <w:ind w:firstLine="480" w:firstLineChars="200"/>
              <w:rPr>
                <w:rFonts w:hint="eastAsia" w:ascii="宋体" w:hAnsi="宋体" w:eastAsia="宋体" w:cs="仿宋_GB2312"/>
                <w:b w:val="0"/>
                <w:bCs/>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825" w:type="dxa"/>
            <w:noWrap/>
            <w:vAlign w:val="center"/>
          </w:tcPr>
          <w:p>
            <w:pPr>
              <w:spacing w:line="360" w:lineRule="auto"/>
              <w:jc w:val="center"/>
              <w:rPr>
                <w:rFonts w:hint="default"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w:t>
            </w:r>
          </w:p>
        </w:tc>
        <w:tc>
          <w:tcPr>
            <w:tcW w:w="2280" w:type="dxa"/>
            <w:noWrap/>
            <w:vAlign w:val="center"/>
          </w:tcPr>
          <w:p>
            <w:pPr>
              <w:spacing w:line="360" w:lineRule="auto"/>
              <w:ind w:firstLine="480" w:firstLineChars="200"/>
              <w:jc w:val="both"/>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保安员2</w:t>
            </w:r>
          </w:p>
        </w:tc>
        <w:tc>
          <w:tcPr>
            <w:tcW w:w="1830" w:type="dxa"/>
            <w:vAlign w:val="center"/>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w:t>
            </w:r>
          </w:p>
        </w:tc>
        <w:tc>
          <w:tcPr>
            <w:tcW w:w="3105" w:type="dxa"/>
          </w:tcPr>
          <w:p>
            <w:pPr>
              <w:spacing w:line="360" w:lineRule="auto"/>
              <w:jc w:val="left"/>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负责馆内及周边相关区域的安全管理、机动巡逻。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825" w:type="dxa"/>
            <w:noWrap/>
            <w:vAlign w:val="center"/>
          </w:tcPr>
          <w:p>
            <w:pPr>
              <w:spacing w:line="360" w:lineRule="auto"/>
              <w:jc w:val="center"/>
              <w:rPr>
                <w:rFonts w:hint="default"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4</w:t>
            </w:r>
          </w:p>
        </w:tc>
        <w:tc>
          <w:tcPr>
            <w:tcW w:w="2280" w:type="dxa"/>
            <w:noWrap/>
            <w:vAlign w:val="center"/>
          </w:tcPr>
          <w:p>
            <w:pPr>
              <w:spacing w:line="360" w:lineRule="auto"/>
              <w:ind w:firstLine="480" w:firstLineChars="200"/>
              <w:jc w:val="both"/>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消控员</w:t>
            </w:r>
          </w:p>
        </w:tc>
        <w:tc>
          <w:tcPr>
            <w:tcW w:w="1830" w:type="dxa"/>
            <w:vAlign w:val="center"/>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≥5</w:t>
            </w:r>
          </w:p>
        </w:tc>
        <w:tc>
          <w:tcPr>
            <w:tcW w:w="3105" w:type="dxa"/>
          </w:tcPr>
          <w:p>
            <w:pPr>
              <w:spacing w:line="360" w:lineRule="auto"/>
              <w:ind w:firstLine="480" w:firstLineChars="200"/>
              <w:rPr>
                <w:rFonts w:hint="eastAsia" w:ascii="宋体" w:hAnsi="宋体" w:eastAsia="宋体" w:cs="仿宋_GB2312"/>
                <w:b w:val="0"/>
                <w:bCs/>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3105" w:type="dxa"/>
            <w:gridSpan w:val="2"/>
            <w:noWrap/>
            <w:vAlign w:val="center"/>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合计</w:t>
            </w:r>
          </w:p>
        </w:tc>
        <w:tc>
          <w:tcPr>
            <w:tcW w:w="1830" w:type="dxa"/>
            <w:vAlign w:val="center"/>
          </w:tcPr>
          <w:p>
            <w:pPr>
              <w:spacing w:line="360" w:lineRule="auto"/>
              <w:ind w:firstLine="480" w:firstLineChars="200"/>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≥42</w:t>
            </w:r>
          </w:p>
        </w:tc>
        <w:tc>
          <w:tcPr>
            <w:tcW w:w="3105" w:type="dxa"/>
          </w:tcPr>
          <w:p>
            <w:pPr>
              <w:spacing w:line="360" w:lineRule="auto"/>
              <w:ind w:firstLine="480" w:firstLineChars="200"/>
              <w:rPr>
                <w:rFonts w:hint="eastAsia" w:ascii="宋体" w:hAnsi="宋体" w:eastAsia="宋体" w:cs="仿宋_GB2312"/>
                <w:b w:val="0"/>
                <w:bCs/>
                <w:kern w:val="2"/>
                <w:sz w:val="24"/>
                <w:szCs w:val="22"/>
                <w:lang w:val="en-US" w:eastAsia="zh-CN" w:bidi="ar-SA"/>
              </w:rPr>
            </w:pPr>
          </w:p>
        </w:tc>
      </w:tr>
    </w:tbl>
    <w:p>
      <w:pPr>
        <w:spacing w:line="400" w:lineRule="exact"/>
        <w:ind w:firstLine="482" w:firstLineChars="200"/>
        <w:jc w:val="center"/>
        <w:rPr>
          <w:rFonts w:hint="eastAsia" w:ascii="宋体" w:hAnsi="宋体" w:eastAsia="宋体" w:cs="仿宋_GB2312"/>
          <w:b/>
          <w:kern w:val="2"/>
          <w:sz w:val="24"/>
          <w:szCs w:val="22"/>
          <w:lang w:val="en-US" w:eastAsia="zh-CN" w:bidi="ar-SA"/>
        </w:rPr>
      </w:pPr>
      <w:r>
        <w:rPr>
          <w:rFonts w:hint="eastAsia" w:ascii="宋体" w:hAnsi="宋体" w:eastAsia="宋体" w:cs="仿宋_GB2312"/>
          <w:b/>
          <w:kern w:val="2"/>
          <w:sz w:val="24"/>
          <w:szCs w:val="22"/>
          <w:lang w:val="en-US" w:eastAsia="zh-CN" w:bidi="ar-SA"/>
        </w:rPr>
        <w:t>表2：保安、消控人员配备表</w:t>
      </w:r>
    </w:p>
    <w:p>
      <w:pPr>
        <w:pStyle w:val="29"/>
        <w:spacing w:line="360" w:lineRule="auto"/>
        <w:ind w:firstLine="253" w:firstLineChars="100"/>
        <w:textAlignment w:val="center"/>
        <w:rPr>
          <w:rFonts w:hint="eastAsia" w:ascii="宋体" w:hAnsi="宋体"/>
          <w:b/>
          <w:bCs/>
          <w:spacing w:val="6"/>
          <w:sz w:val="24"/>
          <w:highlight w:val="yellow"/>
        </w:rPr>
      </w:pPr>
    </w:p>
    <w:p>
      <w:pPr>
        <w:pStyle w:val="29"/>
        <w:spacing w:line="360" w:lineRule="auto"/>
        <w:ind w:firstLine="253" w:firstLineChars="100"/>
        <w:textAlignment w:val="center"/>
        <w:rPr>
          <w:rFonts w:hint="eastAsia" w:ascii="宋体" w:hAnsi="宋体"/>
          <w:b/>
          <w:bCs/>
          <w:spacing w:val="6"/>
          <w:sz w:val="24"/>
          <w:highlight w:val="yellow"/>
        </w:rPr>
      </w:pPr>
    </w:p>
    <w:p>
      <w:pPr>
        <w:pStyle w:val="29"/>
        <w:spacing w:line="360" w:lineRule="auto"/>
        <w:ind w:firstLine="253" w:firstLineChars="100"/>
        <w:textAlignment w:val="center"/>
        <w:rPr>
          <w:rFonts w:hint="eastAsia" w:ascii="宋体" w:hAnsi="宋体"/>
          <w:b/>
          <w:bCs/>
          <w:spacing w:val="6"/>
          <w:sz w:val="24"/>
          <w:highlight w:val="yellow"/>
        </w:rPr>
      </w:pPr>
    </w:p>
    <w:p>
      <w:pPr>
        <w:pStyle w:val="29"/>
        <w:spacing w:line="360" w:lineRule="auto"/>
        <w:ind w:firstLine="253" w:firstLineChars="100"/>
        <w:textAlignment w:val="center"/>
        <w:rPr>
          <w:rFonts w:hint="eastAsia" w:ascii="宋体" w:hAnsi="宋体"/>
          <w:b/>
          <w:bCs/>
          <w:spacing w:val="6"/>
          <w:sz w:val="24"/>
          <w:highlight w:val="yellow"/>
        </w:rPr>
      </w:pPr>
    </w:p>
    <w:p>
      <w:pPr>
        <w:pStyle w:val="29"/>
        <w:spacing w:line="360" w:lineRule="auto"/>
        <w:ind w:firstLine="253" w:firstLineChars="100"/>
        <w:textAlignment w:val="center"/>
        <w:rPr>
          <w:rFonts w:hint="eastAsia" w:ascii="宋体" w:hAnsi="宋体"/>
          <w:b/>
          <w:bCs/>
          <w:spacing w:val="6"/>
          <w:sz w:val="24"/>
          <w:highlight w:val="yellow"/>
        </w:rPr>
      </w:pPr>
    </w:p>
    <w:p>
      <w:pPr>
        <w:pStyle w:val="29"/>
        <w:spacing w:line="360" w:lineRule="auto"/>
        <w:ind w:firstLine="253" w:firstLineChars="100"/>
        <w:textAlignment w:val="center"/>
        <w:rPr>
          <w:rFonts w:hint="eastAsia" w:ascii="宋体" w:hAnsi="宋体"/>
          <w:b/>
          <w:bCs/>
          <w:spacing w:val="6"/>
          <w:sz w:val="24"/>
          <w:highlight w:val="yellow"/>
        </w:rPr>
      </w:pPr>
    </w:p>
    <w:p>
      <w:pPr>
        <w:pStyle w:val="29"/>
        <w:spacing w:line="360" w:lineRule="auto"/>
        <w:ind w:left="0" w:leftChars="0" w:firstLine="0" w:firstLineChars="0"/>
        <w:textAlignment w:val="center"/>
        <w:rPr>
          <w:rFonts w:hint="eastAsia" w:ascii="宋体" w:hAnsi="宋体"/>
          <w:b/>
          <w:bCs/>
          <w:spacing w:val="6"/>
          <w:sz w:val="24"/>
          <w:highlight w:val="yellow"/>
        </w:rPr>
      </w:pPr>
    </w:p>
    <w:p>
      <w:pPr>
        <w:pStyle w:val="29"/>
        <w:spacing w:line="360" w:lineRule="auto"/>
        <w:ind w:left="0" w:leftChars="0" w:firstLine="720" w:firstLineChars="300"/>
        <w:jc w:val="left"/>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2</w:t>
      </w:r>
      <w:r>
        <w:rPr>
          <w:rFonts w:hint="eastAsia" w:ascii="宋体" w:hAnsi="宋体" w:cs="仿宋_GB2312"/>
          <w:b w:val="0"/>
          <w:bCs/>
          <w:kern w:val="2"/>
          <w:sz w:val="24"/>
          <w:szCs w:val="22"/>
          <w:lang w:val="en-US" w:eastAsia="zh-CN" w:bidi="ar-SA"/>
        </w:rPr>
        <w:t>2</w:t>
      </w:r>
      <w:r>
        <w:rPr>
          <w:rFonts w:hint="eastAsia" w:ascii="宋体" w:hAnsi="宋体" w:eastAsia="宋体" w:cs="仿宋_GB2312"/>
          <w:b w:val="0"/>
          <w:bCs/>
          <w:kern w:val="2"/>
          <w:sz w:val="24"/>
          <w:szCs w:val="22"/>
          <w:lang w:val="en-US" w:eastAsia="zh-CN" w:bidi="ar-SA"/>
        </w:rPr>
        <w:t>、保洁、绿化养护服务。2022年度台州市殡仪馆共设保洁、绿化养护、水电工等18岗（详见表3），其中新老馆守灵休息室服务有3个岗位需24小时轮班值守，提供24小时客房服务及房务管理，且要求全年有人在岗，余下的15个岗位为日班或夜班岗位（8小时），其中绿化养护双休，水电工双休（调休）纳入馆内设备保障保卫科统一管理。根据上述岗位需求，本次保洁、绿化养护服务要求配备保洁、绿化养护及水电工人员至少25名（详见表4），其中守灵休息室服务员不少于7名，保洁员不少于13名，水电工2名，绿化养护不少于3名。</w:t>
      </w:r>
    </w:p>
    <w:p>
      <w:pPr>
        <w:widowControl/>
        <w:jc w:val="center"/>
        <w:textAlignment w:val="center"/>
        <w:rPr>
          <w:rFonts w:hint="eastAsia" w:ascii="宋体" w:hAnsi="宋体" w:eastAsia="宋体" w:cs="仿宋_GB2312"/>
          <w:b/>
          <w:kern w:val="2"/>
          <w:sz w:val="24"/>
          <w:szCs w:val="22"/>
          <w:lang w:val="en-US" w:eastAsia="zh-CN" w:bidi="ar-SA"/>
        </w:rPr>
      </w:pPr>
      <w:r>
        <w:rPr>
          <w:rFonts w:hint="eastAsia" w:ascii="宋体" w:hAnsi="宋体" w:eastAsia="宋体" w:cs="仿宋_GB2312"/>
          <w:b/>
          <w:kern w:val="2"/>
          <w:sz w:val="24"/>
          <w:szCs w:val="22"/>
          <w:lang w:val="en-US" w:eastAsia="zh-CN" w:bidi="ar-SA"/>
        </w:rPr>
        <w:t>表3：保洁、绿化人员岗位表</w:t>
      </w:r>
    </w:p>
    <w:tbl>
      <w:tblPr>
        <w:tblStyle w:val="22"/>
        <w:tblW w:w="7879" w:type="dxa"/>
        <w:jc w:val="center"/>
        <w:tblLayout w:type="fixed"/>
        <w:tblCellMar>
          <w:top w:w="0" w:type="dxa"/>
          <w:left w:w="108" w:type="dxa"/>
          <w:bottom w:w="0" w:type="dxa"/>
          <w:right w:w="108" w:type="dxa"/>
        </w:tblCellMar>
      </w:tblPr>
      <w:tblGrid>
        <w:gridCol w:w="1306"/>
        <w:gridCol w:w="708"/>
        <w:gridCol w:w="2725"/>
        <w:gridCol w:w="1039"/>
        <w:gridCol w:w="2101"/>
      </w:tblGrid>
      <w:tr>
        <w:tblPrEx>
          <w:tblCellMar>
            <w:top w:w="0" w:type="dxa"/>
            <w:left w:w="108" w:type="dxa"/>
            <w:bottom w:w="0" w:type="dxa"/>
            <w:right w:w="108" w:type="dxa"/>
          </w:tblCellMar>
        </w:tblPrEx>
        <w:trPr>
          <w:trHeight w:val="127" w:hRule="atLeast"/>
          <w:jc w:val="center"/>
        </w:trPr>
        <w:tc>
          <w:tcPr>
            <w:tcW w:w="1306"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馆区</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序号</w:t>
            </w:r>
          </w:p>
        </w:tc>
        <w:tc>
          <w:tcPr>
            <w:tcW w:w="272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服务点位</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岗位数</w:t>
            </w:r>
          </w:p>
        </w:tc>
        <w:tc>
          <w:tcPr>
            <w:tcW w:w="2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岗位工时</w:t>
            </w:r>
            <w:r>
              <w:rPr>
                <w:rFonts w:hint="eastAsia" w:ascii="宋体" w:hAnsi="宋体" w:eastAsia="宋体" w:cs="仿宋_GB2312"/>
                <w:b w:val="0"/>
                <w:bCs/>
                <w:kern w:val="2"/>
                <w:sz w:val="24"/>
                <w:szCs w:val="22"/>
                <w:lang w:val="en-US" w:eastAsia="zh-CN" w:bidi="ar-SA"/>
              </w:rPr>
              <w:br w:type="textWrapping"/>
            </w:r>
            <w:r>
              <w:rPr>
                <w:rFonts w:hint="eastAsia" w:ascii="宋体" w:hAnsi="宋体" w:eastAsia="宋体" w:cs="仿宋_GB2312"/>
                <w:b w:val="0"/>
                <w:bCs/>
                <w:kern w:val="2"/>
                <w:sz w:val="24"/>
                <w:szCs w:val="22"/>
                <w:lang w:val="en-US" w:eastAsia="zh-CN" w:bidi="ar-SA"/>
              </w:rPr>
              <w:t>（单位：小时/日）</w:t>
            </w:r>
          </w:p>
        </w:tc>
      </w:tr>
      <w:tr>
        <w:tblPrEx>
          <w:tblCellMar>
            <w:top w:w="0" w:type="dxa"/>
            <w:left w:w="108" w:type="dxa"/>
            <w:bottom w:w="0" w:type="dxa"/>
            <w:right w:w="108" w:type="dxa"/>
          </w:tblCellMar>
        </w:tblPrEx>
        <w:trPr>
          <w:trHeight w:val="360" w:hRule="atLeast"/>
          <w:jc w:val="center"/>
        </w:trPr>
        <w:tc>
          <w:tcPr>
            <w:tcW w:w="1306"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新馆</w:t>
            </w:r>
          </w:p>
        </w:tc>
        <w:tc>
          <w:tcPr>
            <w:tcW w:w="708"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1</w:t>
            </w:r>
          </w:p>
        </w:tc>
        <w:tc>
          <w:tcPr>
            <w:tcW w:w="272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守灵休息室服务</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w:t>
            </w:r>
          </w:p>
        </w:tc>
        <w:tc>
          <w:tcPr>
            <w:tcW w:w="2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24</w:t>
            </w:r>
          </w:p>
        </w:tc>
      </w:tr>
      <w:tr>
        <w:tblPrEx>
          <w:tblCellMar>
            <w:top w:w="0" w:type="dxa"/>
            <w:left w:w="108" w:type="dxa"/>
            <w:bottom w:w="0" w:type="dxa"/>
            <w:right w:w="108" w:type="dxa"/>
          </w:tblCellMar>
        </w:tblPrEx>
        <w:trPr>
          <w:trHeight w:val="360" w:hRule="atLeast"/>
          <w:jc w:val="center"/>
        </w:trPr>
        <w:tc>
          <w:tcPr>
            <w:tcW w:w="1306" w:type="dxa"/>
            <w:vMerge w:val="continue"/>
            <w:tcBorders>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仿宋_GB2312"/>
                <w:b w:val="0"/>
                <w:bCs/>
                <w:kern w:val="2"/>
                <w:sz w:val="24"/>
                <w:szCs w:val="22"/>
                <w:lang w:val="en-US" w:eastAsia="zh-CN" w:bidi="ar-SA"/>
              </w:rPr>
            </w:pPr>
          </w:p>
        </w:tc>
        <w:tc>
          <w:tcPr>
            <w:tcW w:w="708"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2</w:t>
            </w:r>
          </w:p>
        </w:tc>
        <w:tc>
          <w:tcPr>
            <w:tcW w:w="272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区域保洁（含领班）</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6</w:t>
            </w:r>
          </w:p>
        </w:tc>
        <w:tc>
          <w:tcPr>
            <w:tcW w:w="2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8</w:t>
            </w:r>
          </w:p>
        </w:tc>
      </w:tr>
      <w:tr>
        <w:tblPrEx>
          <w:tblCellMar>
            <w:top w:w="0" w:type="dxa"/>
            <w:left w:w="108" w:type="dxa"/>
            <w:bottom w:w="0" w:type="dxa"/>
            <w:right w:w="108" w:type="dxa"/>
          </w:tblCellMar>
        </w:tblPrEx>
        <w:trPr>
          <w:trHeight w:val="360" w:hRule="atLeast"/>
          <w:jc w:val="center"/>
        </w:trPr>
        <w:tc>
          <w:tcPr>
            <w:tcW w:w="1306"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老馆</w:t>
            </w:r>
          </w:p>
        </w:tc>
        <w:tc>
          <w:tcPr>
            <w:tcW w:w="708"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w:t>
            </w:r>
          </w:p>
        </w:tc>
        <w:tc>
          <w:tcPr>
            <w:tcW w:w="272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区域保洁</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4</w:t>
            </w:r>
          </w:p>
        </w:tc>
        <w:tc>
          <w:tcPr>
            <w:tcW w:w="2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8</w:t>
            </w:r>
          </w:p>
        </w:tc>
      </w:tr>
      <w:tr>
        <w:tblPrEx>
          <w:tblCellMar>
            <w:top w:w="0" w:type="dxa"/>
            <w:left w:w="108" w:type="dxa"/>
            <w:bottom w:w="0" w:type="dxa"/>
            <w:right w:w="108" w:type="dxa"/>
          </w:tblCellMar>
        </w:tblPrEx>
        <w:trPr>
          <w:trHeight w:val="360"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新老馆</w:t>
            </w:r>
          </w:p>
        </w:tc>
        <w:tc>
          <w:tcPr>
            <w:tcW w:w="708"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4</w:t>
            </w:r>
          </w:p>
        </w:tc>
        <w:tc>
          <w:tcPr>
            <w:tcW w:w="272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绿化养护</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w:t>
            </w:r>
          </w:p>
        </w:tc>
        <w:tc>
          <w:tcPr>
            <w:tcW w:w="2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8</w:t>
            </w:r>
          </w:p>
        </w:tc>
      </w:tr>
      <w:tr>
        <w:tblPrEx>
          <w:tblCellMar>
            <w:top w:w="0" w:type="dxa"/>
            <w:left w:w="108" w:type="dxa"/>
            <w:bottom w:w="0" w:type="dxa"/>
            <w:right w:w="108" w:type="dxa"/>
          </w:tblCellMar>
        </w:tblPrEx>
        <w:trPr>
          <w:trHeight w:val="36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仿宋_GB2312"/>
                <w:b w:val="0"/>
                <w:bCs/>
                <w:kern w:val="2"/>
                <w:sz w:val="24"/>
                <w:szCs w:val="22"/>
                <w:lang w:val="en-US" w:eastAsia="zh-CN" w:bidi="ar-SA"/>
              </w:rPr>
            </w:pPr>
          </w:p>
        </w:tc>
        <w:tc>
          <w:tcPr>
            <w:tcW w:w="708" w:type="dxa"/>
            <w:tcBorders>
              <w:top w:val="single" w:color="000000" w:sz="4" w:space="0"/>
              <w:left w:val="nil"/>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5</w:t>
            </w:r>
          </w:p>
        </w:tc>
        <w:tc>
          <w:tcPr>
            <w:tcW w:w="272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水电工</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2</w:t>
            </w:r>
          </w:p>
        </w:tc>
        <w:tc>
          <w:tcPr>
            <w:tcW w:w="2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8</w:t>
            </w:r>
          </w:p>
        </w:tc>
      </w:tr>
      <w:tr>
        <w:tblPrEx>
          <w:tblCellMar>
            <w:top w:w="0" w:type="dxa"/>
            <w:left w:w="108" w:type="dxa"/>
            <w:bottom w:w="0" w:type="dxa"/>
            <w:right w:w="108" w:type="dxa"/>
          </w:tblCellMar>
        </w:tblPrEx>
        <w:trPr>
          <w:trHeight w:val="360" w:hRule="atLeast"/>
          <w:jc w:val="center"/>
        </w:trPr>
        <w:tc>
          <w:tcPr>
            <w:tcW w:w="4739"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合   计</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18</w:t>
            </w:r>
          </w:p>
        </w:tc>
        <w:tc>
          <w:tcPr>
            <w:tcW w:w="2101"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w:t>
            </w:r>
          </w:p>
        </w:tc>
      </w:tr>
      <w:tr>
        <w:tblPrEx>
          <w:tblCellMar>
            <w:top w:w="0" w:type="dxa"/>
            <w:left w:w="108" w:type="dxa"/>
            <w:bottom w:w="0" w:type="dxa"/>
            <w:right w:w="108" w:type="dxa"/>
          </w:tblCellMar>
        </w:tblPrEx>
        <w:trPr>
          <w:trHeight w:val="360" w:hRule="atLeast"/>
          <w:jc w:val="center"/>
        </w:trPr>
        <w:tc>
          <w:tcPr>
            <w:tcW w:w="7879"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left"/>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注：区域保洁保洁员责任区块划分可由中标人提出方案，但须经采购人同意方可实施。</w:t>
            </w:r>
          </w:p>
        </w:tc>
      </w:tr>
    </w:tbl>
    <w:p>
      <w:pPr>
        <w:pStyle w:val="29"/>
        <w:spacing w:line="360" w:lineRule="auto"/>
        <w:ind w:firstLine="482"/>
        <w:jc w:val="center"/>
        <w:textAlignment w:val="center"/>
        <w:rPr>
          <w:rFonts w:ascii="宋体" w:hAnsi="宋体" w:cs="宋体"/>
          <w:b w:val="0"/>
          <w:bCs/>
          <w:color w:val="000000"/>
          <w:kern w:val="0"/>
          <w:sz w:val="24"/>
          <w:highlight w:val="yellow"/>
        </w:rPr>
      </w:pPr>
    </w:p>
    <w:p>
      <w:pPr>
        <w:pStyle w:val="29"/>
        <w:spacing w:line="360" w:lineRule="auto"/>
        <w:jc w:val="center"/>
        <w:textAlignment w:val="center"/>
        <w:rPr>
          <w:rFonts w:hint="eastAsia" w:ascii="宋体" w:hAnsi="宋体" w:eastAsia="宋体" w:cs="仿宋_GB2312"/>
          <w:b/>
          <w:kern w:val="2"/>
          <w:sz w:val="24"/>
          <w:szCs w:val="22"/>
          <w:lang w:val="en-US" w:eastAsia="zh-CN" w:bidi="ar-SA"/>
        </w:rPr>
      </w:pPr>
      <w:r>
        <w:rPr>
          <w:rFonts w:hint="eastAsia" w:ascii="宋体" w:hAnsi="宋体" w:eastAsia="宋体" w:cs="仿宋_GB2312"/>
          <w:b/>
          <w:kern w:val="2"/>
          <w:sz w:val="24"/>
          <w:szCs w:val="22"/>
          <w:lang w:val="en-US" w:eastAsia="zh-CN" w:bidi="ar-SA"/>
        </w:rPr>
        <w:t>表4：保洁、绿化人员配备表</w:t>
      </w:r>
    </w:p>
    <w:tbl>
      <w:tblPr>
        <w:tblStyle w:val="22"/>
        <w:tblpPr w:leftFromText="180" w:rightFromText="180" w:vertAnchor="text" w:horzAnchor="margin" w:tblpX="1014" w:tblpY="91"/>
        <w:tblW w:w="79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2207"/>
        <w:gridCol w:w="1913"/>
        <w:gridCol w:w="2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900" w:type="dxa"/>
            <w:noWrap/>
            <w:vAlign w:val="center"/>
          </w:tcPr>
          <w:p>
            <w:pPr>
              <w:pStyle w:val="29"/>
              <w:spacing w:line="360" w:lineRule="auto"/>
              <w:ind w:left="0" w:leftChars="0" w:firstLine="0" w:firstLineChars="0"/>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序号</w:t>
            </w:r>
          </w:p>
        </w:tc>
        <w:tc>
          <w:tcPr>
            <w:tcW w:w="2207" w:type="dxa"/>
            <w:noWrap/>
            <w:vAlign w:val="center"/>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岗位名称</w:t>
            </w:r>
          </w:p>
        </w:tc>
        <w:tc>
          <w:tcPr>
            <w:tcW w:w="1913" w:type="dxa"/>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人数（人）</w:t>
            </w:r>
          </w:p>
        </w:tc>
        <w:tc>
          <w:tcPr>
            <w:tcW w:w="2934" w:type="dxa"/>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900" w:type="dxa"/>
            <w:noWrap/>
            <w:vAlign w:val="center"/>
          </w:tcPr>
          <w:p>
            <w:pPr>
              <w:pStyle w:val="29"/>
              <w:spacing w:line="360" w:lineRule="auto"/>
              <w:ind w:left="0" w:leftChars="0" w:firstLine="0" w:firstLineChars="0"/>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1</w:t>
            </w:r>
          </w:p>
        </w:tc>
        <w:tc>
          <w:tcPr>
            <w:tcW w:w="2207" w:type="dxa"/>
            <w:noWrap/>
            <w:vAlign w:val="center"/>
          </w:tcPr>
          <w:p>
            <w:pPr>
              <w:pStyle w:val="29"/>
              <w:spacing w:line="360" w:lineRule="auto"/>
              <w:ind w:left="0" w:leftChars="0" w:firstLine="0" w:firstLineChars="0"/>
              <w:jc w:val="left"/>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守灵休息室服务</w:t>
            </w:r>
          </w:p>
        </w:tc>
        <w:tc>
          <w:tcPr>
            <w:tcW w:w="1913" w:type="dxa"/>
            <w:vAlign w:val="center"/>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≥7</w:t>
            </w:r>
          </w:p>
        </w:tc>
        <w:tc>
          <w:tcPr>
            <w:tcW w:w="2934" w:type="dxa"/>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900" w:type="dxa"/>
            <w:noWrap/>
            <w:vAlign w:val="center"/>
          </w:tcPr>
          <w:p>
            <w:pPr>
              <w:pStyle w:val="29"/>
              <w:spacing w:line="360" w:lineRule="auto"/>
              <w:ind w:left="0" w:leftChars="0" w:firstLine="0" w:firstLineChars="0"/>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2</w:t>
            </w:r>
          </w:p>
        </w:tc>
        <w:tc>
          <w:tcPr>
            <w:tcW w:w="2207" w:type="dxa"/>
            <w:noWrap/>
            <w:vAlign w:val="center"/>
          </w:tcPr>
          <w:p>
            <w:pPr>
              <w:pStyle w:val="29"/>
              <w:spacing w:line="360" w:lineRule="auto"/>
              <w:ind w:left="0" w:leftChars="0" w:firstLine="0" w:firstLineChars="0"/>
              <w:jc w:val="left"/>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区域保洁（含领班）</w:t>
            </w:r>
          </w:p>
        </w:tc>
        <w:tc>
          <w:tcPr>
            <w:tcW w:w="1913" w:type="dxa"/>
            <w:vAlign w:val="center"/>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≥13</w:t>
            </w:r>
          </w:p>
        </w:tc>
        <w:tc>
          <w:tcPr>
            <w:tcW w:w="2934" w:type="dxa"/>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900" w:type="dxa"/>
            <w:noWrap/>
            <w:vAlign w:val="center"/>
          </w:tcPr>
          <w:p>
            <w:pPr>
              <w:pStyle w:val="29"/>
              <w:spacing w:line="360" w:lineRule="auto"/>
              <w:ind w:left="0" w:leftChars="0" w:firstLine="0" w:firstLineChars="0"/>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w:t>
            </w:r>
          </w:p>
        </w:tc>
        <w:tc>
          <w:tcPr>
            <w:tcW w:w="2207" w:type="dxa"/>
            <w:noWrap/>
            <w:vAlign w:val="center"/>
          </w:tcPr>
          <w:p>
            <w:pPr>
              <w:pStyle w:val="29"/>
              <w:spacing w:line="360" w:lineRule="auto"/>
              <w:ind w:left="0" w:leftChars="0" w:firstLine="0" w:firstLineChars="0"/>
              <w:jc w:val="left"/>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绿化养护</w:t>
            </w:r>
          </w:p>
        </w:tc>
        <w:tc>
          <w:tcPr>
            <w:tcW w:w="1913" w:type="dxa"/>
            <w:vAlign w:val="center"/>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≥3</w:t>
            </w:r>
          </w:p>
        </w:tc>
        <w:tc>
          <w:tcPr>
            <w:tcW w:w="2934" w:type="dxa"/>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900" w:type="dxa"/>
            <w:noWrap/>
            <w:vAlign w:val="center"/>
          </w:tcPr>
          <w:p>
            <w:pPr>
              <w:pStyle w:val="29"/>
              <w:spacing w:line="360" w:lineRule="auto"/>
              <w:ind w:left="0" w:leftChars="0" w:firstLine="0" w:firstLineChars="0"/>
              <w:jc w:val="center"/>
              <w:textAlignment w:val="center"/>
              <w:rPr>
                <w:rFonts w:hint="eastAsia" w:ascii="宋体" w:hAnsi="宋体" w:eastAsia="宋体" w:cs="仿宋_GB2312"/>
                <w:b/>
                <w:kern w:val="2"/>
                <w:sz w:val="24"/>
                <w:szCs w:val="22"/>
                <w:lang w:val="en-US" w:eastAsia="zh-CN" w:bidi="ar-SA"/>
              </w:rPr>
            </w:pPr>
            <w:r>
              <w:rPr>
                <w:rFonts w:hint="eastAsia" w:ascii="宋体" w:hAnsi="宋体" w:eastAsia="宋体" w:cs="仿宋_GB2312"/>
                <w:b w:val="0"/>
                <w:bCs/>
                <w:kern w:val="2"/>
                <w:sz w:val="24"/>
                <w:szCs w:val="22"/>
                <w:lang w:val="en-US" w:eastAsia="zh-CN" w:bidi="ar-SA"/>
              </w:rPr>
              <w:t>4</w:t>
            </w:r>
          </w:p>
        </w:tc>
        <w:tc>
          <w:tcPr>
            <w:tcW w:w="2207" w:type="dxa"/>
            <w:noWrap/>
            <w:vAlign w:val="center"/>
          </w:tcPr>
          <w:p>
            <w:pPr>
              <w:pStyle w:val="29"/>
              <w:spacing w:line="360" w:lineRule="auto"/>
              <w:ind w:left="0" w:leftChars="0" w:firstLine="0" w:firstLineChars="0"/>
              <w:jc w:val="left"/>
              <w:textAlignment w:val="center"/>
              <w:rPr>
                <w:rFonts w:hint="eastAsia" w:ascii="宋体" w:hAnsi="宋体" w:eastAsia="宋体" w:cs="仿宋_GB2312"/>
                <w:b/>
                <w:kern w:val="2"/>
                <w:sz w:val="24"/>
                <w:szCs w:val="22"/>
                <w:lang w:val="en-US" w:eastAsia="zh-CN" w:bidi="ar-SA"/>
              </w:rPr>
            </w:pPr>
            <w:r>
              <w:rPr>
                <w:rFonts w:hint="eastAsia" w:ascii="宋体" w:hAnsi="宋体" w:eastAsia="宋体" w:cs="仿宋_GB2312"/>
                <w:b w:val="0"/>
                <w:bCs/>
                <w:kern w:val="2"/>
                <w:sz w:val="24"/>
                <w:szCs w:val="22"/>
                <w:lang w:val="en-US" w:eastAsia="zh-CN" w:bidi="ar-SA"/>
              </w:rPr>
              <w:t>水电工</w:t>
            </w:r>
          </w:p>
        </w:tc>
        <w:tc>
          <w:tcPr>
            <w:tcW w:w="1913" w:type="dxa"/>
            <w:vAlign w:val="center"/>
          </w:tcPr>
          <w:p>
            <w:pPr>
              <w:pStyle w:val="29"/>
              <w:spacing w:line="360" w:lineRule="auto"/>
              <w:jc w:val="center"/>
              <w:textAlignment w:val="center"/>
              <w:rPr>
                <w:rFonts w:hint="eastAsia" w:ascii="宋体" w:hAnsi="宋体" w:eastAsia="宋体" w:cs="仿宋_GB2312"/>
                <w:b/>
                <w:kern w:val="2"/>
                <w:sz w:val="24"/>
                <w:szCs w:val="22"/>
                <w:lang w:val="en-US" w:eastAsia="zh-CN" w:bidi="ar-SA"/>
              </w:rPr>
            </w:pPr>
            <w:r>
              <w:rPr>
                <w:rFonts w:hint="eastAsia" w:ascii="宋体" w:hAnsi="宋体" w:eastAsia="宋体" w:cs="仿宋_GB2312"/>
                <w:b w:val="0"/>
                <w:bCs/>
                <w:kern w:val="2"/>
                <w:sz w:val="24"/>
                <w:szCs w:val="22"/>
                <w:lang w:val="en-US" w:eastAsia="zh-CN" w:bidi="ar-SA"/>
              </w:rPr>
              <w:t>2</w:t>
            </w:r>
          </w:p>
        </w:tc>
        <w:tc>
          <w:tcPr>
            <w:tcW w:w="2934" w:type="dxa"/>
          </w:tcPr>
          <w:p>
            <w:pPr>
              <w:pStyle w:val="29"/>
              <w:spacing w:line="360" w:lineRule="auto"/>
              <w:jc w:val="center"/>
              <w:textAlignment w:val="center"/>
              <w:rPr>
                <w:rFonts w:hint="eastAsia" w:ascii="宋体" w:hAnsi="宋体" w:eastAsia="宋体" w:cs="仿宋_GB2312"/>
                <w:b/>
                <w:kern w:val="2"/>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3107" w:type="dxa"/>
            <w:gridSpan w:val="2"/>
            <w:noWrap/>
            <w:vAlign w:val="center"/>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合  计</w:t>
            </w:r>
          </w:p>
        </w:tc>
        <w:tc>
          <w:tcPr>
            <w:tcW w:w="1913" w:type="dxa"/>
            <w:vAlign w:val="center"/>
          </w:tcPr>
          <w:p>
            <w:pPr>
              <w:pStyle w:val="29"/>
              <w:spacing w:line="360" w:lineRule="auto"/>
              <w:jc w:val="center"/>
              <w:textAlignment w:val="center"/>
              <w:rPr>
                <w:rFonts w:hint="eastAsia" w:ascii="宋体" w:hAnsi="宋体" w:eastAsia="宋体" w:cs="仿宋_GB2312"/>
                <w:b w:val="0"/>
                <w:bCs/>
                <w:kern w:val="2"/>
                <w:sz w:val="24"/>
                <w:szCs w:val="22"/>
                <w:lang w:val="en-US" w:eastAsia="zh-CN" w:bidi="ar-SA"/>
              </w:rPr>
            </w:pPr>
            <w:r>
              <w:rPr>
                <w:rFonts w:hint="eastAsia" w:ascii="宋体" w:hAnsi="宋体" w:eastAsia="宋体" w:cs="仿宋_GB2312"/>
                <w:b w:val="0"/>
                <w:bCs/>
                <w:kern w:val="2"/>
                <w:sz w:val="24"/>
                <w:szCs w:val="22"/>
                <w:lang w:val="en-US" w:eastAsia="zh-CN" w:bidi="ar-SA"/>
              </w:rPr>
              <w:t>≥25</w:t>
            </w:r>
          </w:p>
        </w:tc>
        <w:tc>
          <w:tcPr>
            <w:tcW w:w="2934" w:type="dxa"/>
          </w:tcPr>
          <w:p>
            <w:pPr>
              <w:pStyle w:val="29"/>
              <w:spacing w:line="360" w:lineRule="auto"/>
              <w:jc w:val="center"/>
              <w:textAlignment w:val="center"/>
              <w:rPr>
                <w:rFonts w:hint="eastAsia" w:ascii="宋体" w:hAnsi="宋体" w:eastAsia="宋体" w:cs="仿宋_GB2312"/>
                <w:b/>
                <w:kern w:val="2"/>
                <w:sz w:val="24"/>
                <w:szCs w:val="22"/>
                <w:lang w:val="en-US" w:eastAsia="zh-CN" w:bidi="ar-SA"/>
              </w:rPr>
            </w:pPr>
          </w:p>
        </w:tc>
      </w:tr>
    </w:tbl>
    <w:p>
      <w:pPr>
        <w:pStyle w:val="29"/>
        <w:spacing w:line="360" w:lineRule="auto"/>
        <w:textAlignment w:val="center"/>
        <w:rPr>
          <w:rFonts w:hint="eastAsia" w:ascii="宋体" w:hAnsi="宋体" w:cs="宋体" w:eastAsiaTheme="minorEastAsia"/>
          <w:bCs/>
          <w:kern w:val="2"/>
          <w:sz w:val="24"/>
          <w:szCs w:val="24"/>
          <w:lang w:val="en-US" w:eastAsia="zh-CN" w:bidi="ar-SA"/>
        </w:rPr>
      </w:pPr>
      <w:r>
        <w:rPr>
          <w:rFonts w:hint="eastAsia" w:ascii="宋体" w:hAnsi="宋体" w:eastAsia="宋体" w:cs="仿宋_GB2312"/>
          <w:b/>
          <w:kern w:val="2"/>
          <w:sz w:val="24"/>
          <w:szCs w:val="22"/>
          <w:lang w:val="en-US" w:eastAsia="zh-CN" w:bidi="ar-SA"/>
        </w:rPr>
        <w:t xml:space="preserve">  </w:t>
      </w:r>
    </w:p>
    <w:p>
      <w:pPr>
        <w:widowControl/>
        <w:jc w:val="left"/>
        <w:textAlignment w:val="center"/>
        <w:rPr>
          <w:rFonts w:hint="eastAsia" w:ascii="宋体" w:hAnsi="宋体" w:cs="宋体" w:eastAsiaTheme="minorEastAsia"/>
          <w:bCs/>
          <w:kern w:val="2"/>
          <w:sz w:val="24"/>
          <w:szCs w:val="24"/>
          <w:lang w:val="en-US" w:eastAsia="zh-CN" w:bidi="ar-SA"/>
        </w:rPr>
      </w:pPr>
      <w:r>
        <w:rPr>
          <w:rFonts w:hint="eastAsia" w:ascii="宋体" w:hAnsi="宋体" w:cs="宋体" w:eastAsiaTheme="minorEastAsia"/>
          <w:bCs/>
          <w:kern w:val="2"/>
          <w:sz w:val="24"/>
          <w:szCs w:val="24"/>
          <w:lang w:val="en-US" w:eastAsia="zh-CN" w:bidi="ar-SA"/>
        </w:rPr>
        <w:t xml:space="preserve"> </w:t>
      </w:r>
    </w:p>
    <w:p>
      <w:pPr>
        <w:widowControl/>
        <w:numPr>
          <w:ilvl w:val="0"/>
          <w:numId w:val="0"/>
        </w:numPr>
        <w:spacing w:line="360" w:lineRule="auto"/>
        <w:jc w:val="both"/>
        <w:textAlignment w:val="center"/>
        <w:rPr>
          <w:rFonts w:hint="eastAsia" w:asciiTheme="minorEastAsia" w:hAnsiTheme="minorEastAsia" w:eastAsiaTheme="minorEastAsia" w:cstheme="minorEastAsia"/>
          <w:bCs/>
          <w:kern w:val="2"/>
          <w:sz w:val="24"/>
          <w:szCs w:val="24"/>
          <w:lang w:val="en-US" w:eastAsia="zh-CN" w:bidi="ar-SA"/>
        </w:rPr>
      </w:pPr>
    </w:p>
    <w:p>
      <w:pPr>
        <w:widowControl/>
        <w:numPr>
          <w:ilvl w:val="0"/>
          <w:numId w:val="0"/>
        </w:numPr>
        <w:spacing w:line="360" w:lineRule="auto"/>
        <w:jc w:val="both"/>
        <w:textAlignment w:val="center"/>
        <w:rPr>
          <w:rFonts w:hint="eastAsia" w:asciiTheme="minorEastAsia" w:hAnsiTheme="minorEastAsia" w:eastAsiaTheme="minorEastAsia" w:cstheme="minorEastAsia"/>
          <w:bCs/>
          <w:kern w:val="2"/>
          <w:sz w:val="24"/>
          <w:szCs w:val="24"/>
          <w:lang w:val="en-US" w:eastAsia="zh-CN" w:bidi="ar-SA"/>
        </w:rPr>
      </w:pPr>
    </w:p>
    <w:p>
      <w:pPr>
        <w:widowControl/>
        <w:numPr>
          <w:ilvl w:val="0"/>
          <w:numId w:val="0"/>
        </w:numPr>
        <w:spacing w:line="360" w:lineRule="auto"/>
        <w:jc w:val="both"/>
        <w:textAlignment w:val="center"/>
        <w:rPr>
          <w:rFonts w:hint="eastAsia" w:asciiTheme="minorEastAsia" w:hAnsiTheme="minorEastAsia" w:eastAsiaTheme="minorEastAsia" w:cstheme="minorEastAsia"/>
          <w:bCs/>
          <w:kern w:val="2"/>
          <w:sz w:val="24"/>
          <w:szCs w:val="24"/>
          <w:lang w:val="en-US" w:eastAsia="zh-CN" w:bidi="ar-SA"/>
        </w:rPr>
      </w:pPr>
    </w:p>
    <w:p>
      <w:pPr>
        <w:widowControl/>
        <w:numPr>
          <w:ilvl w:val="0"/>
          <w:numId w:val="0"/>
        </w:numPr>
        <w:spacing w:line="360" w:lineRule="auto"/>
        <w:jc w:val="both"/>
        <w:textAlignment w:val="center"/>
        <w:rPr>
          <w:rFonts w:hint="eastAsia" w:asciiTheme="minorEastAsia" w:hAnsiTheme="minorEastAsia" w:eastAsiaTheme="minorEastAsia" w:cstheme="minorEastAsia"/>
          <w:bCs/>
          <w:kern w:val="2"/>
          <w:sz w:val="24"/>
          <w:szCs w:val="24"/>
          <w:lang w:val="en-US" w:eastAsia="zh-CN" w:bidi="ar-SA"/>
        </w:rPr>
      </w:pPr>
    </w:p>
    <w:p>
      <w:pPr>
        <w:widowControl/>
        <w:numPr>
          <w:ilvl w:val="0"/>
          <w:numId w:val="0"/>
        </w:numPr>
        <w:spacing w:line="360" w:lineRule="auto"/>
        <w:jc w:val="both"/>
        <w:textAlignment w:val="center"/>
        <w:rPr>
          <w:rFonts w:hint="eastAsia" w:asciiTheme="minorEastAsia" w:hAnsiTheme="minorEastAsia" w:eastAsiaTheme="minorEastAsia" w:cstheme="minorEastAsia"/>
          <w:bCs/>
          <w:kern w:val="2"/>
          <w:sz w:val="24"/>
          <w:szCs w:val="24"/>
          <w:lang w:val="en-US" w:eastAsia="zh-CN" w:bidi="ar-SA"/>
        </w:rPr>
      </w:pPr>
    </w:p>
    <w:p>
      <w:pPr>
        <w:widowControl/>
        <w:numPr>
          <w:ilvl w:val="0"/>
          <w:numId w:val="0"/>
        </w:numPr>
        <w:spacing w:line="360" w:lineRule="auto"/>
        <w:jc w:val="both"/>
        <w:textAlignment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3、 其他要求：</w:t>
      </w:r>
    </w:p>
    <w:p>
      <w:pPr>
        <w:widowControl/>
        <w:numPr>
          <w:ilvl w:val="0"/>
          <w:numId w:val="0"/>
        </w:numPr>
        <w:spacing w:line="360" w:lineRule="auto"/>
        <w:ind w:firstLine="480" w:firstLineChars="200"/>
        <w:jc w:val="both"/>
        <w:textAlignment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（1）上述人员配置为最低限度的配置要求，投标人在投标前须充分考虑殡仪馆工作场所及工作时间的特殊性、后期人员调休及薪资待遇等因素，根据岗位需求，合理制定服务方案，配置工作人员。</w:t>
      </w:r>
    </w:p>
    <w:p>
      <w:pPr>
        <w:widowControl/>
        <w:spacing w:line="360" w:lineRule="auto"/>
        <w:textAlignment w:val="center"/>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kern w:val="2"/>
          <w:sz w:val="24"/>
          <w:szCs w:val="24"/>
          <w:lang w:val="en-US" w:eastAsia="zh-CN" w:bidi="ar-SA"/>
        </w:rPr>
        <w:t xml:space="preserve">   （2）保安人员在岗人数根据殡仪馆业务情况机动排班，全年工作总量保持不变。机动巡逻岗岗位特殊（面对的工作情况复杂且工作时长较长），建议投标人投标前与采购人详细了解相关情况。</w:t>
      </w:r>
    </w:p>
    <w:p>
      <w:pPr>
        <w:widowControl/>
        <w:spacing w:line="360" w:lineRule="auto"/>
        <w:jc w:val="left"/>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color w:val="000000"/>
          <w:kern w:val="0"/>
          <w:sz w:val="24"/>
          <w:szCs w:val="24"/>
        </w:rPr>
        <w:t xml:space="preserve">    </w:t>
      </w:r>
      <w:r>
        <w:rPr>
          <w:rFonts w:hint="eastAsia" w:asciiTheme="minorEastAsia" w:hAnsiTheme="minorEastAsia" w:eastAsiaTheme="minorEastAsia" w:cstheme="minorEastAsia"/>
          <w:b/>
          <w:bCs/>
          <w:spacing w:val="6"/>
          <w:sz w:val="24"/>
          <w:szCs w:val="24"/>
        </w:rPr>
        <w:t xml:space="preserve"> （二）主管工作职责</w:t>
      </w:r>
    </w:p>
    <w:p>
      <w:pPr>
        <w:pStyle w:val="29"/>
        <w:spacing w:line="360" w:lineRule="auto"/>
        <w:ind w:firstLine="529" w:firstLineChars="0"/>
        <w:textAlignment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kern w:val="2"/>
          <w:sz w:val="24"/>
          <w:szCs w:val="24"/>
          <w:lang w:val="en-US" w:eastAsia="zh-CN" w:bidi="ar-SA"/>
        </w:rPr>
        <w:t xml:space="preserve"> 项目主管要求：年龄45周岁（含）以下，学历具有</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大专</w:t>
      </w: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及</w:t>
      </w:r>
      <w:r>
        <w:rPr>
          <w:rFonts w:hint="eastAsia" w:asciiTheme="minorEastAsia" w:hAnsiTheme="minorEastAsia" w:eastAsiaTheme="minorEastAsia" w:cstheme="minorEastAsia"/>
          <w:bCs/>
          <w:kern w:val="2"/>
          <w:sz w:val="24"/>
          <w:szCs w:val="24"/>
          <w:lang w:val="en-US" w:eastAsia="zh-CN" w:bidi="ar-SA"/>
        </w:rPr>
        <w:t>以上学历，具有相应的职称或等级证书，有3年（含）以上相似的任职经历，全面</w:t>
      </w:r>
      <w:r>
        <w:rPr>
          <w:rFonts w:hint="eastAsia" w:asciiTheme="minorEastAsia" w:hAnsiTheme="minorEastAsia" w:eastAsiaTheme="minorEastAsia" w:cstheme="minorEastAsia"/>
          <w:bCs/>
          <w:sz w:val="24"/>
          <w:szCs w:val="24"/>
        </w:rPr>
        <w:t>负责保安、保洁等物业服务各项管理工作；组织安排勤务，负责统计考勤，检查执勤服务记录；负责人员的学习和训练；及时准确传达采购人的工作部署；协助开展安全检查，发现问题及时解决；掌握人员的思想动态，做好思想政治工作，及时解决队伍中出现的问题。</w:t>
      </w:r>
    </w:p>
    <w:p>
      <w:pPr>
        <w:pStyle w:val="29"/>
        <w:spacing w:line="360" w:lineRule="auto"/>
        <w:ind w:firstLineChars="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spacing w:val="6"/>
          <w:sz w:val="24"/>
          <w:szCs w:val="24"/>
        </w:rPr>
        <w:t>（三）保安及消控管理服务要求</w:t>
      </w:r>
    </w:p>
    <w:p>
      <w:pPr>
        <w:pStyle w:val="29"/>
        <w:spacing w:line="360" w:lineRule="auto"/>
        <w:ind w:firstLine="253" w:firstLineChars="10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spacing w:val="6"/>
          <w:sz w:val="24"/>
          <w:szCs w:val="24"/>
        </w:rPr>
        <w:t xml:space="preserve">  1、服务内容：</w:t>
      </w:r>
    </w:p>
    <w:p>
      <w:pPr>
        <w:spacing w:line="360" w:lineRule="auto"/>
        <w:ind w:firstLine="480" w:firstLineChars="200"/>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sz w:val="24"/>
          <w:szCs w:val="24"/>
        </w:rPr>
        <w:t>负责全馆安全保卫、疫情防控、消控（监控）设施设备运行管理、停车场及车辆管理等工作，协助馆方处理治安及其他突发事件，维护公共秩序。具体如下：</w:t>
      </w:r>
    </w:p>
    <w:p>
      <w:pPr>
        <w:pStyle w:val="29"/>
        <w:spacing w:line="360" w:lineRule="auto"/>
        <w:ind w:firstLine="480"/>
        <w:textAlignment w:val="cente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（1）严格遵守安全保卫和消防安全等管理制度，负责馆内正常工作秩序，执行馆部安全保卫措施、相关制度落实，做好日常检查、巡逻。</w:t>
      </w:r>
    </w:p>
    <w:p>
      <w:pPr>
        <w:pStyle w:val="29"/>
        <w:spacing w:line="360" w:lineRule="auto"/>
        <w:ind w:firstLine="48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Cs/>
          <w:sz w:val="24"/>
          <w:szCs w:val="24"/>
        </w:rPr>
        <w:t>（2）做好疫情防控相关工作，严格落实馆内制定的各项疫情防控工作措施。</w:t>
      </w:r>
    </w:p>
    <w:p>
      <w:pPr>
        <w:pStyle w:val="29"/>
        <w:spacing w:line="360" w:lineRule="auto"/>
        <w:ind w:firstLine="48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（3）按照馆内制定的上下班时间对各出入口和感应门实行严格有效的服务管理。</w:t>
      </w:r>
    </w:p>
    <w:p>
      <w:pPr>
        <w:pStyle w:val="29"/>
        <w:spacing w:line="360" w:lineRule="auto"/>
        <w:ind w:left="363" w:leftChars="173" w:firstLine="120" w:firstLineChars="5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（4）负责馆内外停车场的车辆停放及周边道路交通车辆秩序维护。</w:t>
      </w:r>
    </w:p>
    <w:p>
      <w:pPr>
        <w:pStyle w:val="29"/>
        <w:spacing w:line="360" w:lineRule="auto"/>
        <w:ind w:left="363" w:leftChars="173" w:firstLine="120" w:firstLineChars="5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（5）负责馆内办公室报刊及物流存放点的管理工作。</w:t>
      </w:r>
    </w:p>
    <w:p>
      <w:pPr>
        <w:pStyle w:val="29"/>
        <w:spacing w:line="360" w:lineRule="auto"/>
        <w:ind w:firstLine="482" w:firstLineChars="201"/>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（6）负责</w:t>
      </w:r>
      <w:r>
        <w:rPr>
          <w:rFonts w:hint="eastAsia" w:asciiTheme="minorEastAsia" w:hAnsiTheme="minorEastAsia" w:eastAsiaTheme="minorEastAsia" w:cstheme="minorEastAsia"/>
          <w:sz w:val="24"/>
          <w:szCs w:val="24"/>
        </w:rPr>
        <w:t>消控、监控设施设备运行管理，做好馆</w:t>
      </w:r>
      <w:r>
        <w:rPr>
          <w:rFonts w:hint="eastAsia" w:asciiTheme="minorEastAsia" w:hAnsiTheme="minorEastAsia" w:eastAsiaTheme="minorEastAsia" w:cstheme="minorEastAsia"/>
          <w:bCs/>
          <w:sz w:val="24"/>
          <w:szCs w:val="24"/>
        </w:rPr>
        <w:t>内消防设备的检查及登记管理等工作。</w:t>
      </w:r>
    </w:p>
    <w:p>
      <w:pPr>
        <w:pStyle w:val="29"/>
        <w:spacing w:line="360" w:lineRule="auto"/>
        <w:ind w:firstLine="48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（7）馆内发生的各类纠纷和治安案件、配合采购人调查、协助公安机关对案件排查。</w:t>
      </w:r>
    </w:p>
    <w:p>
      <w:pPr>
        <w:pStyle w:val="29"/>
        <w:spacing w:line="360" w:lineRule="auto"/>
        <w:ind w:firstLine="48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（8）对馆内及周边公共区域突发事件处置、灾害预防、</w:t>
      </w:r>
      <w:r>
        <w:rPr>
          <w:rFonts w:hint="eastAsia" w:asciiTheme="minorEastAsia" w:hAnsiTheme="minorEastAsia" w:eastAsiaTheme="minorEastAsia" w:cstheme="minorEastAsia"/>
          <w:b w:val="0"/>
          <w:bCs/>
          <w:color w:val="auto"/>
          <w:sz w:val="24"/>
          <w:szCs w:val="24"/>
        </w:rPr>
        <w:t>火灾</w:t>
      </w:r>
      <w:r>
        <w:rPr>
          <w:rFonts w:hint="eastAsia" w:asciiTheme="minorEastAsia" w:hAnsiTheme="minorEastAsia" w:eastAsiaTheme="minorEastAsia" w:cstheme="minorEastAsia"/>
          <w:b w:val="0"/>
          <w:bCs/>
          <w:color w:val="auto"/>
          <w:sz w:val="24"/>
          <w:szCs w:val="24"/>
          <w:lang w:eastAsia="zh-CN"/>
        </w:rPr>
        <w:t>警报</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Cs/>
          <w:sz w:val="24"/>
          <w:szCs w:val="24"/>
        </w:rPr>
        <w:t>发现和制止暴力案件。</w:t>
      </w:r>
    </w:p>
    <w:p>
      <w:pPr>
        <w:pStyle w:val="29"/>
        <w:spacing w:line="360" w:lineRule="auto"/>
        <w:ind w:left="363" w:leftChars="173" w:firstLine="120" w:firstLineChars="5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（9）对火化区域、守灵区域及家属等候区香烛及纸钱焚烧进行管理。</w:t>
      </w:r>
    </w:p>
    <w:p>
      <w:pPr>
        <w:pStyle w:val="29"/>
        <w:spacing w:line="360" w:lineRule="auto"/>
        <w:ind w:firstLine="48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（10）对馆内的外来商贩，外来违规的迷信用品及花圈、鞭炮鸣放等进行有效管理。</w:t>
      </w:r>
    </w:p>
    <w:p>
      <w:pPr>
        <w:pStyle w:val="29"/>
        <w:spacing w:line="360" w:lineRule="auto"/>
        <w:ind w:left="363" w:leftChars="173" w:firstLine="120" w:firstLineChars="5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（11）完成采购人交办的其它安保、防疫及消控相关服务事项。</w:t>
      </w:r>
    </w:p>
    <w:p>
      <w:pPr>
        <w:pStyle w:val="29"/>
        <w:spacing w:line="360" w:lineRule="auto"/>
        <w:ind w:firstLine="529" w:firstLineChars="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spacing w:val="6"/>
          <w:sz w:val="24"/>
          <w:szCs w:val="24"/>
        </w:rPr>
        <w:t>2、人员及素质要求</w:t>
      </w:r>
    </w:p>
    <w:p>
      <w:pPr>
        <w:spacing w:line="360" w:lineRule="auto"/>
        <w:ind w:firstLine="480" w:firstLineChars="200"/>
        <w:jc w:val="lef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（1）保安人员配置要求，设队长1人、副队长2人。保安人员实行轮休，上班时间不分节假日。保安正队长履历要求：</w:t>
      </w:r>
      <w:r>
        <w:rPr>
          <w:rFonts w:hint="eastAsia" w:asciiTheme="minorEastAsia" w:hAnsiTheme="minorEastAsia" w:eastAsiaTheme="minorEastAsia" w:cstheme="minorEastAsia"/>
          <w:bCs/>
          <w:color w:val="000000" w:themeColor="text1"/>
          <w:sz w:val="24"/>
          <w14:textFill>
            <w14:solidFill>
              <w14:schemeClr w14:val="tx1"/>
            </w14:solidFill>
          </w14:textFill>
        </w:rPr>
        <w:t>会使用WORD/EXCEL等日常办公软件，能完成日常考勤等统计事项</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；持有人力资</w:t>
      </w:r>
      <w:r>
        <w:rPr>
          <w:rFonts w:hint="eastAsia" w:asciiTheme="minorEastAsia" w:hAnsiTheme="minorEastAsia" w:eastAsiaTheme="minorEastAsia" w:cstheme="minorEastAsia"/>
          <w:bCs/>
          <w:sz w:val="24"/>
          <w:szCs w:val="24"/>
        </w:rPr>
        <w:t>源和社会保障部门评定的保安员职业资格证书，须三级及以上等级</w:t>
      </w:r>
      <w:r>
        <w:rPr>
          <w:rFonts w:hint="eastAsia" w:asciiTheme="minorEastAsia" w:hAnsiTheme="minorEastAsia" w:eastAsiaTheme="minorEastAsia" w:cstheme="minorEastAsia"/>
          <w:bCs/>
          <w:sz w:val="24"/>
          <w:szCs w:val="24"/>
          <w:lang w:eastAsia="zh-CN"/>
        </w:rPr>
        <w:t>。</w:t>
      </w:r>
    </w:p>
    <w:p>
      <w:pPr>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（2）保安从业人员应知法，懂法，守法，依法办事，必须严格遵守保安从业规范，</w:t>
      </w:r>
      <w:r>
        <w:rPr>
          <w:rFonts w:hint="eastAsia" w:asciiTheme="minorEastAsia" w:hAnsiTheme="minorEastAsia" w:eastAsiaTheme="minorEastAsia" w:cstheme="minorEastAsia"/>
          <w:b w:val="0"/>
          <w:bCs/>
          <w:color w:val="auto"/>
          <w:sz w:val="24"/>
          <w:szCs w:val="24"/>
          <w:lang w:eastAsia="zh-CN"/>
        </w:rPr>
        <w:t>严格</w:t>
      </w:r>
      <w:r>
        <w:rPr>
          <w:rFonts w:hint="eastAsia" w:asciiTheme="minorEastAsia" w:hAnsiTheme="minorEastAsia" w:eastAsiaTheme="minorEastAsia" w:cstheme="minorEastAsia"/>
          <w:bCs/>
          <w:sz w:val="24"/>
          <w:szCs w:val="24"/>
        </w:rPr>
        <w:t>遵守台州市殡仪馆安全管理规定。</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保安服务队长应具备较高的政治思想素养和业务水平，有较强的组织协调能力，受过专门的保安业务培训。保安队长要以身作则，吃苦在前起到表率作用，有团队精神。具备组织协调和处理突发事件的能力。加强对保安人员的管理和培训。</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 保安（含消控人员）个人素质条件：要求男性，</w:t>
      </w:r>
      <w:r>
        <w:rPr>
          <w:rFonts w:hint="eastAsia" w:asciiTheme="minorEastAsia" w:hAnsiTheme="minorEastAsia" w:eastAsiaTheme="minorEastAsia" w:cstheme="minorEastAsia"/>
          <w:bCs/>
          <w:color w:val="000000" w:themeColor="text1"/>
          <w:sz w:val="24"/>
          <w:szCs w:val="24"/>
          <w:highlight w:val="none"/>
          <w:lang w:eastAsia="zh-CN"/>
          <w14:textFill>
            <w14:solidFill>
              <w14:schemeClr w14:val="tx1"/>
            </w14:solidFill>
          </w14:textFill>
        </w:rPr>
        <w:t>不得超过</w:t>
      </w:r>
      <w:r>
        <w:rPr>
          <w:rFonts w:hint="eastAsia" w:asciiTheme="minorEastAsia" w:hAnsiTheme="minorEastAsia" w:eastAsiaTheme="minorEastAsia" w:cstheme="minorEastAsia"/>
          <w:bCs/>
          <w:color w:val="000000" w:themeColor="text1"/>
          <w:sz w:val="24"/>
          <w14:textFill>
            <w14:solidFill>
              <w14:schemeClr w14:val="tx1"/>
            </w14:solidFill>
          </w14:textFill>
        </w:rPr>
        <w:t>55周岁，50周岁以下人员占比不少于60%</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，身高1.65米以上，身体健康，没有传染病及精神病等不能</w:t>
      </w:r>
      <w:r>
        <w:rPr>
          <w:rFonts w:hint="eastAsia" w:asciiTheme="minorEastAsia" w:hAnsiTheme="minorEastAsia" w:eastAsiaTheme="minorEastAsia" w:cstheme="minorEastAsia"/>
          <w:bCs/>
          <w:sz w:val="24"/>
          <w:szCs w:val="24"/>
        </w:rPr>
        <w:t xml:space="preserve">控制自己行为能力的疾病病史，体貌端正。同时要求作风正派、为人正直、无不良嗜好、无任何违法、违纪不良记录，退伍军人优先。有吃苦耐劳的精神和高度的责任感，熟知采购人的管理规定，严格履行岗位职责，善于发现各类问题，具备一定的管理服务经验和处理突发事件能力。 </w:t>
      </w:r>
    </w:p>
    <w:p>
      <w:pPr>
        <w:pStyle w:val="29"/>
        <w:spacing w:line="360" w:lineRule="auto"/>
        <w:ind w:firstLine="0" w:firstLineChars="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spacing w:val="6"/>
          <w:sz w:val="24"/>
          <w:szCs w:val="24"/>
        </w:rPr>
        <w:t xml:space="preserve">     3、队伍建设与管理要求</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（1）负责本项目的所有保安员必须持有法律规定的《保安员证》。消控管理员须持证上岗。</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（2）进驻保安人员统一着保安服装，配备值勤所需的装备、器材、通讯设备及个人装备等。</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（3）从采购人安全实际出发，经常性开展在岗人员业务培训和紧急预案演练。每年组织不少于1次的突发事件应急演习。</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（4）内部管理体制健全，设立主管1名、驻场保安队长一正两副，全面负责日常保安队伍的规范化管理。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（5）人员或配置变动等特殊情况须经采购人同意。 必须采取切实有效措施保持保安队伍的稳定，严格控制保安人员轮换岗比例。保安队伍中如队长更换，应提前一个月以书面形式通知采购人，其他队员更换要提前七天告知采购人，确保服务质量不因人员变动而受影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（6）保安应聘、录用、离职等管理档案规范，手续齐全，相应资料报送采购人备案。</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（7）中标人如数配齐保安人员，采购人有权对保安人员的工作进行监督检查，对不称职的保安提出批评教育，对屡教不改的提出更换要求，中标人应在十五天内无条件更换。</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（8）保安人员用餐可在殡仪馆食堂搭伙，餐费自理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搭伙费200元/人/月（标准按馆内人员收取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搭伙费每季度支付一次，支付到甲方食堂账户）。</w:t>
      </w:r>
    </w:p>
    <w:p>
      <w:pPr>
        <w:pStyle w:val="29"/>
        <w:spacing w:line="360" w:lineRule="auto"/>
        <w:ind w:firstLine="0" w:firstLineChars="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spacing w:val="6"/>
          <w:sz w:val="24"/>
          <w:szCs w:val="24"/>
        </w:rPr>
        <w:t xml:space="preserve">    4、岗位工作职责及要求</w:t>
      </w:r>
    </w:p>
    <w:p>
      <w:pPr>
        <w:pStyle w:val="39"/>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pacing w:val="6"/>
          <w:sz w:val="24"/>
          <w:szCs w:val="24"/>
        </w:rPr>
        <w:t xml:space="preserve">   </w:t>
      </w:r>
      <w:r>
        <w:rPr>
          <w:rFonts w:hint="eastAsia" w:asciiTheme="minorEastAsia" w:hAnsiTheme="minorEastAsia" w:eastAsiaTheme="minorEastAsia" w:cstheme="minorEastAsia"/>
          <w:bCs/>
          <w:sz w:val="24"/>
          <w:szCs w:val="24"/>
        </w:rPr>
        <w:t>（1）保安队长：协助主管做好安保服务各项工作，全面负责保安队伍的日常管理事务，严格保安队伍纪律管理，奖优罚劣。承担保安违规违纪的连带责任。实行人性化管理，关心队员疾苦，掌握队员的思想动态，充分调动队员积极性，努力保证队伍稳定。传达落实采购人的服务要求与管理规定，组织实施并不断完善安全保卫整体方案。结合实际情况，适时作出岗位调整，完善各岗位职责。有针对性地开展安全教育和提示；定期向采购人汇报工作开展情况及治安信息，重大情况及时报告。配合采购人对公共区域内违规事件的处理。组织开展保安业务培训和预案演练；建立健全录用保安人员档案资料。以身作则、吃苦在先、讲求奉献；贯彻落实采购人任务要求与工作安排。负责安排保安的日常工作，参与保安值勤，增援重点岗位。督促检查在岗人员履行岗位职责情况，纠正队员违规违纪行为。坚持讲评，不流于形式，形成良好的队风。处理各岗位的突发事件，重大情况及时报告。妥善保管好采购人提供的设备器材，严格设备交接班制度。组织指挥保安队员做好安全保卫与秩序保障工作，将各岗位的执勤情况汇总记录。</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门卫管理：严格人员、车辆、物资进出管理。严格落实采购人部署的各项疫情防控工作措施。按时立岗，礼貌待人，树立良好的窗口形象。值班室内无闲杂人员滞留，保持内外环境整洁卫生。完成采购人交办的其他事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区域守护：熟悉守护区域的情况特点，定点守卫与区域巡查相结合。掌握消防栓、灭火器、水泵房等安全设施的位置、性能和使用方法。听从保安队长工作安排与指挥调度，及时处置突发事件。维护责任区域公共秩序，协助各岗位开展大楼内秩序管理。发现可疑人员主动盘问，发现违规行为，大胆管理，主动干预，发现异常及安全隐患，立即采取措施并报告，制止暴力事件，有效处置各种违法犯罪行为。无闲杂人员滞留。</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机动巡逻：发现和排除各种不安全因素，及时处置各种违法犯罪行为。听从保安队长工作安排与指挥调度，善于发现、分析处理各种事故隐患和突发事件。根据不同情况，灵活执行相应的巡逻方案。加强对重点区域、要害部位的安全巡查，巡更采点不流于形式，协助各岗位开展大楼秩序维护和秩序管理工作，如实记录汇报巡逻记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车辆管理。负责馆内外停车场的车辆停放及周边道路交通车辆秩序维护。利用道闸和监控系统，对进出馆内的各类车辆进行有效管理，非机动车要求做到定点有序停放，机动车则根据设置好的行车指示标志及车辆行驶路线，引导车辆有序停放。加强巡逻检查，要求馆内停车区域无易燃、易爆等物品存放。</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消防管理：按照消防部门和台州市殡仪馆的要求及相关消防管理制度规定，按时检查消防设备设施，并做好检查记录，协助采购人做好消防安全保卫工作。经常性开展消防业务培训，制定完善的预案并演练，发现有人擅自动用消防设施的，应及时制止并报告采购人。发现火灾隐患，立即报告采购人并及时设法消除。发生火警，能冷静处置，按预案进行火灾报警、人员疏散、抢救物资等工作。通过门卫卡口管理、区域守护与机动巡逻，形成施工现场安全防范网络。保障台州市殡仪馆正常秩序。</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消控、监控管理。严格遵守安全保卫和消防安全等管理制度，定期对消防、监控主机及各消防、监控点的设备进行巡查，确保运行无故障，同时负责做好相关台账。消控、监控设施设备应保持24小时开通，并保持完整的监控记录，保证对馆内各出入口、内部重点区域的安全监控、录像及协助布警。监控室收到异常情况报警信号后，应及时报警，并派专人赶到现场进行前期处理，馆内发生的各类纠纷和治安案件、配合采购人调查、协助公安机关对案件排查。监控资料应至少保持30天。</w:t>
      </w:r>
    </w:p>
    <w:p>
      <w:pPr>
        <w:pStyle w:val="29"/>
        <w:spacing w:line="360" w:lineRule="auto"/>
        <w:ind w:firstLine="0" w:firstLineChars="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sz w:val="24"/>
          <w:szCs w:val="24"/>
        </w:rPr>
        <w:t xml:space="preserve">   （8）突发事件处理。按照要求制订突发事件应急预案，每年组织不少于1次的突发事件应急演习。当发生台风、暴雨、雪灾等灾害性天气及其他突发事件时，应对设备机房、停车场、广告牌、电线杆等露天设施进行检查和加固。各岗位人员必须按规定实行岗位警戒，根据不同突发事件的现场情况进行应变处理。</w:t>
      </w:r>
    </w:p>
    <w:p>
      <w:pPr>
        <w:pStyle w:val="29"/>
        <w:spacing w:line="360" w:lineRule="auto"/>
        <w:ind w:firstLine="0" w:firstLineChars="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spacing w:val="6"/>
          <w:sz w:val="24"/>
          <w:szCs w:val="24"/>
        </w:rPr>
        <w:t xml:space="preserve">   （二）保洁、绿化养护服务要求</w:t>
      </w:r>
    </w:p>
    <w:p>
      <w:pPr>
        <w:pStyle w:val="29"/>
        <w:spacing w:line="360" w:lineRule="auto"/>
        <w:ind w:firstLine="0" w:firstLineChars="0"/>
        <w:textAlignment w:val="center"/>
        <w:rPr>
          <w:rFonts w:hint="eastAsia" w:asciiTheme="minorEastAsia" w:hAnsiTheme="minorEastAsia" w:eastAsiaTheme="minorEastAsia" w:cstheme="minorEastAsia"/>
          <w:b/>
          <w:bCs/>
          <w:color w:val="000000"/>
          <w:spacing w:val="6"/>
          <w:sz w:val="24"/>
          <w:szCs w:val="24"/>
        </w:rPr>
      </w:pPr>
      <w:r>
        <w:rPr>
          <w:rFonts w:hint="eastAsia" w:asciiTheme="minorEastAsia" w:hAnsiTheme="minorEastAsia" w:eastAsiaTheme="minorEastAsia" w:cstheme="minorEastAsia"/>
          <w:b/>
          <w:bCs/>
          <w:color w:val="000000"/>
          <w:spacing w:val="6"/>
          <w:sz w:val="24"/>
          <w:szCs w:val="24"/>
        </w:rPr>
        <w:t xml:space="preserve">    1、项目服务区域</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卫生保洁服务：中标人负责台州市殡仪馆新老馆除告别厅、守灵厅室内区域（含新馆遗体专用通道）以及餐饮中心外其他所有区域的卫生保洁工作。具体包括负责办公室、会议室、楼梯、办事大厅、走廊、卫生间、茶水间、公共活动场所，室外广场、道路、草坪、池塘等公共区域的清卫保洁，以及垃圾、废弃物清理、消毒灭害等。</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（2）守灵客房服务：中标人负责台州市殡仪馆新老馆守灵休息室服务</w:t>
      </w:r>
      <w:r>
        <w:rPr>
          <w:rFonts w:hint="eastAsia" w:asciiTheme="minorEastAsia" w:hAnsiTheme="minorEastAsia" w:eastAsiaTheme="minorEastAsia" w:cstheme="minorEastAsia"/>
          <w:color w:val="000000"/>
          <w:kern w:val="0"/>
          <w:sz w:val="24"/>
          <w:szCs w:val="24"/>
        </w:rPr>
        <w:t>（24小时客房服务及房务管理）</w:t>
      </w:r>
      <w:r>
        <w:rPr>
          <w:rFonts w:hint="eastAsia" w:asciiTheme="minorEastAsia" w:hAnsiTheme="minorEastAsia" w:eastAsiaTheme="minorEastAsia" w:cstheme="minorEastAsia"/>
          <w:bCs/>
          <w:sz w:val="24"/>
          <w:szCs w:val="24"/>
        </w:rPr>
        <w:t>。负责守灵服务中心客房查房、退房，卫生打扫等工作，一层以上范围内的廊道、楼梯、电梯等区域的打扫清洁，疫情期间还需做好防疫消毒及记录等工作。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（3）绿化养护服务：中标人负责台州市殡仪馆范围内已种绿化苗木和草坪管</w:t>
      </w:r>
      <w:r>
        <w:rPr>
          <w:rFonts w:hint="eastAsia" w:asciiTheme="minorEastAsia" w:hAnsiTheme="minorEastAsia" w:eastAsiaTheme="minorEastAsia" w:cstheme="minorEastAsia"/>
          <w:sz w:val="24"/>
          <w:szCs w:val="24"/>
        </w:rPr>
        <w:t>理；绿化范围内除草、浇水、施肥、病虫害防治、草坪花木修剪、补植、所有办公区室内绿化养护（包含浇水、修剪等）等工作。</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（4）水电工：</w:t>
      </w:r>
      <w:r>
        <w:rPr>
          <w:rFonts w:hint="eastAsia" w:asciiTheme="minorEastAsia" w:hAnsiTheme="minorEastAsia" w:eastAsiaTheme="minorEastAsia" w:cstheme="minorEastAsia"/>
          <w:bCs/>
          <w:sz w:val="24"/>
          <w:szCs w:val="24"/>
        </w:rPr>
        <w:t>中标人派驻2名水电工纳入馆内设备保障保卫科统一管理。</w:t>
      </w:r>
    </w:p>
    <w:p>
      <w:pPr>
        <w:spacing w:line="360" w:lineRule="auto"/>
        <w:rPr>
          <w:rFonts w:hint="eastAsia" w:asciiTheme="minorEastAsia" w:hAnsiTheme="minorEastAsia" w:eastAsiaTheme="minorEastAsia" w:cstheme="minorEastAsia"/>
          <w:b/>
          <w:bCs/>
          <w:color w:val="000000"/>
          <w:spacing w:val="6"/>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color w:val="000000"/>
          <w:spacing w:val="6"/>
          <w:sz w:val="24"/>
          <w:szCs w:val="24"/>
        </w:rPr>
        <w:t xml:space="preserve">   2、人员及素质要求</w:t>
      </w:r>
    </w:p>
    <w:p>
      <w:pPr>
        <w:spacing w:line="360" w:lineRule="auto"/>
        <w:ind w:firstLine="480" w:firstLineChars="2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保洁领班（1人）履历要求：</w:t>
      </w:r>
      <w:r>
        <w:rPr>
          <w:rFonts w:hint="eastAsia" w:asciiTheme="minorEastAsia" w:hAnsiTheme="minorEastAsia" w:eastAsiaTheme="minorEastAsia" w:cstheme="minorEastAsia"/>
          <w:bCs/>
          <w:color w:val="000000" w:themeColor="text1"/>
          <w:sz w:val="24"/>
          <w14:textFill>
            <w14:solidFill>
              <w14:schemeClr w14:val="tx1"/>
            </w14:solidFill>
          </w14:textFill>
        </w:rPr>
        <w:t>会使用WORD/EXCEL等日常办公软件，能完成日常考勤、仓库盘点统计等事项，</w:t>
      </w:r>
      <w:r>
        <w:rPr>
          <w:rFonts w:hint="eastAsia" w:asciiTheme="minorEastAsia" w:hAnsiTheme="minorEastAsia" w:eastAsiaTheme="minorEastAsia" w:cstheme="minorEastAsia"/>
          <w:color w:val="000000" w:themeColor="text1"/>
          <w:sz w:val="24"/>
          <w:szCs w:val="24"/>
          <w14:textFill>
            <w14:solidFill>
              <w14:schemeClr w14:val="tx1"/>
            </w14:solidFill>
          </w14:textFill>
        </w:rPr>
        <w:t>有2年（含）相似的任职经历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Cs/>
          <w:color w:val="000000"/>
          <w:sz w:val="24"/>
          <w:szCs w:val="24"/>
          <w:lang w:val="en-US" w:eastAsia="zh-CN"/>
        </w:rPr>
        <w:t>2）</w:t>
      </w:r>
      <w:r>
        <w:rPr>
          <w:rFonts w:hint="eastAsia" w:asciiTheme="minorEastAsia" w:hAnsiTheme="minorEastAsia" w:eastAsiaTheme="minorEastAsia" w:cstheme="minorEastAsia"/>
          <w:bCs/>
          <w:color w:val="000000"/>
          <w:sz w:val="24"/>
          <w:szCs w:val="24"/>
        </w:rPr>
        <w:t>人员男女不限，年龄55周岁以下，要求身体健康，没有传染病及精神病等不能控制自己行为能力的疾病病史，体貌端正，同时要求作风正派、为人正直、无不良嗜好、没有犯罪记录。</w:t>
      </w:r>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）从业人员应知法，懂法，守法，依法办事，必须严格遵守从业规范以及台州市殡仪馆各项管理规定。</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 xml:space="preserve">）有吃苦耐劳的精神和高度的责任感，熟知采购人的管理规定，严格履行岗位职责，善于发现各类问题，具备一定的管理服务经验和处理突发事件能力。 </w:t>
      </w:r>
    </w:p>
    <w:p>
      <w:pPr>
        <w:spacing w:line="360" w:lineRule="auto"/>
        <w:ind w:firstLine="482" w:firstLineChars="200"/>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sz w:val="24"/>
          <w:szCs w:val="24"/>
          <w:lang w:val="en-US" w:eastAsia="zh-CN"/>
        </w:rPr>
        <w:t>5</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val="0"/>
          <w:bCs/>
          <w:sz w:val="24"/>
          <w:szCs w:val="24"/>
        </w:rPr>
        <w:t>人员住宿自行解决，用餐可在殡仪馆食堂搭伙，餐费自理</w:t>
      </w:r>
      <w:r>
        <w:rPr>
          <w:rFonts w:hint="eastAsia" w:asciiTheme="minorEastAsia" w:hAnsiTheme="minorEastAsia" w:eastAsia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rPr>
        <w:t>搭伙费200元/人/月（标准按馆内人员收取</w:t>
      </w:r>
      <w:r>
        <w:rPr>
          <w:rFonts w:hint="eastAsia" w:asciiTheme="minorEastAsia" w:hAnsiTheme="minorEastAsia" w:eastAsia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rPr>
        <w:t>搭伙费每季度支付一次，支付到甲方食堂账户</w:t>
      </w:r>
      <w:r>
        <w:rPr>
          <w:rFonts w:hint="eastAsia" w:asciiTheme="minorEastAsia" w:hAnsiTheme="minorEastAsia" w:eastAsia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rPr>
        <w:t>。</w:t>
      </w:r>
    </w:p>
    <w:p>
      <w:pPr>
        <w:pStyle w:val="10"/>
        <w:ind w:firstLine="506" w:firstLineChars="200"/>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color w:val="000000"/>
          <w:spacing w:val="6"/>
          <w:sz w:val="24"/>
        </w:rPr>
        <w:t>（</w:t>
      </w:r>
      <w:r>
        <w:rPr>
          <w:rFonts w:hint="eastAsia" w:asciiTheme="minorEastAsia" w:hAnsiTheme="minorEastAsia" w:eastAsiaTheme="minorEastAsia" w:cstheme="minorEastAsia"/>
          <w:b/>
          <w:bCs/>
          <w:color w:val="000000"/>
          <w:spacing w:val="6"/>
          <w:sz w:val="24"/>
          <w:lang w:val="en-US" w:eastAsia="zh-CN"/>
        </w:rPr>
        <w:t>6</w:t>
      </w:r>
      <w:r>
        <w:rPr>
          <w:rFonts w:hint="eastAsia" w:asciiTheme="minorEastAsia" w:hAnsiTheme="minorEastAsia" w:eastAsiaTheme="minorEastAsia" w:cstheme="minorEastAsia"/>
          <w:b/>
          <w:bCs/>
          <w:color w:val="000000"/>
          <w:spacing w:val="6"/>
          <w:sz w:val="24"/>
        </w:rPr>
        <w:t>）</w:t>
      </w:r>
      <w:r>
        <w:rPr>
          <w:rFonts w:hint="eastAsia" w:asciiTheme="minorEastAsia" w:hAnsiTheme="minorEastAsia" w:eastAsiaTheme="minorEastAsia" w:cstheme="minorEastAsia"/>
          <w:b w:val="0"/>
          <w:bCs/>
          <w:kern w:val="2"/>
          <w:sz w:val="24"/>
          <w:szCs w:val="24"/>
          <w:lang w:val="en-US" w:eastAsia="zh-CN" w:bidi="ar-SA"/>
        </w:rPr>
        <w:t xml:space="preserve"> 人员或配置变动等特殊情况须经采购人同意。 </w:t>
      </w:r>
    </w:p>
    <w:p>
      <w:pPr>
        <w:pStyle w:val="29"/>
        <w:spacing w:line="360" w:lineRule="auto"/>
        <w:ind w:firstLine="0" w:firstLineChars="0"/>
        <w:textAlignment w:val="center"/>
        <w:rPr>
          <w:rFonts w:hint="eastAsia" w:asciiTheme="minorEastAsia" w:hAnsiTheme="minorEastAsia" w:eastAsiaTheme="minorEastAsia" w:cstheme="minorEastAsia"/>
          <w:b/>
          <w:bCs/>
          <w:color w:val="000000"/>
          <w:spacing w:val="6"/>
          <w:sz w:val="24"/>
          <w:szCs w:val="24"/>
        </w:rPr>
      </w:pPr>
      <w:r>
        <w:rPr>
          <w:rFonts w:hint="eastAsia" w:asciiTheme="minorEastAsia" w:hAnsiTheme="minorEastAsia" w:eastAsiaTheme="minorEastAsia" w:cstheme="minorEastAsia"/>
          <w:b/>
          <w:bCs/>
          <w:color w:val="000000"/>
          <w:spacing w:val="6"/>
          <w:sz w:val="24"/>
          <w:szCs w:val="24"/>
        </w:rPr>
        <w:t xml:space="preserve">    3、服务要求</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（1）楼层地面保洁标准：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①保持室内地面洁净光亮，无垃圾水迹污迹。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②烟灰筒(缸)内烟头不得超过三个。</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③各种铜件和电镀件要光亮无尘。</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④门窗玻璃双面洁净光亮，无污迹。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⑤大堂内的装饰物、绿色植物等摆放定位，无尘，盆缸容器干净，无损。</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⑥沙发和座椅茶几摆放整齐、无污、无损。</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(2)卫生间保洁标准：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①天花板、墙角、灯具目视无灰尘、蜘蛛网。</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②目视墙壁干净，蹲坑，小便器等卫生洁具洁净无异物、无堵塞、无黄渍。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③镜面光亮，无污点，无水迹。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④室内无异味、臭味。</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⑤地面无烟头、纸屑、污渍、积水。</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⑥房内设施跑冒滴漏及时报告修复。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(3)走廊、步梯、窗户、电梯卫生标准：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①走廊、步梯和电梯地面无垃圾、尘土、无污迹。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②走廊电梯墙壁和墙壁饰物、插座盒、消防栓门、标牌、风口等无积尘无污渍。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③窗台、楼梯扶手、栏杆等地方无积尘无污渍。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④门、窗玻璃双面洁净光亮，无污渍和手印。</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⑤垃圾箱内垃圾每日清理，超过80%时立即清理。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⑥天花板、墙角、灯具目视无灰尘、蜘蛛网。</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⑦走廊内花架上、盆景内无积尘垃圾杂物，盆缸等容器干净、无损。</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⑧通道内杂物堆放及时报告清理。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(4)院内通道、绿化地坪、停车场、会议室卫生标准：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①地面无烟蒂、垃圾杂物，通道残枝落叶及时清除不堆积。</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②道路下水口通畅，无杂物堵塞。</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③室内墙壁、指示牌、窗台、楼梯扶手、栏杆、管道等地方无积尘无污渍。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④门、窗玻璃双面洁净光亮，无污渍和手印。</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⑤草坪绿地内无白废烟蒂等杂物。</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(5)办公室的保洁标准：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①办公室每天清洁一次；</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②清理室内的烟灰缸和垃圾；</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③擦拭门、椅、柜等室内设施和室内装饰物品；</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④清洁地面，将各类物品摆回原位并摆放整齐；</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⑤办公室消杀工作应每季进行两次。</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(6)保洁工作时间：上班时间不分节假日（年初一、初二除外）。上班时间白班为上午7：00-下午15:00，夜班保洁：下午15：00-晚上20:00。</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(7)其它要求：</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①保洁工作人员统一着工作服。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②垃圾、废弃物按分类要求及时收集，日产日清；化粪池及时清掏，保持常年清洁；垃圾箱（桶）外侧表面清洁、内侧无残留物，无异味。大楼内垃圾收集清运要在每天下班后。</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③节假日保洁要求与平时相同。</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④卫生间洁具、按钮等要安排预防性消毒工作。</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⑤应有专人联络督促管理。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⑥根据采购人安排全年进行不定期大扫除。</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⑦根据疫情常态化防控工作要求，保洁人员必须做好工作区域消毒防疫（做好相关记录）以及个人的各项疫情防控措施等。</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⑧定期开展消毒灭害活动，对窨井、明沟、垃圾桶等定期喷洒药水。</w:t>
      </w:r>
    </w:p>
    <w:p>
      <w:pPr>
        <w:spacing w:line="360" w:lineRule="auto"/>
        <w:ind w:firstLine="480" w:firstLineChars="200"/>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sz w:val="24"/>
          <w:szCs w:val="24"/>
        </w:rPr>
        <w:t>⑨完成采购</w:t>
      </w:r>
      <w:r>
        <w:rPr>
          <w:rFonts w:hint="eastAsia" w:asciiTheme="minorEastAsia" w:hAnsiTheme="minorEastAsia" w:eastAsiaTheme="minorEastAsia" w:cstheme="minorEastAsia"/>
          <w:bCs/>
          <w:color w:val="000000"/>
          <w:sz w:val="24"/>
          <w:szCs w:val="24"/>
        </w:rPr>
        <w:t>人交办的其它保洁服务事项。</w:t>
      </w:r>
    </w:p>
    <w:p>
      <w:pPr>
        <w:pStyle w:val="29"/>
        <w:spacing w:line="360" w:lineRule="auto"/>
        <w:ind w:firstLine="0" w:firstLineChars="0"/>
        <w:textAlignment w:val="center"/>
        <w:rPr>
          <w:rFonts w:hint="eastAsia" w:asciiTheme="minorEastAsia" w:hAnsiTheme="minorEastAsia" w:eastAsiaTheme="minorEastAsia" w:cstheme="minorEastAsia"/>
          <w:b/>
          <w:bCs/>
          <w:color w:val="000000"/>
          <w:spacing w:val="6"/>
          <w:sz w:val="24"/>
          <w:szCs w:val="24"/>
        </w:rPr>
      </w:pPr>
      <w:r>
        <w:rPr>
          <w:rFonts w:hint="eastAsia" w:asciiTheme="minorEastAsia" w:hAnsiTheme="minorEastAsia" w:eastAsiaTheme="minorEastAsia" w:cstheme="minorEastAsia"/>
          <w:b/>
          <w:bCs/>
          <w:color w:val="000000"/>
          <w:spacing w:val="6"/>
          <w:sz w:val="24"/>
          <w:szCs w:val="24"/>
        </w:rPr>
        <w:t xml:space="preserve">   4、客房服务要求</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（1）楼层地面保洁标准：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①保持室内地面洁净光亮，无垃圾水迹污迹。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②烟灰筒(缸)内不得有残留物。</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③各种铜件和电镀件要光亮无尘。</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④门窗玻璃双面洁净光亮，无污迹。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⑤大堂内的装饰物、绿色植物等摆放定位，无尘，盆缸容器干净，无损。</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⑥沙发和座椅茶几摆放整齐、无污、无损。</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（2）卫生间、浴室保洁标准：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①天花板、墙角、灯具目视无灰尘、蜘蛛网。</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②目视墙壁干净，蹲坑、小便器等卫生洁具洁净无异物、无堵塞、无黄渍。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③镜面光亮，无污点，无水迹。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④室内无异味、臭味。</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⑤地面无烟头、纸屑、污渍、积水。</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⑥洗脸池、浴室无污点，无积水。</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⑦房内设施跑冒滴漏及时报告修复。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（3）走廊、步梯、窗户、电梯卫生标准：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①走廊、步梯和电梯地面无垃圾、尘土、无污迹。</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②走廊及电梯墙壁和墙壁饰物、插座盒、消防栓门、标牌、风口等无积尘无污渍。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③窗台、楼梯扶手、栏杆等地方无积尘无污渍。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④门、窗玻璃双面洁净光亮，无污渍和手印。</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⑤垃圾箱内垃圾每日清理，超过80%时立即清理。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⑥天花板、墙角、灯具目视无灰尘、蜘蛛网。</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⑦走廊内花架上、盆景内无积尘垃圾杂物，盆缸等容器干净、无损。</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⑧通道内杂物堆放及时报告清理。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（4）客房整理标准：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①床铺上的被子、枕头等床上用品要按照酒店的标准整理到位；</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②空调、电视机、窗帘等的遥控器要按照指定位置整齐放好；</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③浴巾、毛巾、拖鞋、睡衣、洗漱用品、吹风机等按照酒店管理标准折叠整齐并摆放于相应位置；</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④杂志、宣传册等整齐放于指定位置；</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⑤清点所有相关物品是否完整无缺且能够正常使用，补足一次性使用物品。并做好一次性用品使用情况消耗台账，做好纸质记录备查。</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（5）退房检查标准：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①在接到退房通知后及时对房间进行检查。</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②依据物品清单对客房基础建设和物品进行清点、检查，如有损毁、丢失等情况及时反馈。</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（6）工作时间：</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根据业务情况进行机动排班，需保证24小时有人值守，能够充分提供相应服务。</w:t>
      </w:r>
    </w:p>
    <w:p>
      <w:pPr>
        <w:pStyle w:val="29"/>
        <w:spacing w:line="360" w:lineRule="auto"/>
        <w:ind w:firstLine="0" w:firstLineChars="0"/>
        <w:textAlignment w:val="center"/>
        <w:rPr>
          <w:rFonts w:hint="eastAsia" w:asciiTheme="minorEastAsia" w:hAnsiTheme="minorEastAsia" w:eastAsiaTheme="minorEastAsia" w:cstheme="minorEastAsia"/>
          <w:b/>
          <w:bCs/>
          <w:color w:val="000000"/>
          <w:spacing w:val="6"/>
          <w:sz w:val="24"/>
          <w:szCs w:val="24"/>
        </w:rPr>
      </w:pPr>
      <w:r>
        <w:rPr>
          <w:rFonts w:hint="eastAsia" w:asciiTheme="minorEastAsia" w:hAnsiTheme="minorEastAsia" w:eastAsiaTheme="minorEastAsia" w:cstheme="minorEastAsia"/>
          <w:b/>
          <w:bCs/>
          <w:color w:val="000000"/>
          <w:spacing w:val="6"/>
          <w:sz w:val="24"/>
          <w:szCs w:val="24"/>
        </w:rPr>
        <w:t xml:space="preserve">   5、绿化养护服务要求</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（1）服务内容要求：</w:t>
      </w: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sz w:val="24"/>
          <w:szCs w:val="24"/>
        </w:rPr>
        <w:t>台州市殡仪馆范围内已种绿化苗木和草坪管理；绿化范围内除草、浇水、施肥、病虫害防治、草坪花木修剪、补植、所有</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办公</w:t>
      </w:r>
      <w:r>
        <w:rPr>
          <w:rFonts w:hint="eastAsia" w:asciiTheme="minorEastAsia" w:hAnsiTheme="minorEastAsia" w:eastAsiaTheme="minorEastAsia" w:cstheme="minorEastAsia"/>
          <w:bCs/>
          <w:color w:val="000000" w:themeColor="text1"/>
          <w:sz w:val="24"/>
          <w14:textFill>
            <w14:solidFill>
              <w14:schemeClr w14:val="tx1"/>
            </w14:solidFill>
          </w14:textFill>
        </w:rPr>
        <w:t>区域室内的</w:t>
      </w:r>
      <w:r>
        <w:rPr>
          <w:rFonts w:hint="eastAsia" w:ascii="宋体" w:hAnsi="宋体"/>
          <w:color w:val="000000" w:themeColor="text1"/>
          <w:sz w:val="24"/>
          <w14:textFill>
            <w14:solidFill>
              <w14:schemeClr w14:val="tx1"/>
            </w14:solidFill>
          </w14:textFill>
        </w:rPr>
        <w:t>花木摆放养护和管理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等工作。</w:t>
      </w:r>
    </w:p>
    <w:p>
      <w:pPr>
        <w:spacing w:line="360" w:lineRule="auto"/>
        <w:ind w:firstLine="480" w:firstLineChars="200"/>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（2）服务质量标准：</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①绿地或花坛内各类乔、灌、草等绿化存活率100%。</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②植株修剪及时，做到枝叶紧密、圆整，无脱节、无倾斜，无枯枝死杈。</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③花坛、花景以及门厅花木摆放造型新颖、色彩鲜艳，植物长势良好，无残花、杂草。</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④病虫害防治率100%，危害率低于5%。</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（3）养护技术规范及质量保证要求：</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管养期内，养护管理单位应按照《台州市园林绿化养护管理技术规程》精心管护，安排专人进行动态养护管理，保证在管理期间内的花木、草坪的正常生长，草坪内保证整洁、美观、无杂草、无病虫害，平时修剪好苗木、草坪，提高观赏价值。包括松土除草、整形修剪、浇水、施肥、病虫害防治、缺株补植、清除死树和枯枝，树木绑扎、加土扶正等。</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②重大节日及重大活动期间，养护单位有义务按照我方要求，认真做好管养工作。</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③负责管理期间所用化肥、农药、用具支出费用。</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④若由养护管理单位主观原因导致绿化管理不当的，造成绿化树木、草坪、花卉枯死或损坏，养护单位要及时采取措施进行补救，并承担因此而产生的一切费用；若甲方二次提出整改要求，养护单位仍未做到的，甲方有权根据馆内物业服务考核办法予以处罚。</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（4）其他约定</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①因不可抗拒因素（如由于台风、暴雨、大雪等自然灾害）引发树木突然倒塌、碰线、碰屋，养护管理单位在接到我方通知后应迅速组织力量及时处理，所发生的苗木费及补植费用（含人工、材料费等）由甲方承担。</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②养护区域的绿化小范围更新、改造，非养护管理单位责任补植花卉树木等应我方要求的新增项目，养护管理单位须无偿按我方要求合理布置改造，所发生的苗木费由我方承担。其他诸如馆内建设发展需要等原因需要较大范围迁移、补植绿化苗木，由此所发生的苗木费及补植费用（含人工、材料费等）由我方承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③负责养护工作人员的劳动保护和人身安全，承包期间由于安全事故造成的一切损失由养护</w:t>
      </w:r>
      <w:r>
        <w:rPr>
          <w:rFonts w:hint="eastAsia" w:asciiTheme="minorEastAsia" w:hAnsiTheme="minorEastAsia" w:eastAsiaTheme="minorEastAsia" w:cstheme="minorEastAsia"/>
          <w:sz w:val="24"/>
          <w:szCs w:val="24"/>
        </w:rPr>
        <w:t>管理单位负责。</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④养护管理单位派驻员工必须服从甲方管理，遵守甲方有关规章制度，若有违反，甲方有权进行监督处理并扣除相应的管理费；情节严重的，甲方有权要求更换人员并根据馆内物业服务考核办法予以处罚。</w:t>
      </w:r>
    </w:p>
    <w:p>
      <w:pPr>
        <w:tabs>
          <w:tab w:val="left" w:pos="2340"/>
        </w:tabs>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⑤派驻员工由养护单位按有关法律法规自行招聘并管理，与甲方不发生任何劳动关系。</w:t>
      </w:r>
    </w:p>
    <w:p>
      <w:pPr>
        <w:pStyle w:val="29"/>
        <w:spacing w:line="360" w:lineRule="auto"/>
        <w:ind w:firstLine="0" w:firstLineChars="0"/>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 6、水电工要求</w:t>
      </w:r>
    </w:p>
    <w:p>
      <w:pPr>
        <w:pStyle w:val="29"/>
        <w:spacing w:line="360" w:lineRule="auto"/>
        <w:ind w:firstLine="482"/>
        <w:textAlignment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kern w:val="2"/>
          <w:sz w:val="24"/>
          <w:szCs w:val="24"/>
          <w:lang w:val="en-US" w:eastAsia="zh-CN" w:bidi="ar-SA"/>
        </w:rPr>
        <w:t>▲要求配备2名水电工，水电工需持有高压电工证。日常</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工作纳入馆内设备保障保卫科统一管理，工作时间和安排依照馆内相关管理办法执行。</w:t>
      </w:r>
    </w:p>
    <w:p>
      <w:pPr>
        <w:pStyle w:val="29"/>
        <w:spacing w:line="360" w:lineRule="auto"/>
        <w:ind w:firstLine="0" w:firstLineChars="0"/>
        <w:textAlignment w:val="center"/>
        <w:rPr>
          <w:rFonts w:hint="eastAsia" w:asciiTheme="minorEastAsia" w:hAnsiTheme="minorEastAsia" w:eastAsiaTheme="minorEastAsia" w:cstheme="minorEastAsia"/>
          <w:b/>
          <w:bCs/>
          <w:spacing w:val="6"/>
          <w:sz w:val="24"/>
          <w:szCs w:val="24"/>
        </w:rPr>
      </w:pPr>
      <w:r>
        <w:rPr>
          <w:rFonts w:hint="eastAsia" w:asciiTheme="minorEastAsia" w:hAnsiTheme="minorEastAsia" w:eastAsiaTheme="minorEastAsia" w:cstheme="minorEastAsia"/>
          <w:b/>
          <w:bCs/>
          <w:color w:val="000000"/>
          <w:spacing w:val="6"/>
          <w:sz w:val="24"/>
          <w:szCs w:val="24"/>
        </w:rPr>
        <w:t xml:space="preserve">  </w:t>
      </w:r>
      <w:r>
        <w:rPr>
          <w:rFonts w:hint="eastAsia" w:asciiTheme="minorEastAsia" w:hAnsiTheme="minorEastAsia" w:eastAsiaTheme="minorEastAsia" w:cstheme="minorEastAsia"/>
          <w:b/>
          <w:bCs/>
          <w:spacing w:val="6"/>
          <w:sz w:val="24"/>
          <w:szCs w:val="24"/>
        </w:rPr>
        <w:t xml:space="preserve"> （三）工作衔接要求</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1、主管及保安队长、保洁领班应该与台州市殡仪馆保持必要的工作交流，建立工作反馈机制，受托方每月一次向台州市殡仪馆书面汇报所承担的保安、保洁等工作开展情况及信息反馈，重大情况须及时报告。</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2、做好详细的各类工作记录，原始台帐保存完好，以备采购人和相关部门核查。</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3、完成采购人交办的其它安保、</w:t>
      </w:r>
      <w:r>
        <w:rPr>
          <w:rFonts w:hint="eastAsia" w:asciiTheme="minorEastAsia" w:hAnsiTheme="minorEastAsia" w:eastAsiaTheme="minorEastAsia" w:cstheme="minorEastAsia"/>
          <w:bCs/>
          <w:color w:val="000000"/>
          <w:sz w:val="24"/>
          <w:szCs w:val="24"/>
        </w:rPr>
        <w:t>保洁、绿化养护等</w:t>
      </w:r>
      <w:r>
        <w:rPr>
          <w:rFonts w:hint="eastAsia" w:asciiTheme="minorEastAsia" w:hAnsiTheme="minorEastAsia" w:eastAsiaTheme="minorEastAsia" w:cstheme="minorEastAsia"/>
          <w:bCs/>
          <w:sz w:val="24"/>
          <w:szCs w:val="24"/>
        </w:rPr>
        <w:t>服务事项。</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（四）设备配置及物耗</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1、保安随身使用的装备（如保安服、头盔、雨靴、雨衣、电警棍、辣椒水等）都由中标单位提供。日常易耗品由采购单位提供。</w:t>
      </w:r>
    </w:p>
    <w:p>
      <w:pPr>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color w:val="000000"/>
          <w:sz w:val="24"/>
          <w:szCs w:val="24"/>
        </w:rPr>
        <w:t>2、保洁所需消耗品（如卫生纸、擦手纸、洗手液、垃圾袋</w:t>
      </w:r>
      <w:r>
        <w:rPr>
          <w:rFonts w:hint="eastAsia" w:asciiTheme="minorEastAsia" w:hAnsiTheme="minorEastAsia" w:eastAsiaTheme="minorEastAsia" w:cstheme="minorEastAsia"/>
          <w:b/>
          <w:bCs/>
          <w:color w:val="000000"/>
          <w:sz w:val="24"/>
          <w:szCs w:val="24"/>
        </w:rPr>
        <w:t>、</w:t>
      </w:r>
      <w:r>
        <w:rPr>
          <w:rFonts w:hint="eastAsia" w:asciiTheme="minorEastAsia" w:hAnsiTheme="minorEastAsia" w:eastAsiaTheme="minorEastAsia" w:cstheme="minorEastAsia"/>
          <w:b w:val="0"/>
          <w:bCs w:val="0"/>
          <w:color w:val="000000"/>
          <w:sz w:val="24"/>
          <w:szCs w:val="24"/>
        </w:rPr>
        <w:t>洁厕剂、除臭剂</w:t>
      </w:r>
      <w:r>
        <w:rPr>
          <w:rFonts w:hint="eastAsia" w:asciiTheme="minorEastAsia" w:hAnsiTheme="minorEastAsia" w:eastAsiaTheme="minorEastAsia" w:cstheme="minorEastAsia"/>
          <w:color w:val="000000"/>
          <w:sz w:val="24"/>
          <w:szCs w:val="24"/>
        </w:rPr>
        <w:t>等）由采购单位提供。保洁人员随身使用的装备（如工作服、毛巾、扫把、拖把、玻璃刮等）都由中标单位提供。</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3、客房服务以及客房使用易耗品（如卫生纸、擦手纸、洗手液、垃圾袋、洁厕剂、除臭剂、一次性牙膏牙刷等）由采购单位提供。</w:t>
      </w:r>
    </w:p>
    <w:p>
      <w:pPr>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4、绿化养护所需工具及消耗品（如化肥、除草剂等）都由中标单位提供。</w:t>
      </w:r>
    </w:p>
    <w:p>
      <w:pPr>
        <w:pStyle w:val="10"/>
        <w:rPr>
          <w:rFonts w:hint="eastAsia" w:asciiTheme="minorEastAsia" w:hAnsiTheme="minorEastAsia" w:eastAsiaTheme="minorEastAsia" w:cstheme="minorEastAsia"/>
          <w:color w:val="000000"/>
          <w:kern w:val="2"/>
          <w:sz w:val="24"/>
          <w:szCs w:val="24"/>
          <w:lang w:val="en-US" w:eastAsia="zh-CN" w:bidi="ar-SA"/>
        </w:rPr>
      </w:pPr>
      <w:r>
        <w:rPr>
          <w:rFonts w:hint="eastAsia"/>
        </w:rPr>
        <w:t xml:space="preserve"> </w:t>
      </w:r>
      <w:r>
        <w:rPr>
          <w:rFonts w:hint="eastAsia" w:asciiTheme="minorEastAsia" w:hAnsiTheme="minorEastAsia" w:eastAsiaTheme="minorEastAsia" w:cstheme="minorEastAsia"/>
          <w:color w:val="000000"/>
          <w:kern w:val="2"/>
          <w:sz w:val="24"/>
          <w:szCs w:val="24"/>
          <w:lang w:val="en-US" w:eastAsia="zh-CN" w:bidi="ar-SA"/>
        </w:rPr>
        <w:t xml:space="preserve">   5、疫情防控所需消毒药水、口罩等防疫物资由采购单位提供。</w:t>
      </w:r>
    </w:p>
    <w:p>
      <w:pPr>
        <w:spacing w:line="360" w:lineRule="auto"/>
        <w:rPr>
          <w:rFonts w:ascii="宋体" w:hAnsi="宋体" w:cs="宋体"/>
          <w:b/>
          <w:bCs/>
          <w:sz w:val="24"/>
        </w:rPr>
      </w:pPr>
      <w:r>
        <w:rPr>
          <w:rFonts w:hint="eastAsia" w:ascii="宋体" w:hAnsi="宋体" w:cs="宋体"/>
          <w:b/>
          <w:bCs/>
          <w:sz w:val="24"/>
        </w:rPr>
        <w:t xml:space="preserve">   （五）考核标准</w:t>
      </w:r>
    </w:p>
    <w:p>
      <w:pPr>
        <w:jc w:val="center"/>
        <w:rPr>
          <w:rFonts w:hint="eastAsia" w:ascii="黑体" w:eastAsia="黑体"/>
          <w:sz w:val="30"/>
          <w:szCs w:val="30"/>
        </w:rPr>
      </w:pPr>
      <w:r>
        <w:rPr>
          <w:rFonts w:hint="eastAsia" w:ascii="黑体" w:eastAsia="黑体"/>
          <w:sz w:val="30"/>
          <w:szCs w:val="30"/>
        </w:rPr>
        <w:t>台州市殡仪馆物业服务质量考评办法</w:t>
      </w:r>
    </w:p>
    <w:p>
      <w:pPr>
        <w:pStyle w:val="1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（试行）</w:t>
      </w:r>
    </w:p>
    <w:p>
      <w:pPr>
        <w:rPr>
          <w:rFonts w:hint="eastAsia"/>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为强化劳动纪律，提高服务水平，规范服务流程，保证物业服务质量，确保台州市殡仪馆有一个良好的工作秩序和舒适的治丧环境，特制订本量化考评办法。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日常服务中对未履行工作职责或履职不到位的具体表现（以现场查看为准）采用量化记分措施（定期或不定期检查），每月考核总分为100分，每月考核95（含）-100分的，全额计付应付资金；90（含）-94分的，扣除每月应付金额的1%；85（含）-89分的，扣除每月应付金额的2%；80（含）-84分的，扣除每月应付金额的3%；75（含）-79分的，扣除每月应付金额的5%；70分（含）-74分的，扣除每月应付金额的7%；60分（含）--69分的，扣除每月应付金额的9%，60分以下，不予支付每月应付金额。年度中有单月考核分60分以下或者三个月考核分扣除之和超过100分的业主方有权中止合同并没收履约保证金（标准如下，在实施过程中，业主有权对考核标准进行再细化）。情节恶劣影响较大的，除扣分外相关单位须更换服务人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附件</w:t>
      </w:r>
    </w:p>
    <w:p>
      <w:pPr>
        <w:spacing w:line="360" w:lineRule="auto"/>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color w:val="000000"/>
          <w:sz w:val="30"/>
          <w:szCs w:val="30"/>
        </w:rPr>
        <w:t>台州市殡仪馆物业服务质量考核量化标准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一、仪容仪表</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1、姿态、精神、仪容、仪表不佳，不按规定着装、佩戴装备。</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2、衣衫不整，工作服装太脏，个人卫生差。</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3、不穿袜子，鞋子太脏或穿拖鞋。</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4、佩戴与工作服无关装饰物品。</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5、工作过程中不注意文明礼节、说脏话及口头语、吵架、打架。</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6、在岗位执勤时不注意站姿坐姿，出现靠、托姿势。</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（以上每项发现一次扣1分）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二、工作纪律</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上班迟到、早退、脱岗、串岗、私自外出。未按时交接班，工作时出现人员迟到、早退、脱岗、串岗、不请假或不经批准私自外出现象，请假后不按时返回。工作及值班期间不忠于职守、坚守岗位、履行职责。值勤时没有做好工作记录，没有详细记录工作中发生的事情、填写物流记录及门岗来人来访登记，做与工作无关的事情。</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2、不服从工作指令，对上级不尊重，不团结同事。</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3、没有认真履行职责，对管辖内的各种动态未及时上报，发现情况未按规定的各类预案或应急方案处置。</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4、没有良好的职业道德，泄露单位秘密。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5、在公共场所拾到物品，不主动上交单位，不肯交还失主。</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6、私拿别人物品。</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7、在岗位上睡觉、吃零食、玩手机，在工作岗位上用餐或工作时间用餐，做与工作无关的事情。</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8、发生不安全情况或发现不安全苗头，不及时制止或上报。</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9、根据国家法律、法规及安保管理相关条例及单位特点，未完善各类管理台帐记录。</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10、不遵守服务单位和台州市殡仪馆各项规章制度及操作规程，没有严格执行单位下达的各项长期与临时任务，对任务不能及时执行落实。</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11、上班期间喝酒。</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（1-10每项发现一次扣1分，造成后果的每项发现一次扣5分，造成严重后果的每项发现一次扣10分，第11项发现一次扣10分）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三、工作内容</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（一）卫生保洁工作</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1、卫生间地面有积水、污痕、杂物，墙面瓷片、门窗有明显灰尘。小便池、蹲坑未清洗保洁或有明显异味。</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2、楼层地面不及时拖洗保洁。</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3、楼梯、扶手未擦拭干净，有灰尘。</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4、垃圾桶垃圾满装不及时清理，垃圾桶外观有明显污迹、灰尘。</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5、楼道墙角、天花板有蜘蛛网。</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6、各处的玻璃（门、窗及镜面）有明显积尘、指印、污迹。</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7、卫生间用品未及时补充影响使用。</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8、通道地面垃圾堆积未及时清理。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9、楼道、公共休息室、停车场路面、绿化带等公共场所中有瓜皮、果壳、烟头等明显杂物。</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10、标识牌、消防栓、公用门等设施目视有污痕、灰尘。</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11、礼厅、集中守灵室卫生不及时打扫，影响使用。</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12、客房退房后卫生不及时清理，影响使用。</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（以上每项发现一次扣1分）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（二）安保工作</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服务单位应每年组织一次保安人员业务培训并且做好记录工作，确保队员熟练掌握以下业务内容：</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1、组织开展消防安全培训（消防灭火器理论、消火栓操作理论、消防安全教育理论）。</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2、组织开展消防灭火等各项技能训练（防毒面具使用、消防灭火器使用、消防水带使用）。</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3、进行交通秩序指挥引导动作培训。</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4、进行防恐**内容培训（各种警械的使用）。</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5、组织开展执勤方面知识业务培训（台州市殡仪馆各项制度、岗位行为规范动作及用语、队员岗前培训）。</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（未组织培训，在每年最后1个月每项扣2分）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出现下列情形，每项发现一次扣1分（以临时检查为准）：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1、未对保安人员依照劳动法规定制定轮值表作出精细安排并严格执行。</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2、保安人员对于消防设施、应急通道、各类预案等了解掌握不熟练。</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3、没按科室要求积极组织队员进行专业培训和体能训练，以提高个人能力及个人综合素质。</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4、值班室内警械摆放不整齐，或者出现故意损坏警械行为。</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5、值班人员未按规定对报警设施进行布防、撤防。</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6、值班室卫生不干净，物品摆放杂乱，空调、风扇有灰尘。</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7、垃圾桶未及时清理，垃圾桶外表不干净。</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8、床上东西堆放杂乱。</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9、出现外来人员无故进入值班室情况。</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四、其他</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1、出现因工作不到位被领导批评。</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2、因工作失误被群众投诉。</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3、被领导批评后不及时整改。</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4、被上级业务主管部门及检查组通报。</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5、造成严重后果，</w:t>
      </w:r>
      <w:r>
        <w:rPr>
          <w:rFonts w:hint="eastAsia" w:asciiTheme="minorEastAsia" w:hAnsiTheme="minorEastAsia" w:eastAsiaTheme="minorEastAsia" w:cstheme="minorEastAsia"/>
          <w:sz w:val="24"/>
          <w:szCs w:val="24"/>
        </w:rPr>
        <w:t>情节恶劣、影响较大或被媒体曝光。</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（1-2每项发现一次扣3分，第3项发现一次扣5分，第4项发现一次扣10分，第5项视情严肃处理）</w:t>
      </w:r>
    </w:p>
    <w:p>
      <w:pPr>
        <w:spacing w:line="360" w:lineRule="auto"/>
        <w:ind w:firstLine="480" w:firstLineChars="200"/>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（注：若违规违纪行为不在上述所列范围，采购人可根据馆内相关管理规定视情节予以处理。）</w:t>
      </w:r>
    </w:p>
    <w:p>
      <w:pPr>
        <w:numPr>
          <w:ilvl w:val="0"/>
          <w:numId w:val="0"/>
        </w:numPr>
        <w:rPr>
          <w:rFonts w:hint="eastAsia" w:ascii="宋体" w:hAnsi="宋体" w:cs="宋体"/>
          <w:bCs/>
          <w:sz w:val="24"/>
        </w:rPr>
      </w:pPr>
      <w:r>
        <w:rPr>
          <w:rFonts w:hint="eastAsia" w:ascii="黑体" w:hAnsi="黑体" w:eastAsia="黑体"/>
          <w:b/>
          <w:sz w:val="32"/>
          <w:szCs w:val="32"/>
          <w:lang w:eastAsia="zh-CN"/>
        </w:rPr>
        <w:t>三、</w:t>
      </w:r>
      <w:r>
        <w:rPr>
          <w:rFonts w:hint="eastAsia" w:ascii="黑体" w:hAnsi="黑体" w:eastAsia="黑体"/>
          <w:b/>
          <w:sz w:val="32"/>
          <w:szCs w:val="32"/>
        </w:rPr>
        <w:t>商务要求</w:t>
      </w:r>
      <w:r>
        <w:rPr>
          <w:rFonts w:hint="eastAsia" w:ascii="宋体" w:hAnsi="宋体" w:cs="宋体"/>
          <w:bCs/>
          <w:sz w:val="24"/>
        </w:rPr>
        <w:t xml:space="preserve"> </w:t>
      </w:r>
      <w:r>
        <w:rPr>
          <w:rFonts w:hint="eastAsia" w:ascii="宋体" w:hAnsi="宋体" w:cs="宋体"/>
          <w:bCs/>
          <w:sz w:val="24"/>
          <w:lang w:eastAsia="zh-CN"/>
        </w:rPr>
        <w:t>：</w:t>
      </w:r>
    </w:p>
    <w:p>
      <w:pPr>
        <w:spacing w:line="360" w:lineRule="auto"/>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lang w:eastAsia="zh-CN"/>
        </w:rPr>
        <w:t>服务</w:t>
      </w:r>
      <w:r>
        <w:rPr>
          <w:rFonts w:hint="eastAsia" w:asciiTheme="minorEastAsia" w:hAnsiTheme="minorEastAsia" w:eastAsiaTheme="minorEastAsia" w:cstheme="minorEastAsia"/>
          <w:color w:val="000000"/>
          <w:sz w:val="24"/>
          <w:szCs w:val="24"/>
        </w:rPr>
        <w:t>期：服务时间签订合同后</w:t>
      </w:r>
      <w:r>
        <w:rPr>
          <w:rFonts w:hint="eastAsia" w:asciiTheme="minorEastAsia" w:hAnsiTheme="minorEastAsia" w:eastAsiaTheme="minorEastAsia" w:cstheme="minorEastAsia"/>
          <w:color w:val="000000"/>
          <w:sz w:val="24"/>
          <w:szCs w:val="24"/>
          <w:lang w:eastAsia="zh-CN"/>
        </w:rPr>
        <w:t>一年</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年至202</w:t>
      </w: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年，具体日期以合同签订时间为准</w:t>
      </w:r>
      <w:r>
        <w:rPr>
          <w:rFonts w:hint="eastAsia" w:asciiTheme="minorEastAsia" w:hAnsiTheme="minorEastAsia" w:eastAsiaTheme="minorEastAsia" w:cstheme="minorEastAsia"/>
          <w:color w:val="000000"/>
          <w:sz w:val="24"/>
          <w:szCs w:val="24"/>
          <w:lang w:eastAsia="zh-CN"/>
        </w:rPr>
        <w:t>。</w:t>
      </w:r>
    </w:p>
    <w:p>
      <w:p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2、服务地点：台州市路桥区桐屿街道下岭村台州市殡仪馆指定地方。</w:t>
      </w:r>
    </w:p>
    <w:p>
      <w:pPr>
        <w:pStyle w:val="2"/>
        <w:numPr>
          <w:ilvl w:val="0"/>
          <w:numId w:val="0"/>
        </w:numPr>
        <w:spacing w:line="360" w:lineRule="auto"/>
        <w:ind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3、付款条件：</w:t>
      </w:r>
    </w:p>
    <w:p>
      <w:pPr>
        <w:pStyle w:val="2"/>
        <w:numPr>
          <w:ilvl w:val="0"/>
          <w:numId w:val="0"/>
        </w:numPr>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合同签订之日起15日内支付合同金额的20%作为预付款；</w:t>
      </w:r>
      <w:r>
        <w:rPr>
          <w:rFonts w:hint="eastAsia" w:asciiTheme="minorEastAsia" w:hAnsiTheme="minorEastAsia" w:eastAsiaTheme="minorEastAsia" w:cstheme="minorEastAsia"/>
          <w:kern w:val="0"/>
          <w:sz w:val="24"/>
          <w:szCs w:val="24"/>
          <w:lang w:val="en-US" w:eastAsia="zh-CN" w:bidi="ar-SA"/>
        </w:rPr>
        <w:t>剩余款项按季度结算，结合当季度每月考核情况支付费用，</w:t>
      </w:r>
      <w:r>
        <w:rPr>
          <w:rFonts w:hint="eastAsia" w:asciiTheme="minorEastAsia" w:hAnsiTheme="minorEastAsia" w:eastAsiaTheme="minorEastAsia" w:cstheme="minorEastAsia"/>
          <w:color w:val="000000"/>
          <w:sz w:val="24"/>
          <w:szCs w:val="24"/>
        </w:rPr>
        <w:t>在次月18号前付清上期的服务费用(遇节假日顺延)。</w:t>
      </w:r>
    </w:p>
    <w:p>
      <w:pPr>
        <w:spacing w:line="360" w:lineRule="auto"/>
        <w:ind w:firstLine="480" w:firstLineChars="200"/>
        <w:rPr>
          <w:rFonts w:hint="eastAsia"/>
          <w:lang w:eastAsia="zh-CN"/>
        </w:rPr>
      </w:pPr>
      <w:r>
        <w:rPr>
          <w:rFonts w:hint="eastAsia" w:asciiTheme="minorEastAsia" w:hAnsiTheme="minorEastAsia" w:eastAsiaTheme="minorEastAsia" w:cstheme="minorEastAsia"/>
          <w:color w:val="000000"/>
          <w:sz w:val="24"/>
          <w:szCs w:val="24"/>
        </w:rPr>
        <w:t>（2）结算时乙方须向甲方提供增值税专用发票，甲方收到发票之后安排付款，本合同执行中相关的一切税费均由乙方负担。乙方不提供、逾期提供或提供的票据不符合合同及规范要求的，甲方付款顺延且不视为违约。</w:t>
      </w:r>
    </w:p>
    <w:p>
      <w:pPr>
        <w:numPr>
          <w:ilvl w:val="0"/>
          <w:numId w:val="7"/>
        </w:num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履约保证金：支付年度合同总价款的2.5%作为履约保证金，在服务期满后退还。</w:t>
      </w:r>
    </w:p>
    <w:p>
      <w:pPr>
        <w:numPr>
          <w:ilvl w:val="0"/>
          <w:numId w:val="7"/>
        </w:num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zh-CN" w:eastAsia="zh-CN"/>
        </w:rPr>
        <w:t>供应商需提供临时保卫服务承诺函，承诺函需对临时保卫工资单价（元</w:t>
      </w:r>
      <w:r>
        <w:rPr>
          <w:rFonts w:hint="eastAsia" w:asciiTheme="minorEastAsia" w:hAnsiTheme="minorEastAsia" w:eastAsiaTheme="minorEastAsia" w:cstheme="minorEastAsia"/>
          <w:color w:val="000000"/>
          <w:sz w:val="24"/>
          <w:szCs w:val="24"/>
          <w:lang w:val="en-US" w:eastAsia="zh-CN"/>
        </w:rPr>
        <w:t>/人/日</w:t>
      </w:r>
      <w:r>
        <w:rPr>
          <w:rFonts w:hint="eastAsia" w:asciiTheme="minorEastAsia" w:hAnsiTheme="minorEastAsia" w:eastAsiaTheme="minorEastAsia" w:cstheme="minorEastAsia"/>
          <w:color w:val="000000"/>
          <w:sz w:val="24"/>
          <w:szCs w:val="24"/>
          <w:lang w:val="zh-CN" w:eastAsia="zh-CN"/>
        </w:rPr>
        <w:t>）进行报价</w:t>
      </w:r>
      <w:r>
        <w:rPr>
          <w:rFonts w:hint="eastAsia" w:asciiTheme="minorEastAsia" w:hAnsiTheme="minorEastAsia" w:eastAsiaTheme="minorEastAsia" w:cstheme="minorEastAsia"/>
          <w:color w:val="000000"/>
          <w:sz w:val="24"/>
          <w:szCs w:val="24"/>
          <w:lang w:val="en-US" w:eastAsia="zh-CN"/>
        </w:rPr>
        <w:t>，格式如下：临时保卫报价：      元/人/天（每天工作时间按8小时计算）。（注：临时保卫价格纳入商务技术评分）</w:t>
      </w: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both"/>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both"/>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u w:val="single"/>
          <w:lang w:val="en-US" w:eastAsia="zh-CN"/>
        </w:rPr>
        <w:t>8</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0"/>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2"/>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0"/>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0"/>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pStyle w:val="9"/>
        <w:spacing w:line="360" w:lineRule="auto"/>
        <w:ind w:firstLine="480" w:firstLineChars="200"/>
        <w:jc w:val="both"/>
        <w:rPr>
          <w:rFonts w:hint="eastAsia" w:ascii="宋体" w:hAnsi="宋体" w:eastAsia="宋体" w:cs="宋体"/>
          <w:sz w:val="24"/>
          <w:lang w:eastAsia="zh-CN"/>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9"/>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hint="eastAsia"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给予6%-10%的扣除，用扣除后的价格计算评标基准价和投标报价。联合体各方均为小微企业的，联合体视同为小微企业，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给予6%-10%的扣除；联合协议或者分包意向协议约定小微企业的合同份额占到合同总金额30%以上的，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给予2%</w:t>
      </w:r>
      <w:r>
        <w:rPr>
          <w:rFonts w:hint="eastAsia" w:ascii="宋体"/>
          <w:color w:val="000000"/>
          <w:sz w:val="24"/>
        </w:rPr>
        <w:t>-3%</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21"/>
        <w:ind w:left="0" w:leftChars="0" w:firstLine="723" w:firstLineChars="300"/>
        <w:rPr>
          <w:rFonts w:hint="eastAsia"/>
          <w:lang w:val="zh-CN"/>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9"/>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22"/>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color w:val="000000" w:themeColor="text1"/>
                <w:lang w:eastAsia="zh-CN"/>
                <w14:textFill>
                  <w14:solidFill>
                    <w14:schemeClr w14:val="tx1"/>
                  </w14:solidFill>
                </w14:textFill>
              </w:rPr>
              <w:t>（根据附件</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授权委托书</w:t>
            </w:r>
            <w:r>
              <w:rPr>
                <w:rFonts w:hint="eastAsia"/>
                <w:color w:val="000000" w:themeColor="text1"/>
                <w:lang w:val="en-US" w:eastAsia="zh-CN"/>
                <w14:textFill>
                  <w14:solidFill>
                    <w14:schemeClr w14:val="tx1"/>
                  </w14:solidFill>
                </w14:textFill>
              </w:rPr>
              <w:t>》填报</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按投标文件格式填报设备及专业技术能力情况（根据附件5《投标人基本情况表》和附件6《项目实施人员一览表》填报）。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lang w:eastAsia="zh-CN"/>
                <w14:textFill>
                  <w14:solidFill>
                    <w14:schemeClr w14:val="tx1"/>
                  </w14:solidFill>
                </w14:textFill>
              </w:rPr>
              <w:t>提供</w:t>
            </w:r>
            <w:r>
              <w:rPr>
                <w:rFonts w:hint="eastAsia"/>
                <w:color w:val="000000" w:themeColor="text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color w:val="000000" w:themeColor="text1"/>
                <w14:textFill>
                  <w14:solidFill>
                    <w14:schemeClr w14:val="tx1"/>
                  </w14:solidFill>
                </w14:textFill>
              </w:rPr>
              <w:t>参加</w:t>
            </w:r>
            <w:r>
              <w:rPr>
                <w:rFonts w:hint="eastAsia"/>
                <w:color w:val="000000" w:themeColor="text1"/>
                <w:lang w:eastAsia="zh-CN"/>
                <w14:textFill>
                  <w14:solidFill>
                    <w14:schemeClr w14:val="tx1"/>
                  </w14:solidFill>
                </w14:textFill>
              </w:rPr>
              <w:t>本次</w:t>
            </w:r>
            <w:r>
              <w:rPr>
                <w:rFonts w:hint="eastAsia"/>
                <w:color w:val="000000" w:themeColor="text1"/>
                <w14:textFill>
                  <w14:solidFill>
                    <w14:schemeClr w14:val="tx1"/>
                  </w14:solidFill>
                </w14:textFill>
              </w:rPr>
              <w:t>采购活动前3年内，在经营活动中没有重大违法记录</w:t>
            </w:r>
            <w:r>
              <w:rPr>
                <w:rFonts w:hint="eastAsia"/>
                <w:color w:val="000000" w:themeColor="text1"/>
                <w:lang w:eastAsia="zh-CN"/>
                <w14:textFill>
                  <w14:solidFill>
                    <w14:schemeClr w14:val="tx1"/>
                  </w14:solidFill>
                </w14:textFill>
              </w:rPr>
              <w:t>（根据附件</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投标声明书</w:t>
            </w:r>
            <w:r>
              <w:rPr>
                <w:rFonts w:hint="eastAsia"/>
                <w:color w:val="000000" w:themeColor="text1"/>
                <w:lang w:val="en-US" w:eastAsia="zh-CN"/>
                <w14:textFill>
                  <w14:solidFill>
                    <w14:schemeClr w14:val="tx1"/>
                  </w14:solidFill>
                </w14:textFill>
              </w:rPr>
              <w:t>》</w:t>
            </w:r>
            <w:r>
              <w:rPr>
                <w:rFonts w:hint="eastAsia"/>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（提供</w:t>
            </w:r>
            <w:r>
              <w:rPr>
                <w:rFonts w:hint="eastAsia"/>
                <w:color w:val="000000" w:themeColor="text1"/>
                <w:lang w:eastAsia="zh-CN"/>
                <w14:textFill>
                  <w14:solidFill>
                    <w14:schemeClr w14:val="tx1"/>
                  </w14:solidFill>
                </w14:textFill>
              </w:rPr>
              <w:t>营业执照</w:t>
            </w:r>
            <w:r>
              <w:rPr>
                <w:rFonts w:hint="eastAsia"/>
                <w:color w:val="000000" w:themeColor="text1"/>
                <w14:textFill>
                  <w14:solidFill>
                    <w14:schemeClr w14:val="tx1"/>
                  </w14:solidFill>
                </w14:textFill>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截止时点：</w:t>
            </w:r>
            <w:r>
              <w:rPr>
                <w:rFonts w:hint="eastAsia"/>
                <w:color w:val="000000" w:themeColor="text1"/>
                <w14:textFill>
                  <w14:solidFill>
                    <w14:schemeClr w14:val="tx1"/>
                  </w14:solidFill>
                </w14:textFill>
              </w:rPr>
              <w:t>开标后评标前</w:t>
            </w:r>
            <w:r>
              <w:rPr>
                <w:color w:val="000000" w:themeColor="text1"/>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信用信息查询记录和证据留存的具体方式：由采购组织机构在规定查询时间内打印信用信息查询记录并归入项目档案。</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 xml:space="preserve">    3.</w:t>
            </w:r>
            <w:r>
              <w:rPr>
                <w:color w:val="000000" w:themeColor="text1"/>
                <w14:textFill>
                  <w14:solidFill>
                    <w14:schemeClr w14:val="tx1"/>
                  </w14:solidFill>
                </w14:textFill>
              </w:rPr>
              <w:t>使用规则</w:t>
            </w:r>
            <w:r>
              <w:rPr>
                <w:rFonts w:hint="eastAsia"/>
                <w:color w:val="000000" w:themeColor="text1"/>
                <w14:textFill>
                  <w14:solidFill>
                    <w14:schemeClr w14:val="tx1"/>
                  </w14:solidFill>
                </w14:textFill>
              </w:rPr>
              <w:t>：投标人</w:t>
            </w:r>
            <w:r>
              <w:rPr>
                <w:color w:val="000000" w:themeColor="text1"/>
                <w14:textFill>
                  <w14:solidFill>
                    <w14:schemeClr w14:val="tx1"/>
                  </w14:solidFill>
                </w14:textFill>
              </w:rPr>
              <w:t>未被列入“信用中国”失信被执行人或重大税收违法案件当事人名单；</w:t>
            </w:r>
            <w:r>
              <w:rPr>
                <w:rFonts w:hint="eastAsia"/>
                <w:color w:val="000000" w:themeColor="text1"/>
                <w14:textFill>
                  <w14:solidFill>
                    <w14:schemeClr w14:val="tx1"/>
                  </w14:solidFill>
                </w14:textFill>
              </w:rPr>
              <w:t>未</w:t>
            </w:r>
            <w:r>
              <w:rPr>
                <w:color w:val="000000" w:themeColor="text1"/>
                <w14:textFill>
                  <w14:solidFill>
                    <w14:schemeClr w14:val="tx1"/>
                  </w14:solidFill>
                </w14:textFill>
              </w:rPr>
              <w:t>处于“中国政府采购网”政府采购严重违法失信行为信息记录中的禁止参加政府采购活动期间（以联合体形式投标时，联合体各方均须满足该条款）</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1.单位负责人为同一人或者存在直接控股、管理关系的不同供应商，不得同时参加本项目投标。</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本项目不接受/接受联合体投标（以联合体形式投标时，提交《联合体共同投标协议书》原件扫描件）。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Cs w:val="21"/>
                <w14:textFill>
                  <w14:solidFill>
                    <w14:schemeClr w14:val="tx1"/>
                  </w14:solidFill>
                </w14:textFill>
              </w:rPr>
            </w:pPr>
            <w:r>
              <w:rPr>
                <w:rFonts w:hint="eastAsia"/>
                <w:color w:val="000000" w:themeColor="text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根据实际情形设置。</w:t>
            </w:r>
          </w:p>
          <w:p>
            <w:pPr>
              <w:rPr>
                <w:rFonts w:hint="eastAsia" w:ascii="宋体" w:hAnsi="宋体" w:eastAsia="宋体" w:cs="宋体"/>
                <w:color w:val="000000" w:themeColor="text1"/>
                <w:spacing w:val="0"/>
                <w:w w:val="100"/>
                <w:szCs w:val="21"/>
                <w14:textFill>
                  <w14:solidFill>
                    <w14:schemeClr w14:val="tx1"/>
                  </w14:solidFill>
                </w14:textFill>
              </w:rPr>
            </w:pP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22"/>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9"/>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tbl>
      <w:tblPr>
        <w:tblStyle w:val="22"/>
        <w:tblW w:w="9946" w:type="dxa"/>
        <w:tblInd w:w="-171" w:type="dxa"/>
        <w:tblLayout w:type="fixed"/>
        <w:tblCellMar>
          <w:top w:w="0" w:type="dxa"/>
          <w:left w:w="108" w:type="dxa"/>
          <w:bottom w:w="0" w:type="dxa"/>
          <w:right w:w="108" w:type="dxa"/>
        </w:tblCellMar>
      </w:tblPr>
      <w:tblGrid>
        <w:gridCol w:w="740"/>
        <w:gridCol w:w="667"/>
        <w:gridCol w:w="7856"/>
        <w:gridCol w:w="683"/>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项目</w:t>
            </w:r>
          </w:p>
        </w:tc>
        <w:tc>
          <w:tcPr>
            <w:tcW w:w="8523"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lang w:eastAsia="zh-CN"/>
                <w14:textFill>
                  <w14:solidFill>
                    <w14:schemeClr w14:val="tx1"/>
                  </w14:solidFill>
                </w14:textFill>
              </w:rPr>
              <w:t>评分</w:t>
            </w:r>
            <w:r>
              <w:rPr>
                <w:rFonts w:hint="eastAsia"/>
                <w:b/>
                <w:bCs/>
                <w:color w:val="000000" w:themeColor="text1"/>
                <w14:textFill>
                  <w14:solidFill>
                    <w14:schemeClr w14:val="tx1"/>
                  </w14:solidFill>
                </w14:textFill>
              </w:rPr>
              <w:t>细则</w:t>
            </w:r>
          </w:p>
        </w:tc>
        <w:tc>
          <w:tcPr>
            <w:tcW w:w="683"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CellMar>
            <w:top w:w="0" w:type="dxa"/>
            <w:left w:w="108" w:type="dxa"/>
            <w:bottom w:w="0" w:type="dxa"/>
            <w:right w:w="108" w:type="dxa"/>
          </w:tblCellMar>
        </w:tblPrEx>
        <w:trPr>
          <w:trHeight w:val="1838"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spacing w:line="240" w:lineRule="auto"/>
              <w:jc w:val="cente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8"/>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8"/>
              <w:rPr>
                <w:rFonts w:hint="eastAsia"/>
                <w:b/>
                <w:bCs/>
                <w:color w:val="000000" w:themeColor="text1"/>
                <w14:textFill>
                  <w14:solidFill>
                    <w14:schemeClr w14:val="tx1"/>
                  </w14:solidFill>
                </w14:textFill>
              </w:rPr>
            </w:pPr>
          </w:p>
          <w:p>
            <w:pPr>
              <w:rPr>
                <w:rFonts w:hint="eastAsia"/>
                <w:b/>
                <w:bCs/>
                <w:color w:val="000000" w:themeColor="text1"/>
                <w14:textFill>
                  <w14:solidFill>
                    <w14:schemeClr w14:val="tx1"/>
                  </w14:solidFill>
                </w14:textFill>
              </w:rPr>
            </w:pPr>
          </w:p>
          <w:p>
            <w:pPr>
              <w:pStyle w:val="21"/>
              <w:rPr>
                <w:rFonts w:hint="eastAsia"/>
                <w:b/>
                <w:bCs/>
                <w:color w:val="000000" w:themeColor="text1"/>
                <w14:textFill>
                  <w14:solidFill>
                    <w14:schemeClr w14:val="tx1"/>
                  </w14:solidFill>
                </w14:textFill>
              </w:rPr>
            </w:pPr>
          </w:p>
          <w:p>
            <w:pPr>
              <w:pStyle w:val="8"/>
              <w:rPr>
                <w:rFonts w:hint="eastAsia"/>
              </w:rPr>
            </w:pP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技术</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和</w:t>
            </w:r>
          </w:p>
          <w:p>
            <w:pPr>
              <w:spacing w:line="240" w:lineRule="auto"/>
              <w:jc w:val="both"/>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w:t>
            </w:r>
          </w:p>
          <w:p>
            <w:pPr>
              <w:spacing w:line="240" w:lineRule="auto"/>
              <w:jc w:val="both"/>
              <w:rPr>
                <w:rFonts w:ascii="宋体" w:hAnsi="宋体" w:cs="Arial"/>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方案</w:t>
            </w:r>
          </w:p>
          <w:p>
            <w:pPr>
              <w:spacing w:line="240" w:lineRule="auto"/>
              <w:jc w:val="both"/>
              <w:rPr>
                <w:b/>
                <w:bCs/>
                <w:color w:val="000000" w:themeColor="text1"/>
                <w14:textFill>
                  <w14:solidFill>
                    <w14:schemeClr w14:val="tx1"/>
                  </w14:solidFill>
                </w14:textFill>
              </w:rPr>
            </w:pPr>
            <w:r>
              <w:rPr>
                <w:rFonts w:hint="eastAsia" w:ascii="宋体" w:hAnsi="宋体" w:cs="Arial"/>
                <w:b/>
                <w:bCs/>
                <w:color w:val="000000" w:themeColor="text1"/>
                <w:szCs w:val="21"/>
                <w:lang w:val="en-US" w:eastAsia="zh-CN"/>
                <w14:textFill>
                  <w14:solidFill>
                    <w14:schemeClr w14:val="tx1"/>
                  </w14:solidFill>
                </w14:textFill>
              </w:rPr>
              <w:t>71</w:t>
            </w:r>
            <w:r>
              <w:rPr>
                <w:rFonts w:hint="eastAsia" w:ascii="宋体" w:hAnsi="宋体" w:cs="Arial"/>
                <w:b/>
                <w:bCs/>
                <w:color w:val="000000" w:themeColor="text1"/>
                <w:szCs w:val="21"/>
                <w14:textFill>
                  <w14:solidFill>
                    <w14:schemeClr w14:val="tx1"/>
                  </w14:solidFill>
                </w14:textFill>
              </w:rPr>
              <w:t>分</w:t>
            </w:r>
          </w:p>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color w:val="000000" w:themeColor="text1"/>
                <w:lang w:val="zh-CN" w:eastAsia="zh-CN"/>
                <w14:textFill>
                  <w14:solidFill>
                    <w14:schemeClr w14:val="tx1"/>
                  </w14:solidFill>
                </w14:textFill>
              </w:rPr>
            </w:pPr>
            <w:r>
              <w:rPr>
                <w:rFonts w:hint="eastAsia"/>
                <w:color w:val="000000" w:themeColor="text1"/>
                <w14:textFill>
                  <w14:solidFill>
                    <w14:schemeClr w14:val="tx1"/>
                  </w14:solidFill>
                </w14:textFill>
              </w:rPr>
              <w:t>根据项目服务特点及服务质量标准制定项目总体方案</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管理服务理念</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服务定位</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目标责任</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安全</w:t>
            </w:r>
            <w:r>
              <w:rPr>
                <w:rFonts w:hint="eastAsia"/>
                <w:color w:val="000000" w:themeColor="text1"/>
                <w:lang w:eastAsia="zh-CN"/>
                <w14:textFill>
                  <w14:solidFill>
                    <w14:schemeClr w14:val="tx1"/>
                  </w14:solidFill>
                </w14:textFill>
              </w:rPr>
              <w:t>作业</w:t>
            </w:r>
            <w:r>
              <w:rPr>
                <w:rFonts w:hint="eastAsia"/>
                <w:color w:val="000000" w:themeColor="text1"/>
                <w14:textFill>
                  <w14:solidFill>
                    <w14:schemeClr w14:val="tx1"/>
                  </w14:solidFill>
                </w14:textFill>
              </w:rPr>
              <w:t>管理模式</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确保服务的各项措施；6、保密意识和制度；科学合理，符合采购人需求又切实可行</w:t>
            </w:r>
            <w:r>
              <w:rPr>
                <w:rFonts w:hint="eastAsia"/>
                <w:color w:val="000000" w:themeColor="text1"/>
                <w:lang w:val="zh-CN" w:eastAsia="zh-CN"/>
                <w14:textFill>
                  <w14:solidFill>
                    <w14:schemeClr w14:val="tx1"/>
                  </w14:solidFill>
                </w14:textFill>
              </w:rPr>
              <w:t>，依据以上</w:t>
            </w:r>
            <w:r>
              <w:rPr>
                <w:rFonts w:hint="eastAsia"/>
                <w:color w:val="000000" w:themeColor="text1"/>
                <w:lang w:val="en-US" w:eastAsia="zh-CN"/>
                <w14:textFill>
                  <w14:solidFill>
                    <w14:schemeClr w14:val="tx1"/>
                  </w14:solidFill>
                </w14:textFill>
              </w:rPr>
              <w:t>6项方案</w:t>
            </w:r>
            <w:r>
              <w:rPr>
                <w:rFonts w:hint="eastAsia"/>
                <w:color w:val="000000" w:themeColor="text1"/>
                <w14:textFill>
                  <w14:solidFill>
                    <w14:schemeClr w14:val="tx1"/>
                  </w14:solidFill>
                </w14:textFill>
              </w:rPr>
              <w:t>是否符合、完善、全面</w:t>
            </w:r>
            <w:r>
              <w:rPr>
                <w:rFonts w:hint="eastAsia"/>
                <w:color w:val="000000" w:themeColor="text1"/>
                <w:lang w:eastAsia="zh-CN"/>
                <w14:textFill>
                  <w14:solidFill>
                    <w14:schemeClr w14:val="tx1"/>
                  </w14:solidFill>
                </w14:textFill>
              </w:rPr>
              <w:t>、针对及可行</w:t>
            </w:r>
            <w:r>
              <w:rPr>
                <w:rFonts w:hint="eastAsia"/>
                <w:color w:val="000000" w:themeColor="text1"/>
                <w14:textFill>
                  <w14:solidFill>
                    <w14:schemeClr w14:val="tx1"/>
                  </w14:solidFill>
                </w14:textFill>
              </w:rPr>
              <w:t>进行</w:t>
            </w:r>
            <w:r>
              <w:rPr>
                <w:rFonts w:hint="eastAsia"/>
                <w:color w:val="000000" w:themeColor="text1"/>
                <w:lang w:val="zh-CN" w:eastAsia="zh-CN"/>
                <w14:textFill>
                  <w14:solidFill>
                    <w14:schemeClr w14:val="tx1"/>
                  </w14:solidFill>
                </w14:textFill>
              </w:rPr>
              <w:t>分档评分：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w:t>
            </w:r>
            <w:r>
              <w:rPr>
                <w:rFonts w:hint="eastAsia"/>
                <w:color w:val="000000" w:themeColor="text1"/>
                <w:lang w:eastAsia="zh-CN"/>
                <w14:textFill>
                  <w14:solidFill>
                    <w14:schemeClr w14:val="tx1"/>
                  </w14:solidFill>
                </w14:textFill>
              </w:rPr>
              <w:t>方案</w:t>
            </w:r>
            <w:r>
              <w:rPr>
                <w:rFonts w:hint="eastAsia"/>
                <w:color w:val="000000" w:themeColor="text1"/>
                <w14:textFill>
                  <w14:solidFill>
                    <w14:schemeClr w14:val="tx1"/>
                  </w14:solidFill>
                </w14:textFill>
              </w:rPr>
              <w:t>符合采购方需求、</w:t>
            </w:r>
            <w:r>
              <w:rPr>
                <w:rFonts w:hint="eastAsia"/>
                <w:color w:val="000000" w:themeColor="text1"/>
                <w:lang w:eastAsia="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5-3.1</w:t>
            </w:r>
            <w:r>
              <w:rPr>
                <w:rFonts w:hint="eastAsia"/>
                <w:color w:val="000000" w:themeColor="text1"/>
                <w:lang w:val="en-US" w:eastAsia="zh-CN"/>
                <w14:textFill>
                  <w14:solidFill>
                    <w14:schemeClr w14:val="tx1"/>
                  </w14:solidFill>
                </w14:textFill>
              </w:rPr>
              <w:t>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3-1.1</w:t>
            </w:r>
            <w:r>
              <w:rPr>
                <w:rFonts w:hint="eastAsia"/>
                <w:color w:val="000000" w:themeColor="text1"/>
                <w:lang w:val="en-US" w:eastAsia="zh-CN"/>
                <w14:textFill>
                  <w14:solidFill>
                    <w14:schemeClr w14:val="tx1"/>
                  </w14:solidFill>
                </w14:textFill>
              </w:rPr>
              <w:t xml:space="preserve"> 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③方案粗糙、内容缺漏、操作性差的给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r>
              <w:rPr>
                <w:rFonts w:hint="eastAsia"/>
                <w:color w:val="000000" w:themeColor="text1"/>
                <w:lang w:val="en-US" w:eastAsia="zh-CN"/>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5</w:t>
            </w:r>
          </w:p>
        </w:tc>
      </w:tr>
      <w:tr>
        <w:tblPrEx>
          <w:tblCellMar>
            <w:top w:w="0" w:type="dxa"/>
            <w:left w:w="108" w:type="dxa"/>
            <w:bottom w:w="0" w:type="dxa"/>
            <w:right w:w="108" w:type="dxa"/>
          </w:tblCellMar>
        </w:tblPrEx>
        <w:trPr>
          <w:trHeight w:val="78" w:hRule="atLeast"/>
        </w:trPr>
        <w:tc>
          <w:tcPr>
            <w:tcW w:w="740" w:type="dxa"/>
            <w:vMerge w:val="continue"/>
            <w:tcBorders>
              <w:left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color w:val="000000" w:themeColor="text1"/>
                <w:lang w:eastAsia="zh-CN"/>
                <w14:textFill>
                  <w14:solidFill>
                    <w14:schemeClr w14:val="tx1"/>
                  </w14:solidFill>
                </w14:textFill>
              </w:rPr>
            </w:pPr>
            <w:r>
              <w:rPr>
                <w:color w:val="000000" w:themeColor="text1"/>
                <w14:textFill>
                  <w14:solidFill>
                    <w14:schemeClr w14:val="tx1"/>
                  </w14:solidFill>
                </w14:textFill>
              </w:rPr>
              <w:t>根据投标人对本项目现状及需求的进行准确的分析，并对项目特点、重点、难点的把握，并提出解决方案或切实可行整改措施，进行分档评分</w:t>
            </w:r>
            <w:r>
              <w:rPr>
                <w:rFonts w:hint="eastAsia"/>
                <w:color w:val="000000" w:themeColor="text1"/>
                <w:lang w:eastAsia="zh-CN"/>
                <w14:textFill>
                  <w14:solidFill>
                    <w14:schemeClr w14:val="tx1"/>
                  </w14:solidFill>
                </w14:textFill>
              </w:rPr>
              <w:t>：</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w:t>
            </w:r>
            <w:r>
              <w:rPr>
                <w:rFonts w:hint="eastAsia"/>
                <w:color w:val="000000" w:themeColor="text1"/>
                <w:lang w:eastAsia="zh-CN"/>
                <w14:textFill>
                  <w14:solidFill>
                    <w14:schemeClr w14:val="tx1"/>
                  </w14:solidFill>
                </w14:textFill>
              </w:rPr>
              <w:t>方案</w:t>
            </w:r>
            <w:r>
              <w:rPr>
                <w:rFonts w:hint="eastAsia"/>
                <w:color w:val="000000" w:themeColor="text1"/>
                <w14:textFill>
                  <w14:solidFill>
                    <w14:schemeClr w14:val="tx1"/>
                  </w14:solidFill>
                </w14:textFill>
              </w:rPr>
              <w:t>符合采购方需求、</w:t>
            </w:r>
            <w:r>
              <w:rPr>
                <w:rFonts w:hint="eastAsia"/>
                <w:color w:val="000000" w:themeColor="text1"/>
                <w:lang w:eastAsia="zh-CN"/>
                <w14:textFill>
                  <w14:solidFill>
                    <w14:schemeClr w14:val="tx1"/>
                  </w14:solidFill>
                </w14:textFill>
              </w:rPr>
              <w:t>详实、内容新颖、操作性强的给</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4-2.1</w:t>
            </w:r>
            <w:r>
              <w:rPr>
                <w:rFonts w:hint="eastAsia"/>
                <w:color w:val="000000" w:themeColor="text1"/>
                <w:lang w:val="en-US" w:eastAsia="zh-CN"/>
                <w14:textFill>
                  <w14:solidFill>
                    <w14:schemeClr w14:val="tx1"/>
                  </w14:solidFill>
                </w14:textFill>
              </w:rPr>
              <w:t>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②方案合理、内容完整、可操作的给</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2-1.1</w:t>
            </w:r>
            <w:r>
              <w:rPr>
                <w:rFonts w:hint="eastAsia"/>
                <w:color w:val="000000" w:themeColor="text1"/>
                <w:lang w:val="en-US" w:eastAsia="zh-CN"/>
                <w14:textFill>
                  <w14:solidFill>
                    <w14:schemeClr w14:val="tx1"/>
                  </w14:solidFill>
                </w14:textFill>
              </w:rPr>
              <w:t xml:space="preserve"> 分；</w:t>
            </w:r>
          </w:p>
          <w:p>
            <w:pPr>
              <w:pStyle w:val="2"/>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③方案粗糙、内容缺漏、操作性差的给 </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r>
              <w:rPr>
                <w:rFonts w:hint="eastAsia"/>
                <w:color w:val="000000" w:themeColor="text1"/>
                <w:lang w:val="en-US" w:eastAsia="zh-CN"/>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cstheme="minorEastAsia"/>
                <w:color w:val="000000" w:themeColor="text1"/>
                <w:lang w:val="en-US" w:eastAsia="zh-CN"/>
                <w14:textFill>
                  <w14:solidFill>
                    <w14:schemeClr w14:val="tx1"/>
                  </w14:solidFill>
                </w14:textFill>
              </w:rPr>
            </w:pPr>
            <w:r>
              <w:rPr>
                <w:rFonts w:hint="eastAsia" w:asciiTheme="minorEastAsia" w:hAnsiTheme="minorEastAsia" w:cstheme="minorEastAsia"/>
                <w:color w:val="000000" w:themeColor="text1"/>
                <w:lang w:val="en-US" w:eastAsia="zh-CN"/>
                <w14:textFill>
                  <w14:solidFill>
                    <w14:schemeClr w14:val="tx1"/>
                  </w14:solidFill>
                </w14:textFill>
              </w:rPr>
              <w:t>4</w:t>
            </w:r>
          </w:p>
        </w:tc>
      </w:tr>
      <w:tr>
        <w:tblPrEx>
          <w:tblCellMar>
            <w:top w:w="0" w:type="dxa"/>
            <w:left w:w="108" w:type="dxa"/>
            <w:bottom w:w="0" w:type="dxa"/>
            <w:right w:w="108" w:type="dxa"/>
          </w:tblCellMar>
        </w:tblPrEx>
        <w:trPr>
          <w:trHeight w:val="172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8"/>
              </w:numPr>
              <w:rPr>
                <w:rFonts w:hint="eastAsia"/>
                <w:color w:val="auto"/>
                <w:lang w:val="zh-CN"/>
              </w:rPr>
            </w:pPr>
            <w:r>
              <w:rPr>
                <w:rFonts w:hint="eastAsia"/>
                <w:color w:val="auto"/>
                <w:lang w:val="zh-CN"/>
              </w:rPr>
              <w:t>安全制度 ；2、服从</w:t>
            </w:r>
            <w:r>
              <w:rPr>
                <w:rFonts w:hint="eastAsia"/>
                <w:color w:val="auto"/>
                <w:lang w:val="zh-CN" w:eastAsia="zh-CN"/>
              </w:rPr>
              <w:t>和</w:t>
            </w:r>
            <w:r>
              <w:rPr>
                <w:rFonts w:hint="eastAsia"/>
                <w:color w:val="auto"/>
                <w:lang w:val="zh-CN"/>
              </w:rPr>
              <w:t>保密制度；3、及时报告和流程闭环管理制度；4、各级人员的管理制度；5、项目部职责和人员岗位职责；6、考勤和考核制度；7、激励机制、监督机制、自我约束机制、信息反馈渠道及处理机制 ；8、问题整改与应急管理制度，根据以上</w:t>
            </w:r>
            <w:r>
              <w:rPr>
                <w:rFonts w:hint="eastAsia"/>
                <w:color w:val="auto"/>
              </w:rPr>
              <w:t>8项</w:t>
            </w:r>
            <w:r>
              <w:rPr>
                <w:rFonts w:hint="eastAsia"/>
                <w:color w:val="auto"/>
                <w:lang w:val="zh-CN"/>
              </w:rPr>
              <w:t>管理制度组织架构是否完善健全</w:t>
            </w:r>
            <w:r>
              <w:rPr>
                <w:rFonts w:hint="eastAsia"/>
                <w:color w:val="auto"/>
              </w:rPr>
              <w:t>，</w:t>
            </w:r>
            <w:r>
              <w:rPr>
                <w:rFonts w:hint="eastAsia"/>
                <w:color w:val="auto"/>
                <w:lang w:val="zh-CN"/>
              </w:rPr>
              <w:t>主要工作流程和闭环管理是否清晰合理，进行分档评分：</w:t>
            </w:r>
          </w:p>
          <w:p>
            <w:pPr>
              <w:numPr>
                <w:ilvl w:val="0"/>
                <w:numId w:val="0"/>
              </w:numPr>
              <w:rPr>
                <w:color w:val="auto"/>
              </w:rPr>
            </w:pPr>
            <w:r>
              <w:rPr>
                <w:rFonts w:hint="eastAsia"/>
                <w:color w:val="auto"/>
              </w:rPr>
              <w:t>①</w:t>
            </w:r>
            <w:r>
              <w:rPr>
                <w:rFonts w:hint="eastAsia"/>
                <w:color w:val="auto"/>
                <w:lang w:val="zh-CN"/>
              </w:rPr>
              <w:t>方案</w:t>
            </w:r>
            <w:r>
              <w:rPr>
                <w:rFonts w:hint="eastAsia"/>
                <w:color w:val="auto"/>
              </w:rPr>
              <w:t>符合采购方需求、</w:t>
            </w:r>
            <w:r>
              <w:rPr>
                <w:rFonts w:hint="eastAsia"/>
                <w:color w:val="auto"/>
                <w:lang w:val="zh-CN"/>
              </w:rPr>
              <w:t>详实、内容新颖给</w:t>
            </w:r>
            <w:r>
              <w:rPr>
                <w:rFonts w:hint="eastAsia"/>
                <w:color w:val="auto"/>
                <w:lang w:val="en-US" w:eastAsia="zh-CN"/>
              </w:rPr>
              <w:t>8</w:t>
            </w:r>
            <w:r>
              <w:rPr>
                <w:rFonts w:hint="eastAsia"/>
                <w:color w:val="auto"/>
              </w:rPr>
              <w:t>-</w:t>
            </w:r>
            <w:r>
              <w:rPr>
                <w:rFonts w:hint="eastAsia"/>
                <w:color w:val="auto"/>
                <w:lang w:val="en-US" w:eastAsia="zh-CN"/>
              </w:rPr>
              <w:t>5.1</w:t>
            </w:r>
            <w:r>
              <w:rPr>
                <w:rFonts w:hint="eastAsia"/>
                <w:color w:val="auto"/>
              </w:rPr>
              <w:t>分；</w:t>
            </w:r>
          </w:p>
          <w:p>
            <w:pPr>
              <w:rPr>
                <w:color w:val="auto"/>
              </w:rPr>
            </w:pPr>
            <w:r>
              <w:rPr>
                <w:rFonts w:hint="eastAsia"/>
                <w:color w:val="auto"/>
              </w:rPr>
              <w:t>②方案基本符合采购方需求、合理、内容完整给</w:t>
            </w:r>
            <w:r>
              <w:rPr>
                <w:rFonts w:hint="eastAsia"/>
                <w:color w:val="auto"/>
                <w:lang w:val="en-US" w:eastAsia="zh-CN"/>
              </w:rPr>
              <w:t>5-2.1</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8</w:t>
            </w:r>
          </w:p>
        </w:tc>
      </w:tr>
      <w:tr>
        <w:tblPrEx>
          <w:tblCellMar>
            <w:top w:w="0" w:type="dxa"/>
            <w:left w:w="108" w:type="dxa"/>
            <w:bottom w:w="0" w:type="dxa"/>
            <w:right w:w="108" w:type="dxa"/>
          </w:tblCellMar>
        </w:tblPrEx>
        <w:trPr>
          <w:trHeight w:val="31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lang w:eastAsia="zh-CN"/>
              </w:rPr>
            </w:pPr>
            <w:r>
              <w:rPr>
                <w:rFonts w:hint="eastAsia"/>
              </w:rPr>
              <w:t>物业管理区域安保消控服务方案</w:t>
            </w:r>
            <w:r>
              <w:rPr>
                <w:rFonts w:hint="eastAsia"/>
                <w:lang w:eastAsia="zh-CN"/>
              </w:rPr>
              <w:t>：</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3-2.1</w:t>
            </w:r>
            <w:r>
              <w:rPr>
                <w:rFonts w:hint="eastAsia"/>
                <w:color w:val="auto"/>
              </w:rPr>
              <w:t>分；</w:t>
            </w:r>
          </w:p>
          <w:p>
            <w:pPr>
              <w:rPr>
                <w:color w:val="auto"/>
              </w:rPr>
            </w:pPr>
            <w:r>
              <w:rPr>
                <w:rFonts w:hint="eastAsia"/>
                <w:color w:val="auto"/>
              </w:rPr>
              <w:t>②方案基本符合采购方需求、合理、内容完整、可操作的给</w:t>
            </w:r>
            <w:r>
              <w:rPr>
                <w:rFonts w:hint="eastAsia"/>
                <w:color w:val="auto"/>
                <w:lang w:val="en-US" w:eastAsia="zh-CN"/>
              </w:rPr>
              <w:t>2-1.1</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③方案粗糙、内容缺漏、操作性差的给</w:t>
            </w:r>
            <w:r>
              <w:rPr>
                <w:rFonts w:hint="eastAsia"/>
                <w:color w:val="auto"/>
                <w:lang w:val="en-US" w:eastAsia="zh-CN"/>
              </w:rPr>
              <w:t>1-0</w:t>
            </w:r>
            <w:r>
              <w:rPr>
                <w:rFonts w:hint="eastAsia"/>
                <w:color w:val="auto"/>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3</w:t>
            </w:r>
          </w:p>
        </w:tc>
      </w:tr>
      <w:tr>
        <w:tblPrEx>
          <w:tblCellMar>
            <w:top w:w="0" w:type="dxa"/>
            <w:left w:w="108" w:type="dxa"/>
            <w:bottom w:w="0" w:type="dxa"/>
            <w:right w:w="108" w:type="dxa"/>
          </w:tblCellMar>
        </w:tblPrEx>
        <w:trPr>
          <w:trHeight w:val="38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rPr>
                <w:color w:val="auto"/>
                <w:sz w:val="21"/>
                <w:szCs w:val="21"/>
                <w:lang w:val="zh-CN"/>
              </w:rPr>
            </w:pPr>
            <w:r>
              <w:rPr>
                <w:rFonts w:hint="eastAsia"/>
              </w:rPr>
              <w:t>物业管理区域</w:t>
            </w:r>
            <w:r>
              <w:rPr>
                <w:rFonts w:hint="eastAsia" w:ascii="宋体" w:hAnsi="宋体" w:cs="宋体"/>
                <w:bCs/>
                <w:color w:val="000000"/>
                <w:sz w:val="21"/>
                <w:szCs w:val="21"/>
                <w:lang w:val="zh-CN"/>
              </w:rPr>
              <w:t>安保秩序及巡查方案：</w:t>
            </w:r>
          </w:p>
          <w:p>
            <w:pPr>
              <w:rPr>
                <w:color w:val="auto"/>
                <w:sz w:val="21"/>
                <w:szCs w:val="21"/>
              </w:rPr>
            </w:pPr>
            <w:r>
              <w:rPr>
                <w:color w:val="auto"/>
                <w:sz w:val="21"/>
                <w:szCs w:val="21"/>
                <w:lang w:val="zh-CN"/>
              </w:rPr>
              <w:fldChar w:fldCharType="begin"/>
            </w:r>
            <w:r>
              <w:rPr>
                <w:color w:val="auto"/>
                <w:sz w:val="21"/>
                <w:szCs w:val="21"/>
                <w:lang w:val="zh-CN"/>
              </w:rPr>
              <w:instrText xml:space="preserve"> </w:instrText>
            </w:r>
            <w:r>
              <w:rPr>
                <w:rFonts w:hint="eastAsia"/>
                <w:color w:val="auto"/>
                <w:sz w:val="21"/>
                <w:szCs w:val="21"/>
                <w:lang w:val="zh-CN"/>
              </w:rPr>
              <w:instrText xml:space="preserve">= 1 \* GB3</w:instrText>
            </w:r>
            <w:r>
              <w:rPr>
                <w:color w:val="auto"/>
                <w:sz w:val="21"/>
                <w:szCs w:val="21"/>
                <w:lang w:val="zh-CN"/>
              </w:rPr>
              <w:instrText xml:space="preserve"> </w:instrText>
            </w:r>
            <w:r>
              <w:rPr>
                <w:color w:val="auto"/>
                <w:sz w:val="21"/>
                <w:szCs w:val="21"/>
                <w:lang w:val="zh-CN"/>
              </w:rPr>
              <w:fldChar w:fldCharType="separate"/>
            </w:r>
            <w:r>
              <w:rPr>
                <w:rFonts w:hint="eastAsia"/>
                <w:color w:val="auto"/>
                <w:sz w:val="21"/>
                <w:szCs w:val="21"/>
                <w:lang w:val="zh-CN"/>
              </w:rPr>
              <w:t>①</w:t>
            </w:r>
            <w:r>
              <w:rPr>
                <w:color w:val="auto"/>
                <w:sz w:val="21"/>
                <w:szCs w:val="21"/>
                <w:lang w:val="zh-CN"/>
              </w:rPr>
              <w:fldChar w:fldCharType="end"/>
            </w:r>
            <w:r>
              <w:rPr>
                <w:rFonts w:hint="eastAsia"/>
                <w:color w:val="auto"/>
                <w:sz w:val="21"/>
                <w:szCs w:val="21"/>
                <w:lang w:val="zh-CN"/>
              </w:rPr>
              <w:t>方案</w:t>
            </w:r>
            <w:r>
              <w:rPr>
                <w:rFonts w:hint="eastAsia"/>
                <w:color w:val="auto"/>
                <w:sz w:val="21"/>
                <w:szCs w:val="21"/>
              </w:rPr>
              <w:t>符合采购方需求、</w:t>
            </w:r>
            <w:r>
              <w:rPr>
                <w:rFonts w:hint="eastAsia"/>
                <w:color w:val="auto"/>
                <w:sz w:val="21"/>
                <w:szCs w:val="21"/>
                <w:lang w:val="zh-CN"/>
              </w:rPr>
              <w:t>详实、内容新颖、操作性强的给</w:t>
            </w:r>
            <w:r>
              <w:rPr>
                <w:rFonts w:hint="eastAsia"/>
                <w:color w:val="auto"/>
                <w:sz w:val="21"/>
                <w:szCs w:val="21"/>
                <w:lang w:val="en-US" w:eastAsia="zh-CN"/>
              </w:rPr>
              <w:t>6</w:t>
            </w:r>
            <w:r>
              <w:rPr>
                <w:rFonts w:hint="eastAsia"/>
                <w:color w:val="auto"/>
                <w:sz w:val="21"/>
                <w:szCs w:val="21"/>
              </w:rPr>
              <w:t>-</w:t>
            </w:r>
            <w:r>
              <w:rPr>
                <w:rFonts w:hint="eastAsia"/>
                <w:color w:val="auto"/>
                <w:sz w:val="21"/>
                <w:szCs w:val="21"/>
                <w:lang w:val="en-US" w:eastAsia="zh-CN"/>
              </w:rPr>
              <w:t>4</w:t>
            </w:r>
            <w:r>
              <w:rPr>
                <w:rFonts w:hint="eastAsia"/>
                <w:color w:val="auto"/>
                <w:sz w:val="21"/>
                <w:szCs w:val="21"/>
              </w:rPr>
              <w:t>.1分；</w:t>
            </w:r>
          </w:p>
          <w:p>
            <w:pPr>
              <w:rPr>
                <w:color w:val="auto"/>
                <w:sz w:val="21"/>
                <w:szCs w:val="21"/>
              </w:rPr>
            </w:pPr>
            <w:r>
              <w:rPr>
                <w:rFonts w:hint="eastAsia"/>
                <w:color w:val="auto"/>
                <w:sz w:val="21"/>
                <w:szCs w:val="21"/>
              </w:rPr>
              <w:t>②方案基本符合采购方需求、合理、内容完整、可操作的给</w:t>
            </w:r>
            <w:r>
              <w:rPr>
                <w:rFonts w:hint="eastAsia"/>
                <w:color w:val="auto"/>
                <w:sz w:val="21"/>
                <w:szCs w:val="21"/>
                <w:lang w:val="en-US" w:eastAsia="zh-CN"/>
              </w:rPr>
              <w:t>4-</w:t>
            </w:r>
            <w:r>
              <w:rPr>
                <w:rFonts w:hint="eastAsia"/>
                <w:color w:val="auto"/>
                <w:sz w:val="21"/>
                <w:szCs w:val="21"/>
              </w:rPr>
              <w:t>2.1分；</w:t>
            </w:r>
          </w:p>
          <w:p>
            <w:pPr>
              <w:pStyle w:val="2"/>
              <w:ind w:left="0" w:leftChars="0" w:firstLine="0" w:firstLineChars="0"/>
              <w:rPr>
                <w:rFonts w:hint="eastAsia"/>
                <w:lang w:eastAsia="zh-CN"/>
              </w:rPr>
            </w:pPr>
            <w:r>
              <w:rPr>
                <w:rFonts w:hint="eastAsia"/>
                <w:color w:val="auto"/>
                <w:sz w:val="21"/>
                <w:szCs w:val="21"/>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default" w:cs="Times New Roman"/>
                <w:color w:val="auto"/>
                <w:lang w:val="en-US" w:eastAsia="zh-CN"/>
              </w:rPr>
            </w:pPr>
            <w:r>
              <w:rPr>
                <w:rFonts w:hint="eastAsia" w:cs="Times New Roman"/>
                <w:color w:val="auto"/>
                <w:lang w:val="en-US" w:eastAsia="zh-CN"/>
              </w:rPr>
              <w:t>6</w:t>
            </w:r>
          </w:p>
        </w:tc>
      </w:tr>
      <w:tr>
        <w:tblPrEx>
          <w:tblCellMar>
            <w:top w:w="0" w:type="dxa"/>
            <w:left w:w="108" w:type="dxa"/>
            <w:bottom w:w="0" w:type="dxa"/>
            <w:right w:w="108" w:type="dxa"/>
          </w:tblCellMar>
        </w:tblPrEx>
        <w:trPr>
          <w:trHeight w:val="40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物业管理区域内保洁服务方案：</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6</w:t>
            </w:r>
            <w:r>
              <w:rPr>
                <w:rFonts w:hint="eastAsia"/>
                <w:color w:val="auto"/>
              </w:rPr>
              <w:t>-</w:t>
            </w:r>
            <w:r>
              <w:rPr>
                <w:rFonts w:hint="eastAsia"/>
                <w:color w:val="auto"/>
                <w:lang w:val="en-US" w:eastAsia="zh-CN"/>
              </w:rPr>
              <w:t>4</w:t>
            </w:r>
            <w:r>
              <w:rPr>
                <w:rFonts w:hint="eastAsia"/>
                <w:color w:val="auto"/>
              </w:rPr>
              <w:t>.1分；</w:t>
            </w:r>
          </w:p>
          <w:p>
            <w:pPr>
              <w:rPr>
                <w:color w:val="auto"/>
              </w:rPr>
            </w:pPr>
            <w:r>
              <w:rPr>
                <w:rFonts w:hint="eastAsia"/>
                <w:color w:val="auto"/>
              </w:rPr>
              <w:t>②方案基本符合采购方需求、合理、内容完整、可操作的给</w:t>
            </w:r>
            <w:r>
              <w:rPr>
                <w:rFonts w:hint="eastAsia"/>
                <w:color w:val="auto"/>
                <w:lang w:val="en-US" w:eastAsia="zh-CN"/>
              </w:rPr>
              <w:t>4-</w:t>
            </w:r>
            <w:r>
              <w:rPr>
                <w:rFonts w:hint="eastAsia"/>
                <w:color w:val="auto"/>
              </w:rPr>
              <w:t>2.1分；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color w:val="auto"/>
              </w:rPr>
              <w:t>③方案粗糙、内容缺漏、操作性差的给2-0分。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6</w:t>
            </w:r>
          </w:p>
        </w:tc>
      </w:tr>
      <w:tr>
        <w:tblPrEx>
          <w:tblCellMar>
            <w:top w:w="0" w:type="dxa"/>
            <w:left w:w="108" w:type="dxa"/>
            <w:bottom w:w="0" w:type="dxa"/>
            <w:right w:w="108" w:type="dxa"/>
          </w:tblCellMar>
        </w:tblPrEx>
        <w:trPr>
          <w:trHeight w:val="103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zh-CN" w:eastAsia="zh-CN"/>
              </w:rPr>
            </w:pPr>
            <w:r>
              <w:rPr>
                <w:rFonts w:hint="eastAsia" w:ascii="Times New Roman" w:hAnsi="Times New Roman" w:eastAsia="宋体" w:cs="Times New Roman"/>
                <w:color w:val="auto"/>
                <w:lang w:val="zh-CN" w:eastAsia="zh-CN"/>
              </w:rPr>
              <w:t>物业管理区域内绿化服务方案：</w:t>
            </w:r>
          </w:p>
          <w:p>
            <w:pPr>
              <w:rPr>
                <w:color w:val="auto"/>
              </w:rPr>
            </w:pPr>
            <w:r>
              <w:rPr>
                <w:color w:val="auto"/>
                <w:lang w:val="zh-CN"/>
              </w:rPr>
              <w:fldChar w:fldCharType="begin"/>
            </w:r>
            <w:r>
              <w:rPr>
                <w:color w:val="auto"/>
                <w:lang w:val="zh-CN"/>
              </w:rPr>
              <w:instrText xml:space="preserve"> </w:instrText>
            </w:r>
            <w:r>
              <w:rPr>
                <w:rFonts w:hint="eastAsia"/>
                <w:color w:val="auto"/>
                <w:lang w:val="zh-CN"/>
              </w:rPr>
              <w:instrText xml:space="preserve">= 1 \* GB3</w:instrText>
            </w:r>
            <w:r>
              <w:rPr>
                <w:color w:val="auto"/>
                <w:lang w:val="zh-CN"/>
              </w:rPr>
              <w:instrText xml:space="preserve"> </w:instrText>
            </w:r>
            <w:r>
              <w:rPr>
                <w:color w:val="auto"/>
                <w:lang w:val="zh-CN"/>
              </w:rPr>
              <w:fldChar w:fldCharType="separate"/>
            </w:r>
            <w:r>
              <w:rPr>
                <w:rFonts w:hint="eastAsia"/>
                <w:color w:val="auto"/>
                <w:lang w:val="zh-CN"/>
              </w:rPr>
              <w:t>①</w:t>
            </w:r>
            <w:r>
              <w:rPr>
                <w:color w:val="auto"/>
                <w:lang w:val="zh-CN"/>
              </w:rPr>
              <w:fldChar w:fldCharType="end"/>
            </w:r>
            <w:r>
              <w:rPr>
                <w:rFonts w:hint="eastAsia"/>
                <w:color w:val="auto"/>
                <w:lang w:val="zh-CN"/>
              </w:rPr>
              <w:t>方案</w:t>
            </w:r>
            <w:r>
              <w:rPr>
                <w:rFonts w:hint="eastAsia"/>
                <w:color w:val="auto"/>
              </w:rPr>
              <w:t>符合采购方需求、</w:t>
            </w:r>
            <w:r>
              <w:rPr>
                <w:rFonts w:hint="eastAsia"/>
                <w:color w:val="auto"/>
                <w:lang w:val="zh-CN"/>
              </w:rPr>
              <w:t>详实、内容新颖、操作性强的给</w:t>
            </w:r>
            <w:r>
              <w:rPr>
                <w:rFonts w:hint="eastAsia"/>
                <w:color w:val="auto"/>
                <w:lang w:val="en-US" w:eastAsia="zh-CN"/>
              </w:rPr>
              <w:t>3-2.1</w:t>
            </w:r>
            <w:r>
              <w:rPr>
                <w:rFonts w:hint="eastAsia"/>
                <w:color w:val="auto"/>
              </w:rPr>
              <w:t>分；</w:t>
            </w:r>
          </w:p>
          <w:p>
            <w:pPr>
              <w:rPr>
                <w:color w:val="auto"/>
              </w:rPr>
            </w:pPr>
            <w:r>
              <w:rPr>
                <w:rFonts w:hint="eastAsia"/>
                <w:color w:val="auto"/>
              </w:rPr>
              <w:t>②方案基本符合采购方需求、合理、内容完整、可操作的给</w:t>
            </w:r>
            <w:r>
              <w:rPr>
                <w:rFonts w:hint="eastAsia"/>
                <w:color w:val="auto"/>
                <w:lang w:val="en-US" w:eastAsia="zh-CN"/>
              </w:rPr>
              <w:t>2-1.1</w:t>
            </w:r>
            <w:r>
              <w:rPr>
                <w:rFonts w:hint="eastAsia"/>
                <w:color w:val="auto"/>
              </w:rPr>
              <w:t>分；</w:t>
            </w:r>
          </w:p>
          <w:p>
            <w:pPr>
              <w:numPr>
                <w:ilvl w:val="0"/>
                <w:numId w:val="0"/>
              </w:numPr>
              <w:spacing w:line="240" w:lineRule="auto"/>
              <w:rPr>
                <w:rFonts w:hint="eastAsia" w:ascii="Times New Roman" w:hAnsi="Times New Roman" w:eastAsia="宋体" w:cs="Times New Roman"/>
                <w:color w:val="auto"/>
                <w:lang w:val="zh-CN" w:eastAsia="zh-CN"/>
              </w:rPr>
            </w:pPr>
            <w:r>
              <w:rPr>
                <w:rFonts w:hint="eastAsia"/>
                <w:color w:val="auto"/>
              </w:rPr>
              <w:t>③方案粗糙、内容缺漏、操作性差的给</w:t>
            </w:r>
            <w:r>
              <w:rPr>
                <w:rFonts w:hint="eastAsia"/>
                <w:color w:val="auto"/>
                <w:lang w:val="en-US" w:eastAsia="zh-CN"/>
              </w:rPr>
              <w:t>1-0</w:t>
            </w:r>
            <w:r>
              <w:rPr>
                <w:rFonts w:hint="eastAsia"/>
                <w:color w:val="auto"/>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3</w:t>
            </w:r>
          </w:p>
        </w:tc>
      </w:tr>
      <w:tr>
        <w:tblPrEx>
          <w:tblCellMar>
            <w:top w:w="0" w:type="dxa"/>
            <w:left w:w="108" w:type="dxa"/>
            <w:bottom w:w="0" w:type="dxa"/>
            <w:right w:w="108" w:type="dxa"/>
          </w:tblCellMar>
        </w:tblPrEx>
        <w:trPr>
          <w:trHeight w:val="67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投标人投入的与本次采购服务需求相关的设备情况（如吸干机、清洗机、抛光机、擦地机、吸水机、擦窗机等等），根据设备情况（品牌、产地、规格、用途的详细说明）要求提供设备照片、进货发票原件扫描件或相关证明。</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①设备先进、使用性能佳、完全满足本次采购服务需求的给</w:t>
            </w:r>
            <w:r>
              <w:rPr>
                <w:rFonts w:hint="eastAsia" w:cs="Times New Roman"/>
                <w:color w:val="auto"/>
                <w:lang w:val="en-US" w:eastAsia="zh-CN"/>
              </w:rPr>
              <w:t>5-3.1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②设备齐全、使用性能一般、基本满足本次采购服务需求的给</w:t>
            </w:r>
            <w:r>
              <w:rPr>
                <w:rFonts w:hint="eastAsia" w:cs="Times New Roman"/>
                <w:color w:val="auto"/>
                <w:lang w:val="en-US" w:eastAsia="zh-CN"/>
              </w:rPr>
              <w:t>3-1.1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③设备简陋、使用性能差、不能基本满足本次采购服务需求的给</w:t>
            </w:r>
            <w:r>
              <w:rPr>
                <w:rFonts w:hint="eastAsia" w:cs="Times New Roman"/>
                <w:color w:val="auto"/>
                <w:lang w:val="en-US" w:eastAsia="zh-CN"/>
              </w:rPr>
              <w:t>1-0</w:t>
            </w:r>
            <w:r>
              <w:rPr>
                <w:rFonts w:hint="eastAsia" w:ascii="Times New Roman" w:hAnsi="Times New Roman" w:eastAsia="宋体" w:cs="Times New Roman"/>
                <w:color w:val="auto"/>
                <w:lang w:val="en-US" w:eastAsia="zh-CN"/>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auto"/>
                <w:lang w:val="en-US" w:eastAsia="zh-CN"/>
              </w:rPr>
              <w:t>5</w:t>
            </w:r>
          </w:p>
        </w:tc>
      </w:tr>
      <w:tr>
        <w:tblPrEx>
          <w:tblCellMar>
            <w:top w:w="0" w:type="dxa"/>
            <w:left w:w="108" w:type="dxa"/>
            <w:bottom w:w="0" w:type="dxa"/>
            <w:right w:w="108" w:type="dxa"/>
          </w:tblCellMar>
        </w:tblPrEx>
        <w:trPr>
          <w:trHeight w:val="56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岗位安排方案：管理人员及服务人员的构成情况及人员数量安排是否</w:t>
            </w:r>
            <w:r>
              <w:rPr>
                <w:rFonts w:hint="eastAsia"/>
                <w:color w:val="000000" w:themeColor="text1"/>
                <w14:textFill>
                  <w14:solidFill>
                    <w14:schemeClr w14:val="tx1"/>
                  </w14:solidFill>
                </w14:textFill>
              </w:rPr>
              <w:t>根据采购人的需求，且</w:t>
            </w:r>
            <w:r>
              <w:rPr>
                <w:rFonts w:hint="eastAsia" w:ascii="Times New Roman" w:hAnsi="Times New Roman" w:eastAsia="宋体" w:cs="Times New Roman"/>
                <w:color w:val="000000" w:themeColor="text1"/>
                <w:lang w:val="en-US" w:eastAsia="zh-CN"/>
                <w14:textFill>
                  <w14:solidFill>
                    <w14:schemeClr w14:val="tx1"/>
                  </w14:solidFill>
                </w14:textFill>
              </w:rPr>
              <w:t>针对及全面性进行综合评分：</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①人员编制完整、权责清晰、架构高效、各岗位人员数量安排合理的给</w:t>
            </w:r>
            <w:r>
              <w:rPr>
                <w:rFonts w:hint="eastAsia" w:cs="Times New Roman"/>
                <w:color w:val="000000" w:themeColor="text1"/>
                <w:lang w:val="en-US" w:eastAsia="zh-CN"/>
                <w14:textFill>
                  <w14:solidFill>
                    <w14:schemeClr w14:val="tx1"/>
                  </w14:solidFill>
                </w14:textFill>
              </w:rPr>
              <w:t>4-2.1</w:t>
            </w:r>
            <w:r>
              <w:rPr>
                <w:rFonts w:hint="eastAsia" w:ascii="Times New Roman" w:hAnsi="Times New Roman" w:eastAsia="宋体" w:cs="Times New Roman"/>
                <w:color w:val="000000" w:themeColor="text1"/>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②人员编制不完整、权责不清、架构低效、各岗位人员安排不合理的给</w:t>
            </w:r>
            <w:r>
              <w:rPr>
                <w:rFonts w:hint="eastAsia" w:cs="Times New Roman"/>
                <w:color w:val="000000" w:themeColor="text1"/>
                <w:lang w:val="en-US" w:eastAsia="zh-CN"/>
                <w14:textFill>
                  <w14:solidFill>
                    <w14:schemeClr w14:val="tx1"/>
                  </w14:solidFill>
                </w14:textFill>
              </w:rPr>
              <w:t>2-0</w:t>
            </w:r>
            <w:r>
              <w:rPr>
                <w:rFonts w:hint="eastAsia" w:ascii="Times New Roman" w:hAnsi="Times New Roman" w:eastAsia="宋体" w:cs="Times New Roman"/>
                <w:color w:val="000000" w:themeColor="text1"/>
                <w:lang w:val="en-US" w:eastAsia="zh-CN"/>
                <w14:textFill>
                  <w14:solidFill>
                    <w14:schemeClr w14:val="tx1"/>
                  </w14:solidFill>
                </w14:textFill>
              </w:rPr>
              <w:t>分。</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4</w:t>
            </w:r>
          </w:p>
        </w:tc>
      </w:tr>
      <w:tr>
        <w:tblPrEx>
          <w:tblCellMar>
            <w:top w:w="0" w:type="dxa"/>
            <w:left w:w="108" w:type="dxa"/>
            <w:bottom w:w="0" w:type="dxa"/>
            <w:right w:w="108" w:type="dxa"/>
          </w:tblCellMar>
        </w:tblPrEx>
        <w:trPr>
          <w:trHeight w:val="2542"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1、项目主管履历要求：</w:t>
            </w:r>
            <w:r>
              <w:rPr>
                <w:rFonts w:hint="eastAsia" w:ascii="Times New Roman" w:hAnsi="Times New Roman" w:eastAsia="宋体" w:cs="Times New Roman"/>
                <w:color w:val="000000" w:themeColor="text1"/>
                <w:lang w:val="en-US" w:eastAsia="zh-CN"/>
                <w14:textFill>
                  <w14:solidFill>
                    <w14:schemeClr w14:val="tx1"/>
                  </w14:solidFill>
                </w14:textFill>
              </w:rPr>
              <w:t>①年龄45周岁（含）以下</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得0.5</w:t>
            </w:r>
            <w:r>
              <w:rPr>
                <w:rFonts w:hint="eastAsia" w:ascii="Times New Roman" w:hAnsi="Times New Roman" w:eastAsia="宋体" w:cs="Times New Roman"/>
                <w:color w:val="000000" w:themeColor="text1"/>
                <w:lang w:val="zh-CN" w:eastAsia="zh-CN"/>
                <w14:textFill>
                  <w14:solidFill>
                    <w14:schemeClr w14:val="tx1"/>
                  </w14:solidFill>
                </w14:textFill>
              </w:rPr>
              <w:t>分</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②具有</w:t>
            </w:r>
            <w:r>
              <w:rPr>
                <w:rFonts w:hint="eastAsia" w:cs="Times New Roman"/>
                <w:color w:val="000000" w:themeColor="text1"/>
                <w:lang w:val="en-US" w:eastAsia="zh-CN"/>
                <w14:textFill>
                  <w14:solidFill>
                    <w14:schemeClr w14:val="tx1"/>
                  </w14:solidFill>
                </w14:textFill>
              </w:rPr>
              <w:t>大专</w:t>
            </w:r>
            <w:r>
              <w:rPr>
                <w:rFonts w:hint="eastAsia" w:ascii="Times New Roman" w:hAnsi="Times New Roman" w:eastAsia="宋体" w:cs="Times New Roman"/>
                <w:color w:val="000000" w:themeColor="text1"/>
                <w:lang w:val="en-US" w:eastAsia="zh-CN"/>
                <w14:textFill>
                  <w14:solidFill>
                    <w14:schemeClr w14:val="tx1"/>
                  </w14:solidFill>
                </w14:textFill>
              </w:rPr>
              <w:t>及以上学历，</w:t>
            </w:r>
            <w:r>
              <w:rPr>
                <w:rFonts w:hint="eastAsia" w:cs="Times New Roman"/>
                <w:color w:val="000000" w:themeColor="text1"/>
                <w:lang w:val="en-US" w:eastAsia="zh-CN"/>
                <w14:textFill>
                  <w14:solidFill>
                    <w14:schemeClr w14:val="tx1"/>
                  </w14:solidFill>
                </w14:textFill>
              </w:rPr>
              <w:t>得1分；</w:t>
            </w:r>
            <w:r>
              <w:rPr>
                <w:rFonts w:hint="eastAsia" w:ascii="Times New Roman" w:hAnsi="Times New Roman" w:eastAsia="宋体" w:cs="Times New Roman"/>
                <w:color w:val="000000" w:themeColor="text1"/>
                <w:lang w:val="en-US" w:eastAsia="zh-CN"/>
                <w14:textFill>
                  <w14:solidFill>
                    <w14:schemeClr w14:val="tx1"/>
                  </w14:solidFill>
                </w14:textFill>
              </w:rPr>
              <w:t>③具有相应的职称或等级证书，</w:t>
            </w:r>
            <w:r>
              <w:rPr>
                <w:rFonts w:hint="eastAsia" w:cs="Times New Roman"/>
                <w:color w:val="000000" w:themeColor="text1"/>
                <w:lang w:val="en-US" w:eastAsia="zh-CN"/>
                <w14:textFill>
                  <w14:solidFill>
                    <w14:schemeClr w14:val="tx1"/>
                  </w14:solidFill>
                </w14:textFill>
              </w:rPr>
              <w:t>得1分；</w:t>
            </w:r>
            <w:r>
              <w:rPr>
                <w:rFonts w:hint="eastAsia" w:ascii="Times New Roman" w:hAnsi="Times New Roman" w:eastAsia="宋体" w:cs="Times New Roman"/>
                <w:color w:val="000000" w:themeColor="text1"/>
                <w:lang w:val="en-US" w:eastAsia="zh-CN"/>
                <w14:textFill>
                  <w14:solidFill>
                    <w14:schemeClr w14:val="tx1"/>
                  </w14:solidFill>
                </w14:textFill>
              </w:rPr>
              <w:t>④有3 年（含）以上相似的任职经历，得</w:t>
            </w:r>
            <w:r>
              <w:rPr>
                <w:rFonts w:hint="eastAsia" w:cs="Times New Roman"/>
                <w:color w:val="000000" w:themeColor="text1"/>
                <w:lang w:val="en-US" w:eastAsia="zh-CN"/>
                <w14:textFill>
                  <w14:solidFill>
                    <w14:schemeClr w14:val="tx1"/>
                  </w14:solidFill>
                </w14:textFill>
              </w:rPr>
              <w:t>0.5</w:t>
            </w:r>
            <w:r>
              <w:rPr>
                <w:rFonts w:hint="eastAsia" w:ascii="Times New Roman" w:hAnsi="Times New Roman" w:eastAsia="宋体" w:cs="Times New Roman"/>
                <w:color w:val="000000" w:themeColor="text1"/>
                <w:lang w:val="zh-CN" w:eastAsia="zh-CN"/>
                <w14:textFill>
                  <w14:solidFill>
                    <w14:schemeClr w14:val="tx1"/>
                  </w14:solidFill>
                </w14:textFill>
              </w:rPr>
              <w:t>分，最高得</w:t>
            </w:r>
            <w:r>
              <w:rPr>
                <w:rFonts w:hint="eastAsia" w:cs="Times New Roman"/>
                <w:color w:val="000000" w:themeColor="text1"/>
                <w:lang w:val="en-US" w:eastAsia="zh-CN"/>
                <w14:textFill>
                  <w14:solidFill>
                    <w14:schemeClr w14:val="tx1"/>
                  </w14:solidFill>
                </w14:textFill>
              </w:rPr>
              <w:t>3</w:t>
            </w:r>
            <w:r>
              <w:rPr>
                <w:rFonts w:hint="eastAsia" w:ascii="Times New Roman" w:hAnsi="Times New Roman" w:eastAsia="宋体" w:cs="Times New Roman"/>
                <w:color w:val="000000" w:themeColor="text1"/>
                <w:lang w:val="en-US" w:eastAsia="zh-CN"/>
                <w14:textFill>
                  <w14:solidFill>
                    <w14:schemeClr w14:val="tx1"/>
                  </w14:solidFill>
                </w14:textFill>
              </w:rPr>
              <w:t>，不满足</w:t>
            </w:r>
            <w:r>
              <w:rPr>
                <w:rFonts w:hint="eastAsia" w:ascii="Times New Roman" w:hAnsi="Times New Roman" w:eastAsia="宋体" w:cs="Times New Roman"/>
                <w:color w:val="000000" w:themeColor="text1"/>
                <w:lang w:val="zh-CN" w:eastAsia="zh-CN"/>
                <w14:textFill>
                  <w14:solidFill>
                    <w14:schemeClr w14:val="tx1"/>
                  </w14:solidFill>
                </w14:textFill>
              </w:rPr>
              <w:t>不得分</w:t>
            </w:r>
            <w:r>
              <w:rPr>
                <w:rFonts w:hint="eastAsia" w:ascii="Times New Roman" w:hAnsi="Times New Roman" w:eastAsia="宋体" w:cs="Times New Roman"/>
                <w:color w:val="000000" w:themeColor="text1"/>
                <w:lang w:val="en-US" w:eastAsia="zh-CN"/>
                <w14:textFill>
                  <w14:solidFill>
                    <w14:schemeClr w14:val="tx1"/>
                  </w14:solidFill>
                </w14:textFill>
              </w:rPr>
              <w:t>。</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2、保安队长履历要求：持有人力资源和社会保障部门评定的保安员职业资格证书，须三级及以上等级</w:t>
            </w:r>
            <w:r>
              <w:rPr>
                <w:rFonts w:hint="eastAsia" w:cs="Times New Roman"/>
                <w:color w:val="000000" w:themeColor="text1"/>
                <w:lang w:val="en-US" w:eastAsia="zh-CN"/>
                <w14:textFill>
                  <w14:solidFill>
                    <w14:schemeClr w14:val="tx1"/>
                  </w14:solidFill>
                </w14:textFill>
              </w:rPr>
              <w:t>，得1分，</w:t>
            </w:r>
            <w:r>
              <w:rPr>
                <w:rFonts w:hint="eastAsia" w:ascii="Times New Roman" w:hAnsi="Times New Roman" w:eastAsia="宋体" w:cs="Times New Roman"/>
                <w:color w:val="000000" w:themeColor="text1"/>
                <w:lang w:val="en-US" w:eastAsia="zh-CN"/>
                <w14:textFill>
                  <w14:solidFill>
                    <w14:schemeClr w14:val="tx1"/>
                  </w14:solidFill>
                </w14:textFill>
              </w:rPr>
              <w:t>如低于三级不得分。</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ascii="Times New Roman" w:hAnsi="Times New Roman" w:eastAsia="宋体" w:cs="Times New Roman"/>
                <w:color w:val="000000" w:themeColor="text1"/>
                <w:lang w:val="en-US" w:eastAsia="zh-CN"/>
                <w14:textFill>
                  <w14:solidFill>
                    <w14:schemeClr w14:val="tx1"/>
                  </w14:solidFill>
                </w14:textFill>
              </w:rPr>
              <w:t>保洁领班履历要求：有2年（含）相似的任职经历</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得0.5</w:t>
            </w:r>
            <w:r>
              <w:rPr>
                <w:rFonts w:hint="eastAsia" w:ascii="Times New Roman" w:hAnsi="Times New Roman" w:eastAsia="宋体" w:cs="Times New Roman"/>
                <w:color w:val="000000" w:themeColor="text1"/>
                <w:lang w:val="zh-CN" w:eastAsia="zh-CN"/>
                <w14:textFill>
                  <w14:solidFill>
                    <w14:schemeClr w14:val="tx1"/>
                  </w14:solidFill>
                </w14:textFill>
              </w:rPr>
              <w:t>分</w:t>
            </w:r>
            <w:r>
              <w:rPr>
                <w:rFonts w:hint="eastAsia"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000000" w:themeColor="text1"/>
                <w:lang w:val="en-US" w:eastAsia="zh-CN"/>
                <w14:textFill>
                  <w14:solidFill>
                    <w14:schemeClr w14:val="tx1"/>
                  </w14:solidFill>
                </w14:textFill>
              </w:rPr>
              <w:t>不满足</w:t>
            </w:r>
            <w:r>
              <w:rPr>
                <w:rFonts w:hint="eastAsia" w:ascii="Times New Roman" w:hAnsi="Times New Roman" w:eastAsia="宋体" w:cs="Times New Roman"/>
                <w:color w:val="000000" w:themeColor="text1"/>
                <w:lang w:val="zh-CN" w:eastAsia="zh-CN"/>
                <w14:textFill>
                  <w14:solidFill>
                    <w14:schemeClr w14:val="tx1"/>
                  </w14:solidFill>
                </w14:textFill>
              </w:rPr>
              <w:t>不得分</w:t>
            </w:r>
            <w:r>
              <w:rPr>
                <w:rFonts w:hint="eastAsia" w:cs="Times New Roman"/>
                <w:color w:val="000000" w:themeColor="text1"/>
                <w:lang w:val="en-US" w:eastAsia="zh-CN"/>
                <w14:textFill>
                  <w14:solidFill>
                    <w14:schemeClr w14:val="tx1"/>
                  </w14:solidFill>
                </w14:textFill>
              </w:rPr>
              <w:t>。</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4、必须满足5位消控员上岗证书，再每增加一位，得0.5分，最高得2.5分。</w:t>
            </w:r>
          </w:p>
          <w:p>
            <w:pPr>
              <w:numPr>
                <w:ilvl w:val="0"/>
                <w:numId w:val="0"/>
              </w:numPr>
              <w:spacing w:line="24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注：以上人员需提供学历、职称或等级证书，工作经历和在投标单位近6个月社保缴纳证明（截止开标之日起）。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7</w:t>
            </w:r>
          </w:p>
        </w:tc>
      </w:tr>
      <w:tr>
        <w:tblPrEx>
          <w:tblCellMar>
            <w:top w:w="0" w:type="dxa"/>
            <w:left w:w="108" w:type="dxa"/>
            <w:bottom w:w="0" w:type="dxa"/>
            <w:right w:w="108" w:type="dxa"/>
          </w:tblCellMar>
        </w:tblPrEx>
        <w:trPr>
          <w:trHeight w:val="2132"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承诺项目</w:t>
            </w:r>
            <w:r>
              <w:rPr>
                <w:rFonts w:hint="eastAsia"/>
                <w:color w:val="000000" w:themeColor="text1"/>
                <w:lang w:eastAsia="zh-CN"/>
                <w14:textFill>
                  <w14:solidFill>
                    <w14:schemeClr w14:val="tx1"/>
                  </w14:solidFill>
                </w14:textFill>
              </w:rPr>
              <w:t>保安员</w:t>
            </w:r>
            <w:r>
              <w:rPr>
                <w:rFonts w:hint="eastAsia"/>
                <w:color w:val="000000" w:themeColor="text1"/>
                <w14:textFill>
                  <w14:solidFill>
                    <w14:schemeClr w14:val="tx1"/>
                  </w14:solidFill>
                </w14:textFill>
              </w:rPr>
              <w:t>团队成员年龄、职称、文化程度、工作经验等进行综合评分，</w:t>
            </w:r>
          </w:p>
          <w:p>
            <w:pP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fldChar w:fldCharType="begin"/>
            </w:r>
            <w:r>
              <w:rPr>
                <w:rFonts w:hint="eastAsia" w:ascii="Times New Roman" w:hAnsi="Times New Roman" w:cs="Times New Roman"/>
                <w:color w:val="000000" w:themeColor="text1"/>
                <w:lang w:val="en-US" w:eastAsia="zh-CN"/>
                <w14:textFill>
                  <w14:solidFill>
                    <w14:schemeClr w14:val="tx1"/>
                  </w14:solidFill>
                </w14:textFill>
              </w:rPr>
              <w:instrText xml:space="preserve"> = 1 \* GB3 </w:instrText>
            </w:r>
            <w:r>
              <w:rPr>
                <w:rFonts w:hint="eastAsia" w:ascii="Times New Roman" w:hAnsi="Times New Roman" w:cs="Times New Roman"/>
                <w:color w:val="000000" w:themeColor="text1"/>
                <w:lang w:val="en-US" w:eastAsia="zh-CN"/>
                <w14:textFill>
                  <w14:solidFill>
                    <w14:schemeClr w14:val="tx1"/>
                  </w14:solidFill>
                </w14:textFill>
              </w:rPr>
              <w:fldChar w:fldCharType="separate"/>
            </w:r>
            <w:r>
              <w:rPr>
                <w:rFonts w:hint="eastAsia" w:ascii="Times New Roman" w:hAnsi="Times New Roman" w:cs="Times New Roman"/>
                <w:color w:val="000000" w:themeColor="text1"/>
                <w:lang w:val="en-US" w:eastAsia="zh-CN"/>
                <w14:textFill>
                  <w14:solidFill>
                    <w14:schemeClr w14:val="tx1"/>
                  </w14:solidFill>
                </w14:textFill>
              </w:rPr>
              <w:t>①</w:t>
            </w:r>
            <w:r>
              <w:rPr>
                <w:rFonts w:hint="eastAsia" w:ascii="Times New Roman" w:hAnsi="Times New Roman" w:cs="Times New Roman"/>
                <w:color w:val="000000" w:themeColor="text1"/>
                <w:lang w:val="en-US" w:eastAsia="zh-CN"/>
                <w14:textFill>
                  <w14:solidFill>
                    <w14:schemeClr w14:val="tx1"/>
                  </w14:solidFill>
                </w14:textFill>
              </w:rPr>
              <w:fldChar w:fldCharType="end"/>
            </w:r>
            <w:r>
              <w:rPr>
                <w:rFonts w:hint="eastAsia" w:ascii="Times New Roman" w:hAnsi="Times New Roman" w:cs="Times New Roman"/>
                <w:color w:val="000000" w:themeColor="text1"/>
                <w:lang w:val="en-US" w:eastAsia="zh-CN"/>
                <w14:textFill>
                  <w14:solidFill>
                    <w14:schemeClr w14:val="tx1"/>
                  </w14:solidFill>
                </w14:textFill>
              </w:rPr>
              <w:t>保安员年龄在</w:t>
            </w:r>
            <w:r>
              <w:rPr>
                <w:rFonts w:hint="eastAsia" w:ascii="Times New Roman" w:hAnsi="Times New Roman" w:cs="Times New Roman"/>
                <w:color w:val="000000" w:themeColor="text1"/>
                <w14:textFill>
                  <w14:solidFill>
                    <w14:schemeClr w14:val="tx1"/>
                  </w14:solidFill>
                </w14:textFill>
              </w:rPr>
              <w:t>50周岁以下占</w:t>
            </w:r>
            <w:r>
              <w:rPr>
                <w:rFonts w:hint="eastAsia" w:ascii="Times New Roman" w:hAnsi="Times New Roman" w:cs="Times New Roman"/>
                <w:color w:val="000000" w:themeColor="text1"/>
                <w:lang w:eastAsia="zh-CN"/>
                <w14:textFill>
                  <w14:solidFill>
                    <w14:schemeClr w14:val="tx1"/>
                  </w14:solidFill>
                </w14:textFill>
              </w:rPr>
              <w:t>保安总人数</w:t>
            </w:r>
            <w:r>
              <w:rPr>
                <w:rFonts w:hint="eastAsia" w:ascii="Times New Roman" w:hAnsi="Times New Roman" w:cs="Times New Roman"/>
                <w:color w:val="000000" w:themeColor="text1"/>
                <w:lang w:val="en-US" w:eastAsia="zh-CN"/>
                <w14:textFill>
                  <w14:solidFill>
                    <w14:schemeClr w14:val="tx1"/>
                  </w14:solidFill>
                </w14:textFill>
              </w:rPr>
              <w:t>70</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及以上</w:t>
            </w:r>
            <w:r>
              <w:rPr>
                <w:rFonts w:hint="eastAsia" w:ascii="Times New Roman" w:hAnsi="Times New Roman" w:cs="Times New Roman"/>
                <w:color w:val="000000" w:themeColor="text1"/>
                <w:lang w:val="en-US" w:eastAsia="zh-CN"/>
                <w14:textFill>
                  <w14:solidFill>
                    <w14:schemeClr w14:val="tx1"/>
                  </w14:solidFill>
                </w14:textFill>
              </w:rPr>
              <w:t>技术岗位职称、文化程度高、工作经验丰富，优于本次采购服务需求的给5-3.1分；</w:t>
            </w:r>
          </w:p>
          <w:p>
            <w:pP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②保安员年龄在</w:t>
            </w:r>
            <w:r>
              <w:rPr>
                <w:rFonts w:hint="eastAsia" w:ascii="Times New Roman" w:hAnsi="Times New Roman" w:cs="Times New Roman"/>
                <w:color w:val="000000" w:themeColor="text1"/>
                <w14:textFill>
                  <w14:solidFill>
                    <w14:schemeClr w14:val="tx1"/>
                  </w14:solidFill>
                </w14:textFill>
              </w:rPr>
              <w:t>50周岁以下占</w:t>
            </w:r>
            <w:r>
              <w:rPr>
                <w:rFonts w:hint="eastAsia" w:ascii="Times New Roman" w:hAnsi="Times New Roman" w:cs="Times New Roman"/>
                <w:color w:val="000000" w:themeColor="text1"/>
                <w:lang w:eastAsia="zh-CN"/>
                <w14:textFill>
                  <w14:solidFill>
                    <w14:schemeClr w14:val="tx1"/>
                  </w14:solidFill>
                </w14:textFill>
              </w:rPr>
              <w:t>保安总人数</w:t>
            </w:r>
            <w:r>
              <w:rPr>
                <w:rFonts w:hint="eastAsia" w:ascii="Times New Roman" w:hAnsi="Times New Roman" w:cs="Times New Roman"/>
                <w:color w:val="000000" w:themeColor="text1"/>
                <w14:textFill>
                  <w14:solidFill>
                    <w14:schemeClr w14:val="tx1"/>
                  </w14:solidFill>
                </w14:textFill>
              </w:rPr>
              <w:t>6</w:t>
            </w:r>
            <w:r>
              <w:rPr>
                <w:rFonts w:hint="eastAsia" w:ascii="Times New Roman" w:hAnsi="Times New Roman" w:cs="Times New Roman"/>
                <w:color w:val="000000" w:themeColor="text1"/>
                <w:lang w:val="en-US" w:eastAsia="zh-CN"/>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eastAsia="zh-CN"/>
                <w14:textFill>
                  <w14:solidFill>
                    <w14:schemeClr w14:val="tx1"/>
                  </w14:solidFill>
                </w14:textFill>
              </w:rPr>
              <w:t>及以上</w:t>
            </w:r>
            <w:r>
              <w:rPr>
                <w:rFonts w:hint="eastAsia" w:ascii="Times New Roman" w:hAnsi="Times New Roman" w:cs="Times New Roman"/>
                <w:color w:val="000000" w:themeColor="text1"/>
                <w:lang w:val="en-US" w:eastAsia="zh-CN"/>
                <w14:textFill>
                  <w14:solidFill>
                    <w14:schemeClr w14:val="tx1"/>
                  </w14:solidFill>
                </w14:textFill>
              </w:rPr>
              <w:t>、技术岗位职称、文化程度一般，工作经验欠佳，基本满足本次采购服务需求的给 3-1.1分；</w:t>
            </w:r>
          </w:p>
          <w:p>
            <w:pP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③保安员年龄在</w:t>
            </w:r>
            <w:r>
              <w:rPr>
                <w:rFonts w:hint="eastAsia" w:ascii="Times New Roman" w:hAnsi="Times New Roman" w:cs="Times New Roman"/>
                <w:color w:val="000000" w:themeColor="text1"/>
                <w14:textFill>
                  <w14:solidFill>
                    <w14:schemeClr w14:val="tx1"/>
                  </w14:solidFill>
                </w14:textFill>
              </w:rPr>
              <w:t>50周岁以下占</w:t>
            </w:r>
            <w:r>
              <w:rPr>
                <w:rFonts w:hint="eastAsia" w:ascii="Times New Roman" w:hAnsi="Times New Roman" w:cs="Times New Roman"/>
                <w:color w:val="000000" w:themeColor="text1"/>
                <w:lang w:eastAsia="zh-CN"/>
                <w14:textFill>
                  <w14:solidFill>
                    <w14:schemeClr w14:val="tx1"/>
                  </w14:solidFill>
                </w14:textFill>
              </w:rPr>
              <w:t>保安总人数</w:t>
            </w:r>
            <w:r>
              <w:rPr>
                <w:rFonts w:hint="eastAsia" w:ascii="Times New Roman" w:hAnsi="Times New Roman" w:cs="Times New Roman"/>
                <w:color w:val="000000" w:themeColor="text1"/>
                <w14:textFill>
                  <w14:solidFill>
                    <w14:schemeClr w14:val="tx1"/>
                  </w14:solidFill>
                </w14:textFill>
              </w:rPr>
              <w:t>60%</w:t>
            </w:r>
            <w:r>
              <w:rPr>
                <w:rFonts w:hint="eastAsia" w:ascii="Times New Roman" w:hAnsi="Times New Roman" w:cs="Times New Roman"/>
                <w:color w:val="000000" w:themeColor="text1"/>
                <w:lang w:eastAsia="zh-CN"/>
                <w14:textFill>
                  <w14:solidFill>
                    <w14:schemeClr w14:val="tx1"/>
                  </w14:solidFill>
                </w14:textFill>
              </w:rPr>
              <w:t>及以上</w:t>
            </w:r>
            <w:r>
              <w:rPr>
                <w:rFonts w:hint="eastAsia" w:ascii="Times New Roman" w:hAnsi="Times New Roman" w:cs="Times New Roman"/>
                <w:color w:val="000000" w:themeColor="text1"/>
                <w:lang w:val="en-US" w:eastAsia="zh-CN"/>
                <w14:textFill>
                  <w14:solidFill>
                    <w14:schemeClr w14:val="tx1"/>
                  </w14:solidFill>
                </w14:textFill>
              </w:rPr>
              <w:t>、技术岗位职称、文化程度较低，工作经验不足，不能基本满足本次采购服务需求的给1-0分。</w:t>
            </w:r>
          </w:p>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提供</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人员在投标单位近</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5</w:t>
            </w:r>
          </w:p>
        </w:tc>
      </w:tr>
      <w:tr>
        <w:tblPrEx>
          <w:tblCellMar>
            <w:top w:w="0" w:type="dxa"/>
            <w:left w:w="108" w:type="dxa"/>
            <w:bottom w:w="0" w:type="dxa"/>
            <w:right w:w="108" w:type="dxa"/>
          </w:tblCellMar>
        </w:tblPrEx>
        <w:trPr>
          <w:trHeight w:val="5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承诺项目保洁团队成员年龄、职称、文化程度、工作经验等进行综合评分，</w:t>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保洁员平均年龄</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51</w:t>
            </w:r>
            <w:r>
              <w:rPr>
                <w:rFonts w:hint="eastAsia"/>
                <w:color w:val="000000" w:themeColor="text1"/>
                <w14:textFill>
                  <w14:solidFill>
                    <w14:schemeClr w14:val="tx1"/>
                  </w14:solidFill>
                </w14:textFill>
              </w:rPr>
              <w:t>周岁</w:t>
            </w:r>
            <w:r>
              <w:rPr>
                <w:rFonts w:hint="eastAsia"/>
                <w:color w:val="000000" w:themeColor="text1"/>
                <w:lang w:eastAsia="zh-CN"/>
                <w14:textFill>
                  <w14:solidFill>
                    <w14:schemeClr w14:val="tx1"/>
                  </w14:solidFill>
                </w14:textFill>
              </w:rPr>
              <w:t>及以下</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职称、文化程度高、工作经验丰富，优于本次采购服务需求的给</w:t>
            </w:r>
            <w:r>
              <w:rPr>
                <w:rFonts w:hint="eastAsia"/>
                <w:color w:val="000000" w:themeColor="text1"/>
                <w:lang w:val="en-US" w:eastAsia="zh-CN"/>
                <w14:textFill>
                  <w14:solidFill>
                    <w14:schemeClr w14:val="tx1"/>
                  </w14:solidFill>
                </w14:textFill>
              </w:rPr>
              <w:t>3-2.1</w:t>
            </w:r>
            <w:r>
              <w:rPr>
                <w:rFonts w:hint="eastAsia"/>
                <w:color w:val="000000" w:themeColor="text1"/>
                <w14:textFill>
                  <w14:solidFill>
                    <w14:schemeClr w14:val="tx1"/>
                  </w14:solidFill>
                </w14:textFill>
              </w:rPr>
              <w:t>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②保洁员平均年龄</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54-52</w:t>
            </w:r>
            <w:r>
              <w:rPr>
                <w:rFonts w:hint="eastAsia"/>
                <w:color w:val="000000" w:themeColor="text1"/>
                <w14:textFill>
                  <w14:solidFill>
                    <w14:schemeClr w14:val="tx1"/>
                  </w14:solidFill>
                </w14:textFill>
              </w:rPr>
              <w:t>周岁</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 xml:space="preserve">职称、文化程度一般，工作经验欠佳，基本满足本次采购服务需求的给 </w:t>
            </w:r>
            <w:r>
              <w:rPr>
                <w:rFonts w:hint="eastAsia"/>
                <w:color w:val="000000" w:themeColor="text1"/>
                <w:lang w:val="en-US" w:eastAsia="zh-CN"/>
                <w14:textFill>
                  <w14:solidFill>
                    <w14:schemeClr w14:val="tx1"/>
                  </w14:solidFill>
                </w14:textFill>
              </w:rPr>
              <w:t>2-1.1</w:t>
            </w:r>
            <w:r>
              <w:rPr>
                <w:rFonts w:hint="eastAsia"/>
                <w:color w:val="000000" w:themeColor="text1"/>
                <w14:textFill>
                  <w14:solidFill>
                    <w14:schemeClr w14:val="tx1"/>
                  </w14:solidFill>
                </w14:textFill>
              </w:rPr>
              <w:t xml:space="preserve"> 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③保洁员平均年龄符合最高年龄（</w:t>
            </w:r>
            <w:r>
              <w:rPr>
                <w:rFonts w:hint="eastAsia"/>
                <w:color w:val="000000" w:themeColor="text1"/>
                <w:lang w:val="en-US" w:eastAsia="zh-CN"/>
                <w14:textFill>
                  <w14:solidFill>
                    <w14:schemeClr w14:val="tx1"/>
                  </w14:solidFill>
                </w14:textFill>
              </w:rPr>
              <w:t>55</w:t>
            </w:r>
            <w:r>
              <w:rPr>
                <w:rFonts w:hint="eastAsia"/>
                <w:color w:val="000000" w:themeColor="text1"/>
                <w14:textFill>
                  <w14:solidFill>
                    <w14:schemeClr w14:val="tx1"/>
                  </w14:solidFill>
                </w14:textFill>
              </w:rPr>
              <w:t>周岁</w:t>
            </w:r>
            <w:r>
              <w:rPr>
                <w:rFonts w:hint="eastAsia"/>
                <w:color w:val="000000" w:themeColor="text1"/>
                <w:lang w:eastAsia="zh-CN"/>
                <w14:textFill>
                  <w14:solidFill>
                    <w14:schemeClr w14:val="tx1"/>
                  </w14:solidFill>
                </w14:textFill>
              </w:rPr>
              <w:t>及以下</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职称、文化程度较低，工作经验不足，不能基本满足本次采购服务需求的给</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分。</w:t>
            </w:r>
          </w:p>
          <w:p>
            <w:pPr>
              <w:numPr>
                <w:ilvl w:val="0"/>
                <w:numId w:val="0"/>
              </w:numPr>
              <w:spacing w:line="240" w:lineRule="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提供</w:t>
            </w:r>
            <w:r>
              <w:rPr>
                <w:rFonts w:hint="eastAsia"/>
                <w:color w:val="000000" w:themeColor="text1"/>
                <w:lang w:eastAsia="zh-CN"/>
                <w14:textFill>
                  <w14:solidFill>
                    <w14:schemeClr w14:val="tx1"/>
                  </w14:solidFill>
                </w14:textFill>
              </w:rPr>
              <w:t>技术岗位</w:t>
            </w:r>
            <w:r>
              <w:rPr>
                <w:rFonts w:hint="eastAsia"/>
                <w:color w:val="000000" w:themeColor="text1"/>
                <w14:textFill>
                  <w14:solidFill>
                    <w14:schemeClr w14:val="tx1"/>
                  </w14:solidFill>
                </w14:textFill>
              </w:rPr>
              <w:t>人员在投标单位近</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个月社保缴纳证明（截止开标之日起）</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auto"/>
                <w:lang w:val="en-US" w:eastAsia="zh-CN"/>
              </w:rPr>
              <w:t>3</w:t>
            </w:r>
            <w:bookmarkStart w:id="110" w:name="_GoBack"/>
            <w:bookmarkEnd w:id="110"/>
          </w:p>
        </w:tc>
      </w:tr>
      <w:tr>
        <w:tblPrEx>
          <w:tblCellMar>
            <w:top w:w="0" w:type="dxa"/>
            <w:left w:w="108" w:type="dxa"/>
            <w:bottom w:w="0" w:type="dxa"/>
            <w:right w:w="108" w:type="dxa"/>
          </w:tblCellMar>
        </w:tblPrEx>
        <w:trPr>
          <w:trHeight w:val="16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服务的</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1、对物业突发事件（包括发生台风、暴雨等灾害性天气及其突发事件）时的应急预案及相应的措施</w:t>
            </w:r>
            <w:r>
              <w:rPr>
                <w:rFonts w:hint="eastAsia" w:ascii="Times New Roman" w:hAnsi="Times New Roman" w:eastAsia="宋体" w:cs="Times New Roman"/>
                <w:color w:val="auto"/>
                <w:lang w:val="zh-CN" w:eastAsia="zh-CN"/>
              </w:rPr>
              <w:t>，</w:t>
            </w: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2、对物业管理区域内重大活动的应急保障预案，依据应急预案进行分档评分：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83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优惠承诺和</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特色服务情况</w:t>
            </w:r>
          </w:p>
        </w:tc>
        <w:tc>
          <w:tcPr>
            <w:tcW w:w="7856"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eastAsia" w:ascii="宋体" w:hAnsi="宋体" w:cs="宋体"/>
                <w:bCs/>
                <w:color w:val="000000" w:themeColor="text1"/>
                <w:sz w:val="21"/>
                <w:szCs w:val="21"/>
                <w:lang w:val="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1、</w:t>
            </w:r>
            <w:r>
              <w:rPr>
                <w:rFonts w:hint="eastAsia" w:ascii="宋体" w:hAnsi="宋体" w:cs="宋体"/>
                <w:bCs/>
                <w:color w:val="000000" w:themeColor="text1"/>
                <w:sz w:val="21"/>
                <w:szCs w:val="21"/>
                <w:lang w:val="zh-CN"/>
                <w14:textFill>
                  <w14:solidFill>
                    <w14:schemeClr w14:val="tx1"/>
                  </w14:solidFill>
                </w14:textFill>
              </w:rPr>
              <w:t>根据投标供应商提供的临时保卫服务承诺函</w:t>
            </w:r>
            <w:r>
              <w:rPr>
                <w:rFonts w:hint="eastAsia" w:ascii="宋体" w:hAnsi="宋体" w:cs="宋体"/>
                <w:bCs/>
                <w:color w:val="000000" w:themeColor="text1"/>
                <w:sz w:val="21"/>
                <w:szCs w:val="21"/>
                <w:lang w:val="en-US" w:eastAsia="zh-CN"/>
                <w14:textFill>
                  <w14:solidFill>
                    <w14:schemeClr w14:val="tx1"/>
                  </w14:solidFill>
                </w14:textFill>
              </w:rPr>
              <w:t>（未提供承诺函的不得分）</w:t>
            </w:r>
            <w:r>
              <w:rPr>
                <w:rFonts w:hint="eastAsia" w:ascii="宋体" w:hAnsi="宋体" w:cs="宋体"/>
                <w:bCs/>
                <w:color w:val="000000" w:themeColor="text1"/>
                <w:sz w:val="21"/>
                <w:szCs w:val="21"/>
                <w:lang w:val="zh-CN"/>
                <w14:textFill>
                  <w14:solidFill>
                    <w14:schemeClr w14:val="tx1"/>
                  </w14:solidFill>
                </w14:textFill>
              </w:rPr>
              <w:t>，对临时保卫工资报价（元</w:t>
            </w:r>
            <w:r>
              <w:rPr>
                <w:rFonts w:hint="eastAsia" w:ascii="宋体" w:hAnsi="宋体" w:cs="宋体"/>
                <w:bCs/>
                <w:color w:val="000000" w:themeColor="text1"/>
                <w:sz w:val="21"/>
                <w:szCs w:val="21"/>
                <w:lang w:val="en-US" w:eastAsia="zh-CN"/>
                <w14:textFill>
                  <w14:solidFill>
                    <w14:schemeClr w14:val="tx1"/>
                  </w14:solidFill>
                </w14:textFill>
              </w:rPr>
              <w:t>/人/日</w:t>
            </w:r>
            <w:r>
              <w:rPr>
                <w:rFonts w:hint="eastAsia" w:ascii="宋体" w:hAnsi="宋体" w:cs="宋体"/>
                <w:bCs/>
                <w:color w:val="000000" w:themeColor="text1"/>
                <w:sz w:val="21"/>
                <w:szCs w:val="21"/>
                <w:lang w:val="zh-CN"/>
                <w14:textFill>
                  <w14:solidFill>
                    <w14:schemeClr w14:val="tx1"/>
                  </w14:solidFill>
                </w14:textFill>
              </w:rPr>
              <w:t>）进行排序。报价由低到高排序（可并列）：</w:t>
            </w:r>
          </w:p>
          <w:p>
            <w:pPr>
              <w:pStyle w:val="2"/>
              <w:ind w:left="0" w:leftChars="0" w:firstLine="0" w:firstLineChars="0"/>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宋体" w:hAnsi="宋体" w:cs="宋体"/>
                <w:bCs/>
                <w:color w:val="000000" w:themeColor="text1"/>
                <w:sz w:val="21"/>
                <w:szCs w:val="21"/>
                <w:lang w:val="zh-CN"/>
                <w14:textFill>
                  <w14:solidFill>
                    <w14:schemeClr w14:val="tx1"/>
                  </w14:solidFill>
                </w14:textFill>
              </w:rPr>
              <w:t>排名第一得</w:t>
            </w:r>
            <w:r>
              <w:rPr>
                <w:rFonts w:hint="eastAsia" w:ascii="宋体" w:hAnsi="宋体" w:cs="宋体"/>
                <w:bCs/>
                <w:color w:val="000000" w:themeColor="text1"/>
                <w:sz w:val="21"/>
                <w:szCs w:val="21"/>
                <w:lang w:val="en-US" w:eastAsia="zh-CN"/>
                <w14:textFill>
                  <w14:solidFill>
                    <w14:schemeClr w14:val="tx1"/>
                  </w14:solidFill>
                </w14:textFill>
              </w:rPr>
              <w:t>3</w:t>
            </w:r>
            <w:r>
              <w:rPr>
                <w:rFonts w:hint="eastAsia" w:ascii="宋体" w:hAnsi="宋体" w:cs="宋体"/>
                <w:bCs/>
                <w:color w:val="000000" w:themeColor="text1"/>
                <w:sz w:val="21"/>
                <w:szCs w:val="21"/>
                <w:lang w:val="zh-CN"/>
                <w14:textFill>
                  <w14:solidFill>
                    <w14:schemeClr w14:val="tx1"/>
                  </w14:solidFill>
                </w14:textFill>
              </w:rPr>
              <w:t>分，排名第二得</w:t>
            </w:r>
            <w:r>
              <w:rPr>
                <w:rFonts w:hint="eastAsia" w:ascii="宋体" w:hAnsi="宋体" w:cs="宋体"/>
                <w:bCs/>
                <w:color w:val="000000" w:themeColor="text1"/>
                <w:sz w:val="21"/>
                <w:szCs w:val="21"/>
                <w:lang w:val="en-US" w:eastAsia="zh-CN"/>
                <w14:textFill>
                  <w14:solidFill>
                    <w14:schemeClr w14:val="tx1"/>
                  </w14:solidFill>
                </w14:textFill>
              </w:rPr>
              <w:t>2.5分，排名第三得2分，排名第四得1.5分，排名第五得1分，排名第六得0.5分，其余不得分。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w:t>
            </w:r>
          </w:p>
        </w:tc>
      </w:tr>
      <w:tr>
        <w:tblPrEx>
          <w:tblCellMar>
            <w:top w:w="0" w:type="dxa"/>
            <w:left w:w="108" w:type="dxa"/>
            <w:bottom w:w="0" w:type="dxa"/>
            <w:right w:w="108" w:type="dxa"/>
          </w:tblCellMar>
        </w:tblPrEx>
        <w:trPr>
          <w:trHeight w:val="273" w:hRule="atLeast"/>
        </w:trPr>
        <w:tc>
          <w:tcPr>
            <w:tcW w:w="740" w:type="dxa"/>
            <w:vMerge w:val="continue"/>
            <w:tcBorders>
              <w:left w:val="single" w:color="auto" w:sz="4" w:space="0"/>
              <w:bottom w:val="single" w:color="auto" w:sz="4" w:space="0"/>
              <w:right w:val="single" w:color="auto" w:sz="4" w:space="0"/>
            </w:tcBorders>
            <w:vAlign w:val="center"/>
          </w:tcPr>
          <w:p>
            <w:pPr>
              <w:spacing w:line="240" w:lineRule="auto"/>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2、是否给出优惠和承诺，是否具有特色服务，提供有效证明材料和采购机构提供的相关数据。依据给出优惠和承诺进行分档评分：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①方案详实、内容新颖、操作性强的给3-2.1分；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②方案合理、内容完整、可操作的给2-1.1分；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ascii="Times New Roman" w:hAnsi="Times New Roman" w:eastAsia="宋体" w:cs="Times New Roman"/>
                <w:color w:val="auto"/>
                <w:lang w:val="en-US" w:eastAsia="zh-CN"/>
              </w:rPr>
              <w:t>③方案粗糙、内容缺漏、操作性差的给1-0分。</w:t>
            </w:r>
          </w:p>
        </w:tc>
        <w:tc>
          <w:tcPr>
            <w:tcW w:w="683" w:type="dxa"/>
            <w:tcBorders>
              <w:top w:val="single" w:color="auto" w:sz="4" w:space="0"/>
              <w:left w:val="nil"/>
              <w:bottom w:val="single" w:color="auto" w:sz="4" w:space="0"/>
              <w:right w:val="single" w:color="auto" w:sz="4" w:space="0"/>
            </w:tcBorders>
            <w:vAlign w:val="center"/>
          </w:tcPr>
          <w:p>
            <w:pPr>
              <w:numPr>
                <w:ilvl w:val="0"/>
                <w:numId w:val="0"/>
              </w:numPr>
              <w:spacing w:line="240" w:lineRule="auto"/>
              <w:ind w:left="0" w:leftChars="0" w:firstLine="0" w:firstLineChars="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3</w:t>
            </w:r>
          </w:p>
        </w:tc>
      </w:tr>
      <w:tr>
        <w:tblPrEx>
          <w:tblCellMar>
            <w:top w:w="0" w:type="dxa"/>
            <w:left w:w="108" w:type="dxa"/>
            <w:bottom w:w="0" w:type="dxa"/>
            <w:right w:w="108" w:type="dxa"/>
          </w:tblCellMar>
        </w:tblPrEx>
        <w:trPr>
          <w:trHeight w:val="396"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实力信誉及</w:t>
            </w:r>
          </w:p>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业绩</w:t>
            </w:r>
          </w:p>
          <w:p>
            <w:pPr>
              <w:pStyle w:val="2"/>
              <w:ind w:left="0" w:leftChars="0" w:firstLine="0" w:firstLineChars="0"/>
              <w:rPr>
                <w:rFonts w:hint="eastAsia"/>
                <w:lang w:eastAsia="zh-CN"/>
              </w:rPr>
            </w:pPr>
            <w:r>
              <w:rPr>
                <w:rFonts w:hint="eastAsia"/>
                <w:b/>
                <w:bCs/>
                <w:color w:val="000000" w:themeColor="text1"/>
                <w:lang w:val="en-US" w:eastAsia="zh-CN"/>
                <w14:textFill>
                  <w14:solidFill>
                    <w14:schemeClr w14:val="tx1"/>
                  </w14:solidFill>
                </w14:textFill>
              </w:rPr>
              <w:t>9</w:t>
            </w:r>
            <w:r>
              <w:rPr>
                <w:rFonts w:hint="eastAsia"/>
                <w:b/>
                <w:bCs/>
                <w:color w:val="000000" w:themeColor="text1"/>
                <w:lang w:eastAsia="zh-CN"/>
                <w14:textFill>
                  <w14:solidFill>
                    <w14:schemeClr w14:val="tx1"/>
                  </w14:solidFill>
                </w14:textFill>
              </w:rPr>
              <w:t>分</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eastAsia="zh-CN"/>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具备在有效期内的ISO9001质量管理体系、ISO14001环境管理体系、GB/T 45001-2020职业健康安全管理体系认证资质，每个得1分，本项最高得3分。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3</w:t>
            </w:r>
          </w:p>
        </w:tc>
      </w:tr>
      <w:tr>
        <w:tblPrEx>
          <w:tblCellMar>
            <w:top w:w="0" w:type="dxa"/>
            <w:left w:w="108" w:type="dxa"/>
            <w:bottom w:w="0" w:type="dxa"/>
            <w:right w:w="108" w:type="dxa"/>
          </w:tblCellMar>
        </w:tblPrEx>
        <w:trPr>
          <w:trHeight w:val="33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2"/>
              <w:rPr>
                <w:rFonts w:hint="eastAsia"/>
                <w:b/>
                <w:bCs/>
                <w:color w:val="000000" w:themeColor="text1"/>
                <w:lang w:eastAsia="zh-CN"/>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eastAsia="zh-CN"/>
              </w:rPr>
            </w:pP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公司对项目部管理和支持情况（包括管理人员补充、一线员工补充、人员调剂</w:t>
            </w:r>
            <w:r>
              <w:rPr>
                <w:rFonts w:hint="eastAsia" w:cs="Times New Roman"/>
                <w:color w:val="auto"/>
                <w:lang w:val="en-US" w:eastAsia="zh-CN"/>
              </w:rPr>
              <w:t>（即人才储备）</w:t>
            </w:r>
            <w:r>
              <w:rPr>
                <w:rFonts w:hint="eastAsia" w:ascii="Times New Roman" w:hAnsi="Times New Roman" w:eastAsia="宋体" w:cs="Times New Roman"/>
                <w:color w:val="auto"/>
                <w:lang w:val="en-US" w:eastAsia="zh-CN"/>
              </w:rPr>
              <w:t>、人员培训、绩效管理、质量管理等。人才储备需提供</w:t>
            </w:r>
            <w:r>
              <w:rPr>
                <w:rFonts w:hint="eastAsia" w:cs="Times New Roman"/>
                <w:color w:val="000000" w:themeColor="text1"/>
                <w:lang w:val="en-US" w:eastAsia="zh-CN"/>
                <w14:textFill>
                  <w14:solidFill>
                    <w14:schemeClr w14:val="tx1"/>
                  </w14:solidFill>
                </w14:textFill>
              </w:rPr>
              <w:t>6</w:t>
            </w:r>
            <w:r>
              <w:rPr>
                <w:rFonts w:hint="eastAsia" w:ascii="Times New Roman" w:hAnsi="Times New Roman" w:eastAsia="宋体" w:cs="Times New Roman"/>
                <w:color w:val="000000" w:themeColor="text1"/>
                <w:lang w:val="en-US" w:eastAsia="zh-CN"/>
                <w14:textFill>
                  <w14:solidFill>
                    <w14:schemeClr w14:val="tx1"/>
                  </w14:solidFill>
                </w14:textFill>
              </w:rPr>
              <w:t>个</w:t>
            </w:r>
            <w:r>
              <w:rPr>
                <w:rFonts w:hint="eastAsia" w:ascii="Times New Roman" w:hAnsi="Times New Roman" w:eastAsia="宋体" w:cs="Times New Roman"/>
                <w:color w:val="auto"/>
                <w:lang w:val="en-US" w:eastAsia="zh-CN"/>
              </w:rPr>
              <w:t>月社保缴纳证明，招聘计划需提供过往实施的相关数据。</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人才储备丰富、公司对项目部管理和支持切实</w:t>
            </w:r>
            <w:r>
              <w:rPr>
                <w:rFonts w:hint="eastAsia" w:cs="Times New Roman"/>
                <w:color w:val="auto"/>
                <w:lang w:val="en-US" w:eastAsia="zh-CN"/>
              </w:rPr>
              <w:t>有</w:t>
            </w:r>
            <w:r>
              <w:rPr>
                <w:rFonts w:hint="eastAsia" w:ascii="Times New Roman" w:hAnsi="Times New Roman" w:eastAsia="宋体" w:cs="Times New Roman"/>
                <w:color w:val="auto"/>
                <w:lang w:val="en-US" w:eastAsia="zh-CN"/>
              </w:rPr>
              <w:t>效的给</w:t>
            </w:r>
            <w:r>
              <w:rPr>
                <w:rFonts w:hint="eastAsia" w:cs="Times New Roman"/>
                <w:color w:val="auto"/>
                <w:lang w:val="en-US" w:eastAsia="zh-CN"/>
              </w:rPr>
              <w:t>4</w:t>
            </w:r>
            <w:r>
              <w:rPr>
                <w:rFonts w:hint="eastAsia" w:ascii="Times New Roman" w:hAnsi="Times New Roman" w:eastAsia="宋体" w:cs="Times New Roman"/>
                <w:color w:val="auto"/>
                <w:lang w:val="en-US" w:eastAsia="zh-CN"/>
              </w:rPr>
              <w:t>-2.1分；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人才储备一般、公司对项目部管理和支持一般的给2-1.1分；</w:t>
            </w:r>
          </w:p>
          <w:p>
            <w:pP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人才储备不足、公司对项目部管理和支持不理想的给1-0分。</w:t>
            </w:r>
          </w:p>
        </w:tc>
        <w:tc>
          <w:tcPr>
            <w:tcW w:w="683"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宋体" w:cs="Times New Roman"/>
                <w:color w:val="auto"/>
                <w:lang w:val="en-US" w:eastAsia="zh-CN"/>
              </w:rPr>
            </w:pPr>
            <w:r>
              <w:rPr>
                <w:rFonts w:hint="eastAsia"/>
                <w:color w:val="auto"/>
                <w:lang w:val="en-US" w:eastAsia="zh-CN"/>
              </w:rPr>
              <w:t>4</w:t>
            </w:r>
          </w:p>
        </w:tc>
      </w:tr>
      <w:tr>
        <w:tblPrEx>
          <w:tblCellMar>
            <w:top w:w="0" w:type="dxa"/>
            <w:left w:w="108" w:type="dxa"/>
            <w:bottom w:w="0" w:type="dxa"/>
            <w:right w:w="108" w:type="dxa"/>
          </w:tblCellMar>
        </w:tblPrEx>
        <w:trPr>
          <w:trHeight w:val="81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自201</w:t>
            </w:r>
            <w:r>
              <w:rPr>
                <w:rFonts w:hint="eastAsia" w:cs="Times New Roman"/>
                <w:color w:val="auto"/>
                <w:lang w:val="en-US" w:eastAsia="zh-CN"/>
              </w:rPr>
              <w:t>9</w:t>
            </w:r>
            <w:r>
              <w:rPr>
                <w:rFonts w:hint="eastAsia" w:ascii="Times New Roman" w:hAnsi="Times New Roman" w:eastAsia="宋体" w:cs="Times New Roman"/>
                <w:color w:val="auto"/>
                <w:lang w:val="en-US" w:eastAsia="zh-CN"/>
              </w:rPr>
              <w:t>年</w:t>
            </w:r>
            <w:r>
              <w:rPr>
                <w:rFonts w:hint="eastAsia" w:cs="Times New Roman"/>
                <w:color w:val="auto"/>
                <w:lang w:val="en-US" w:eastAsia="zh-CN"/>
              </w:rPr>
              <w:t>6</w:t>
            </w:r>
            <w:r>
              <w:rPr>
                <w:rFonts w:hint="eastAsia" w:ascii="Times New Roman" w:hAnsi="Times New Roman" w:eastAsia="宋体" w:cs="Times New Roman"/>
                <w:color w:val="auto"/>
                <w:lang w:val="en-US" w:eastAsia="zh-CN"/>
              </w:rPr>
              <w:t>月以来（以合同签订时间为准），投标人承担类似项目实施的经验情况。依照投标人提供的合同案例及发票证明的，每个项目需提供合同扫描件、发票原件扫描件各得0.5分，两项都提供每个项目得1分，最高得</w:t>
            </w:r>
            <w:r>
              <w:rPr>
                <w:rFonts w:hint="eastAsia" w:cs="Times New Roman"/>
                <w:color w:val="auto"/>
                <w:lang w:val="en-US" w:eastAsia="zh-CN"/>
              </w:rPr>
              <w:t>2</w:t>
            </w:r>
            <w:r>
              <w:rPr>
                <w:rFonts w:hint="eastAsia" w:ascii="Times New Roman" w:hAnsi="Times New Roman" w:eastAsia="宋体" w:cs="Times New Roman"/>
                <w:color w:val="auto"/>
                <w:lang w:val="en-US" w:eastAsia="zh-CN"/>
              </w:rPr>
              <w:t>分。</w:t>
            </w:r>
          </w:p>
        </w:tc>
        <w:tc>
          <w:tcPr>
            <w:tcW w:w="683" w:type="dxa"/>
            <w:tcBorders>
              <w:top w:val="nil"/>
              <w:left w:val="nil"/>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auto"/>
                <w:lang w:val="en-US" w:eastAsia="zh-CN"/>
              </w:rPr>
              <w:t>2</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eastAsiaTheme="minorEastAsia"/>
                <w:color w:val="000000" w:themeColor="text1"/>
                <w:lang w:eastAsia="zh-CN"/>
                <w14:textFill>
                  <w14:solidFill>
                    <w14:schemeClr w14:val="tx1"/>
                  </w14:solidFill>
                </w14:textFill>
              </w:rPr>
            </w:pPr>
            <w:r>
              <w:rPr>
                <w:rFonts w:hint="eastAsia" w:ascii="宋体" w:hAnsi="宋体" w:cs="Arial"/>
                <w:b/>
                <w:bCs/>
                <w:color w:val="000000" w:themeColor="text1"/>
                <w:szCs w:val="21"/>
                <w:lang w:eastAsia="zh-CN"/>
                <w14:textFill>
                  <w14:solidFill>
                    <w14:schemeClr w14:val="tx1"/>
                  </w14:solidFill>
                </w14:textFill>
              </w:rPr>
              <w:t>价格</w:t>
            </w:r>
            <w:r>
              <w:rPr>
                <w:rFonts w:hint="eastAsia" w:ascii="宋体" w:hAnsi="宋体" w:cs="Arial"/>
                <w:b/>
                <w:bCs/>
                <w:color w:val="000000" w:themeColor="text1"/>
                <w:szCs w:val="21"/>
                <w:lang w:val="en-US" w:eastAsia="zh-CN"/>
                <w14:textFill>
                  <w14:solidFill>
                    <w14:schemeClr w14:val="tx1"/>
                  </w14:solidFill>
                </w14:textFill>
              </w:rPr>
              <w:t>20</w:t>
            </w:r>
            <w:r>
              <w:rPr>
                <w:rFonts w:hint="eastAsia" w:ascii="宋体" w:hAnsi="宋体" w:cs="Arial"/>
                <w:b/>
                <w:bCs/>
                <w:color w:val="000000" w:themeColor="text1"/>
                <w:szCs w:val="21"/>
                <w:lang w:eastAsia="zh-CN"/>
                <w14:textFill>
                  <w14:solidFill>
                    <w14:schemeClr w14:val="tx1"/>
                  </w14:solidFill>
                </w14:textFill>
              </w:rPr>
              <w:t>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w:t>
            </w:r>
            <w:r>
              <w:rPr>
                <w:rFonts w:hint="eastAsia" w:cs="Times New Roman"/>
                <w:color w:val="auto"/>
                <w:lang w:val="en-US" w:eastAsia="zh-CN"/>
              </w:rPr>
              <w:t>20</w:t>
            </w:r>
            <w:r>
              <w:rPr>
                <w:rFonts w:hint="eastAsia" w:ascii="Times New Roman" w:hAnsi="Times New Roman" w:eastAsia="宋体" w:cs="Times New Roman"/>
                <w:color w:val="auto"/>
                <w:lang w:val="en-US" w:eastAsia="zh-CN"/>
              </w:rPr>
              <w:t xml:space="preserve"> 分。报价得分＝（评标基准价/最终报价）×</w:t>
            </w:r>
            <w:r>
              <w:rPr>
                <w:rFonts w:hint="eastAsia" w:cs="Times New Roman"/>
                <w:color w:val="auto"/>
                <w:lang w:val="en-US" w:eastAsia="zh-CN"/>
              </w:rPr>
              <w:t>20</w:t>
            </w:r>
            <w:r>
              <w:rPr>
                <w:rFonts w:hint="eastAsia" w:ascii="Times New Roman" w:hAnsi="Times New Roman" w:eastAsia="宋体" w:cs="Times New Roman"/>
                <w:color w:val="auto"/>
                <w:lang w:val="en-US" w:eastAsia="zh-CN"/>
              </w:rPr>
              <w:t>%×100（小数点后保留2位小数）。（注：对于小型和微型企业产品的价格给予</w:t>
            </w:r>
            <w:r>
              <w:rPr>
                <w:rFonts w:hint="eastAsia" w:cs="Times New Roman"/>
                <w:color w:val="000000" w:themeColor="text1"/>
                <w:lang w:val="en-US" w:eastAsia="zh-CN"/>
                <w14:textFill>
                  <w14:solidFill>
                    <w14:schemeClr w14:val="tx1"/>
                  </w14:solidFill>
                </w14:textFill>
              </w:rPr>
              <w:t>10</w:t>
            </w:r>
            <w:r>
              <w:rPr>
                <w:rFonts w:hint="eastAsia" w:ascii="Times New Roman" w:hAnsi="Times New Roman" w:eastAsia="宋体" w:cs="Times New Roman"/>
                <w:color w:val="000000" w:themeColor="text1"/>
                <w:lang w:val="en-US" w:eastAsia="zh-CN"/>
                <w14:textFill>
                  <w14:solidFill>
                    <w14:schemeClr w14:val="tx1"/>
                  </w14:solidFill>
                </w14:textFill>
              </w:rPr>
              <w:t>%</w:t>
            </w:r>
            <w:r>
              <w:rPr>
                <w:rFonts w:hint="eastAsia" w:ascii="Times New Roman" w:hAnsi="Times New Roman" w:eastAsia="宋体" w:cs="Times New Roman"/>
                <w:color w:val="auto"/>
                <w:lang w:val="en-US" w:eastAsia="zh-CN"/>
              </w:rPr>
              <w:t>的扣除，用扣除后的价格参与评审。)</w:t>
            </w:r>
          </w:p>
        </w:tc>
        <w:tc>
          <w:tcPr>
            <w:tcW w:w="68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default" w:ascii="Times New Roman" w:hAnsi="Times New Roman" w:eastAsia="宋体" w:cs="Times New Roman"/>
                <w:color w:val="auto"/>
                <w:lang w:val="en-US" w:eastAsia="zh-CN"/>
              </w:rPr>
            </w:pPr>
            <w:r>
              <w:rPr>
                <w:rFonts w:hint="eastAsia" w:cs="Times New Roman"/>
                <w:color w:val="auto"/>
                <w:lang w:val="en-US" w:eastAsia="zh-CN"/>
              </w:rPr>
              <w:t>20</w:t>
            </w:r>
          </w:p>
        </w:tc>
      </w:tr>
    </w:tbl>
    <w:p>
      <w:pPr>
        <w:pStyle w:val="14"/>
        <w:snapToGrid w:val="0"/>
        <w:outlineLvl w:val="0"/>
        <w:rPr>
          <w:rFonts w:hint="eastAsia" w:hAnsi="宋体" w:cs="宋体"/>
          <w:b/>
          <w:color w:val="auto"/>
          <w:sz w:val="24"/>
        </w:rPr>
      </w:pPr>
    </w:p>
    <w:p>
      <w:pPr>
        <w:pStyle w:val="14"/>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28"/>
        <w:ind w:firstLine="440" w:firstLineChars="200"/>
        <w:rPr>
          <w:rFonts w:hint="eastAsia" w:hAnsi="宋体" w:cs="宋体"/>
          <w:b/>
          <w:color w:val="auto"/>
          <w:sz w:val="24"/>
          <w:lang w:eastAsia="zh-CN"/>
        </w:rPr>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21"/>
        <w:ind w:left="0" w:leftChars="0" w:firstLine="0" w:firstLineChars="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0"/>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20"/>
        <w:spacing w:before="0" w:beforeAutospacing="0" w:after="0" w:afterAutospacing="0" w:line="360" w:lineRule="auto"/>
        <w:ind w:firstLine="482" w:firstLineChars="200"/>
        <w:jc w:val="both"/>
        <w:rPr>
          <w:rFonts w:hint="default" w:asciiTheme="minorEastAsia" w:hAnsiTheme="minorEastAsia" w:eastAsiaTheme="minorEastAsia"/>
          <w:b/>
          <w:bCs/>
        </w:rPr>
      </w:pPr>
    </w:p>
    <w:p>
      <w:pPr>
        <w:pStyle w:val="28"/>
        <w:ind w:firstLine="480" w:firstLineChars="200"/>
        <w:rPr>
          <w:rFonts w:hint="eastAsia" w:hAnsi="宋体" w:cs="宋体"/>
          <w:b/>
          <w:color w:val="auto"/>
          <w:sz w:val="24"/>
          <w:lang w:eastAsia="zh-CN"/>
        </w:rPr>
      </w:pPr>
    </w:p>
    <w:p>
      <w:pPr>
        <w:pStyle w:val="4"/>
        <w:rPr>
          <w:rFonts w:hint="eastAsia" w:asciiTheme="minorEastAsia" w:hAnsiTheme="minorEastAsia" w:eastAsiaTheme="minorEastAsia"/>
          <w:kern w:val="0"/>
          <w:sz w:val="24"/>
        </w:rPr>
      </w:pPr>
    </w:p>
    <w:p>
      <w:pPr>
        <w:rPr>
          <w:rFonts w:hint="eastAsia" w:asciiTheme="minorEastAsia" w:hAnsiTheme="minorEastAsia" w:eastAsiaTheme="minorEastAsia"/>
          <w:kern w:val="0"/>
          <w:sz w:val="24"/>
        </w:rPr>
      </w:pPr>
    </w:p>
    <w:p>
      <w:pPr>
        <w:pStyle w:val="4"/>
        <w:rPr>
          <w:rFonts w:hint="eastAsia" w:asciiTheme="minorEastAsia" w:hAnsiTheme="minorEastAsia" w:eastAsiaTheme="minorEastAsia"/>
          <w:kern w:val="0"/>
          <w:sz w:val="24"/>
        </w:rPr>
      </w:pPr>
    </w:p>
    <w:p>
      <w:pPr>
        <w:rPr>
          <w:rFonts w:hint="eastAsia" w:asciiTheme="minorEastAsia" w:hAnsiTheme="minorEastAsia" w:eastAsiaTheme="minorEastAsia"/>
          <w:kern w:val="0"/>
          <w:sz w:val="24"/>
        </w:rPr>
      </w:pPr>
    </w:p>
    <w:p>
      <w:pPr>
        <w:spacing w:line="360" w:lineRule="auto"/>
        <w:jc w:val="center"/>
        <w:rPr>
          <w:rFonts w:asciiTheme="minorEastAsia" w:hAnsiTheme="minorEastAsia" w:eastAsiaTheme="minorEastAsia"/>
          <w:b/>
          <w:sz w:val="36"/>
          <w:szCs w:val="36"/>
        </w:rPr>
      </w:pPr>
      <w:bookmarkStart w:id="39" w:name="_Toc27944_WPSOffice_Level1"/>
      <w:r>
        <w:rPr>
          <w:rFonts w:hint="eastAsia" w:asciiTheme="minorEastAsia" w:hAnsiTheme="minorEastAsia" w:eastAsiaTheme="minorEastAsia"/>
          <w:b/>
          <w:sz w:val="36"/>
          <w:szCs w:val="36"/>
        </w:rPr>
        <w:t xml:space="preserve">第五章 </w:t>
      </w:r>
      <w:bookmarkEnd w:id="39"/>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0"/>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0" w:name="_Toc5481_WPSOffice_Level1"/>
      <w:r>
        <w:rPr>
          <w:rFonts w:hint="eastAsia" w:asciiTheme="minorEastAsia" w:hAnsiTheme="minorEastAsia" w:eastAsiaTheme="minorEastAsia"/>
          <w:b/>
          <w:sz w:val="36"/>
          <w:szCs w:val="36"/>
        </w:rPr>
        <w:t>第六章 投标文件格式</w:t>
      </w:r>
      <w:bookmarkEnd w:id="40"/>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1" w:name="_Toc32372_WPSOffice_Level1"/>
      <w:bookmarkStart w:id="42" w:name="_Toc19093_WPSOffice_Level1"/>
      <w:bookmarkStart w:id="43" w:name="_Toc4956_WPSOffice_Level1"/>
      <w:r>
        <w:rPr>
          <w:rFonts w:hint="eastAsia"/>
          <w:sz w:val="52"/>
          <w:szCs w:val="52"/>
        </w:rPr>
        <w:t>项目名称</w:t>
      </w:r>
      <w:bookmarkEnd w:id="41"/>
      <w:bookmarkEnd w:id="42"/>
      <w:bookmarkEnd w:id="43"/>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9"/>
        </w:numPr>
        <w:spacing w:line="360" w:lineRule="auto"/>
        <w:ind w:hanging="5"/>
        <w:rPr>
          <w:sz w:val="28"/>
          <w:szCs w:val="36"/>
        </w:rPr>
      </w:pPr>
      <w:bookmarkStart w:id="44" w:name="_Toc12587_WPSOffice_Level1"/>
      <w:bookmarkStart w:id="45" w:name="_Toc27049_WPSOffice_Level1"/>
      <w:r>
        <w:rPr>
          <w:rFonts w:hint="eastAsia"/>
          <w:sz w:val="28"/>
          <w:szCs w:val="36"/>
        </w:rPr>
        <w:t>投标声明书（附件2）</w:t>
      </w:r>
      <w:bookmarkEnd w:id="44"/>
      <w:bookmarkEnd w:id="45"/>
    </w:p>
    <w:p>
      <w:pPr>
        <w:numPr>
          <w:ilvl w:val="0"/>
          <w:numId w:val="9"/>
        </w:numPr>
        <w:spacing w:line="360" w:lineRule="auto"/>
        <w:ind w:hanging="5"/>
        <w:rPr>
          <w:sz w:val="28"/>
          <w:szCs w:val="36"/>
        </w:rPr>
      </w:pPr>
      <w:bookmarkStart w:id="46" w:name="_Toc25574_WPSOffice_Level1"/>
      <w:bookmarkStart w:id="47" w:name="_Toc28306_WPSOffice_Level1"/>
      <w:r>
        <w:rPr>
          <w:rFonts w:hint="eastAsia"/>
          <w:sz w:val="28"/>
          <w:szCs w:val="36"/>
        </w:rPr>
        <w:t>授权委托书（法定代表人办理投标事宜的，则无需提交)（附件3）</w:t>
      </w:r>
      <w:bookmarkEnd w:id="46"/>
      <w:bookmarkEnd w:id="47"/>
    </w:p>
    <w:p>
      <w:pPr>
        <w:numPr>
          <w:ilvl w:val="0"/>
          <w:numId w:val="9"/>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9"/>
        </w:numPr>
        <w:spacing w:line="360" w:lineRule="auto"/>
        <w:ind w:hanging="5"/>
        <w:rPr>
          <w:sz w:val="28"/>
          <w:szCs w:val="36"/>
        </w:rPr>
      </w:pPr>
      <w:bookmarkStart w:id="48" w:name="_Toc32100_WPSOffice_Level1"/>
      <w:bookmarkStart w:id="49" w:name="_Toc29616_WPSOffice_Level1"/>
      <w:r>
        <w:rPr>
          <w:rFonts w:hint="eastAsia"/>
          <w:sz w:val="28"/>
          <w:szCs w:val="36"/>
        </w:rPr>
        <w:t>法人或者其他组织的营业执照等证明文件，自然人的身份证明</w:t>
      </w:r>
      <w:bookmarkEnd w:id="48"/>
      <w:bookmarkEnd w:id="49"/>
    </w:p>
    <w:p>
      <w:pPr>
        <w:numPr>
          <w:ilvl w:val="0"/>
          <w:numId w:val="9"/>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9"/>
        </w:numPr>
        <w:spacing w:line="360" w:lineRule="auto"/>
        <w:ind w:hanging="5"/>
        <w:rPr>
          <w:sz w:val="28"/>
          <w:szCs w:val="36"/>
        </w:rPr>
      </w:pPr>
      <w:bookmarkStart w:id="50" w:name="_Toc2696_WPSOffice_Level1"/>
      <w:bookmarkStart w:id="51" w:name="_Toc30751_WPSOffice_Level1"/>
      <w:r>
        <w:rPr>
          <w:rFonts w:hint="eastAsia"/>
          <w:sz w:val="28"/>
          <w:szCs w:val="36"/>
        </w:rPr>
        <w:t>具备履行合同所必需的设备和专业技术能力的证明材料</w:t>
      </w:r>
      <w:bookmarkEnd w:id="50"/>
      <w:bookmarkEnd w:id="51"/>
    </w:p>
    <w:p>
      <w:pPr>
        <w:numPr>
          <w:ilvl w:val="0"/>
          <w:numId w:val="9"/>
        </w:numPr>
        <w:spacing w:line="360" w:lineRule="auto"/>
        <w:ind w:hanging="5"/>
        <w:rPr>
          <w:sz w:val="28"/>
          <w:szCs w:val="36"/>
        </w:rPr>
      </w:pPr>
      <w:bookmarkStart w:id="52" w:name="_Toc14150_WPSOffice_Level1"/>
      <w:bookmarkStart w:id="53" w:name="_Toc4587_WPSOffice_Level1"/>
      <w:r>
        <w:rPr>
          <w:rFonts w:hint="eastAsia"/>
          <w:sz w:val="28"/>
          <w:szCs w:val="36"/>
        </w:rPr>
        <w:t>本项目要求的特定资质证书</w:t>
      </w:r>
      <w:bookmarkEnd w:id="52"/>
      <w:bookmarkEnd w:id="53"/>
    </w:p>
    <w:p>
      <w:pPr>
        <w:spacing w:line="360" w:lineRule="auto"/>
        <w:rPr>
          <w:rFonts w:ascii="宋体" w:hAnsi="宋体"/>
          <w:b/>
          <w:sz w:val="28"/>
        </w:rPr>
      </w:pPr>
    </w:p>
    <w:p>
      <w:pPr>
        <w:spacing w:line="360" w:lineRule="auto"/>
        <w:ind w:left="420"/>
        <w:rPr>
          <w:rFonts w:ascii="宋体" w:hAnsi="宋体"/>
          <w:b/>
          <w:sz w:val="28"/>
        </w:rPr>
      </w:pPr>
    </w:p>
    <w:p>
      <w:pPr>
        <w:pStyle w:val="28"/>
        <w:rPr>
          <w:rFonts w:ascii="宋体" w:hAnsi="宋体"/>
          <w:b/>
          <w:sz w:val="28"/>
        </w:rPr>
      </w:pPr>
    </w:p>
    <w:p>
      <w:pPr>
        <w:pStyle w:val="28"/>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54" w:name="_Toc31708_WPSOffice_Level1"/>
      <w:bookmarkStart w:id="55" w:name="_Toc30723_WPSOffice_Level1"/>
      <w:r>
        <w:rPr>
          <w:rFonts w:hint="eastAsia" w:ascii="宋体" w:hAnsi="宋体"/>
          <w:b/>
          <w:kern w:val="0"/>
          <w:sz w:val="32"/>
          <w:szCs w:val="32"/>
          <w:lang w:val="zh-CN"/>
        </w:rPr>
        <w:t>投标声明书</w:t>
      </w:r>
      <w:bookmarkEnd w:id="54"/>
      <w:bookmarkEnd w:id="55"/>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0"/>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0"/>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0"/>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0"/>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56" w:name="_Toc24373_WPSOffice_Level1"/>
      <w:bookmarkStart w:id="57" w:name="_Toc6870_WPSOffice_Level1"/>
      <w:r>
        <w:rPr>
          <w:b/>
          <w:sz w:val="32"/>
          <w:szCs w:val="32"/>
        </w:rPr>
        <w:t>授权</w:t>
      </w:r>
      <w:r>
        <w:rPr>
          <w:rFonts w:hint="eastAsia"/>
          <w:b/>
          <w:sz w:val="32"/>
          <w:szCs w:val="32"/>
        </w:rPr>
        <w:t>委托</w:t>
      </w:r>
      <w:r>
        <w:rPr>
          <w:b/>
          <w:sz w:val="32"/>
          <w:szCs w:val="32"/>
        </w:rPr>
        <w:t>书</w:t>
      </w:r>
      <w:bookmarkEnd w:id="56"/>
      <w:bookmarkEnd w:id="57"/>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sz w:val="52"/>
          <w:szCs w:val="52"/>
        </w:rPr>
      </w:pPr>
      <w:bookmarkStart w:id="58" w:name="_Toc20519_WPSOffice_Level1"/>
      <w:bookmarkStart w:id="59" w:name="_Toc351_WPSOffice_Level1"/>
      <w:r>
        <w:rPr>
          <w:rFonts w:hint="eastAsia" w:ascii="宋体" w:hAnsi="宋体"/>
          <w:b/>
          <w:sz w:val="28"/>
        </w:rPr>
        <w:t>附件4</w:t>
      </w:r>
      <w:bookmarkEnd w:id="58"/>
      <w:bookmarkEnd w:id="59"/>
    </w:p>
    <w:p>
      <w:pPr>
        <w:jc w:val="center"/>
        <w:rPr>
          <w:sz w:val="52"/>
          <w:szCs w:val="52"/>
        </w:rPr>
      </w:pPr>
      <w:bookmarkStart w:id="60" w:name="_Toc26389_WPSOffice_Level1"/>
      <w:bookmarkStart w:id="61" w:name="_Toc16825_WPSOffice_Level1"/>
      <w:bookmarkStart w:id="62" w:name="_Toc12331_WPSOffice_Level1"/>
      <w:r>
        <w:rPr>
          <w:rFonts w:hint="eastAsia"/>
          <w:sz w:val="52"/>
          <w:szCs w:val="52"/>
        </w:rPr>
        <w:t>项目名称</w:t>
      </w:r>
      <w:bookmarkEnd w:id="60"/>
      <w:bookmarkEnd w:id="61"/>
      <w:bookmarkEnd w:id="6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jc w:val="center"/>
        <w:rPr>
          <w:b/>
          <w:bCs/>
          <w:sz w:val="32"/>
          <w:szCs w:val="32"/>
          <w:lang w:val="zh-CN"/>
        </w:rPr>
      </w:pPr>
      <w:bookmarkStart w:id="63" w:name="_Toc5889_WPSOffice_Level1"/>
      <w:bookmarkStart w:id="64"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3"/>
      <w:bookmarkEnd w:id="64"/>
    </w:p>
    <w:p>
      <w:pPr>
        <w:spacing w:line="360" w:lineRule="auto"/>
        <w:rPr>
          <w:sz w:val="24"/>
          <w:szCs w:val="24"/>
        </w:rPr>
      </w:pPr>
    </w:p>
    <w:p>
      <w:pPr>
        <w:spacing w:line="360" w:lineRule="auto"/>
        <w:ind w:firstLine="562" w:firstLineChars="200"/>
        <w:rPr>
          <w:b/>
          <w:bCs/>
          <w:sz w:val="28"/>
          <w:szCs w:val="28"/>
        </w:rPr>
      </w:pPr>
      <w:bookmarkStart w:id="65" w:name="_Toc21250_WPSOffice_Level1"/>
      <w:bookmarkStart w:id="66" w:name="_Toc20529_WPSOffice_Level1"/>
      <w:r>
        <w:rPr>
          <w:rFonts w:hint="eastAsia"/>
          <w:b/>
          <w:bCs/>
          <w:sz w:val="28"/>
          <w:szCs w:val="28"/>
        </w:rPr>
        <w:t>第一部分  技术方案描述部分</w:t>
      </w:r>
      <w:bookmarkEnd w:id="65"/>
      <w:bookmarkEnd w:id="66"/>
    </w:p>
    <w:p>
      <w:pPr>
        <w:numPr>
          <w:ilvl w:val="0"/>
          <w:numId w:val="11"/>
        </w:numPr>
        <w:spacing w:line="360" w:lineRule="auto"/>
        <w:ind w:left="5" w:firstLine="415"/>
        <w:rPr>
          <w:sz w:val="28"/>
          <w:szCs w:val="28"/>
        </w:rPr>
      </w:pPr>
      <w:r>
        <w:rPr>
          <w:rFonts w:hint="eastAsia"/>
          <w:sz w:val="28"/>
          <w:szCs w:val="28"/>
        </w:rPr>
        <w:t>投标人情况介绍（附件5）</w:t>
      </w:r>
    </w:p>
    <w:p>
      <w:pPr>
        <w:numPr>
          <w:ilvl w:val="0"/>
          <w:numId w:val="11"/>
        </w:numPr>
        <w:spacing w:line="360" w:lineRule="auto"/>
        <w:ind w:left="5" w:firstLine="415"/>
        <w:rPr>
          <w:sz w:val="28"/>
          <w:szCs w:val="28"/>
        </w:rPr>
      </w:pPr>
      <w:r>
        <w:rPr>
          <w:rFonts w:hint="eastAsia"/>
          <w:sz w:val="28"/>
          <w:szCs w:val="28"/>
        </w:rPr>
        <w:t>项目需求的理解与分析</w:t>
      </w:r>
    </w:p>
    <w:p>
      <w:pPr>
        <w:numPr>
          <w:ilvl w:val="0"/>
          <w:numId w:val="11"/>
        </w:numPr>
        <w:spacing w:line="360" w:lineRule="auto"/>
        <w:ind w:left="5" w:firstLine="415"/>
        <w:rPr>
          <w:sz w:val="28"/>
          <w:szCs w:val="28"/>
        </w:rPr>
      </w:pPr>
      <w:r>
        <w:rPr>
          <w:rFonts w:hint="eastAsia"/>
          <w:sz w:val="28"/>
          <w:szCs w:val="28"/>
        </w:rPr>
        <w:t>总体设计（技术、服务）方案</w:t>
      </w:r>
    </w:p>
    <w:p>
      <w:pPr>
        <w:numPr>
          <w:ilvl w:val="0"/>
          <w:numId w:val="11"/>
        </w:numPr>
        <w:spacing w:line="360" w:lineRule="auto"/>
        <w:ind w:left="5" w:firstLine="415"/>
        <w:rPr>
          <w:sz w:val="28"/>
          <w:szCs w:val="28"/>
        </w:rPr>
      </w:pPr>
      <w:r>
        <w:rPr>
          <w:rFonts w:hint="eastAsia"/>
          <w:sz w:val="28"/>
          <w:szCs w:val="28"/>
        </w:rPr>
        <w:t>功能设计方案</w:t>
      </w:r>
    </w:p>
    <w:p>
      <w:pPr>
        <w:numPr>
          <w:ilvl w:val="0"/>
          <w:numId w:val="11"/>
        </w:numPr>
        <w:spacing w:line="360" w:lineRule="auto"/>
        <w:ind w:left="5" w:firstLine="415"/>
        <w:rPr>
          <w:sz w:val="28"/>
          <w:szCs w:val="28"/>
        </w:rPr>
      </w:pPr>
      <w:r>
        <w:rPr>
          <w:rFonts w:hint="eastAsia"/>
          <w:sz w:val="28"/>
          <w:szCs w:val="28"/>
        </w:rPr>
        <w:t>质量保证方案</w:t>
      </w:r>
    </w:p>
    <w:p>
      <w:pPr>
        <w:numPr>
          <w:ilvl w:val="0"/>
          <w:numId w:val="11"/>
        </w:numPr>
        <w:spacing w:line="360" w:lineRule="auto"/>
        <w:ind w:left="5" w:firstLine="415"/>
        <w:rPr>
          <w:sz w:val="28"/>
          <w:szCs w:val="28"/>
        </w:rPr>
      </w:pPr>
      <w:r>
        <w:rPr>
          <w:rFonts w:hint="eastAsia"/>
          <w:sz w:val="28"/>
          <w:szCs w:val="28"/>
        </w:rPr>
        <w:t>项目实施方案</w:t>
      </w:r>
    </w:p>
    <w:p>
      <w:pPr>
        <w:numPr>
          <w:ilvl w:val="0"/>
          <w:numId w:val="11"/>
        </w:numPr>
        <w:spacing w:line="360" w:lineRule="auto"/>
        <w:ind w:left="5" w:firstLine="415"/>
        <w:rPr>
          <w:sz w:val="28"/>
          <w:szCs w:val="28"/>
        </w:rPr>
      </w:pPr>
      <w:r>
        <w:rPr>
          <w:rFonts w:hint="eastAsia"/>
          <w:sz w:val="28"/>
          <w:szCs w:val="28"/>
        </w:rPr>
        <w:t>技术需求响应表（附件6）</w:t>
      </w:r>
    </w:p>
    <w:p>
      <w:pPr>
        <w:numPr>
          <w:ilvl w:val="0"/>
          <w:numId w:val="11"/>
        </w:numPr>
        <w:spacing w:line="360" w:lineRule="auto"/>
        <w:ind w:left="5" w:firstLine="415"/>
        <w:rPr>
          <w:sz w:val="28"/>
          <w:szCs w:val="28"/>
        </w:rPr>
      </w:pPr>
      <w:r>
        <w:rPr>
          <w:rFonts w:hint="eastAsia"/>
          <w:sz w:val="28"/>
          <w:szCs w:val="28"/>
        </w:rPr>
        <w:t>项目实施人员一览表（附件7）</w:t>
      </w:r>
    </w:p>
    <w:p>
      <w:pPr>
        <w:numPr>
          <w:ilvl w:val="0"/>
          <w:numId w:val="11"/>
        </w:numPr>
        <w:spacing w:line="360" w:lineRule="auto"/>
        <w:ind w:left="5" w:firstLine="415"/>
        <w:rPr>
          <w:sz w:val="28"/>
          <w:szCs w:val="28"/>
        </w:rPr>
      </w:pPr>
      <w:r>
        <w:rPr>
          <w:rFonts w:hint="eastAsia"/>
          <w:sz w:val="28"/>
          <w:szCs w:val="28"/>
        </w:rPr>
        <w:t>工程量/原材料、人工费清单（均不含报价）</w:t>
      </w:r>
    </w:p>
    <w:p>
      <w:pPr>
        <w:numPr>
          <w:ilvl w:val="0"/>
          <w:numId w:val="11"/>
        </w:numPr>
        <w:spacing w:line="360" w:lineRule="auto"/>
        <w:ind w:left="5" w:firstLine="415"/>
        <w:rPr>
          <w:sz w:val="28"/>
          <w:szCs w:val="28"/>
        </w:rPr>
      </w:pPr>
      <w:r>
        <w:rPr>
          <w:rFonts w:hint="eastAsia"/>
          <w:sz w:val="28"/>
          <w:szCs w:val="28"/>
        </w:rPr>
        <w:t>项目负责人资格情况表（附件8）</w:t>
      </w:r>
    </w:p>
    <w:p>
      <w:pPr>
        <w:numPr>
          <w:ilvl w:val="0"/>
          <w:numId w:val="11"/>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1"/>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1"/>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7" w:name="_Toc30029_WPSOffice_Level1"/>
      <w:bookmarkStart w:id="68" w:name="_Toc20986_WPSOffice_Level1"/>
      <w:r>
        <w:rPr>
          <w:rFonts w:hint="eastAsia"/>
          <w:b/>
          <w:bCs/>
          <w:sz w:val="28"/>
          <w:szCs w:val="28"/>
        </w:rPr>
        <w:t xml:space="preserve">第二部分  </w:t>
      </w:r>
      <w:bookmarkEnd w:id="67"/>
      <w:bookmarkEnd w:id="68"/>
      <w:r>
        <w:rPr>
          <w:rFonts w:hint="eastAsia"/>
          <w:b/>
          <w:bCs/>
          <w:sz w:val="28"/>
          <w:szCs w:val="28"/>
        </w:rPr>
        <w:t>商务响应及其他部分</w:t>
      </w:r>
    </w:p>
    <w:p>
      <w:pPr>
        <w:numPr>
          <w:ilvl w:val="0"/>
          <w:numId w:val="12"/>
        </w:numPr>
        <w:spacing w:line="360" w:lineRule="auto"/>
        <w:ind w:hanging="5"/>
        <w:rPr>
          <w:sz w:val="28"/>
          <w:szCs w:val="28"/>
        </w:rPr>
      </w:pPr>
      <w:r>
        <w:rPr>
          <w:rFonts w:hint="eastAsia"/>
          <w:sz w:val="28"/>
          <w:szCs w:val="28"/>
        </w:rPr>
        <w:t>证书一览表（附件10）</w:t>
      </w:r>
    </w:p>
    <w:p>
      <w:pPr>
        <w:numPr>
          <w:ilvl w:val="0"/>
          <w:numId w:val="12"/>
        </w:numPr>
        <w:spacing w:line="360" w:lineRule="auto"/>
        <w:ind w:hanging="5"/>
        <w:rPr>
          <w:sz w:val="28"/>
          <w:szCs w:val="28"/>
        </w:rPr>
      </w:pPr>
      <w:r>
        <w:rPr>
          <w:rFonts w:hint="eastAsia"/>
          <w:sz w:val="28"/>
          <w:szCs w:val="28"/>
        </w:rPr>
        <w:t>近三年来类似项目的成功案例（附件11）</w:t>
      </w:r>
    </w:p>
    <w:p>
      <w:pPr>
        <w:pStyle w:val="2"/>
        <w:numPr>
          <w:ilvl w:val="0"/>
          <w:numId w:val="12"/>
        </w:numPr>
        <w:spacing w:line="360" w:lineRule="auto"/>
        <w:ind w:hanging="5"/>
        <w:rPr>
          <w:sz w:val="28"/>
          <w:szCs w:val="28"/>
        </w:rPr>
      </w:pPr>
      <w:r>
        <w:rPr>
          <w:rFonts w:hint="eastAsia"/>
          <w:sz w:val="28"/>
          <w:szCs w:val="28"/>
        </w:rPr>
        <w:t>商务需求响应表（附件12）</w:t>
      </w:r>
    </w:p>
    <w:p>
      <w:pPr>
        <w:pStyle w:val="2"/>
        <w:spacing w:line="360" w:lineRule="auto"/>
        <w:ind w:firstLine="480" w:firstLineChars="200"/>
        <w:rPr>
          <w:sz w:val="24"/>
          <w:szCs w:val="24"/>
        </w:rPr>
      </w:pPr>
    </w:p>
    <w:p>
      <w:pPr>
        <w:pStyle w:val="2"/>
        <w:ind w:left="0" w:leftChars="0" w:firstLine="0" w:firstLineChars="0"/>
        <w:rPr>
          <w:sz w:val="28"/>
          <w:szCs w:val="28"/>
        </w:rPr>
      </w:pPr>
    </w:p>
    <w:p>
      <w:pPr>
        <w:pStyle w:val="2"/>
        <w:rPr>
          <w:sz w:val="28"/>
          <w:szCs w:val="28"/>
        </w:rPr>
      </w:pPr>
    </w:p>
    <w:p>
      <w:pPr>
        <w:pStyle w:val="2"/>
        <w:rPr>
          <w:sz w:val="28"/>
          <w:szCs w:val="28"/>
        </w:rPr>
      </w:pPr>
    </w:p>
    <w:p>
      <w:pPr>
        <w:pStyle w:val="32"/>
        <w:shd w:val="clear" w:color="auto" w:fill="FFFFFF"/>
        <w:spacing w:before="0" w:beforeAutospacing="0" w:after="0" w:afterAutospacing="0" w:line="360" w:lineRule="auto"/>
        <w:rPr>
          <w:b/>
          <w:color w:val="auto"/>
          <w:sz w:val="28"/>
        </w:rPr>
      </w:pPr>
      <w:r>
        <w:rPr>
          <w:rFonts w:hint="eastAsia"/>
          <w:b/>
          <w:color w:val="auto"/>
          <w:sz w:val="28"/>
        </w:rPr>
        <w:t>附件5</w:t>
      </w:r>
    </w:p>
    <w:p>
      <w:pPr>
        <w:pStyle w:val="32"/>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9" w:name="_Toc14261_WPSOffice_Level1"/>
      <w:bookmarkStart w:id="70" w:name="_Toc13307_WPSOffice_Level1"/>
      <w:r>
        <w:rPr>
          <w:rFonts w:hint="eastAsia"/>
          <w:b/>
          <w:color w:val="auto"/>
          <w:sz w:val="32"/>
          <w:szCs w:val="32"/>
        </w:rPr>
        <w:t>投标</w:t>
      </w:r>
      <w:r>
        <w:rPr>
          <w:rFonts w:hint="eastAsia"/>
          <w:b/>
          <w:bCs/>
          <w:color w:val="auto"/>
          <w:sz w:val="32"/>
          <w:szCs w:val="32"/>
        </w:rPr>
        <w:t>人基本情况表</w:t>
      </w:r>
      <w:bookmarkEnd w:id="69"/>
      <w:bookmarkEnd w:id="70"/>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1</w:t>
            </w:r>
            <w:r>
              <w:rPr>
                <w:rFonts w:hint="eastAsia"/>
                <w:bCs/>
              </w:rPr>
              <w:t>.</w:t>
            </w:r>
          </w:p>
          <w:p>
            <w:pPr>
              <w:pStyle w:val="32"/>
              <w:shd w:val="clear" w:color="auto" w:fill="FFFFFF"/>
              <w:spacing w:before="0" w:beforeAutospacing="0" w:after="0" w:afterAutospacing="0"/>
              <w:jc w:val="center"/>
              <w:rPr>
                <w:bCs/>
              </w:rPr>
            </w:pPr>
            <w:r>
              <w:rPr>
                <w:rFonts w:hint="eastAsia"/>
                <w:bCs/>
              </w:rPr>
              <w:t>企</w:t>
            </w:r>
          </w:p>
          <w:p>
            <w:pPr>
              <w:pStyle w:val="32"/>
              <w:shd w:val="clear" w:color="auto" w:fill="FFFFFF"/>
              <w:spacing w:before="0" w:beforeAutospacing="0" w:after="0" w:afterAutospacing="0"/>
              <w:jc w:val="center"/>
              <w:rPr>
                <w:bCs/>
              </w:rPr>
            </w:pPr>
            <w:r>
              <w:rPr>
                <w:rFonts w:hint="eastAsia"/>
                <w:bCs/>
              </w:rPr>
              <w:t>业</w:t>
            </w:r>
          </w:p>
          <w:p>
            <w:pPr>
              <w:pStyle w:val="32"/>
              <w:shd w:val="clear" w:color="auto" w:fill="FFFFFF"/>
              <w:spacing w:before="0" w:beforeAutospacing="0" w:after="0" w:afterAutospacing="0"/>
              <w:jc w:val="center"/>
              <w:rPr>
                <w:bCs/>
              </w:rPr>
            </w:pPr>
            <w:r>
              <w:rPr>
                <w:rFonts w:hint="eastAsia"/>
                <w:bCs/>
              </w:rPr>
              <w:t>概</w:t>
            </w:r>
          </w:p>
          <w:p>
            <w:pPr>
              <w:pStyle w:val="32"/>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平方米</w:t>
            </w:r>
          </w:p>
          <w:p>
            <w:pPr>
              <w:pStyle w:val="32"/>
              <w:shd w:val="clear" w:color="auto" w:fill="FFFFFF"/>
              <w:spacing w:before="0" w:beforeAutospacing="0" w:after="0" w:afterAutospacing="0"/>
              <w:jc w:val="center"/>
              <w:rPr>
                <w:bCs/>
              </w:rPr>
            </w:pPr>
            <w:r>
              <w:rPr>
                <w:rFonts w:hint="eastAsia"/>
                <w:bCs/>
              </w:rPr>
              <w:t>□自有</w:t>
            </w:r>
          </w:p>
          <w:p>
            <w:pPr>
              <w:pStyle w:val="32"/>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2</w:t>
            </w:r>
            <w:r>
              <w:rPr>
                <w:rFonts w:hint="eastAsia"/>
                <w:bCs/>
              </w:rPr>
              <w:t>．</w:t>
            </w:r>
          </w:p>
          <w:p>
            <w:pPr>
              <w:pStyle w:val="32"/>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2"/>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933" w:type="dxa"/>
            <w:tcMar>
              <w:top w:w="57" w:type="dxa"/>
              <w:left w:w="85" w:type="dxa"/>
              <w:bottom w:w="0" w:type="dxa"/>
              <w:right w:w="85" w:type="dxa"/>
            </w:tcMar>
            <w:vAlign w:val="center"/>
          </w:tcPr>
          <w:p>
            <w:pPr>
              <w:pStyle w:val="32"/>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bl>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bookmarkStart w:id="71" w:name="_Toc26601_WPSOffice_Level1"/>
      <w:bookmarkStart w:id="72"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71"/>
      <w:bookmarkEnd w:id="72"/>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4"/>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ascii="宋体" w:hAnsi="宋体"/>
          <w:sz w:val="24"/>
        </w:rPr>
      </w:pPr>
      <w:r>
        <w:rPr>
          <w:rFonts w:hint="eastAsia" w:ascii="宋体" w:hAnsi="宋体"/>
          <w:b/>
          <w:sz w:val="28"/>
        </w:rPr>
        <w:t>附件7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3" w:name="_Toc23671_WPSOffice_Level1"/>
      <w:bookmarkStart w:id="74" w:name="_Toc20569_WPSOffice_Level1"/>
      <w:r>
        <w:rPr>
          <w:rFonts w:hint="eastAsia" w:ascii="宋体" w:hAnsi="宋体"/>
          <w:b/>
          <w:sz w:val="32"/>
          <w:szCs w:val="32"/>
        </w:rPr>
        <w:t>项目实施人员一览表</w:t>
      </w:r>
      <w:bookmarkEnd w:id="73"/>
      <w:bookmarkEnd w:id="74"/>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w:t>
      </w:r>
    </w:p>
    <w:p>
      <w:pPr>
        <w:pStyle w:val="33"/>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pStyle w:val="21"/>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bookmarkStart w:id="75" w:name="_Toc23055_WPSOffice_Level1"/>
      <w:bookmarkStart w:id="76" w:name="_Toc12710_WPSOffice_Level1"/>
      <w:r>
        <w:rPr>
          <w:rFonts w:hint="eastAsia" w:ascii="宋体" w:hAnsi="宋体"/>
          <w:b/>
          <w:bCs/>
          <w:sz w:val="32"/>
          <w:szCs w:val="32"/>
        </w:rPr>
        <w:t>项目负责人资格情况表</w:t>
      </w:r>
      <w:bookmarkEnd w:id="75"/>
      <w:bookmarkEnd w:id="76"/>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7"/>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7"/>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r>
        <w:rPr>
          <w:rFonts w:hint="eastAsia" w:ascii="宋体" w:hAnsi="宋体"/>
          <w:sz w:val="24"/>
          <w:u w:val="single"/>
        </w:rPr>
        <w:t xml:space="preserve">                            </w:t>
      </w:r>
    </w:p>
    <w:p>
      <w:pPr>
        <w:pStyle w:val="35"/>
        <w:spacing w:line="360" w:lineRule="auto"/>
        <w:jc w:val="left"/>
        <w:rPr>
          <w:rFonts w:ascii="宋体" w:hAnsi="宋体"/>
          <w:b/>
          <w:sz w:val="28"/>
        </w:rPr>
      </w:pPr>
      <w:r>
        <w:rPr>
          <w:rFonts w:hint="eastAsia" w:ascii="宋体" w:hAnsi="宋体"/>
          <w:b/>
          <w:sz w:val="28"/>
        </w:rPr>
        <w:t>附件10</w:t>
      </w:r>
    </w:p>
    <w:p>
      <w:pPr>
        <w:pStyle w:val="36"/>
        <w:spacing w:line="360" w:lineRule="auto"/>
        <w:jc w:val="center"/>
        <w:rPr>
          <w:rFonts w:ascii="宋体" w:hAnsi="宋体" w:cs="Arial"/>
          <w:sz w:val="28"/>
          <w:szCs w:val="28"/>
        </w:rPr>
      </w:pPr>
      <w:bookmarkStart w:id="77" w:name="_Toc17604_WPSOffice_Level1"/>
      <w:bookmarkStart w:id="78" w:name="_Toc11030_WPSOffice_Level1"/>
      <w:r>
        <w:rPr>
          <w:rFonts w:hint="eastAsia" w:ascii="宋体" w:hAnsi="宋体"/>
          <w:b/>
          <w:sz w:val="32"/>
          <w:szCs w:val="32"/>
        </w:rPr>
        <w:t>证书一览表</w:t>
      </w:r>
      <w:bookmarkEnd w:id="77"/>
      <w:bookmarkEnd w:id="78"/>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bl>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6"/>
        <w:tabs>
          <w:tab w:val="left" w:pos="1050"/>
        </w:tabs>
        <w:spacing w:line="360" w:lineRule="auto"/>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hint="eastAsia" w:ascii="宋体" w:hAnsi="宋体"/>
          <w:b/>
          <w:bCs/>
          <w:kern w:val="0"/>
          <w:sz w:val="32"/>
          <w:szCs w:val="32"/>
        </w:rPr>
      </w:pPr>
      <w:bookmarkStart w:id="79" w:name="_Toc19231_WPSOffice_Level1"/>
      <w:bookmarkStart w:id="80" w:name="_Toc7134_WPSOffice_Level1"/>
      <w:r>
        <w:rPr>
          <w:rFonts w:hint="eastAsia" w:ascii="宋体" w:hAnsi="宋体"/>
          <w:b/>
          <w:bCs/>
          <w:kern w:val="0"/>
          <w:sz w:val="32"/>
          <w:szCs w:val="32"/>
        </w:rPr>
        <w:t>投标人类似项目实施情况一览表</w:t>
      </w:r>
      <w:bookmarkEnd w:id="79"/>
      <w:bookmarkEnd w:id="80"/>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bookmarkStart w:id="81" w:name="_Toc21582_WPSOffice_Level1"/>
      <w:bookmarkStart w:id="82" w:name="_Toc3068_WPSOffice_Level1"/>
      <w:r>
        <w:rPr>
          <w:rFonts w:hint="eastAsia" w:ascii="宋体" w:hAnsi="宋体"/>
          <w:b/>
          <w:sz w:val="32"/>
          <w:szCs w:val="32"/>
        </w:rPr>
        <w:t>商务需求响应表(第 标)</w:t>
      </w:r>
      <w:bookmarkEnd w:id="81"/>
      <w:bookmarkEnd w:id="82"/>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jc w:val="center"/>
        <w:rPr>
          <w:rFonts w:hint="eastAsia"/>
          <w:sz w:val="52"/>
          <w:szCs w:val="52"/>
        </w:rPr>
      </w:pPr>
      <w:bookmarkStart w:id="83" w:name="_Toc21322_WPSOffice_Level1"/>
      <w:bookmarkStart w:id="84" w:name="_Toc30468_WPSOffice_Level1"/>
      <w:bookmarkStart w:id="85" w:name="_Toc4615_WPSOffice_Level1"/>
    </w:p>
    <w:p>
      <w:pPr>
        <w:jc w:val="center"/>
        <w:rPr>
          <w:rFonts w:hint="eastAsia"/>
          <w:sz w:val="52"/>
          <w:szCs w:val="52"/>
        </w:rPr>
      </w:pPr>
    </w:p>
    <w:p>
      <w:pPr>
        <w:jc w:val="center"/>
        <w:rPr>
          <w:sz w:val="52"/>
          <w:szCs w:val="52"/>
        </w:rPr>
      </w:pPr>
      <w:r>
        <w:rPr>
          <w:rFonts w:hint="eastAsia"/>
          <w:sz w:val="52"/>
          <w:szCs w:val="52"/>
        </w:rPr>
        <w:t>项目名称</w:t>
      </w:r>
      <w:bookmarkEnd w:id="83"/>
      <w:bookmarkEnd w:id="84"/>
      <w:bookmarkEnd w:id="85"/>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86" w:name="_Toc8885_WPSOffice_Level1"/>
      <w:bookmarkStart w:id="87" w:name="_Toc9453_WPSOffice_Level1"/>
      <w:r>
        <w:rPr>
          <w:rFonts w:hint="eastAsia"/>
          <w:sz w:val="84"/>
          <w:szCs w:val="84"/>
        </w:rPr>
        <w:t>报</w:t>
      </w:r>
      <w:bookmarkEnd w:id="86"/>
      <w:bookmarkEnd w:id="87"/>
    </w:p>
    <w:p>
      <w:pPr>
        <w:jc w:val="center"/>
        <w:rPr>
          <w:sz w:val="84"/>
          <w:szCs w:val="84"/>
        </w:rPr>
      </w:pPr>
      <w:bookmarkStart w:id="88" w:name="_Toc10910_WPSOffice_Level1"/>
      <w:bookmarkStart w:id="89" w:name="_Toc7485_WPSOffice_Level1"/>
      <w:r>
        <w:rPr>
          <w:rFonts w:hint="eastAsia"/>
          <w:sz w:val="84"/>
          <w:szCs w:val="84"/>
        </w:rPr>
        <w:t>价</w:t>
      </w:r>
      <w:bookmarkEnd w:id="88"/>
      <w:bookmarkEnd w:id="89"/>
    </w:p>
    <w:p>
      <w:pPr>
        <w:jc w:val="center"/>
        <w:rPr>
          <w:sz w:val="84"/>
          <w:szCs w:val="84"/>
        </w:rPr>
      </w:pPr>
      <w:bookmarkStart w:id="90" w:name="_Toc3932_WPSOffice_Level1"/>
      <w:bookmarkStart w:id="91" w:name="_Toc14572_WPSOffice_Level1"/>
      <w:r>
        <w:rPr>
          <w:rFonts w:hint="eastAsia"/>
          <w:sz w:val="84"/>
          <w:szCs w:val="84"/>
        </w:rPr>
        <w:t>文</w:t>
      </w:r>
      <w:bookmarkEnd w:id="90"/>
      <w:bookmarkEnd w:id="91"/>
    </w:p>
    <w:p>
      <w:pPr>
        <w:jc w:val="center"/>
        <w:rPr>
          <w:sz w:val="84"/>
          <w:szCs w:val="84"/>
        </w:rPr>
      </w:pPr>
      <w:bookmarkStart w:id="92" w:name="_Toc16973_WPSOffice_Level1"/>
      <w:bookmarkStart w:id="93" w:name="_Toc7562_WPSOffice_Level1"/>
      <w:r>
        <w:rPr>
          <w:rFonts w:hint="eastAsia"/>
          <w:sz w:val="84"/>
          <w:szCs w:val="84"/>
        </w:rPr>
        <w:t>件</w:t>
      </w:r>
      <w:bookmarkEnd w:id="92"/>
      <w:bookmarkEnd w:id="93"/>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4" w:name="_Toc4603_WPSOffice_Level1"/>
      <w:bookmarkStart w:id="95" w:name="_Toc26700_WPSOffice_Level1"/>
      <w:r>
        <w:rPr>
          <w:rFonts w:hint="eastAsia" w:ascii="宋体" w:hAnsi="宋体"/>
          <w:sz w:val="36"/>
          <w:szCs w:val="36"/>
        </w:rPr>
        <w:t>投标人全称（公章）：</w:t>
      </w:r>
      <w:bookmarkEnd w:id="94"/>
      <w:bookmarkEnd w:id="95"/>
    </w:p>
    <w:p>
      <w:pPr>
        <w:spacing w:line="360" w:lineRule="auto"/>
        <w:ind w:right="-108" w:firstLine="720" w:firstLineChars="200"/>
        <w:rPr>
          <w:rFonts w:ascii="宋体" w:hAnsi="宋体"/>
          <w:sz w:val="36"/>
          <w:szCs w:val="36"/>
        </w:rPr>
      </w:pPr>
      <w:bookmarkStart w:id="96" w:name="_Toc32593_WPSOffice_Level1"/>
      <w:bookmarkStart w:id="97" w:name="_Toc1391_WPSOffice_Level1"/>
      <w:r>
        <w:rPr>
          <w:rFonts w:hint="eastAsia" w:ascii="宋体" w:hAnsi="宋体"/>
          <w:sz w:val="36"/>
          <w:szCs w:val="36"/>
        </w:rPr>
        <w:t>地    址：</w:t>
      </w:r>
      <w:bookmarkEnd w:id="96"/>
      <w:bookmarkEnd w:id="97"/>
    </w:p>
    <w:p>
      <w:pPr>
        <w:spacing w:line="360" w:lineRule="auto"/>
        <w:ind w:right="-108" w:firstLine="720" w:firstLineChars="200"/>
        <w:rPr>
          <w:rFonts w:ascii="宋体" w:hAnsi="宋体"/>
          <w:sz w:val="36"/>
          <w:szCs w:val="36"/>
        </w:rPr>
      </w:pPr>
      <w:bookmarkStart w:id="98" w:name="_Toc3791_WPSOffice_Level1"/>
      <w:bookmarkStart w:id="99" w:name="_Toc20938_WPSOffice_Level1"/>
      <w:r>
        <w:rPr>
          <w:rFonts w:hint="eastAsia" w:ascii="宋体" w:hAnsi="宋体"/>
          <w:sz w:val="36"/>
          <w:szCs w:val="36"/>
        </w:rPr>
        <w:t>时    间：</w:t>
      </w:r>
      <w:bookmarkEnd w:id="98"/>
      <w:bookmarkEnd w:id="99"/>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2"/>
        <w:rPr>
          <w:rFonts w:ascii="仿宋_GB2312" w:hAnsi="宋体" w:eastAsia="仿宋_GB2312"/>
          <w:b/>
          <w:sz w:val="36"/>
          <w:szCs w:val="36"/>
        </w:rPr>
      </w:pPr>
    </w:p>
    <w:p>
      <w:pPr>
        <w:spacing w:line="480" w:lineRule="auto"/>
        <w:jc w:val="center"/>
        <w:rPr>
          <w:rFonts w:ascii="宋体" w:hAnsi="宋体"/>
          <w:b/>
          <w:bCs/>
          <w:sz w:val="36"/>
          <w:szCs w:val="36"/>
        </w:rPr>
      </w:pPr>
      <w:bookmarkStart w:id="100" w:name="_Toc29537_WPSOffice_Level1"/>
      <w:bookmarkStart w:id="101" w:name="_Toc19972_WPSOffice_Level1"/>
      <w:r>
        <w:rPr>
          <w:rFonts w:hint="eastAsia" w:ascii="宋体" w:hAnsi="宋体"/>
          <w:b/>
          <w:bCs/>
          <w:sz w:val="36"/>
          <w:szCs w:val="36"/>
        </w:rPr>
        <w:t>报价文件目录</w:t>
      </w:r>
      <w:bookmarkEnd w:id="100"/>
      <w:bookmarkEnd w:id="101"/>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02" w:name="_Toc6778_WPSOffice_Level1"/>
      <w:bookmarkStart w:id="103" w:name="_Toc2998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开标一览表（附件14）</w:t>
      </w:r>
      <w:bookmarkEnd w:id="102"/>
      <w:bookmarkEnd w:id="103"/>
    </w:p>
    <w:p>
      <w:pPr>
        <w:spacing w:line="360" w:lineRule="auto"/>
        <w:jc w:val="both"/>
        <w:rPr>
          <w:rFonts w:hint="eastAsia" w:asciiTheme="minorEastAsia" w:hAnsiTheme="minorEastAsia" w:eastAsiaTheme="minorEastAsia" w:cstheme="minorEastAsia"/>
          <w:sz w:val="28"/>
          <w:szCs w:val="28"/>
        </w:rPr>
      </w:pPr>
      <w:bookmarkStart w:id="104" w:name="_Toc11601_WPSOffice_Level1"/>
      <w:bookmarkStart w:id="105" w:name="_Toc15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报价明细表（附件15）</w:t>
      </w:r>
      <w:bookmarkEnd w:id="104"/>
      <w:bookmarkEnd w:id="105"/>
    </w:p>
    <w:p>
      <w:pPr>
        <w:spacing w:line="360" w:lineRule="auto"/>
        <w:jc w:val="both"/>
        <w:rPr>
          <w:rFonts w:hint="eastAsia" w:asciiTheme="minorEastAsia" w:hAnsiTheme="minorEastAsia" w:eastAsiaTheme="minorEastAsia" w:cstheme="minorEastAsia"/>
          <w:sz w:val="28"/>
          <w:szCs w:val="28"/>
          <w:lang w:val="en-GB" w:eastAsia="zh-CN"/>
        </w:rPr>
      </w:pPr>
      <w:r>
        <w:rPr>
          <w:rFonts w:hint="eastAsia" w:asciiTheme="minorEastAsia" w:hAnsiTheme="minorEastAsia" w:eastAsiaTheme="minorEastAsia" w:cstheme="minorEastAsia"/>
          <w:sz w:val="28"/>
          <w:szCs w:val="28"/>
          <w:lang w:val="en-US" w:eastAsia="zh-CN"/>
        </w:rPr>
        <w:t>3、配置服务人员费用报价明细表（附件16）</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4、设备机械、器材、工具物资配备清单（附件17）</w:t>
      </w:r>
    </w:p>
    <w:p>
      <w:pPr>
        <w:spacing w:line="360" w:lineRule="auto"/>
        <w:jc w:val="both"/>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5、耗材配备表 （附件18） </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6、中小企业声明函（附件19）</w:t>
      </w:r>
    </w:p>
    <w:p>
      <w:pPr>
        <w:spacing w:line="360" w:lineRule="auto"/>
        <w:jc w:val="both"/>
        <w:rPr>
          <w:rFonts w:hint="default"/>
          <w:lang w:val="en-US" w:eastAsia="zh-CN"/>
        </w:rPr>
      </w:pPr>
      <w:r>
        <w:rPr>
          <w:rFonts w:hint="eastAsia" w:asciiTheme="minorEastAsia" w:hAnsiTheme="minorEastAsia" w:eastAsiaTheme="minorEastAsia" w:cstheme="minorEastAsia"/>
          <w:sz w:val="28"/>
          <w:szCs w:val="28"/>
          <w:lang w:val="en-US" w:eastAsia="zh-CN"/>
        </w:rPr>
        <w:t>7、临时保卫服务承诺函（附件20）</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8、针对报价投标人认为其他需要说明的；</w:t>
      </w:r>
    </w:p>
    <w:p>
      <w:pPr>
        <w:spacing w:line="360" w:lineRule="auto"/>
        <w:jc w:val="both"/>
        <w:rPr>
          <w:rFonts w:hint="eastAsia" w:asciiTheme="minorEastAsia" w:hAnsiTheme="minorEastAsia" w:eastAsiaTheme="minorEastAsia" w:cstheme="minorEastAsia"/>
          <w:sz w:val="28"/>
          <w:szCs w:val="28"/>
          <w:lang w:val="en-US" w:eastAsia="zh-CN"/>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06" w:name="_Toc30363_WPSOffice_Level1"/>
      <w:bookmarkStart w:id="107" w:name="_Toc16144_WPSOffice_Level1"/>
      <w:r>
        <w:rPr>
          <w:rFonts w:hint="eastAsia" w:ascii="宋体" w:hAnsi="宋体"/>
          <w:b/>
          <w:sz w:val="32"/>
          <w:szCs w:val="32"/>
        </w:rPr>
        <w:t xml:space="preserve">开标一览表 </w:t>
      </w:r>
      <w:bookmarkEnd w:id="106"/>
      <w:bookmarkEnd w:id="107"/>
    </w:p>
    <w:p>
      <w:pPr>
        <w:spacing w:line="360" w:lineRule="auto"/>
        <w:ind w:left="-2" w:hanging="2"/>
        <w:jc w:val="center"/>
        <w:rPr>
          <w:rFonts w:ascii="宋体" w:hAnsi="宋体"/>
          <w:b/>
          <w:sz w:val="32"/>
          <w:szCs w:val="32"/>
        </w:rPr>
      </w:pP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113"/>
        <w:gridCol w:w="1134"/>
        <w:gridCol w:w="1183"/>
        <w:gridCol w:w="2333"/>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eastAsia="宋体"/>
                <w:lang w:eastAsia="zh-CN"/>
              </w:rPr>
            </w:pPr>
            <w:r>
              <w:rPr>
                <w:rFonts w:hint="eastAsia"/>
                <w:lang w:eastAsia="zh-CN"/>
              </w:rPr>
              <w:t>岗位数</w:t>
            </w:r>
          </w:p>
        </w:tc>
        <w:tc>
          <w:tcPr>
            <w:tcW w:w="233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rPr>
              <w:t>单位</w:t>
            </w:r>
          </w:p>
          <w:p>
            <w:pPr>
              <w:tabs>
                <w:tab w:val="left" w:pos="8280"/>
              </w:tabs>
              <w:autoSpaceDE w:val="0"/>
              <w:autoSpaceDN w:val="0"/>
              <w:adjustRightInd w:val="0"/>
              <w:spacing w:line="360" w:lineRule="auto"/>
              <w:ind w:right="25"/>
              <w:jc w:val="center"/>
              <w:rPr>
                <w:rFonts w:hint="eastAsia"/>
              </w:rPr>
            </w:pPr>
            <w:r>
              <w:rPr>
                <w:rFonts w:hint="eastAsia"/>
              </w:rPr>
              <w:t>（元/每</w:t>
            </w:r>
            <w:r>
              <w:rPr>
                <w:rFonts w:hint="eastAsia"/>
                <w:lang w:eastAsia="zh-CN"/>
              </w:rPr>
              <w:t>岗</w:t>
            </w:r>
            <w:r>
              <w:rPr>
                <w:rFonts w:hint="eastAsia"/>
              </w:rPr>
              <w:t>.月）</w:t>
            </w:r>
          </w:p>
        </w:tc>
        <w:tc>
          <w:tcPr>
            <w:tcW w:w="2734"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rFonts w:hint="eastAsia"/>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color w:val="000000"/>
              </w:rPr>
            </w:pPr>
          </w:p>
        </w:tc>
        <w:tc>
          <w:tcPr>
            <w:tcW w:w="1134"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rFonts w:hint="default" w:eastAsia="宋体"/>
                <w:color w:val="000000"/>
                <w:lang w:val="en-US" w:eastAsia="zh-CN"/>
              </w:rPr>
            </w:pPr>
            <w:r>
              <w:rPr>
                <w:rFonts w:hint="eastAsia"/>
                <w:color w:val="000000"/>
                <w:lang w:val="en-US" w:eastAsia="zh-CN"/>
              </w:rPr>
              <w:t>1年</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default" w:eastAsia="宋体"/>
                <w:lang w:val="en-US" w:eastAsia="zh-CN"/>
              </w:rPr>
            </w:pPr>
            <w:r>
              <w:rPr>
                <w:rFonts w:hint="eastAsia"/>
                <w:lang w:val="en-US" w:eastAsia="zh-CN"/>
              </w:rPr>
              <w:t xml:space="preserve"> 人</w:t>
            </w:r>
          </w:p>
        </w:tc>
        <w:tc>
          <w:tcPr>
            <w:tcW w:w="2333"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c>
          <w:tcPr>
            <w:tcW w:w="2734"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报价说明：总价＝服务期限*</w:t>
            </w:r>
            <w:r>
              <w:rPr>
                <w:rFonts w:hint="eastAsia"/>
                <w:color w:val="000000"/>
                <w:lang w:eastAsia="zh-CN"/>
              </w:rPr>
              <w:t>岗位数</w:t>
            </w:r>
            <w:r>
              <w:rPr>
                <w:rFonts w:hint="eastAsia"/>
                <w:color w:val="00000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s="宋体"/>
                <w:bCs/>
                <w:color w:val="000000"/>
              </w:rPr>
            </w:pPr>
            <w:r>
              <w:rPr>
                <w:rFonts w:hint="eastAsia" w:cs="宋体"/>
                <w:bCs/>
                <w:color w:val="000000"/>
              </w:rPr>
              <w:t>（商务报价小数点后保留两位小数）</w:t>
            </w:r>
          </w:p>
        </w:tc>
      </w:tr>
    </w:tbl>
    <w:p>
      <w:pPr>
        <w:pStyle w:val="41"/>
        <w:spacing w:line="360" w:lineRule="auto"/>
        <w:ind w:right="480" w:firstLine="480" w:firstLineChars="200"/>
        <w:jc w:val="left"/>
        <w:rPr>
          <w:rFonts w:hint="eastAsia" w:ascii="宋体" w:hAnsi="宋体"/>
          <w:sz w:val="24"/>
        </w:rPr>
      </w:pPr>
    </w:p>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rPr>
          <w:rFonts w:ascii="宋体" w:hAnsi="宋体"/>
          <w:b/>
          <w:sz w:val="28"/>
        </w:rPr>
      </w:pPr>
    </w:p>
    <w:p>
      <w:pPr>
        <w:pStyle w:val="2"/>
        <w:rPr>
          <w:rFonts w:ascii="宋体" w:hAnsi="宋体"/>
          <w:b/>
          <w:sz w:val="28"/>
        </w:rPr>
      </w:pPr>
    </w:p>
    <w:p>
      <w:pPr>
        <w:pStyle w:val="21"/>
        <w:ind w:left="0" w:leftChars="0" w:firstLine="0" w:firstLineChars="0"/>
        <w:rPr>
          <w:rFonts w:hint="eastAsia"/>
        </w:rPr>
      </w:pPr>
    </w:p>
    <w:p>
      <w:pPr>
        <w:spacing w:line="360" w:lineRule="auto"/>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8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87"/>
        <w:gridCol w:w="1395"/>
        <w:gridCol w:w="1935"/>
        <w:gridCol w:w="141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851" w:type="dxa"/>
            <w:vAlign w:val="center"/>
          </w:tcPr>
          <w:p>
            <w:pPr>
              <w:spacing w:line="360" w:lineRule="auto"/>
              <w:rPr>
                <w:rFonts w:ascii="宋体" w:hAnsi="宋体"/>
                <w:b/>
                <w:sz w:val="24"/>
              </w:rPr>
            </w:pPr>
            <w:r>
              <w:rPr>
                <w:rFonts w:hint="eastAsia" w:ascii="宋体" w:hAnsi="宋体"/>
                <w:b/>
                <w:sz w:val="24"/>
              </w:rPr>
              <w:t>序号</w:t>
            </w:r>
          </w:p>
        </w:tc>
        <w:tc>
          <w:tcPr>
            <w:tcW w:w="1787" w:type="dxa"/>
            <w:vAlign w:val="center"/>
          </w:tcPr>
          <w:p>
            <w:pPr>
              <w:spacing w:line="360" w:lineRule="auto"/>
              <w:rPr>
                <w:rFonts w:ascii="宋体" w:hAnsi="宋体"/>
                <w:b/>
                <w:sz w:val="24"/>
              </w:rPr>
            </w:pPr>
            <w:r>
              <w:rPr>
                <w:rFonts w:hint="eastAsia" w:ascii="宋体" w:hAnsi="宋体"/>
                <w:b/>
                <w:sz w:val="24"/>
              </w:rPr>
              <w:t>报价名称（成本组成内容）</w:t>
            </w:r>
          </w:p>
        </w:tc>
        <w:tc>
          <w:tcPr>
            <w:tcW w:w="1395" w:type="dxa"/>
            <w:vAlign w:val="center"/>
          </w:tcPr>
          <w:p>
            <w:pPr>
              <w:spacing w:line="360" w:lineRule="auto"/>
              <w:ind w:left="152"/>
              <w:jc w:val="center"/>
              <w:rPr>
                <w:rFonts w:ascii="宋体" w:hAnsi="宋体"/>
                <w:b/>
                <w:sz w:val="24"/>
              </w:rPr>
            </w:pPr>
            <w:r>
              <w:rPr>
                <w:rFonts w:hint="eastAsia" w:ascii="宋体" w:hAnsi="宋体"/>
                <w:b/>
                <w:sz w:val="24"/>
              </w:rPr>
              <w:t>人员数量</w:t>
            </w:r>
          </w:p>
        </w:tc>
        <w:tc>
          <w:tcPr>
            <w:tcW w:w="1935" w:type="dxa"/>
            <w:vAlign w:val="center"/>
          </w:tcPr>
          <w:p>
            <w:pPr>
              <w:spacing w:line="360" w:lineRule="auto"/>
              <w:jc w:val="center"/>
              <w:rPr>
                <w:rFonts w:hint="eastAsia" w:ascii="宋体" w:hAnsi="宋体" w:eastAsia="宋体"/>
                <w:b/>
                <w:sz w:val="24"/>
                <w:lang w:eastAsia="zh-CN"/>
              </w:rPr>
            </w:pPr>
            <w:r>
              <w:rPr>
                <w:rFonts w:hint="eastAsia" w:ascii="宋体" w:hAnsi="宋体"/>
                <w:b/>
                <w:sz w:val="24"/>
              </w:rPr>
              <w:t>单价（元/人/</w:t>
            </w:r>
            <w:r>
              <w:rPr>
                <w:rFonts w:hint="eastAsia" w:ascii="宋体" w:hAnsi="宋体"/>
                <w:b/>
                <w:szCs w:val="21"/>
              </w:rPr>
              <w:t>月</w:t>
            </w:r>
            <w:r>
              <w:rPr>
                <w:rFonts w:hint="eastAsia" w:ascii="宋体" w:hAnsi="宋体"/>
                <w:b/>
                <w:szCs w:val="21"/>
                <w:lang w:eastAsia="zh-CN"/>
              </w:rPr>
              <w:t>）</w:t>
            </w:r>
          </w:p>
        </w:tc>
        <w:tc>
          <w:tcPr>
            <w:tcW w:w="1410" w:type="dxa"/>
            <w:vAlign w:val="center"/>
          </w:tcPr>
          <w:p>
            <w:pPr>
              <w:spacing w:line="360" w:lineRule="auto"/>
              <w:jc w:val="center"/>
              <w:rPr>
                <w:rFonts w:ascii="宋体" w:hAnsi="宋体"/>
                <w:b/>
                <w:sz w:val="24"/>
              </w:rPr>
            </w:pPr>
            <w:r>
              <w:rPr>
                <w:rFonts w:hint="eastAsia" w:ascii="宋体" w:hAnsi="宋体"/>
                <w:b/>
                <w:sz w:val="24"/>
              </w:rPr>
              <w:t>小计</w:t>
            </w:r>
          </w:p>
        </w:tc>
        <w:tc>
          <w:tcPr>
            <w:tcW w:w="1095"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51" w:type="dxa"/>
          </w:tcPr>
          <w:p>
            <w:pPr>
              <w:pStyle w:val="50"/>
              <w:spacing w:line="360" w:lineRule="auto"/>
              <w:jc w:val="center"/>
              <w:rPr>
                <w:rFonts w:ascii="仿宋_GB2312" w:hAnsi="仿宋" w:eastAsia="仿宋_GB2312"/>
                <w:sz w:val="30"/>
                <w:szCs w:val="30"/>
              </w:rPr>
            </w:pPr>
            <w:r>
              <w:rPr>
                <w:rFonts w:hint="eastAsia" w:ascii="仿宋_GB2312" w:hAnsi="仿宋" w:eastAsia="仿宋_GB2312"/>
                <w:sz w:val="30"/>
                <w:szCs w:val="30"/>
              </w:rPr>
              <w:t>1</w:t>
            </w:r>
          </w:p>
        </w:tc>
        <w:tc>
          <w:tcPr>
            <w:tcW w:w="1787" w:type="dxa"/>
            <w:vAlign w:val="center"/>
          </w:tcPr>
          <w:p>
            <w:pPr>
              <w:spacing w:line="360" w:lineRule="auto"/>
              <w:rPr>
                <w:rFonts w:ascii="仿宋_GB2312" w:hAnsi="仿宋" w:eastAsia="仿宋_GB2312"/>
                <w:sz w:val="28"/>
                <w:szCs w:val="28"/>
              </w:rPr>
            </w:pPr>
            <w:r>
              <w:rPr>
                <w:rFonts w:hint="eastAsia" w:ascii="仿宋_GB2312" w:hAnsi="仿宋" w:eastAsia="仿宋_GB2312"/>
                <w:sz w:val="28"/>
                <w:szCs w:val="28"/>
              </w:rPr>
              <w:t>人员费用</w:t>
            </w:r>
            <w:r>
              <w:rPr>
                <w:rFonts w:hint="eastAsia" w:ascii="仿宋_GB2312" w:hAnsi="宋体" w:eastAsia="仿宋_GB2312"/>
                <w:sz w:val="24"/>
              </w:rPr>
              <w:t>（不含加班补贴）</w:t>
            </w: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51" w:type="dxa"/>
          </w:tcPr>
          <w:p>
            <w:pPr>
              <w:pStyle w:val="50"/>
              <w:spacing w:line="360" w:lineRule="auto"/>
              <w:jc w:val="center"/>
              <w:rPr>
                <w:rFonts w:ascii="仿宋_GB2312" w:hAnsi="仿宋" w:eastAsia="仿宋_GB2312"/>
                <w:sz w:val="30"/>
                <w:szCs w:val="30"/>
              </w:rPr>
            </w:pPr>
            <w:r>
              <w:rPr>
                <w:rFonts w:hint="eastAsia" w:ascii="仿宋_GB2312" w:hAnsi="仿宋" w:eastAsia="仿宋_GB2312"/>
                <w:sz w:val="30"/>
                <w:szCs w:val="30"/>
              </w:rPr>
              <w:t>2</w:t>
            </w:r>
          </w:p>
        </w:tc>
        <w:tc>
          <w:tcPr>
            <w:tcW w:w="1787" w:type="dxa"/>
            <w:vAlign w:val="center"/>
          </w:tcPr>
          <w:p>
            <w:pPr>
              <w:spacing w:line="360" w:lineRule="auto"/>
              <w:rPr>
                <w:rFonts w:ascii="仿宋_GB2312" w:hAnsi="仿宋" w:eastAsia="仿宋_GB2312"/>
                <w:sz w:val="28"/>
                <w:szCs w:val="28"/>
              </w:rPr>
            </w:pP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51" w:type="dxa"/>
            <w:vAlign w:val="center"/>
          </w:tcPr>
          <w:p>
            <w:pPr>
              <w:spacing w:line="360" w:lineRule="auto"/>
              <w:jc w:val="center"/>
              <w:rPr>
                <w:rFonts w:ascii="宋体" w:hAnsi="宋体"/>
                <w:sz w:val="24"/>
              </w:rPr>
            </w:pPr>
            <w:r>
              <w:rPr>
                <w:rFonts w:hint="eastAsia" w:ascii="仿宋_GB2312" w:hAnsi="仿宋" w:eastAsia="仿宋_GB2312"/>
                <w:sz w:val="30"/>
                <w:szCs w:val="30"/>
              </w:rPr>
              <w:t>3</w:t>
            </w:r>
          </w:p>
        </w:tc>
        <w:tc>
          <w:tcPr>
            <w:tcW w:w="1787" w:type="dxa"/>
            <w:vAlign w:val="center"/>
          </w:tcPr>
          <w:p>
            <w:pPr>
              <w:spacing w:line="360" w:lineRule="auto"/>
              <w:rPr>
                <w:rFonts w:ascii="宋体" w:hAnsi="宋体"/>
                <w:sz w:val="24"/>
              </w:rPr>
            </w:pP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851" w:type="dxa"/>
            <w:vAlign w:val="center"/>
          </w:tcPr>
          <w:p>
            <w:pPr>
              <w:spacing w:line="360" w:lineRule="auto"/>
              <w:rPr>
                <w:rFonts w:ascii="宋体" w:hAnsi="宋体"/>
                <w:sz w:val="24"/>
              </w:rPr>
            </w:pPr>
            <w:r>
              <w:rPr>
                <w:rFonts w:hint="eastAsia" w:ascii="仿宋_GB2312" w:hAnsi="仿宋" w:eastAsia="仿宋_GB2312"/>
                <w:sz w:val="30"/>
                <w:szCs w:val="30"/>
              </w:rPr>
              <w:t>……</w:t>
            </w:r>
          </w:p>
        </w:tc>
        <w:tc>
          <w:tcPr>
            <w:tcW w:w="1787" w:type="dxa"/>
            <w:vAlign w:val="center"/>
          </w:tcPr>
          <w:p>
            <w:pPr>
              <w:spacing w:line="360" w:lineRule="auto"/>
              <w:rPr>
                <w:rFonts w:ascii="宋体" w:hAnsi="宋体"/>
                <w:sz w:val="24"/>
              </w:rPr>
            </w:pP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851" w:type="dxa"/>
            <w:vAlign w:val="center"/>
          </w:tcPr>
          <w:p>
            <w:pPr>
              <w:spacing w:line="360" w:lineRule="auto"/>
              <w:rPr>
                <w:rFonts w:ascii="宋体" w:hAnsi="宋体"/>
                <w:sz w:val="24"/>
              </w:rPr>
            </w:pPr>
          </w:p>
        </w:tc>
        <w:tc>
          <w:tcPr>
            <w:tcW w:w="1787" w:type="dxa"/>
            <w:vAlign w:val="center"/>
          </w:tcPr>
          <w:p>
            <w:pPr>
              <w:spacing w:line="360" w:lineRule="auto"/>
              <w:rPr>
                <w:rFonts w:ascii="宋体" w:hAnsi="宋体"/>
                <w:sz w:val="24"/>
              </w:rPr>
            </w:pPr>
          </w:p>
        </w:tc>
        <w:tc>
          <w:tcPr>
            <w:tcW w:w="1395" w:type="dxa"/>
            <w:vAlign w:val="center"/>
          </w:tcPr>
          <w:p>
            <w:pPr>
              <w:spacing w:line="360" w:lineRule="auto"/>
              <w:rPr>
                <w:rFonts w:ascii="宋体" w:hAnsi="宋体"/>
                <w:sz w:val="24"/>
              </w:rPr>
            </w:pPr>
          </w:p>
        </w:tc>
        <w:tc>
          <w:tcPr>
            <w:tcW w:w="1935" w:type="dxa"/>
            <w:vAlign w:val="center"/>
          </w:tcPr>
          <w:p>
            <w:pPr>
              <w:spacing w:line="360" w:lineRule="auto"/>
              <w:rPr>
                <w:rFonts w:ascii="宋体" w:hAnsi="宋体"/>
                <w:sz w:val="24"/>
              </w:rPr>
            </w:pPr>
          </w:p>
        </w:tc>
        <w:tc>
          <w:tcPr>
            <w:tcW w:w="1410" w:type="dxa"/>
            <w:vAlign w:val="center"/>
          </w:tcPr>
          <w:p>
            <w:pPr>
              <w:spacing w:line="360" w:lineRule="auto"/>
              <w:rPr>
                <w:rFonts w:ascii="宋体" w:hAnsi="宋体"/>
                <w:sz w:val="24"/>
              </w:rPr>
            </w:pPr>
          </w:p>
        </w:tc>
        <w:tc>
          <w:tcPr>
            <w:tcW w:w="109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8473" w:type="dxa"/>
            <w:gridSpan w:val="6"/>
            <w:vAlign w:val="center"/>
          </w:tcPr>
          <w:p>
            <w:pPr>
              <w:spacing w:line="360" w:lineRule="auto"/>
              <w:rPr>
                <w:rFonts w:ascii="宋体" w:hAnsi="宋体"/>
                <w:sz w:val="24"/>
              </w:rPr>
            </w:pPr>
            <w:r>
              <w:rPr>
                <w:rFonts w:hint="eastAsia" w:ascii="宋体" w:hAnsi="宋体"/>
                <w:b/>
                <w:sz w:val="24"/>
              </w:rPr>
              <w:t>合计人民币：大写                              小写</w:t>
            </w:r>
          </w:p>
        </w:tc>
      </w:tr>
    </w:tbl>
    <w:p>
      <w:pPr>
        <w:pStyle w:val="41"/>
        <w:spacing w:line="360" w:lineRule="auto"/>
        <w:ind w:right="480" w:firstLine="480" w:firstLineChars="200"/>
        <w:jc w:val="left"/>
        <w:rPr>
          <w:rFonts w:hint="eastAsia"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hint="eastAsia"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pStyle w:val="1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r>
        <w:rPr>
          <w:rFonts w:hint="eastAsia" w:ascii="宋体" w:hAnsi="宋体"/>
          <w:b/>
          <w:sz w:val="28"/>
        </w:rPr>
        <w:t>附件16</w:t>
      </w:r>
    </w:p>
    <w:p>
      <w:pPr>
        <w:pStyle w:val="39"/>
        <w:spacing w:line="360" w:lineRule="auto"/>
        <w:jc w:val="center"/>
        <w:rPr>
          <w:rFonts w:hAnsi="宋体"/>
          <w:b/>
          <w:sz w:val="32"/>
          <w:szCs w:val="32"/>
          <w:lang w:val="en-GB"/>
        </w:rPr>
      </w:pPr>
      <w:r>
        <w:rPr>
          <w:rFonts w:hint="eastAsia" w:hAnsi="宋体"/>
          <w:b/>
          <w:sz w:val="32"/>
          <w:szCs w:val="32"/>
        </w:rPr>
        <w:t>配置服务人员费用报价明细表</w:t>
      </w:r>
    </w:p>
    <w:p>
      <w:pPr>
        <w:pStyle w:val="56"/>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6"/>
        <w:spacing w:line="360" w:lineRule="auto"/>
        <w:jc w:val="right"/>
        <w:rPr>
          <w:rFonts w:hint="eastAsia" w:ascii="宋体" w:hAnsi="宋体"/>
          <w:sz w:val="24"/>
        </w:rPr>
      </w:pPr>
      <w:r>
        <w:rPr>
          <w:rFonts w:hint="eastAsia" w:ascii="宋体" w:hAnsi="宋体"/>
          <w:sz w:val="24"/>
        </w:rPr>
        <w:t xml:space="preserve"> [货币单位：人民币元]</w:t>
      </w:r>
    </w:p>
    <w:tbl>
      <w:tblPr>
        <w:tblStyle w:val="22"/>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w:t>
            </w:r>
            <w:r>
              <w:rPr>
                <w:rFonts w:hint="eastAsia" w:ascii="黑体" w:hAnsi="宋体" w:eastAsia="黑体" w:cs="黑体"/>
                <w:color w:val="000000"/>
                <w:kern w:val="0"/>
                <w:sz w:val="22"/>
                <w:szCs w:val="22"/>
                <w:lang w:eastAsia="zh-CN"/>
              </w:rPr>
              <w:t>月</w:t>
            </w:r>
            <w:r>
              <w:rPr>
                <w:rFonts w:hint="eastAsia" w:ascii="黑体" w:hAnsi="宋体" w:eastAsia="黑体" w:cs="黑体"/>
                <w:color w:val="000000"/>
                <w:kern w:val="0"/>
                <w:sz w:val="22"/>
                <w:szCs w:val="22"/>
              </w:rPr>
              <w:t>）</w:t>
            </w:r>
          </w:p>
        </w:tc>
        <w:tc>
          <w:tcPr>
            <w:tcW w:w="1170" w:type="dxa"/>
            <w:vMerge w:val="restart"/>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901"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11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1035"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小计</w:t>
            </w:r>
          </w:p>
        </w:tc>
        <w:tc>
          <w:tcPr>
            <w:tcW w:w="117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93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主管</w:t>
            </w:r>
          </w:p>
        </w:tc>
        <w:tc>
          <w:tcPr>
            <w:tcW w:w="1110" w:type="dxa"/>
            <w:vAlign w:val="center"/>
          </w:tcPr>
          <w:p>
            <w:pPr>
              <w:widowControl/>
              <w:spacing w:line="240" w:lineRule="auto"/>
              <w:jc w:val="center"/>
              <w:textAlignment w:val="center"/>
              <w:rPr>
                <w:rFonts w:ascii="仿宋_GB2312" w:hAnsi="宋体" w:eastAsia="仿宋_GB2312" w:cs="黑体"/>
                <w:b/>
                <w:color w:val="000000"/>
                <w:kern w:val="0"/>
                <w:sz w:val="22"/>
                <w:szCs w:val="22"/>
              </w:rPr>
            </w:pPr>
            <w:r>
              <w:rPr>
                <w:rFonts w:hint="eastAsia" w:ascii="仿宋_GB2312" w:hAnsi="宋体" w:eastAsia="仿宋_GB2312" w:cs="黑体"/>
                <w:b/>
                <w:color w:val="000000"/>
                <w:kern w:val="0"/>
                <w:sz w:val="22"/>
                <w:szCs w:val="22"/>
              </w:rPr>
              <w:t>1</w:t>
            </w:r>
          </w:p>
        </w:tc>
        <w:tc>
          <w:tcPr>
            <w:tcW w:w="1035" w:type="dxa"/>
            <w:tcBorders>
              <w:bottom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6"/>
              <w:spacing w:line="360" w:lineRule="auto"/>
              <w:jc w:val="center"/>
              <w:rPr>
                <w:rFonts w:ascii="仿宋_GB2312" w:hAnsi="宋体" w:eastAsia="仿宋_GB2312" w:cs="Times New Roman"/>
                <w:bCs/>
                <w:kern w:val="2"/>
                <w:sz w:val="24"/>
                <w:szCs w:val="24"/>
                <w:lang w:val="en-US" w:eastAsia="zh-CN" w:bidi="ar-SA"/>
              </w:rPr>
            </w:pPr>
          </w:p>
        </w:tc>
        <w:tc>
          <w:tcPr>
            <w:tcW w:w="850" w:type="dxa"/>
            <w:tcBorders>
              <w:left w:val="single" w:color="auto" w:sz="4" w:space="0"/>
              <w:bottom w:val="single" w:color="auto" w:sz="4" w:space="0"/>
              <w:right w:val="single" w:color="auto" w:sz="4" w:space="0"/>
            </w:tcBorders>
            <w:vAlign w:val="center"/>
          </w:tcPr>
          <w:p>
            <w:pPr>
              <w:pStyle w:val="56"/>
              <w:spacing w:line="360" w:lineRule="auto"/>
              <w:jc w:val="center"/>
              <w:rPr>
                <w:rFonts w:ascii="仿宋_GB2312" w:hAnsi="宋体" w:eastAsia="仿宋_GB2312" w:cs="Times New Roman"/>
                <w:bCs/>
                <w:kern w:val="2"/>
                <w:sz w:val="24"/>
                <w:szCs w:val="24"/>
                <w:lang w:val="en-US" w:eastAsia="zh-CN" w:bidi="ar-SA"/>
              </w:rPr>
            </w:pPr>
          </w:p>
        </w:tc>
        <w:tc>
          <w:tcPr>
            <w:tcW w:w="840" w:type="dxa"/>
            <w:tcBorders>
              <w:left w:val="single" w:color="auto" w:sz="4" w:space="0"/>
              <w:bottom w:val="single" w:color="auto" w:sz="4" w:space="0"/>
            </w:tcBorders>
            <w:vAlign w:val="center"/>
          </w:tcPr>
          <w:p>
            <w:pPr>
              <w:pStyle w:val="56"/>
              <w:spacing w:line="360" w:lineRule="auto"/>
              <w:jc w:val="center"/>
              <w:rPr>
                <w:rFonts w:ascii="仿宋_GB2312" w:hAnsi="宋体" w:eastAsia="仿宋_GB2312" w:cs="Times New Roman"/>
                <w:bCs/>
                <w:kern w:val="2"/>
                <w:sz w:val="24"/>
                <w:szCs w:val="24"/>
                <w:lang w:val="en-US" w:eastAsia="zh-CN" w:bidi="ar-SA"/>
              </w:rPr>
            </w:pPr>
          </w:p>
        </w:tc>
        <w:tc>
          <w:tcPr>
            <w:tcW w:w="1170" w:type="dxa"/>
            <w:tcBorders>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240"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保安员1</w:t>
            </w:r>
          </w:p>
        </w:tc>
        <w:tc>
          <w:tcPr>
            <w:tcW w:w="1110" w:type="dxa"/>
            <w:vAlign w:val="center"/>
          </w:tcPr>
          <w:p>
            <w:pPr>
              <w:widowControl/>
              <w:spacing w:line="240" w:lineRule="auto"/>
              <w:jc w:val="center"/>
              <w:textAlignment w:val="center"/>
              <w:rPr>
                <w:rFonts w:ascii="仿宋_GB2312" w:hAnsi="宋体" w:eastAsia="仿宋_GB2312" w:cs="黑体"/>
                <w:b/>
                <w:color w:val="000000"/>
                <w:kern w:val="0"/>
                <w:sz w:val="22"/>
                <w:szCs w:val="22"/>
              </w:rPr>
            </w:pPr>
            <w:r>
              <w:rPr>
                <w:rFonts w:hint="eastAsia" w:ascii="宋体" w:hAnsi="宋体" w:cs="黑体"/>
                <w:b/>
                <w:color w:val="000000"/>
                <w:kern w:val="0"/>
                <w:sz w:val="22"/>
                <w:szCs w:val="22"/>
              </w:rPr>
              <w:t>≥</w:t>
            </w:r>
            <w:r>
              <w:rPr>
                <w:rFonts w:hint="eastAsia" w:ascii="仿宋_GB2312" w:hAnsi="宋体" w:eastAsia="仿宋_GB2312" w:cs="黑体"/>
                <w:b/>
                <w:color w:val="000000"/>
                <w:kern w:val="0"/>
                <w:sz w:val="22"/>
                <w:szCs w:val="22"/>
              </w:rPr>
              <w:t>33</w:t>
            </w:r>
          </w:p>
        </w:tc>
        <w:tc>
          <w:tcPr>
            <w:tcW w:w="1035" w:type="dxa"/>
            <w:tcBorders>
              <w:top w:val="single" w:color="auto" w:sz="4" w:space="0"/>
              <w:bottom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240"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保安员2</w:t>
            </w:r>
          </w:p>
        </w:tc>
        <w:tc>
          <w:tcPr>
            <w:tcW w:w="1110" w:type="dxa"/>
            <w:vAlign w:val="center"/>
          </w:tcPr>
          <w:p>
            <w:pPr>
              <w:widowControl/>
              <w:spacing w:line="240" w:lineRule="auto"/>
              <w:jc w:val="center"/>
              <w:textAlignment w:val="center"/>
              <w:rPr>
                <w:rFonts w:ascii="仿宋_GB2312" w:hAnsi="宋体" w:eastAsia="仿宋_GB2312" w:cs="黑体"/>
                <w:b/>
                <w:color w:val="000000"/>
                <w:kern w:val="0"/>
                <w:sz w:val="22"/>
                <w:szCs w:val="22"/>
              </w:rPr>
            </w:pPr>
            <w:r>
              <w:rPr>
                <w:rFonts w:hint="eastAsia" w:ascii="仿宋_GB2312" w:hAnsi="宋体" w:eastAsia="仿宋_GB2312" w:cs="黑体"/>
                <w:b/>
                <w:color w:val="000000"/>
                <w:kern w:val="0"/>
                <w:sz w:val="22"/>
                <w:szCs w:val="22"/>
              </w:rPr>
              <w:t>3</w:t>
            </w:r>
          </w:p>
        </w:tc>
        <w:tc>
          <w:tcPr>
            <w:tcW w:w="1035" w:type="dxa"/>
            <w:tcBorders>
              <w:top w:val="single" w:color="auto" w:sz="4" w:space="0"/>
              <w:bottom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240" w:lineRule="auto"/>
              <w:jc w:val="center"/>
              <w:textAlignment w:val="center"/>
              <w:rPr>
                <w:rFonts w:ascii="仿宋_GB2312" w:hAnsi="宋体" w:eastAsia="仿宋_GB2312" w:cs="黑体"/>
                <w:b/>
                <w:color w:val="000000"/>
                <w:kern w:val="0"/>
                <w:sz w:val="22"/>
                <w:szCs w:val="22"/>
              </w:rPr>
            </w:pPr>
            <w:r>
              <w:rPr>
                <w:rFonts w:hint="eastAsia" w:ascii="仿宋_GB2312" w:hAnsi="宋体" w:eastAsia="仿宋_GB2312" w:cs="黑体"/>
                <w:b/>
                <w:color w:val="000000"/>
                <w:kern w:val="0"/>
                <w:sz w:val="22"/>
                <w:szCs w:val="22"/>
              </w:rPr>
              <w:t>机动巡逻岗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4</w:t>
            </w:r>
          </w:p>
        </w:tc>
        <w:tc>
          <w:tcPr>
            <w:tcW w:w="1901"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消控员</w:t>
            </w:r>
          </w:p>
        </w:tc>
        <w:tc>
          <w:tcPr>
            <w:tcW w:w="1110" w:type="dxa"/>
            <w:vAlign w:val="center"/>
          </w:tcPr>
          <w:p>
            <w:pPr>
              <w:widowControl/>
              <w:spacing w:line="240" w:lineRule="auto"/>
              <w:jc w:val="center"/>
              <w:textAlignment w:val="center"/>
              <w:rPr>
                <w:rFonts w:ascii="仿宋_GB2312" w:hAnsi="宋体" w:eastAsia="仿宋_GB2312" w:cs="黑体"/>
                <w:b/>
                <w:color w:val="000000"/>
                <w:kern w:val="0"/>
                <w:sz w:val="22"/>
                <w:szCs w:val="22"/>
              </w:rPr>
            </w:pPr>
            <w:r>
              <w:rPr>
                <w:rFonts w:hint="eastAsia" w:ascii="宋体" w:hAnsi="宋体" w:cs="黑体"/>
                <w:b/>
                <w:color w:val="000000"/>
                <w:kern w:val="0"/>
                <w:sz w:val="22"/>
                <w:szCs w:val="22"/>
              </w:rPr>
              <w:t>≥</w:t>
            </w:r>
            <w:r>
              <w:rPr>
                <w:rFonts w:hint="eastAsia" w:ascii="仿宋_GB2312" w:hAnsi="宋体" w:eastAsia="仿宋_GB2312" w:cs="黑体"/>
                <w:b/>
                <w:color w:val="000000"/>
                <w:kern w:val="0"/>
                <w:sz w:val="22"/>
                <w:szCs w:val="22"/>
              </w:rPr>
              <w:t>5</w:t>
            </w:r>
          </w:p>
        </w:tc>
        <w:tc>
          <w:tcPr>
            <w:tcW w:w="1035" w:type="dxa"/>
            <w:tcBorders>
              <w:top w:val="single" w:color="auto" w:sz="4" w:space="0"/>
              <w:bottom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240"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5</w:t>
            </w:r>
          </w:p>
        </w:tc>
        <w:tc>
          <w:tcPr>
            <w:tcW w:w="1901" w:type="dxa"/>
            <w:noWrap/>
            <w:vAlign w:val="center"/>
          </w:tcPr>
          <w:p>
            <w:pPr>
              <w:widowControl/>
              <w:spacing w:line="240"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守灵休息室服务</w:t>
            </w:r>
          </w:p>
        </w:tc>
        <w:tc>
          <w:tcPr>
            <w:tcW w:w="1110" w:type="dxa"/>
            <w:vAlign w:val="center"/>
          </w:tcPr>
          <w:p>
            <w:pPr>
              <w:widowControl/>
              <w:spacing w:line="240" w:lineRule="auto"/>
              <w:jc w:val="center"/>
              <w:textAlignment w:val="center"/>
              <w:rPr>
                <w:rFonts w:ascii="仿宋_GB2312" w:hAnsi="宋体" w:eastAsia="仿宋_GB2312" w:cs="宋体"/>
                <w:b/>
                <w:color w:val="000000"/>
                <w:kern w:val="0"/>
                <w:sz w:val="24"/>
              </w:rPr>
            </w:pPr>
            <w:r>
              <w:rPr>
                <w:rFonts w:hint="eastAsia" w:ascii="宋体" w:hAnsi="宋体" w:cs="宋体"/>
                <w:b/>
                <w:color w:val="000000"/>
                <w:kern w:val="0"/>
                <w:sz w:val="24"/>
              </w:rPr>
              <w:t>≥</w:t>
            </w:r>
            <w:r>
              <w:rPr>
                <w:rFonts w:hint="eastAsia" w:ascii="仿宋_GB2312" w:hAnsi="宋体" w:eastAsia="仿宋_GB2312" w:cs="宋体"/>
                <w:b/>
                <w:color w:val="000000"/>
                <w:kern w:val="0"/>
                <w:sz w:val="24"/>
              </w:rPr>
              <w:t>7</w:t>
            </w:r>
          </w:p>
        </w:tc>
        <w:tc>
          <w:tcPr>
            <w:tcW w:w="1035" w:type="dxa"/>
            <w:tcBorders>
              <w:top w:val="single" w:color="auto" w:sz="4" w:space="0"/>
              <w:bottom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6</w:t>
            </w:r>
          </w:p>
        </w:tc>
        <w:tc>
          <w:tcPr>
            <w:tcW w:w="1901" w:type="dxa"/>
            <w:noWrap/>
            <w:vAlign w:val="center"/>
          </w:tcPr>
          <w:p>
            <w:pPr>
              <w:widowControl/>
              <w:spacing w:line="240" w:lineRule="auto"/>
              <w:jc w:val="center"/>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区域保洁</w:t>
            </w:r>
          </w:p>
          <w:p>
            <w:pPr>
              <w:widowControl/>
              <w:spacing w:line="240" w:lineRule="auto"/>
              <w:jc w:val="center"/>
              <w:textAlignment w:val="center"/>
              <w:rPr>
                <w:rFonts w:hint="eastAsia" w:ascii="仿宋_GB2312" w:hAnsi="宋体" w:eastAsia="仿宋_GB2312" w:cs="宋体"/>
                <w:color w:val="000000"/>
                <w:sz w:val="24"/>
                <w:lang w:eastAsia="zh-CN"/>
              </w:rPr>
            </w:pPr>
            <w:r>
              <w:rPr>
                <w:rFonts w:hint="eastAsia" w:ascii="仿宋_GB2312" w:hAnsi="宋体" w:eastAsia="仿宋_GB2312" w:cs="宋体"/>
                <w:color w:val="000000"/>
                <w:kern w:val="0"/>
                <w:sz w:val="24"/>
                <w:lang w:eastAsia="zh-CN"/>
              </w:rPr>
              <w:t>（含领班）</w:t>
            </w:r>
          </w:p>
        </w:tc>
        <w:tc>
          <w:tcPr>
            <w:tcW w:w="1110" w:type="dxa"/>
            <w:vAlign w:val="center"/>
          </w:tcPr>
          <w:p>
            <w:pPr>
              <w:widowControl/>
              <w:spacing w:line="240" w:lineRule="auto"/>
              <w:jc w:val="center"/>
              <w:textAlignment w:val="center"/>
              <w:rPr>
                <w:rFonts w:ascii="仿宋_GB2312" w:hAnsi="宋体" w:eastAsia="仿宋_GB2312" w:cs="宋体"/>
                <w:b/>
                <w:color w:val="000000"/>
                <w:kern w:val="0"/>
                <w:sz w:val="24"/>
              </w:rPr>
            </w:pPr>
            <w:r>
              <w:rPr>
                <w:rFonts w:hint="eastAsia" w:ascii="宋体" w:hAnsi="宋体" w:cs="宋体"/>
                <w:b/>
                <w:color w:val="000000"/>
                <w:kern w:val="0"/>
                <w:sz w:val="24"/>
              </w:rPr>
              <w:t>≥</w:t>
            </w:r>
            <w:r>
              <w:rPr>
                <w:rFonts w:hint="eastAsia" w:ascii="仿宋_GB2312" w:hAnsi="宋体" w:eastAsia="仿宋_GB2312" w:cs="宋体"/>
                <w:b/>
                <w:color w:val="000000"/>
                <w:kern w:val="0"/>
                <w:sz w:val="24"/>
              </w:rPr>
              <w:t>13</w:t>
            </w:r>
          </w:p>
        </w:tc>
        <w:tc>
          <w:tcPr>
            <w:tcW w:w="1035" w:type="dxa"/>
            <w:tcBorders>
              <w:top w:val="single" w:color="auto" w:sz="4" w:space="0"/>
              <w:bottom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7</w:t>
            </w:r>
          </w:p>
        </w:tc>
        <w:tc>
          <w:tcPr>
            <w:tcW w:w="1901" w:type="dxa"/>
            <w:noWrap/>
            <w:vAlign w:val="center"/>
          </w:tcPr>
          <w:p>
            <w:pPr>
              <w:widowControl/>
              <w:spacing w:line="240"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绿化养护</w:t>
            </w:r>
          </w:p>
        </w:tc>
        <w:tc>
          <w:tcPr>
            <w:tcW w:w="1110" w:type="dxa"/>
            <w:vAlign w:val="center"/>
          </w:tcPr>
          <w:p>
            <w:pPr>
              <w:widowControl/>
              <w:spacing w:line="240" w:lineRule="auto"/>
              <w:jc w:val="center"/>
              <w:textAlignment w:val="center"/>
              <w:rPr>
                <w:rFonts w:ascii="仿宋_GB2312" w:hAnsi="宋体" w:eastAsia="仿宋_GB2312" w:cs="宋体"/>
                <w:b/>
                <w:color w:val="000000"/>
                <w:kern w:val="0"/>
                <w:sz w:val="24"/>
              </w:rPr>
            </w:pPr>
            <w:r>
              <w:rPr>
                <w:rFonts w:hint="eastAsia" w:ascii="宋体" w:hAnsi="宋体" w:cs="宋体"/>
                <w:b/>
                <w:color w:val="000000"/>
                <w:kern w:val="0"/>
                <w:sz w:val="24"/>
              </w:rPr>
              <w:t>≥</w:t>
            </w:r>
            <w:r>
              <w:rPr>
                <w:rFonts w:hint="eastAsia" w:ascii="仿宋_GB2312" w:hAnsi="宋体" w:eastAsia="仿宋_GB2312" w:cs="宋体"/>
                <w:b/>
                <w:color w:val="000000"/>
                <w:kern w:val="0"/>
                <w:sz w:val="24"/>
              </w:rPr>
              <w:t>3</w:t>
            </w:r>
          </w:p>
        </w:tc>
        <w:tc>
          <w:tcPr>
            <w:tcW w:w="1035" w:type="dxa"/>
            <w:tcBorders>
              <w:top w:val="single" w:color="auto" w:sz="4" w:space="0"/>
            </w:tcBorders>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240"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8</w:t>
            </w:r>
          </w:p>
        </w:tc>
        <w:tc>
          <w:tcPr>
            <w:tcW w:w="1901" w:type="dxa"/>
            <w:noWrap/>
            <w:vAlign w:val="center"/>
          </w:tcPr>
          <w:p>
            <w:pPr>
              <w:widowControl/>
              <w:spacing w:line="240"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水电工</w:t>
            </w:r>
          </w:p>
        </w:tc>
        <w:tc>
          <w:tcPr>
            <w:tcW w:w="1110" w:type="dxa"/>
            <w:vAlign w:val="center"/>
          </w:tcPr>
          <w:p>
            <w:pPr>
              <w:widowControl/>
              <w:spacing w:line="240" w:lineRule="auto"/>
              <w:jc w:val="center"/>
              <w:textAlignment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2</w:t>
            </w:r>
          </w:p>
        </w:tc>
        <w:tc>
          <w:tcPr>
            <w:tcW w:w="1035" w:type="dxa"/>
          </w:tcPr>
          <w:p>
            <w:pPr>
              <w:widowControl/>
              <w:spacing w:line="240"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righ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240"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240"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widowControl/>
              <w:spacing w:line="240" w:lineRule="auto"/>
              <w:jc w:val="center"/>
              <w:textAlignment w:val="center"/>
              <w:rPr>
                <w:rFonts w:hint="eastAsia" w:ascii="仿宋_GB2312" w:hAnsi="宋体" w:eastAsia="仿宋_GB2312" w:cs="宋体"/>
                <w:color w:val="000000"/>
                <w:sz w:val="24"/>
                <w:lang w:val="en-US" w:eastAsia="zh-CN"/>
              </w:rPr>
            </w:pPr>
            <w:r>
              <w:rPr>
                <w:rFonts w:hint="eastAsia" w:ascii="仿宋_GB2312" w:hAnsi="宋体" w:eastAsia="仿宋_GB2312" w:cs="宋体"/>
                <w:color w:val="000000"/>
                <w:sz w:val="24"/>
              </w:rPr>
              <w:t>合  计</w:t>
            </w:r>
            <w:r>
              <w:rPr>
                <w:rFonts w:hint="eastAsia" w:ascii="仿宋_GB2312" w:hAnsi="宋体" w:eastAsia="仿宋_GB2312" w:cs="宋体"/>
                <w:color w:val="000000"/>
                <w:sz w:val="24"/>
                <w:lang w:val="en-US" w:eastAsia="zh-CN"/>
              </w:rPr>
              <w:t>(元）</w:t>
            </w:r>
          </w:p>
        </w:tc>
        <w:tc>
          <w:tcPr>
            <w:tcW w:w="1110" w:type="dxa"/>
            <w:vAlign w:val="center"/>
          </w:tcPr>
          <w:p>
            <w:pPr>
              <w:widowControl/>
              <w:spacing w:line="240" w:lineRule="auto"/>
              <w:jc w:val="center"/>
              <w:textAlignment w:val="center"/>
              <w:rPr>
                <w:rFonts w:ascii="仿宋_GB2312" w:hAnsi="宋体" w:eastAsia="仿宋_GB2312" w:cs="宋体"/>
                <w:b/>
                <w:color w:val="000000"/>
                <w:kern w:val="0"/>
                <w:sz w:val="24"/>
              </w:rPr>
            </w:pPr>
            <w:r>
              <w:rPr>
                <w:rFonts w:hint="eastAsia" w:ascii="宋体" w:hAnsi="宋体" w:cs="宋体"/>
                <w:b/>
                <w:color w:val="000000"/>
                <w:kern w:val="0"/>
                <w:sz w:val="24"/>
              </w:rPr>
              <w:t>≥</w:t>
            </w:r>
            <w:r>
              <w:rPr>
                <w:rFonts w:hint="eastAsia" w:ascii="仿宋_GB2312" w:hAnsi="宋体" w:eastAsia="仿宋_GB2312" w:cs="宋体"/>
                <w:b/>
                <w:color w:val="000000"/>
                <w:kern w:val="0"/>
                <w:sz w:val="24"/>
              </w:rPr>
              <w:t>67</w:t>
            </w:r>
          </w:p>
        </w:tc>
        <w:tc>
          <w:tcPr>
            <w:tcW w:w="1035" w:type="dxa"/>
          </w:tcPr>
          <w:p>
            <w:pPr>
              <w:widowControl/>
              <w:spacing w:line="240" w:lineRule="auto"/>
              <w:jc w:val="center"/>
              <w:textAlignment w:val="center"/>
              <w:rPr>
                <w:rFonts w:ascii="宋体" w:hAnsi="宋体" w:cs="宋体"/>
                <w:b/>
                <w:color w:val="000000"/>
                <w:kern w:val="0"/>
                <w:sz w:val="24"/>
              </w:rPr>
            </w:pPr>
          </w:p>
        </w:tc>
        <w:tc>
          <w:tcPr>
            <w:tcW w:w="2400" w:type="dxa"/>
            <w:gridSpan w:val="3"/>
            <w:vAlign w:val="center"/>
          </w:tcPr>
          <w:p>
            <w:pPr>
              <w:widowControl/>
              <w:spacing w:line="240"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widowControl/>
              <w:spacing w:line="240" w:lineRule="auto"/>
              <w:jc w:val="center"/>
              <w:textAlignment w:val="center"/>
              <w:rPr>
                <w:rFonts w:ascii="仿宋_GB2312" w:hAnsi="宋体" w:eastAsia="仿宋_GB2312" w:cs="宋体"/>
                <w:b/>
                <w:color w:val="000000"/>
                <w:kern w:val="0"/>
                <w:sz w:val="24"/>
              </w:rPr>
            </w:pPr>
          </w:p>
        </w:tc>
        <w:tc>
          <w:tcPr>
            <w:tcW w:w="930" w:type="dxa"/>
          </w:tcPr>
          <w:p>
            <w:pPr>
              <w:widowControl/>
              <w:spacing w:line="240"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spacing w:line="240" w:lineRule="auto"/>
              <w:rPr>
                <w:rFonts w:hint="eastAsia"/>
                <w:color w:val="000000"/>
              </w:rPr>
            </w:pPr>
            <w:r>
              <w:rPr>
                <w:rFonts w:hint="eastAsia"/>
                <w:color w:val="000000"/>
              </w:rPr>
              <w:t>合计人民币（总价）：大写：                      小写：</w:t>
            </w:r>
          </w:p>
          <w:p>
            <w:pPr>
              <w:widowControl/>
              <w:spacing w:line="240" w:lineRule="auto"/>
              <w:textAlignment w:val="center"/>
              <w:rPr>
                <w:rFonts w:hint="eastAsia" w:cs="宋体"/>
                <w:bCs/>
                <w:color w:val="000000"/>
                <w:lang w:val="en-US" w:eastAsia="zh-CN"/>
              </w:rPr>
            </w:pPr>
            <w:r>
              <w:rPr>
                <w:rFonts w:hint="eastAsia" w:cs="宋体"/>
                <w:bCs/>
                <w:color w:val="000000"/>
                <w:lang w:val="en-US" w:eastAsia="zh-CN"/>
              </w:rPr>
              <w:t xml:space="preserve">                                                 </w:t>
            </w:r>
          </w:p>
          <w:p>
            <w:pPr>
              <w:widowControl/>
              <w:spacing w:line="240" w:lineRule="auto"/>
              <w:ind w:firstLine="4410" w:firstLineChars="2100"/>
              <w:textAlignment w:val="center"/>
              <w:rPr>
                <w:rFonts w:ascii="仿宋_GB2312" w:hAnsi="宋体" w:eastAsia="仿宋_GB2312" w:cs="宋体"/>
                <w:b/>
                <w:color w:val="000000"/>
                <w:kern w:val="0"/>
                <w:sz w:val="24"/>
                <w:u w:val="single"/>
              </w:rPr>
            </w:pPr>
            <w:r>
              <w:rPr>
                <w:rFonts w:hint="eastAsia" w:cs="宋体"/>
                <w:bCs/>
                <w:color w:val="000000"/>
                <w:lang w:val="en-US" w:eastAsia="zh-CN"/>
              </w:rPr>
              <w:t xml:space="preserve">            </w:t>
            </w:r>
            <w:r>
              <w:rPr>
                <w:rFonts w:hint="eastAsia" w:cs="宋体"/>
                <w:bCs/>
                <w:color w:val="000000"/>
              </w:rPr>
              <w:t>（商务报价小数点后保留两位小数）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9221" w:type="dxa"/>
            <w:gridSpan w:val="9"/>
            <w:vAlign w:val="bottom"/>
          </w:tcPr>
          <w:p>
            <w:pPr>
              <w:widowControl/>
              <w:spacing w:line="240" w:lineRule="auto"/>
              <w:textAlignment w:val="center"/>
              <w:rPr>
                <w:rFonts w:ascii="仿宋_GB2312" w:hAnsi="宋体" w:eastAsia="仿宋_GB2312" w:cs="宋体"/>
                <w:b/>
                <w:color w:val="000000"/>
                <w:kern w:val="0"/>
                <w:sz w:val="24"/>
              </w:rPr>
            </w:pPr>
            <w:r>
              <w:rPr>
                <w:rFonts w:hint="eastAsia" w:hAnsi="宋体" w:cs="宋体"/>
                <w:sz w:val="22"/>
                <w:szCs w:val="22"/>
              </w:rPr>
              <w:t>（1）临时保卫报价：</w:t>
            </w:r>
            <w:r>
              <w:rPr>
                <w:rFonts w:hint="eastAsia" w:hAnsi="宋体" w:cs="宋体"/>
                <w:sz w:val="22"/>
                <w:szCs w:val="22"/>
                <w:u w:val="single"/>
              </w:rPr>
              <w:t xml:space="preserve">      </w:t>
            </w:r>
            <w:r>
              <w:rPr>
                <w:rFonts w:hint="eastAsia" w:hAnsi="宋体" w:cs="宋体"/>
                <w:sz w:val="22"/>
                <w:szCs w:val="22"/>
              </w:rPr>
              <w:t>元/人/天（每天工作时间按8小时计算）。</w:t>
            </w:r>
          </w:p>
        </w:tc>
      </w:tr>
    </w:tbl>
    <w:p>
      <w:pPr>
        <w:pStyle w:val="57"/>
        <w:spacing w:line="360" w:lineRule="auto"/>
        <w:ind w:right="84" w:rightChars="40"/>
        <w:rPr>
          <w:rFonts w:hAnsi="宋体"/>
        </w:rPr>
      </w:pPr>
      <w:r>
        <w:rPr>
          <w:rFonts w:hint="eastAsia" w:hAnsi="宋体"/>
          <w:b/>
          <w:color w:val="000000"/>
        </w:rPr>
        <w:t>附注</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15</w:t>
      </w:r>
      <w:r>
        <w:rPr>
          <w:rFonts w:hint="eastAsia" w:ascii="宋体" w:hAnsi="宋体"/>
          <w:szCs w:val="21"/>
        </w:rPr>
        <w:t>《报价明细表》中的人员费用的每月报价相符。</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9"/>
        <w:tabs>
          <w:tab w:val="left" w:pos="0"/>
        </w:tabs>
        <w:spacing w:line="360" w:lineRule="auto"/>
        <w:rPr>
          <w:rFonts w:ascii="宋体" w:hAnsi="宋体"/>
          <w:sz w:val="24"/>
        </w:rPr>
      </w:pPr>
      <w:r>
        <w:rPr>
          <w:rFonts w:hint="eastAsia" w:hAnsi="宋体"/>
        </w:rPr>
        <w:t>4. 社保等费用指企业按国家规定必须为服务人员支付的社会保险费用及其他应付费用。</w:t>
      </w:r>
    </w:p>
    <w:p>
      <w:pPr>
        <w:spacing w:line="240" w:lineRule="auto"/>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240" w:lineRule="auto"/>
        <w:ind w:left="420"/>
        <w:rPr>
          <w:rFonts w:ascii="宋体" w:hAnsi="宋体"/>
          <w:sz w:val="24"/>
        </w:rPr>
      </w:pPr>
    </w:p>
    <w:p>
      <w:pPr>
        <w:spacing w:line="24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240" w:lineRule="auto"/>
        <w:rPr>
          <w:rFonts w:ascii="宋体" w:hAnsi="宋体"/>
          <w:sz w:val="24"/>
        </w:rPr>
      </w:pPr>
    </w:p>
    <w:p>
      <w:pPr>
        <w:spacing w:line="24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240" w:lineRule="auto"/>
        <w:rPr>
          <w:rFonts w:ascii="宋体" w:hAnsi="宋体"/>
          <w:sz w:val="24"/>
        </w:rPr>
      </w:pPr>
    </w:p>
    <w:p>
      <w:pPr>
        <w:spacing w:line="240" w:lineRule="auto"/>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spacing w:line="320" w:lineRule="exact"/>
        <w:ind w:firstLine="435"/>
        <w:rPr>
          <w:rFonts w:hint="eastAsia" w:ascii="宋体" w:hAnsi="宋体"/>
          <w:b/>
          <w:color w:val="000000"/>
          <w:sz w:val="28"/>
        </w:rPr>
      </w:pPr>
      <w:r>
        <w:rPr>
          <w:rFonts w:hint="eastAsia" w:ascii="宋体" w:hAnsi="宋体"/>
          <w:b/>
          <w:color w:val="000000"/>
          <w:sz w:val="28"/>
        </w:rPr>
        <w:t>附件</w:t>
      </w:r>
      <w:r>
        <w:rPr>
          <w:rFonts w:hint="eastAsia" w:ascii="宋体" w:hAnsi="宋体"/>
          <w:b/>
          <w:color w:val="000000"/>
          <w:sz w:val="28"/>
          <w:lang w:val="en-US" w:eastAsia="zh-CN"/>
        </w:rPr>
        <w:t>17</w:t>
      </w:r>
    </w:p>
    <w:p>
      <w:pPr>
        <w:snapToGrid w:val="0"/>
        <w:spacing w:before="50" w:after="156" w:afterLines="50"/>
        <w:jc w:val="center"/>
        <w:rPr>
          <w:rFonts w:hint="eastAsia"/>
          <w:b/>
          <w:kern w:val="0"/>
          <w:sz w:val="28"/>
          <w:szCs w:val="28"/>
        </w:rPr>
      </w:pPr>
      <w:r>
        <w:rPr>
          <w:rFonts w:hint="eastAsia"/>
          <w:b/>
          <w:kern w:val="0"/>
          <w:sz w:val="28"/>
          <w:szCs w:val="28"/>
        </w:rPr>
        <w:t>设备机械、器材、工具物资配备清单</w:t>
      </w:r>
    </w:p>
    <w:p>
      <w:pPr>
        <w:spacing w:line="360" w:lineRule="atLeast"/>
        <w:ind w:left="480"/>
        <w:jc w:val="center"/>
        <w:rPr>
          <w:rFonts w:hint="eastAsia" w:ascii="宋体" w:hAnsi="宋体"/>
          <w:b/>
          <w:color w:val="000000"/>
          <w:sz w:val="32"/>
          <w:szCs w:val="32"/>
        </w:rPr>
      </w:pPr>
      <w:r>
        <w:rPr>
          <w:rFonts w:hint="eastAsia" w:ascii="宋体" w:hAnsi="宋体"/>
          <w:b/>
          <w:color w:val="000000"/>
          <w:sz w:val="32"/>
          <w:szCs w:val="32"/>
        </w:rPr>
        <w:t xml:space="preserve"> (第 标)</w:t>
      </w:r>
      <w:r>
        <w:rPr>
          <w:rFonts w:hint="eastAsia" w:ascii="宋体" w:hAnsi="宋体"/>
          <w:color w:val="000000"/>
          <w:sz w:val="24"/>
        </w:rPr>
        <w:t xml:space="preserve">                  </w:t>
      </w:r>
    </w:p>
    <w:p>
      <w:pPr>
        <w:jc w:val="center"/>
        <w:rPr>
          <w:rFonts w:hint="eastAsia" w:ascii="宋体" w:hAnsi="宋体"/>
          <w:color w:val="000000"/>
        </w:rPr>
      </w:pPr>
      <w:r>
        <w:rPr>
          <w:rFonts w:hint="eastAsia" w:ascii="宋体" w:hAnsi="宋体"/>
          <w:color w:val="000000"/>
          <w:sz w:val="24"/>
        </w:rPr>
        <w:t xml:space="preserve">                                                                                       </w:t>
      </w:r>
    </w:p>
    <w:p>
      <w:pPr>
        <w:spacing w:line="320" w:lineRule="exact"/>
        <w:rPr>
          <w:rFonts w:hint="eastAsia"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tbl>
      <w:tblPr>
        <w:tblStyle w:val="2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hint="eastAsia"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hint="eastAsia"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hint="eastAsia"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hint="eastAsia"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hint="eastAsia"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hint="eastAsia" w:ascii="宋体" w:hAnsi="宋体"/>
                <w:color w:val="000000"/>
                <w:sz w:val="24"/>
              </w:rPr>
            </w:pPr>
          </w:p>
        </w:tc>
        <w:tc>
          <w:tcPr>
            <w:tcW w:w="1965" w:type="dxa"/>
            <w:vAlign w:val="center"/>
          </w:tcPr>
          <w:p>
            <w:pPr>
              <w:spacing w:line="360" w:lineRule="auto"/>
              <w:rPr>
                <w:rFonts w:hint="eastAsia" w:ascii="宋体" w:hAnsi="宋体"/>
                <w:color w:val="000000"/>
                <w:sz w:val="24"/>
              </w:rPr>
            </w:pPr>
          </w:p>
        </w:tc>
        <w:tc>
          <w:tcPr>
            <w:tcW w:w="912" w:type="dxa"/>
            <w:vAlign w:val="center"/>
          </w:tcPr>
          <w:p>
            <w:pPr>
              <w:spacing w:line="360" w:lineRule="auto"/>
              <w:rPr>
                <w:rFonts w:hint="eastAsia" w:ascii="宋体" w:hAnsi="宋体"/>
                <w:color w:val="000000"/>
                <w:sz w:val="24"/>
              </w:rPr>
            </w:pPr>
          </w:p>
        </w:tc>
        <w:tc>
          <w:tcPr>
            <w:tcW w:w="1701" w:type="dxa"/>
            <w:vAlign w:val="center"/>
          </w:tcPr>
          <w:p>
            <w:pPr>
              <w:spacing w:line="360" w:lineRule="auto"/>
              <w:rPr>
                <w:rFonts w:hint="eastAsia" w:ascii="宋体" w:hAnsi="宋体"/>
                <w:color w:val="000000"/>
                <w:sz w:val="24"/>
              </w:rPr>
            </w:pPr>
          </w:p>
        </w:tc>
        <w:tc>
          <w:tcPr>
            <w:tcW w:w="1134" w:type="dxa"/>
            <w:vAlign w:val="center"/>
          </w:tcPr>
          <w:p>
            <w:pPr>
              <w:spacing w:line="360" w:lineRule="auto"/>
              <w:rPr>
                <w:rFonts w:hint="eastAsia" w:ascii="宋体" w:hAnsi="宋体"/>
                <w:color w:val="000000"/>
                <w:sz w:val="24"/>
              </w:rPr>
            </w:pPr>
          </w:p>
        </w:tc>
        <w:tc>
          <w:tcPr>
            <w:tcW w:w="993" w:type="dxa"/>
            <w:vAlign w:val="center"/>
          </w:tcPr>
          <w:p>
            <w:pPr>
              <w:spacing w:line="360" w:lineRule="auto"/>
              <w:rPr>
                <w:rFonts w:hint="eastAsia" w:ascii="宋体" w:hAnsi="宋体"/>
                <w:color w:val="000000"/>
                <w:sz w:val="24"/>
              </w:rPr>
            </w:pPr>
          </w:p>
        </w:tc>
        <w:tc>
          <w:tcPr>
            <w:tcW w:w="1417" w:type="dxa"/>
            <w:vAlign w:val="center"/>
          </w:tcPr>
          <w:p>
            <w:pPr>
              <w:spacing w:line="360" w:lineRule="auto"/>
              <w:rPr>
                <w:rFonts w:hint="eastAsia" w:ascii="宋体" w:hAnsi="宋体"/>
                <w:color w:val="000000"/>
                <w:sz w:val="24"/>
              </w:rPr>
            </w:pPr>
          </w:p>
        </w:tc>
      </w:tr>
    </w:tbl>
    <w:p>
      <w:pPr>
        <w:spacing w:line="320" w:lineRule="exact"/>
        <w:ind w:left="420"/>
        <w:rPr>
          <w:rFonts w:hint="eastAsia" w:ascii="宋体" w:hAnsi="宋体"/>
          <w:color w:val="000000"/>
          <w:sz w:val="24"/>
        </w:rPr>
      </w:pPr>
    </w:p>
    <w:p>
      <w:pPr>
        <w:spacing w:line="360" w:lineRule="auto"/>
        <w:ind w:left="435"/>
        <w:rPr>
          <w:rFonts w:hint="eastAsia"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hint="eastAsia"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公章</w:t>
      </w:r>
      <w:r>
        <w:rPr>
          <w:rFonts w:hint="eastAsia" w:ascii="宋体" w:hAnsi="宋体"/>
          <w:color w:val="000000"/>
          <w:sz w:val="24"/>
        </w:rPr>
        <w:t>）：</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pStyle w:val="2"/>
        <w:rPr>
          <w:rFonts w:hint="eastAsia" w:ascii="宋体" w:hAnsi="宋体"/>
          <w:b/>
          <w:color w:val="000000"/>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rPr>
      </w:pPr>
    </w:p>
    <w:p>
      <w:pPr>
        <w:snapToGrid w:val="0"/>
        <w:spacing w:beforeLines="50" w:after="50" w:line="360" w:lineRule="auto"/>
        <w:rPr>
          <w:rFonts w:hint="eastAsia" w:ascii="宋体" w:hAnsi="宋体"/>
          <w:b/>
          <w:sz w:val="28"/>
          <w:lang w:val="en-US" w:eastAsia="zh-CN"/>
        </w:rPr>
      </w:pPr>
      <w:r>
        <w:rPr>
          <w:rFonts w:hint="eastAsia" w:ascii="宋体" w:hAnsi="宋体"/>
          <w:b/>
          <w:sz w:val="28"/>
        </w:rPr>
        <w:t>附件</w:t>
      </w:r>
      <w:r>
        <w:rPr>
          <w:rFonts w:hint="eastAsia" w:ascii="宋体" w:hAnsi="宋体"/>
          <w:b/>
          <w:sz w:val="28"/>
          <w:lang w:val="en-US" w:eastAsia="zh-CN"/>
        </w:rPr>
        <w:t>18</w:t>
      </w:r>
    </w:p>
    <w:p>
      <w:pPr>
        <w:spacing w:line="360" w:lineRule="auto"/>
        <w:ind w:right="-110"/>
        <w:jc w:val="left"/>
        <w:rPr>
          <w:rFonts w:ascii="宋体" w:hAnsi="宋体"/>
          <w:b/>
          <w:color w:val="000000" w:themeColor="text1"/>
          <w:sz w:val="28"/>
          <w14:textFill>
            <w14:solidFill>
              <w14:schemeClr w14:val="tx1"/>
            </w14:solidFill>
          </w14:textFill>
        </w:rPr>
      </w:pPr>
    </w:p>
    <w:p>
      <w:pPr>
        <w:spacing w:line="360" w:lineRule="auto"/>
        <w:ind w:firstLine="3069" w:firstLineChars="850"/>
        <w:rPr>
          <w:color w:val="000000" w:themeColor="text1"/>
          <w:sz w:val="28"/>
          <w:szCs w:val="28"/>
          <w14:textFill>
            <w14:solidFill>
              <w14:schemeClr w14:val="tx1"/>
            </w14:solidFill>
          </w14:textFill>
        </w:rPr>
      </w:pPr>
      <w:r>
        <w:rPr>
          <w:rFonts w:hint="eastAsia"/>
          <w:b/>
          <w:color w:val="000000" w:themeColor="text1"/>
          <w:spacing w:val="40"/>
          <w:kern w:val="0"/>
          <w:sz w:val="28"/>
          <w:szCs w:val="28"/>
          <w14:textFill>
            <w14:solidFill>
              <w14:schemeClr w14:val="tx1"/>
            </w14:solidFill>
          </w14:textFill>
        </w:rPr>
        <w:t>耗材配备表</w:t>
      </w:r>
      <w:r>
        <w:rPr>
          <w:rFonts w:hint="eastAsia"/>
          <w:color w:val="000000" w:themeColor="text1"/>
          <w:spacing w:val="40"/>
          <w:kern w:val="0"/>
          <w:sz w:val="28"/>
          <w:szCs w:val="28"/>
          <w14:textFill>
            <w14:solidFill>
              <w14:schemeClr w14:val="tx1"/>
            </w14:solidFill>
          </w14:textFill>
        </w:rPr>
        <w:t xml:space="preserve">    </w:t>
      </w:r>
    </w:p>
    <w:p>
      <w:pPr>
        <w:snapToGrid w:val="0"/>
        <w:spacing w:before="50" w:after="156" w:afterLines="50"/>
        <w:jc w:val="center"/>
        <w:rPr>
          <w:color w:val="000000" w:themeColor="text1"/>
          <w:spacing w:val="40"/>
          <w:kern w:val="0"/>
          <w14:textFill>
            <w14:solidFill>
              <w14:schemeClr w14:val="tx1"/>
            </w14:solidFill>
          </w14:textFill>
        </w:rPr>
      </w:pPr>
    </w:p>
    <w:p>
      <w:pPr>
        <w:snapToGrid w:val="0"/>
        <w:spacing w:before="50" w:after="156" w:afterLines="50"/>
        <w:ind w:firstLine="2900" w:firstLineChars="1000"/>
        <w:jc w:val="both"/>
        <w:rPr>
          <w:color w:val="000000" w:themeColor="text1"/>
          <w:spacing w:val="40"/>
          <w:kern w:val="0"/>
          <w14:textFill>
            <w14:solidFill>
              <w14:schemeClr w14:val="tx1"/>
            </w14:solidFill>
          </w14:textFill>
        </w:rPr>
      </w:pPr>
      <w:r>
        <w:rPr>
          <w:rFonts w:hint="eastAsia"/>
          <w:color w:val="000000" w:themeColor="text1"/>
          <w:spacing w:val="40"/>
          <w:kern w:val="0"/>
          <w14:textFill>
            <w14:solidFill>
              <w14:schemeClr w14:val="tx1"/>
            </w14:solidFill>
          </w14:textFill>
        </w:rPr>
        <w:t>（</w:t>
      </w:r>
      <w:r>
        <w:rPr>
          <w:color w:val="000000" w:themeColor="text1"/>
          <w:spacing w:val="40"/>
          <w:kern w:val="0"/>
          <w14:textFill>
            <w14:solidFill>
              <w14:schemeClr w14:val="tx1"/>
            </w14:solidFill>
          </w14:textFill>
        </w:rPr>
        <w:t>清洁材料</w:t>
      </w:r>
      <w:r>
        <w:rPr>
          <w:rFonts w:hint="eastAsia"/>
          <w:color w:val="000000" w:themeColor="text1"/>
          <w:spacing w:val="40"/>
          <w:kern w:val="0"/>
          <w14:textFill>
            <w14:solidFill>
              <w14:schemeClr w14:val="tx1"/>
            </w14:solidFill>
          </w14:textFill>
        </w:rPr>
        <w:t>等）</w:t>
      </w:r>
    </w:p>
    <w:p>
      <w:pPr>
        <w:snapToGrid w:val="0"/>
        <w:spacing w:before="50" w:after="156" w:afterLines="50"/>
        <w:jc w:val="center"/>
        <w:rPr>
          <w:color w:val="000000" w:themeColor="text1"/>
          <w:spacing w:val="40"/>
          <w:kern w:val="0"/>
          <w14:textFill>
            <w14:solidFill>
              <w14:schemeClr w14:val="tx1"/>
            </w14:solidFill>
          </w14:textFill>
        </w:rPr>
      </w:pPr>
    </w:p>
    <w:p>
      <w:pPr>
        <w:pStyle w:val="7"/>
        <w:snapToGrid w:val="0"/>
        <w:rPr>
          <w:rFonts w:ascii="宋体" w:hAnsi="宋体" w:eastAsia="宋体"/>
          <w:color w:val="000000" w:themeColor="text1"/>
          <w:sz w:val="24"/>
          <w:szCs w:val="24"/>
          <w:u w:val="single"/>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000000" w:themeColor="text1"/>
          <w:sz w:val="24"/>
          <w:szCs w:val="24"/>
          <w:lang w:val="en-US" w:eastAsia="zh-CN"/>
          <w14:textFill>
            <w14:solidFill>
              <w14:schemeClr w14:val="tx1"/>
            </w14:solidFill>
          </w14:textFill>
        </w:rPr>
        <w:t xml:space="preserve">                                                </w:t>
      </w:r>
      <w:r>
        <w:rPr>
          <w:rFonts w:hint="eastAsia" w:ascii="宋体" w:hAnsi="宋体" w:eastAsia="宋体"/>
          <w:color w:val="000000" w:themeColor="text1"/>
          <w:sz w:val="24"/>
          <w:szCs w:val="24"/>
          <w14:textFill>
            <w14:solidFill>
              <w14:schemeClr w14:val="tx1"/>
            </w14:solidFill>
          </w14:textFill>
        </w:rPr>
        <w:t xml:space="preserve">   标项：</w:t>
      </w:r>
      <w:r>
        <w:rPr>
          <w:rFonts w:hint="eastAsia" w:ascii="宋体" w:hAnsi="宋体" w:eastAsia="宋体"/>
          <w:color w:val="000000" w:themeColor="text1"/>
          <w:sz w:val="24"/>
          <w:szCs w:val="24"/>
          <w:u w:val="single"/>
          <w14:textFill>
            <w14:solidFill>
              <w14:schemeClr w14:val="tx1"/>
            </w14:solidFill>
          </w14:textFill>
        </w:rPr>
        <w:t xml:space="preserve">       </w:t>
      </w:r>
    </w:p>
    <w:tbl>
      <w:tblPr>
        <w:tblStyle w:val="22"/>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序号</w:t>
            </w:r>
          </w:p>
        </w:tc>
        <w:tc>
          <w:tcPr>
            <w:tcW w:w="144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名称</w:t>
            </w:r>
          </w:p>
        </w:tc>
        <w:tc>
          <w:tcPr>
            <w:tcW w:w="2717"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品牌、规格</w:t>
            </w:r>
          </w:p>
        </w:tc>
        <w:tc>
          <w:tcPr>
            <w:tcW w:w="956"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产地</w:t>
            </w:r>
          </w:p>
        </w:tc>
        <w:tc>
          <w:tcPr>
            <w:tcW w:w="1260"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数量</w:t>
            </w:r>
          </w:p>
        </w:tc>
        <w:tc>
          <w:tcPr>
            <w:tcW w:w="153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估算</w:t>
            </w:r>
            <w:r>
              <w:rPr>
                <w:rFonts w:hint="eastAsia" w:cs="Arial"/>
                <w:color w:val="000000" w:themeColor="text1"/>
                <w14:textFill>
                  <w14:solidFill>
                    <w14:schemeClr w14:val="tx1"/>
                  </w14:solidFill>
                </w14:textFill>
              </w:rPr>
              <w:t>价格</w:t>
            </w:r>
            <w:r>
              <w:rPr>
                <w:rFonts w:cs="Arial"/>
                <w:color w:val="000000" w:themeColor="text1"/>
                <w14:textFill>
                  <w14:solidFill>
                    <w14:schemeClr w14:val="tx1"/>
                  </w14:solidFill>
                </w14:textFill>
              </w:rPr>
              <w:t>（月/元）</w:t>
            </w:r>
          </w:p>
        </w:tc>
        <w:tc>
          <w:tcPr>
            <w:tcW w:w="1543" w:type="dxa"/>
            <w:vAlign w:val="center"/>
          </w:tcPr>
          <w:p>
            <w:pPr>
              <w:adjustRightInd w:val="0"/>
              <w:snapToGrid w:val="0"/>
              <w:spacing w:line="400" w:lineRule="atLeast"/>
              <w:jc w:val="center"/>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估算</w:t>
            </w:r>
            <w:r>
              <w:rPr>
                <w:rFonts w:hint="eastAsia" w:cs="Arial"/>
                <w:color w:val="000000" w:themeColor="text1"/>
                <w14:textFill>
                  <w14:solidFill>
                    <w14:schemeClr w14:val="tx1"/>
                  </w14:solidFill>
                </w14:textFill>
              </w:rPr>
              <w:t>价格</w:t>
            </w:r>
            <w:r>
              <w:rPr>
                <w:rFonts w:cs="Arial"/>
                <w:color w:val="000000" w:themeColor="text1"/>
                <w14:textFill>
                  <w14:solidFill>
                    <w14:schemeClr w14:val="tx1"/>
                  </w14:solidFill>
                </w14:textFil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hint="eastAsia" w:eastAsia="宋体" w:cs="Arial"/>
                <w:color w:val="000000" w:themeColor="text1"/>
                <w:lang w:eastAsia="zh-CN"/>
                <w14:textFill>
                  <w14:solidFill>
                    <w14:schemeClr w14:val="tx1"/>
                  </w14:solidFill>
                </w14:textFill>
              </w:rPr>
            </w:pPr>
            <w:r>
              <w:rPr>
                <w:rFonts w:hint="eastAsia" w:cs="Arial"/>
                <w:color w:val="000000" w:themeColor="text1"/>
                <w:lang w:eastAsia="zh-CN"/>
                <w14:textFill>
                  <w14:solidFill>
                    <w14:schemeClr w14:val="tx1"/>
                  </w14:solidFill>
                </w14:textFill>
              </w:rPr>
              <w:t>毛巾</w:t>
            </w: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hint="eastAsia" w:eastAsia="宋体" w:cs="Arial"/>
                <w:color w:val="000000" w:themeColor="text1"/>
                <w:lang w:eastAsia="zh-CN"/>
                <w14:textFill>
                  <w14:solidFill>
                    <w14:schemeClr w14:val="tx1"/>
                  </w14:solidFill>
                </w14:textFill>
              </w:rPr>
            </w:pPr>
            <w:r>
              <w:rPr>
                <w:rFonts w:hint="eastAsia" w:cs="Arial"/>
                <w:color w:val="000000" w:themeColor="text1"/>
                <w:lang w:eastAsia="zh-CN"/>
                <w14:textFill>
                  <w14:solidFill>
                    <w14:schemeClr w14:val="tx1"/>
                  </w14:solidFill>
                </w14:textFill>
              </w:rPr>
              <w:t>扫把</w:t>
            </w: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hint="eastAsia" w:eastAsia="宋体" w:cs="Arial"/>
                <w:color w:val="000000" w:themeColor="text1"/>
                <w:lang w:eastAsia="zh-CN"/>
                <w14:textFill>
                  <w14:solidFill>
                    <w14:schemeClr w14:val="tx1"/>
                  </w14:solidFill>
                </w14:textFill>
              </w:rPr>
            </w:pPr>
            <w:r>
              <w:rPr>
                <w:rFonts w:hint="eastAsia" w:cs="Arial"/>
                <w:color w:val="000000" w:themeColor="text1"/>
                <w:lang w:eastAsia="zh-CN"/>
                <w14:textFill>
                  <w14:solidFill>
                    <w14:schemeClr w14:val="tx1"/>
                  </w14:solidFill>
                </w14:textFill>
              </w:rPr>
              <w:t>拖把</w:t>
            </w: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r>
              <w:rPr>
                <w:rFonts w:hint="eastAsia" w:ascii="仿宋_GB2312" w:hAnsi="宋体" w:eastAsia="仿宋_GB2312"/>
                <w:sz w:val="24"/>
              </w:rPr>
              <w:t>…</w:t>
            </w: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r>
              <w:rPr>
                <w:rFonts w:hint="eastAsia" w:ascii="仿宋_GB2312" w:hAnsi="宋体" w:eastAsia="仿宋_GB2312"/>
                <w:sz w:val="24"/>
              </w:rPr>
              <w:t>…</w:t>
            </w: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color w:val="000000" w:themeColor="text1"/>
                <w14:textFill>
                  <w14:solidFill>
                    <w14:schemeClr w14:val="tx1"/>
                  </w14:solidFill>
                </w14:textFill>
              </w:rPr>
            </w:pPr>
          </w:p>
        </w:tc>
        <w:tc>
          <w:tcPr>
            <w:tcW w:w="1443" w:type="dxa"/>
          </w:tcPr>
          <w:p>
            <w:pPr>
              <w:adjustRightInd w:val="0"/>
              <w:snapToGrid w:val="0"/>
              <w:spacing w:line="400" w:lineRule="atLeast"/>
              <w:jc w:val="center"/>
              <w:rPr>
                <w:rFonts w:cs="Arial"/>
                <w:color w:val="000000" w:themeColor="text1"/>
                <w14:textFill>
                  <w14:solidFill>
                    <w14:schemeClr w14:val="tx1"/>
                  </w14:solidFill>
                </w14:textFill>
              </w:rPr>
            </w:pPr>
            <w:r>
              <w:rPr>
                <w:rFonts w:hint="eastAsia" w:ascii="仿宋_GB2312" w:hAnsi="宋体" w:eastAsia="仿宋_GB2312"/>
                <w:sz w:val="24"/>
              </w:rPr>
              <w:t>…</w:t>
            </w:r>
          </w:p>
        </w:tc>
        <w:tc>
          <w:tcPr>
            <w:tcW w:w="2717" w:type="dxa"/>
          </w:tcPr>
          <w:p>
            <w:pPr>
              <w:adjustRightInd w:val="0"/>
              <w:snapToGrid w:val="0"/>
              <w:spacing w:line="400" w:lineRule="atLeast"/>
              <w:jc w:val="center"/>
              <w:rPr>
                <w:rFonts w:cs="Arial"/>
                <w:color w:val="000000" w:themeColor="text1"/>
                <w14:textFill>
                  <w14:solidFill>
                    <w14:schemeClr w14:val="tx1"/>
                  </w14:solidFill>
                </w14:textFill>
              </w:rPr>
            </w:pPr>
          </w:p>
        </w:tc>
        <w:tc>
          <w:tcPr>
            <w:tcW w:w="956" w:type="dxa"/>
          </w:tcPr>
          <w:p>
            <w:pPr>
              <w:adjustRightInd w:val="0"/>
              <w:snapToGrid w:val="0"/>
              <w:spacing w:line="400" w:lineRule="atLeast"/>
              <w:jc w:val="center"/>
              <w:rPr>
                <w:rFonts w:cs="Arial"/>
                <w:color w:val="000000" w:themeColor="text1"/>
                <w14:textFill>
                  <w14:solidFill>
                    <w14:schemeClr w14:val="tx1"/>
                  </w14:solidFill>
                </w14:textFill>
              </w:rPr>
            </w:pPr>
          </w:p>
        </w:tc>
        <w:tc>
          <w:tcPr>
            <w:tcW w:w="1260"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33" w:type="dxa"/>
          </w:tcPr>
          <w:p>
            <w:pPr>
              <w:adjustRightInd w:val="0"/>
              <w:snapToGrid w:val="0"/>
              <w:spacing w:line="400" w:lineRule="atLeast"/>
              <w:jc w:val="center"/>
              <w:rPr>
                <w:rFonts w:cs="Arial"/>
                <w:color w:val="000000" w:themeColor="text1"/>
                <w14:textFill>
                  <w14:solidFill>
                    <w14:schemeClr w14:val="tx1"/>
                  </w14:solidFill>
                </w14:textFill>
              </w:rPr>
            </w:pPr>
          </w:p>
        </w:tc>
        <w:tc>
          <w:tcPr>
            <w:tcW w:w="1543" w:type="dxa"/>
          </w:tcPr>
          <w:p>
            <w:pPr>
              <w:adjustRightInd w:val="0"/>
              <w:snapToGrid w:val="0"/>
              <w:spacing w:line="400" w:lineRule="atLeast"/>
              <w:jc w:val="center"/>
              <w:rPr>
                <w:rFonts w:cs="Arial"/>
                <w:color w:val="000000" w:themeColor="text1"/>
                <w14:textFill>
                  <w14:solidFill>
                    <w14:schemeClr w14:val="tx1"/>
                  </w14:solidFill>
                </w14:textFill>
              </w:rPr>
            </w:pPr>
          </w:p>
        </w:tc>
      </w:tr>
    </w:tbl>
    <w:p>
      <w:pPr>
        <w:snapToGrid w:val="0"/>
        <w:spacing w:before="50" w:after="50"/>
        <w:rPr>
          <w:color w:val="000000" w:themeColor="text1"/>
          <w:spacing w:val="20"/>
          <w14:textFill>
            <w14:solidFill>
              <w14:schemeClr w14:val="tx1"/>
            </w14:solidFill>
          </w14:textFill>
        </w:rPr>
      </w:pPr>
    </w:p>
    <w:p>
      <w:pPr>
        <w:spacing w:line="320" w:lineRule="exact"/>
        <w:ind w:left="420" w:firstLine="571" w:firstLineChars="238"/>
        <w:rPr>
          <w:rFonts w:hint="eastAsia"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公章</w:t>
      </w:r>
      <w:r>
        <w:rPr>
          <w:rFonts w:hint="eastAsia" w:ascii="宋体" w:hAnsi="宋体"/>
          <w:color w:val="000000"/>
          <w:sz w:val="24"/>
        </w:rPr>
        <w:t>）：</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993"/>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pStyle w:val="10"/>
        <w:rPr>
          <w:rFonts w:ascii="宋体" w:hAnsi="宋体"/>
          <w:b/>
          <w:color w:val="000000" w:themeColor="text1"/>
          <w:sz w:val="32"/>
          <w:szCs w:val="32"/>
          <w14:textFill>
            <w14:solidFill>
              <w14:schemeClr w14:val="tx1"/>
            </w14:solidFill>
          </w14:textFill>
        </w:rPr>
      </w:pPr>
    </w:p>
    <w:p>
      <w:pPr>
        <w:adjustRightInd w:val="0"/>
        <w:snapToGrid w:val="0"/>
        <w:spacing w:line="592" w:lineRule="exact"/>
        <w:rPr>
          <w:rFonts w:ascii="仿宋_GB2312" w:hAnsi="仿宋" w:eastAsia="仿宋_GB2312"/>
          <w:color w:val="000000" w:themeColor="text1"/>
          <w:sz w:val="28"/>
          <w:szCs w:val="28"/>
          <w14:textFill>
            <w14:solidFill>
              <w14:schemeClr w14:val="tx1"/>
            </w14:solidFill>
          </w14:textFill>
        </w:rPr>
      </w:pPr>
    </w:p>
    <w:p>
      <w:pPr>
        <w:pStyle w:val="10"/>
        <w:rPr>
          <w:rFonts w:ascii="仿宋_GB2312" w:hAnsi="仿宋" w:eastAsia="仿宋_GB2312"/>
          <w:color w:val="000000" w:themeColor="text1"/>
          <w:sz w:val="28"/>
          <w:szCs w:val="28"/>
          <w14:textFill>
            <w14:solidFill>
              <w14:schemeClr w14:val="tx1"/>
            </w14:solidFill>
          </w14:textFill>
        </w:rPr>
      </w:pPr>
    </w:p>
    <w:p>
      <w:pPr>
        <w:pStyle w:val="11"/>
        <w:rPr>
          <w:rFonts w:ascii="仿宋_GB2312" w:hAnsi="仿宋" w:eastAsia="仿宋_GB2312"/>
          <w:color w:val="000000" w:themeColor="text1"/>
          <w:sz w:val="28"/>
          <w:szCs w:val="28"/>
          <w14:textFill>
            <w14:solidFill>
              <w14:schemeClr w14:val="tx1"/>
            </w14:solidFill>
          </w14:textFill>
        </w:rPr>
      </w:pPr>
    </w:p>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default" w:ascii="宋体" w:hAnsi="宋体"/>
          <w:b/>
          <w:color w:val="000000" w:themeColor="text1"/>
          <w:sz w:val="28"/>
          <w:lang w:val="en-US"/>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hint="eastAsia" w:ascii="宋体" w:hAnsi="宋体"/>
          <w:b/>
          <w:color w:val="000000" w:themeColor="text1"/>
          <w:sz w:val="28"/>
          <w:lang w:val="en-US" w:eastAsia="zh-CN"/>
          <w14:textFill>
            <w14:solidFill>
              <w14:schemeClr w14:val="tx1"/>
            </w14:solidFill>
          </w14:textFill>
        </w:rPr>
        <w:t>19</w:t>
      </w:r>
    </w:p>
    <w:p>
      <w:pPr>
        <w:pStyle w:val="10"/>
      </w:pPr>
    </w:p>
    <w:p>
      <w:pPr>
        <w:pStyle w:val="10"/>
        <w:rPr>
          <w:rFonts w:hint="default"/>
          <w:lang w:val="en-US" w:eastAsia="zh-CN"/>
        </w:rPr>
      </w:pPr>
    </w:p>
    <w:p>
      <w:pPr>
        <w:pStyle w:val="42"/>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13"/>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2"/>
        <w:spacing w:line="360" w:lineRule="auto"/>
        <w:ind w:firstLine="480" w:firstLineChars="200"/>
        <w:rPr>
          <w:rFonts w:ascii="宋体" w:hAnsi="宋体" w:cs="Arial"/>
          <w:bCs/>
          <w:sz w:val="24"/>
        </w:rPr>
      </w:pPr>
    </w:p>
    <w:p>
      <w:pPr>
        <w:pStyle w:val="42"/>
        <w:spacing w:line="360" w:lineRule="auto"/>
        <w:rPr>
          <w:rFonts w:ascii="宋体" w:hAnsi="宋体"/>
          <w:sz w:val="24"/>
        </w:rPr>
      </w:pPr>
    </w:p>
    <w:p>
      <w:pPr>
        <w:pStyle w:val="42"/>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2"/>
        <w:spacing w:line="360" w:lineRule="auto"/>
        <w:ind w:firstLine="4800" w:firstLineChars="2000"/>
        <w:rPr>
          <w:rFonts w:ascii="宋体" w:hAnsi="宋体"/>
          <w:sz w:val="24"/>
        </w:rPr>
      </w:pPr>
      <w:r>
        <w:rPr>
          <w:rFonts w:hint="eastAsia" w:ascii="宋体" w:hAnsi="宋体"/>
          <w:sz w:val="24"/>
        </w:rPr>
        <w:t>日期：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Ansi="宋体" w:cs="宋体"/>
          <w:b/>
          <w:sz w:val="32"/>
          <w:szCs w:val="32"/>
          <w:lang w:val="en-GB"/>
        </w:rPr>
      </w:pPr>
      <w:bookmarkStart w:id="108" w:name="_Toc27483_WPSOffice_Level1"/>
      <w:bookmarkStart w:id="109" w:name="_Toc17646_WPSOffice_Level1"/>
      <w:r>
        <w:rPr>
          <w:rFonts w:hint="eastAsia" w:hAnsi="宋体" w:cs="宋体"/>
          <w:b/>
          <w:sz w:val="32"/>
          <w:szCs w:val="32"/>
          <w:lang w:val="en-GB"/>
        </w:rPr>
        <w:t>残疾人福利性单位声明函</w:t>
      </w:r>
      <w:bookmarkEnd w:id="108"/>
      <w:bookmarkEnd w:id="109"/>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2"/>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10"/>
        <w:numPr>
          <w:ilvl w:val="0"/>
          <w:numId w:val="0"/>
        </w:numPr>
        <w:rPr>
          <w:rFonts w:hint="default"/>
          <w:lang w:val="en-US" w:eastAsia="zh-CN"/>
        </w:rPr>
      </w:pPr>
    </w:p>
    <w:p>
      <w:pPr>
        <w:spacing w:line="320" w:lineRule="exact"/>
        <w:rPr>
          <w:rFonts w:hint="default" w:ascii="宋体" w:hAnsi="宋体"/>
          <w:b/>
          <w:color w:val="000000" w:themeColor="text1"/>
          <w:sz w:val="28"/>
          <w:lang w:val="en-US"/>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hint="eastAsia" w:ascii="宋体" w:hAnsi="宋体"/>
          <w:b/>
          <w:color w:val="000000" w:themeColor="text1"/>
          <w:sz w:val="28"/>
          <w:lang w:val="en-US" w:eastAsia="zh-CN"/>
          <w14:textFill>
            <w14:solidFill>
              <w14:schemeClr w14:val="tx1"/>
            </w14:solidFill>
          </w14:textFill>
        </w:rPr>
        <w:t>20</w:t>
      </w:r>
    </w:p>
    <w:p>
      <w:pPr>
        <w:spacing w:line="360" w:lineRule="auto"/>
        <w:ind w:firstLine="480" w:firstLineChars="200"/>
        <w:rPr>
          <w:rFonts w:hint="eastAsia" w:ascii="宋体" w:hAnsi="宋体" w:cs="宋体"/>
          <w:sz w:val="24"/>
          <w:lang w:eastAsia="zh-CN"/>
        </w:rPr>
      </w:pPr>
    </w:p>
    <w:p>
      <w:pPr>
        <w:spacing w:line="360" w:lineRule="auto"/>
        <w:ind w:firstLine="643" w:firstLineChars="200"/>
        <w:jc w:val="center"/>
        <w:rPr>
          <w:rFonts w:hint="eastAsia" w:ascii="宋体" w:hAnsi="宋体" w:cs="宋体"/>
          <w:b/>
          <w:bCs/>
          <w:sz w:val="32"/>
          <w:szCs w:val="32"/>
          <w:lang w:eastAsia="zh-CN"/>
        </w:rPr>
      </w:pPr>
      <w:r>
        <w:rPr>
          <w:rFonts w:hint="eastAsia" w:ascii="宋体" w:hAnsi="宋体" w:cs="宋体"/>
          <w:b/>
          <w:bCs/>
          <w:sz w:val="32"/>
          <w:szCs w:val="32"/>
          <w:lang w:eastAsia="zh-CN"/>
        </w:rPr>
        <w:t>临时保卫服务承诺函</w:t>
      </w:r>
    </w:p>
    <w:p>
      <w:pPr>
        <w:spacing w:line="360" w:lineRule="auto"/>
        <w:ind w:firstLine="480" w:firstLineChars="200"/>
        <w:rPr>
          <w:rFonts w:hint="default" w:ascii="宋体" w:hAnsi="宋体" w:cs="宋体"/>
          <w:sz w:val="24"/>
          <w:lang w:val="en-US" w:eastAsia="zh-CN"/>
        </w:rPr>
      </w:pPr>
    </w:p>
    <w:p>
      <w:pPr>
        <w:spacing w:line="360" w:lineRule="auto"/>
        <w:ind w:firstLine="480" w:firstLineChars="200"/>
        <w:rPr>
          <w:rFonts w:hint="default" w:ascii="宋体" w:hAnsi="宋体" w:cs="宋体"/>
          <w:sz w:val="24"/>
          <w:lang w:val="en-US" w:eastAsia="zh-CN"/>
        </w:rPr>
      </w:pPr>
    </w:p>
    <w:p>
      <w:pPr>
        <w:spacing w:line="360" w:lineRule="auto"/>
        <w:ind w:firstLine="480" w:firstLineChars="200"/>
        <w:rPr>
          <w:rFonts w:hint="default" w:ascii="宋体" w:hAnsi="宋体" w:cs="宋体"/>
          <w:sz w:val="24"/>
          <w:lang w:val="en-US" w:eastAsia="zh-CN"/>
        </w:rPr>
      </w:pPr>
    </w:p>
    <w:p>
      <w:pPr>
        <w:spacing w:line="48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本公司承诺，在业主发生临时应急情况时提供临时保卫服务，临时保卫报价为     元/人/天，如中标后不能按照承诺提供临时保卫服务，每次从履约保证金中扣除500元。</w:t>
      </w:r>
    </w:p>
    <w:p>
      <w:pPr>
        <w:spacing w:line="480" w:lineRule="auto"/>
        <w:ind w:firstLine="480" w:firstLineChars="200"/>
        <w:rPr>
          <w:rFonts w:hint="eastAsia" w:ascii="宋体" w:hAnsi="宋体" w:cs="宋体"/>
          <w:sz w:val="24"/>
          <w:lang w:val="en-US" w:eastAsia="zh-CN"/>
        </w:rPr>
      </w:pPr>
    </w:p>
    <w:p>
      <w:pPr>
        <w:wordWrap w:val="0"/>
        <w:ind w:firstLine="880" w:firstLineChars="200"/>
        <w:jc w:val="right"/>
        <w:rPr>
          <w:rFonts w:hint="eastAsia"/>
          <w:sz w:val="44"/>
          <w:szCs w:val="44"/>
          <w:u w:val="none"/>
          <w:lang w:val="en-US" w:eastAsia="zh-CN"/>
        </w:rPr>
      </w:pPr>
    </w:p>
    <w:p>
      <w:pPr>
        <w:spacing w:line="320" w:lineRule="exact"/>
        <w:ind w:left="420"/>
        <w:rPr>
          <w:rFonts w:hint="eastAsia" w:ascii="宋体" w:hAnsi="宋体"/>
          <w:color w:val="000000"/>
          <w:sz w:val="24"/>
        </w:rPr>
      </w:pPr>
    </w:p>
    <w:p>
      <w:pPr>
        <w:pStyle w:val="2"/>
        <w:rPr>
          <w:rFonts w:hint="eastAsia" w:ascii="宋体" w:hAnsi="宋体"/>
          <w:b/>
          <w:color w:val="000000"/>
          <w:sz w:val="28"/>
        </w:rPr>
      </w:pPr>
    </w:p>
    <w:p>
      <w:pPr>
        <w:wordWrap/>
        <w:ind w:firstLine="880" w:firstLineChars="200"/>
        <w:jc w:val="right"/>
        <w:rPr>
          <w:rFonts w:hint="eastAsia"/>
          <w:sz w:val="44"/>
          <w:szCs w:val="44"/>
          <w:u w:val="none"/>
          <w:lang w:val="en-US" w:eastAsia="zh-CN"/>
        </w:rPr>
      </w:pPr>
    </w:p>
    <w:p>
      <w:pPr>
        <w:wordWrap/>
        <w:ind w:firstLine="880" w:firstLineChars="200"/>
        <w:jc w:val="right"/>
        <w:rPr>
          <w:rFonts w:hint="eastAsia"/>
          <w:sz w:val="44"/>
          <w:szCs w:val="44"/>
          <w:u w:val="none"/>
          <w:lang w:val="en-US" w:eastAsia="zh-CN"/>
        </w:rPr>
      </w:pPr>
    </w:p>
    <w:p>
      <w:pPr>
        <w:spacing w:line="360" w:lineRule="auto"/>
        <w:ind w:firstLine="480" w:firstLineChars="200"/>
        <w:rPr>
          <w:rFonts w:hint="eastAsia" w:ascii="宋体" w:hAnsi="宋体" w:cs="宋体"/>
          <w:sz w:val="24"/>
          <w:lang w:val="en-US" w:eastAsia="zh-CN"/>
        </w:rPr>
      </w:pPr>
    </w:p>
    <w:p>
      <w:pPr>
        <w:spacing w:line="360" w:lineRule="auto"/>
        <w:ind w:firstLine="480" w:firstLineChars="200"/>
        <w:rPr>
          <w:rFonts w:hint="eastAsia" w:ascii="宋体" w:hAnsi="宋体" w:cs="宋体"/>
          <w:sz w:val="24"/>
          <w:lang w:val="en-US" w:eastAsia="zh-CN"/>
        </w:rPr>
      </w:pPr>
    </w:p>
    <w:p>
      <w:pPr>
        <w:spacing w:line="360" w:lineRule="auto"/>
        <w:ind w:firstLine="3840" w:firstLineChars="1600"/>
        <w:rPr>
          <w:rFonts w:hint="eastAsia" w:ascii="宋体" w:hAnsi="宋体" w:cs="宋体"/>
          <w:sz w:val="24"/>
          <w:lang w:val="en-US" w:eastAsia="zh-CN"/>
        </w:rPr>
      </w:pPr>
      <w:r>
        <w:rPr>
          <w:rFonts w:hint="eastAsia" w:ascii="宋体" w:hAnsi="宋体" w:cs="宋体"/>
          <w:sz w:val="24"/>
          <w:lang w:val="en-US" w:eastAsia="zh-CN"/>
        </w:rPr>
        <w:t xml:space="preserve">投标人（盖章）：     </w:t>
      </w:r>
    </w:p>
    <w:p>
      <w:pPr>
        <w:spacing w:line="360" w:lineRule="auto"/>
        <w:ind w:firstLine="3840" w:firstLineChars="1600"/>
        <w:rPr>
          <w:rFonts w:hint="eastAsia" w:ascii="宋体" w:hAnsi="宋体" w:cs="宋体"/>
          <w:sz w:val="24"/>
          <w:lang w:val="en-US" w:eastAsia="zh-CN"/>
        </w:rPr>
      </w:pPr>
      <w:r>
        <w:rPr>
          <w:rFonts w:hint="eastAsia" w:ascii="宋体" w:hAnsi="宋体" w:cs="宋体"/>
          <w:sz w:val="24"/>
          <w:lang w:val="en-US" w:eastAsia="zh-CN"/>
        </w:rPr>
        <w:t xml:space="preserve">法定代表人或授权代表（签字或盖章）：     </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 xml:space="preserve">                            日期：年   月   日</w:t>
      </w:r>
    </w:p>
    <w:p>
      <w:pPr>
        <w:wordWrap/>
        <w:ind w:firstLine="880" w:firstLineChars="200"/>
        <w:jc w:val="right"/>
        <w:rPr>
          <w:rFonts w:hint="default"/>
          <w:sz w:val="44"/>
          <w:szCs w:val="44"/>
          <w:u w:val="none"/>
          <w:lang w:val="en-US" w:eastAsia="zh-CN"/>
        </w:rPr>
      </w:pPr>
    </w:p>
    <w:p>
      <w:pPr>
        <w:snapToGrid w:val="0"/>
        <w:spacing w:before="50"/>
        <w:jc w:val="left"/>
        <w:rPr>
          <w:rFonts w:hint="eastAsia" w:ascii="宋体" w:hAnsi="宋体"/>
          <w:b/>
          <w:color w:val="000000"/>
        </w:rPr>
      </w:pPr>
    </w:p>
    <w:p>
      <w:pPr>
        <w:spacing w:line="360" w:lineRule="auto"/>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lang w:eastAsia="zh-CN"/>
        <w14:textFill>
          <w14:solidFill>
            <w14:schemeClr w14:val="tx1"/>
          </w14:solidFill>
        </w14:textFill>
      </w:rPr>
      <w:t>台州市</w:t>
    </w:r>
    <w:r>
      <w:rPr>
        <w:rFonts w:hint="eastAsia"/>
        <w:b/>
        <w:i/>
        <w:color w:val="000000" w:themeColor="text1"/>
        <w:kern w:val="0"/>
        <w:sz w:val="18"/>
        <w:u w:val="single"/>
        <w14:textFill>
          <w14:solidFill>
            <w14:schemeClr w14:val="tx1"/>
          </w14:solidFill>
        </w14:textFill>
      </w:rPr>
      <w:t xml:space="preserve">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96FDE905"/>
    <w:multiLevelType w:val="singleLevel"/>
    <w:tmpl w:val="96FDE905"/>
    <w:lvl w:ilvl="0" w:tentative="0">
      <w:start w:val="2"/>
      <w:numFmt w:val="chineseCounting"/>
      <w:suff w:val="nothing"/>
      <w:lvlText w:val="（%1）"/>
      <w:lvlJc w:val="left"/>
      <w:rPr>
        <w:rFonts w:hint="eastAsia"/>
      </w:rPr>
    </w:lvl>
  </w:abstractNum>
  <w:abstractNum w:abstractNumId="2">
    <w:nsid w:val="9B92DF4C"/>
    <w:multiLevelType w:val="singleLevel"/>
    <w:tmpl w:val="9B92DF4C"/>
    <w:lvl w:ilvl="0" w:tentative="0">
      <w:start w:val="1"/>
      <w:numFmt w:val="decimal"/>
      <w:suff w:val="nothing"/>
      <w:lvlText w:val="%1、"/>
      <w:lvlJc w:val="left"/>
    </w:lvl>
  </w:abstractNum>
  <w:abstractNum w:abstractNumId="3">
    <w:nsid w:val="AC2AE9B5"/>
    <w:multiLevelType w:val="singleLevel"/>
    <w:tmpl w:val="AC2AE9B5"/>
    <w:lvl w:ilvl="0" w:tentative="0">
      <w:start w:val="4"/>
      <w:numFmt w:val="decimal"/>
      <w:suff w:val="nothing"/>
      <w:lvlText w:val="%1、"/>
      <w:lvlJc w:val="left"/>
    </w:lvl>
  </w:abstractNum>
  <w:abstractNum w:abstractNumId="4">
    <w:nsid w:val="C8F99F11"/>
    <w:multiLevelType w:val="singleLevel"/>
    <w:tmpl w:val="C8F99F11"/>
    <w:lvl w:ilvl="0" w:tentative="0">
      <w:start w:val="1"/>
      <w:numFmt w:val="decimal"/>
      <w:lvlText w:val="%1."/>
      <w:lvlJc w:val="left"/>
      <w:pPr>
        <w:ind w:left="425" w:hanging="425"/>
      </w:pPr>
      <w:rPr>
        <w:rFonts w:hint="default"/>
      </w:rPr>
    </w:lvl>
  </w:abstractNum>
  <w:abstractNum w:abstractNumId="5">
    <w:nsid w:val="D927700D"/>
    <w:multiLevelType w:val="singleLevel"/>
    <w:tmpl w:val="D927700D"/>
    <w:lvl w:ilvl="0" w:tentative="0">
      <w:start w:val="2"/>
      <w:numFmt w:val="chineseCounting"/>
      <w:suff w:val="nothing"/>
      <w:lvlText w:val="%1、"/>
      <w:lvlJc w:val="left"/>
      <w:rPr>
        <w:rFonts w:hint="eastAsia"/>
      </w:rPr>
    </w:lvl>
  </w:abstractNum>
  <w:abstractNum w:abstractNumId="6">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3F985B4"/>
    <w:multiLevelType w:val="singleLevel"/>
    <w:tmpl w:val="53F985B4"/>
    <w:lvl w:ilvl="0" w:tentative="0">
      <w:start w:val="1"/>
      <w:numFmt w:val="decimal"/>
      <w:lvlText w:val="%1."/>
      <w:lvlJc w:val="left"/>
      <w:pPr>
        <w:tabs>
          <w:tab w:val="left" w:pos="312"/>
        </w:tabs>
      </w:pPr>
    </w:lvl>
  </w:abstractNum>
  <w:abstractNum w:abstractNumId="9">
    <w:nsid w:val="5BE338C7"/>
    <w:multiLevelType w:val="singleLevel"/>
    <w:tmpl w:val="5BE338C7"/>
    <w:lvl w:ilvl="0" w:tentative="0">
      <w:start w:val="1"/>
      <w:numFmt w:val="decimal"/>
      <w:lvlText w:val="%1."/>
      <w:lvlJc w:val="left"/>
      <w:pPr>
        <w:ind w:left="425" w:hanging="425"/>
      </w:pPr>
      <w:rPr>
        <w:rFonts w:hint="default"/>
      </w:rPr>
    </w:lvl>
  </w:abstractNum>
  <w:abstractNum w:abstractNumId="1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rPr>
    </w:lvl>
  </w:abstractNum>
  <w:num w:numId="1">
    <w:abstractNumId w:val="10"/>
  </w:num>
  <w:num w:numId="2">
    <w:abstractNumId w:val="6"/>
  </w:num>
  <w:num w:numId="3">
    <w:abstractNumId w:val="11"/>
  </w:num>
  <w:num w:numId="4">
    <w:abstractNumId w:val="1"/>
  </w:num>
  <w:num w:numId="5">
    <w:abstractNumId w:val="7"/>
  </w:num>
  <w:num w:numId="6">
    <w:abstractNumId w:val="5"/>
  </w:num>
  <w:num w:numId="7">
    <w:abstractNumId w:val="3"/>
  </w:num>
  <w:num w:numId="8">
    <w:abstractNumId w:val="2"/>
  </w:num>
  <w:num w:numId="9">
    <w:abstractNumId w:val="0"/>
  </w:num>
  <w:num w:numId="10">
    <w:abstractNumId w:val="9"/>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71BA1"/>
    <w:rsid w:val="000A2B60"/>
    <w:rsid w:val="001146EF"/>
    <w:rsid w:val="00165EE9"/>
    <w:rsid w:val="00186236"/>
    <w:rsid w:val="00291503"/>
    <w:rsid w:val="00315916"/>
    <w:rsid w:val="0049548B"/>
    <w:rsid w:val="005D0DD1"/>
    <w:rsid w:val="00667357"/>
    <w:rsid w:val="006D5C96"/>
    <w:rsid w:val="007477AD"/>
    <w:rsid w:val="008248FA"/>
    <w:rsid w:val="00905DA1"/>
    <w:rsid w:val="00987EDA"/>
    <w:rsid w:val="009D46C4"/>
    <w:rsid w:val="009D6A9E"/>
    <w:rsid w:val="00A12741"/>
    <w:rsid w:val="00A85AC9"/>
    <w:rsid w:val="00A921FD"/>
    <w:rsid w:val="00AB072A"/>
    <w:rsid w:val="00AB49B7"/>
    <w:rsid w:val="00C061A0"/>
    <w:rsid w:val="00C50B60"/>
    <w:rsid w:val="00C52A0D"/>
    <w:rsid w:val="00CA2C6C"/>
    <w:rsid w:val="00CB51F3"/>
    <w:rsid w:val="00D0009A"/>
    <w:rsid w:val="00D14AD5"/>
    <w:rsid w:val="00D325EC"/>
    <w:rsid w:val="00D40771"/>
    <w:rsid w:val="00D81728"/>
    <w:rsid w:val="00DB1553"/>
    <w:rsid w:val="00E42018"/>
    <w:rsid w:val="00FC1E7F"/>
    <w:rsid w:val="00FF7A94"/>
    <w:rsid w:val="010742D5"/>
    <w:rsid w:val="010F7B98"/>
    <w:rsid w:val="01270A4D"/>
    <w:rsid w:val="01847147"/>
    <w:rsid w:val="01851778"/>
    <w:rsid w:val="01A729ED"/>
    <w:rsid w:val="01AE11E6"/>
    <w:rsid w:val="01B729F0"/>
    <w:rsid w:val="01E96BCD"/>
    <w:rsid w:val="01F53A09"/>
    <w:rsid w:val="0213141D"/>
    <w:rsid w:val="02222883"/>
    <w:rsid w:val="026D6E7C"/>
    <w:rsid w:val="02730BCE"/>
    <w:rsid w:val="02A01370"/>
    <w:rsid w:val="02C62BA9"/>
    <w:rsid w:val="02E21F95"/>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B97A70"/>
    <w:rsid w:val="04C403D8"/>
    <w:rsid w:val="04DA625A"/>
    <w:rsid w:val="04E6106A"/>
    <w:rsid w:val="04EF476C"/>
    <w:rsid w:val="04F80D9E"/>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7D77AC"/>
    <w:rsid w:val="06906281"/>
    <w:rsid w:val="0699402C"/>
    <w:rsid w:val="069C64C8"/>
    <w:rsid w:val="06A0112C"/>
    <w:rsid w:val="06A81BEC"/>
    <w:rsid w:val="06DC2725"/>
    <w:rsid w:val="06DC60DB"/>
    <w:rsid w:val="06F44F8B"/>
    <w:rsid w:val="06F84851"/>
    <w:rsid w:val="06FB0045"/>
    <w:rsid w:val="0734001B"/>
    <w:rsid w:val="074A2095"/>
    <w:rsid w:val="077B362D"/>
    <w:rsid w:val="079A6E72"/>
    <w:rsid w:val="079F3EE7"/>
    <w:rsid w:val="07AA1AB7"/>
    <w:rsid w:val="07DF5164"/>
    <w:rsid w:val="07E50580"/>
    <w:rsid w:val="07EE133F"/>
    <w:rsid w:val="08065B86"/>
    <w:rsid w:val="0825634E"/>
    <w:rsid w:val="08274ACF"/>
    <w:rsid w:val="08310251"/>
    <w:rsid w:val="084703F0"/>
    <w:rsid w:val="08696EDC"/>
    <w:rsid w:val="08705B4A"/>
    <w:rsid w:val="087A7753"/>
    <w:rsid w:val="08810C3F"/>
    <w:rsid w:val="08814CE3"/>
    <w:rsid w:val="08884C10"/>
    <w:rsid w:val="08986544"/>
    <w:rsid w:val="08AB7979"/>
    <w:rsid w:val="08BB6846"/>
    <w:rsid w:val="08D55A74"/>
    <w:rsid w:val="08DC3175"/>
    <w:rsid w:val="08E052CE"/>
    <w:rsid w:val="08FD3C48"/>
    <w:rsid w:val="090E39C3"/>
    <w:rsid w:val="09161D47"/>
    <w:rsid w:val="093D3ABC"/>
    <w:rsid w:val="09CE19BC"/>
    <w:rsid w:val="09CE36FE"/>
    <w:rsid w:val="09E70A54"/>
    <w:rsid w:val="09E84CCD"/>
    <w:rsid w:val="0A051115"/>
    <w:rsid w:val="0A3A5C5D"/>
    <w:rsid w:val="0A474A0E"/>
    <w:rsid w:val="0A8528D5"/>
    <w:rsid w:val="0A8A0A3A"/>
    <w:rsid w:val="0AB52BD8"/>
    <w:rsid w:val="0AD56F1F"/>
    <w:rsid w:val="0AEA3C8C"/>
    <w:rsid w:val="0B1E0CF0"/>
    <w:rsid w:val="0B1E2894"/>
    <w:rsid w:val="0B3A637F"/>
    <w:rsid w:val="0B4F6D0B"/>
    <w:rsid w:val="0BCE1370"/>
    <w:rsid w:val="0BCF240A"/>
    <w:rsid w:val="0BD84E5C"/>
    <w:rsid w:val="0BE34CD8"/>
    <w:rsid w:val="0BE83010"/>
    <w:rsid w:val="0BF47D4E"/>
    <w:rsid w:val="0BF86799"/>
    <w:rsid w:val="0C377F1F"/>
    <w:rsid w:val="0C516743"/>
    <w:rsid w:val="0C5D1BDB"/>
    <w:rsid w:val="0C7E2237"/>
    <w:rsid w:val="0CA34118"/>
    <w:rsid w:val="0CA758F8"/>
    <w:rsid w:val="0CCD457A"/>
    <w:rsid w:val="0CD63002"/>
    <w:rsid w:val="0CED2959"/>
    <w:rsid w:val="0CEF3BF8"/>
    <w:rsid w:val="0D000761"/>
    <w:rsid w:val="0D3F7F2E"/>
    <w:rsid w:val="0D5A25F6"/>
    <w:rsid w:val="0D6344EC"/>
    <w:rsid w:val="0D705EC6"/>
    <w:rsid w:val="0D7446FA"/>
    <w:rsid w:val="0DB14507"/>
    <w:rsid w:val="0DB757B9"/>
    <w:rsid w:val="0DE545F3"/>
    <w:rsid w:val="0DE7555E"/>
    <w:rsid w:val="0E0316BF"/>
    <w:rsid w:val="0E072513"/>
    <w:rsid w:val="0EFD219B"/>
    <w:rsid w:val="0F0D0D2C"/>
    <w:rsid w:val="0F385060"/>
    <w:rsid w:val="0F58781F"/>
    <w:rsid w:val="0F5D7625"/>
    <w:rsid w:val="0F6147A2"/>
    <w:rsid w:val="0F86061B"/>
    <w:rsid w:val="0FC27645"/>
    <w:rsid w:val="0FD4645C"/>
    <w:rsid w:val="1007199F"/>
    <w:rsid w:val="101A3630"/>
    <w:rsid w:val="102C199B"/>
    <w:rsid w:val="10507CE0"/>
    <w:rsid w:val="105576A8"/>
    <w:rsid w:val="10B95885"/>
    <w:rsid w:val="10BE1B05"/>
    <w:rsid w:val="10C64B9C"/>
    <w:rsid w:val="10CB7C05"/>
    <w:rsid w:val="10CF3933"/>
    <w:rsid w:val="10FD1FE7"/>
    <w:rsid w:val="11344EBE"/>
    <w:rsid w:val="115B5C4F"/>
    <w:rsid w:val="115C7668"/>
    <w:rsid w:val="11674FFD"/>
    <w:rsid w:val="117C20D6"/>
    <w:rsid w:val="118A244C"/>
    <w:rsid w:val="118A3102"/>
    <w:rsid w:val="11A2124C"/>
    <w:rsid w:val="11C20C82"/>
    <w:rsid w:val="11C8536C"/>
    <w:rsid w:val="11CA7F8A"/>
    <w:rsid w:val="11D0460B"/>
    <w:rsid w:val="11DE5C79"/>
    <w:rsid w:val="12101447"/>
    <w:rsid w:val="12215961"/>
    <w:rsid w:val="125F1817"/>
    <w:rsid w:val="128D04EC"/>
    <w:rsid w:val="12AA2320"/>
    <w:rsid w:val="12DB53B1"/>
    <w:rsid w:val="12E81B94"/>
    <w:rsid w:val="12F776ED"/>
    <w:rsid w:val="13257C63"/>
    <w:rsid w:val="133707C2"/>
    <w:rsid w:val="13441C72"/>
    <w:rsid w:val="134C77A5"/>
    <w:rsid w:val="13731B39"/>
    <w:rsid w:val="13732205"/>
    <w:rsid w:val="137F0CE3"/>
    <w:rsid w:val="1397433E"/>
    <w:rsid w:val="13A50343"/>
    <w:rsid w:val="13C30E6E"/>
    <w:rsid w:val="141839BA"/>
    <w:rsid w:val="141B13D5"/>
    <w:rsid w:val="141C741E"/>
    <w:rsid w:val="14234B06"/>
    <w:rsid w:val="144D400B"/>
    <w:rsid w:val="149D3DC9"/>
    <w:rsid w:val="149E1778"/>
    <w:rsid w:val="14AD4839"/>
    <w:rsid w:val="14EA3450"/>
    <w:rsid w:val="14F767B6"/>
    <w:rsid w:val="15287486"/>
    <w:rsid w:val="15840A84"/>
    <w:rsid w:val="159D4B97"/>
    <w:rsid w:val="15AF033B"/>
    <w:rsid w:val="16031113"/>
    <w:rsid w:val="160C1329"/>
    <w:rsid w:val="16332D75"/>
    <w:rsid w:val="16502A53"/>
    <w:rsid w:val="16725D01"/>
    <w:rsid w:val="16777B9F"/>
    <w:rsid w:val="168F227C"/>
    <w:rsid w:val="169A575C"/>
    <w:rsid w:val="16AD5C51"/>
    <w:rsid w:val="16C11894"/>
    <w:rsid w:val="16C377D3"/>
    <w:rsid w:val="16C85686"/>
    <w:rsid w:val="171F0861"/>
    <w:rsid w:val="1731374B"/>
    <w:rsid w:val="173B1F0E"/>
    <w:rsid w:val="173D243C"/>
    <w:rsid w:val="17534ECF"/>
    <w:rsid w:val="1763654B"/>
    <w:rsid w:val="17BB03A7"/>
    <w:rsid w:val="17DC7BF0"/>
    <w:rsid w:val="180053F0"/>
    <w:rsid w:val="181011F1"/>
    <w:rsid w:val="185F5F75"/>
    <w:rsid w:val="188227EF"/>
    <w:rsid w:val="189220EE"/>
    <w:rsid w:val="189E4B47"/>
    <w:rsid w:val="18DC7C01"/>
    <w:rsid w:val="18E36CFC"/>
    <w:rsid w:val="19000C71"/>
    <w:rsid w:val="192A06DB"/>
    <w:rsid w:val="193028F8"/>
    <w:rsid w:val="19800DAF"/>
    <w:rsid w:val="198218DD"/>
    <w:rsid w:val="198D1B84"/>
    <w:rsid w:val="198E4D52"/>
    <w:rsid w:val="19923F06"/>
    <w:rsid w:val="199724DC"/>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AF0A06"/>
    <w:rsid w:val="1CBB4247"/>
    <w:rsid w:val="1CF01B23"/>
    <w:rsid w:val="1CFA7EEF"/>
    <w:rsid w:val="1CFB1146"/>
    <w:rsid w:val="1D1338EC"/>
    <w:rsid w:val="1D37062D"/>
    <w:rsid w:val="1D3B199E"/>
    <w:rsid w:val="1D5B6D2E"/>
    <w:rsid w:val="1DB45D52"/>
    <w:rsid w:val="1DC84F72"/>
    <w:rsid w:val="1DD97941"/>
    <w:rsid w:val="1DEC270F"/>
    <w:rsid w:val="1DF10281"/>
    <w:rsid w:val="1E0672A1"/>
    <w:rsid w:val="1E0D3D46"/>
    <w:rsid w:val="1E1F7DB7"/>
    <w:rsid w:val="1E331E3B"/>
    <w:rsid w:val="1E370C0B"/>
    <w:rsid w:val="1E4E212D"/>
    <w:rsid w:val="1E561B49"/>
    <w:rsid w:val="1E5A2895"/>
    <w:rsid w:val="1E5B5B74"/>
    <w:rsid w:val="1E813A78"/>
    <w:rsid w:val="1E847B39"/>
    <w:rsid w:val="1E860C88"/>
    <w:rsid w:val="1EAD27E8"/>
    <w:rsid w:val="1EBE74AF"/>
    <w:rsid w:val="1ED462A6"/>
    <w:rsid w:val="1ED734FA"/>
    <w:rsid w:val="1EDB21B2"/>
    <w:rsid w:val="1EE21D29"/>
    <w:rsid w:val="1EE72005"/>
    <w:rsid w:val="1F2A54BC"/>
    <w:rsid w:val="1F2F246F"/>
    <w:rsid w:val="1F3E1D5D"/>
    <w:rsid w:val="1F6E3177"/>
    <w:rsid w:val="1F6F04BA"/>
    <w:rsid w:val="1F8129BD"/>
    <w:rsid w:val="1FA45952"/>
    <w:rsid w:val="1FA616CA"/>
    <w:rsid w:val="20027E74"/>
    <w:rsid w:val="2024650C"/>
    <w:rsid w:val="20337402"/>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6736E"/>
    <w:rsid w:val="226E674C"/>
    <w:rsid w:val="22712A0D"/>
    <w:rsid w:val="22734646"/>
    <w:rsid w:val="22B609EC"/>
    <w:rsid w:val="22C23296"/>
    <w:rsid w:val="22CF4727"/>
    <w:rsid w:val="22D22D2B"/>
    <w:rsid w:val="22E35CB6"/>
    <w:rsid w:val="23280561"/>
    <w:rsid w:val="2330019D"/>
    <w:rsid w:val="235E2799"/>
    <w:rsid w:val="23666663"/>
    <w:rsid w:val="23693289"/>
    <w:rsid w:val="23795972"/>
    <w:rsid w:val="2388093E"/>
    <w:rsid w:val="239147E1"/>
    <w:rsid w:val="23BB34F7"/>
    <w:rsid w:val="23CB333E"/>
    <w:rsid w:val="23F91B39"/>
    <w:rsid w:val="243A5F83"/>
    <w:rsid w:val="244702BD"/>
    <w:rsid w:val="247E0687"/>
    <w:rsid w:val="248024EA"/>
    <w:rsid w:val="24A20628"/>
    <w:rsid w:val="24B45D14"/>
    <w:rsid w:val="24FE0E05"/>
    <w:rsid w:val="24FE2369"/>
    <w:rsid w:val="25171BA0"/>
    <w:rsid w:val="251B18C1"/>
    <w:rsid w:val="25222461"/>
    <w:rsid w:val="25501E67"/>
    <w:rsid w:val="25524FA6"/>
    <w:rsid w:val="25532EC3"/>
    <w:rsid w:val="25925077"/>
    <w:rsid w:val="25AF3989"/>
    <w:rsid w:val="25B24E51"/>
    <w:rsid w:val="25C73339"/>
    <w:rsid w:val="25C86149"/>
    <w:rsid w:val="25D62822"/>
    <w:rsid w:val="25E057D1"/>
    <w:rsid w:val="25F16B68"/>
    <w:rsid w:val="260663DB"/>
    <w:rsid w:val="26546373"/>
    <w:rsid w:val="26841C6E"/>
    <w:rsid w:val="268F456F"/>
    <w:rsid w:val="26934343"/>
    <w:rsid w:val="26B424FB"/>
    <w:rsid w:val="26B73D93"/>
    <w:rsid w:val="26E62133"/>
    <w:rsid w:val="271635D9"/>
    <w:rsid w:val="27231852"/>
    <w:rsid w:val="272332E8"/>
    <w:rsid w:val="27611B1A"/>
    <w:rsid w:val="277F68D2"/>
    <w:rsid w:val="27870FB2"/>
    <w:rsid w:val="278F0AAA"/>
    <w:rsid w:val="27B84345"/>
    <w:rsid w:val="27CB7A47"/>
    <w:rsid w:val="27CF31D6"/>
    <w:rsid w:val="27E53B63"/>
    <w:rsid w:val="27F52A10"/>
    <w:rsid w:val="280E4470"/>
    <w:rsid w:val="283E405F"/>
    <w:rsid w:val="28477238"/>
    <w:rsid w:val="286C6A99"/>
    <w:rsid w:val="28D9203E"/>
    <w:rsid w:val="291D0364"/>
    <w:rsid w:val="295E1181"/>
    <w:rsid w:val="298330BD"/>
    <w:rsid w:val="29B00B02"/>
    <w:rsid w:val="29B661A7"/>
    <w:rsid w:val="29DB1483"/>
    <w:rsid w:val="29DC3277"/>
    <w:rsid w:val="29E8151E"/>
    <w:rsid w:val="29FA460F"/>
    <w:rsid w:val="2A0B6D48"/>
    <w:rsid w:val="2A225DF1"/>
    <w:rsid w:val="2A397DF9"/>
    <w:rsid w:val="2A7C5019"/>
    <w:rsid w:val="2A8E3410"/>
    <w:rsid w:val="2AC017A8"/>
    <w:rsid w:val="2B0B7E57"/>
    <w:rsid w:val="2B0F3F2A"/>
    <w:rsid w:val="2B127E2F"/>
    <w:rsid w:val="2B3677A4"/>
    <w:rsid w:val="2B7F5D7B"/>
    <w:rsid w:val="2B9073EB"/>
    <w:rsid w:val="2BAD682D"/>
    <w:rsid w:val="2BC41873"/>
    <w:rsid w:val="2BD0231B"/>
    <w:rsid w:val="2BEE5A9C"/>
    <w:rsid w:val="2C4B5AD3"/>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543C44"/>
    <w:rsid w:val="2E617376"/>
    <w:rsid w:val="2ED13170"/>
    <w:rsid w:val="2F011E82"/>
    <w:rsid w:val="2F2B1BEC"/>
    <w:rsid w:val="2F415E64"/>
    <w:rsid w:val="2F60404A"/>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7B43D3"/>
    <w:rsid w:val="319957F6"/>
    <w:rsid w:val="31C036D0"/>
    <w:rsid w:val="31C90302"/>
    <w:rsid w:val="31D953B1"/>
    <w:rsid w:val="31EC1741"/>
    <w:rsid w:val="31EF6CF0"/>
    <w:rsid w:val="31F7619B"/>
    <w:rsid w:val="321F0CAE"/>
    <w:rsid w:val="321F3505"/>
    <w:rsid w:val="322B0318"/>
    <w:rsid w:val="32494369"/>
    <w:rsid w:val="324C0B81"/>
    <w:rsid w:val="32517D1E"/>
    <w:rsid w:val="327900E9"/>
    <w:rsid w:val="329B0438"/>
    <w:rsid w:val="32B63AAA"/>
    <w:rsid w:val="33091096"/>
    <w:rsid w:val="33232830"/>
    <w:rsid w:val="3341533E"/>
    <w:rsid w:val="33843CA1"/>
    <w:rsid w:val="341A4418"/>
    <w:rsid w:val="344D764F"/>
    <w:rsid w:val="34690455"/>
    <w:rsid w:val="34743D78"/>
    <w:rsid w:val="34AA1765"/>
    <w:rsid w:val="34B87A7E"/>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548A3"/>
    <w:rsid w:val="35ED404E"/>
    <w:rsid w:val="36243C2B"/>
    <w:rsid w:val="36475152"/>
    <w:rsid w:val="365674EF"/>
    <w:rsid w:val="367134DE"/>
    <w:rsid w:val="36787E34"/>
    <w:rsid w:val="3692435D"/>
    <w:rsid w:val="36FC06E4"/>
    <w:rsid w:val="36FC1E00"/>
    <w:rsid w:val="370B0055"/>
    <w:rsid w:val="374976F8"/>
    <w:rsid w:val="37533A9C"/>
    <w:rsid w:val="377F4883"/>
    <w:rsid w:val="37821544"/>
    <w:rsid w:val="3787676D"/>
    <w:rsid w:val="37953793"/>
    <w:rsid w:val="37A53093"/>
    <w:rsid w:val="37E702EC"/>
    <w:rsid w:val="384B0C09"/>
    <w:rsid w:val="387056C8"/>
    <w:rsid w:val="38727414"/>
    <w:rsid w:val="38AF4648"/>
    <w:rsid w:val="38B3392D"/>
    <w:rsid w:val="38B37C06"/>
    <w:rsid w:val="38E50A97"/>
    <w:rsid w:val="38E94C26"/>
    <w:rsid w:val="38EF3B98"/>
    <w:rsid w:val="391E370A"/>
    <w:rsid w:val="392F5095"/>
    <w:rsid w:val="393C7ED6"/>
    <w:rsid w:val="39465433"/>
    <w:rsid w:val="39581B4E"/>
    <w:rsid w:val="395B6912"/>
    <w:rsid w:val="396E48FD"/>
    <w:rsid w:val="3988070A"/>
    <w:rsid w:val="39A56F77"/>
    <w:rsid w:val="39BE4A11"/>
    <w:rsid w:val="39ED6A5C"/>
    <w:rsid w:val="39EF2828"/>
    <w:rsid w:val="3A27520A"/>
    <w:rsid w:val="3A3F6C87"/>
    <w:rsid w:val="3A465FD4"/>
    <w:rsid w:val="3A956A72"/>
    <w:rsid w:val="3AD70862"/>
    <w:rsid w:val="3AE76311"/>
    <w:rsid w:val="3B1109C9"/>
    <w:rsid w:val="3B2552D7"/>
    <w:rsid w:val="3B3F7D03"/>
    <w:rsid w:val="3B970D6B"/>
    <w:rsid w:val="3BE51125"/>
    <w:rsid w:val="3BE90506"/>
    <w:rsid w:val="3BEB6832"/>
    <w:rsid w:val="3BEE1FD7"/>
    <w:rsid w:val="3BF178CC"/>
    <w:rsid w:val="3BFA2E9E"/>
    <w:rsid w:val="3C40766B"/>
    <w:rsid w:val="3C476B61"/>
    <w:rsid w:val="3C583A62"/>
    <w:rsid w:val="3C6A5B02"/>
    <w:rsid w:val="3C813EBD"/>
    <w:rsid w:val="3C89722C"/>
    <w:rsid w:val="3C925C0E"/>
    <w:rsid w:val="3CA24375"/>
    <w:rsid w:val="3CB702EA"/>
    <w:rsid w:val="3CBD35C8"/>
    <w:rsid w:val="3CC24029"/>
    <w:rsid w:val="3CCF0F73"/>
    <w:rsid w:val="3CE437F4"/>
    <w:rsid w:val="3D386985"/>
    <w:rsid w:val="3D3906B1"/>
    <w:rsid w:val="3D584E9B"/>
    <w:rsid w:val="3D6A1245"/>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50160"/>
    <w:rsid w:val="3F4E5041"/>
    <w:rsid w:val="3F506818"/>
    <w:rsid w:val="3F727971"/>
    <w:rsid w:val="3FE36C1C"/>
    <w:rsid w:val="3FEB19D5"/>
    <w:rsid w:val="3FF51B86"/>
    <w:rsid w:val="400E2C48"/>
    <w:rsid w:val="403326AF"/>
    <w:rsid w:val="40340044"/>
    <w:rsid w:val="40574465"/>
    <w:rsid w:val="40661E5E"/>
    <w:rsid w:val="406E45AD"/>
    <w:rsid w:val="407C0CAD"/>
    <w:rsid w:val="40924D64"/>
    <w:rsid w:val="40937486"/>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575B6"/>
    <w:rsid w:val="44A72843"/>
    <w:rsid w:val="44A818BD"/>
    <w:rsid w:val="44AB74B4"/>
    <w:rsid w:val="44B2771E"/>
    <w:rsid w:val="44B8368E"/>
    <w:rsid w:val="452905F3"/>
    <w:rsid w:val="4531085A"/>
    <w:rsid w:val="4554734F"/>
    <w:rsid w:val="456A35B3"/>
    <w:rsid w:val="45A45439"/>
    <w:rsid w:val="45AF4E96"/>
    <w:rsid w:val="45CA7348"/>
    <w:rsid w:val="45CB72CE"/>
    <w:rsid w:val="461F4864"/>
    <w:rsid w:val="46284338"/>
    <w:rsid w:val="462B6DAB"/>
    <w:rsid w:val="46804174"/>
    <w:rsid w:val="46977D08"/>
    <w:rsid w:val="469B5592"/>
    <w:rsid w:val="46A5400A"/>
    <w:rsid w:val="46C67C71"/>
    <w:rsid w:val="46DB6342"/>
    <w:rsid w:val="46F207EA"/>
    <w:rsid w:val="46F40267"/>
    <w:rsid w:val="46F87058"/>
    <w:rsid w:val="47283388"/>
    <w:rsid w:val="47426A8F"/>
    <w:rsid w:val="4750618B"/>
    <w:rsid w:val="477A20CD"/>
    <w:rsid w:val="47997EC0"/>
    <w:rsid w:val="47C35102"/>
    <w:rsid w:val="47C90408"/>
    <w:rsid w:val="47CA3491"/>
    <w:rsid w:val="47DE0285"/>
    <w:rsid w:val="47EA0372"/>
    <w:rsid w:val="47F77566"/>
    <w:rsid w:val="48131737"/>
    <w:rsid w:val="481C1F20"/>
    <w:rsid w:val="482932B2"/>
    <w:rsid w:val="48353471"/>
    <w:rsid w:val="48452D6C"/>
    <w:rsid w:val="48490177"/>
    <w:rsid w:val="48641684"/>
    <w:rsid w:val="48734131"/>
    <w:rsid w:val="48801F0A"/>
    <w:rsid w:val="489C4879"/>
    <w:rsid w:val="489C7EA5"/>
    <w:rsid w:val="49276E58"/>
    <w:rsid w:val="494B4338"/>
    <w:rsid w:val="497C5511"/>
    <w:rsid w:val="49B65DC9"/>
    <w:rsid w:val="49C34AA3"/>
    <w:rsid w:val="4A131AB1"/>
    <w:rsid w:val="4A34760C"/>
    <w:rsid w:val="4A64259A"/>
    <w:rsid w:val="4AA4128B"/>
    <w:rsid w:val="4AAA7028"/>
    <w:rsid w:val="4AAD305D"/>
    <w:rsid w:val="4AD50D4A"/>
    <w:rsid w:val="4ADC75C4"/>
    <w:rsid w:val="4AE72EFD"/>
    <w:rsid w:val="4B2977E3"/>
    <w:rsid w:val="4B357CDA"/>
    <w:rsid w:val="4B3A3263"/>
    <w:rsid w:val="4B404F96"/>
    <w:rsid w:val="4B5F395F"/>
    <w:rsid w:val="4BB73A13"/>
    <w:rsid w:val="4BE22955"/>
    <w:rsid w:val="4C491FB6"/>
    <w:rsid w:val="4C60411D"/>
    <w:rsid w:val="4C8C73CE"/>
    <w:rsid w:val="4C9743B6"/>
    <w:rsid w:val="4CA56DBD"/>
    <w:rsid w:val="4CCD70EB"/>
    <w:rsid w:val="4CCE259F"/>
    <w:rsid w:val="4CD15334"/>
    <w:rsid w:val="4CDC2AC2"/>
    <w:rsid w:val="4CEF194A"/>
    <w:rsid w:val="4D123D13"/>
    <w:rsid w:val="4D4473CA"/>
    <w:rsid w:val="4D594184"/>
    <w:rsid w:val="4D670A85"/>
    <w:rsid w:val="4D80617B"/>
    <w:rsid w:val="4D806473"/>
    <w:rsid w:val="4DB87F6B"/>
    <w:rsid w:val="4DC608A6"/>
    <w:rsid w:val="4DF85FC0"/>
    <w:rsid w:val="4E1074C8"/>
    <w:rsid w:val="4E2B1D2E"/>
    <w:rsid w:val="4E4D1FDB"/>
    <w:rsid w:val="4E527CB0"/>
    <w:rsid w:val="4E6F1EF6"/>
    <w:rsid w:val="4E7B029B"/>
    <w:rsid w:val="4E9C2A45"/>
    <w:rsid w:val="4ECB07EA"/>
    <w:rsid w:val="4EDA18B9"/>
    <w:rsid w:val="4F216F20"/>
    <w:rsid w:val="4F573543"/>
    <w:rsid w:val="4F6D467A"/>
    <w:rsid w:val="4FED507D"/>
    <w:rsid w:val="4FFB62E9"/>
    <w:rsid w:val="501C4E89"/>
    <w:rsid w:val="501E77BE"/>
    <w:rsid w:val="502B325D"/>
    <w:rsid w:val="503F1E18"/>
    <w:rsid w:val="505C119D"/>
    <w:rsid w:val="505D795E"/>
    <w:rsid w:val="50630959"/>
    <w:rsid w:val="50DD3BA3"/>
    <w:rsid w:val="50E61CAB"/>
    <w:rsid w:val="50E8074E"/>
    <w:rsid w:val="5132754D"/>
    <w:rsid w:val="513564CC"/>
    <w:rsid w:val="514E3A09"/>
    <w:rsid w:val="517C3AF1"/>
    <w:rsid w:val="51915B3D"/>
    <w:rsid w:val="519805C3"/>
    <w:rsid w:val="519F5121"/>
    <w:rsid w:val="5229273F"/>
    <w:rsid w:val="52547228"/>
    <w:rsid w:val="529432E6"/>
    <w:rsid w:val="52A8026E"/>
    <w:rsid w:val="52EC7710"/>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34E17"/>
    <w:rsid w:val="548C0083"/>
    <w:rsid w:val="549A6999"/>
    <w:rsid w:val="54BC10AE"/>
    <w:rsid w:val="54D45DB6"/>
    <w:rsid w:val="54DE257B"/>
    <w:rsid w:val="54F82DE2"/>
    <w:rsid w:val="55091415"/>
    <w:rsid w:val="5533415E"/>
    <w:rsid w:val="553D5A1E"/>
    <w:rsid w:val="554A23D1"/>
    <w:rsid w:val="555B4C1C"/>
    <w:rsid w:val="55665E4B"/>
    <w:rsid w:val="557C6AE7"/>
    <w:rsid w:val="55A0704C"/>
    <w:rsid w:val="55A923B9"/>
    <w:rsid w:val="55DD38ED"/>
    <w:rsid w:val="561A3EA2"/>
    <w:rsid w:val="56434C8D"/>
    <w:rsid w:val="568A68D9"/>
    <w:rsid w:val="56903C43"/>
    <w:rsid w:val="56A438D4"/>
    <w:rsid w:val="56B3334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477312"/>
    <w:rsid w:val="585D0DF7"/>
    <w:rsid w:val="587055D0"/>
    <w:rsid w:val="587316C8"/>
    <w:rsid w:val="58AD641D"/>
    <w:rsid w:val="58B420E4"/>
    <w:rsid w:val="58F92391"/>
    <w:rsid w:val="590F64BD"/>
    <w:rsid w:val="59135C67"/>
    <w:rsid w:val="593C1329"/>
    <w:rsid w:val="595A34E9"/>
    <w:rsid w:val="595B7937"/>
    <w:rsid w:val="597C7365"/>
    <w:rsid w:val="597F7369"/>
    <w:rsid w:val="59997155"/>
    <w:rsid w:val="59A2414B"/>
    <w:rsid w:val="59FE08FA"/>
    <w:rsid w:val="5A060D86"/>
    <w:rsid w:val="5A886394"/>
    <w:rsid w:val="5A9F6060"/>
    <w:rsid w:val="5ACF7403"/>
    <w:rsid w:val="5B3475AF"/>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2C57"/>
    <w:rsid w:val="5DA55EAC"/>
    <w:rsid w:val="5DAC626B"/>
    <w:rsid w:val="5DAD68CB"/>
    <w:rsid w:val="5DD9443E"/>
    <w:rsid w:val="5DEF6092"/>
    <w:rsid w:val="5E146811"/>
    <w:rsid w:val="5E3F1ED0"/>
    <w:rsid w:val="5E4A015A"/>
    <w:rsid w:val="5E4E1E2F"/>
    <w:rsid w:val="5E7E280E"/>
    <w:rsid w:val="5EA343F9"/>
    <w:rsid w:val="5F164D5E"/>
    <w:rsid w:val="5F2D2E3D"/>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2E684E"/>
    <w:rsid w:val="61484C14"/>
    <w:rsid w:val="61A25580"/>
    <w:rsid w:val="61AE7556"/>
    <w:rsid w:val="61C55F7F"/>
    <w:rsid w:val="61CA3612"/>
    <w:rsid w:val="61D41854"/>
    <w:rsid w:val="61F46458"/>
    <w:rsid w:val="62282B27"/>
    <w:rsid w:val="622A071C"/>
    <w:rsid w:val="625A6442"/>
    <w:rsid w:val="62C31135"/>
    <w:rsid w:val="62C76106"/>
    <w:rsid w:val="62CC474C"/>
    <w:rsid w:val="637B0B27"/>
    <w:rsid w:val="63874046"/>
    <w:rsid w:val="638B4892"/>
    <w:rsid w:val="63A51788"/>
    <w:rsid w:val="63BA261B"/>
    <w:rsid w:val="63BB45AD"/>
    <w:rsid w:val="63C73E6D"/>
    <w:rsid w:val="63DD4529"/>
    <w:rsid w:val="63FC0611"/>
    <w:rsid w:val="64010633"/>
    <w:rsid w:val="641222ED"/>
    <w:rsid w:val="642B5582"/>
    <w:rsid w:val="642D54E3"/>
    <w:rsid w:val="644878A5"/>
    <w:rsid w:val="64516BFF"/>
    <w:rsid w:val="64643953"/>
    <w:rsid w:val="64963CFA"/>
    <w:rsid w:val="64B31A3E"/>
    <w:rsid w:val="64B4350F"/>
    <w:rsid w:val="64BB7086"/>
    <w:rsid w:val="64DF720B"/>
    <w:rsid w:val="64FB2F8F"/>
    <w:rsid w:val="6502750F"/>
    <w:rsid w:val="65531B68"/>
    <w:rsid w:val="655769D7"/>
    <w:rsid w:val="65847A92"/>
    <w:rsid w:val="658C66C4"/>
    <w:rsid w:val="65B76CC0"/>
    <w:rsid w:val="65C86337"/>
    <w:rsid w:val="65DC6542"/>
    <w:rsid w:val="65FE3124"/>
    <w:rsid w:val="662F78E6"/>
    <w:rsid w:val="66475BEE"/>
    <w:rsid w:val="66921396"/>
    <w:rsid w:val="669A00A1"/>
    <w:rsid w:val="669A0A1D"/>
    <w:rsid w:val="66C77EC3"/>
    <w:rsid w:val="66CD32EE"/>
    <w:rsid w:val="66EB48F9"/>
    <w:rsid w:val="66EF31C1"/>
    <w:rsid w:val="67286643"/>
    <w:rsid w:val="67340A1D"/>
    <w:rsid w:val="67415D12"/>
    <w:rsid w:val="67645CC5"/>
    <w:rsid w:val="67672ABA"/>
    <w:rsid w:val="679D0438"/>
    <w:rsid w:val="679F14A6"/>
    <w:rsid w:val="67A7594A"/>
    <w:rsid w:val="67F71CAA"/>
    <w:rsid w:val="68374646"/>
    <w:rsid w:val="683D13F8"/>
    <w:rsid w:val="6851003F"/>
    <w:rsid w:val="68532F31"/>
    <w:rsid w:val="685F2B0C"/>
    <w:rsid w:val="686A5890"/>
    <w:rsid w:val="686E4CA0"/>
    <w:rsid w:val="6870598D"/>
    <w:rsid w:val="68CD56D6"/>
    <w:rsid w:val="68CE0878"/>
    <w:rsid w:val="68DF3F07"/>
    <w:rsid w:val="68E14DD2"/>
    <w:rsid w:val="68FF17F8"/>
    <w:rsid w:val="691205CB"/>
    <w:rsid w:val="691F6273"/>
    <w:rsid w:val="6938799E"/>
    <w:rsid w:val="6961512D"/>
    <w:rsid w:val="697221B5"/>
    <w:rsid w:val="69875626"/>
    <w:rsid w:val="69895C32"/>
    <w:rsid w:val="69A364DF"/>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667351"/>
    <w:rsid w:val="6A690452"/>
    <w:rsid w:val="6A945F2A"/>
    <w:rsid w:val="6ABE50E7"/>
    <w:rsid w:val="6AC86B5F"/>
    <w:rsid w:val="6AD5470C"/>
    <w:rsid w:val="6AF1512E"/>
    <w:rsid w:val="6B372870"/>
    <w:rsid w:val="6B4C78DC"/>
    <w:rsid w:val="6B6D4BD4"/>
    <w:rsid w:val="6B736C65"/>
    <w:rsid w:val="6B884223"/>
    <w:rsid w:val="6BCC6A33"/>
    <w:rsid w:val="6BE94680"/>
    <w:rsid w:val="6C0D454B"/>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EC2108E"/>
    <w:rsid w:val="6F436F8F"/>
    <w:rsid w:val="6F4D5562"/>
    <w:rsid w:val="6F663712"/>
    <w:rsid w:val="6F6D69E8"/>
    <w:rsid w:val="6F8B29B5"/>
    <w:rsid w:val="6F9B0752"/>
    <w:rsid w:val="6FD156E3"/>
    <w:rsid w:val="6FD7268F"/>
    <w:rsid w:val="6FED75FB"/>
    <w:rsid w:val="70041560"/>
    <w:rsid w:val="703467FC"/>
    <w:rsid w:val="7040732E"/>
    <w:rsid w:val="7086364B"/>
    <w:rsid w:val="708A3FA6"/>
    <w:rsid w:val="709D6E34"/>
    <w:rsid w:val="70A42103"/>
    <w:rsid w:val="710B27AB"/>
    <w:rsid w:val="712C6F85"/>
    <w:rsid w:val="71320E55"/>
    <w:rsid w:val="71321C7C"/>
    <w:rsid w:val="71340B64"/>
    <w:rsid w:val="71514B26"/>
    <w:rsid w:val="71546F0E"/>
    <w:rsid w:val="7170146E"/>
    <w:rsid w:val="717268C8"/>
    <w:rsid w:val="71802D0E"/>
    <w:rsid w:val="718F5890"/>
    <w:rsid w:val="719323BF"/>
    <w:rsid w:val="71BF5087"/>
    <w:rsid w:val="71C23C59"/>
    <w:rsid w:val="71C57971"/>
    <w:rsid w:val="71EC11CD"/>
    <w:rsid w:val="720506A4"/>
    <w:rsid w:val="72114AD2"/>
    <w:rsid w:val="72143E26"/>
    <w:rsid w:val="722B6EAC"/>
    <w:rsid w:val="7235573F"/>
    <w:rsid w:val="723629FF"/>
    <w:rsid w:val="726C56B8"/>
    <w:rsid w:val="7288771C"/>
    <w:rsid w:val="728D4961"/>
    <w:rsid w:val="72911F34"/>
    <w:rsid w:val="729D380E"/>
    <w:rsid w:val="72A179F0"/>
    <w:rsid w:val="72A458E1"/>
    <w:rsid w:val="72B11E4B"/>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0174C"/>
    <w:rsid w:val="73FA14E3"/>
    <w:rsid w:val="740A7F35"/>
    <w:rsid w:val="742D4CA1"/>
    <w:rsid w:val="743106D8"/>
    <w:rsid w:val="74336AF3"/>
    <w:rsid w:val="74613585"/>
    <w:rsid w:val="74656DD1"/>
    <w:rsid w:val="747D3462"/>
    <w:rsid w:val="74812030"/>
    <w:rsid w:val="74886161"/>
    <w:rsid w:val="74A039B1"/>
    <w:rsid w:val="74E66F49"/>
    <w:rsid w:val="74EB245C"/>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8364BE"/>
    <w:rsid w:val="7799548D"/>
    <w:rsid w:val="779E208D"/>
    <w:rsid w:val="77D55B7E"/>
    <w:rsid w:val="77ED1FBE"/>
    <w:rsid w:val="784F5AA8"/>
    <w:rsid w:val="787764A6"/>
    <w:rsid w:val="78867CFB"/>
    <w:rsid w:val="78AE1EE3"/>
    <w:rsid w:val="78D06FA5"/>
    <w:rsid w:val="78F044C0"/>
    <w:rsid w:val="790A7749"/>
    <w:rsid w:val="793D3D59"/>
    <w:rsid w:val="795F47C4"/>
    <w:rsid w:val="795F4B87"/>
    <w:rsid w:val="7964594B"/>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CF404F4"/>
    <w:rsid w:val="7D1948FD"/>
    <w:rsid w:val="7D2C6F9F"/>
    <w:rsid w:val="7D3D633F"/>
    <w:rsid w:val="7D543264"/>
    <w:rsid w:val="7D6D7156"/>
    <w:rsid w:val="7D7115AD"/>
    <w:rsid w:val="7D97686F"/>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w:basedOn w:val="1"/>
    <w:next w:val="11"/>
    <w:qFormat/>
    <w:uiPriority w:val="0"/>
    <w:pPr>
      <w:spacing w:line="360" w:lineRule="exact"/>
    </w:pPr>
    <w:rPr>
      <w:sz w:val="24"/>
    </w:rPr>
  </w:style>
  <w:style w:type="paragraph" w:styleId="11">
    <w:name w:val="Body Text First Indent"/>
    <w:basedOn w:val="10"/>
    <w:next w:val="12"/>
    <w:qFormat/>
    <w:uiPriority w:val="0"/>
    <w:pPr>
      <w:ind w:firstLine="200" w:firstLineChars="200"/>
    </w:pPr>
  </w:style>
  <w:style w:type="paragraph" w:styleId="12">
    <w:name w:val="toc 6"/>
    <w:basedOn w:val="1"/>
    <w:next w:val="1"/>
    <w:qFormat/>
    <w:uiPriority w:val="99"/>
    <w:pPr>
      <w:widowControl/>
      <w:ind w:left="1000"/>
      <w:jc w:val="left"/>
    </w:pPr>
    <w:rPr>
      <w:kern w:val="0"/>
      <w:sz w:val="18"/>
      <w:szCs w:val="20"/>
    </w:r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21"/>
    <w:basedOn w:val="24"/>
    <w:qFormat/>
    <w:uiPriority w:val="0"/>
    <w:rPr>
      <w:rFonts w:hint="default" w:ascii="Arial" w:hAnsi="Arial" w:cs="Arial"/>
      <w:color w:val="000000"/>
      <w:sz w:val="20"/>
      <w:szCs w:val="20"/>
      <w:u w:val="none"/>
    </w:rPr>
  </w:style>
  <w:style w:type="character" w:customStyle="1" w:styleId="45">
    <w:name w:val="font01"/>
    <w:basedOn w:val="24"/>
    <w:qFormat/>
    <w:uiPriority w:val="0"/>
    <w:rPr>
      <w:rFonts w:hint="eastAsia" w:ascii="宋体" w:hAnsi="宋体" w:eastAsia="宋体" w:cs="宋体"/>
      <w:color w:val="000000"/>
      <w:sz w:val="20"/>
      <w:szCs w:val="20"/>
      <w:u w:val="none"/>
    </w:rPr>
  </w:style>
  <w:style w:type="paragraph" w:customStyle="1" w:styleId="46">
    <w:name w:val="纯文本1"/>
    <w:basedOn w:val="47"/>
    <w:qFormat/>
    <w:uiPriority w:val="0"/>
    <w:pPr>
      <w:widowControl/>
      <w:jc w:val="left"/>
    </w:pPr>
    <w:rPr>
      <w:rFonts w:ascii="宋体" w:hAnsi="Courier New"/>
    </w:rPr>
  </w:style>
  <w:style w:type="paragraph" w:customStyle="1" w:styleId="4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Table Paragraph"/>
    <w:basedOn w:val="1"/>
    <w:qFormat/>
    <w:uiPriority w:val="1"/>
    <w:rPr>
      <w:rFonts w:ascii="宋体" w:hAnsi="宋体" w:cs="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character" w:customStyle="1" w:styleId="51">
    <w:name w:val="批注框文本 Char"/>
    <w:basedOn w:val="24"/>
    <w:link w:val="16"/>
    <w:qFormat/>
    <w:uiPriority w:val="0"/>
    <w:rPr>
      <w:kern w:val="2"/>
      <w:sz w:val="18"/>
      <w:szCs w:val="18"/>
    </w:rPr>
  </w:style>
  <w:style w:type="paragraph" w:customStyle="1" w:styleId="52">
    <w:name w:val="英文"/>
    <w:basedOn w:val="1"/>
    <w:link w:val="54"/>
    <w:qFormat/>
    <w:uiPriority w:val="0"/>
    <w:pPr>
      <w:adjustRightInd w:val="0"/>
      <w:snapToGrid w:val="0"/>
      <w:spacing w:line="360" w:lineRule="auto"/>
      <w:ind w:firstLine="480" w:firstLineChars="200"/>
    </w:pPr>
    <w:rPr>
      <w:rFonts w:ascii="Arial" w:hAnsi="Arial" w:cs="Arial"/>
      <w:sz w:val="24"/>
    </w:rPr>
  </w:style>
  <w:style w:type="paragraph" w:customStyle="1" w:styleId="53">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4">
    <w:name w:val="英文 Char"/>
    <w:link w:val="52"/>
    <w:qFormat/>
    <w:uiPriority w:val="0"/>
    <w:rPr>
      <w:rFonts w:ascii="Arial" w:hAnsi="Arial" w:cs="Arial"/>
      <w:sz w:val="24"/>
    </w:rPr>
  </w:style>
  <w:style w:type="paragraph" w:customStyle="1" w:styleId="55">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纯文本_1"/>
    <w:basedOn w:val="1"/>
    <w:qFormat/>
    <w:uiPriority w:val="0"/>
    <w:pPr>
      <w:widowControl/>
      <w:jc w:val="left"/>
    </w:pPr>
    <w:rPr>
      <w:rFonts w:ascii="宋体" w:hAnsi="Courier New" w:eastAsiaTheme="minorEastAsia" w:cstheme="minorBidi"/>
      <w:szCs w:val="21"/>
    </w:rPr>
  </w:style>
  <w:style w:type="paragraph" w:styleId="58">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header3.xml" Type="http://schemas.openxmlformats.org/officeDocument/2006/relationships/header"/><Relationship Id="rId7" Target="footer2.xml" Type="http://schemas.openxmlformats.org/officeDocument/2006/relationships/footer"/><Relationship Id="rId8" Target="theme/theme1.xml" Type="http://schemas.openxmlformats.org/officeDocument/2006/relationships/theme"/><Relationship Id="rId9" Target="media/image1.jpe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32633</Words>
  <Characters>33666</Characters>
  <Lines>154</Lines>
  <Paragraphs>43</Paragraphs>
  <TotalTime>22</TotalTime>
  <ScaleCrop>false</ScaleCrop>
  <LinksUpToDate>false</LinksUpToDate>
  <CharactersWithSpaces>35884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阿拉丁</cp:lastModifiedBy>
  <cp:lastPrinted>2022-05-12T01:53:00Z</cp:lastPrinted>
  <dcterms:modified xsi:type="dcterms:W3CDTF">2022-06-10T03:06:47Z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792043B2CF3941EF9F64DFFCD5D7CD90</vt:lpwstr>
  </property>
</Properties>
</file>