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1"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eastAsia="zh-CN"/>
        </w:rPr>
        <w:t>台州市</w:t>
      </w:r>
      <w:r>
        <w:rPr>
          <w:rFonts w:hint="eastAsia" w:ascii="宋体"/>
          <w:b/>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r>
        <w:rPr>
          <w:rFonts w:hint="eastAsia" w:ascii="宋体"/>
          <w:b/>
          <w:kern w:val="0"/>
          <w:sz w:val="32"/>
        </w:rPr>
        <w:t>TZ</w:t>
      </w:r>
      <w:r>
        <w:rPr>
          <w:rFonts w:ascii="宋体"/>
          <w:b/>
          <w:kern w:val="0"/>
          <w:sz w:val="32"/>
        </w:rPr>
        <w:t>CG-</w:t>
      </w:r>
      <w:r>
        <w:rPr>
          <w:rFonts w:hint="eastAsia" w:ascii="宋体"/>
          <w:b/>
          <w:kern w:val="0"/>
          <w:sz w:val="32"/>
        </w:rPr>
        <w:t>202</w:t>
      </w:r>
      <w:r>
        <w:rPr>
          <w:rFonts w:hint="eastAsia" w:ascii="宋体"/>
          <w:b/>
          <w:kern w:val="0"/>
          <w:sz w:val="32"/>
          <w:lang w:val="en-US" w:eastAsia="zh-CN"/>
        </w:rPr>
        <w:t>2</w:t>
      </w:r>
      <w:r>
        <w:rPr>
          <w:rFonts w:ascii="宋体"/>
          <w:b/>
          <w:kern w:val="0"/>
          <w:sz w:val="32"/>
        </w:rPr>
        <w:t>-</w:t>
      </w:r>
      <w:r>
        <w:rPr>
          <w:rFonts w:hint="eastAsia" w:ascii="宋体"/>
          <w:b/>
          <w:kern w:val="0"/>
          <w:sz w:val="32"/>
        </w:rPr>
        <w:t>GK</w:t>
      </w:r>
      <w:r>
        <w:rPr>
          <w:rFonts w:hint="eastAsia" w:ascii="宋体"/>
          <w:b/>
          <w:kern w:val="0"/>
          <w:sz w:val="32"/>
          <w:lang w:val="en-US" w:eastAsia="zh-CN"/>
        </w:rPr>
        <w:t>032</w:t>
      </w:r>
      <w:r>
        <w:rPr>
          <w:rFonts w:hint="eastAsia" w:ascii="宋体"/>
          <w:b/>
          <w:kern w:val="0"/>
          <w:sz w:val="32"/>
        </w:rPr>
        <w:t>号</w:t>
      </w: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autoSpaceDE w:val="0"/>
        <w:autoSpaceDN w:val="0"/>
        <w:adjustRightInd w:val="0"/>
        <w:spacing w:line="360" w:lineRule="auto"/>
        <w:ind w:left="0" w:leftChars="0" w:firstLine="0" w:firstLineChars="0"/>
        <w:jc w:val="center"/>
        <w:rPr>
          <w:rFonts w:ascii="宋体"/>
          <w:kern w:val="0"/>
          <w:sz w:val="28"/>
        </w:rPr>
      </w:pPr>
      <w:r>
        <w:rPr>
          <w:rFonts w:hint="eastAsia" w:ascii="宋体"/>
          <w:kern w:val="0"/>
          <w:sz w:val="28"/>
        </w:rPr>
        <w:t>采购项目：</w:t>
      </w:r>
      <w:r>
        <w:rPr>
          <w:rFonts w:hint="eastAsia" w:ascii="宋体"/>
          <w:kern w:val="0"/>
          <w:sz w:val="28"/>
          <w:lang w:eastAsia="zh-CN"/>
        </w:rPr>
        <w:t>公寓家具项目</w:t>
      </w:r>
    </w:p>
    <w:p>
      <w:pPr>
        <w:autoSpaceDE w:val="0"/>
        <w:autoSpaceDN w:val="0"/>
        <w:adjustRightInd w:val="0"/>
        <w:spacing w:line="360" w:lineRule="auto"/>
        <w:ind w:left="0" w:leftChars="0" w:firstLine="0" w:firstLineChars="0"/>
        <w:jc w:val="center"/>
        <w:rPr>
          <w:rFonts w:hint="eastAsia" w:ascii="宋体" w:eastAsia="宋体"/>
          <w:kern w:val="0"/>
          <w:sz w:val="28"/>
          <w:lang w:val="en-US" w:eastAsia="zh-CN"/>
        </w:rPr>
      </w:pPr>
      <w:r>
        <w:rPr>
          <w:rFonts w:hint="eastAsia" w:ascii="宋体"/>
          <w:kern w:val="0"/>
          <w:sz w:val="28"/>
        </w:rPr>
        <w:t>采 购 人：</w:t>
      </w:r>
      <w:r>
        <w:rPr>
          <w:rFonts w:hint="eastAsia" w:ascii="宋体" w:hAnsi="宋体" w:cs="宋体"/>
          <w:sz w:val="24"/>
        </w:rPr>
        <w:t>台州市永宁中学（筹）</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kern w:val="0"/>
          <w:sz w:val="28"/>
          <w:szCs w:val="28"/>
        </w:rPr>
      </w:pPr>
      <w:r>
        <w:rPr>
          <w:rFonts w:hint="eastAsia" w:ascii="宋体" w:hAnsi="宋体" w:cs="宋体"/>
          <w:kern w:val="0"/>
          <w:sz w:val="28"/>
          <w:szCs w:val="28"/>
          <w:lang w:eastAsia="zh-CN"/>
        </w:rPr>
        <w:t>台州市</w:t>
      </w:r>
      <w:r>
        <w:rPr>
          <w:rFonts w:hint="eastAsia" w:ascii="宋体" w:hAnsi="宋体" w:cs="宋体"/>
          <w:kern w:val="0"/>
          <w:sz w:val="28"/>
          <w:szCs w:val="28"/>
        </w:rPr>
        <w:t>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auto"/>
        </w:rPr>
      </w:pPr>
      <w:r>
        <w:rPr>
          <w:rFonts w:hint="eastAsia" w:ascii="宋体" w:hAnsi="宋体" w:cs="宋体"/>
          <w:color w:val="auto"/>
          <w:kern w:val="0"/>
          <w:sz w:val="28"/>
          <w:szCs w:val="28"/>
          <w:lang w:val="en-US" w:eastAsia="zh-CN"/>
        </w:rPr>
        <w:t>2022</w:t>
      </w:r>
      <w:r>
        <w:rPr>
          <w:rFonts w:hint="eastAsia" w:ascii="宋体" w:hAnsi="宋体" w:cs="宋体"/>
          <w:color w:val="auto"/>
          <w:kern w:val="0"/>
          <w:sz w:val="28"/>
          <w:szCs w:val="28"/>
        </w:rPr>
        <w:t>年</w:t>
      </w:r>
      <w:r>
        <w:rPr>
          <w:rFonts w:hint="eastAsia" w:ascii="宋体" w:hAnsi="宋体" w:cs="宋体"/>
          <w:color w:val="auto"/>
          <w:kern w:val="0"/>
          <w:sz w:val="28"/>
          <w:szCs w:val="28"/>
          <w:lang w:val="en-US" w:eastAsia="zh-CN"/>
        </w:rPr>
        <w:t>11</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14</w:t>
      </w:r>
      <w:r>
        <w:rPr>
          <w:rFonts w:hint="eastAsia" w:ascii="宋体" w:hAnsi="宋体" w:cs="宋体"/>
          <w:color w:val="auto"/>
          <w:kern w:val="0"/>
          <w:sz w:val="28"/>
          <w:szCs w:val="28"/>
        </w:rPr>
        <w:t>日</w:t>
      </w:r>
    </w:p>
    <w:p>
      <w:pPr>
        <w:spacing w:line="360" w:lineRule="auto"/>
      </w:pPr>
    </w:p>
    <w:p>
      <w:pPr>
        <w:pStyle w:val="20"/>
      </w:pPr>
    </w:p>
    <w:p>
      <w:pPr>
        <w:pStyle w:val="20"/>
      </w:pPr>
    </w:p>
    <w:p>
      <w:pPr>
        <w:pStyle w:val="20"/>
      </w:pPr>
    </w:p>
    <w:p>
      <w:pPr>
        <w:pStyle w:val="20"/>
      </w:pPr>
    </w:p>
    <w:p>
      <w:pPr>
        <w:pStyle w:val="20"/>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jc w:val="both"/>
            <w:rPr>
              <w:rFonts w:ascii="宋体" w:hAnsi="宋体"/>
              <w:kern w:val="0"/>
              <w:sz w:val="28"/>
              <w:szCs w:val="28"/>
            </w:rPr>
          </w:pPr>
          <w:bookmarkStart w:id="0" w:name="_Toc25017_WPSOffice_Type1"/>
        </w:p>
        <w:p>
          <w:pPr>
            <w:pStyle w:val="20"/>
          </w:pPr>
        </w:p>
        <w:p>
          <w:pPr>
            <w:spacing w:line="480" w:lineRule="auto"/>
            <w:jc w:val="center"/>
            <w:rPr>
              <w:rFonts w:hint="eastAsia" w:ascii="宋体" w:hAnsi="宋体"/>
              <w:b/>
              <w:bCs/>
              <w:sz w:val="36"/>
              <w:szCs w:val="36"/>
            </w:rPr>
          </w:pPr>
          <w:r>
            <w:rPr>
              <w:rFonts w:hint="eastAsia" w:ascii="宋体" w:hAnsi="宋体"/>
              <w:b/>
              <w:bCs/>
              <w:sz w:val="36"/>
              <w:szCs w:val="36"/>
            </w:rPr>
            <w:t>目  录</w:t>
          </w:r>
        </w:p>
        <w:p>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hint="eastAsia" w:eastAsiaTheme="minorEastAsia" w:cstheme="minorBidi"/>
              <w:sz w:val="28"/>
              <w:szCs w:val="28"/>
            </w:rPr>
            <w:tab/>
          </w:r>
          <w:bookmarkStart w:id="1" w:name="_Toc4350_WPSOffice_Level1Page"/>
          <w:r>
            <w:rPr>
              <w:rFonts w:hint="eastAsia" w:eastAsiaTheme="minorEastAsia" w:cstheme="minorBidi"/>
              <w:sz w:val="28"/>
              <w:szCs w:val="28"/>
            </w:rPr>
            <w:t>3</w:t>
          </w:r>
          <w:bookmarkEnd w:id="1"/>
          <w:r>
            <w:rPr>
              <w:rFonts w:hint="eastAsia" w:eastAsiaTheme="minorEastAsia" w:cstheme="minorBidi"/>
              <w:sz w:val="28"/>
              <w:szCs w:val="28"/>
            </w:rPr>
            <w:fldChar w:fldCharType="end"/>
          </w:r>
        </w:p>
        <w:p>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hint="eastAsia"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7"/>
            <w:tabs>
              <w:tab w:val="right" w:leader="dot" w:pos="8620"/>
            </w:tabs>
            <w:rPr>
              <w:rFonts w:hint="eastAsia" w:eastAsiaTheme="minorEastAsia" w:cstheme="minorBidi"/>
              <w:sz w:val="28"/>
              <w:szCs w:val="28"/>
              <w:lang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hint="eastAsia"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lang w:val="en-US" w:eastAsia="zh-CN"/>
            </w:rPr>
            <w:t>6</w:t>
          </w:r>
        </w:p>
        <w:p>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hint="eastAsia" w:eastAsiaTheme="minorEastAsia" w:cstheme="minorBidi"/>
              <w:sz w:val="28"/>
              <w:szCs w:val="28"/>
            </w:rPr>
            <w:tab/>
          </w:r>
          <w:bookmarkStart w:id="2" w:name="_Toc31173_WPSOffice_Level1Page"/>
          <w:r>
            <w:rPr>
              <w:rFonts w:hint="eastAsia" w:eastAsiaTheme="minorEastAsia" w:cstheme="minorBidi"/>
              <w:sz w:val="28"/>
              <w:szCs w:val="28"/>
            </w:rPr>
            <w:t>2</w:t>
          </w:r>
          <w:bookmarkEnd w:id="2"/>
          <w:r>
            <w:rPr>
              <w:rFonts w:hint="eastAsia" w:eastAsiaTheme="minorEastAsia" w:cstheme="minorBidi"/>
              <w:sz w:val="28"/>
              <w:szCs w:val="28"/>
              <w:lang w:val="en-US" w:eastAsia="zh-CN"/>
            </w:rPr>
            <w:t>5</w:t>
          </w:r>
          <w:r>
            <w:rPr>
              <w:rFonts w:hint="eastAsia" w:eastAsiaTheme="minorEastAsia" w:cstheme="minorBidi"/>
              <w:sz w:val="28"/>
              <w:szCs w:val="28"/>
            </w:rPr>
            <w:fldChar w:fldCharType="end"/>
          </w:r>
        </w:p>
        <w:p>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hint="eastAsia" w:eastAsiaTheme="minorEastAsia" w:cstheme="minorBidi"/>
              <w:sz w:val="28"/>
              <w:szCs w:val="28"/>
            </w:rPr>
            <w:tab/>
          </w:r>
          <w:bookmarkStart w:id="3" w:name="_Toc27944_WPSOffice_Level1Page"/>
          <w:r>
            <w:rPr>
              <w:rFonts w:hint="eastAsia" w:eastAsiaTheme="minorEastAsia" w:cstheme="minorBidi"/>
              <w:sz w:val="28"/>
              <w:szCs w:val="28"/>
            </w:rPr>
            <w:t>3</w:t>
          </w:r>
          <w:bookmarkEnd w:id="3"/>
          <w:r>
            <w:rPr>
              <w:rFonts w:hint="eastAsia" w:eastAsiaTheme="minorEastAsia" w:cstheme="minorBidi"/>
              <w:sz w:val="28"/>
              <w:szCs w:val="28"/>
              <w:lang w:val="en-US" w:eastAsia="zh-CN"/>
            </w:rPr>
            <w:t>7</w:t>
          </w:r>
          <w:r>
            <w:rPr>
              <w:rFonts w:hint="eastAsia" w:eastAsiaTheme="minorEastAsia" w:cstheme="minorBidi"/>
              <w:sz w:val="28"/>
              <w:szCs w:val="28"/>
            </w:rPr>
            <w:fldChar w:fldCharType="end"/>
          </w:r>
        </w:p>
        <w:p>
          <w:pPr>
            <w:pStyle w:val="17"/>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hint="eastAsia" w:eastAsiaTheme="minorEastAsia" w:cstheme="minorBidi"/>
              <w:sz w:val="28"/>
              <w:szCs w:val="28"/>
            </w:rPr>
            <w:tab/>
          </w:r>
          <w:bookmarkStart w:id="4" w:name="_Toc5481_WPSOffice_Level1Page"/>
          <w:r>
            <w:rPr>
              <w:rFonts w:hint="eastAsia" w:eastAsiaTheme="minorEastAsia" w:cstheme="minorBidi"/>
              <w:sz w:val="28"/>
              <w:szCs w:val="28"/>
            </w:rPr>
            <w:t>4</w:t>
          </w:r>
          <w:bookmarkEnd w:id="4"/>
          <w:r>
            <w:rPr>
              <w:rFonts w:hint="eastAsia" w:eastAsiaTheme="minorEastAsia" w:cstheme="minorBidi"/>
              <w:sz w:val="28"/>
              <w:szCs w:val="28"/>
              <w:lang w:val="en-US" w:eastAsia="zh-CN"/>
            </w:rPr>
            <w:t>2</w:t>
          </w:r>
          <w:r>
            <w:rPr>
              <w:rFonts w:hint="eastAsia"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pPr>
        <w:pStyle w:val="2"/>
        <w:ind w:firstLine="480" w:firstLineChars="200"/>
        <w:rPr>
          <w:rFonts w:cs="宋体"/>
          <w:b w:val="0"/>
          <w:sz w:val="24"/>
          <w:szCs w:val="24"/>
        </w:rPr>
      </w:pPr>
      <w:bookmarkStart w:id="6" w:name="_Toc35393790"/>
      <w:bookmarkStart w:id="7" w:name="_Toc28359002"/>
      <w:bookmarkStart w:id="8" w:name="_Toc28359079"/>
      <w:bookmarkStart w:id="9" w:name="_Toc35393621"/>
      <w:bookmarkStart w:id="10" w:name="_Hlk24379207"/>
      <w:r>
        <w:rPr>
          <w:rFonts w:hint="eastAsia" w:cs="宋体"/>
          <w:b w:val="0"/>
          <w:sz w:val="24"/>
          <w:szCs w:val="24"/>
          <w:lang w:eastAsia="zh-CN"/>
        </w:rPr>
        <w:t>台州市</w:t>
      </w:r>
      <w:r>
        <w:rPr>
          <w:rFonts w:hint="eastAsia" w:cs="宋体"/>
          <w:b w:val="0"/>
          <w:sz w:val="24"/>
          <w:szCs w:val="24"/>
        </w:rPr>
        <w:t>政府采购中心受</w:t>
      </w:r>
      <w:r>
        <w:rPr>
          <w:rFonts w:hint="eastAsia" w:ascii="宋体" w:hAnsi="宋体" w:cs="宋体"/>
          <w:b w:val="0"/>
          <w:bCs/>
          <w:sz w:val="24"/>
          <w:szCs w:val="24"/>
        </w:rPr>
        <w:t>台州市永宁中学（筹）</w:t>
      </w:r>
      <w:r>
        <w:rPr>
          <w:rFonts w:hint="eastAsia" w:cs="宋体"/>
          <w:b w:val="0"/>
          <w:sz w:val="24"/>
          <w:szCs w:val="24"/>
        </w:rPr>
        <w:t>委托，就</w:t>
      </w:r>
      <w:r>
        <w:rPr>
          <w:rFonts w:hint="eastAsia" w:cs="宋体"/>
          <w:b w:val="0"/>
          <w:sz w:val="24"/>
          <w:szCs w:val="24"/>
          <w:lang w:eastAsia="zh-CN"/>
        </w:rPr>
        <w:t>公寓家具</w:t>
      </w:r>
      <w:r>
        <w:rPr>
          <w:rFonts w:hint="eastAsia" w:cs="宋体"/>
          <w:b w:val="0"/>
          <w:sz w:val="24"/>
          <w:szCs w:val="24"/>
        </w:rPr>
        <w:t>项目进行公开招标，欢迎符合资格条件的国内投标人参加投标。</w:t>
      </w:r>
    </w:p>
    <w:p>
      <w:pPr>
        <w:pStyle w:val="2"/>
        <w:ind w:firstLine="482" w:firstLineChars="200"/>
        <w:rPr>
          <w:rFonts w:cs="宋体"/>
          <w:bCs/>
          <w:sz w:val="24"/>
          <w:szCs w:val="24"/>
        </w:rPr>
      </w:pPr>
      <w:r>
        <w:rPr>
          <w:rFonts w:hint="eastAsia" w:cs="宋体"/>
          <w:bCs/>
          <w:sz w:val="24"/>
          <w:szCs w:val="24"/>
        </w:rPr>
        <w:t>一、项目基本情况</w:t>
      </w:r>
      <w:bookmarkEnd w:id="6"/>
      <w:bookmarkEnd w:id="7"/>
      <w:bookmarkEnd w:id="8"/>
      <w:bookmarkEnd w:id="9"/>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40" w:firstLineChars="100"/>
        <w:rPr>
          <w:rFonts w:ascii="宋体" w:hAnsi="宋体" w:cs="宋体"/>
          <w:sz w:val="24"/>
          <w:szCs w:val="24"/>
        </w:rPr>
      </w:pPr>
      <w:r>
        <w:rPr>
          <w:rFonts w:hint="eastAsia" w:ascii="宋体" w:hAnsi="宋体" w:cs="宋体"/>
          <w:sz w:val="24"/>
          <w:szCs w:val="24"/>
        </w:rPr>
        <w:t>项目编号：TZCG-202</w:t>
      </w:r>
      <w:r>
        <w:rPr>
          <w:rFonts w:hint="eastAsia" w:ascii="宋体" w:hAnsi="宋体" w:cs="宋体"/>
          <w:sz w:val="24"/>
          <w:szCs w:val="24"/>
          <w:lang w:val="en-US" w:eastAsia="zh-CN"/>
        </w:rPr>
        <w:t>2</w:t>
      </w:r>
      <w:r>
        <w:rPr>
          <w:rFonts w:hint="eastAsia" w:ascii="宋体" w:hAnsi="宋体" w:cs="宋体"/>
          <w:sz w:val="24"/>
          <w:szCs w:val="24"/>
        </w:rPr>
        <w:t>-GK0</w:t>
      </w:r>
      <w:r>
        <w:rPr>
          <w:rFonts w:hint="eastAsia" w:ascii="宋体" w:hAnsi="宋体" w:cs="宋体"/>
          <w:sz w:val="24"/>
          <w:szCs w:val="24"/>
          <w:lang w:val="en-US" w:eastAsia="zh-CN"/>
        </w:rPr>
        <w:t>32</w:t>
      </w:r>
      <w:r>
        <w:rPr>
          <w:rFonts w:hint="eastAsia" w:ascii="宋体" w:hAnsi="宋体" w:cs="宋体"/>
          <w:sz w:val="24"/>
          <w:szCs w:val="24"/>
        </w:rPr>
        <w:t>号</w:t>
      </w:r>
    </w:p>
    <w:bookmarkEnd w:id="10"/>
    <w:p>
      <w:pPr>
        <w:spacing w:line="360" w:lineRule="auto"/>
        <w:ind w:firstLine="240" w:firstLineChars="100"/>
        <w:rPr>
          <w:rFonts w:hint="eastAsia" w:ascii="宋体" w:hAnsi="宋体" w:cs="宋体"/>
          <w:kern w:val="0"/>
          <w:sz w:val="24"/>
          <w:szCs w:val="24"/>
        </w:rPr>
      </w:pPr>
      <w:r>
        <w:rPr>
          <w:rFonts w:hint="eastAsia" w:ascii="宋体" w:hAnsi="宋体" w:cs="宋体"/>
          <w:sz w:val="24"/>
          <w:szCs w:val="24"/>
        </w:rPr>
        <w:t>项目名称：台州市永宁中学（筹）</w:t>
      </w:r>
      <w:r>
        <w:rPr>
          <w:rFonts w:hint="eastAsia" w:cs="宋体"/>
          <w:b w:val="0"/>
          <w:sz w:val="24"/>
          <w:szCs w:val="24"/>
          <w:lang w:eastAsia="zh-CN"/>
        </w:rPr>
        <w:t>公寓家具</w:t>
      </w:r>
      <w:r>
        <w:rPr>
          <w:rFonts w:hint="eastAsia" w:cs="宋体"/>
          <w:b w:val="0"/>
          <w:sz w:val="24"/>
          <w:szCs w:val="24"/>
        </w:rPr>
        <w:t>项目</w:t>
      </w:r>
    </w:p>
    <w:tbl>
      <w:tblPr>
        <w:tblStyle w:val="21"/>
        <w:tblpPr w:leftFromText="181" w:rightFromText="181" w:bottomFromText="170" w:vertAnchor="text" w:tblpXSpec="center" w:tblpY="1"/>
        <w:tblOverlap w:val="never"/>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765"/>
        <w:gridCol w:w="1065"/>
        <w:gridCol w:w="1377"/>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095" w:type="dxa"/>
            <w:vAlign w:val="center"/>
          </w:tcPr>
          <w:p>
            <w:pPr>
              <w:tabs>
                <w:tab w:val="left" w:pos="8280"/>
              </w:tabs>
              <w:autoSpaceDE w:val="0"/>
              <w:autoSpaceDN w:val="0"/>
              <w:adjustRightInd w:val="0"/>
              <w:jc w:val="center"/>
              <w:rPr>
                <w:rFonts w:ascii="宋体" w:hAnsi="宋体" w:cs="宋体"/>
                <w:b/>
                <w:sz w:val="24"/>
                <w:szCs w:val="24"/>
              </w:rPr>
            </w:pPr>
            <w:r>
              <w:rPr>
                <w:rFonts w:hint="eastAsia" w:ascii="宋体" w:hAnsi="宋体" w:cs="宋体"/>
                <w:b/>
                <w:sz w:val="24"/>
                <w:szCs w:val="24"/>
              </w:rPr>
              <w:t>标项号</w:t>
            </w:r>
          </w:p>
        </w:tc>
        <w:tc>
          <w:tcPr>
            <w:tcW w:w="2765" w:type="dxa"/>
            <w:vAlign w:val="center"/>
          </w:tcPr>
          <w:p>
            <w:pPr>
              <w:tabs>
                <w:tab w:val="left" w:pos="8280"/>
              </w:tabs>
              <w:autoSpaceDE w:val="0"/>
              <w:autoSpaceDN w:val="0"/>
              <w:adjustRightInd w:val="0"/>
              <w:ind w:firstLine="120" w:firstLineChars="50"/>
              <w:jc w:val="center"/>
              <w:rPr>
                <w:rFonts w:ascii="宋体" w:hAnsi="宋体" w:cs="宋体"/>
                <w:b/>
                <w:sz w:val="24"/>
                <w:szCs w:val="24"/>
              </w:rPr>
            </w:pPr>
            <w:r>
              <w:rPr>
                <w:rFonts w:hint="eastAsia" w:ascii="宋体" w:hAnsi="宋体" w:cs="宋体"/>
                <w:b/>
                <w:sz w:val="24"/>
                <w:szCs w:val="24"/>
              </w:rPr>
              <w:t>标项名称</w:t>
            </w:r>
          </w:p>
        </w:tc>
        <w:tc>
          <w:tcPr>
            <w:tcW w:w="1065" w:type="dxa"/>
            <w:vAlign w:val="center"/>
          </w:tcPr>
          <w:p>
            <w:pPr>
              <w:tabs>
                <w:tab w:val="left" w:pos="8280"/>
              </w:tabs>
              <w:autoSpaceDE w:val="0"/>
              <w:autoSpaceDN w:val="0"/>
              <w:adjustRightInd w:val="0"/>
              <w:jc w:val="center"/>
              <w:rPr>
                <w:rFonts w:ascii="宋体" w:hAnsi="宋体" w:cs="宋体"/>
                <w:b/>
                <w:sz w:val="24"/>
                <w:szCs w:val="24"/>
              </w:rPr>
            </w:pPr>
            <w:r>
              <w:rPr>
                <w:rFonts w:hint="eastAsia" w:ascii="宋体" w:hAnsi="宋体" w:cs="宋体"/>
                <w:b/>
                <w:kern w:val="0"/>
                <w:sz w:val="24"/>
                <w:szCs w:val="24"/>
              </w:rPr>
              <w:t>数量</w:t>
            </w:r>
          </w:p>
        </w:tc>
        <w:tc>
          <w:tcPr>
            <w:tcW w:w="1377" w:type="dxa"/>
            <w:vAlign w:val="center"/>
          </w:tcPr>
          <w:p>
            <w:pPr>
              <w:tabs>
                <w:tab w:val="left" w:pos="8280"/>
              </w:tabs>
              <w:autoSpaceDE w:val="0"/>
              <w:autoSpaceDN w:val="0"/>
              <w:adjustRightInd w:val="0"/>
              <w:jc w:val="center"/>
              <w:rPr>
                <w:rFonts w:ascii="宋体" w:hAnsi="宋体" w:cs="宋体"/>
                <w:b/>
                <w:sz w:val="24"/>
                <w:szCs w:val="24"/>
              </w:rPr>
            </w:pPr>
            <w:r>
              <w:rPr>
                <w:rFonts w:hint="eastAsia" w:ascii="宋体" w:hAnsi="宋体" w:cs="宋体"/>
                <w:b/>
                <w:sz w:val="24"/>
                <w:szCs w:val="24"/>
              </w:rPr>
              <w:t>单位</w:t>
            </w:r>
          </w:p>
        </w:tc>
        <w:tc>
          <w:tcPr>
            <w:tcW w:w="2118" w:type="dxa"/>
            <w:vAlign w:val="center"/>
          </w:tcPr>
          <w:p>
            <w:pPr>
              <w:tabs>
                <w:tab w:val="left" w:pos="8280"/>
              </w:tabs>
              <w:autoSpaceDE w:val="0"/>
              <w:autoSpaceDN w:val="0"/>
              <w:adjustRightInd w:val="0"/>
              <w:jc w:val="center"/>
              <w:rPr>
                <w:rFonts w:ascii="宋体" w:hAnsi="宋体" w:cs="宋体"/>
                <w:b/>
                <w:sz w:val="24"/>
                <w:szCs w:val="24"/>
              </w:rPr>
            </w:pPr>
            <w:r>
              <w:rPr>
                <w:rFonts w:hint="eastAsia" w:ascii="宋体" w:hAnsi="宋体" w:cs="宋体"/>
                <w:b/>
                <w:sz w:val="24"/>
                <w:szCs w:val="24"/>
              </w:rPr>
              <w:t>预算</w:t>
            </w:r>
          </w:p>
          <w:p>
            <w:pPr>
              <w:tabs>
                <w:tab w:val="left" w:pos="8280"/>
              </w:tabs>
              <w:autoSpaceDE w:val="0"/>
              <w:autoSpaceDN w:val="0"/>
              <w:adjustRightInd w:val="0"/>
              <w:jc w:val="center"/>
              <w:rPr>
                <w:rFonts w:ascii="宋体" w:hAnsi="宋体" w:cs="宋体"/>
                <w:b/>
                <w:sz w:val="24"/>
                <w:szCs w:val="24"/>
              </w:rPr>
            </w:pPr>
            <w:r>
              <w:rPr>
                <w:rFonts w:hint="eastAsia" w:ascii="宋体" w:hAnsi="宋体" w:cs="宋体"/>
                <w:b/>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95" w:type="dxa"/>
            <w:vAlign w:val="center"/>
          </w:tcPr>
          <w:p>
            <w:pPr>
              <w:tabs>
                <w:tab w:val="left" w:pos="8280"/>
              </w:tabs>
              <w:autoSpaceDE w:val="0"/>
              <w:autoSpaceDN w:val="0"/>
              <w:adjustRightInd w:val="0"/>
              <w:jc w:val="center"/>
              <w:rPr>
                <w:rFonts w:ascii="宋体" w:hAnsi="宋体" w:cs="宋体"/>
                <w:b/>
                <w:sz w:val="24"/>
                <w:szCs w:val="24"/>
              </w:rPr>
            </w:pPr>
            <w:r>
              <w:rPr>
                <w:rFonts w:hint="eastAsia" w:ascii="宋体" w:hAnsi="宋体" w:cs="宋体"/>
                <w:b/>
                <w:sz w:val="24"/>
                <w:szCs w:val="24"/>
              </w:rPr>
              <w:t>1</w:t>
            </w:r>
          </w:p>
        </w:tc>
        <w:tc>
          <w:tcPr>
            <w:tcW w:w="2765" w:type="dxa"/>
            <w:vAlign w:val="center"/>
          </w:tcPr>
          <w:p>
            <w:pPr>
              <w:tabs>
                <w:tab w:val="left" w:pos="8280"/>
              </w:tabs>
              <w:autoSpaceDE w:val="0"/>
              <w:autoSpaceDN w:val="0"/>
              <w:adjustRightInd w:val="0"/>
              <w:jc w:val="center"/>
              <w:rPr>
                <w:rFonts w:ascii="宋体" w:hAnsi="宋体" w:cs="宋体"/>
                <w:b/>
                <w:sz w:val="24"/>
                <w:szCs w:val="24"/>
              </w:rPr>
            </w:pPr>
            <w:r>
              <w:rPr>
                <w:rFonts w:hint="eastAsia" w:cs="宋体"/>
                <w:b w:val="0"/>
                <w:sz w:val="24"/>
                <w:szCs w:val="24"/>
                <w:lang w:eastAsia="zh-CN"/>
              </w:rPr>
              <w:t>公寓家具</w:t>
            </w:r>
            <w:r>
              <w:rPr>
                <w:rFonts w:hint="eastAsia" w:cs="宋体"/>
                <w:b w:val="0"/>
                <w:sz w:val="24"/>
                <w:szCs w:val="24"/>
              </w:rPr>
              <w:t>项目</w:t>
            </w:r>
          </w:p>
        </w:tc>
        <w:tc>
          <w:tcPr>
            <w:tcW w:w="1065" w:type="dxa"/>
            <w:vAlign w:val="center"/>
          </w:tcPr>
          <w:p>
            <w:pPr>
              <w:tabs>
                <w:tab w:val="left" w:pos="8280"/>
              </w:tabs>
              <w:autoSpaceDE w:val="0"/>
              <w:autoSpaceDN w:val="0"/>
              <w:adjustRightInd w:val="0"/>
              <w:jc w:val="cente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1</w:t>
            </w:r>
          </w:p>
        </w:tc>
        <w:tc>
          <w:tcPr>
            <w:tcW w:w="1377" w:type="dxa"/>
            <w:vAlign w:val="center"/>
          </w:tcPr>
          <w:p>
            <w:pPr>
              <w:tabs>
                <w:tab w:val="left" w:pos="8280"/>
              </w:tabs>
              <w:autoSpaceDE w:val="0"/>
              <w:autoSpaceDN w:val="0"/>
              <w:adjustRightInd w:val="0"/>
              <w:jc w:val="center"/>
              <w:rPr>
                <w:rFonts w:hint="eastAsia" w:ascii="宋体" w:hAnsi="宋体" w:eastAsia="宋体" w:cs="宋体"/>
                <w:bCs/>
                <w:sz w:val="24"/>
                <w:szCs w:val="24"/>
                <w:lang w:eastAsia="zh-CN"/>
              </w:rPr>
            </w:pPr>
            <w:r>
              <w:rPr>
                <w:rFonts w:hint="eastAsia" w:ascii="宋体" w:hAnsi="宋体" w:cs="宋体"/>
                <w:bCs/>
                <w:sz w:val="24"/>
                <w:szCs w:val="24"/>
                <w:lang w:eastAsia="zh-CN"/>
              </w:rPr>
              <w:t>批</w:t>
            </w:r>
          </w:p>
        </w:tc>
        <w:tc>
          <w:tcPr>
            <w:tcW w:w="2118" w:type="dxa"/>
            <w:vAlign w:val="center"/>
          </w:tcPr>
          <w:p>
            <w:pPr>
              <w:tabs>
                <w:tab w:val="left" w:pos="8280"/>
              </w:tabs>
              <w:autoSpaceDE w:val="0"/>
              <w:autoSpaceDN w:val="0"/>
              <w:adjustRightInd w:val="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480</w:t>
            </w:r>
          </w:p>
        </w:tc>
      </w:tr>
    </w:tbl>
    <w:p>
      <w:pPr>
        <w:pStyle w:val="2"/>
        <w:ind w:right="0" w:firstLine="482" w:firstLineChars="200"/>
        <w:rPr>
          <w:rFonts w:cs="宋体"/>
          <w:bCs/>
          <w:sz w:val="24"/>
          <w:szCs w:val="24"/>
        </w:rPr>
      </w:pPr>
      <w:bookmarkStart w:id="11" w:name="_Toc35393622"/>
      <w:bookmarkStart w:id="12" w:name="_Toc35393791"/>
      <w:bookmarkStart w:id="13" w:name="_Toc28359003"/>
      <w:bookmarkStart w:id="14" w:name="_Toc28359080"/>
      <w:r>
        <w:rPr>
          <w:rFonts w:hint="eastAsia" w:cs="宋体"/>
          <w:bCs/>
          <w:sz w:val="24"/>
          <w:szCs w:val="24"/>
        </w:rPr>
        <w:t>二、投标人的资格要求</w:t>
      </w:r>
      <w:bookmarkEnd w:id="11"/>
      <w:bookmarkEnd w:id="12"/>
      <w:bookmarkEnd w:id="13"/>
      <w:bookmarkEnd w:id="14"/>
    </w:p>
    <w:p>
      <w:pPr>
        <w:spacing w:line="360" w:lineRule="auto"/>
        <w:ind w:firstLine="480" w:firstLineChars="200"/>
        <w:rPr>
          <w:rFonts w:ascii="宋体" w:hAnsi="宋体" w:cs="宋体"/>
          <w:sz w:val="24"/>
          <w:szCs w:val="24"/>
        </w:rPr>
      </w:pPr>
      <w:r>
        <w:rPr>
          <w:rFonts w:hint="eastAsia" w:ascii="宋体" w:hAnsi="宋体" w:cs="宋体"/>
          <w:sz w:val="24"/>
          <w:szCs w:val="24"/>
        </w:rPr>
        <w:t>（一）满足《中华人民共和国政府采购法》第二十二条规定</w:t>
      </w:r>
      <w:bookmarkStart w:id="15" w:name="_Toc28359081"/>
      <w:bookmarkStart w:id="16" w:name="_Toc28359004"/>
      <w:bookmarkStart w:id="17" w:name="_Toc35393623"/>
      <w:bookmarkStart w:id="18" w:name="_Toc35393792"/>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（二）本项目的特定资格要求：</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、本项目不接受联合体投标。</w:t>
      </w:r>
    </w:p>
    <w:p>
      <w:pPr>
        <w:spacing w:line="360" w:lineRule="auto"/>
        <w:ind w:firstLine="480" w:firstLineChars="200"/>
        <w:rPr>
          <w:rFonts w:ascii="宋体" w:hAnsi="宋体" w:cs="宋体"/>
          <w:sz w:val="24"/>
          <w:szCs w:val="24"/>
        </w:rPr>
      </w:pPr>
      <w:r>
        <w:rPr>
          <w:rFonts w:hint="eastAsia" w:ascii="宋体" w:hAnsi="宋体" w:cs="宋体"/>
          <w:sz w:val="24"/>
          <w:szCs w:val="24"/>
        </w:rPr>
        <w:t>（三）信用记录：未被列入“信用中国”失信被执行人或重大税收违法案件当事人名单；未处于“中国政府采购网”</w:t>
      </w:r>
      <w:r>
        <w:rPr>
          <w:sz w:val="24"/>
          <w:szCs w:val="24"/>
        </w:rPr>
        <w:fldChar w:fldCharType="begin"/>
      </w:r>
      <w:r>
        <w:rPr>
          <w:sz w:val="24"/>
          <w:szCs w:val="24"/>
        </w:rPr>
        <w:instrText xml:space="preserve"> HYPERLINK "http://www.ccgp.gov.cn）政府采购严重违法失信行为信息记录中的禁止参加政府采购活动期间。" </w:instrText>
      </w:r>
      <w:r>
        <w:rPr>
          <w:sz w:val="24"/>
          <w:szCs w:val="24"/>
        </w:rPr>
        <w:fldChar w:fldCharType="separate"/>
      </w:r>
      <w:r>
        <w:rPr>
          <w:rFonts w:hint="eastAsia" w:ascii="宋体" w:hAnsi="宋体" w:cs="宋体"/>
          <w:sz w:val="24"/>
          <w:szCs w:val="24"/>
        </w:rPr>
        <w:t>政府采购严重违法失信行为信息记录中的禁止参加政府采购活动期间。</w:t>
      </w:r>
      <w:r>
        <w:rPr>
          <w:rFonts w:hint="eastAsia" w:ascii="宋体" w:hAnsi="宋体" w:cs="宋体"/>
          <w:sz w:val="24"/>
          <w:szCs w:val="24"/>
        </w:rPr>
        <w:fldChar w:fldCharType="end"/>
      </w:r>
    </w:p>
    <w:p>
      <w:pPr>
        <w:spacing w:line="360" w:lineRule="auto"/>
        <w:ind w:firstLine="480" w:firstLineChars="200"/>
        <w:rPr>
          <w:rFonts w:ascii="宋体" w:hAnsi="宋体" w:cs="宋体"/>
          <w:sz w:val="24"/>
          <w:szCs w:val="24"/>
        </w:rPr>
      </w:pPr>
      <w:r>
        <w:rPr>
          <w:rFonts w:hint="eastAsia" w:ascii="宋体" w:hAnsi="宋体" w:cs="宋体"/>
          <w:sz w:val="24"/>
          <w:szCs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2"/>
        <w:ind w:right="0" w:firstLine="482" w:firstLineChars="200"/>
        <w:rPr>
          <w:rFonts w:cs="宋体"/>
          <w:bCs/>
          <w:sz w:val="24"/>
          <w:szCs w:val="24"/>
        </w:rPr>
      </w:pPr>
      <w:r>
        <w:rPr>
          <w:rFonts w:hint="eastAsia" w:cs="宋体"/>
          <w:bCs/>
          <w:sz w:val="24"/>
          <w:szCs w:val="24"/>
        </w:rPr>
        <w:t>三、获取招标文件</w:t>
      </w:r>
      <w:bookmarkEnd w:id="15"/>
      <w:bookmarkEnd w:id="16"/>
      <w:bookmarkEnd w:id="17"/>
      <w:bookmarkEnd w:id="18"/>
    </w:p>
    <w:p>
      <w:pPr>
        <w:spacing w:line="360" w:lineRule="auto"/>
        <w:ind w:firstLine="480" w:firstLineChars="200"/>
        <w:rPr>
          <w:rFonts w:ascii="宋体" w:hAnsi="宋体" w:cs="宋体"/>
          <w:color w:val="FF0000"/>
          <w:sz w:val="24"/>
          <w:szCs w:val="24"/>
        </w:rPr>
      </w:pPr>
      <w:r>
        <w:rPr>
          <w:rFonts w:hint="eastAsia" w:ascii="宋体" w:hAnsi="宋体" w:cs="宋体"/>
          <w:sz w:val="24"/>
          <w:szCs w:val="24"/>
        </w:rPr>
        <w:t>（一）时间：</w:t>
      </w:r>
      <w:r>
        <w:rPr>
          <w:rFonts w:hint="eastAsia" w:ascii="宋体" w:hAnsi="宋体" w:cs="宋体"/>
          <w:color w:val="FF0000"/>
          <w:sz w:val="24"/>
          <w:szCs w:val="24"/>
          <w:u w:val="single"/>
          <w:lang w:val="en-US" w:eastAsia="zh-CN"/>
        </w:rPr>
        <w:t>2022</w:t>
      </w:r>
      <w:r>
        <w:rPr>
          <w:rFonts w:hint="eastAsia" w:ascii="宋体" w:hAnsi="宋体" w:cs="宋体"/>
          <w:color w:val="FF0000"/>
          <w:sz w:val="24"/>
          <w:szCs w:val="24"/>
          <w:u w:val="single"/>
        </w:rPr>
        <w:t>年</w:t>
      </w:r>
      <w:r>
        <w:rPr>
          <w:rFonts w:hint="eastAsia" w:ascii="宋体" w:hAnsi="宋体" w:cs="宋体"/>
          <w:color w:val="FF0000"/>
          <w:sz w:val="24"/>
          <w:szCs w:val="24"/>
          <w:u w:val="single"/>
          <w:lang w:val="en-US" w:eastAsia="zh-CN"/>
        </w:rPr>
        <w:t>11</w:t>
      </w:r>
      <w:r>
        <w:rPr>
          <w:rFonts w:hint="eastAsia" w:ascii="宋体" w:hAnsi="宋体" w:cs="宋体"/>
          <w:color w:val="FF0000"/>
          <w:sz w:val="24"/>
          <w:szCs w:val="24"/>
          <w:u w:val="single"/>
        </w:rPr>
        <w:t>月</w:t>
      </w:r>
      <w:r>
        <w:rPr>
          <w:rFonts w:hint="eastAsia" w:ascii="宋体" w:hAnsi="宋体" w:cs="宋体"/>
          <w:color w:val="FF0000"/>
          <w:sz w:val="24"/>
          <w:szCs w:val="24"/>
          <w:u w:val="single"/>
          <w:lang w:val="en-US" w:eastAsia="zh-CN"/>
        </w:rPr>
        <w:t xml:space="preserve">15 </w:t>
      </w:r>
      <w:r>
        <w:rPr>
          <w:rFonts w:hint="eastAsia" w:ascii="宋体" w:hAnsi="宋体" w:cs="宋体"/>
          <w:color w:val="FF0000"/>
          <w:sz w:val="24"/>
          <w:szCs w:val="24"/>
          <w:u w:val="single"/>
        </w:rPr>
        <w:t>日</w:t>
      </w:r>
      <w:r>
        <w:rPr>
          <w:rFonts w:hint="eastAsia" w:ascii="宋体" w:hAnsi="宋体" w:cs="宋体"/>
          <w:color w:val="FF0000"/>
          <w:sz w:val="24"/>
          <w:szCs w:val="24"/>
        </w:rPr>
        <w:t>至</w:t>
      </w:r>
      <w:r>
        <w:rPr>
          <w:rFonts w:hint="eastAsia" w:ascii="宋体" w:hAnsi="宋体" w:cs="宋体"/>
          <w:color w:val="FF0000"/>
          <w:sz w:val="24"/>
          <w:szCs w:val="24"/>
          <w:u w:val="single"/>
          <w:lang w:val="en-US" w:eastAsia="zh-CN"/>
        </w:rPr>
        <w:t>2022</w:t>
      </w:r>
      <w:r>
        <w:rPr>
          <w:rFonts w:hint="eastAsia" w:ascii="宋体" w:hAnsi="宋体" w:cs="宋体"/>
          <w:color w:val="FF0000"/>
          <w:sz w:val="24"/>
          <w:szCs w:val="24"/>
          <w:u w:val="single"/>
        </w:rPr>
        <w:t>年</w:t>
      </w:r>
      <w:r>
        <w:rPr>
          <w:rFonts w:hint="eastAsia" w:ascii="宋体" w:hAnsi="宋体" w:cs="宋体"/>
          <w:color w:val="FF0000"/>
          <w:sz w:val="24"/>
          <w:szCs w:val="24"/>
          <w:u w:val="single"/>
          <w:lang w:val="en-US" w:eastAsia="zh-CN"/>
        </w:rPr>
        <w:t>11</w:t>
      </w:r>
      <w:r>
        <w:rPr>
          <w:rFonts w:hint="eastAsia" w:ascii="宋体" w:hAnsi="宋体" w:cs="宋体"/>
          <w:color w:val="FF0000"/>
          <w:sz w:val="24"/>
          <w:szCs w:val="24"/>
          <w:u w:val="single"/>
        </w:rPr>
        <w:t>月</w:t>
      </w:r>
      <w:r>
        <w:rPr>
          <w:rFonts w:hint="eastAsia" w:ascii="宋体" w:hAnsi="宋体" w:cs="宋体"/>
          <w:color w:val="FF0000"/>
          <w:sz w:val="24"/>
          <w:szCs w:val="24"/>
          <w:u w:val="single"/>
          <w:lang w:val="en-US" w:eastAsia="zh-CN"/>
        </w:rPr>
        <w:t xml:space="preserve">21 </w:t>
      </w:r>
      <w:r>
        <w:rPr>
          <w:rFonts w:hint="eastAsia" w:ascii="宋体" w:hAnsi="宋体" w:cs="宋体"/>
          <w:color w:val="FF0000"/>
          <w:sz w:val="24"/>
          <w:szCs w:val="24"/>
          <w:u w:val="single"/>
        </w:rPr>
        <w:t>日</w:t>
      </w:r>
    </w:p>
    <w:p>
      <w:pPr>
        <w:pStyle w:val="27"/>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（二）方式：浙江政府采购网</w:t>
      </w:r>
      <w:r>
        <w:rPr>
          <w:rFonts w:hint="eastAsia" w:ascii="宋体" w:hAnsi="宋体" w:eastAsia="宋体" w:cs="宋体"/>
          <w:kern w:val="2"/>
          <w:sz w:val="24"/>
          <w:szCs w:val="24"/>
        </w:rPr>
        <w:t>（https://zfcg.czt.zj.gov.cn）</w:t>
      </w:r>
      <w:r>
        <w:rPr>
          <w:rFonts w:hint="eastAsia" w:ascii="宋体" w:hAnsi="宋体" w:eastAsia="宋体" w:cs="宋体"/>
          <w:sz w:val="24"/>
          <w:szCs w:val="24"/>
        </w:rPr>
        <w:t>免费下载</w:t>
      </w:r>
    </w:p>
    <w:p>
      <w:pPr>
        <w:pStyle w:val="2"/>
        <w:ind w:right="0" w:firstLine="482" w:firstLineChars="200"/>
        <w:rPr>
          <w:rFonts w:cs="宋体"/>
          <w:bCs/>
          <w:sz w:val="24"/>
          <w:szCs w:val="24"/>
        </w:rPr>
      </w:pPr>
      <w:bookmarkStart w:id="19" w:name="_Toc35393793"/>
      <w:bookmarkStart w:id="20" w:name="_Toc28359005"/>
      <w:bookmarkStart w:id="21" w:name="_Toc28359082"/>
      <w:bookmarkStart w:id="22" w:name="_Toc35393624"/>
      <w:r>
        <w:rPr>
          <w:rFonts w:hint="eastAsia" w:cs="宋体"/>
          <w:bCs/>
          <w:sz w:val="24"/>
          <w:szCs w:val="24"/>
        </w:rPr>
        <w:t>四、提交投标文件</w:t>
      </w:r>
      <w:bookmarkEnd w:id="19"/>
      <w:bookmarkEnd w:id="20"/>
      <w:bookmarkEnd w:id="21"/>
      <w:bookmarkEnd w:id="22"/>
    </w:p>
    <w:p>
      <w:pPr>
        <w:spacing w:line="360" w:lineRule="auto"/>
        <w:ind w:firstLine="480" w:firstLineChars="200"/>
        <w:rPr>
          <w:rFonts w:ascii="宋体" w:hAnsi="宋体" w:cs="宋体"/>
          <w:iCs/>
          <w:color w:val="FF0000"/>
          <w:sz w:val="24"/>
          <w:szCs w:val="24"/>
          <w:u w:val="single"/>
        </w:rPr>
      </w:pPr>
      <w:bookmarkStart w:id="23" w:name="_Toc35393625"/>
      <w:bookmarkStart w:id="24" w:name="_Toc35393794"/>
      <w:bookmarkStart w:id="25" w:name="_Toc28359007"/>
      <w:bookmarkStart w:id="26" w:name="_Toc28359084"/>
      <w:r>
        <w:rPr>
          <w:rFonts w:hint="eastAsia" w:ascii="宋体" w:hAnsi="宋体" w:cs="宋体"/>
          <w:sz w:val="24"/>
          <w:szCs w:val="24"/>
        </w:rPr>
        <w:t>（一）截止时间（开标时间）：</w:t>
      </w:r>
      <w:r>
        <w:rPr>
          <w:rFonts w:hint="eastAsia" w:ascii="宋体" w:hAnsi="宋体" w:cs="宋体"/>
          <w:bCs/>
          <w:color w:val="FF0000"/>
          <w:sz w:val="24"/>
          <w:szCs w:val="24"/>
          <w:u w:val="single"/>
          <w:lang w:val="en-US" w:eastAsia="zh-CN"/>
        </w:rPr>
        <w:t>2022</w:t>
      </w:r>
      <w:r>
        <w:rPr>
          <w:rFonts w:hint="eastAsia" w:ascii="宋体" w:hAnsi="宋体" w:cs="宋体"/>
          <w:bCs/>
          <w:color w:val="FF0000"/>
          <w:sz w:val="24"/>
          <w:szCs w:val="24"/>
          <w:u w:val="single"/>
        </w:rPr>
        <w:t>年</w:t>
      </w:r>
      <w:r>
        <w:rPr>
          <w:rFonts w:hint="eastAsia" w:ascii="宋体" w:hAnsi="宋体" w:cs="宋体"/>
          <w:color w:val="FF0000"/>
          <w:sz w:val="24"/>
          <w:szCs w:val="24"/>
          <w:u w:val="single"/>
          <w:lang w:val="en-US" w:eastAsia="zh-CN"/>
        </w:rPr>
        <w:t>12</w:t>
      </w:r>
      <w:r>
        <w:rPr>
          <w:rFonts w:hint="eastAsia" w:ascii="宋体" w:hAnsi="宋体" w:cs="宋体"/>
          <w:bCs/>
          <w:color w:val="FF0000"/>
          <w:sz w:val="24"/>
          <w:szCs w:val="24"/>
          <w:u w:val="single"/>
        </w:rPr>
        <w:t>月</w:t>
      </w:r>
      <w:r>
        <w:rPr>
          <w:rFonts w:hint="eastAsia" w:ascii="宋体" w:hAnsi="宋体" w:cs="宋体"/>
          <w:color w:val="FF0000"/>
          <w:sz w:val="24"/>
          <w:szCs w:val="24"/>
          <w:u w:val="single"/>
          <w:lang w:val="en-US" w:eastAsia="zh-CN"/>
        </w:rPr>
        <w:t xml:space="preserve">6 </w:t>
      </w:r>
      <w:r>
        <w:rPr>
          <w:rFonts w:hint="eastAsia" w:ascii="宋体" w:hAnsi="宋体" w:cs="宋体"/>
          <w:bCs/>
          <w:color w:val="FF0000"/>
          <w:sz w:val="24"/>
          <w:szCs w:val="24"/>
          <w:u w:val="single"/>
        </w:rPr>
        <w:t>日</w:t>
      </w:r>
      <w:r>
        <w:rPr>
          <w:rFonts w:hint="eastAsia" w:ascii="宋体" w:hAnsi="宋体" w:cs="宋体"/>
          <w:bCs/>
          <w:color w:val="FF0000"/>
          <w:sz w:val="24"/>
          <w:szCs w:val="24"/>
          <w:u w:val="single"/>
          <w:lang w:val="en-US" w:eastAsia="zh-CN"/>
        </w:rPr>
        <w:t>9</w:t>
      </w:r>
      <w:r>
        <w:rPr>
          <w:rFonts w:hint="eastAsia" w:ascii="宋体" w:hAnsi="宋体" w:cs="宋体"/>
          <w:bCs/>
          <w:color w:val="FF0000"/>
          <w:sz w:val="24"/>
          <w:szCs w:val="24"/>
          <w:u w:val="single"/>
        </w:rPr>
        <w:t>点</w:t>
      </w:r>
      <w:r>
        <w:rPr>
          <w:rFonts w:hint="eastAsia" w:ascii="宋体" w:hAnsi="宋体" w:cs="宋体"/>
          <w:bCs/>
          <w:color w:val="FF0000"/>
          <w:sz w:val="24"/>
          <w:szCs w:val="24"/>
          <w:u w:val="single"/>
          <w:lang w:val="en-US" w:eastAsia="zh-CN"/>
        </w:rPr>
        <w:t>10分</w:t>
      </w:r>
      <w:r>
        <w:rPr>
          <w:rFonts w:hint="eastAsia" w:ascii="宋体" w:hAnsi="宋体" w:cs="宋体"/>
          <w:bCs/>
          <w:color w:val="FF0000"/>
          <w:sz w:val="24"/>
          <w:szCs w:val="24"/>
        </w:rPr>
        <w:t>（北京时间）</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23"/>
    <w:bookmarkEnd w:id="24"/>
    <w:bookmarkEnd w:id="25"/>
    <w:bookmarkEnd w:id="26"/>
    <w:p>
      <w:pPr>
        <w:pStyle w:val="20"/>
        <w:spacing w:after="0" w:line="360" w:lineRule="auto"/>
        <w:ind w:left="0" w:leftChars="0" w:firstLine="482" w:firstLineChars="200"/>
        <w:rPr>
          <w:rFonts w:ascii="宋体" w:hAnsi="宋体" w:cs="宋体"/>
          <w:b/>
          <w:bCs/>
          <w:kern w:val="0"/>
          <w:sz w:val="24"/>
          <w:szCs w:val="24"/>
        </w:rPr>
      </w:pPr>
      <w:r>
        <w:rPr>
          <w:rFonts w:hint="eastAsia" w:ascii="宋体" w:hAnsi="宋体" w:cs="宋体"/>
          <w:b/>
          <w:bCs/>
          <w:kern w:val="0"/>
          <w:sz w:val="24"/>
          <w:szCs w:val="24"/>
        </w:rPr>
        <w:t>五、发布公告</w:t>
      </w:r>
    </w:p>
    <w:p>
      <w:pPr>
        <w:pStyle w:val="20"/>
        <w:spacing w:after="0" w:line="360" w:lineRule="auto"/>
        <w:ind w:left="0" w:leftChars="0" w:firstLine="480" w:firstLineChars="200"/>
        <w:rPr>
          <w:rFonts w:ascii="宋体" w:hAnsi="宋体" w:cs="宋体"/>
          <w:kern w:val="0"/>
          <w:sz w:val="24"/>
          <w:szCs w:val="24"/>
        </w:rPr>
      </w:pPr>
      <w:r>
        <w:rPr>
          <w:rFonts w:hint="eastAsia" w:ascii="宋体" w:hAnsi="宋体" w:cs="宋体"/>
          <w:sz w:val="24"/>
          <w:szCs w:val="24"/>
        </w:rPr>
        <w:t>（一）公告网址：</w:t>
      </w:r>
      <w:r>
        <w:rPr>
          <w:rFonts w:hint="eastAsia" w:ascii="宋体" w:hAnsi="宋体" w:cs="宋体"/>
          <w:kern w:val="0"/>
          <w:sz w:val="24"/>
          <w:szCs w:val="24"/>
        </w:rPr>
        <w:t>浙江政府采购网（</w:t>
      </w:r>
      <w:r>
        <w:rPr>
          <w:rFonts w:hint="eastAsia" w:ascii="宋体" w:hAnsi="宋体" w:cs="宋体"/>
          <w:sz w:val="24"/>
          <w:szCs w:val="24"/>
        </w:rPr>
        <w:t>https://zfcg.czt.zj.gov.cn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台州市公共资源交易网（https://tzztb.zjtz.gov.cn）</w:t>
      </w:r>
    </w:p>
    <w:p>
      <w:pPr>
        <w:pStyle w:val="20"/>
        <w:spacing w:after="0" w:line="360" w:lineRule="auto"/>
        <w:ind w:left="0" w:leftChars="0" w:firstLine="480" w:firstLineChars="200"/>
        <w:rPr>
          <w:rFonts w:ascii="宋体" w:hAnsi="宋体" w:cs="宋体"/>
          <w:kern w:val="0"/>
          <w:sz w:val="24"/>
          <w:szCs w:val="24"/>
        </w:rPr>
      </w:pPr>
      <w:r>
        <w:rPr>
          <w:rFonts w:hint="eastAsia" w:ascii="宋体" w:hAnsi="宋体" w:cs="宋体"/>
          <w:sz w:val="24"/>
          <w:szCs w:val="24"/>
        </w:rPr>
        <w:t>（二）公告期限：</w:t>
      </w:r>
      <w:r>
        <w:rPr>
          <w:rFonts w:hint="eastAsia" w:ascii="宋体" w:hAnsi="宋体" w:cs="宋体"/>
          <w:kern w:val="0"/>
          <w:sz w:val="24"/>
          <w:szCs w:val="24"/>
        </w:rPr>
        <w:t>本公告期限自发布之日起五个工作日</w:t>
      </w:r>
    </w:p>
    <w:p>
      <w:pPr>
        <w:pStyle w:val="2"/>
        <w:ind w:right="0" w:firstLine="482" w:firstLineChars="200"/>
        <w:rPr>
          <w:rFonts w:cs="宋体"/>
          <w:bCs/>
          <w:sz w:val="24"/>
          <w:szCs w:val="24"/>
        </w:rPr>
      </w:pPr>
      <w:bookmarkStart w:id="27" w:name="_Toc35393795"/>
      <w:bookmarkStart w:id="28" w:name="_Toc35393626"/>
      <w:r>
        <w:rPr>
          <w:rFonts w:hint="eastAsia" w:cs="宋体"/>
          <w:bCs/>
          <w:sz w:val="24"/>
          <w:szCs w:val="24"/>
        </w:rPr>
        <w:t>六、</w:t>
      </w:r>
      <w:bookmarkEnd w:id="27"/>
      <w:bookmarkEnd w:id="28"/>
      <w:r>
        <w:rPr>
          <w:rFonts w:hint="eastAsia" w:cs="宋体"/>
          <w:bCs/>
          <w:sz w:val="24"/>
          <w:szCs w:val="24"/>
        </w:rPr>
        <w:t>注册报名</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投标人需登录浙江省政府采购网（https://zfcg.czt.zj.gov.cn/）进行注册后报名。</w:t>
      </w:r>
    </w:p>
    <w:p>
      <w:pPr>
        <w:pStyle w:val="2"/>
        <w:ind w:right="0" w:firstLine="482" w:firstLineChars="200"/>
        <w:rPr>
          <w:rFonts w:cs="宋体"/>
          <w:bCs/>
          <w:sz w:val="24"/>
          <w:szCs w:val="24"/>
        </w:rPr>
      </w:pPr>
      <w:bookmarkStart w:id="29" w:name="_Toc28359008"/>
      <w:bookmarkStart w:id="30" w:name="_Toc35393796"/>
      <w:bookmarkStart w:id="31" w:name="_Toc28359085"/>
      <w:bookmarkStart w:id="32" w:name="_Toc35393627"/>
      <w:r>
        <w:rPr>
          <w:rFonts w:hint="eastAsia" w:cs="宋体"/>
          <w:bCs/>
          <w:sz w:val="24"/>
          <w:szCs w:val="24"/>
        </w:rPr>
        <w:t>七、联系</w:t>
      </w:r>
      <w:bookmarkEnd w:id="29"/>
      <w:bookmarkEnd w:id="30"/>
      <w:bookmarkEnd w:id="31"/>
      <w:bookmarkEnd w:id="32"/>
      <w:r>
        <w:rPr>
          <w:rFonts w:hint="eastAsia" w:cs="宋体"/>
          <w:bCs/>
          <w:sz w:val="24"/>
          <w:szCs w:val="24"/>
        </w:rPr>
        <w:t>方式</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（一）采购人（受理招标文件相关质疑及答复） </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名 称：</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台州市永宁中学（筹） </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台州市黄岩区院桥镇高洋路39号</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联系人：</w:t>
      </w:r>
      <w:bookmarkStart w:id="33" w:name="_Toc28359086"/>
      <w:bookmarkStart w:id="34" w:name="_Toc28359009"/>
      <w:r>
        <w:rPr>
          <w:rFonts w:hint="eastAsia" w:ascii="宋体" w:hAnsi="宋体" w:cs="宋体"/>
          <w:sz w:val="24"/>
          <w:szCs w:val="24"/>
          <w:u w:val="single"/>
          <w:lang w:eastAsia="zh-CN"/>
        </w:rPr>
        <w:t>林</w:t>
      </w:r>
      <w:r>
        <w:rPr>
          <w:rFonts w:hint="eastAsia" w:ascii="宋体" w:hAnsi="宋体" w:cs="宋体"/>
          <w:sz w:val="24"/>
          <w:szCs w:val="24"/>
          <w:u w:val="single"/>
        </w:rPr>
        <w:t xml:space="preserve">先生  </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联系电话：</w:t>
      </w:r>
      <w:r>
        <w:rPr>
          <w:rFonts w:hint="eastAsia" w:ascii="宋体" w:hAnsi="宋体" w:cs="宋体"/>
          <w:sz w:val="24"/>
          <w:szCs w:val="24"/>
          <w:u w:val="single"/>
        </w:rPr>
        <w:t>0576-89189968</w:t>
      </w:r>
    </w:p>
    <w:bookmarkEnd w:id="33"/>
    <w:bookmarkEnd w:id="34"/>
    <w:p>
      <w:pPr>
        <w:spacing w:line="360" w:lineRule="auto"/>
        <w:ind w:firstLine="480" w:firstLineChars="200"/>
        <w:jc w:val="left"/>
        <w:rPr>
          <w:rFonts w:ascii="宋体" w:hAnsi="宋体" w:cs="宋体"/>
          <w:sz w:val="24"/>
          <w:szCs w:val="24"/>
        </w:rPr>
      </w:pPr>
      <w:r>
        <w:rPr>
          <w:rFonts w:hint="eastAsia" w:ascii="宋体" w:hAnsi="宋体" w:cs="宋体"/>
          <w:sz w:val="24"/>
          <w:szCs w:val="24"/>
        </w:rPr>
        <w:t>（二）</w:t>
      </w:r>
      <w:r>
        <w:rPr>
          <w:rFonts w:hint="eastAsia" w:ascii="宋体" w:hAnsi="宋体" w:cs="宋体"/>
          <w:b/>
          <w:bCs/>
          <w:sz w:val="24"/>
          <w:szCs w:val="24"/>
        </w:rPr>
        <w:t>采购组织机构</w:t>
      </w:r>
    </w:p>
    <w:p>
      <w:pPr>
        <w:spacing w:line="360" w:lineRule="auto"/>
        <w:ind w:firstLine="480" w:firstLineChars="200"/>
        <w:rPr>
          <w:rFonts w:hint="eastAsia" w:ascii="宋体" w:hAnsi="宋体" w:cs="宋体"/>
          <w:sz w:val="24"/>
          <w:szCs w:val="24"/>
          <w:u w:val="single"/>
        </w:rPr>
      </w:pPr>
      <w:bookmarkStart w:id="35" w:name="_Toc28359010"/>
      <w:bookmarkStart w:id="36" w:name="_Toc28359087"/>
      <w:r>
        <w:rPr>
          <w:rFonts w:hint="eastAsia" w:ascii="宋体" w:hAnsi="宋体" w:cs="宋体"/>
          <w:sz w:val="24"/>
          <w:szCs w:val="24"/>
        </w:rPr>
        <w:t>名 称：</w:t>
      </w:r>
      <w:r>
        <w:rPr>
          <w:rFonts w:hint="eastAsia" w:ascii="宋体" w:hAnsi="宋体" w:cs="宋体"/>
          <w:sz w:val="24"/>
          <w:szCs w:val="24"/>
          <w:u w:val="single"/>
        </w:rPr>
        <w:t xml:space="preserve"> 台州市政府采购中心  </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台州市市府大道777号 </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项目联系人：</w:t>
      </w:r>
      <w:r>
        <w:rPr>
          <w:rFonts w:hint="eastAsia" w:ascii="宋体" w:hAnsi="宋体" w:cs="宋体"/>
          <w:sz w:val="24"/>
          <w:szCs w:val="24"/>
          <w:u w:val="single"/>
        </w:rPr>
        <w:t>陈女士</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联系电话：</w:t>
      </w:r>
      <w:r>
        <w:rPr>
          <w:rFonts w:hint="eastAsia" w:ascii="宋体" w:hAnsi="宋体" w:cs="宋体"/>
          <w:sz w:val="24"/>
          <w:szCs w:val="24"/>
          <w:u w:val="single"/>
        </w:rPr>
        <w:t>0576-</w:t>
      </w:r>
      <w:r>
        <w:rPr>
          <w:rFonts w:hint="eastAsia" w:ascii="宋体" w:hAnsi="宋体" w:cs="宋体"/>
          <w:sz w:val="24"/>
          <w:szCs w:val="24"/>
          <w:u w:val="single"/>
          <w:lang w:val="en-US" w:eastAsia="zh-CN"/>
        </w:rPr>
        <w:t>88685056</w:t>
      </w:r>
      <w:r>
        <w:rPr>
          <w:rFonts w:hint="eastAsia" w:ascii="宋体" w:hAnsi="宋体" w:cs="宋体"/>
          <w:sz w:val="24"/>
          <w:szCs w:val="24"/>
          <w:u w:val="single"/>
        </w:rPr>
        <w:t xml:space="preserve"> </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受理联系人：</w:t>
      </w:r>
      <w:r>
        <w:rPr>
          <w:rFonts w:hint="eastAsia" w:ascii="宋体" w:hAnsi="宋体" w:cs="宋体"/>
          <w:sz w:val="24"/>
          <w:szCs w:val="24"/>
          <w:u w:val="single"/>
        </w:rPr>
        <w:t>候女士（受理注册、中标结果相关质疑及答复）</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联系电话：</w:t>
      </w:r>
      <w:r>
        <w:rPr>
          <w:rFonts w:hint="eastAsia" w:ascii="宋体" w:hAnsi="宋体" w:cs="宋体"/>
          <w:sz w:val="24"/>
          <w:szCs w:val="24"/>
          <w:u w:val="single"/>
        </w:rPr>
        <w:t xml:space="preserve">0576-88685121 </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技术人员：</w:t>
      </w:r>
      <w:r>
        <w:rPr>
          <w:rFonts w:hint="eastAsia" w:ascii="宋体" w:hAnsi="宋体" w:cs="宋体"/>
          <w:sz w:val="24"/>
          <w:szCs w:val="24"/>
          <w:u w:val="single"/>
          <w:lang w:eastAsia="zh-CN"/>
        </w:rPr>
        <w:t>徐</w:t>
      </w:r>
      <w:r>
        <w:rPr>
          <w:rFonts w:hint="eastAsia" w:ascii="宋体" w:hAnsi="宋体" w:cs="宋体"/>
          <w:sz w:val="24"/>
          <w:szCs w:val="24"/>
          <w:u w:val="single"/>
        </w:rPr>
        <w:t xml:space="preserve">女士   </w:t>
      </w:r>
    </w:p>
    <w:p>
      <w:pPr>
        <w:spacing w:line="360" w:lineRule="auto"/>
        <w:ind w:firstLine="480" w:firstLineChars="200"/>
        <w:rPr>
          <w:rFonts w:hint="default" w:ascii="宋体" w:hAnsi="宋体" w:cs="宋体"/>
          <w:sz w:val="24"/>
          <w:szCs w:val="24"/>
          <w:u w:val="single"/>
          <w:lang w:val="en-US" w:eastAsia="zh-CN"/>
        </w:rPr>
      </w:pPr>
      <w:r>
        <w:rPr>
          <w:rFonts w:hint="eastAsia" w:ascii="宋体" w:hAnsi="宋体" w:cs="宋体"/>
          <w:sz w:val="24"/>
          <w:szCs w:val="24"/>
        </w:rPr>
        <w:t>联系电话：</w:t>
      </w:r>
      <w:r>
        <w:rPr>
          <w:rFonts w:hint="eastAsia" w:ascii="宋体" w:hAnsi="宋体" w:cs="宋体"/>
          <w:sz w:val="24"/>
          <w:szCs w:val="24"/>
          <w:u w:val="single"/>
        </w:rPr>
        <w:t>0576-886851</w:t>
      </w:r>
      <w:r>
        <w:rPr>
          <w:rFonts w:hint="eastAsia" w:ascii="宋体" w:hAnsi="宋体" w:cs="宋体"/>
          <w:sz w:val="24"/>
          <w:szCs w:val="24"/>
          <w:u w:val="single"/>
          <w:lang w:val="en-US" w:eastAsia="zh-CN"/>
        </w:rPr>
        <w:t>61</w:t>
      </w:r>
    </w:p>
    <w:p>
      <w:pPr>
        <w:spacing w:line="360" w:lineRule="auto"/>
        <w:ind w:firstLine="482" w:firstLineChars="200"/>
        <w:rPr>
          <w:rFonts w:ascii="宋体" w:hAnsi="宋体" w:cs="宋体"/>
          <w:b/>
          <w:sz w:val="24"/>
          <w:szCs w:val="24"/>
        </w:rPr>
      </w:pPr>
      <w:r>
        <w:rPr>
          <w:rFonts w:hint="eastAsia" w:ascii="宋体" w:hAnsi="宋体" w:cs="宋体"/>
          <w:b/>
          <w:sz w:val="24"/>
          <w:szCs w:val="24"/>
        </w:rPr>
        <w:t>（三）同级政府采购监管机构</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名 称：</w:t>
      </w:r>
      <w:r>
        <w:rPr>
          <w:rFonts w:hint="eastAsia" w:ascii="宋体" w:hAnsi="宋体" w:cs="宋体"/>
          <w:sz w:val="24"/>
          <w:szCs w:val="24"/>
          <w:u w:val="single"/>
          <w:lang w:eastAsia="zh-CN"/>
        </w:rPr>
        <w:t>台州市政府采购监管处</w:t>
      </w:r>
      <w:r>
        <w:rPr>
          <w:rFonts w:hint="eastAsia" w:ascii="宋体" w:hAnsi="宋体" w:cs="宋体"/>
          <w:sz w:val="24"/>
          <w:szCs w:val="24"/>
          <w:u w:val="single"/>
        </w:rPr>
        <w:t>　</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地址：</w:t>
      </w:r>
      <w:r>
        <w:rPr>
          <w:rFonts w:hint="eastAsia" w:ascii="宋体" w:hAnsi="宋体" w:cs="宋体"/>
          <w:sz w:val="24"/>
          <w:szCs w:val="24"/>
          <w:u w:val="single"/>
          <w:lang w:eastAsia="zh-CN"/>
        </w:rPr>
        <w:t>台州市财政局</w:t>
      </w:r>
      <w:r>
        <w:rPr>
          <w:rFonts w:hint="eastAsia" w:ascii="宋体" w:hAnsi="宋体" w:cs="宋体"/>
          <w:sz w:val="24"/>
          <w:szCs w:val="24"/>
          <w:u w:val="single"/>
        </w:rPr>
        <w:t>　</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联系人：</w:t>
      </w:r>
      <w:r>
        <w:rPr>
          <w:rFonts w:hint="eastAsia" w:ascii="宋体" w:hAnsi="宋体" w:cs="宋体"/>
          <w:sz w:val="24"/>
          <w:szCs w:val="24"/>
          <w:u w:val="single"/>
          <w:lang w:eastAsia="zh-CN"/>
        </w:rPr>
        <w:t>陈老师</w:t>
      </w:r>
      <w:r>
        <w:rPr>
          <w:rFonts w:hint="eastAsia" w:ascii="宋体" w:hAnsi="宋体" w:cs="宋体"/>
          <w:sz w:val="24"/>
          <w:szCs w:val="24"/>
          <w:u w:val="single"/>
        </w:rPr>
        <w:t>　</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联系电话：</w:t>
      </w:r>
      <w:r>
        <w:rPr>
          <w:rFonts w:hint="eastAsia" w:ascii="宋体" w:hAnsi="宋体" w:cs="宋体"/>
          <w:sz w:val="24"/>
          <w:szCs w:val="24"/>
          <w:u w:val="single"/>
        </w:rPr>
        <w:t>0576-</w:t>
      </w:r>
      <w:r>
        <w:rPr>
          <w:rFonts w:hint="eastAsia" w:ascii="宋体" w:hAnsi="宋体" w:cs="宋体"/>
          <w:sz w:val="24"/>
          <w:szCs w:val="24"/>
          <w:u w:val="single"/>
          <w:lang w:val="en-US" w:eastAsia="zh-CN"/>
        </w:rPr>
        <w:t>88206705</w:t>
      </w:r>
      <w:r>
        <w:rPr>
          <w:rFonts w:hint="eastAsia" w:ascii="宋体" w:hAnsi="宋体" w:cs="宋体"/>
          <w:sz w:val="24"/>
          <w:szCs w:val="24"/>
          <w:u w:val="single"/>
        </w:rPr>
        <w:t xml:space="preserve"> </w:t>
      </w:r>
    </w:p>
    <w:p>
      <w:pPr>
        <w:spacing w:line="360" w:lineRule="auto"/>
        <w:ind w:firstLine="482" w:firstLineChars="200"/>
        <w:rPr>
          <w:rFonts w:ascii="宋体" w:hAnsi="宋体" w:cs="宋体"/>
          <w:b/>
          <w:sz w:val="24"/>
          <w:szCs w:val="24"/>
        </w:rPr>
      </w:pPr>
      <w:r>
        <w:rPr>
          <w:rFonts w:hint="eastAsia" w:ascii="宋体" w:hAnsi="宋体" w:cs="宋体"/>
          <w:b/>
          <w:sz w:val="24"/>
          <w:szCs w:val="24"/>
        </w:rPr>
        <w:t>（四）政采云平台</w:t>
      </w:r>
    </w:p>
    <w:p>
      <w:pPr>
        <w:spacing w:line="360" w:lineRule="auto"/>
        <w:ind w:firstLine="480" w:firstLineChars="200"/>
        <w:rPr>
          <w:rFonts w:hint="eastAsia" w:ascii="宋体" w:hAnsi="宋体" w:cs="宋体"/>
          <w:sz w:val="24"/>
          <w:szCs w:val="24"/>
          <w:shd w:val="clear" w:color="auto" w:fill="FFFFFF"/>
        </w:rPr>
      </w:pPr>
      <w:r>
        <w:rPr>
          <w:rFonts w:hint="eastAsia" w:ascii="宋体" w:hAnsi="宋体" w:cs="宋体"/>
          <w:sz w:val="24"/>
          <w:szCs w:val="24"/>
        </w:rPr>
        <w:t>联系电话：</w:t>
      </w:r>
      <w:r>
        <w:rPr>
          <w:rFonts w:hint="eastAsia" w:ascii="宋体" w:hAnsi="宋体" w:cs="宋体"/>
          <w:sz w:val="24"/>
          <w:szCs w:val="24"/>
          <w:u w:val="single"/>
        </w:rPr>
        <w:t xml:space="preserve">4008817190 </w:t>
      </w:r>
    </w:p>
    <w:p>
      <w:pPr>
        <w:pStyle w:val="8"/>
        <w:rPr>
          <w:rFonts w:hint="eastAsia"/>
          <w:sz w:val="24"/>
          <w:szCs w:val="24"/>
          <w:lang w:val="en-US" w:eastAsia="zh-CN"/>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szCs w:val="24"/>
        </w:rPr>
      </w:pPr>
      <w:r>
        <w:rPr>
          <w:rFonts w:hint="eastAsia" w:ascii="宋体" w:hAnsi="宋体" w:cs="宋体"/>
          <w:sz w:val="24"/>
          <w:szCs w:val="24"/>
          <w:shd w:val="clear" w:color="auto" w:fill="FFFFFF"/>
          <w:lang w:eastAsia="zh-CN"/>
        </w:rPr>
        <w:t>台州市</w:t>
      </w:r>
      <w:r>
        <w:rPr>
          <w:rFonts w:hint="eastAsia" w:ascii="宋体" w:hAnsi="宋体" w:cs="宋体"/>
          <w:sz w:val="24"/>
          <w:szCs w:val="24"/>
          <w:shd w:val="clear" w:color="auto" w:fill="FFFFFF"/>
        </w:rPr>
        <w:t>政府采购中心</w:t>
      </w:r>
    </w:p>
    <w:p>
      <w:pPr>
        <w:widowControl/>
        <w:spacing w:line="360" w:lineRule="auto"/>
        <w:jc w:val="right"/>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kern w:val="0"/>
          <w:sz w:val="24"/>
          <w:szCs w:val="24"/>
        </w:rPr>
        <w:t xml:space="preserve">                           </w:t>
      </w:r>
      <w:r>
        <w:rPr>
          <w:rFonts w:hint="eastAsia" w:ascii="宋体" w:hAnsi="宋体" w:cs="宋体"/>
          <w:color w:val="000000" w:themeColor="text1"/>
          <w:kern w:val="0"/>
          <w:sz w:val="24"/>
          <w:szCs w:val="24"/>
          <w:lang w:val="en-US" w:eastAsia="zh-CN"/>
          <w14:textFill>
            <w14:solidFill>
              <w14:schemeClr w14:val="tx1"/>
            </w14:solidFill>
          </w14:textFill>
        </w:rPr>
        <w:t>2022</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 xml:space="preserve">14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日</w:t>
      </w:r>
    </w:p>
    <w:p>
      <w:pPr>
        <w:pStyle w:val="20"/>
      </w:pPr>
    </w:p>
    <w:bookmarkEnd w:id="35"/>
    <w:bookmarkEnd w:id="36"/>
    <w:p>
      <w:pPr>
        <w:numPr>
          <w:ilvl w:val="0"/>
          <w:numId w:val="4"/>
        </w:numPr>
        <w:spacing w:line="360" w:lineRule="auto"/>
        <w:jc w:val="center"/>
        <w:rPr>
          <w:rFonts w:asciiTheme="minorEastAsia" w:hAnsiTheme="minorEastAsia" w:eastAsiaTheme="minorEastAsia"/>
          <w:b/>
          <w:sz w:val="36"/>
          <w:szCs w:val="36"/>
        </w:rPr>
      </w:pPr>
      <w:bookmarkStart w:id="37" w:name="_Toc25017_WPSOffice_Level1"/>
      <w:r>
        <w:rPr>
          <w:rFonts w:hint="eastAsia" w:asciiTheme="minorEastAsia" w:hAnsiTheme="minorEastAsia" w:eastAsiaTheme="minorEastAsia"/>
          <w:b/>
          <w:sz w:val="36"/>
          <w:szCs w:val="36"/>
        </w:rPr>
        <w:t>投标人须知</w:t>
      </w:r>
      <w:bookmarkEnd w:id="37"/>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1"/>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□是 /</w:t>
            </w:r>
            <w:r>
              <w:rPr>
                <w:rFonts w:hint="eastAsia" w:ascii="宋体" w:hAnsi="宋体" w:cs="宋体"/>
                <w:sz w:val="24"/>
                <w:szCs w:val="24"/>
                <w:lang w:eastAsia="zh-CN"/>
              </w:rPr>
              <w:t>☑</w:t>
            </w:r>
            <w:r>
              <w:rPr>
                <w:rFonts w:hint="eastAsia" w:ascii="宋体" w:hAnsi="宋体" w:eastAsia="宋体" w:cs="宋体"/>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□是（但主体部分不得分包，详见招标需求内容）/</w:t>
            </w:r>
            <w:r>
              <w:rPr>
                <w:rFonts w:hint="eastAsia" w:ascii="宋体" w:hAnsi="宋体" w:cs="宋体"/>
                <w:sz w:val="24"/>
                <w:szCs w:val="24"/>
                <w:lang w:eastAsia="zh-CN"/>
              </w:rPr>
              <w:t>☑</w:t>
            </w:r>
            <w:r>
              <w:rPr>
                <w:rFonts w:hint="eastAsia" w:ascii="宋体" w:hAnsi="宋体" w:eastAsia="宋体" w:cs="宋体"/>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□是（具体清单见招标需求）/</w:t>
            </w:r>
            <w:r>
              <w:rPr>
                <w:rFonts w:hint="eastAsia" w:ascii="宋体" w:hAnsi="宋体" w:cs="宋体"/>
                <w:sz w:val="24"/>
                <w:szCs w:val="24"/>
                <w:lang w:eastAsia="zh-CN"/>
              </w:rPr>
              <w:t>☑</w:t>
            </w:r>
            <w:r>
              <w:rPr>
                <w:rFonts w:hint="eastAsia" w:ascii="宋体" w:hAnsi="宋体" w:eastAsia="宋体" w:cs="宋体"/>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答疑会或</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 w:val="24"/>
                <w:szCs w:val="24"/>
              </w:rPr>
            </w:pPr>
            <w:r>
              <w:rPr>
                <w:rFonts w:hint="eastAsia" w:ascii="宋体" w:hAnsi="宋体" w:eastAsia="宋体" w:cs="宋体"/>
                <w:sz w:val="24"/>
                <w:szCs w:val="24"/>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0"/>
                <w:sz w:val="24"/>
                <w:szCs w:val="24"/>
              </w:rPr>
            </w:pPr>
            <w:r>
              <w:rPr>
                <w:rFonts w:hint="eastAsia" w:ascii="宋体" w:hAnsi="宋体" w:eastAsia="宋体" w:cs="宋体"/>
                <w:sz w:val="24"/>
                <w:szCs w:val="24"/>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请投标人在投标前仔细阅读</w:t>
            </w:r>
            <w:r>
              <w:rPr>
                <w:rFonts w:hint="eastAsia" w:ascii="宋体" w:hAnsi="宋体" w:cs="宋体"/>
                <w:sz w:val="24"/>
                <w:szCs w:val="24"/>
                <w:lang w:eastAsia="zh-CN"/>
              </w:rPr>
              <w:t>《</w:t>
            </w:r>
            <w:r>
              <w:rPr>
                <w:rFonts w:hint="eastAsia" w:ascii="宋体" w:hAnsi="宋体" w:eastAsia="宋体" w:cs="宋体"/>
                <w:sz w:val="24"/>
                <w:szCs w:val="24"/>
              </w:rPr>
              <w:t>政府采购项目电子交易操作指南</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1.投标文件的制作：投标人按照本项目招标文件和政采云平台的要求，通过“政采云电子交易客户端”编制、加密并递交投标文件（下载网址：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"http://www.zjzfcg.gov.cn/bidClientTemplate/2019-09-24/12975.html）。" </w:instrText>
            </w:r>
            <w:r>
              <w:rPr>
                <w:rFonts w:hint="eastAsia" w:ascii="宋体" w:hAnsi="宋体" w:eastAsia="宋体" w:cs="宋体"/>
                <w:sz w:val="24"/>
                <w:szCs w:val="24"/>
              </w:rPr>
              <w:fldChar w:fldCharType="separate"/>
            </w:r>
            <w:r>
              <w:rPr>
                <w:rFonts w:hint="eastAsia" w:ascii="宋体" w:hAnsi="宋体" w:eastAsia="宋体" w:cs="宋体"/>
                <w:sz w:val="24"/>
                <w:szCs w:val="24"/>
              </w:rPr>
              <w:t>https://zfcg.czt.zj.gov.cn/download/index.html）。</w:t>
            </w: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2.投标：投标人应当在投标截止时间前（开标当天北京时间</w:t>
            </w:r>
            <w:r>
              <w:rPr>
                <w:rFonts w:hint="eastAsia"/>
                <w:sz w:val="24"/>
                <w:szCs w:val="24"/>
                <w:lang w:val="en-US" w:eastAsia="zh-CN"/>
              </w:rPr>
              <w:t>9:00</w:t>
            </w:r>
            <w:r>
              <w:rPr>
                <w:rFonts w:hint="eastAsia" w:ascii="宋体" w:hAnsi="宋体" w:eastAsia="宋体" w:cs="宋体"/>
                <w:sz w:val="24"/>
                <w:szCs w:val="24"/>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sz w:val="24"/>
                <w:szCs w:val="24"/>
              </w:rPr>
              <w:t>3.投标文件解密：投标人应在开标当天北京时间</w:t>
            </w:r>
            <w:r>
              <w:rPr>
                <w:rFonts w:hint="eastAsia"/>
                <w:sz w:val="24"/>
                <w:szCs w:val="24"/>
                <w:lang w:val="en-US" w:eastAsia="zh-CN"/>
              </w:rPr>
              <w:t>9:10</w:t>
            </w:r>
            <w:r>
              <w:rPr>
                <w:rFonts w:hint="eastAsia"/>
                <w:sz w:val="24"/>
                <w:szCs w:val="24"/>
              </w:rPr>
              <w:t>至</w:t>
            </w:r>
            <w:r>
              <w:rPr>
                <w:rFonts w:hint="eastAsia"/>
                <w:sz w:val="24"/>
                <w:szCs w:val="24"/>
                <w:lang w:val="en-US" w:eastAsia="zh-CN"/>
              </w:rPr>
              <w:t>9:40</w:t>
            </w:r>
            <w:r>
              <w:rPr>
                <w:rFonts w:hint="eastAsia" w:ascii="宋体" w:hAnsi="宋体" w:eastAsia="宋体" w:cs="宋体"/>
                <w:sz w:val="24"/>
                <w:szCs w:val="24"/>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0"/>
                <w:sz w:val="24"/>
                <w:szCs w:val="24"/>
              </w:rPr>
            </w:pPr>
            <w:r>
              <w:rPr>
                <w:rFonts w:hint="eastAsia" w:ascii="宋体" w:hAnsi="宋体" w:eastAsia="宋体" w:cs="宋体"/>
                <w:sz w:val="24"/>
                <w:szCs w:val="24"/>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1.使用前提：在解密截止时间前，投标人自行在线解密操作失败</w:t>
            </w:r>
            <w:r>
              <w:rPr>
                <w:rFonts w:hint="eastAsia" w:ascii="宋体" w:hAnsi="宋体" w:cs="宋体"/>
                <w:sz w:val="24"/>
                <w:szCs w:val="24"/>
                <w:lang w:eastAsia="zh-CN"/>
              </w:rPr>
              <w:t>，</w:t>
            </w:r>
            <w:r>
              <w:rPr>
                <w:rFonts w:hint="eastAsia" w:ascii="宋体" w:hAnsi="宋体" w:eastAsia="宋体" w:cs="宋体"/>
                <w:sz w:val="24"/>
                <w:szCs w:val="24"/>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2.递交截止时间：开标当天</w:t>
            </w:r>
            <w:r>
              <w:rPr>
                <w:rFonts w:hint="eastAsia" w:ascii="宋体" w:hAnsi="宋体" w:cs="宋体"/>
                <w:sz w:val="24"/>
                <w:szCs w:val="24"/>
                <w:lang w:val="en-US" w:eastAsia="zh-CN"/>
              </w:rPr>
              <w:t>9:50</w:t>
            </w:r>
            <w:r>
              <w:rPr>
                <w:rFonts w:hint="eastAsia" w:ascii="宋体" w:hAnsi="宋体" w:eastAsia="宋体" w:cs="宋体"/>
                <w:sz w:val="24"/>
                <w:szCs w:val="24"/>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6"/>
              <w:numPr>
                <w:ilvl w:val="0"/>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不见面开标直播</w:t>
            </w:r>
          </w:p>
          <w:p>
            <w:pPr>
              <w:spacing w:line="360" w:lineRule="auto"/>
              <w:jc w:val="center"/>
              <w:rPr>
                <w:rFonts w:hint="eastAsia" w:ascii="宋体" w:hAnsi="宋体" w:eastAsia="宋体" w:cs="宋体"/>
                <w:color w:val="FF0000"/>
                <w:kern w:val="0"/>
                <w:sz w:val="24"/>
                <w:szCs w:val="24"/>
                <w:lang w:val="en-US" w:eastAsia="zh-CN" w:bidi="ar-SA"/>
              </w:rPr>
            </w:pP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leftChars="0" w:right="0" w:rightChars="0" w:firstLine="0" w:firstLineChars="0"/>
              <w:jc w:val="left"/>
              <w:rPr>
                <w:rFonts w:hint="eastAsia" w:ascii="宋体" w:hAnsi="宋体" w:eastAsia="宋体" w:cs="宋体"/>
                <w:color w:val="FF0000"/>
                <w:kern w:val="0"/>
                <w:sz w:val="24"/>
                <w:szCs w:val="24"/>
                <w:lang w:val="en-US" w:eastAsia="zh-CN" w:bidi="ar-SA"/>
              </w:rPr>
            </w:pPr>
            <w:r>
              <w:rPr>
                <w:rFonts w:hint="eastAsia" w:ascii="宋体" w:hAnsi="宋体" w:eastAsia="宋体" w:cs="宋体"/>
                <w:color w:val="000000" w:themeColor="text1"/>
                <w:sz w:val="24"/>
                <w:szCs w:val="24"/>
                <w:lang w:val="en-US" w:eastAsia="zh-CN"/>
                <w14:textFill>
                  <w14:solidFill>
                    <w14:schemeClr w14:val="tx1"/>
                  </w14:solidFill>
                </w14:textFill>
              </w:rPr>
              <w:t>本项目开评标环节实行全流程电子化，采取</w:t>
            </w:r>
            <w:r>
              <w:rPr>
                <w:rFonts w:hint="eastAsia" w:ascii="宋体" w:hAnsi="宋体" w:cs="宋体"/>
                <w:color w:val="000000" w:themeColor="text1"/>
                <w:sz w:val="24"/>
                <w:szCs w:val="24"/>
                <w:lang w:val="en-US" w:eastAsia="zh-CN"/>
                <w14:textFill>
                  <w14:solidFill>
                    <w14:schemeClr w14:val="tx1"/>
                  </w14:solidFill>
                </w14:textFill>
              </w:rPr>
              <w:t>政采云不见面开标大厅实现</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en-US" w:eastAsia="zh-CN"/>
                <w14:textFill>
                  <w14:solidFill>
                    <w14:schemeClr w14:val="tx1"/>
                  </w14:solidFill>
                </w14:textFill>
              </w:rPr>
              <w:t>可自行</w:t>
            </w:r>
            <w:r>
              <w:rPr>
                <w:rFonts w:hint="eastAsia" w:ascii="宋体" w:hAnsi="宋体" w:cs="宋体"/>
                <w:color w:val="000000" w:themeColor="text1"/>
                <w:sz w:val="24"/>
                <w:szCs w:val="24"/>
                <w:lang w:val="en-US" w:eastAsia="zh-CN"/>
                <w14:textFill>
                  <w14:solidFill>
                    <w14:schemeClr w14:val="tx1"/>
                  </w14:solidFill>
                </w14:textFill>
              </w:rPr>
              <w:t>登录政采云平台进入开标大厅观看现场直播画面</w:t>
            </w:r>
            <w:r>
              <w:rPr>
                <w:rFonts w:hint="eastAsia" w:ascii="宋体" w:hAnsi="宋体" w:eastAsia="宋体" w:cs="宋体"/>
                <w:color w:val="000000" w:themeColor="text1"/>
                <w:sz w:val="24"/>
                <w:szCs w:val="24"/>
                <w:lang w:val="en-US" w:eastAsia="zh-CN"/>
                <w14:textFill>
                  <w14:solidFill>
                    <w14:schemeClr w14:val="tx1"/>
                  </w14:solidFill>
                </w14:textFill>
              </w:rPr>
              <w:t>。采购组织机构按照采购文件规定的时间通过电子交易平台组织开标、开启响应文件，所有供应商均应当准时在线参加。</w:t>
            </w:r>
            <w:r>
              <w:rPr>
                <w:rFonts w:hint="eastAsia" w:hAnsi="宋体" w:cs="宋体"/>
                <w:color w:val="000000" w:themeColor="text1"/>
                <w:sz w:val="24"/>
                <w:szCs w:val="24"/>
                <w:lang w:val="en-US" w:eastAsia="zh-CN"/>
                <w14:textFill>
                  <w14:solidFill>
                    <w14:schemeClr w14:val="tx1"/>
                  </w14:solidFill>
                </w14:textFill>
              </w:rPr>
              <w:t>如未参加，</w:t>
            </w:r>
            <w:r>
              <w:rPr>
                <w:rFonts w:hint="eastAsia" w:ascii="宋体" w:hAnsi="宋体" w:eastAsia="宋体" w:cs="宋体"/>
                <w:bCs/>
                <w:color w:val="000000" w:themeColor="text1"/>
                <w:sz w:val="24"/>
                <w:szCs w:val="24"/>
                <w14:textFill>
                  <w14:solidFill>
                    <w14:schemeClr w14:val="tx1"/>
                  </w14:solidFill>
                </w14:textFill>
              </w:rPr>
              <w:t>造成无法</w:t>
            </w:r>
            <w:r>
              <w:rPr>
                <w:rFonts w:hint="eastAsia" w:ascii="宋体" w:hAnsi="宋体" w:cs="宋体"/>
                <w:bCs/>
                <w:color w:val="000000" w:themeColor="text1"/>
                <w:sz w:val="24"/>
                <w:szCs w:val="24"/>
                <w:lang w:eastAsia="zh-CN"/>
                <w14:textFill>
                  <w14:solidFill>
                    <w14:schemeClr w14:val="tx1"/>
                  </w14:solidFill>
                </w14:textFill>
              </w:rPr>
              <w:t>响应</w:t>
            </w:r>
            <w:r>
              <w:rPr>
                <w:rFonts w:hint="eastAsia" w:ascii="宋体" w:hAnsi="宋体" w:eastAsia="宋体" w:cs="宋体"/>
                <w:bCs/>
                <w:color w:val="000000" w:themeColor="text1"/>
                <w:sz w:val="24"/>
                <w:szCs w:val="24"/>
                <w14:textFill>
                  <w14:solidFill>
                    <w14:schemeClr w14:val="tx1"/>
                  </w14:solidFill>
                </w14:textFill>
              </w:rPr>
              <w:t>或</w:t>
            </w:r>
            <w:r>
              <w:rPr>
                <w:rFonts w:hint="eastAsia" w:ascii="宋体" w:hAnsi="宋体" w:cs="宋体"/>
                <w:bCs/>
                <w:color w:val="000000" w:themeColor="text1"/>
                <w:sz w:val="24"/>
                <w:szCs w:val="24"/>
                <w:lang w:eastAsia="zh-CN"/>
                <w14:textFill>
                  <w14:solidFill>
                    <w14:schemeClr w14:val="tx1"/>
                  </w14:solidFill>
                </w14:textFill>
              </w:rPr>
              <w:t>响应</w:t>
            </w:r>
            <w:r>
              <w:rPr>
                <w:rFonts w:hint="eastAsia" w:ascii="宋体" w:hAnsi="宋体" w:eastAsia="宋体" w:cs="宋体"/>
                <w:bCs/>
                <w:color w:val="000000" w:themeColor="text1"/>
                <w:sz w:val="24"/>
                <w:szCs w:val="24"/>
                <w14:textFill>
                  <w14:solidFill>
                    <w14:schemeClr w14:val="tx1"/>
                  </w14:solidFill>
                </w14:textFill>
              </w:rPr>
              <w:t>失败等后果由供应商自行承担</w:t>
            </w:r>
            <w:r>
              <w:rPr>
                <w:rFonts w:hint="eastAsia" w:hAnsi="宋体" w:cs="宋体"/>
                <w:bCs/>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color w:val="auto"/>
                <w:sz w:val="24"/>
                <w:szCs w:val="24"/>
              </w:rPr>
              <w:t>远程</w:t>
            </w:r>
            <w:r>
              <w:rPr>
                <w:rFonts w:hint="eastAsia" w:ascii="宋体" w:hAnsi="宋体" w:cs="宋体"/>
                <w:color w:val="auto"/>
                <w:sz w:val="24"/>
                <w:szCs w:val="24"/>
                <w:lang w:eastAsia="zh-CN"/>
              </w:rPr>
              <w:t>协商</w:t>
            </w:r>
            <w:r>
              <w:rPr>
                <w:rFonts w:hint="eastAsia" w:ascii="宋体" w:hAnsi="宋体" w:eastAsia="宋体" w:cs="宋体"/>
                <w:color w:val="auto"/>
                <w:sz w:val="24"/>
                <w:szCs w:val="24"/>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
              <w:spacing w:line="360" w:lineRule="auto"/>
              <w:rPr>
                <w:rFonts w:hint="eastAsia" w:ascii="宋体" w:hAnsi="宋体" w:eastAsia="宋体" w:cs="宋体"/>
                <w:color w:val="FF0000"/>
                <w:kern w:val="2"/>
                <w:sz w:val="24"/>
                <w:szCs w:val="24"/>
                <w:lang w:val="en-US" w:eastAsia="zh-CN" w:bidi="ar-SA"/>
              </w:rPr>
            </w:pPr>
            <w:r>
              <w:rPr>
                <w:rFonts w:ascii="宋体" w:hAnsi="宋体" w:eastAsia="宋体" w:cs="宋体"/>
                <w:sz w:val="24"/>
                <w:szCs w:val="24"/>
              </w:rPr>
              <w:t>本</w:t>
            </w:r>
            <w:r>
              <w:rPr>
                <w:rFonts w:hint="eastAsia" w:ascii="宋体" w:hAnsi="宋体" w:cs="宋体"/>
                <w:sz w:val="24"/>
                <w:szCs w:val="24"/>
                <w:lang w:eastAsia="zh-CN"/>
              </w:rPr>
              <w:t>项目</w:t>
            </w:r>
            <w:r>
              <w:rPr>
                <w:rFonts w:ascii="宋体" w:hAnsi="宋体" w:eastAsia="宋体" w:cs="宋体"/>
                <w:sz w:val="24"/>
                <w:szCs w:val="24"/>
              </w:rPr>
              <w:t>线上</w:t>
            </w:r>
            <w:r>
              <w:rPr>
                <w:rFonts w:hint="eastAsia" w:ascii="宋体" w:hAnsi="宋体" w:cs="宋体"/>
                <w:sz w:val="24"/>
                <w:szCs w:val="24"/>
                <w:lang w:eastAsia="zh-CN"/>
              </w:rPr>
              <w:t>协商</w:t>
            </w:r>
            <w:r>
              <w:rPr>
                <w:rFonts w:ascii="宋体" w:hAnsi="宋体" w:eastAsia="宋体" w:cs="宋体"/>
                <w:sz w:val="24"/>
                <w:szCs w:val="24"/>
              </w:rPr>
              <w:t>通过“政采云视频讲标系统”进行线上视频演示，投标人登录政采云系统-----进入开标大厅---进入本项目进行操作。政采云视频讲标系统在线上视频</w:t>
            </w:r>
            <w:r>
              <w:rPr>
                <w:rFonts w:hint="eastAsia" w:ascii="宋体" w:hAnsi="宋体" w:cs="宋体"/>
                <w:sz w:val="24"/>
                <w:szCs w:val="24"/>
                <w:lang w:eastAsia="zh-CN"/>
              </w:rPr>
              <w:t>协商</w:t>
            </w:r>
            <w:r>
              <w:rPr>
                <w:rFonts w:ascii="宋体" w:hAnsi="宋体" w:eastAsia="宋体" w:cs="宋体"/>
                <w:sz w:val="24"/>
                <w:szCs w:val="24"/>
              </w:rPr>
              <w:t>时需要投标人电脑配置有摄像头、音箱和必要的网络带宽（浏览器建议用谷歌浏览器，网络带宽不少于50兆，请勿用无线，以免出现卡顿现象。摄像头建议用中档及以上摄像头，以利于演示时的画面质量；音箱请提前予以调试，以避免演示时出现没有声音现象）。</w:t>
            </w:r>
            <w:r>
              <w:rPr>
                <w:rFonts w:ascii="宋体" w:hAnsi="宋体" w:eastAsia="宋体" w:cs="宋体"/>
                <w:sz w:val="24"/>
                <w:szCs w:val="24"/>
              </w:rPr>
              <w:br w:type="textWrapping"/>
            </w:r>
            <w:r>
              <w:rPr>
                <w:rFonts w:ascii="宋体" w:hAnsi="宋体" w:eastAsia="宋体" w:cs="宋体"/>
                <w:sz w:val="24"/>
                <w:szCs w:val="24"/>
              </w:rPr>
              <w:t>“政采云视频讲标系统”评委可以看见和听见投标人的画面和声音，投标人只能听见的评委的声音，看不见评委的画面。政采云视频讲标系统目前不支持手机端。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rPr>
              <w:t>样品递交要求)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
              <w:keepNext w:val="0"/>
              <w:keepLines w:val="0"/>
              <w:pageBreakBefore w:val="0"/>
              <w:kinsoku/>
              <w:wordWrap/>
              <w:overflowPunct/>
              <w:topLinePunct w:val="0"/>
              <w:bidi w:val="0"/>
              <w:adjustRightInd/>
              <w:snapToGrid/>
              <w:spacing w:line="30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1.截止时间：开标当天</w:t>
            </w:r>
            <w:r>
              <w:rPr>
                <w:rFonts w:hint="eastAsia" w:ascii="宋体" w:hAnsi="宋体" w:cs="宋体"/>
                <w:color w:val="auto"/>
                <w:sz w:val="24"/>
                <w:szCs w:val="24"/>
                <w:lang w:val="en-US" w:eastAsia="zh-CN"/>
              </w:rPr>
              <w:t>8:50-09：30</w:t>
            </w:r>
            <w:r>
              <w:rPr>
                <w:rFonts w:hint="eastAsia" w:ascii="宋体" w:hAnsi="宋体" w:eastAsia="宋体" w:cs="宋体"/>
                <w:color w:val="auto"/>
                <w:sz w:val="24"/>
                <w:szCs w:val="24"/>
              </w:rPr>
              <w:t>接收样品（投标人应提前留足时间，逾期的样品及小样恕不接受）。</w:t>
            </w:r>
          </w:p>
          <w:p>
            <w:pPr>
              <w:pStyle w:val="7"/>
              <w:keepNext w:val="0"/>
              <w:keepLines w:val="0"/>
              <w:pageBreakBefore w:val="0"/>
              <w:kinsoku/>
              <w:wordWrap/>
              <w:overflowPunct/>
              <w:topLinePunct w:val="0"/>
              <w:bidi w:val="0"/>
              <w:adjustRightInd/>
              <w:snapToGrid/>
              <w:spacing w:line="30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2.递交地点：</w:t>
            </w:r>
            <w:r>
              <w:rPr>
                <w:rFonts w:hint="eastAsia" w:ascii="宋体" w:hAnsi="宋体" w:eastAsia="宋体" w:cs="宋体"/>
                <w:color w:val="auto"/>
                <w:sz w:val="24"/>
                <w:szCs w:val="24"/>
                <w:lang w:eastAsia="zh-CN"/>
              </w:rPr>
              <w:t>台州市和合公园地下室</w:t>
            </w:r>
            <w:r>
              <w:rPr>
                <w:rFonts w:hint="eastAsia" w:ascii="宋体" w:hAnsi="宋体" w:eastAsia="宋体" w:cs="宋体"/>
                <w:color w:val="auto"/>
                <w:sz w:val="24"/>
                <w:szCs w:val="24"/>
                <w:lang w:val="en-US" w:eastAsia="zh-CN"/>
              </w:rPr>
              <w:t>4号展厅（</w:t>
            </w:r>
            <w:r>
              <w:rPr>
                <w:rFonts w:hint="eastAsia" w:ascii="宋体" w:hAnsi="宋体" w:eastAsia="宋体" w:cs="宋体"/>
                <w:color w:val="auto"/>
                <w:sz w:val="24"/>
                <w:szCs w:val="24"/>
              </w:rPr>
              <w:t>浙江省台州市椒江区中心大道与东海大道交汇处西北角</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w:t>
            </w:r>
          </w:p>
          <w:p>
            <w:pPr>
              <w:pStyle w:val="7"/>
              <w:keepNext w:val="0"/>
              <w:keepLines w:val="0"/>
              <w:pageBreakBefore w:val="0"/>
              <w:kinsoku/>
              <w:wordWrap/>
              <w:overflowPunct/>
              <w:topLinePunct w:val="0"/>
              <w:bidi w:val="0"/>
              <w:adjustRightInd/>
              <w:snapToGrid/>
              <w:spacing w:line="30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3.接收人：</w:t>
            </w:r>
            <w:r>
              <w:rPr>
                <w:rFonts w:hint="eastAsia" w:ascii="宋体" w:hAnsi="宋体" w:cs="宋体"/>
                <w:color w:val="auto"/>
                <w:sz w:val="24"/>
                <w:szCs w:val="24"/>
                <w:lang w:eastAsia="zh-CN"/>
              </w:rPr>
              <w:t>陈先生、叶女士。</w:t>
            </w:r>
          </w:p>
          <w:p>
            <w:pPr>
              <w:pStyle w:val="7"/>
              <w:keepNext w:val="0"/>
              <w:keepLines w:val="0"/>
              <w:pageBreakBefore w:val="0"/>
              <w:kinsoku/>
              <w:wordWrap/>
              <w:overflowPunct/>
              <w:topLinePunct w:val="0"/>
              <w:bidi w:val="0"/>
              <w:adjustRightInd/>
              <w:snapToGrid/>
              <w:spacing w:line="300" w:lineRule="auto"/>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rPr>
              <w:t>4.样品搭建要求：开标当天</w:t>
            </w:r>
            <w:r>
              <w:rPr>
                <w:rFonts w:hint="eastAsia" w:ascii="宋体" w:hAnsi="宋体" w:cs="宋体"/>
                <w:sz w:val="24"/>
                <w:szCs w:val="24"/>
                <w:u w:val="single"/>
                <w:lang w:val="en-US" w:eastAsia="zh-CN"/>
              </w:rPr>
              <w:t>12:00</w:t>
            </w:r>
            <w:r>
              <w:rPr>
                <w:rFonts w:hint="eastAsia" w:ascii="宋体" w:hAnsi="宋体" w:eastAsia="宋体" w:cs="宋体"/>
                <w:sz w:val="24"/>
                <w:szCs w:val="24"/>
              </w:rPr>
              <w:t>之前自行完成样品拆封、搭建。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2"/>
              <w:keepNext w:val="0"/>
              <w:keepLines w:val="0"/>
              <w:pageBreakBefore w:val="0"/>
              <w:kinsoku/>
              <w:wordWrap/>
              <w:overflowPunct/>
              <w:topLinePunct w:val="0"/>
              <w:bidi w:val="0"/>
              <w:adjustRightInd/>
              <w:snapToGrid/>
              <w:spacing w:line="30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1.本项目实行电子投标，投标人自行承担投标一切费用。</w:t>
            </w:r>
          </w:p>
          <w:p>
            <w:pPr>
              <w:pStyle w:val="12"/>
              <w:keepNext w:val="0"/>
              <w:keepLines w:val="0"/>
              <w:pageBreakBefore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信用中国（网址：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http://www.creditchina.gov.cn</w:t>
            </w:r>
            <w:r>
              <w:rPr>
                <w:rFonts w:hint="eastAsia" w:ascii="宋体" w:hAnsi="宋体" w:eastAsia="宋体" w:cs="宋体"/>
                <w:sz w:val="24"/>
                <w:szCs w:val="24"/>
              </w:rPr>
              <w:fldChar w:fldCharType="end"/>
            </w:r>
            <w:r>
              <w:rPr>
                <w:rFonts w:hint="eastAsia" w:ascii="宋体" w:hAnsi="宋体" w:cs="宋体"/>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中国政府采购网（网址：http://www.ccgp.gov.cn</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宋体" w:hAnsi="宋体" w:eastAsia="宋体" w:cs="宋体"/>
                <w:color w:val="111F2C"/>
                <w:sz w:val="24"/>
                <w:szCs w:val="24"/>
                <w:shd w:val="clear" w:color="auto" w:fill="FFFFFF"/>
              </w:rPr>
            </w:pPr>
            <w:r>
              <w:rPr>
                <w:rFonts w:hint="eastAsia" w:ascii="宋体" w:hAnsi="宋体" w:eastAsia="宋体" w:cs="宋体"/>
                <w:sz w:val="24"/>
                <w:szCs w:val="24"/>
              </w:rPr>
              <w:t>根据《政府采购促进中小企业发展管理办法》</w:t>
            </w:r>
            <w:r>
              <w:rPr>
                <w:rFonts w:hint="eastAsia" w:ascii="宋体" w:hAnsi="宋体" w:cs="宋体"/>
                <w:sz w:val="24"/>
                <w:szCs w:val="24"/>
                <w:lang w:eastAsia="zh-CN"/>
              </w:rPr>
              <w:t>（</w:t>
            </w:r>
            <w:r>
              <w:rPr>
                <w:rFonts w:hint="eastAsia" w:ascii="宋体" w:hAnsi="宋体" w:eastAsia="宋体" w:cs="宋体"/>
                <w:sz w:val="24"/>
                <w:szCs w:val="24"/>
              </w:rPr>
              <w:t>财库〔2020〕46号</w:t>
            </w:r>
            <w:r>
              <w:rPr>
                <w:rFonts w:hint="eastAsia" w:ascii="宋体" w:hAnsi="宋体" w:cs="宋体"/>
                <w:sz w:val="24"/>
                <w:szCs w:val="24"/>
                <w:lang w:eastAsia="zh-CN"/>
              </w:rPr>
              <w:t>）</w:t>
            </w:r>
            <w:r>
              <w:rPr>
                <w:rFonts w:hint="eastAsia" w:ascii="宋体" w:hAnsi="宋体" w:eastAsia="宋体" w:cs="宋体"/>
                <w:sz w:val="24"/>
                <w:szCs w:val="24"/>
              </w:rPr>
              <w:t>文件的规定，本项目(</w:t>
            </w:r>
            <w:r>
              <w:rPr>
                <w:rFonts w:hint="eastAsia" w:ascii="宋体" w:hAnsi="宋体" w:cs="宋体"/>
                <w:sz w:val="24"/>
                <w:szCs w:val="24"/>
                <w:lang w:eastAsia="zh-CN"/>
              </w:rPr>
              <w:t>□</w:t>
            </w:r>
            <w:r>
              <w:rPr>
                <w:rFonts w:hint="eastAsia" w:ascii="宋体" w:hAnsi="宋体" w:eastAsia="宋体" w:cs="宋体"/>
                <w:sz w:val="24"/>
                <w:szCs w:val="24"/>
              </w:rPr>
              <w:t>是 /</w:t>
            </w:r>
            <w:r>
              <w:rPr>
                <w:rFonts w:hint="eastAsia" w:ascii="宋体" w:hAnsi="宋体" w:cs="宋体"/>
                <w:sz w:val="24"/>
                <w:szCs w:val="24"/>
                <w:lang w:eastAsia="zh-CN"/>
              </w:rPr>
              <w:t>☑</w:t>
            </w:r>
            <w:r>
              <w:rPr>
                <w:rFonts w:hint="eastAsia" w:ascii="宋体" w:hAnsi="宋体" w:eastAsia="宋体" w:cs="宋体"/>
                <w:sz w:val="24"/>
                <w:szCs w:val="24"/>
              </w:rPr>
              <w:t xml:space="preserve"> 否</w:t>
            </w:r>
            <w:r>
              <w:rPr>
                <w:rFonts w:hint="eastAsia" w:ascii="宋体" w:hAnsi="宋体" w:eastAsia="宋体" w:cs="宋体"/>
                <w:sz w:val="24"/>
                <w:szCs w:val="24"/>
                <w:shd w:val="clear" w:color="auto" w:fill="FFFFFF"/>
              </w:rPr>
              <w:t>)</w:t>
            </w:r>
            <w:r>
              <w:rPr>
                <w:rFonts w:hint="eastAsia" w:ascii="宋体" w:hAnsi="宋体" w:eastAsia="宋体" w:cs="宋体"/>
                <w:sz w:val="24"/>
                <w:szCs w:val="24"/>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1.项目属性</w:t>
            </w:r>
            <w:r>
              <w:rPr>
                <w:rFonts w:hint="eastAsia" w:ascii="宋体" w:hAnsi="宋体" w:cs="宋体"/>
                <w:sz w:val="24"/>
                <w:szCs w:val="24"/>
                <w:u w:val="none"/>
                <w:lang w:eastAsia="zh-CN"/>
              </w:rPr>
              <w:t>：</w:t>
            </w:r>
            <w:r>
              <w:rPr>
                <w:rFonts w:hint="eastAsia" w:ascii="宋体" w:hAnsi="宋体" w:eastAsia="宋体" w:cs="宋体"/>
                <w:sz w:val="24"/>
                <w:szCs w:val="24"/>
                <w:u w:val="single"/>
              </w:rPr>
              <w:t>货物类</w:t>
            </w:r>
            <w:r>
              <w:rPr>
                <w:rFonts w:hint="eastAsia" w:ascii="宋体" w:hAnsi="宋体" w:cs="宋体"/>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2.中小企业划分标准所属行业（具体根据《中小企业划型标准规定》执行）</w:t>
            </w:r>
            <w:r>
              <w:rPr>
                <w:rFonts w:hint="eastAsia" w:ascii="宋体" w:hAnsi="宋体" w:cs="宋体"/>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采购标的：</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办公家具</w:t>
            </w:r>
            <w:r>
              <w:rPr>
                <w:rFonts w:hint="eastAsia" w:ascii="宋体" w:hAnsi="宋体" w:eastAsia="宋体" w:cs="宋体"/>
                <w:sz w:val="24"/>
                <w:szCs w:val="24"/>
              </w:rPr>
              <w:t>，所属行业：</w:t>
            </w:r>
            <w:r>
              <w:rPr>
                <w:rFonts w:hint="eastAsia" w:ascii="宋体" w:hAnsi="宋体" w:eastAsia="宋体" w:cs="宋体"/>
                <w:sz w:val="24"/>
                <w:szCs w:val="24"/>
                <w:u w:val="single"/>
                <w:lang w:eastAsia="zh-CN"/>
              </w:rPr>
              <w:t>家具制造</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3.属于享受政府采购支持政策的残疾人福利性单位，</w:t>
            </w:r>
            <w:r>
              <w:rPr>
                <w:rFonts w:hint="eastAsia" w:ascii="宋体" w:hAnsi="宋体" w:eastAsia="宋体" w:cs="宋体"/>
                <w:color w:val="000000" w:themeColor="text1"/>
                <w:sz w:val="24"/>
                <w:szCs w:val="24"/>
                <w14:textFill>
                  <w14:solidFill>
                    <w14:schemeClr w14:val="tx1"/>
                  </w14:solidFill>
                </w14:textFill>
              </w:rPr>
              <w:t>应符合财库</w:t>
            </w:r>
            <w:r>
              <w:rPr>
                <w:rFonts w:hint="eastAsia" w:ascii="宋体" w:hAnsi="宋体" w:eastAsia="宋体" w:cs="宋体"/>
                <w:sz w:val="24"/>
                <w:szCs w:val="24"/>
              </w:rPr>
              <w:t>〔20</w:t>
            </w:r>
            <w:r>
              <w:rPr>
                <w:rFonts w:hint="eastAsia" w:ascii="宋体" w:hAnsi="宋体" w:cs="宋体"/>
                <w:sz w:val="24"/>
                <w:szCs w:val="24"/>
                <w:lang w:val="en-US" w:eastAsia="zh-CN"/>
              </w:rPr>
              <w:t>17</w:t>
            </w: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141号文件规定</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sz w:val="24"/>
                <w:szCs w:val="24"/>
              </w:rPr>
              <w:t>视同小型、微型企业</w:t>
            </w:r>
            <w:r>
              <w:rPr>
                <w:rFonts w:hint="eastAsia" w:ascii="宋体" w:hAnsi="宋体" w:eastAsia="宋体" w:cs="宋体"/>
                <w:sz w:val="24"/>
                <w:szCs w:val="24"/>
                <w:lang w:eastAsia="zh-CN"/>
              </w:rPr>
              <w:t>，</w:t>
            </w:r>
            <w:r>
              <w:rPr>
                <w:rFonts w:hint="eastAsia" w:ascii="宋体" w:hAnsi="宋体" w:eastAsia="宋体" w:cs="宋体"/>
                <w:color w:val="000000" w:themeColor="text1"/>
                <w:sz w:val="24"/>
                <w:szCs w:val="24"/>
                <w14:textFill>
                  <w14:solidFill>
                    <w14:schemeClr w14:val="tx1"/>
                  </w14:solidFill>
                </w14:textFill>
              </w:rPr>
              <w:t>在</w:t>
            </w:r>
            <w:r>
              <w:rPr>
                <w:rFonts w:hint="eastAsia" w:ascii="宋体" w:hAnsi="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文件中提供《残疾人福利性单位声明函》（见附件）</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sz w:val="24"/>
                <w:szCs w:val="24"/>
              </w:rPr>
              <w:t>享受评审中价格扣除政策</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4.根据财库〔20</w:t>
            </w:r>
            <w:r>
              <w:rPr>
                <w:rFonts w:hint="eastAsia" w:ascii="宋体" w:hAnsi="宋体" w:cs="宋体"/>
                <w:sz w:val="24"/>
                <w:szCs w:val="24"/>
                <w:lang w:val="en-US" w:eastAsia="zh-CN"/>
              </w:rPr>
              <w:t>14</w:t>
            </w:r>
            <w:r>
              <w:rPr>
                <w:rFonts w:hint="eastAsia" w:ascii="宋体" w:hAnsi="宋体" w:eastAsia="宋体" w:cs="宋体"/>
                <w:sz w:val="24"/>
                <w:szCs w:val="24"/>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kern w:val="0"/>
                <w:sz w:val="24"/>
                <w:szCs w:val="24"/>
              </w:rPr>
            </w:pPr>
            <w:r>
              <w:rPr>
                <w:rFonts w:hint="eastAsia" w:ascii="宋体" w:hAnsi="宋体" w:eastAsia="宋体" w:cs="宋体"/>
                <w:sz w:val="24"/>
                <w:szCs w:val="24"/>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lang w:val="zh-CN"/>
              </w:rPr>
              <w:t>带“</w:t>
            </w:r>
            <w:r>
              <w:rPr>
                <w:rFonts w:hint="eastAsia" w:ascii="宋体" w:hAnsi="宋体" w:eastAsia="宋体" w:cs="宋体"/>
                <w:bCs/>
                <w:sz w:val="24"/>
                <w:szCs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本招标文件解释权属于采购人和采购组织机构。</w:t>
            </w:r>
          </w:p>
        </w:tc>
      </w:tr>
    </w:tbl>
    <w:p>
      <w:pPr>
        <w:pStyle w:val="12"/>
        <w:snapToGrid w:val="0"/>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二、说 明</w:t>
      </w:r>
    </w:p>
    <w:p>
      <w:pPr>
        <w:pStyle w:val="12"/>
        <w:snapToGrid w:val="0"/>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（一）总则</w:t>
      </w:r>
    </w:p>
    <w:p>
      <w:pPr>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szCs w:val="24"/>
        </w:rPr>
        <w:t>浙江省</w:t>
      </w:r>
      <w:r>
        <w:rPr>
          <w:rFonts w:asciiTheme="minorEastAsia" w:hAnsiTheme="minorEastAsia" w:eastAsiaTheme="minorEastAsia"/>
          <w:sz w:val="24"/>
          <w:szCs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投标</w:t>
      </w:r>
      <w:r>
        <w:rPr>
          <w:rFonts w:hint="eastAsia" w:asciiTheme="minorEastAsia" w:hAnsiTheme="minorEastAsia" w:eastAsiaTheme="minorEastAsia"/>
          <w:sz w:val="24"/>
          <w:szCs w:val="24"/>
        </w:rPr>
        <w:t>人</w:t>
      </w:r>
      <w:r>
        <w:rPr>
          <w:rFonts w:asciiTheme="minorEastAsia" w:hAnsiTheme="minorEastAsia" w:eastAsiaTheme="minorEastAsia"/>
          <w:sz w:val="24"/>
          <w:szCs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szCs w:val="24"/>
        </w:rPr>
        <w:t>人</w:t>
      </w:r>
      <w:r>
        <w:rPr>
          <w:rFonts w:asciiTheme="minorEastAsia" w:hAnsiTheme="minorEastAsia" w:eastAsiaTheme="minorEastAsia"/>
          <w:sz w:val="24"/>
          <w:szCs w:val="24"/>
        </w:rPr>
        <w:t>承担。</w:t>
      </w:r>
    </w:p>
    <w:p>
      <w:pPr>
        <w:snapToGrid w:val="0"/>
        <w:spacing w:line="360" w:lineRule="auto"/>
        <w:ind w:firstLine="482" w:firstLineChars="200"/>
        <w:outlineLvl w:val="1"/>
        <w:rPr>
          <w:rFonts w:asciiTheme="minorEastAsia" w:hAnsiTheme="minorEastAsia" w:eastAsiaTheme="minorEastAsia"/>
          <w:b/>
          <w:sz w:val="24"/>
          <w:szCs w:val="24"/>
        </w:rPr>
      </w:pP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适用范围</w:t>
      </w:r>
    </w:p>
    <w:p>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本招标文件适用于</w:t>
      </w:r>
      <w:r>
        <w:rPr>
          <w:rFonts w:hint="eastAsia" w:asciiTheme="minorEastAsia" w:hAnsiTheme="minorEastAsia" w:eastAsiaTheme="minorEastAsia"/>
          <w:bCs/>
          <w:sz w:val="24"/>
          <w:szCs w:val="24"/>
        </w:rPr>
        <w:t>本次</w:t>
      </w:r>
      <w:r>
        <w:rPr>
          <w:rFonts w:hint="eastAsia" w:asciiTheme="minorEastAsia" w:hAnsiTheme="minorEastAsia" w:eastAsiaTheme="minorEastAsia"/>
          <w:sz w:val="24"/>
          <w:szCs w:val="24"/>
        </w:rPr>
        <w:t>项目的招标、投标、评标、定标、验收、合同履约、付款等行为（法律、法规另有规定的，从其规定）。</w:t>
      </w:r>
    </w:p>
    <w:p>
      <w:pPr>
        <w:pStyle w:val="8"/>
        <w:spacing w:line="360" w:lineRule="auto"/>
        <w:ind w:firstLine="480" w:firstLineChars="200"/>
        <w:rPr>
          <w:sz w:val="24"/>
          <w:szCs w:val="24"/>
        </w:rPr>
      </w:pPr>
      <w:r>
        <w:rPr>
          <w:sz w:val="24"/>
          <w:szCs w:val="24"/>
        </w:rP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szCs w:val="24"/>
        </w:rPr>
      </w:pPr>
      <w:r>
        <w:rPr>
          <w:rFonts w:hint="eastAsia" w:asciiTheme="minorEastAsia" w:hAnsiTheme="minorEastAsia" w:eastAsiaTheme="minorEastAsia"/>
          <w:b/>
          <w:sz w:val="24"/>
          <w:szCs w:val="24"/>
        </w:rPr>
        <w:t>（三）当事人</w:t>
      </w:r>
    </w:p>
    <w:p>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2.采购人：是指依法进行政府采购的国家机关、事业单位和团体组织</w:t>
      </w:r>
      <w:r>
        <w:rPr>
          <w:rFonts w:hint="eastAsia" w:asciiTheme="minorEastAsia" w:hAnsiTheme="minorEastAsia" w:eastAsiaTheme="minorEastAsia"/>
          <w:sz w:val="24"/>
          <w:szCs w:val="24"/>
          <w:lang w:eastAsia="zh-CN"/>
        </w:rPr>
        <w:t>；</w:t>
      </w:r>
    </w:p>
    <w:p>
      <w:pPr>
        <w:snapToGrid w:val="0"/>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投标人</w:t>
      </w:r>
      <w:r>
        <w:rPr>
          <w:rFonts w:hint="eastAsia" w:asciiTheme="minorEastAsia" w:hAnsiTheme="minorEastAsia" w:eastAsiaTheme="minorEastAsia"/>
          <w:sz w:val="24"/>
          <w:szCs w:val="24"/>
        </w:rPr>
        <w:t>：是</w:t>
      </w:r>
      <w:r>
        <w:rPr>
          <w:rFonts w:asciiTheme="minorEastAsia" w:hAnsiTheme="minorEastAsia" w:eastAsiaTheme="minorEastAsia"/>
          <w:sz w:val="24"/>
          <w:szCs w:val="24"/>
        </w:rPr>
        <w:t>指</w:t>
      </w:r>
      <w:r>
        <w:rPr>
          <w:rFonts w:hint="eastAsia" w:asciiTheme="minorEastAsia" w:hAnsiTheme="minorEastAsia" w:eastAsiaTheme="minorEastAsia"/>
          <w:sz w:val="24"/>
          <w:szCs w:val="24"/>
        </w:rPr>
        <w:t>响应招标、参加投标竞争的法人、其他组织或者自然人</w:t>
      </w:r>
      <w:r>
        <w:rPr>
          <w:rFonts w:hint="eastAsia" w:asciiTheme="minorEastAsia" w:hAnsiTheme="minorEastAsia" w:eastAsiaTheme="minorEastAsia"/>
          <w:sz w:val="24"/>
          <w:szCs w:val="24"/>
          <w:lang w:eastAsia="zh-CN"/>
        </w:rPr>
        <w:t>；</w:t>
      </w:r>
    </w:p>
    <w:p>
      <w:pPr>
        <w:snapToGrid w:val="0"/>
        <w:spacing w:line="360" w:lineRule="auto"/>
        <w:ind w:firstLine="480" w:firstLineChars="200"/>
        <w:rPr>
          <w:rFonts w:hint="eastAsia" w:ascii="宋体" w:hAnsi="宋体" w:eastAsia="宋体"/>
          <w:sz w:val="24"/>
          <w:szCs w:val="24"/>
          <w:lang w:val="zh-CN" w:eastAsia="zh-CN"/>
        </w:rPr>
      </w:pPr>
      <w:r>
        <w:rPr>
          <w:rFonts w:hint="eastAsia" w:ascii="宋体" w:hAnsi="宋体"/>
          <w:sz w:val="24"/>
          <w:szCs w:val="24"/>
        </w:rPr>
        <w:t>4.</w:t>
      </w:r>
      <w:r>
        <w:rPr>
          <w:rFonts w:hint="eastAsia" w:ascii="宋体" w:hAnsi="宋体"/>
          <w:sz w:val="24"/>
          <w:szCs w:val="24"/>
          <w:lang w:val="zh-CN"/>
        </w:rPr>
        <w:t>中标</w:t>
      </w:r>
      <w:r>
        <w:rPr>
          <w:rFonts w:hint="eastAsia" w:ascii="宋体" w:hAnsi="宋体"/>
          <w:sz w:val="24"/>
          <w:szCs w:val="24"/>
        </w:rPr>
        <w:t>人</w:t>
      </w:r>
      <w:r>
        <w:rPr>
          <w:rFonts w:hint="eastAsia" w:ascii="宋体" w:hAnsi="宋体"/>
          <w:sz w:val="24"/>
          <w:szCs w:val="24"/>
          <w:lang w:val="zh-CN"/>
        </w:rPr>
        <w:t>：是指经评</w:t>
      </w:r>
      <w:r>
        <w:rPr>
          <w:rFonts w:hint="eastAsia" w:ascii="宋体" w:hAnsi="宋体"/>
          <w:sz w:val="24"/>
          <w:szCs w:val="24"/>
        </w:rPr>
        <w:t>标</w:t>
      </w:r>
      <w:r>
        <w:rPr>
          <w:rFonts w:hint="eastAsia" w:ascii="宋体" w:hAnsi="宋体"/>
          <w:sz w:val="24"/>
          <w:szCs w:val="24"/>
          <w:lang w:val="zh-CN"/>
        </w:rPr>
        <w:t>委员会评审确定的对招标文件</w:t>
      </w:r>
      <w:r>
        <w:rPr>
          <w:rFonts w:hint="eastAsia" w:ascii="宋体" w:hAnsi="宋体"/>
          <w:sz w:val="24"/>
          <w:szCs w:val="24"/>
        </w:rPr>
        <w:t>作</w:t>
      </w:r>
      <w:r>
        <w:rPr>
          <w:rFonts w:hint="eastAsia" w:ascii="宋体" w:hAnsi="宋体"/>
          <w:sz w:val="24"/>
          <w:szCs w:val="24"/>
          <w:lang w:val="zh-CN"/>
        </w:rPr>
        <w:t>出实质性响应，经采购人按照规定在评</w:t>
      </w:r>
      <w:r>
        <w:rPr>
          <w:rFonts w:hint="eastAsia" w:ascii="宋体" w:hAnsi="宋体"/>
          <w:sz w:val="24"/>
          <w:szCs w:val="24"/>
        </w:rPr>
        <w:t>标</w:t>
      </w:r>
      <w:r>
        <w:rPr>
          <w:rFonts w:hint="eastAsia" w:ascii="宋体" w:hAnsi="宋体"/>
          <w:sz w:val="24"/>
          <w:szCs w:val="24"/>
          <w:lang w:val="zh-CN"/>
        </w:rPr>
        <w:t>委员会推荐的中标候选人中确定的或受采购人委托直接确认的，与采购人签订合同资格的投标</w:t>
      </w:r>
      <w:r>
        <w:rPr>
          <w:rFonts w:hint="eastAsia" w:ascii="宋体" w:hAnsi="宋体"/>
          <w:sz w:val="24"/>
          <w:szCs w:val="24"/>
        </w:rPr>
        <w:t>人</w:t>
      </w:r>
      <w:r>
        <w:rPr>
          <w:rFonts w:hint="eastAsia" w:ascii="宋体" w:hAnsi="宋体"/>
          <w:sz w:val="24"/>
          <w:szCs w:val="24"/>
          <w:lang w:eastAsia="zh-CN"/>
        </w:rPr>
        <w:t>；</w:t>
      </w:r>
    </w:p>
    <w:p>
      <w:pPr>
        <w:pStyle w:val="20"/>
        <w:spacing w:after="0" w:line="360" w:lineRule="auto"/>
        <w:ind w:left="0" w:leftChars="0" w:firstLine="480" w:firstLineChars="200"/>
        <w:rPr>
          <w:rFonts w:hint="eastAsia" w:eastAsia="宋体"/>
          <w:sz w:val="24"/>
          <w:szCs w:val="24"/>
          <w:lang w:eastAsia="zh-CN"/>
        </w:rPr>
      </w:pPr>
      <w:r>
        <w:rPr>
          <w:rFonts w:hint="eastAsia" w:ascii="宋体" w:hAnsi="宋体"/>
          <w:sz w:val="24"/>
          <w:szCs w:val="24"/>
        </w:rPr>
        <w:t>5.联合体：</w:t>
      </w:r>
      <w:r>
        <w:rPr>
          <w:rFonts w:hint="eastAsia"/>
          <w:sz w:val="24"/>
          <w:szCs w:val="24"/>
        </w:rPr>
        <w:t>两个或两个以上法人或者其他组织可以组成一个联合体，以一个投标人的身份共同投标</w:t>
      </w:r>
      <w:r>
        <w:rPr>
          <w:rFonts w:hint="eastAsia"/>
          <w:sz w:val="24"/>
          <w:szCs w:val="24"/>
          <w:lang w:eastAsia="zh-CN"/>
        </w:rPr>
        <w:t>。</w:t>
      </w:r>
    </w:p>
    <w:p>
      <w:pPr>
        <w:snapToGrid w:val="0"/>
        <w:spacing w:line="360" w:lineRule="auto"/>
        <w:ind w:firstLine="482" w:firstLineChars="200"/>
        <w:rPr>
          <w:b/>
          <w:bCs/>
          <w:sz w:val="24"/>
          <w:szCs w:val="24"/>
        </w:rPr>
      </w:pPr>
      <w:r>
        <w:rPr>
          <w:rFonts w:hint="eastAsia"/>
          <w:b/>
          <w:bCs/>
          <w:sz w:val="24"/>
          <w:szCs w:val="24"/>
        </w:rPr>
        <w:t>（四）</w:t>
      </w:r>
      <w:r>
        <w:rPr>
          <w:b/>
          <w:bCs/>
          <w:sz w:val="24"/>
          <w:szCs w:val="24"/>
        </w:rPr>
        <w:t>以联合体形式投标的，应符合以下规定</w:t>
      </w:r>
    </w:p>
    <w:p>
      <w:pPr>
        <w:snapToGrid w:val="0"/>
        <w:spacing w:line="360" w:lineRule="auto"/>
        <w:ind w:firstLine="480" w:firstLineChars="200"/>
        <w:rPr>
          <w:sz w:val="24"/>
          <w:szCs w:val="24"/>
        </w:rPr>
      </w:pPr>
      <w:r>
        <w:rPr>
          <w:rFonts w:hint="eastAsia" w:asciiTheme="minorEastAsia" w:hAnsiTheme="minorEastAsia" w:eastAsiaTheme="minorEastAsia"/>
          <w:sz w:val="24"/>
          <w:szCs w:val="24"/>
        </w:rPr>
        <w:t>1.联</w:t>
      </w:r>
      <w:r>
        <w:rPr>
          <w:sz w:val="24"/>
          <w:szCs w:val="24"/>
        </w:rPr>
        <w:t>合体各方应签订联合体协议书，明确联合体牵头人和各方权利义务，并作为投标文件组成部分</w:t>
      </w:r>
      <w:r>
        <w:rPr>
          <w:rFonts w:hint="eastAsia"/>
          <w:sz w:val="24"/>
          <w:szCs w:val="24"/>
        </w:rPr>
        <w:t>；</w:t>
      </w:r>
    </w:p>
    <w:p>
      <w:pPr>
        <w:snapToGrid w:val="0"/>
        <w:spacing w:line="360" w:lineRule="auto"/>
        <w:ind w:firstLine="480" w:firstLineChars="200"/>
        <w:rPr>
          <w:sz w:val="24"/>
          <w:szCs w:val="24"/>
        </w:rPr>
      </w:pPr>
      <w:r>
        <w:rPr>
          <w:rFonts w:hint="eastAsia" w:asciiTheme="minorEastAsia" w:hAnsiTheme="minorEastAsia" w:eastAsiaTheme="minorEastAsia"/>
          <w:sz w:val="24"/>
          <w:szCs w:val="24"/>
        </w:rPr>
        <w:t>2.联</w:t>
      </w:r>
      <w:r>
        <w:rPr>
          <w:sz w:val="24"/>
          <w:szCs w:val="24"/>
        </w:rPr>
        <w:t>合体各方均应当具备</w:t>
      </w:r>
      <w:r>
        <w:rPr>
          <w:rFonts w:hint="eastAsia" w:ascii="宋体" w:hAnsi="宋体"/>
          <w:sz w:val="24"/>
          <w:szCs w:val="24"/>
          <w:lang w:val="zh-CN"/>
        </w:rPr>
        <w:t>《中华人民共和国政府采购法》</w:t>
      </w:r>
      <w:r>
        <w:rPr>
          <w:sz w:val="24"/>
          <w:szCs w:val="24"/>
        </w:rPr>
        <w:t>第二十二条规定的条件，并在投标文件中提供联合体各方的相关证明材料</w:t>
      </w:r>
      <w:r>
        <w:rPr>
          <w:rFonts w:hint="eastAsia"/>
          <w:sz w:val="24"/>
          <w:szCs w:val="24"/>
        </w:rPr>
        <w:t>；</w:t>
      </w:r>
    </w:p>
    <w:p>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3.联合体成员存在不良信用记录的，视同联合体存在不良信用记录；</w:t>
      </w:r>
    </w:p>
    <w:p>
      <w:pPr>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sz w:val="24"/>
          <w:szCs w:val="24"/>
        </w:rPr>
        <w:t>4.联合体各方中至少应当有一方符合采购人规定的资格要求。由同一资质条件的投</w:t>
      </w:r>
      <w:r>
        <w:rPr>
          <w:rFonts w:hint="eastAsia" w:ascii="宋体" w:hAnsi="宋体" w:cs="宋体"/>
          <w:sz w:val="24"/>
          <w:szCs w:val="24"/>
        </w:rPr>
        <w:t>标人组成的联合体，应当按照资质等级较低的投标人确定联合体资质等级；</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（五）语言文字以及度量衡单位</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1.投标文件以及投标人与</w:t>
      </w:r>
      <w:r>
        <w:rPr>
          <w:rFonts w:hint="eastAsia" w:ascii="宋体" w:hAnsi="宋体" w:cs="宋体"/>
          <w:kern w:val="0"/>
          <w:sz w:val="24"/>
          <w:szCs w:val="24"/>
        </w:rPr>
        <w:t>集</w:t>
      </w:r>
      <w:r>
        <w:rPr>
          <w:rFonts w:hint="eastAsia" w:hAnsi="宋体" w:cs="宋体"/>
          <w:kern w:val="0"/>
          <w:sz w:val="24"/>
          <w:szCs w:val="24"/>
        </w:rPr>
        <w:t>中</w:t>
      </w:r>
      <w:r>
        <w:rPr>
          <w:rFonts w:hint="eastAsia" w:ascii="宋体" w:hAnsi="宋体" w:cs="宋体"/>
          <w:kern w:val="0"/>
          <w:sz w:val="24"/>
          <w:szCs w:val="24"/>
        </w:rPr>
        <w:t>采购机构/采购代理机构名称</w:t>
      </w:r>
      <w:r>
        <w:rPr>
          <w:rFonts w:hint="eastAsia" w:ascii="宋体" w:hAnsi="宋体" w:cs="宋体"/>
          <w:sz w:val="24"/>
          <w:szCs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2.所有计量均采用中国法定的计量单位。</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3.所有报价一律使用人民币，货币单位：元。</w:t>
      </w:r>
    </w:p>
    <w:p>
      <w:pPr>
        <w:pStyle w:val="28"/>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2.投标人自行承担踏勘现场发生的责任、风险和自身费用。</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3.采购人在踏勘现场中介绍的资料和数据等，不构成对招标文件的修改或不作为投标人编制投标文件的依据。</w:t>
      </w:r>
    </w:p>
    <w:p>
      <w:pPr>
        <w:pStyle w:val="12"/>
        <w:snapToGrid w:val="0"/>
        <w:spacing w:line="360" w:lineRule="auto"/>
        <w:ind w:firstLine="482" w:firstLineChars="200"/>
        <w:rPr>
          <w:rFonts w:hAnsi="宋体" w:cs="宋体"/>
          <w:b/>
          <w:sz w:val="24"/>
          <w:szCs w:val="24"/>
        </w:rPr>
      </w:pPr>
      <w:r>
        <w:rPr>
          <w:rFonts w:hint="eastAsia" w:hAnsi="宋体" w:cs="宋体"/>
          <w:b/>
          <w:sz w:val="24"/>
          <w:szCs w:val="24"/>
        </w:rPr>
        <w:t>（七）特别说明</w:t>
      </w:r>
    </w:p>
    <w:p>
      <w:pPr>
        <w:pStyle w:val="12"/>
        <w:snapToGrid w:val="0"/>
        <w:spacing w:line="360" w:lineRule="auto"/>
        <w:ind w:firstLine="480" w:firstLineChars="200"/>
        <w:rPr>
          <w:rFonts w:hAnsi="宋体" w:cs="宋体"/>
          <w:sz w:val="24"/>
          <w:szCs w:val="24"/>
        </w:rPr>
      </w:pPr>
      <w:r>
        <w:rPr>
          <w:rFonts w:hint="eastAsia" w:hAnsi="宋体" w:cs="宋体"/>
          <w:sz w:val="24"/>
          <w:szCs w:val="24"/>
        </w:rPr>
        <w:t>1.投标人投标所使用的资格、信誉、荣誉、业绩与企业认证必须为本法人所拥有且所提供的资料都是真实有效的。投标人投标所使用的采购项目实施人员必须为本法人员工。</w:t>
      </w:r>
    </w:p>
    <w:p>
      <w:pPr>
        <w:pStyle w:val="28"/>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28"/>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三、招标文件</w:t>
      </w:r>
    </w:p>
    <w:p>
      <w:pPr>
        <w:pStyle w:val="28"/>
        <w:snapToGrid w:val="0"/>
        <w:spacing w:line="360" w:lineRule="auto"/>
        <w:ind w:firstLine="48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（一）招标文件由招标文件目录所列内容组成。</w:t>
      </w:r>
    </w:p>
    <w:p>
      <w:pPr>
        <w:pStyle w:val="28"/>
        <w:snapToGrid w:val="0"/>
        <w:spacing w:line="360" w:lineRule="auto"/>
        <w:ind w:firstLine="48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（二）投标人在规定的时间内未对招标文件提出疑问、质疑或要求澄清的，将视其为无异议。</w:t>
      </w:r>
    </w:p>
    <w:p>
      <w:pPr>
        <w:pStyle w:val="28"/>
        <w:snapToGrid w:val="0"/>
        <w:spacing w:line="360" w:lineRule="auto"/>
        <w:ind w:firstLine="48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（三）对招标文件中描述有歧义或前后不一致的地方，评标委员会有权进行评判，但对同一条款的评判应适用于每个投标人。</w:t>
      </w:r>
    </w:p>
    <w:p>
      <w:pPr>
        <w:pStyle w:val="28"/>
        <w:snapToGrid w:val="0"/>
        <w:spacing w:line="360" w:lineRule="auto"/>
        <w:ind w:firstLine="48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四、投标文件</w:t>
      </w:r>
    </w:p>
    <w:p>
      <w:pPr>
        <w:pStyle w:val="6"/>
        <w:spacing w:line="360" w:lineRule="auto"/>
        <w:ind w:firstLine="482" w:firstLineChars="200"/>
        <w:rPr>
          <w:rFonts w:asciiTheme="minorEastAsia" w:hAnsiTheme="minorEastAsia"/>
          <w:b/>
          <w:kern w:val="0"/>
          <w:sz w:val="24"/>
          <w:szCs w:val="24"/>
        </w:rPr>
      </w:pPr>
      <w:r>
        <w:rPr>
          <w:rFonts w:hint="eastAsia" w:asciiTheme="minorEastAsia" w:hAnsiTheme="minorEastAsia" w:eastAsiaTheme="minorEastAsia"/>
          <w:b/>
          <w:kern w:val="0"/>
          <w:sz w:val="24"/>
          <w:szCs w:val="24"/>
        </w:rPr>
        <w:t>（一）投标文件的编制</w:t>
      </w:r>
    </w:p>
    <w:p>
      <w:pPr>
        <w:pStyle w:val="6"/>
        <w:spacing w:line="360" w:lineRule="auto"/>
        <w:ind w:firstLine="480" w:firstLineChars="200"/>
        <w:rPr>
          <w:rFonts w:asciiTheme="minorEastAsia" w:hAnsiTheme="minorEastAsia" w:eastAsiaTheme="minorEastAsia"/>
          <w:bCs/>
          <w:kern w:val="0"/>
          <w:sz w:val="24"/>
          <w:szCs w:val="24"/>
        </w:rPr>
      </w:pPr>
      <w:r>
        <w:rPr>
          <w:rFonts w:hint="eastAsia" w:asciiTheme="minorEastAsia" w:hAnsiTheme="minorEastAsia" w:eastAsiaTheme="minorEastAsia"/>
          <w:kern w:val="0"/>
          <w:sz w:val="24"/>
          <w:szCs w:val="24"/>
        </w:rPr>
        <w:t>投标人获取招标文件后，按照采购组织机构的要求提供：资格证明文件、商务与技术文件和报价</w:t>
      </w:r>
      <w:r>
        <w:rPr>
          <w:rFonts w:hint="eastAsia" w:asciiTheme="minorEastAsia" w:hAnsiTheme="minorEastAsia" w:eastAsiaTheme="minorEastAsia"/>
          <w:kern w:val="0"/>
          <w:sz w:val="24"/>
          <w:szCs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hint="eastAsia" w:ascii="宋体" w:hAnsi="宋体"/>
          <w:b/>
          <w:sz w:val="24"/>
          <w:szCs w:val="24"/>
        </w:rPr>
      </w:pPr>
      <w:r>
        <w:rPr>
          <w:rFonts w:hint="eastAsia" w:ascii="宋体" w:hAnsi="宋体" w:cs="宋体"/>
          <w:b/>
          <w:sz w:val="24"/>
          <w:szCs w:val="24"/>
        </w:rPr>
        <w:t>▲</w:t>
      </w:r>
      <w:r>
        <w:rPr>
          <w:rFonts w:hint="eastAsia" w:asciiTheme="minorEastAsia" w:hAnsiTheme="minorEastAsia" w:eastAsiaTheme="minorEastAsia"/>
          <w:b/>
          <w:sz w:val="24"/>
          <w:szCs w:val="24"/>
        </w:rPr>
        <w:t>1.资格证明</w:t>
      </w:r>
      <w:r>
        <w:rPr>
          <w:rFonts w:asciiTheme="minorEastAsia" w:hAnsiTheme="minorEastAsia" w:eastAsiaTheme="minorEastAsia"/>
          <w:b/>
          <w:sz w:val="24"/>
          <w:szCs w:val="24"/>
        </w:rPr>
        <w:t>文件</w:t>
      </w:r>
      <w:r>
        <w:rPr>
          <w:rFonts w:hint="eastAsia" w:ascii="宋体" w:hAnsi="宋体"/>
          <w:b/>
          <w:sz w:val="24"/>
          <w:szCs w:val="24"/>
        </w:rPr>
        <w:t>的组成</w:t>
      </w:r>
    </w:p>
    <w:p>
      <w:pPr>
        <w:snapToGrid w:val="0"/>
        <w:spacing w:line="360" w:lineRule="auto"/>
        <w:ind w:firstLine="480" w:firstLineChars="200"/>
        <w:rPr>
          <w:rFonts w:hint="eastAsia" w:ascii="宋体" w:hAnsi="宋体" w:cs="宋体"/>
          <w:sz w:val="24"/>
          <w:szCs w:val="24"/>
        </w:rPr>
      </w:pPr>
      <w:r>
        <w:rPr>
          <w:rFonts w:hint="eastAsia" w:ascii="宋体" w:hAnsi="宋体"/>
          <w:b w:val="0"/>
          <w:bCs/>
          <w:sz w:val="24"/>
          <w:szCs w:val="24"/>
          <w:lang w:eastAsia="zh-CN"/>
        </w:rPr>
        <w:t>（</w:t>
      </w:r>
      <w:r>
        <w:rPr>
          <w:rFonts w:hint="eastAsia" w:ascii="宋体" w:hAnsi="宋体"/>
          <w:b w:val="0"/>
          <w:bCs/>
          <w:sz w:val="24"/>
          <w:szCs w:val="24"/>
          <w:lang w:val="en-US" w:eastAsia="zh-CN"/>
        </w:rPr>
        <w:t>1</w:t>
      </w:r>
      <w:r>
        <w:rPr>
          <w:rFonts w:hint="eastAsia" w:ascii="宋体" w:hAnsi="宋体"/>
          <w:b w:val="0"/>
          <w:bCs/>
          <w:sz w:val="24"/>
          <w:szCs w:val="24"/>
          <w:lang w:eastAsia="zh-CN"/>
        </w:rPr>
        <w:t>）</w:t>
      </w:r>
      <w:r>
        <w:rPr>
          <w:rFonts w:hint="eastAsia" w:ascii="宋体" w:hAnsi="宋体" w:cs="宋体"/>
          <w:sz w:val="24"/>
          <w:szCs w:val="24"/>
        </w:rPr>
        <w:t>投标声明书；</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授权委托书（法定代表人亲自办理投标事宜的，则无需提交</w:t>
      </w:r>
      <w:r>
        <w:rPr>
          <w:rFonts w:hint="eastAsia" w:ascii="宋体" w:hAnsi="宋体" w:cs="宋体"/>
          <w:sz w:val="24"/>
          <w:szCs w:val="24"/>
          <w:lang w:eastAsia="zh-CN"/>
        </w:rPr>
        <w:t>）</w:t>
      </w:r>
      <w:r>
        <w:rPr>
          <w:rFonts w:hint="eastAsia" w:ascii="宋体" w:hAnsi="宋体" w:cs="宋体"/>
          <w:sz w:val="24"/>
          <w:szCs w:val="24"/>
        </w:rPr>
        <w:t>；</w:t>
      </w:r>
    </w:p>
    <w:p>
      <w:pPr>
        <w:snapToGri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联合体授权委托书及联合体声明、协议（若项目接受联合体投标时需提供）；</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）法人或者其他组织的营业执照等证明文件，自然人的</w:t>
      </w:r>
      <w:r>
        <w:rPr>
          <w:rFonts w:hint="eastAsia" w:ascii="宋体" w:hAnsi="宋体" w:cs="宋体"/>
          <w:sz w:val="24"/>
          <w:szCs w:val="24"/>
        </w:rPr>
        <w:t>身份证明；</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符合参与政府采购活动的资格条件并且没有税收缴纳、社会保障等方面的失信记录的承诺函；</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rPr>
        <w:t>具备履行合同所必需的设备和专业技术能力的证明材料</w:t>
      </w:r>
      <w:r>
        <w:rPr>
          <w:rFonts w:hint="eastAsia" w:ascii="宋体" w:hAnsi="宋体" w:cs="宋体"/>
          <w:sz w:val="24"/>
          <w:szCs w:val="24"/>
          <w:lang w:eastAsia="zh-CN"/>
        </w:rPr>
        <w:t>（</w:t>
      </w:r>
      <w:r>
        <w:rPr>
          <w:rFonts w:hint="eastAsia" w:ascii="宋体" w:hAnsi="宋体" w:cs="宋体"/>
          <w:sz w:val="24"/>
          <w:szCs w:val="24"/>
        </w:rPr>
        <w:t>根据项目性质提供</w:t>
      </w:r>
      <w:r>
        <w:rPr>
          <w:rFonts w:hint="eastAsia" w:ascii="宋体" w:hAnsi="宋体" w:cs="宋体"/>
          <w:sz w:val="24"/>
          <w:szCs w:val="24"/>
          <w:lang w:eastAsia="zh-CN"/>
        </w:rPr>
        <w:t>）</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cs="宋体"/>
          <w:sz w:val="24"/>
          <w:szCs w:val="24"/>
        </w:rPr>
        <w:t>提供采购公告中符合投标人特定条件的有效资质证书扫描件，以及需要说明的其他资料。</w:t>
      </w:r>
    </w:p>
    <w:p>
      <w:pPr>
        <w:snapToGrid w:val="0"/>
        <w:spacing w:line="360" w:lineRule="auto"/>
        <w:ind w:firstLine="482" w:firstLineChars="200"/>
        <w:rPr>
          <w:rFonts w:ascii="宋体" w:hAnsi="宋体" w:cs="宋体"/>
          <w:sz w:val="24"/>
          <w:szCs w:val="24"/>
          <w:u w:val="single"/>
        </w:rPr>
      </w:pPr>
      <w:r>
        <w:rPr>
          <w:rFonts w:hint="eastAsia" w:asciiTheme="minorEastAsia" w:hAnsiTheme="minorEastAsia" w:eastAsiaTheme="minorEastAsia"/>
          <w:b/>
          <w:sz w:val="24"/>
          <w:szCs w:val="24"/>
        </w:rPr>
        <w:t>2.</w:t>
      </w:r>
      <w:r>
        <w:rPr>
          <w:rFonts w:hint="eastAsia" w:ascii="宋体" w:hAnsi="宋体"/>
          <w:b/>
          <w:sz w:val="24"/>
          <w:szCs w:val="24"/>
        </w:rPr>
        <w:t>商务与技术文件的组成</w:t>
      </w:r>
    </w:p>
    <w:p>
      <w:pPr>
        <w:pStyle w:val="6"/>
        <w:widowControl/>
        <w:adjustRightInd w:val="0"/>
        <w:snapToGrid w:val="0"/>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（1）技术方案描述部分</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w:t>
      </w:r>
      <w:r>
        <w:rPr>
          <w:rFonts w:hint="eastAsia" w:ascii="宋体" w:hAnsi="宋体" w:cs="宋体"/>
          <w:sz w:val="24"/>
          <w:szCs w:val="24"/>
          <w:lang w:eastAsia="zh-CN"/>
        </w:rPr>
        <w:t>（</w:t>
      </w:r>
      <w:r>
        <w:rPr>
          <w:rFonts w:hint="eastAsia" w:ascii="宋体" w:hAnsi="宋体" w:cs="宋体"/>
          <w:sz w:val="24"/>
          <w:szCs w:val="24"/>
        </w:rPr>
        <w:t>投标人对项目现状及需求的理解</w:t>
      </w:r>
      <w:r>
        <w:rPr>
          <w:rFonts w:hint="eastAsia" w:ascii="宋体" w:hAnsi="宋体" w:cs="宋体"/>
          <w:sz w:val="24"/>
          <w:szCs w:val="24"/>
          <w:lang w:eastAsia="zh-CN"/>
        </w:rPr>
        <w:t>状况</w:t>
      </w:r>
      <w:r>
        <w:rPr>
          <w:rFonts w:hint="eastAsia" w:ascii="宋体" w:hAnsi="宋体" w:cs="宋体"/>
          <w:sz w:val="24"/>
          <w:szCs w:val="24"/>
        </w:rPr>
        <w:t>，对项目现状和需求描述的全面性、准确性、针对性，项目功能设计完备、对系统各组成部分等功能进行准确的分析，对项目重点、难点的把握，解决方案及合理化建议</w:t>
      </w:r>
      <w:r>
        <w:rPr>
          <w:rFonts w:hint="eastAsia" w:ascii="宋体" w:hAnsi="宋体" w:cs="宋体"/>
          <w:sz w:val="24"/>
          <w:szCs w:val="24"/>
          <w:lang w:eastAsia="zh-CN"/>
        </w:rPr>
        <w:t>）</w:t>
      </w:r>
      <w:r>
        <w:rPr>
          <w:rFonts w:hint="eastAsia" w:ascii="宋体" w:hAnsi="宋体" w:cs="宋体"/>
          <w:sz w:val="24"/>
          <w:szCs w:val="24"/>
        </w:rPr>
        <w:t>；</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③项目组织实施方案（包括项目工期、确保项目供货的措施或方案、项目实施进度安排、项目实施人员及项目负责人的资质、类似经验及社保证明等）；</w:t>
      </w:r>
    </w:p>
    <w:p>
      <w:pPr>
        <w:pStyle w:val="6"/>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6"/>
        <w:widowControl/>
        <w:adjustRightInd w:val="0"/>
        <w:snapToGrid w:val="0"/>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（2）投标产品描述部分</w:t>
      </w:r>
    </w:p>
    <w:p>
      <w:pPr>
        <w:pStyle w:val="6"/>
        <w:widowControl/>
        <w:adjustRightInd w:val="0"/>
        <w:snapToGrid w:val="0"/>
        <w:spacing w:line="360" w:lineRule="auto"/>
        <w:ind w:firstLine="480" w:firstLineChars="200"/>
        <w:rPr>
          <w:rFonts w:ascii="宋体" w:hAnsi="宋体" w:cs="宋体"/>
          <w:sz w:val="24"/>
          <w:szCs w:val="24"/>
        </w:rPr>
      </w:pPr>
      <w:r>
        <w:rPr>
          <w:rFonts w:hint="eastAsia"/>
          <w:sz w:val="24"/>
          <w:szCs w:val="24"/>
        </w:rPr>
        <w:t>①投标产品描述及相关资料；</w:t>
      </w:r>
    </w:p>
    <w:p>
      <w:pPr>
        <w:pStyle w:val="6"/>
        <w:widowControl/>
        <w:adjustRightInd w:val="0"/>
        <w:snapToGrid w:val="0"/>
        <w:spacing w:line="360" w:lineRule="auto"/>
        <w:ind w:firstLine="480" w:firstLineChars="200"/>
        <w:rPr>
          <w:sz w:val="24"/>
          <w:szCs w:val="24"/>
        </w:rPr>
      </w:pPr>
      <w:r>
        <w:rPr>
          <w:rFonts w:hint="eastAsia"/>
          <w:sz w:val="24"/>
          <w:szCs w:val="24"/>
        </w:rPr>
        <w:t>②技术需求响应表；</w:t>
      </w:r>
    </w:p>
    <w:p>
      <w:pPr>
        <w:pStyle w:val="6"/>
        <w:widowControl/>
        <w:adjustRightInd w:val="0"/>
        <w:snapToGrid w:val="0"/>
        <w:spacing w:line="360" w:lineRule="auto"/>
        <w:ind w:firstLine="480" w:firstLineChars="200"/>
        <w:rPr>
          <w:rFonts w:ascii="宋体" w:hAnsi="宋体" w:cs="宋体"/>
          <w:sz w:val="24"/>
          <w:szCs w:val="24"/>
        </w:rPr>
      </w:pPr>
      <w:r>
        <w:rPr>
          <w:rFonts w:hint="eastAsia"/>
          <w:sz w:val="24"/>
          <w:szCs w:val="24"/>
        </w:rPr>
        <w:t>③投标人</w:t>
      </w:r>
      <w:r>
        <w:rPr>
          <w:sz w:val="24"/>
          <w:szCs w:val="24"/>
        </w:rPr>
        <w:t>需要说明的其他</w:t>
      </w:r>
      <w:r>
        <w:rPr>
          <w:rFonts w:hint="eastAsia"/>
          <w:sz w:val="24"/>
          <w:szCs w:val="24"/>
        </w:rPr>
        <w:t>内容（包括可能影响投标人技术性能评分项的各类证明材料）。</w:t>
      </w:r>
    </w:p>
    <w:p>
      <w:pPr>
        <w:autoSpaceDE w:val="0"/>
        <w:autoSpaceDN w:val="0"/>
        <w:adjustRightInd w:val="0"/>
        <w:spacing w:line="360" w:lineRule="auto"/>
        <w:ind w:firstLine="482" w:firstLineChars="200"/>
        <w:rPr>
          <w:rFonts w:hint="eastAsia" w:asciiTheme="minorEastAsia" w:hAnsiTheme="minorEastAsia" w:eastAsiaTheme="minorEastAsia"/>
          <w:b/>
          <w:bCs/>
          <w:kern w:val="0"/>
          <w:sz w:val="24"/>
          <w:szCs w:val="24"/>
          <w:lang w:eastAsia="zh-CN"/>
        </w:rPr>
      </w:pPr>
      <w:r>
        <w:rPr>
          <w:rFonts w:hint="eastAsia" w:asciiTheme="minorEastAsia" w:hAnsiTheme="minorEastAsia" w:eastAsiaTheme="minorEastAsia"/>
          <w:b/>
          <w:bCs/>
          <w:kern w:val="0"/>
          <w:sz w:val="24"/>
          <w:szCs w:val="24"/>
        </w:rPr>
        <w:t>（3）商务及其他部分</w:t>
      </w:r>
    </w:p>
    <w:p>
      <w:pPr>
        <w:autoSpaceDE w:val="0"/>
        <w:autoSpaceDN w:val="0"/>
        <w:adjustRightInd w:val="0"/>
        <w:spacing w:line="360" w:lineRule="auto"/>
        <w:ind w:firstLine="480" w:firstLineChars="200"/>
        <w:rPr>
          <w:rFonts w:ascii="宋体" w:hAnsi="宋体" w:cs="宋体"/>
          <w:sz w:val="24"/>
          <w:szCs w:val="24"/>
        </w:rPr>
      </w:pPr>
      <w:r>
        <w:rPr>
          <w:rFonts w:hint="eastAsia"/>
          <w:sz w:val="24"/>
          <w:szCs w:val="24"/>
        </w:rPr>
        <w:t>①证书一览表（</w:t>
      </w:r>
      <w:r>
        <w:rPr>
          <w:rFonts w:hint="eastAsia" w:asciiTheme="minorEastAsia" w:hAnsiTheme="minorEastAsia" w:eastAsiaTheme="minorEastAsia"/>
          <w:sz w:val="24"/>
          <w:szCs w:val="24"/>
        </w:rPr>
        <w:t>本项目相关</w:t>
      </w:r>
      <w:r>
        <w:rPr>
          <w:rFonts w:asciiTheme="minorEastAsia" w:hAnsiTheme="minorEastAsia" w:eastAsiaTheme="minorEastAsia"/>
          <w:kern w:val="0"/>
          <w:sz w:val="24"/>
          <w:szCs w:val="24"/>
        </w:rPr>
        <w:t>的认证证书</w:t>
      </w:r>
      <w:r>
        <w:rPr>
          <w:rFonts w:hint="eastAsia" w:asciiTheme="minorEastAsia" w:hAnsiTheme="minorEastAsia" w:eastAsiaTheme="minorEastAsia"/>
          <w:kern w:val="0"/>
          <w:sz w:val="24"/>
          <w:szCs w:val="24"/>
        </w:rPr>
        <w:t>或文件</w:t>
      </w:r>
      <w:r>
        <w:rPr>
          <w:rFonts w:hint="eastAsia"/>
          <w:sz w:val="24"/>
          <w:szCs w:val="24"/>
        </w:rPr>
        <w:t>）</w:t>
      </w:r>
      <w:r>
        <w:rPr>
          <w:rFonts w:hint="eastAsia" w:asciiTheme="minorEastAsia" w:hAnsiTheme="minorEastAsia" w:eastAsiaTheme="minorEastAsia"/>
          <w:kern w:val="0"/>
          <w:sz w:val="24"/>
          <w:szCs w:val="24"/>
        </w:rPr>
        <w:t>；</w:t>
      </w:r>
    </w:p>
    <w:p>
      <w:pPr>
        <w:pStyle w:val="6"/>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6"/>
        <w:widowControl/>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B.针对本项目的售后服务措施及承诺（售后技术服务方案、人员配备、故障响应时间、技术培训方案等）</w:t>
      </w:r>
      <w:r>
        <w:rPr>
          <w:rFonts w:hint="eastAsia" w:ascii="宋体" w:hAnsi="宋体" w:cs="宋体"/>
          <w:sz w:val="24"/>
          <w:szCs w:val="24"/>
          <w:lang w:eastAsia="zh-CN"/>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④投标人认为需要提供的其他资料（包括可能影响投标人商务与技术文件评分的各类证明材料）。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hint="eastAsia" w:asciiTheme="minorEastAsia" w:hAnsiTheme="minorEastAsia" w:eastAsiaTheme="minorEastAsia"/>
          <w:b/>
          <w:kern w:val="0"/>
          <w:sz w:val="24"/>
          <w:szCs w:val="24"/>
          <w:lang w:eastAsia="zh-CN"/>
        </w:rPr>
      </w:pPr>
      <w:r>
        <w:rPr>
          <w:rFonts w:hint="eastAsia" w:asciiTheme="minorEastAsia" w:hAnsiTheme="minorEastAsia" w:eastAsiaTheme="minorEastAsia"/>
          <w:b/>
          <w:kern w:val="0"/>
          <w:sz w:val="24"/>
          <w:szCs w:val="24"/>
        </w:rPr>
        <w:t>3.报价文件的组成</w:t>
      </w:r>
    </w:p>
    <w:p>
      <w:pPr>
        <w:autoSpaceDE w:val="0"/>
        <w:autoSpaceDN w:val="0"/>
        <w:adjustRightInd w:val="0"/>
        <w:spacing w:line="360" w:lineRule="auto"/>
        <w:ind w:firstLine="480" w:firstLineChars="200"/>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rPr>
        <w:t>（1）开标一览表</w:t>
      </w:r>
      <w:r>
        <w:rPr>
          <w:rFonts w:hint="eastAsia" w:asciiTheme="minorEastAsia" w:hAnsiTheme="minorEastAsia" w:eastAsiaTheme="minorEastAsia"/>
          <w:kern w:val="0"/>
          <w:sz w:val="24"/>
          <w:szCs w:val="24"/>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rPr>
        <w:t>（2）报价明细表</w:t>
      </w:r>
      <w:r>
        <w:rPr>
          <w:rFonts w:hint="eastAsia" w:asciiTheme="minorEastAsia" w:hAnsiTheme="minorEastAsia" w:eastAsiaTheme="minorEastAsia"/>
          <w:kern w:val="0"/>
          <w:sz w:val="24"/>
          <w:szCs w:val="24"/>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szCs w:val="24"/>
          <w:lang w:val="en-GB" w:eastAsia="zh-CN"/>
        </w:rPr>
      </w:pPr>
      <w:r>
        <w:rPr>
          <w:rFonts w:hint="eastAsia" w:asciiTheme="minorEastAsia" w:hAnsiTheme="minorEastAsia" w:eastAsiaTheme="minorEastAsia"/>
          <w:kern w:val="0"/>
          <w:sz w:val="24"/>
          <w:szCs w:val="24"/>
        </w:rPr>
        <w:t>（3）</w:t>
      </w:r>
      <w:r>
        <w:rPr>
          <w:rFonts w:hint="eastAsia" w:asciiTheme="minorEastAsia" w:hAnsiTheme="minorEastAsia" w:eastAsiaTheme="minorEastAsia"/>
          <w:color w:val="000000" w:themeColor="text1"/>
          <w:kern w:val="0"/>
          <w:sz w:val="24"/>
          <w:szCs w:val="24"/>
          <w14:textFill>
            <w14:solidFill>
              <w14:schemeClr w14:val="tx1"/>
            </w14:solidFill>
          </w14:textFill>
        </w:rPr>
        <w:t>中小企业、</w:t>
      </w:r>
      <w:r>
        <w:rPr>
          <w:rFonts w:hint="eastAsia" w:asciiTheme="minorEastAsia" w:hAnsiTheme="minorEastAsia" w:eastAsiaTheme="minorEastAsia"/>
          <w:color w:val="000000" w:themeColor="text1"/>
          <w:kern w:val="0"/>
          <w:sz w:val="24"/>
          <w:szCs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szCs w:val="24"/>
          <w14:textFill>
            <w14:solidFill>
              <w14:schemeClr w14:val="tx1"/>
            </w14:solidFill>
          </w14:textFill>
        </w:rPr>
        <w:t>等声明函</w:t>
      </w:r>
      <w:r>
        <w:rPr>
          <w:rFonts w:hint="eastAsia" w:asciiTheme="minorEastAsia" w:hAnsiTheme="minorEastAsia" w:eastAsiaTheme="minorEastAsia"/>
          <w:kern w:val="0"/>
          <w:sz w:val="24"/>
          <w:szCs w:val="24"/>
          <w:lang w:val="en-GB" w:eastAsia="zh-CN"/>
        </w:rPr>
        <w:t>；</w:t>
      </w:r>
    </w:p>
    <w:p>
      <w:pPr>
        <w:autoSpaceDE w:val="0"/>
        <w:autoSpaceDN w:val="0"/>
        <w:adjustRightInd w:val="0"/>
        <w:spacing w:line="360" w:lineRule="auto"/>
        <w:ind w:firstLine="480" w:firstLineChars="200"/>
        <w:rPr>
          <w:rFonts w:hint="eastAsia" w:asciiTheme="minorEastAsia" w:hAnsiTheme="minorEastAsia" w:eastAsiaTheme="minorEastAsia"/>
          <w:b/>
          <w:kern w:val="0"/>
          <w:sz w:val="24"/>
          <w:szCs w:val="24"/>
          <w:lang w:eastAsia="zh-CN"/>
        </w:rPr>
      </w:pPr>
      <w:r>
        <w:rPr>
          <w:rFonts w:hint="eastAsia" w:asciiTheme="minorEastAsia" w:hAnsiTheme="minorEastAsia" w:eastAsiaTheme="minorEastAsia"/>
          <w:kern w:val="0"/>
          <w:sz w:val="24"/>
          <w:szCs w:val="24"/>
        </w:rPr>
        <w:t>（4）针对报价投标人认为其他需要说明的</w:t>
      </w:r>
      <w:r>
        <w:rPr>
          <w:rFonts w:hint="eastAsia" w:asciiTheme="minorEastAsia" w:hAnsiTheme="minorEastAsia" w:eastAsiaTheme="minorEastAsia"/>
          <w:kern w:val="0"/>
          <w:sz w:val="24"/>
          <w:szCs w:val="24"/>
          <w:lang w:eastAsia="zh-CN"/>
        </w:rPr>
        <w:t>。</w:t>
      </w:r>
    </w:p>
    <w:p>
      <w:pPr>
        <w:pStyle w:val="6"/>
        <w:spacing w:line="360" w:lineRule="auto"/>
        <w:ind w:firstLine="482" w:firstLineChars="200"/>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（二）投标报价</w:t>
      </w:r>
    </w:p>
    <w:p>
      <w:pPr>
        <w:pStyle w:val="6"/>
        <w:spacing w:line="360" w:lineRule="auto"/>
        <w:ind w:firstLine="480" w:firstLineChars="20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6"/>
        <w:spacing w:line="360" w:lineRule="auto"/>
        <w:ind w:firstLine="480" w:firstLineChars="20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2.投标报价包括本项目采购需求和投入使用的所有费用，包括但不限于主件、标准附件、备品备件、施工、服务、专用工具、安装、调试、检验、培训、运输、保险、税款等。</w:t>
      </w:r>
    </w:p>
    <w:p>
      <w:pPr>
        <w:pStyle w:val="6"/>
        <w:spacing w:line="360" w:lineRule="auto"/>
        <w:ind w:firstLine="480" w:firstLineChars="20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3.投标报价不得为选择性报价和附有条件的报价。</w:t>
      </w:r>
    </w:p>
    <w:p>
      <w:pPr>
        <w:pStyle w:val="6"/>
        <w:spacing w:line="360" w:lineRule="auto"/>
        <w:ind w:firstLine="482" w:firstLineChars="200"/>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（三）投标文件的有效期</w:t>
      </w:r>
    </w:p>
    <w:p>
      <w:pPr>
        <w:pStyle w:val="6"/>
        <w:spacing w:line="360" w:lineRule="auto"/>
        <w:ind w:firstLine="480" w:firstLineChars="200"/>
        <w:rPr>
          <w:rFonts w:ascii="宋体" w:hAnsi="宋体"/>
          <w:sz w:val="24"/>
          <w:szCs w:val="24"/>
          <w:lang w:val="en-GB"/>
        </w:rPr>
      </w:pPr>
      <w:r>
        <w:rPr>
          <w:rFonts w:hint="eastAsia" w:ascii="宋体" w:hAnsi="宋体"/>
          <w:sz w:val="24"/>
          <w:szCs w:val="24"/>
        </w:rPr>
        <w:t>1.投标文件有效期为</w:t>
      </w:r>
      <w:r>
        <w:rPr>
          <w:rFonts w:hint="eastAsia" w:ascii="宋体" w:hAnsi="宋体"/>
          <w:sz w:val="24"/>
          <w:szCs w:val="24"/>
          <w:lang w:val="en-GB"/>
        </w:rPr>
        <w:t>投标截止日起90天。</w:t>
      </w:r>
    </w:p>
    <w:p>
      <w:pPr>
        <w:pStyle w:val="6"/>
        <w:spacing w:line="360" w:lineRule="auto"/>
        <w:ind w:firstLine="480" w:firstLineChars="200"/>
        <w:rPr>
          <w:rFonts w:ascii="宋体" w:hAnsi="宋体"/>
          <w:sz w:val="24"/>
          <w:szCs w:val="24"/>
          <w:lang w:val="en-GB"/>
        </w:rPr>
      </w:pPr>
      <w:r>
        <w:rPr>
          <w:rFonts w:hint="eastAsia" w:ascii="宋体" w:hAnsi="宋体"/>
          <w:sz w:val="24"/>
          <w:szCs w:val="24"/>
        </w:rPr>
        <w:t>2.</w:t>
      </w:r>
      <w:r>
        <w:rPr>
          <w:rFonts w:hint="eastAsia" w:ascii="宋体" w:hAnsi="宋体"/>
          <w:sz w:val="24"/>
          <w:szCs w:val="24"/>
          <w:lang w:val="en-GB"/>
        </w:rPr>
        <w:t>在特殊情况下，采购人可与投标人协商延长投标文件的有效期。</w:t>
      </w:r>
    </w:p>
    <w:p>
      <w:pPr>
        <w:snapToGrid w:val="0"/>
        <w:spacing w:line="360" w:lineRule="auto"/>
        <w:ind w:firstLine="480" w:firstLineChars="200"/>
        <w:outlineLvl w:val="0"/>
        <w:rPr>
          <w:rFonts w:asciiTheme="minorEastAsia" w:hAnsiTheme="minorEastAsia" w:eastAsiaTheme="minorEastAsia"/>
          <w:sz w:val="24"/>
          <w:szCs w:val="24"/>
        </w:rPr>
      </w:pPr>
      <w:r>
        <w:rPr>
          <w:rFonts w:hint="eastAsia" w:ascii="宋体" w:hAnsi="宋体"/>
          <w:sz w:val="24"/>
          <w:szCs w:val="24"/>
        </w:rPr>
        <w:t>3.</w:t>
      </w:r>
      <w:r>
        <w:rPr>
          <w:rFonts w:asciiTheme="minorEastAsia" w:hAnsiTheme="minorEastAsia" w:eastAsiaTheme="minorEastAsia"/>
          <w:sz w:val="24"/>
          <w:szCs w:val="24"/>
        </w:rPr>
        <w:t>中标人的</w:t>
      </w:r>
      <w:r>
        <w:rPr>
          <w:rFonts w:hint="eastAsia" w:asciiTheme="minorEastAsia" w:hAnsiTheme="minorEastAsia" w:eastAsiaTheme="minorEastAsia"/>
          <w:sz w:val="24"/>
          <w:szCs w:val="24"/>
        </w:rPr>
        <w:t>投标文件</w:t>
      </w:r>
      <w:r>
        <w:rPr>
          <w:rFonts w:asciiTheme="minorEastAsia" w:hAnsiTheme="minorEastAsia" w:eastAsiaTheme="minorEastAsia"/>
          <w:sz w:val="24"/>
          <w:szCs w:val="24"/>
        </w:rPr>
        <w:t>自开标之日起至合同履行完毕均应保持有效。</w:t>
      </w:r>
    </w:p>
    <w:p>
      <w:pPr>
        <w:snapToGrid w:val="0"/>
        <w:spacing w:line="360" w:lineRule="auto"/>
        <w:ind w:firstLine="482" w:firstLineChars="200"/>
        <w:outlineLvl w:val="0"/>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（四）投标文件的签署</w:t>
      </w:r>
    </w:p>
    <w:p>
      <w:pPr>
        <w:pStyle w:val="6"/>
        <w:spacing w:line="360" w:lineRule="auto"/>
        <w:ind w:firstLine="480" w:firstLineChars="20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6"/>
        <w:spacing w:line="360" w:lineRule="auto"/>
        <w:ind w:firstLine="480" w:firstLineChars="20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2.投标文件中所有的插字、涂改和增删，必须由法定代表人或经其正式授权的代表在旁边签字或盖章才有效。</w:t>
      </w:r>
    </w:p>
    <w:p>
      <w:pPr>
        <w:pStyle w:val="6"/>
        <w:spacing w:line="360" w:lineRule="auto"/>
        <w:ind w:firstLine="480" w:firstLineChars="20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（五）</w:t>
      </w:r>
      <w:r>
        <w:rPr>
          <w:rFonts w:hint="eastAsia" w:asciiTheme="minorEastAsia" w:hAnsiTheme="minorEastAsia" w:eastAsiaTheme="minorEastAsia"/>
          <w:b/>
          <w:bCs/>
          <w:sz w:val="24"/>
          <w:szCs w:val="24"/>
        </w:rPr>
        <w:t>投标文件</w:t>
      </w:r>
      <w:r>
        <w:rPr>
          <w:rFonts w:hint="eastAsia" w:asciiTheme="minorEastAsia" w:hAnsiTheme="minorEastAsia"/>
          <w:b/>
          <w:bCs/>
          <w:sz w:val="24"/>
          <w:szCs w:val="24"/>
        </w:rPr>
        <w:t>的递交要求</w:t>
      </w:r>
    </w:p>
    <w:p>
      <w:pPr>
        <w:tabs>
          <w:tab w:val="left" w:pos="1418"/>
        </w:tabs>
        <w:autoSpaceDE w:val="0"/>
        <w:autoSpaceDN w:val="0"/>
        <w:adjustRightInd w:val="0"/>
        <w:spacing w:line="360" w:lineRule="auto"/>
        <w:ind w:firstLine="480" w:firstLineChars="200"/>
        <w:rPr>
          <w:sz w:val="24"/>
          <w:szCs w:val="24"/>
        </w:rPr>
      </w:pPr>
      <w:r>
        <w:rPr>
          <w:rFonts w:hint="eastAsia" w:asciiTheme="majorEastAsia" w:hAnsiTheme="majorEastAsia" w:eastAsiaTheme="majorEastAsia" w:cstheme="majorEastAsia"/>
          <w:sz w:val="24"/>
          <w:szCs w:val="24"/>
        </w:rPr>
        <w:t>按照前附表要求提交，</w:t>
      </w:r>
      <w:r>
        <w:rPr>
          <w:rFonts w:hint="eastAsia" w:asciiTheme="minorEastAsia" w:hAnsiTheme="minorEastAsia" w:eastAsiaTheme="minorEastAsia"/>
          <w:kern w:val="0"/>
          <w:sz w:val="24"/>
          <w:szCs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五、开标</w:t>
      </w:r>
    </w:p>
    <w:p>
      <w:pPr>
        <w:autoSpaceDE w:val="0"/>
        <w:autoSpaceDN w:val="0"/>
        <w:adjustRightInd w:val="0"/>
        <w:spacing w:line="360" w:lineRule="auto"/>
        <w:ind w:firstLine="482" w:firstLineChars="200"/>
        <w:rPr>
          <w:rFonts w:hint="eastAsia" w:asciiTheme="minorEastAsia" w:hAnsiTheme="minorEastAsia" w:eastAsiaTheme="minorEastAsia"/>
          <w:b/>
          <w:sz w:val="24"/>
          <w:szCs w:val="24"/>
          <w:lang w:eastAsia="zh-CN"/>
        </w:rPr>
      </w:pPr>
      <w:r>
        <w:rPr>
          <w:rFonts w:asciiTheme="minorEastAsia" w:hAnsiTheme="minorEastAsia" w:eastAsiaTheme="minorEastAsia"/>
          <w:b/>
          <w:sz w:val="24"/>
          <w:szCs w:val="24"/>
        </w:rPr>
        <w:t>（一）开</w:t>
      </w:r>
      <w:r>
        <w:rPr>
          <w:rFonts w:hint="eastAsia" w:asciiTheme="minorEastAsia" w:hAnsiTheme="minorEastAsia" w:eastAsiaTheme="minorEastAsia"/>
          <w:b/>
          <w:sz w:val="24"/>
          <w:szCs w:val="24"/>
        </w:rPr>
        <w:t>标</w:t>
      </w:r>
      <w:r>
        <w:rPr>
          <w:rFonts w:asciiTheme="minorEastAsia" w:hAnsiTheme="minorEastAsia" w:eastAsiaTheme="minorEastAsia"/>
          <w:b/>
          <w:sz w:val="24"/>
          <w:szCs w:val="24"/>
        </w:rPr>
        <w:t>程序</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6"/>
        <w:spacing w:line="360" w:lineRule="auto"/>
        <w:ind w:firstLine="480" w:firstLineChars="200"/>
        <w:rPr>
          <w:sz w:val="24"/>
          <w:szCs w:val="24"/>
        </w:rPr>
      </w:pPr>
      <w:r>
        <w:rPr>
          <w:rFonts w:hint="eastAsia" w:cs="宋体" w:asciiTheme="minorEastAsia" w:hAnsiTheme="minorEastAsia" w:eastAsiaTheme="minorEastAsia"/>
          <w:sz w:val="24"/>
          <w:szCs w:val="24"/>
        </w:rPr>
        <w:t>4.采</w:t>
      </w:r>
      <w:r>
        <w:rPr>
          <w:rFonts w:hint="eastAsia"/>
          <w:sz w:val="24"/>
          <w:szCs w:val="24"/>
        </w:rPr>
        <w:t>购组织机构工作人员当众宣布投标人名称、投标价格和招标文件规定的需要宣布的其他内容（以开标一览表要求为准）；</w:t>
      </w:r>
    </w:p>
    <w:p>
      <w:pPr>
        <w:pStyle w:val="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6"/>
        <w:spacing w:line="360" w:lineRule="auto"/>
        <w:ind w:firstLine="482" w:firstLineChars="200"/>
        <w:rPr>
          <w:b/>
          <w:bCs/>
          <w:sz w:val="24"/>
          <w:szCs w:val="24"/>
        </w:rPr>
      </w:pPr>
      <w:r>
        <w:rPr>
          <w:rFonts w:hint="eastAsia"/>
          <w:b/>
          <w:bCs/>
          <w:sz w:val="24"/>
          <w:szCs w:val="24"/>
        </w:rPr>
        <w:t>（二）开标异议</w:t>
      </w:r>
    </w:p>
    <w:p>
      <w:pPr>
        <w:pStyle w:val="6"/>
        <w:spacing w:line="360" w:lineRule="auto"/>
        <w:ind w:firstLine="480" w:firstLineChars="200"/>
        <w:rPr>
          <w:sz w:val="24"/>
          <w:szCs w:val="24"/>
        </w:rPr>
      </w:pPr>
      <w:r>
        <w:rPr>
          <w:rFonts w:hint="eastAsia"/>
          <w:sz w:val="24"/>
          <w:szCs w:val="24"/>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6"/>
        <w:spacing w:line="360" w:lineRule="auto"/>
        <w:ind w:firstLine="482" w:firstLineChars="200"/>
        <w:rPr>
          <w:sz w:val="24"/>
          <w:szCs w:val="24"/>
        </w:rPr>
      </w:pPr>
      <w:r>
        <w:rPr>
          <w:rFonts w:hint="eastAsia"/>
          <w:b/>
          <w:bCs/>
          <w:sz w:val="24"/>
          <w:szCs w:val="24"/>
        </w:rPr>
        <w:t>（三）</w:t>
      </w:r>
      <w:r>
        <w:rPr>
          <w:rFonts w:hint="eastAsia"/>
          <w:sz w:val="24"/>
          <w:szCs w:val="24"/>
        </w:rPr>
        <w:t>投标人不足三家，不得开标。</w:t>
      </w:r>
    </w:p>
    <w:p>
      <w:pPr>
        <w:pStyle w:val="12"/>
        <w:snapToGrid w:val="0"/>
        <w:spacing w:line="360" w:lineRule="auto"/>
        <w:ind w:firstLine="482" w:firstLineChars="200"/>
        <w:outlineLvl w:val="1"/>
        <w:rPr>
          <w:rFonts w:asciiTheme="minorEastAsia" w:hAnsiTheme="minorEastAsia"/>
          <w:b/>
          <w:sz w:val="24"/>
          <w:szCs w:val="24"/>
        </w:rPr>
      </w:pPr>
      <w:r>
        <w:rPr>
          <w:rFonts w:hint="eastAsia" w:asciiTheme="minorEastAsia" w:hAnsiTheme="minorEastAsia" w:eastAsiaTheme="minorEastAsia"/>
          <w:b/>
          <w:sz w:val="24"/>
          <w:szCs w:val="24"/>
        </w:rPr>
        <w:t>六、评标（详见第四章）</w:t>
      </w:r>
    </w:p>
    <w:p>
      <w:pPr>
        <w:pStyle w:val="19"/>
        <w:spacing w:before="0" w:beforeAutospacing="0" w:after="0" w:afterAutospacing="0" w:line="360" w:lineRule="auto"/>
        <w:ind w:firstLine="482" w:firstLineChars="200"/>
        <w:jc w:val="both"/>
        <w:rPr>
          <w:rFonts w:hint="default" w:asciiTheme="minorEastAsia" w:hAnsiTheme="minorEastAsia" w:eastAsiaTheme="minorEastAsia"/>
          <w:b/>
          <w:sz w:val="24"/>
          <w:szCs w:val="24"/>
        </w:rPr>
      </w:pPr>
      <w:r>
        <w:rPr>
          <w:rFonts w:asciiTheme="minorEastAsia" w:hAnsiTheme="minorEastAsia" w:eastAsiaTheme="minorEastAsia"/>
          <w:b/>
          <w:sz w:val="24"/>
          <w:szCs w:val="24"/>
        </w:rPr>
        <w:t>七、定标</w:t>
      </w:r>
    </w:p>
    <w:p>
      <w:pPr>
        <w:pStyle w:val="19"/>
        <w:spacing w:before="0" w:beforeAutospacing="0" w:after="0" w:afterAutospacing="0" w:line="360" w:lineRule="auto"/>
        <w:ind w:firstLine="482" w:firstLineChars="200"/>
        <w:jc w:val="both"/>
        <w:rPr>
          <w:b/>
          <w:bCs/>
          <w:sz w:val="24"/>
          <w:szCs w:val="24"/>
        </w:rPr>
      </w:pPr>
      <w:r>
        <w:rPr>
          <w:rFonts w:asciiTheme="minorEastAsia" w:hAnsiTheme="minorEastAsia" w:eastAsiaTheme="minorEastAsia"/>
          <w:b/>
          <w:bCs/>
          <w:sz w:val="24"/>
          <w:szCs w:val="24"/>
        </w:rPr>
        <w:t>（一）</w:t>
      </w:r>
      <w:r>
        <w:rPr>
          <w:b/>
          <w:bCs/>
          <w:sz w:val="24"/>
          <w:szCs w:val="24"/>
        </w:rPr>
        <w:t>确定中标人</w:t>
      </w:r>
    </w:p>
    <w:p>
      <w:pPr>
        <w:pStyle w:val="19"/>
        <w:spacing w:before="0" w:beforeAutospacing="0" w:after="0" w:afterAutospacing="0" w:line="360" w:lineRule="auto"/>
        <w:ind w:firstLine="480" w:firstLineChars="200"/>
        <w:jc w:val="both"/>
        <w:rPr>
          <w:rFonts w:hint="default" w:asciiTheme="minorEastAsia" w:hAnsiTheme="minorEastAsia" w:eastAsiaTheme="minorEastAsia"/>
          <w:sz w:val="24"/>
          <w:szCs w:val="24"/>
        </w:rPr>
      </w:pPr>
      <w:r>
        <w:rPr>
          <w:rFonts w:asciiTheme="minorEastAsia" w:hAnsiTheme="minorEastAsia" w:eastAsiaTheme="minorEastAsia"/>
          <w:sz w:val="24"/>
          <w:szCs w:val="24"/>
        </w:rPr>
        <w:t>评标委员会根据采购单位的</w:t>
      </w:r>
      <w:r>
        <w:rPr>
          <w:sz w:val="24"/>
          <w:szCs w:val="24"/>
        </w:rPr>
        <w:t>《授权意见确认书》</w:t>
      </w:r>
      <w:r>
        <w:rPr>
          <w:rFonts w:asciiTheme="minorEastAsia" w:hAnsiTheme="minorEastAsia" w:eastAsiaTheme="minorEastAsia"/>
          <w:sz w:val="24"/>
          <w:szCs w:val="24"/>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numPr>
          <w:ilvl w:val="0"/>
          <w:numId w:val="5"/>
        </w:numPr>
        <w:spacing w:line="360" w:lineRule="auto"/>
        <w:ind w:left="358" w:leftChars="0" w:firstLine="482" w:firstLineChars="0"/>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发布中标结果公告</w:t>
      </w:r>
    </w:p>
    <w:p>
      <w:pPr>
        <w:numPr>
          <w:ilvl w:val="0"/>
          <w:numId w:val="0"/>
        </w:numPr>
        <w:spacing w:line="360" w:lineRule="auto"/>
        <w:ind w:firstLine="480" w:firstLineChars="200"/>
        <w:rPr>
          <w:rFonts w:ascii="宋体" w:hAnsi="宋体"/>
          <w:kern w:val="0"/>
          <w:sz w:val="24"/>
          <w:szCs w:val="24"/>
        </w:rPr>
      </w:pPr>
      <w:r>
        <w:rPr>
          <w:rFonts w:hint="eastAsia" w:ascii="宋体" w:hAnsi="宋体"/>
          <w:kern w:val="0"/>
          <w:sz w:val="24"/>
          <w:szCs w:val="24"/>
        </w:rPr>
        <w:t>采购组织机构自中标人</w:t>
      </w:r>
      <w:r>
        <w:rPr>
          <w:rFonts w:ascii="宋体" w:hAnsi="宋体"/>
          <w:kern w:val="0"/>
          <w:sz w:val="24"/>
          <w:szCs w:val="24"/>
        </w:rPr>
        <w:t>确定</w:t>
      </w:r>
      <w:r>
        <w:rPr>
          <w:rFonts w:hint="eastAsia" w:ascii="宋体" w:hAnsi="宋体"/>
          <w:kern w:val="0"/>
          <w:sz w:val="24"/>
          <w:szCs w:val="24"/>
        </w:rPr>
        <w:t>之日起</w:t>
      </w:r>
      <w:r>
        <w:rPr>
          <w:rFonts w:ascii="宋体" w:hAnsi="宋体"/>
          <w:kern w:val="0"/>
          <w:sz w:val="24"/>
          <w:szCs w:val="24"/>
        </w:rPr>
        <w:t>2个工作日内</w:t>
      </w:r>
      <w:r>
        <w:rPr>
          <w:rFonts w:hint="eastAsia" w:ascii="宋体" w:hAnsi="宋体"/>
          <w:kern w:val="0"/>
          <w:sz w:val="24"/>
          <w:szCs w:val="24"/>
        </w:rPr>
        <w:t>，</w:t>
      </w:r>
      <w:r>
        <w:rPr>
          <w:rFonts w:ascii="宋体" w:hAnsi="宋体"/>
          <w:kern w:val="0"/>
          <w:sz w:val="24"/>
          <w:szCs w:val="24"/>
        </w:rPr>
        <w:t>在</w:t>
      </w:r>
      <w:r>
        <w:rPr>
          <w:rFonts w:hint="eastAsia" w:ascii="宋体" w:hAnsi="宋体"/>
          <w:kern w:val="0"/>
          <w:sz w:val="24"/>
          <w:szCs w:val="24"/>
        </w:rPr>
        <w:t>浙江</w:t>
      </w:r>
      <w:r>
        <w:rPr>
          <w:rFonts w:ascii="宋体" w:hAnsi="宋体"/>
          <w:kern w:val="0"/>
          <w:sz w:val="24"/>
          <w:szCs w:val="24"/>
        </w:rPr>
        <w:t>省</w:t>
      </w:r>
      <w:r>
        <w:rPr>
          <w:rFonts w:hint="eastAsia" w:ascii="宋体" w:hAnsi="宋体"/>
          <w:kern w:val="0"/>
          <w:sz w:val="24"/>
          <w:szCs w:val="24"/>
        </w:rPr>
        <w:t>政府采购</w:t>
      </w:r>
      <w:r>
        <w:rPr>
          <w:rFonts w:ascii="宋体" w:hAnsi="宋体"/>
          <w:kern w:val="0"/>
          <w:sz w:val="24"/>
          <w:szCs w:val="24"/>
        </w:rPr>
        <w:t>网</w:t>
      </w:r>
      <w:r>
        <w:rPr>
          <w:rFonts w:hint="eastAsia" w:ascii="宋体" w:hAnsi="宋体"/>
          <w:kern w:val="0"/>
          <w:sz w:val="24"/>
          <w:szCs w:val="24"/>
        </w:rPr>
        <w:t>和台州市公共资源交易网上</w:t>
      </w:r>
      <w:r>
        <w:rPr>
          <w:rFonts w:ascii="宋体" w:hAnsi="宋体"/>
          <w:kern w:val="0"/>
          <w:sz w:val="24"/>
          <w:szCs w:val="24"/>
        </w:rPr>
        <w:t>公告</w:t>
      </w:r>
      <w:r>
        <w:rPr>
          <w:rFonts w:hint="eastAsia" w:ascii="宋体" w:hAnsi="宋体"/>
          <w:kern w:val="0"/>
          <w:sz w:val="24"/>
          <w:szCs w:val="24"/>
        </w:rPr>
        <w:t>中标结果，</w:t>
      </w:r>
      <w:r>
        <w:rPr>
          <w:sz w:val="24"/>
          <w:szCs w:val="24"/>
        </w:rPr>
        <w:t>中标结果公告</w:t>
      </w:r>
      <w:r>
        <w:rPr>
          <w:rFonts w:hint="eastAsia" w:cs="Times New Roman" w:asciiTheme="minorEastAsia" w:hAnsiTheme="minorEastAsia" w:eastAsiaTheme="minorEastAsia"/>
          <w:kern w:val="0"/>
          <w:sz w:val="24"/>
          <w:szCs w:val="24"/>
          <w:lang w:val="en-US" w:eastAsia="zh-CN" w:bidi="ar-SA"/>
        </w:rPr>
        <w:t>期为1个工</w:t>
      </w:r>
      <w:r>
        <w:rPr>
          <w:sz w:val="24"/>
          <w:szCs w:val="24"/>
        </w:rPr>
        <w:t>作日</w:t>
      </w:r>
      <w:r>
        <w:rPr>
          <w:rFonts w:hint="eastAsia" w:ascii="宋体" w:hAnsi="宋体"/>
          <w:kern w:val="0"/>
          <w:sz w:val="24"/>
          <w:szCs w:val="24"/>
        </w:rPr>
        <w:t>。</w:t>
      </w:r>
    </w:p>
    <w:p>
      <w:pPr>
        <w:pStyle w:val="7"/>
        <w:numPr>
          <w:ilvl w:val="0"/>
          <w:numId w:val="5"/>
        </w:numPr>
        <w:spacing w:line="360" w:lineRule="auto"/>
        <w:ind w:left="358" w:leftChars="0" w:firstLine="482" w:firstLineChars="0"/>
        <w:jc w:val="both"/>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发放中标通知书</w:t>
      </w:r>
    </w:p>
    <w:p>
      <w:pPr>
        <w:pStyle w:val="7"/>
        <w:numPr>
          <w:ilvl w:val="0"/>
          <w:numId w:val="0"/>
        </w:numPr>
        <w:spacing w:line="360" w:lineRule="auto"/>
        <w:ind w:firstLine="480" w:firstLineChars="200"/>
        <w:jc w:val="both"/>
        <w:rPr>
          <w:sz w:val="24"/>
          <w:szCs w:val="24"/>
        </w:rPr>
      </w:pPr>
      <w:r>
        <w:rPr>
          <w:rFonts w:hint="eastAsia" w:ascii="宋体" w:hAnsi="宋体"/>
          <w:kern w:val="0"/>
          <w:sz w:val="24"/>
          <w:szCs w:val="24"/>
        </w:rPr>
        <w:t>采购组织机构在发布中标结果公告的同时，</w:t>
      </w:r>
      <w:r>
        <w:rPr>
          <w:rFonts w:hint="eastAsia"/>
          <w:sz w:val="24"/>
          <w:szCs w:val="24"/>
        </w:rPr>
        <w:t>通过政采云平台</w:t>
      </w:r>
      <w:r>
        <w:rPr>
          <w:rFonts w:hint="eastAsia" w:ascii="宋体" w:hAnsi="宋体"/>
          <w:kern w:val="0"/>
          <w:sz w:val="24"/>
          <w:szCs w:val="24"/>
        </w:rPr>
        <w:t>向中标人</w:t>
      </w:r>
      <w:r>
        <w:rPr>
          <w:rFonts w:hint="eastAsia"/>
          <w:sz w:val="24"/>
          <w:szCs w:val="24"/>
        </w:rPr>
        <w:t>发放中标通知书</w:t>
      </w:r>
      <w:r>
        <w:rPr>
          <w:rFonts w:hint="eastAsia" w:ascii="宋体" w:hAnsi="宋体"/>
          <w:kern w:val="0"/>
          <w:sz w:val="24"/>
          <w:szCs w:val="24"/>
        </w:rPr>
        <w:t>。</w:t>
      </w:r>
    </w:p>
    <w:p>
      <w:pPr>
        <w:spacing w:line="360" w:lineRule="auto"/>
        <w:ind w:firstLine="482" w:firstLineChars="200"/>
        <w:rPr>
          <w:rFonts w:ascii="宋体" w:hAnsi="宋体"/>
          <w:kern w:val="0"/>
          <w:sz w:val="24"/>
          <w:szCs w:val="24"/>
        </w:rPr>
      </w:pPr>
      <w:r>
        <w:rPr>
          <w:rFonts w:hint="eastAsia" w:asciiTheme="minorEastAsia" w:hAnsiTheme="minorEastAsia" w:eastAsiaTheme="minorEastAsia"/>
          <w:b/>
          <w:sz w:val="24"/>
          <w:szCs w:val="24"/>
        </w:rPr>
        <w:t>八</w:t>
      </w:r>
      <w:r>
        <w:rPr>
          <w:rFonts w:asciiTheme="minorEastAsia" w:hAnsiTheme="minorEastAsia" w:eastAsiaTheme="minorEastAsia"/>
          <w:b/>
          <w:sz w:val="24"/>
          <w:szCs w:val="24"/>
        </w:rPr>
        <w:t>、</w:t>
      </w:r>
      <w:r>
        <w:rPr>
          <w:rFonts w:hint="eastAsia" w:ascii="宋体" w:hAnsi="宋体"/>
          <w:b/>
          <w:kern w:val="0"/>
          <w:sz w:val="24"/>
          <w:szCs w:val="24"/>
        </w:rPr>
        <w:t>合同签订及公告</w:t>
      </w:r>
    </w:p>
    <w:p>
      <w:pPr>
        <w:spacing w:line="360" w:lineRule="auto"/>
        <w:ind w:firstLine="482" w:firstLineChars="200"/>
        <w:rPr>
          <w:rFonts w:ascii="宋体" w:hAnsi="宋体"/>
          <w:b/>
          <w:kern w:val="0"/>
          <w:sz w:val="24"/>
          <w:szCs w:val="24"/>
        </w:rPr>
      </w:pPr>
      <w:r>
        <w:rPr>
          <w:rFonts w:hint="eastAsia" w:ascii="宋体" w:hAnsi="宋体"/>
          <w:b/>
          <w:sz w:val="24"/>
          <w:szCs w:val="24"/>
        </w:rPr>
        <w:t>（一）签订合同</w:t>
      </w:r>
    </w:p>
    <w:p>
      <w:pPr>
        <w:pStyle w:val="19"/>
        <w:spacing w:before="0" w:beforeAutospacing="0" w:after="0" w:afterAutospacing="0" w:line="360" w:lineRule="auto"/>
        <w:ind w:firstLine="480" w:firstLineChars="200"/>
        <w:jc w:val="both"/>
        <w:rPr>
          <w:rFonts w:hint="default"/>
          <w:sz w:val="24"/>
          <w:szCs w:val="24"/>
        </w:rPr>
      </w:pPr>
      <w:r>
        <w:rPr>
          <w:sz w:val="24"/>
          <w:szCs w:val="24"/>
        </w:rP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19"/>
        <w:spacing w:before="0" w:beforeAutospacing="0" w:after="0" w:afterAutospacing="0" w:line="360" w:lineRule="auto"/>
        <w:ind w:firstLine="480" w:firstLineChars="200"/>
        <w:jc w:val="both"/>
        <w:rPr>
          <w:rFonts w:hint="default"/>
          <w:sz w:val="24"/>
          <w:szCs w:val="24"/>
        </w:rPr>
      </w:pPr>
      <w:r>
        <w:rPr>
          <w:sz w:val="24"/>
          <w:szCs w:val="24"/>
        </w:rPr>
        <w:t>2.采购人不得向中标人提出任何不合理的要求作为签订合同的条件。</w:t>
      </w:r>
    </w:p>
    <w:p>
      <w:pPr>
        <w:pStyle w:val="19"/>
        <w:spacing w:before="0" w:beforeAutospacing="0" w:after="0" w:afterAutospacing="0" w:line="360" w:lineRule="auto"/>
        <w:ind w:firstLine="480" w:firstLineChars="200"/>
        <w:jc w:val="both"/>
        <w:rPr>
          <w:rFonts w:hint="default"/>
          <w:sz w:val="24"/>
          <w:szCs w:val="24"/>
        </w:rPr>
      </w:pPr>
      <w:r>
        <w:rPr>
          <w:sz w:val="24"/>
          <w:szCs w:val="24"/>
        </w:rPr>
        <w:t>3.中标人无故拖延、拒签合同的</w:t>
      </w:r>
      <w:r>
        <w:rPr>
          <w:rFonts w:hint="eastAsia"/>
          <w:sz w:val="24"/>
          <w:szCs w:val="24"/>
          <w:lang w:eastAsia="zh-CN"/>
        </w:rPr>
        <w:t>，</w:t>
      </w:r>
      <w:r>
        <w:rPr>
          <w:sz w:val="24"/>
          <w:szCs w:val="24"/>
        </w:rPr>
        <w:t>将取消中标资格。</w:t>
      </w:r>
    </w:p>
    <w:p>
      <w:pPr>
        <w:pStyle w:val="19"/>
        <w:spacing w:before="0" w:beforeAutospacing="0" w:after="0" w:afterAutospacing="0" w:line="360" w:lineRule="auto"/>
        <w:ind w:firstLine="480" w:firstLineChars="200"/>
        <w:jc w:val="both"/>
        <w:rPr>
          <w:rFonts w:hint="default"/>
          <w:sz w:val="24"/>
          <w:szCs w:val="24"/>
        </w:rPr>
      </w:pPr>
      <w:r>
        <w:rPr>
          <w:sz w:val="24"/>
          <w:szCs w:val="24"/>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9"/>
        <w:spacing w:before="0" w:beforeAutospacing="0" w:after="0" w:afterAutospacing="0" w:line="360" w:lineRule="auto"/>
        <w:ind w:firstLine="480" w:firstLineChars="200"/>
        <w:jc w:val="both"/>
        <w:rPr>
          <w:rFonts w:hint="default"/>
          <w:sz w:val="24"/>
          <w:szCs w:val="24"/>
        </w:rPr>
      </w:pPr>
      <w:r>
        <w:rPr>
          <w:sz w:val="24"/>
          <w:szCs w:val="24"/>
        </w:rPr>
        <w:t>5.询问或者质疑事项可能影响中标结果的，采购人应当暂停签订合同，已经签订合同的，应当中止履行合同。</w:t>
      </w:r>
    </w:p>
    <w:p>
      <w:pPr>
        <w:pStyle w:val="19"/>
        <w:spacing w:before="0" w:beforeAutospacing="0" w:after="0" w:afterAutospacing="0" w:line="360" w:lineRule="auto"/>
        <w:ind w:firstLine="482" w:firstLineChars="200"/>
        <w:jc w:val="both"/>
        <w:rPr>
          <w:rFonts w:hint="default" w:cs="仿宋_GB2312"/>
          <w:b/>
          <w:sz w:val="24"/>
          <w:szCs w:val="24"/>
        </w:rPr>
      </w:pPr>
      <w:r>
        <w:rPr>
          <w:b/>
          <w:sz w:val="24"/>
          <w:szCs w:val="24"/>
        </w:rPr>
        <w:t>（二）合同公告及备案</w:t>
      </w:r>
    </w:p>
    <w:p>
      <w:pPr>
        <w:pStyle w:val="10"/>
        <w:spacing w:after="0" w:line="360" w:lineRule="auto"/>
        <w:ind w:left="0" w:leftChars="0" w:firstLine="480" w:firstLineChars="200"/>
        <w:rPr>
          <w:rFonts w:ascii="宋体" w:hAnsi="宋体"/>
          <w:sz w:val="24"/>
          <w:szCs w:val="24"/>
        </w:rPr>
      </w:pPr>
      <w:r>
        <w:rPr>
          <w:rFonts w:hint="eastAsia" w:ascii="宋体" w:hAnsi="宋体"/>
          <w:sz w:val="24"/>
          <w:szCs w:val="24"/>
        </w:rPr>
        <w:t>1.采购人应当自合同签订之日起2个工作日内，</w:t>
      </w:r>
      <w:r>
        <w:rPr>
          <w:rFonts w:ascii="宋体" w:hAnsi="宋体"/>
          <w:kern w:val="0"/>
          <w:sz w:val="24"/>
          <w:szCs w:val="24"/>
        </w:rPr>
        <w:t>在省级以上财政部门指定的</w:t>
      </w:r>
      <w:r>
        <w:rPr>
          <w:rFonts w:hint="eastAsia" w:ascii="宋体" w:hAnsi="宋体"/>
          <w:kern w:val="0"/>
          <w:sz w:val="24"/>
          <w:szCs w:val="24"/>
        </w:rPr>
        <w:t>政府采购信息发布</w:t>
      </w:r>
      <w:r>
        <w:rPr>
          <w:rFonts w:ascii="宋体" w:hAnsi="宋体"/>
          <w:kern w:val="0"/>
          <w:sz w:val="24"/>
          <w:szCs w:val="24"/>
        </w:rPr>
        <w:t>媒体及相关网站</w:t>
      </w:r>
      <w:r>
        <w:rPr>
          <w:rFonts w:hint="eastAsia" w:ascii="宋体" w:hAnsi="宋体"/>
          <w:kern w:val="0"/>
          <w:sz w:val="24"/>
          <w:szCs w:val="24"/>
        </w:rPr>
        <w:t>上</w:t>
      </w:r>
      <w:r>
        <w:rPr>
          <w:rFonts w:ascii="宋体" w:hAnsi="宋体"/>
          <w:kern w:val="0"/>
          <w:sz w:val="24"/>
          <w:szCs w:val="24"/>
        </w:rPr>
        <w:t>公告</w:t>
      </w:r>
      <w:r>
        <w:rPr>
          <w:rFonts w:hint="eastAsia" w:ascii="宋体" w:hAnsi="宋体"/>
          <w:sz w:val="24"/>
          <w:szCs w:val="24"/>
        </w:rPr>
        <w:t>。</w:t>
      </w:r>
    </w:p>
    <w:p>
      <w:pPr>
        <w:pStyle w:val="7"/>
        <w:spacing w:line="360" w:lineRule="auto"/>
        <w:ind w:firstLine="480" w:firstLineChars="200"/>
        <w:jc w:val="both"/>
        <w:rPr>
          <w:rFonts w:ascii="宋体" w:hAnsi="宋体"/>
          <w:sz w:val="24"/>
          <w:szCs w:val="24"/>
        </w:rPr>
      </w:pPr>
      <w:r>
        <w:rPr>
          <w:rFonts w:hint="eastAsia" w:ascii="宋体" w:hAnsi="宋体"/>
          <w:sz w:val="24"/>
          <w:szCs w:val="24"/>
        </w:rPr>
        <w:t>2.采购人应当自合同签订之日起7个工作日内，</w:t>
      </w:r>
      <w:r>
        <w:rPr>
          <w:rFonts w:hint="eastAsia"/>
          <w:sz w:val="24"/>
          <w:szCs w:val="24"/>
        </w:rPr>
        <w:t>将合同通过政采云平台提交至</w:t>
      </w:r>
      <w:r>
        <w:rPr>
          <w:rFonts w:hint="eastAsia" w:ascii="宋体" w:hAnsi="宋体"/>
          <w:sz w:val="24"/>
          <w:szCs w:val="24"/>
        </w:rPr>
        <w:t>同级人民政府财政部门备案存档。</w:t>
      </w:r>
    </w:p>
    <w:p>
      <w:pPr>
        <w:pStyle w:val="7"/>
        <w:spacing w:line="360" w:lineRule="auto"/>
        <w:ind w:firstLine="482" w:firstLineChars="200"/>
        <w:jc w:val="both"/>
        <w:rPr>
          <w:rFonts w:ascii="宋体" w:hAnsi="宋体"/>
          <w:b/>
          <w:bCs/>
          <w:sz w:val="24"/>
          <w:szCs w:val="24"/>
        </w:rPr>
      </w:pPr>
      <w:r>
        <w:rPr>
          <w:rFonts w:hint="eastAsia" w:ascii="宋体" w:hAnsi="宋体"/>
          <w:b/>
          <w:bCs/>
          <w:sz w:val="24"/>
          <w:szCs w:val="24"/>
        </w:rPr>
        <w:t>九、询问、质疑与投诉</w:t>
      </w:r>
    </w:p>
    <w:p>
      <w:pPr>
        <w:pStyle w:val="7"/>
        <w:spacing w:line="360" w:lineRule="auto"/>
        <w:ind w:firstLine="482" w:firstLineChars="200"/>
        <w:jc w:val="both"/>
        <w:rPr>
          <w:rFonts w:ascii="宋体" w:hAnsi="宋体"/>
          <w:b/>
          <w:bCs/>
          <w:sz w:val="24"/>
          <w:szCs w:val="24"/>
        </w:rPr>
      </w:pPr>
      <w:r>
        <w:rPr>
          <w:rFonts w:hint="eastAsia" w:ascii="宋体" w:hAnsi="宋体"/>
          <w:b/>
          <w:bCs/>
          <w:sz w:val="24"/>
          <w:szCs w:val="24"/>
        </w:rPr>
        <w:t>（一）询问</w:t>
      </w:r>
    </w:p>
    <w:p>
      <w:pPr>
        <w:pStyle w:val="7"/>
        <w:spacing w:line="360" w:lineRule="auto"/>
        <w:ind w:firstLine="480" w:firstLineChars="200"/>
        <w:jc w:val="both"/>
        <w:rPr>
          <w:rFonts w:ascii="宋体" w:hAnsi="宋体"/>
          <w:sz w:val="24"/>
          <w:szCs w:val="24"/>
        </w:rPr>
      </w:pPr>
      <w:r>
        <w:rPr>
          <w:rFonts w:hint="eastAsia" w:ascii="宋体" w:hAnsi="宋体"/>
          <w:sz w:val="24"/>
          <w:szCs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szCs w:val="24"/>
        </w:rPr>
        <w:t>第一章“</w:t>
      </w:r>
      <w:r>
        <w:rPr>
          <w:rFonts w:hint="eastAsia" w:ascii="宋体" w:hAnsi="宋体"/>
          <w:sz w:val="24"/>
          <w:szCs w:val="24"/>
        </w:rPr>
        <w:t>投标邀请</w:t>
      </w:r>
      <w:r>
        <w:rPr>
          <w:rFonts w:hint="eastAsia"/>
          <w:sz w:val="24"/>
          <w:szCs w:val="24"/>
        </w:rPr>
        <w:t>”</w:t>
      </w:r>
      <w:r>
        <w:rPr>
          <w:rFonts w:hint="eastAsia" w:ascii="宋体" w:hAnsi="宋体"/>
          <w:sz w:val="24"/>
          <w:szCs w:val="24"/>
        </w:rPr>
        <w:t>中“采购人、采购组织机构的名称、地址和联系方式”。</w:t>
      </w:r>
    </w:p>
    <w:p>
      <w:pPr>
        <w:pStyle w:val="7"/>
        <w:spacing w:line="360" w:lineRule="auto"/>
        <w:ind w:firstLine="482" w:firstLineChars="200"/>
        <w:jc w:val="both"/>
        <w:rPr>
          <w:rFonts w:ascii="宋体" w:hAnsi="宋体"/>
          <w:b/>
          <w:bCs/>
          <w:sz w:val="24"/>
          <w:szCs w:val="24"/>
        </w:rPr>
      </w:pPr>
      <w:r>
        <w:rPr>
          <w:rFonts w:hint="eastAsia" w:ascii="宋体" w:hAnsi="宋体"/>
          <w:b/>
          <w:bCs/>
          <w:sz w:val="24"/>
          <w:szCs w:val="24"/>
        </w:rPr>
        <w:t>（二）质疑</w:t>
      </w:r>
    </w:p>
    <w:p>
      <w:pPr>
        <w:pStyle w:val="7"/>
        <w:spacing w:line="360" w:lineRule="auto"/>
        <w:ind w:firstLine="480" w:firstLineChars="200"/>
        <w:jc w:val="both"/>
        <w:rPr>
          <w:rFonts w:ascii="宋体" w:hAnsi="宋体"/>
          <w:sz w:val="24"/>
          <w:szCs w:val="24"/>
        </w:rPr>
      </w:pPr>
      <w:r>
        <w:rPr>
          <w:rFonts w:hint="eastAsia" w:ascii="宋体" w:hAnsi="宋体"/>
          <w:sz w:val="24"/>
          <w:szCs w:val="24"/>
        </w:rPr>
        <w:t>1.报名本项目的投标人认为招标文件、采购过程和中标结果使自己的权益受到损害的，通过政采云平台的质疑系统一次性向采购人或采购组织机构提出质疑：</w:t>
      </w:r>
    </w:p>
    <w:p>
      <w:pPr>
        <w:pStyle w:val="7"/>
        <w:spacing w:line="360" w:lineRule="auto"/>
        <w:ind w:firstLine="480" w:firstLineChars="200"/>
        <w:jc w:val="both"/>
        <w:rPr>
          <w:rFonts w:ascii="宋体" w:hAnsi="宋体"/>
          <w:sz w:val="24"/>
          <w:szCs w:val="24"/>
        </w:rPr>
      </w:pPr>
      <w:r>
        <w:rPr>
          <w:rFonts w:hint="eastAsia" w:ascii="宋体" w:hAnsi="宋体"/>
          <w:sz w:val="24"/>
          <w:szCs w:val="24"/>
        </w:rPr>
        <w:t>（1）投标人认为招标文件的内容损害其权益的，应当自获取之日起（获取截止日之后收到招标文件的，以获取截止日为准）7个工作日内提出质疑；</w:t>
      </w:r>
    </w:p>
    <w:p>
      <w:pPr>
        <w:pStyle w:val="7"/>
        <w:spacing w:line="360" w:lineRule="auto"/>
        <w:ind w:firstLine="480" w:firstLineChars="200"/>
        <w:jc w:val="both"/>
        <w:rPr>
          <w:rFonts w:ascii="宋体" w:hAnsi="宋体"/>
          <w:sz w:val="24"/>
          <w:szCs w:val="24"/>
        </w:rPr>
      </w:pPr>
      <w:r>
        <w:rPr>
          <w:rFonts w:hint="eastAsia" w:ascii="宋体" w:hAnsi="宋体"/>
          <w:sz w:val="24"/>
          <w:szCs w:val="24"/>
        </w:rPr>
        <w:t>（2）投标人对采购过程提出质疑的，应当在各采购程序环节结束之日起7个工作日内提出质疑；</w:t>
      </w:r>
    </w:p>
    <w:p>
      <w:pPr>
        <w:pStyle w:val="7"/>
        <w:spacing w:line="360" w:lineRule="auto"/>
        <w:ind w:firstLine="480" w:firstLineChars="200"/>
        <w:jc w:val="both"/>
        <w:rPr>
          <w:rFonts w:hint="eastAsia" w:ascii="宋体" w:hAnsi="宋体" w:eastAsia="宋体"/>
          <w:sz w:val="24"/>
          <w:szCs w:val="24"/>
          <w:lang w:eastAsia="zh-CN"/>
        </w:rPr>
      </w:pPr>
      <w:r>
        <w:rPr>
          <w:rFonts w:hint="eastAsia" w:ascii="宋体" w:hAnsi="宋体"/>
          <w:sz w:val="24"/>
          <w:szCs w:val="24"/>
        </w:rPr>
        <w:t>（3）投标人对中标结果提出质疑的，应当在中标结果公告期限届满之日起7个工作日内提出质疑</w:t>
      </w:r>
      <w:r>
        <w:rPr>
          <w:rFonts w:hint="eastAsia" w:ascii="宋体" w:hAnsi="宋体"/>
          <w:sz w:val="24"/>
          <w:szCs w:val="24"/>
          <w:lang w:eastAsia="zh-CN"/>
        </w:rPr>
        <w:t>。</w:t>
      </w:r>
    </w:p>
    <w:p>
      <w:pPr>
        <w:pStyle w:val="7"/>
        <w:spacing w:line="360" w:lineRule="auto"/>
        <w:ind w:firstLine="480" w:firstLineChars="200"/>
        <w:jc w:val="both"/>
        <w:rPr>
          <w:rFonts w:ascii="宋体" w:hAnsi="宋体"/>
          <w:sz w:val="24"/>
          <w:szCs w:val="24"/>
        </w:rPr>
      </w:pPr>
      <w:r>
        <w:rPr>
          <w:rFonts w:hint="eastAsia" w:ascii="宋体" w:hAnsi="宋体"/>
          <w:sz w:val="24"/>
          <w:szCs w:val="24"/>
        </w:rPr>
        <w:t>2.采购人或采购组织机构在收到投标人的书面质疑后7个工作日内作出答复，并以书面形式或政采云平台回复质疑投标人和其他有关投标人，但答复内容不涉及商业秘密。</w:t>
      </w:r>
    </w:p>
    <w:p>
      <w:pPr>
        <w:pStyle w:val="7"/>
        <w:spacing w:line="360" w:lineRule="auto"/>
        <w:ind w:firstLine="480" w:firstLineChars="200"/>
        <w:jc w:val="both"/>
        <w:rPr>
          <w:rFonts w:ascii="宋体" w:hAnsi="宋体"/>
          <w:sz w:val="24"/>
          <w:szCs w:val="24"/>
        </w:rPr>
      </w:pPr>
      <w:r>
        <w:rPr>
          <w:rFonts w:hint="eastAsia" w:ascii="宋体" w:hAnsi="宋体"/>
          <w:sz w:val="24"/>
          <w:szCs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7"/>
        <w:spacing w:line="360" w:lineRule="auto"/>
        <w:ind w:firstLine="482" w:firstLineChars="200"/>
        <w:jc w:val="both"/>
        <w:rPr>
          <w:rFonts w:ascii="宋体" w:hAnsi="宋体"/>
          <w:b/>
          <w:bCs/>
          <w:sz w:val="24"/>
          <w:szCs w:val="24"/>
        </w:rPr>
      </w:pPr>
      <w:r>
        <w:rPr>
          <w:rFonts w:hint="eastAsia" w:ascii="宋体" w:hAnsi="宋体"/>
          <w:b/>
          <w:bCs/>
          <w:sz w:val="24"/>
          <w:szCs w:val="24"/>
        </w:rPr>
        <w:t>（三）投诉</w:t>
      </w:r>
    </w:p>
    <w:p>
      <w:pPr>
        <w:pStyle w:val="7"/>
        <w:spacing w:line="360" w:lineRule="auto"/>
        <w:ind w:firstLine="480" w:firstLineChars="200"/>
        <w:jc w:val="both"/>
        <w:rPr>
          <w:rFonts w:ascii="宋体" w:hAnsi="宋体"/>
          <w:sz w:val="24"/>
          <w:szCs w:val="24"/>
        </w:rPr>
      </w:pPr>
      <w:r>
        <w:rPr>
          <w:rFonts w:hint="eastAsia" w:ascii="宋体" w:hAnsi="宋体"/>
          <w:sz w:val="24"/>
          <w:szCs w:val="24"/>
        </w:rPr>
        <w:t>投标人对采购人或采购组织机构的质疑答复不满意或在规定时间内未得到答复的，可以在答复期满后15个工作日内，向同级政府采购监督管理机构投诉。</w:t>
      </w:r>
    </w:p>
    <w:p>
      <w:pPr>
        <w:pStyle w:val="7"/>
        <w:spacing w:line="360" w:lineRule="auto"/>
        <w:ind w:firstLine="480" w:firstLineChars="200"/>
        <w:rPr>
          <w:rFonts w:asciiTheme="minorEastAsia" w:hAnsiTheme="minorEastAsia" w:eastAsiaTheme="minorEastAsia"/>
          <w:b/>
          <w:sz w:val="24"/>
          <w:szCs w:val="24"/>
        </w:rPr>
      </w:pPr>
      <w:r>
        <w:rPr>
          <w:rFonts w:hint="eastAsia" w:ascii="宋体" w:hAnsi="宋体"/>
          <w:sz w:val="24"/>
          <w:szCs w:val="24"/>
        </w:rPr>
        <w:br w:type="page"/>
      </w:r>
    </w:p>
    <w:p>
      <w:pPr>
        <w:numPr>
          <w:ilvl w:val="0"/>
          <w:numId w:val="4"/>
        </w:numPr>
        <w:spacing w:line="360" w:lineRule="auto"/>
        <w:jc w:val="center"/>
        <w:rPr>
          <w:rFonts w:asciiTheme="minorEastAsia" w:hAnsiTheme="minorEastAsia" w:eastAsiaTheme="minorEastAsia"/>
          <w:b/>
          <w:sz w:val="36"/>
          <w:szCs w:val="36"/>
        </w:rPr>
      </w:pPr>
      <w:bookmarkStart w:id="38" w:name="_Toc13072_WPSOffice_Level1"/>
      <w:r>
        <w:rPr>
          <w:rFonts w:hint="eastAsia" w:asciiTheme="minorEastAsia" w:hAnsiTheme="minorEastAsia" w:eastAsiaTheme="minorEastAsia"/>
          <w:b/>
          <w:sz w:val="36"/>
          <w:szCs w:val="36"/>
        </w:rPr>
        <w:t>招标需求</w:t>
      </w:r>
      <w:bookmarkEnd w:id="38"/>
    </w:p>
    <w:p>
      <w:pPr>
        <w:tabs>
          <w:tab w:val="left" w:pos="8280"/>
        </w:tabs>
        <w:autoSpaceDE w:val="0"/>
        <w:autoSpaceDN w:val="0"/>
        <w:adjustRightIn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本次招标共</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个标项，具体内容如下表：</w:t>
      </w:r>
    </w:p>
    <w:tbl>
      <w:tblPr>
        <w:tblStyle w:val="21"/>
        <w:tblpPr w:leftFromText="181" w:rightFromText="181" w:bottomFromText="170" w:vertAnchor="text" w:tblpXSpec="center" w:tblpY="1"/>
        <w:tblOverlap w:val="never"/>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2191"/>
        <w:gridCol w:w="1710"/>
        <w:gridCol w:w="1099"/>
        <w:gridCol w:w="852"/>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597" w:type="dxa"/>
            <w:vAlign w:val="center"/>
          </w:tcPr>
          <w:p>
            <w:pPr>
              <w:tabs>
                <w:tab w:val="left" w:pos="8280"/>
              </w:tabs>
              <w:autoSpaceDE w:val="0"/>
              <w:autoSpaceDN w:val="0"/>
              <w:adjustRightInd w:val="0"/>
              <w:jc w:val="center"/>
              <w:rPr>
                <w:rFonts w:ascii="宋体"/>
                <w:b/>
                <w:sz w:val="24"/>
                <w:szCs w:val="24"/>
              </w:rPr>
            </w:pPr>
            <w:r>
              <w:rPr>
                <w:rFonts w:hint="eastAsia" w:ascii="宋体" w:hAnsi="宋体"/>
                <w:b/>
                <w:sz w:val="24"/>
                <w:szCs w:val="24"/>
              </w:rPr>
              <w:t>标项号</w:t>
            </w:r>
          </w:p>
        </w:tc>
        <w:tc>
          <w:tcPr>
            <w:tcW w:w="2191" w:type="dxa"/>
            <w:vAlign w:val="center"/>
          </w:tcPr>
          <w:p>
            <w:pPr>
              <w:tabs>
                <w:tab w:val="left" w:pos="8280"/>
              </w:tabs>
              <w:autoSpaceDE w:val="0"/>
              <w:autoSpaceDN w:val="0"/>
              <w:adjustRightInd w:val="0"/>
              <w:jc w:val="center"/>
              <w:rPr>
                <w:rFonts w:ascii="宋体"/>
                <w:b/>
                <w:sz w:val="24"/>
                <w:szCs w:val="24"/>
              </w:rPr>
            </w:pPr>
            <w:r>
              <w:rPr>
                <w:rFonts w:hint="eastAsia" w:ascii="宋体" w:hAnsi="宋体"/>
                <w:b/>
                <w:sz w:val="24"/>
                <w:szCs w:val="24"/>
              </w:rPr>
              <w:t>项目名称</w:t>
            </w:r>
          </w:p>
        </w:tc>
        <w:tc>
          <w:tcPr>
            <w:tcW w:w="1710" w:type="dxa"/>
            <w:vAlign w:val="center"/>
          </w:tcPr>
          <w:p>
            <w:pPr>
              <w:tabs>
                <w:tab w:val="left" w:pos="8280"/>
              </w:tabs>
              <w:autoSpaceDE w:val="0"/>
              <w:autoSpaceDN w:val="0"/>
              <w:adjustRightInd w:val="0"/>
              <w:jc w:val="center"/>
              <w:rPr>
                <w:rFonts w:ascii="宋体"/>
                <w:b/>
                <w:sz w:val="24"/>
                <w:szCs w:val="24"/>
              </w:rPr>
            </w:pPr>
            <w:r>
              <w:rPr>
                <w:rFonts w:hint="eastAsia" w:ascii="宋体" w:hAnsi="宋体" w:cs="宋体"/>
                <w:b/>
                <w:kern w:val="0"/>
                <w:sz w:val="24"/>
                <w:szCs w:val="24"/>
              </w:rPr>
              <w:t>简要技术要求</w:t>
            </w:r>
          </w:p>
        </w:tc>
        <w:tc>
          <w:tcPr>
            <w:tcW w:w="1099" w:type="dxa"/>
            <w:vAlign w:val="center"/>
          </w:tcPr>
          <w:p>
            <w:pPr>
              <w:tabs>
                <w:tab w:val="left" w:pos="8280"/>
              </w:tabs>
              <w:autoSpaceDE w:val="0"/>
              <w:autoSpaceDN w:val="0"/>
              <w:adjustRightInd w:val="0"/>
              <w:jc w:val="center"/>
              <w:rPr>
                <w:rFonts w:ascii="宋体"/>
                <w:b/>
                <w:sz w:val="24"/>
                <w:szCs w:val="24"/>
              </w:rPr>
            </w:pPr>
            <w:r>
              <w:rPr>
                <w:rFonts w:hint="eastAsia" w:ascii="宋体" w:hAnsi="宋体"/>
                <w:b/>
                <w:sz w:val="24"/>
                <w:szCs w:val="24"/>
              </w:rPr>
              <w:t>数量</w:t>
            </w:r>
          </w:p>
        </w:tc>
        <w:tc>
          <w:tcPr>
            <w:tcW w:w="852" w:type="dxa"/>
            <w:vAlign w:val="center"/>
          </w:tcPr>
          <w:p>
            <w:pPr>
              <w:tabs>
                <w:tab w:val="left" w:pos="8280"/>
              </w:tabs>
              <w:autoSpaceDE w:val="0"/>
              <w:autoSpaceDN w:val="0"/>
              <w:adjustRightInd w:val="0"/>
              <w:jc w:val="center"/>
              <w:rPr>
                <w:rFonts w:ascii="宋体"/>
                <w:b/>
                <w:sz w:val="24"/>
                <w:szCs w:val="24"/>
              </w:rPr>
            </w:pPr>
            <w:r>
              <w:rPr>
                <w:rFonts w:hint="eastAsia" w:ascii="宋体" w:hAnsi="宋体"/>
                <w:b/>
                <w:sz w:val="24"/>
                <w:szCs w:val="24"/>
              </w:rPr>
              <w:t>单位</w:t>
            </w:r>
          </w:p>
        </w:tc>
        <w:tc>
          <w:tcPr>
            <w:tcW w:w="1629" w:type="dxa"/>
            <w:vAlign w:val="center"/>
          </w:tcPr>
          <w:p>
            <w:pPr>
              <w:tabs>
                <w:tab w:val="left" w:pos="8280"/>
              </w:tabs>
              <w:autoSpaceDE w:val="0"/>
              <w:autoSpaceDN w:val="0"/>
              <w:adjustRightInd w:val="0"/>
              <w:jc w:val="center"/>
              <w:rPr>
                <w:rFonts w:ascii="宋体" w:hAnsi="宋体" w:cs="宋体"/>
                <w:b/>
                <w:sz w:val="24"/>
                <w:szCs w:val="24"/>
              </w:rPr>
            </w:pPr>
            <w:r>
              <w:rPr>
                <w:rFonts w:hint="eastAsia" w:ascii="宋体" w:hAnsi="宋体" w:cs="宋体"/>
                <w:b/>
                <w:sz w:val="24"/>
                <w:szCs w:val="24"/>
              </w:rPr>
              <w:t>预算</w:t>
            </w:r>
          </w:p>
          <w:p>
            <w:pPr>
              <w:tabs>
                <w:tab w:val="left" w:pos="8280"/>
              </w:tabs>
              <w:autoSpaceDE w:val="0"/>
              <w:autoSpaceDN w:val="0"/>
              <w:adjustRightInd w:val="0"/>
              <w:jc w:val="center"/>
              <w:rPr>
                <w:rFonts w:hint="eastAsia" w:ascii="宋体" w:hAnsi="宋体" w:cs="宋体"/>
                <w:b/>
                <w:sz w:val="24"/>
                <w:szCs w:val="24"/>
              </w:rPr>
            </w:pPr>
            <w:r>
              <w:rPr>
                <w:rFonts w:hint="eastAsia" w:ascii="宋体" w:hAnsi="宋体" w:cs="宋体"/>
                <w:b/>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97" w:type="dxa"/>
            <w:vAlign w:val="center"/>
          </w:tcPr>
          <w:p>
            <w:pPr>
              <w:tabs>
                <w:tab w:val="left" w:pos="8280"/>
              </w:tabs>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2191" w:type="dxa"/>
            <w:vAlign w:val="center"/>
          </w:tcPr>
          <w:p>
            <w:pPr>
              <w:tabs>
                <w:tab w:val="left" w:pos="8280"/>
              </w:tabs>
              <w:autoSpaceDE w:val="0"/>
              <w:autoSpaceDN w:val="0"/>
              <w:adjustRightInd w:val="0"/>
              <w:jc w:val="center"/>
              <w:rPr>
                <w:rFonts w:hint="eastAsia" w:ascii="宋体" w:hAnsi="宋体" w:eastAsia="宋体" w:cs="宋体"/>
                <w:b/>
                <w:sz w:val="24"/>
                <w:szCs w:val="24"/>
                <w:lang w:eastAsia="zh-CN"/>
              </w:rPr>
            </w:pPr>
            <w:r>
              <w:rPr>
                <w:rFonts w:hint="eastAsia" w:ascii="宋体" w:hAnsi="宋体" w:cs="宋体"/>
                <w:b w:val="0"/>
                <w:bCs/>
                <w:sz w:val="24"/>
                <w:szCs w:val="24"/>
                <w:lang w:eastAsia="zh-CN"/>
              </w:rPr>
              <w:t>公寓家具项目</w:t>
            </w:r>
          </w:p>
        </w:tc>
        <w:tc>
          <w:tcPr>
            <w:tcW w:w="1710" w:type="dxa"/>
            <w:vAlign w:val="center"/>
          </w:tcPr>
          <w:p>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sz w:val="24"/>
                <w:szCs w:val="24"/>
              </w:rPr>
              <w:t>详见技术需求</w:t>
            </w:r>
          </w:p>
        </w:tc>
        <w:tc>
          <w:tcPr>
            <w:tcW w:w="1099" w:type="dxa"/>
            <w:vAlign w:val="center"/>
          </w:tcPr>
          <w:p>
            <w:pPr>
              <w:tabs>
                <w:tab w:val="left" w:pos="8280"/>
              </w:tabs>
              <w:autoSpaceDE w:val="0"/>
              <w:autoSpaceDN w:val="0"/>
              <w:adjustRightInd w:val="0"/>
              <w:jc w:val="cente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1</w:t>
            </w:r>
          </w:p>
        </w:tc>
        <w:tc>
          <w:tcPr>
            <w:tcW w:w="852" w:type="dxa"/>
            <w:vAlign w:val="center"/>
          </w:tcPr>
          <w:p>
            <w:pPr>
              <w:tabs>
                <w:tab w:val="left" w:pos="8280"/>
              </w:tabs>
              <w:autoSpaceDE w:val="0"/>
              <w:autoSpaceDN w:val="0"/>
              <w:adjustRightInd w:val="0"/>
              <w:jc w:val="center"/>
              <w:rPr>
                <w:rFonts w:hint="eastAsia" w:ascii="宋体" w:hAnsi="宋体" w:eastAsia="宋体" w:cs="宋体"/>
                <w:bCs/>
                <w:sz w:val="24"/>
                <w:szCs w:val="24"/>
                <w:lang w:eastAsia="zh-CN"/>
              </w:rPr>
            </w:pPr>
            <w:r>
              <w:rPr>
                <w:rFonts w:hint="eastAsia" w:ascii="宋体" w:hAnsi="宋体" w:cs="宋体"/>
                <w:bCs/>
                <w:sz w:val="24"/>
                <w:szCs w:val="24"/>
                <w:lang w:eastAsia="zh-CN"/>
              </w:rPr>
              <w:t>批</w:t>
            </w:r>
          </w:p>
        </w:tc>
        <w:tc>
          <w:tcPr>
            <w:tcW w:w="1629" w:type="dxa"/>
            <w:vAlign w:val="center"/>
          </w:tcPr>
          <w:p>
            <w:pPr>
              <w:tabs>
                <w:tab w:val="left" w:pos="8280"/>
              </w:tabs>
              <w:autoSpaceDE w:val="0"/>
              <w:autoSpaceDN w:val="0"/>
              <w:adjustRightInd w:val="0"/>
              <w:jc w:val="center"/>
              <w:rPr>
                <w:rFonts w:hint="default" w:ascii="宋体" w:hAnsi="宋体" w:cs="宋体"/>
                <w:bCs/>
                <w:sz w:val="24"/>
                <w:szCs w:val="24"/>
                <w:lang w:val="en-US" w:eastAsia="zh-CN"/>
              </w:rPr>
            </w:pPr>
            <w:r>
              <w:rPr>
                <w:rFonts w:hint="eastAsia" w:ascii="宋体" w:hAnsi="宋体" w:cs="宋体"/>
                <w:bCs/>
                <w:sz w:val="24"/>
                <w:szCs w:val="24"/>
                <w:lang w:val="en-US" w:eastAsia="zh-CN"/>
              </w:rPr>
              <w:t>480</w:t>
            </w:r>
          </w:p>
        </w:tc>
      </w:tr>
    </w:tbl>
    <w:p>
      <w:pPr>
        <w:numPr>
          <w:ilvl w:val="0"/>
          <w:numId w:val="6"/>
        </w:numPr>
        <w:tabs>
          <w:tab w:val="left" w:pos="8280"/>
        </w:tabs>
        <w:autoSpaceDE w:val="0"/>
        <w:autoSpaceDN w:val="0"/>
        <w:adjustRightIn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技术需求</w:t>
      </w:r>
    </w:p>
    <w:p>
      <w:pPr>
        <w:numPr>
          <w:ilvl w:val="0"/>
          <w:numId w:val="7"/>
        </w:numPr>
        <w:spacing w:line="360" w:lineRule="auto"/>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rPr>
        <w:t>项目具体技术参数需求</w:t>
      </w:r>
      <w:r>
        <w:rPr>
          <w:rFonts w:hint="eastAsia" w:asciiTheme="minorEastAsia" w:hAnsiTheme="minorEastAsia" w:eastAsiaTheme="minorEastAsia" w:cstheme="minorEastAsia"/>
          <w:bCs/>
          <w:sz w:val="28"/>
          <w:szCs w:val="28"/>
          <w:lang w:eastAsia="zh-CN"/>
        </w:rPr>
        <w:t>：</w:t>
      </w:r>
    </w:p>
    <w:tbl>
      <w:tblPr>
        <w:tblStyle w:val="2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94"/>
        <w:gridCol w:w="855"/>
        <w:gridCol w:w="965"/>
        <w:gridCol w:w="1680"/>
        <w:gridCol w:w="1560"/>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pStyle w:val="9"/>
              <w:spacing w:line="300" w:lineRule="exact"/>
              <w:ind w:firstLine="0" w:firstLineChars="0"/>
              <w:jc w:val="center"/>
              <w:rPr>
                <w:rFonts w:hint="eastAsia" w:ascii="宋体" w:hAnsi="宋体" w:cs="宋体"/>
                <w:b/>
                <w:bCs/>
                <w:sz w:val="24"/>
                <w:szCs w:val="24"/>
              </w:rPr>
            </w:pPr>
            <w:r>
              <w:rPr>
                <w:rFonts w:hint="eastAsia" w:ascii="宋体" w:hAnsi="宋体" w:cs="宋体"/>
                <w:b/>
                <w:bCs/>
                <w:sz w:val="24"/>
                <w:szCs w:val="24"/>
              </w:rPr>
              <w:t>序号</w:t>
            </w:r>
          </w:p>
        </w:tc>
        <w:tc>
          <w:tcPr>
            <w:tcW w:w="1894" w:type="dxa"/>
            <w:noWrap w:val="0"/>
            <w:vAlign w:val="center"/>
          </w:tcPr>
          <w:p>
            <w:pPr>
              <w:pStyle w:val="9"/>
              <w:spacing w:line="300" w:lineRule="exact"/>
              <w:ind w:firstLine="0" w:firstLineChars="0"/>
              <w:jc w:val="center"/>
              <w:rPr>
                <w:rFonts w:ascii="宋体" w:hAnsi="宋体" w:cs="宋体"/>
                <w:b/>
                <w:bCs/>
                <w:sz w:val="24"/>
                <w:szCs w:val="24"/>
              </w:rPr>
            </w:pPr>
            <w:r>
              <w:rPr>
                <w:rFonts w:hint="eastAsia" w:ascii="宋体" w:hAnsi="宋体" w:cs="宋体"/>
                <w:b/>
                <w:bCs/>
                <w:sz w:val="24"/>
                <w:szCs w:val="24"/>
              </w:rPr>
              <w:t>采购内容</w:t>
            </w:r>
          </w:p>
        </w:tc>
        <w:tc>
          <w:tcPr>
            <w:tcW w:w="855" w:type="dxa"/>
            <w:noWrap w:val="0"/>
            <w:vAlign w:val="center"/>
          </w:tcPr>
          <w:p>
            <w:pPr>
              <w:pStyle w:val="9"/>
              <w:spacing w:line="300" w:lineRule="exact"/>
              <w:ind w:firstLine="0" w:firstLineChars="0"/>
              <w:jc w:val="center"/>
              <w:rPr>
                <w:rFonts w:hint="eastAsia" w:ascii="宋体" w:hAnsi="宋体" w:cs="宋体"/>
                <w:b/>
                <w:bCs/>
                <w:sz w:val="24"/>
                <w:szCs w:val="24"/>
              </w:rPr>
            </w:pPr>
            <w:r>
              <w:rPr>
                <w:rFonts w:hint="eastAsia" w:ascii="宋体" w:hAnsi="宋体" w:cs="宋体"/>
                <w:b/>
                <w:bCs/>
                <w:sz w:val="24"/>
                <w:szCs w:val="24"/>
              </w:rPr>
              <w:t>数量</w:t>
            </w:r>
          </w:p>
        </w:tc>
        <w:tc>
          <w:tcPr>
            <w:tcW w:w="965" w:type="dxa"/>
            <w:noWrap w:val="0"/>
            <w:vAlign w:val="center"/>
          </w:tcPr>
          <w:p>
            <w:pPr>
              <w:pStyle w:val="9"/>
              <w:spacing w:line="300" w:lineRule="exact"/>
              <w:ind w:firstLine="0" w:firstLineChars="0"/>
              <w:jc w:val="center"/>
              <w:rPr>
                <w:rFonts w:hint="eastAsia" w:ascii="宋体" w:hAnsi="宋体" w:cs="宋体"/>
                <w:b/>
                <w:bCs/>
                <w:sz w:val="24"/>
                <w:szCs w:val="24"/>
              </w:rPr>
            </w:pPr>
            <w:r>
              <w:rPr>
                <w:rFonts w:hint="eastAsia" w:ascii="宋体" w:hAnsi="宋体" w:cs="宋体"/>
                <w:b/>
                <w:bCs/>
                <w:sz w:val="24"/>
                <w:szCs w:val="24"/>
              </w:rPr>
              <w:t>单位</w:t>
            </w:r>
          </w:p>
        </w:tc>
        <w:tc>
          <w:tcPr>
            <w:tcW w:w="1680" w:type="dxa"/>
            <w:noWrap w:val="0"/>
            <w:vAlign w:val="center"/>
          </w:tcPr>
          <w:p>
            <w:pPr>
              <w:pStyle w:val="9"/>
              <w:spacing w:line="300" w:lineRule="exact"/>
              <w:ind w:firstLine="0" w:firstLineChars="0"/>
              <w:jc w:val="center"/>
              <w:rPr>
                <w:rFonts w:hint="eastAsia" w:ascii="宋体" w:hAnsi="宋体" w:cs="宋体"/>
                <w:b/>
                <w:bCs/>
                <w:sz w:val="24"/>
                <w:szCs w:val="24"/>
              </w:rPr>
            </w:pPr>
            <w:r>
              <w:rPr>
                <w:rFonts w:hint="eastAsia" w:ascii="宋体" w:hAnsi="宋体" w:cs="宋体"/>
                <w:bCs/>
                <w:sz w:val="24"/>
                <w:szCs w:val="24"/>
              </w:rPr>
              <w:t>是否为核心产品，若不填则以所占金额比重衡量</w:t>
            </w:r>
          </w:p>
        </w:tc>
        <w:tc>
          <w:tcPr>
            <w:tcW w:w="1560" w:type="dxa"/>
            <w:noWrap w:val="0"/>
            <w:vAlign w:val="center"/>
          </w:tcPr>
          <w:p>
            <w:pPr>
              <w:spacing w:line="360" w:lineRule="auto"/>
              <w:jc w:val="center"/>
              <w:rPr>
                <w:rFonts w:hint="eastAsia" w:ascii="宋体" w:hAnsi="宋体" w:cs="宋体"/>
                <w:bCs/>
                <w:kern w:val="0"/>
                <w:sz w:val="24"/>
                <w:szCs w:val="24"/>
              </w:rPr>
            </w:pPr>
            <w:r>
              <w:rPr>
                <w:rFonts w:hint="eastAsia" w:ascii="宋体" w:hAnsi="宋体" w:cs="宋体"/>
                <w:bCs/>
                <w:kern w:val="0"/>
                <w:sz w:val="24"/>
                <w:szCs w:val="24"/>
              </w:rPr>
              <w:t>是否</w:t>
            </w:r>
          </w:p>
          <w:p>
            <w:pPr>
              <w:pStyle w:val="9"/>
              <w:spacing w:line="300" w:lineRule="exact"/>
              <w:ind w:firstLine="0" w:firstLineChars="0"/>
              <w:jc w:val="center"/>
              <w:rPr>
                <w:rFonts w:hint="eastAsia" w:ascii="宋体" w:hAnsi="宋体" w:cs="宋体"/>
                <w:b/>
                <w:bCs/>
                <w:sz w:val="24"/>
                <w:szCs w:val="24"/>
              </w:rPr>
            </w:pPr>
            <w:r>
              <w:rPr>
                <w:rFonts w:hint="eastAsia" w:ascii="宋体" w:hAnsi="宋体" w:cs="宋体"/>
                <w:bCs/>
                <w:sz w:val="24"/>
                <w:szCs w:val="24"/>
              </w:rPr>
              <w:t>为主要产品</w:t>
            </w:r>
          </w:p>
        </w:tc>
        <w:tc>
          <w:tcPr>
            <w:tcW w:w="1827" w:type="dxa"/>
            <w:noWrap w:val="0"/>
            <w:vAlign w:val="center"/>
          </w:tcPr>
          <w:p>
            <w:pPr>
              <w:pStyle w:val="9"/>
              <w:spacing w:line="300" w:lineRule="exact"/>
              <w:ind w:firstLine="0" w:firstLineChars="0"/>
              <w:jc w:val="center"/>
              <w:rPr>
                <w:rFonts w:hint="eastAsia" w:ascii="宋体" w:hAnsi="宋体" w:cs="宋体"/>
                <w:bCs/>
                <w:sz w:val="24"/>
                <w:szCs w:val="24"/>
              </w:rPr>
            </w:pPr>
            <w:r>
              <w:rPr>
                <w:rFonts w:hint="eastAsia" w:ascii="宋体" w:hAnsi="宋体" w:cs="宋体"/>
                <w:bCs/>
                <w:sz w:val="24"/>
                <w:szCs w:val="24"/>
              </w:rPr>
              <w:t>是否进口（进口的需提供进口批文）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50" w:type="dxa"/>
            <w:vMerge w:val="restart"/>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1</w:t>
            </w:r>
          </w:p>
        </w:tc>
        <w:tc>
          <w:tcPr>
            <w:tcW w:w="1894"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女生宿舍</w:t>
            </w:r>
          </w:p>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四人位</w:t>
            </w:r>
          </w:p>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宿舍床</w:t>
            </w:r>
          </w:p>
        </w:tc>
        <w:tc>
          <w:tcPr>
            <w:tcW w:w="855"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205</w:t>
            </w:r>
          </w:p>
        </w:tc>
        <w:tc>
          <w:tcPr>
            <w:tcW w:w="965"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组</w:t>
            </w:r>
          </w:p>
        </w:tc>
        <w:tc>
          <w:tcPr>
            <w:tcW w:w="168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是</w:t>
            </w:r>
          </w:p>
        </w:tc>
        <w:tc>
          <w:tcPr>
            <w:tcW w:w="156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是</w:t>
            </w:r>
          </w:p>
        </w:tc>
        <w:tc>
          <w:tcPr>
            <w:tcW w:w="1827"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Merge w:val="continue"/>
            <w:noWrap w:val="0"/>
            <w:vAlign w:val="center"/>
          </w:tcPr>
          <w:p>
            <w:pPr>
              <w:pStyle w:val="9"/>
              <w:spacing w:line="300" w:lineRule="exact"/>
              <w:ind w:firstLine="0" w:firstLineChars="0"/>
              <w:jc w:val="center"/>
              <w:rPr>
                <w:rFonts w:hint="eastAsia" w:ascii="宋体" w:hAnsi="宋体" w:cs="宋体"/>
                <w:color w:val="FF0000"/>
                <w:sz w:val="24"/>
                <w:szCs w:val="24"/>
              </w:rPr>
            </w:pPr>
          </w:p>
        </w:tc>
        <w:tc>
          <w:tcPr>
            <w:tcW w:w="1894"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三人位</w:t>
            </w:r>
          </w:p>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（含7人衣柜）</w:t>
            </w:r>
          </w:p>
        </w:tc>
        <w:tc>
          <w:tcPr>
            <w:tcW w:w="855"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205</w:t>
            </w:r>
          </w:p>
        </w:tc>
        <w:tc>
          <w:tcPr>
            <w:tcW w:w="965"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组</w:t>
            </w:r>
          </w:p>
        </w:tc>
        <w:tc>
          <w:tcPr>
            <w:tcW w:w="168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是</w:t>
            </w:r>
          </w:p>
        </w:tc>
        <w:tc>
          <w:tcPr>
            <w:tcW w:w="156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是</w:t>
            </w:r>
          </w:p>
        </w:tc>
        <w:tc>
          <w:tcPr>
            <w:tcW w:w="1827"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2</w:t>
            </w:r>
          </w:p>
        </w:tc>
        <w:tc>
          <w:tcPr>
            <w:tcW w:w="1894"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男生宿舍</w:t>
            </w:r>
          </w:p>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三人位</w:t>
            </w:r>
          </w:p>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宿舍床（含柜）</w:t>
            </w:r>
          </w:p>
        </w:tc>
        <w:tc>
          <w:tcPr>
            <w:tcW w:w="855"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408</w:t>
            </w:r>
          </w:p>
        </w:tc>
        <w:tc>
          <w:tcPr>
            <w:tcW w:w="965"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组</w:t>
            </w:r>
          </w:p>
        </w:tc>
        <w:tc>
          <w:tcPr>
            <w:tcW w:w="168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是</w:t>
            </w:r>
          </w:p>
        </w:tc>
        <w:tc>
          <w:tcPr>
            <w:tcW w:w="156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是</w:t>
            </w:r>
          </w:p>
        </w:tc>
        <w:tc>
          <w:tcPr>
            <w:tcW w:w="1827"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3</w:t>
            </w:r>
          </w:p>
        </w:tc>
        <w:tc>
          <w:tcPr>
            <w:tcW w:w="1894" w:type="dxa"/>
            <w:noWrap w:val="0"/>
            <w:vAlign w:val="center"/>
          </w:tcPr>
          <w:p>
            <w:pPr>
              <w:pStyle w:val="9"/>
              <w:spacing w:line="300" w:lineRule="exact"/>
              <w:ind w:firstLine="0" w:firstLineChars="0"/>
              <w:jc w:val="center"/>
              <w:rPr>
                <w:rFonts w:ascii="宋体" w:hAnsi="宋体" w:cs="宋体"/>
                <w:sz w:val="24"/>
                <w:szCs w:val="24"/>
              </w:rPr>
            </w:pPr>
            <w:r>
              <w:rPr>
                <w:rFonts w:hint="eastAsia" w:ascii="宋体" w:hAnsi="宋体" w:cs="宋体"/>
                <w:sz w:val="24"/>
                <w:szCs w:val="24"/>
              </w:rPr>
              <w:t>挂衣架</w:t>
            </w:r>
          </w:p>
        </w:tc>
        <w:tc>
          <w:tcPr>
            <w:tcW w:w="855" w:type="dxa"/>
            <w:noWrap w:val="0"/>
            <w:vAlign w:val="center"/>
          </w:tcPr>
          <w:p>
            <w:pPr>
              <w:pStyle w:val="9"/>
              <w:spacing w:line="300" w:lineRule="exact"/>
              <w:ind w:firstLine="0" w:firstLineChars="0"/>
              <w:jc w:val="center"/>
              <w:rPr>
                <w:rFonts w:ascii="宋体" w:hAnsi="宋体" w:cs="宋体"/>
                <w:sz w:val="24"/>
                <w:szCs w:val="24"/>
              </w:rPr>
            </w:pPr>
            <w:r>
              <w:rPr>
                <w:rFonts w:hint="eastAsia" w:ascii="宋体" w:hAnsi="宋体" w:cs="宋体"/>
                <w:sz w:val="24"/>
                <w:szCs w:val="24"/>
              </w:rPr>
              <w:t>504</w:t>
            </w:r>
          </w:p>
        </w:tc>
        <w:tc>
          <w:tcPr>
            <w:tcW w:w="965"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组</w:t>
            </w:r>
          </w:p>
        </w:tc>
        <w:tc>
          <w:tcPr>
            <w:tcW w:w="168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否</w:t>
            </w:r>
          </w:p>
        </w:tc>
        <w:tc>
          <w:tcPr>
            <w:tcW w:w="1560" w:type="dxa"/>
            <w:noWrap w:val="0"/>
            <w:vAlign w:val="center"/>
          </w:tcPr>
          <w:p>
            <w:pPr>
              <w:pStyle w:val="9"/>
              <w:spacing w:line="300" w:lineRule="exact"/>
              <w:ind w:firstLine="0" w:firstLineChars="0"/>
              <w:jc w:val="center"/>
              <w:rPr>
                <w:rFonts w:ascii="宋体" w:hAnsi="宋体" w:cs="宋体"/>
                <w:sz w:val="24"/>
                <w:szCs w:val="24"/>
              </w:rPr>
            </w:pPr>
            <w:r>
              <w:rPr>
                <w:rFonts w:hint="eastAsia" w:ascii="宋体" w:hAnsi="宋体" w:cs="宋体"/>
                <w:sz w:val="24"/>
                <w:szCs w:val="24"/>
              </w:rPr>
              <w:t>否</w:t>
            </w:r>
          </w:p>
        </w:tc>
        <w:tc>
          <w:tcPr>
            <w:tcW w:w="1827"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Merge w:val="restart"/>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4</w:t>
            </w:r>
          </w:p>
        </w:tc>
        <w:tc>
          <w:tcPr>
            <w:tcW w:w="1894"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床</w:t>
            </w:r>
          </w:p>
        </w:tc>
        <w:tc>
          <w:tcPr>
            <w:tcW w:w="855"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10</w:t>
            </w:r>
          </w:p>
        </w:tc>
        <w:tc>
          <w:tcPr>
            <w:tcW w:w="965"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套</w:t>
            </w:r>
          </w:p>
        </w:tc>
        <w:tc>
          <w:tcPr>
            <w:tcW w:w="168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否</w:t>
            </w:r>
          </w:p>
        </w:tc>
        <w:tc>
          <w:tcPr>
            <w:tcW w:w="156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否</w:t>
            </w:r>
          </w:p>
        </w:tc>
        <w:tc>
          <w:tcPr>
            <w:tcW w:w="1827"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Merge w:val="continue"/>
            <w:noWrap w:val="0"/>
            <w:vAlign w:val="center"/>
          </w:tcPr>
          <w:p>
            <w:pPr>
              <w:pStyle w:val="9"/>
              <w:spacing w:line="300" w:lineRule="exact"/>
              <w:ind w:firstLine="0" w:firstLineChars="0"/>
              <w:jc w:val="center"/>
              <w:rPr>
                <w:rFonts w:hint="eastAsia" w:ascii="宋体" w:hAnsi="宋体" w:cs="宋体"/>
                <w:sz w:val="24"/>
                <w:szCs w:val="24"/>
              </w:rPr>
            </w:pPr>
          </w:p>
        </w:tc>
        <w:tc>
          <w:tcPr>
            <w:tcW w:w="1894" w:type="dxa"/>
            <w:noWrap w:val="0"/>
            <w:vAlign w:val="center"/>
          </w:tcPr>
          <w:p>
            <w:pPr>
              <w:pStyle w:val="20"/>
              <w:ind w:left="0" w:leftChars="0" w:firstLine="0"/>
              <w:jc w:val="center"/>
              <w:rPr>
                <w:rFonts w:hint="eastAsia" w:ascii="宋体" w:hAnsi="宋体" w:cs="宋体"/>
                <w:sz w:val="24"/>
                <w:szCs w:val="24"/>
              </w:rPr>
            </w:pPr>
            <w:r>
              <w:rPr>
                <w:rFonts w:hint="eastAsia" w:ascii="宋体" w:hAnsi="宋体" w:cs="宋体"/>
                <w:sz w:val="24"/>
                <w:szCs w:val="24"/>
              </w:rPr>
              <w:t>写字</w:t>
            </w:r>
          </w:p>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桌椅</w:t>
            </w:r>
          </w:p>
        </w:tc>
        <w:tc>
          <w:tcPr>
            <w:tcW w:w="855"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10</w:t>
            </w:r>
          </w:p>
        </w:tc>
        <w:tc>
          <w:tcPr>
            <w:tcW w:w="965"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套</w:t>
            </w:r>
          </w:p>
        </w:tc>
        <w:tc>
          <w:tcPr>
            <w:tcW w:w="168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否</w:t>
            </w:r>
          </w:p>
        </w:tc>
        <w:tc>
          <w:tcPr>
            <w:tcW w:w="156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否</w:t>
            </w:r>
          </w:p>
        </w:tc>
        <w:tc>
          <w:tcPr>
            <w:tcW w:w="1827"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Merge w:val="continue"/>
            <w:noWrap w:val="0"/>
            <w:vAlign w:val="center"/>
          </w:tcPr>
          <w:p>
            <w:pPr>
              <w:pStyle w:val="9"/>
              <w:spacing w:line="300" w:lineRule="exact"/>
              <w:ind w:firstLine="0" w:firstLineChars="0"/>
              <w:jc w:val="center"/>
              <w:rPr>
                <w:rFonts w:hint="eastAsia" w:ascii="宋体" w:hAnsi="宋体" w:cs="宋体"/>
                <w:sz w:val="24"/>
                <w:szCs w:val="24"/>
              </w:rPr>
            </w:pPr>
          </w:p>
        </w:tc>
        <w:tc>
          <w:tcPr>
            <w:tcW w:w="1894" w:type="dxa"/>
            <w:noWrap w:val="0"/>
            <w:vAlign w:val="center"/>
          </w:tcPr>
          <w:p>
            <w:pPr>
              <w:pStyle w:val="20"/>
              <w:ind w:left="0" w:leftChars="0" w:firstLine="0"/>
              <w:jc w:val="center"/>
              <w:rPr>
                <w:rFonts w:hint="eastAsia" w:ascii="宋体" w:hAnsi="宋体" w:cs="宋体"/>
                <w:sz w:val="24"/>
                <w:szCs w:val="24"/>
              </w:rPr>
            </w:pPr>
            <w:r>
              <w:rPr>
                <w:rFonts w:hint="eastAsia" w:ascii="宋体" w:hAnsi="宋体" w:cs="宋体"/>
                <w:sz w:val="24"/>
                <w:szCs w:val="24"/>
              </w:rPr>
              <w:t>衣柜</w:t>
            </w:r>
          </w:p>
        </w:tc>
        <w:tc>
          <w:tcPr>
            <w:tcW w:w="855"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10</w:t>
            </w:r>
          </w:p>
        </w:tc>
        <w:tc>
          <w:tcPr>
            <w:tcW w:w="965"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张</w:t>
            </w:r>
          </w:p>
        </w:tc>
        <w:tc>
          <w:tcPr>
            <w:tcW w:w="168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否</w:t>
            </w:r>
          </w:p>
        </w:tc>
        <w:tc>
          <w:tcPr>
            <w:tcW w:w="156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否</w:t>
            </w:r>
          </w:p>
        </w:tc>
        <w:tc>
          <w:tcPr>
            <w:tcW w:w="1827"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5</w:t>
            </w:r>
          </w:p>
        </w:tc>
        <w:tc>
          <w:tcPr>
            <w:tcW w:w="1894"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无障碍床</w:t>
            </w:r>
          </w:p>
        </w:tc>
        <w:tc>
          <w:tcPr>
            <w:tcW w:w="855" w:type="dxa"/>
            <w:noWrap w:val="0"/>
            <w:vAlign w:val="center"/>
          </w:tcPr>
          <w:p>
            <w:pPr>
              <w:pStyle w:val="9"/>
              <w:spacing w:line="300" w:lineRule="exact"/>
              <w:ind w:firstLine="0" w:firstLineChars="0"/>
              <w:jc w:val="center"/>
              <w:rPr>
                <w:rFonts w:eastAsia="微软雅黑"/>
                <w:sz w:val="24"/>
                <w:szCs w:val="24"/>
              </w:rPr>
            </w:pPr>
            <w:r>
              <w:rPr>
                <w:rFonts w:hint="eastAsia" w:ascii="宋体" w:hAnsi="宋体" w:cs="宋体"/>
                <w:sz w:val="24"/>
                <w:szCs w:val="24"/>
              </w:rPr>
              <w:t>6</w:t>
            </w:r>
          </w:p>
        </w:tc>
        <w:tc>
          <w:tcPr>
            <w:tcW w:w="965"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张</w:t>
            </w:r>
          </w:p>
        </w:tc>
        <w:tc>
          <w:tcPr>
            <w:tcW w:w="168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否</w:t>
            </w:r>
          </w:p>
        </w:tc>
        <w:tc>
          <w:tcPr>
            <w:tcW w:w="156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否</w:t>
            </w:r>
          </w:p>
        </w:tc>
        <w:tc>
          <w:tcPr>
            <w:tcW w:w="1827"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6</w:t>
            </w:r>
          </w:p>
        </w:tc>
        <w:tc>
          <w:tcPr>
            <w:tcW w:w="1894" w:type="dxa"/>
            <w:noWrap w:val="0"/>
            <w:vAlign w:val="center"/>
          </w:tcPr>
          <w:p>
            <w:pPr>
              <w:pStyle w:val="9"/>
              <w:spacing w:line="300" w:lineRule="exact"/>
              <w:ind w:firstLine="0" w:firstLineChars="0"/>
              <w:jc w:val="center"/>
              <w:rPr>
                <w:rFonts w:ascii="宋体" w:hAnsi="宋体" w:cs="宋体"/>
                <w:sz w:val="24"/>
                <w:szCs w:val="24"/>
              </w:rPr>
            </w:pPr>
            <w:r>
              <w:rPr>
                <w:rFonts w:hint="eastAsia" w:ascii="宋体" w:hAnsi="宋体" w:cs="宋体"/>
                <w:sz w:val="24"/>
                <w:szCs w:val="24"/>
              </w:rPr>
              <w:t>3人间老师宿舍（床及床垫）</w:t>
            </w:r>
          </w:p>
        </w:tc>
        <w:tc>
          <w:tcPr>
            <w:tcW w:w="855" w:type="dxa"/>
            <w:noWrap w:val="0"/>
            <w:vAlign w:val="center"/>
          </w:tcPr>
          <w:p>
            <w:pPr>
              <w:pStyle w:val="9"/>
              <w:spacing w:line="300" w:lineRule="exact"/>
              <w:ind w:firstLine="0" w:firstLineChars="0"/>
              <w:jc w:val="center"/>
              <w:rPr>
                <w:rFonts w:ascii="宋体" w:hAnsi="宋体" w:cs="宋体"/>
                <w:color w:val="FF0000"/>
                <w:sz w:val="24"/>
                <w:szCs w:val="24"/>
              </w:rPr>
            </w:pPr>
            <w:r>
              <w:rPr>
                <w:rFonts w:hint="eastAsia" w:ascii="宋体" w:hAnsi="宋体" w:cs="宋体"/>
                <w:sz w:val="24"/>
                <w:szCs w:val="24"/>
              </w:rPr>
              <w:t>255</w:t>
            </w:r>
          </w:p>
        </w:tc>
        <w:tc>
          <w:tcPr>
            <w:tcW w:w="965" w:type="dxa"/>
            <w:noWrap w:val="0"/>
            <w:vAlign w:val="center"/>
          </w:tcPr>
          <w:p>
            <w:pPr>
              <w:pStyle w:val="9"/>
              <w:spacing w:line="300" w:lineRule="exact"/>
              <w:ind w:firstLine="0" w:firstLineChars="0"/>
              <w:jc w:val="center"/>
              <w:rPr>
                <w:rFonts w:ascii="宋体" w:hAnsi="宋体" w:cs="宋体"/>
                <w:color w:val="FF0000"/>
                <w:sz w:val="24"/>
                <w:szCs w:val="24"/>
              </w:rPr>
            </w:pPr>
            <w:r>
              <w:rPr>
                <w:rFonts w:hint="eastAsia" w:ascii="宋体" w:hAnsi="宋体" w:cs="宋体"/>
                <w:sz w:val="24"/>
                <w:szCs w:val="24"/>
              </w:rPr>
              <w:t>张</w:t>
            </w:r>
          </w:p>
        </w:tc>
        <w:tc>
          <w:tcPr>
            <w:tcW w:w="168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是</w:t>
            </w:r>
          </w:p>
        </w:tc>
        <w:tc>
          <w:tcPr>
            <w:tcW w:w="156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是</w:t>
            </w:r>
          </w:p>
        </w:tc>
        <w:tc>
          <w:tcPr>
            <w:tcW w:w="1827"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7</w:t>
            </w:r>
          </w:p>
        </w:tc>
        <w:tc>
          <w:tcPr>
            <w:tcW w:w="1894" w:type="dxa"/>
            <w:noWrap w:val="0"/>
            <w:vAlign w:val="center"/>
          </w:tcPr>
          <w:p>
            <w:pPr>
              <w:jc w:val="center"/>
              <w:rPr>
                <w:rFonts w:hint="eastAsia" w:ascii="宋体" w:hAnsi="宋体"/>
                <w:bCs/>
                <w:sz w:val="24"/>
                <w:szCs w:val="24"/>
              </w:rPr>
            </w:pPr>
          </w:p>
          <w:p>
            <w:pPr>
              <w:jc w:val="center"/>
              <w:rPr>
                <w:rFonts w:hint="eastAsia" w:ascii="宋体" w:hAnsi="宋体" w:cs="宋体"/>
                <w:sz w:val="24"/>
                <w:szCs w:val="24"/>
              </w:rPr>
            </w:pPr>
            <w:r>
              <w:rPr>
                <w:rFonts w:hint="eastAsia" w:ascii="宋体" w:hAnsi="宋体"/>
                <w:bCs/>
                <w:sz w:val="24"/>
                <w:szCs w:val="24"/>
              </w:rPr>
              <w:t>衣柜</w:t>
            </w:r>
          </w:p>
        </w:tc>
        <w:tc>
          <w:tcPr>
            <w:tcW w:w="855" w:type="dxa"/>
            <w:noWrap w:val="0"/>
            <w:vAlign w:val="center"/>
          </w:tcPr>
          <w:p>
            <w:pPr>
              <w:pStyle w:val="9"/>
              <w:spacing w:line="300" w:lineRule="exact"/>
              <w:ind w:firstLine="0" w:firstLineChars="0"/>
              <w:jc w:val="center"/>
              <w:rPr>
                <w:rFonts w:ascii="宋体" w:hAnsi="宋体" w:cs="宋体"/>
                <w:sz w:val="24"/>
                <w:szCs w:val="24"/>
              </w:rPr>
            </w:pPr>
            <w:r>
              <w:rPr>
                <w:rFonts w:hint="eastAsia" w:ascii="宋体" w:hAnsi="宋体" w:cs="宋体"/>
                <w:sz w:val="24"/>
                <w:szCs w:val="24"/>
              </w:rPr>
              <w:t>85</w:t>
            </w:r>
          </w:p>
        </w:tc>
        <w:tc>
          <w:tcPr>
            <w:tcW w:w="965" w:type="dxa"/>
            <w:noWrap w:val="0"/>
            <w:vAlign w:val="center"/>
          </w:tcPr>
          <w:p>
            <w:pPr>
              <w:pStyle w:val="9"/>
              <w:spacing w:line="300" w:lineRule="exact"/>
              <w:ind w:firstLine="0" w:firstLineChars="0"/>
              <w:jc w:val="center"/>
              <w:rPr>
                <w:rFonts w:ascii="宋体" w:hAnsi="宋体" w:cs="宋体"/>
                <w:color w:val="FF0000"/>
                <w:sz w:val="24"/>
                <w:szCs w:val="24"/>
              </w:rPr>
            </w:pPr>
            <w:r>
              <w:rPr>
                <w:rFonts w:hint="eastAsia" w:ascii="宋体" w:hAnsi="宋体" w:cs="宋体"/>
                <w:sz w:val="24"/>
                <w:szCs w:val="24"/>
              </w:rPr>
              <w:t>只</w:t>
            </w:r>
          </w:p>
        </w:tc>
        <w:tc>
          <w:tcPr>
            <w:tcW w:w="1680" w:type="dxa"/>
            <w:noWrap w:val="0"/>
            <w:vAlign w:val="center"/>
          </w:tcPr>
          <w:p>
            <w:pPr>
              <w:pStyle w:val="9"/>
              <w:spacing w:line="300" w:lineRule="exact"/>
              <w:ind w:firstLine="0" w:firstLineChars="0"/>
              <w:jc w:val="center"/>
              <w:rPr>
                <w:rFonts w:hint="eastAsia" w:ascii="宋体" w:hAnsi="宋体" w:cs="宋体"/>
                <w:color w:val="auto"/>
                <w:sz w:val="24"/>
                <w:szCs w:val="24"/>
              </w:rPr>
            </w:pPr>
            <w:r>
              <w:rPr>
                <w:rFonts w:hint="eastAsia" w:ascii="宋体" w:hAnsi="宋体" w:cs="宋体"/>
                <w:color w:val="auto"/>
                <w:sz w:val="24"/>
                <w:szCs w:val="24"/>
              </w:rPr>
              <w:t>是</w:t>
            </w:r>
          </w:p>
        </w:tc>
        <w:tc>
          <w:tcPr>
            <w:tcW w:w="1560" w:type="dxa"/>
            <w:noWrap w:val="0"/>
            <w:vAlign w:val="center"/>
          </w:tcPr>
          <w:p>
            <w:pPr>
              <w:pStyle w:val="9"/>
              <w:spacing w:line="300" w:lineRule="exact"/>
              <w:ind w:firstLine="0" w:firstLineChars="0"/>
              <w:jc w:val="center"/>
              <w:rPr>
                <w:rFonts w:hint="eastAsia" w:ascii="宋体" w:hAnsi="宋体" w:cs="宋体"/>
                <w:color w:val="auto"/>
                <w:sz w:val="24"/>
                <w:szCs w:val="24"/>
              </w:rPr>
            </w:pPr>
            <w:r>
              <w:rPr>
                <w:rFonts w:hint="eastAsia" w:ascii="宋体" w:hAnsi="宋体" w:cs="宋体"/>
                <w:color w:val="auto"/>
                <w:sz w:val="24"/>
                <w:szCs w:val="24"/>
              </w:rPr>
              <w:t>是</w:t>
            </w:r>
          </w:p>
        </w:tc>
        <w:tc>
          <w:tcPr>
            <w:tcW w:w="1827"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否</w:t>
            </w:r>
          </w:p>
        </w:tc>
      </w:tr>
    </w:tbl>
    <w:p>
      <w:pPr>
        <w:pStyle w:val="20"/>
        <w:rPr>
          <w:rFonts w:hint="eastAsia"/>
          <w:sz w:val="24"/>
          <w:szCs w:val="24"/>
          <w:lang w:eastAsia="zh-CN"/>
        </w:rPr>
      </w:pPr>
    </w:p>
    <w:p>
      <w:pPr>
        <w:rPr>
          <w:rFonts w:hint="eastAsia" w:ascii="宋体" w:hAnsi="宋体" w:cs="宋体"/>
          <w:b/>
          <w:bCs/>
          <w:sz w:val="24"/>
          <w:szCs w:val="24"/>
        </w:rPr>
      </w:pPr>
    </w:p>
    <w:p>
      <w:pPr>
        <w:rPr>
          <w:rFonts w:hint="eastAsia" w:ascii="宋体" w:hAnsi="宋体" w:eastAsia="宋体" w:cs="宋体"/>
          <w:b/>
          <w:bCs/>
          <w:sz w:val="21"/>
          <w:szCs w:val="21"/>
          <w:lang w:eastAsia="zh-CN"/>
        </w:rPr>
      </w:pPr>
      <w:r>
        <w:rPr>
          <w:rFonts w:hint="eastAsia" w:ascii="宋体" w:hAnsi="宋体" w:cs="宋体"/>
          <w:b/>
          <w:bCs/>
          <w:sz w:val="21"/>
          <w:szCs w:val="21"/>
        </w:rPr>
        <w:t>学生宿舍：男生6人间共204间、女生7人间共205间</w:t>
      </w:r>
      <w:r>
        <w:rPr>
          <w:rFonts w:hint="eastAsia" w:ascii="宋体" w:hAnsi="宋体" w:cs="宋体"/>
          <w:b/>
          <w:bCs/>
          <w:sz w:val="21"/>
          <w:szCs w:val="21"/>
          <w:lang w:eastAsia="zh-CN"/>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898"/>
        <w:gridCol w:w="4607"/>
        <w:gridCol w:w="870"/>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54" w:type="dxa"/>
            <w:noWrap w:val="0"/>
            <w:vAlign w:val="center"/>
          </w:tcPr>
          <w:p>
            <w:pPr>
              <w:pStyle w:val="9"/>
              <w:spacing w:line="300" w:lineRule="exact"/>
              <w:ind w:firstLine="0" w:firstLineChars="0"/>
              <w:jc w:val="center"/>
              <w:rPr>
                <w:rFonts w:hint="eastAsia" w:ascii="宋体" w:hAnsi="宋体" w:cs="宋体"/>
                <w:b/>
                <w:bCs/>
                <w:sz w:val="24"/>
                <w:szCs w:val="24"/>
              </w:rPr>
            </w:pPr>
            <w:r>
              <w:rPr>
                <w:rFonts w:hint="eastAsia" w:ascii="宋体" w:hAnsi="宋体" w:cs="宋体"/>
                <w:b/>
                <w:bCs/>
                <w:sz w:val="24"/>
                <w:szCs w:val="24"/>
              </w:rPr>
              <w:t>序号</w:t>
            </w:r>
          </w:p>
        </w:tc>
        <w:tc>
          <w:tcPr>
            <w:tcW w:w="898" w:type="dxa"/>
            <w:noWrap w:val="0"/>
            <w:vAlign w:val="center"/>
          </w:tcPr>
          <w:p>
            <w:pPr>
              <w:pStyle w:val="9"/>
              <w:spacing w:line="300" w:lineRule="exact"/>
              <w:ind w:firstLine="0" w:firstLineChars="0"/>
              <w:jc w:val="center"/>
              <w:rPr>
                <w:rFonts w:hint="eastAsia" w:ascii="宋体" w:hAnsi="宋体" w:cs="宋体"/>
                <w:b/>
                <w:bCs/>
                <w:sz w:val="24"/>
                <w:szCs w:val="24"/>
              </w:rPr>
            </w:pPr>
            <w:r>
              <w:rPr>
                <w:rFonts w:hint="eastAsia" w:ascii="宋体" w:hAnsi="宋体" w:cs="宋体"/>
                <w:b/>
                <w:bCs/>
                <w:sz w:val="24"/>
                <w:szCs w:val="24"/>
              </w:rPr>
              <w:t>名称</w:t>
            </w:r>
          </w:p>
        </w:tc>
        <w:tc>
          <w:tcPr>
            <w:tcW w:w="4607" w:type="dxa"/>
            <w:noWrap w:val="0"/>
            <w:vAlign w:val="center"/>
          </w:tcPr>
          <w:p>
            <w:pPr>
              <w:pStyle w:val="9"/>
              <w:spacing w:line="300" w:lineRule="exact"/>
              <w:ind w:firstLine="0" w:firstLineChars="0"/>
              <w:jc w:val="center"/>
              <w:rPr>
                <w:rFonts w:hint="eastAsia" w:ascii="宋体" w:hAnsi="宋体" w:cs="宋体"/>
                <w:b/>
                <w:bCs/>
                <w:sz w:val="24"/>
                <w:szCs w:val="24"/>
              </w:rPr>
            </w:pPr>
            <w:r>
              <w:rPr>
                <w:rFonts w:hint="eastAsia" w:ascii="宋体" w:hAnsi="宋体" w:cs="宋体"/>
                <w:b/>
                <w:bCs/>
                <w:sz w:val="24"/>
                <w:szCs w:val="24"/>
              </w:rPr>
              <w:t>技术参数要求</w:t>
            </w:r>
          </w:p>
        </w:tc>
        <w:tc>
          <w:tcPr>
            <w:tcW w:w="870" w:type="dxa"/>
            <w:noWrap w:val="0"/>
            <w:vAlign w:val="center"/>
          </w:tcPr>
          <w:p>
            <w:pPr>
              <w:pStyle w:val="9"/>
              <w:spacing w:line="300" w:lineRule="exact"/>
              <w:ind w:firstLine="0" w:firstLineChars="0"/>
              <w:jc w:val="center"/>
              <w:rPr>
                <w:rFonts w:hint="eastAsia" w:ascii="宋体" w:hAnsi="宋体" w:cs="宋体"/>
                <w:b/>
                <w:bCs/>
                <w:sz w:val="24"/>
                <w:szCs w:val="24"/>
              </w:rPr>
            </w:pPr>
            <w:r>
              <w:rPr>
                <w:rFonts w:hint="eastAsia" w:ascii="宋体" w:hAnsi="宋体" w:cs="宋体"/>
                <w:b/>
                <w:bCs/>
                <w:sz w:val="24"/>
                <w:szCs w:val="24"/>
              </w:rPr>
              <w:t>数量</w:t>
            </w:r>
          </w:p>
        </w:tc>
        <w:tc>
          <w:tcPr>
            <w:tcW w:w="2372" w:type="dxa"/>
            <w:noWrap w:val="0"/>
            <w:vAlign w:val="center"/>
          </w:tcPr>
          <w:p>
            <w:pPr>
              <w:pStyle w:val="9"/>
              <w:spacing w:line="300" w:lineRule="exact"/>
              <w:ind w:firstLine="0" w:firstLineChars="0"/>
              <w:jc w:val="center"/>
              <w:rPr>
                <w:rFonts w:hint="eastAsia" w:ascii="宋体" w:hAnsi="宋体" w:cs="宋体"/>
                <w:b/>
                <w:bCs/>
                <w:sz w:val="24"/>
                <w:szCs w:val="24"/>
              </w:rPr>
            </w:pPr>
            <w:r>
              <w:rPr>
                <w:rFonts w:hint="eastAsia" w:ascii="宋体" w:hAnsi="宋体" w:cs="宋体"/>
                <w:b/>
                <w:bCs/>
                <w:sz w:val="24"/>
                <w:szCs w:val="24"/>
              </w:rPr>
              <w:t>参考图片</w:t>
            </w:r>
          </w:p>
          <w:p>
            <w:pPr>
              <w:pStyle w:val="9"/>
              <w:spacing w:line="300" w:lineRule="exact"/>
              <w:ind w:firstLine="0" w:firstLineChars="0"/>
              <w:jc w:val="center"/>
              <w:rPr>
                <w:rFonts w:hint="eastAsia" w:ascii="宋体" w:hAnsi="宋体" w:cs="宋体"/>
                <w:b/>
                <w:bCs/>
                <w:sz w:val="24"/>
                <w:szCs w:val="24"/>
              </w:rPr>
            </w:pPr>
            <w:r>
              <w:rPr>
                <w:rFonts w:hint="eastAsia" w:ascii="宋体" w:hAnsi="宋体" w:cs="宋体"/>
                <w:b/>
                <w:bCs/>
                <w:color w:val="auto"/>
                <w:sz w:val="24"/>
                <w:szCs w:val="24"/>
              </w:rPr>
              <w:t>(仅供参考）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restart"/>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1</w:t>
            </w:r>
          </w:p>
        </w:tc>
        <w:tc>
          <w:tcPr>
            <w:tcW w:w="898" w:type="dxa"/>
            <w:vMerge w:val="restart"/>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女生宿舍四人位</w:t>
            </w:r>
          </w:p>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宿舍床</w:t>
            </w:r>
          </w:p>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三人位</w:t>
            </w:r>
          </w:p>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（含7人衣柜）</w:t>
            </w:r>
          </w:p>
        </w:tc>
        <w:tc>
          <w:tcPr>
            <w:tcW w:w="4607" w:type="dxa"/>
            <w:vMerge w:val="restart"/>
            <w:noWrap w:val="0"/>
            <w:vAlign w:val="center"/>
          </w:tcPr>
          <w:p>
            <w:pPr>
              <w:rPr>
                <w:rFonts w:hint="eastAsia" w:ascii="Calibri" w:hAnsi="Calibri"/>
                <w:color w:val="auto"/>
                <w:sz w:val="24"/>
                <w:szCs w:val="24"/>
              </w:rPr>
            </w:pPr>
            <w:r>
              <w:rPr>
                <w:rFonts w:hint="eastAsia" w:ascii="宋体" w:hAnsi="宋体" w:eastAsia="宋体" w:cs="宋体"/>
                <w:color w:val="auto"/>
                <w:sz w:val="24"/>
                <w:szCs w:val="24"/>
              </w:rPr>
              <w:t>★</w:t>
            </w:r>
            <w:r>
              <w:rPr>
                <w:rFonts w:hint="eastAsia" w:hAnsi="宋体"/>
                <w:color w:val="auto"/>
                <w:sz w:val="24"/>
                <w:szCs w:val="24"/>
              </w:rPr>
              <w:t>1</w:t>
            </w:r>
            <w:r>
              <w:rPr>
                <w:rFonts w:hint="eastAsia" w:hAnsi="宋体"/>
                <w:color w:val="auto"/>
                <w:sz w:val="24"/>
                <w:szCs w:val="24"/>
                <w:lang w:val="en-US" w:eastAsia="zh-CN"/>
              </w:rPr>
              <w:t>.</w:t>
            </w:r>
            <w:r>
              <w:rPr>
                <w:rFonts w:hint="eastAsia" w:hAnsi="宋体"/>
                <w:color w:val="auto"/>
                <w:sz w:val="24"/>
                <w:szCs w:val="24"/>
              </w:rPr>
              <w:t>规格:W4000*D900*H2120mm（±5mm）</w:t>
            </w:r>
            <w:r>
              <w:rPr>
                <w:rFonts w:hint="eastAsia" w:ascii="宋体" w:hAnsi="宋体"/>
                <w:color w:val="auto"/>
                <w:sz w:val="24"/>
                <w:szCs w:val="24"/>
              </w:rPr>
              <w:t>（含蚊帐架约高</w:t>
            </w:r>
            <w:r>
              <w:rPr>
                <w:rFonts w:hint="eastAsia" w:ascii="宋体" w:hAnsi="宋体" w:cs="Calibri"/>
                <w:color w:val="auto"/>
                <w:sz w:val="24"/>
                <w:szCs w:val="24"/>
              </w:rPr>
              <w:t>2800mm</w:t>
            </w:r>
            <w:r>
              <w:rPr>
                <w:rFonts w:hint="eastAsia" w:ascii="宋体" w:hAnsi="宋体"/>
                <w:color w:val="auto"/>
                <w:sz w:val="24"/>
                <w:szCs w:val="24"/>
              </w:rPr>
              <w:t>）</w:t>
            </w:r>
          </w:p>
          <w:p>
            <w:pPr>
              <w:rPr>
                <w:rFonts w:hint="eastAsia" w:ascii="Calibri" w:hAnsi="Calibri"/>
                <w:sz w:val="24"/>
                <w:szCs w:val="24"/>
              </w:rPr>
            </w:pPr>
            <w:r>
              <w:rPr>
                <w:rFonts w:hint="eastAsia" w:ascii="宋体" w:hAnsi="宋体" w:eastAsia="宋体" w:cs="宋体"/>
                <w:color w:val="auto"/>
                <w:sz w:val="24"/>
                <w:szCs w:val="24"/>
              </w:rPr>
              <w:t>★</w:t>
            </w:r>
            <w:r>
              <w:rPr>
                <w:rFonts w:hint="eastAsia" w:hAnsi="宋体"/>
                <w:color w:val="auto"/>
                <w:sz w:val="24"/>
                <w:szCs w:val="24"/>
              </w:rPr>
              <w:t>2</w:t>
            </w:r>
            <w:r>
              <w:rPr>
                <w:rFonts w:hint="eastAsia" w:hAnsi="宋体"/>
                <w:color w:val="auto"/>
                <w:sz w:val="24"/>
                <w:szCs w:val="24"/>
                <w:lang w:val="en-US" w:eastAsia="zh-CN"/>
              </w:rPr>
              <w:t>.</w:t>
            </w:r>
            <w:r>
              <w:rPr>
                <w:rFonts w:hint="eastAsia" w:hAnsi="宋体"/>
                <w:color w:val="auto"/>
                <w:sz w:val="24"/>
                <w:szCs w:val="24"/>
              </w:rPr>
              <w:t>床</w:t>
            </w:r>
            <w:r>
              <w:rPr>
                <w:rFonts w:hint="eastAsia" w:hAnsi="宋体"/>
                <w:sz w:val="24"/>
                <w:szCs w:val="24"/>
              </w:rPr>
              <w:t>架:立脚采用≧65*65*1.2mm异型管，床头横管采用≧85*35*1.2mm异型管;床挺采用≧85*35*1.2mm异型管，;管材均要求为开口管，起到双面喷涂防锈，外露管口端面应加闷盖或内塞;横档采用≧40*20*1.2mm(横截面积≧800mm2</w:t>
            </w:r>
            <w:r>
              <w:rPr>
                <w:rFonts w:hint="eastAsia" w:ascii="宋体" w:hAnsi="宋体" w:cs="宋体"/>
                <w:sz w:val="24"/>
                <w:szCs w:val="24"/>
              </w:rPr>
              <w:t>即可)</w:t>
            </w:r>
            <w:r>
              <w:rPr>
                <w:rFonts w:hint="eastAsia" w:hAnsi="宋体"/>
                <w:sz w:val="24"/>
                <w:szCs w:val="24"/>
              </w:rPr>
              <w:t>管材。安全护栏的外护栏高度≥300mm，护栏内侧标有永久性床褥安全线，永久警示线到安全护栏的定边距离≧200mm;安全护栏采用钢管焊接或其它满足安全要求材质。</w:t>
            </w:r>
            <w:r>
              <w:rPr>
                <w:rFonts w:hint="eastAsia" w:ascii="宋体" w:hAnsi="宋体"/>
                <w:sz w:val="24"/>
                <w:szCs w:val="24"/>
              </w:rPr>
              <w:t>上床横梁要求型材下面为圆弧型且具有安装布帘导轨功能，增加学生私密性和防撞头功能。</w:t>
            </w:r>
          </w:p>
          <w:p>
            <w:pPr>
              <w:rPr>
                <w:rFonts w:hint="eastAsia" w:ascii="Calibri" w:hAnsi="Calibri"/>
                <w:color w:val="FF0000"/>
                <w:sz w:val="24"/>
                <w:szCs w:val="24"/>
              </w:rPr>
            </w:pPr>
            <w:r>
              <w:rPr>
                <w:rFonts w:hint="eastAsia" w:hAnsi="宋体"/>
                <w:sz w:val="24"/>
                <w:szCs w:val="24"/>
              </w:rPr>
              <w:t>3</w:t>
            </w:r>
            <w:r>
              <w:rPr>
                <w:rFonts w:hint="eastAsia" w:ascii="宋体" w:hAnsi="宋体"/>
                <w:sz w:val="24"/>
                <w:szCs w:val="24"/>
                <w:lang w:val="en-US" w:eastAsia="zh-CN"/>
              </w:rPr>
              <w:t>.</w:t>
            </w:r>
            <w:r>
              <w:rPr>
                <w:rFonts w:hint="eastAsia" w:ascii="宋体" w:hAnsi="宋体"/>
                <w:sz w:val="24"/>
                <w:szCs w:val="24"/>
              </w:rPr>
              <w:t>床板:采用杉木板，板材厚度≧18mm，板数不超过八块板，尺寸根据实际公寓床内空制作。经干燥防腐、防蛀处理，无闪边，双面刨光。横档用</w:t>
            </w:r>
            <w:r>
              <w:rPr>
                <w:rFonts w:hint="eastAsia" w:ascii="宋体" w:hAnsi="宋体" w:cs="Calibri"/>
                <w:sz w:val="24"/>
                <w:szCs w:val="24"/>
              </w:rPr>
              <w:t>25</w:t>
            </w:r>
            <w:r>
              <w:rPr>
                <w:rFonts w:hint="eastAsia" w:ascii="宋体" w:hAnsi="宋体"/>
                <w:sz w:val="24"/>
                <w:szCs w:val="24"/>
              </w:rPr>
              <w:t>×</w:t>
            </w:r>
            <w:r>
              <w:rPr>
                <w:rFonts w:hint="eastAsia" w:ascii="宋体" w:hAnsi="宋体" w:cs="Calibri"/>
                <w:sz w:val="24"/>
                <w:szCs w:val="24"/>
              </w:rPr>
              <w:t>35mm</w:t>
            </w:r>
            <w:r>
              <w:rPr>
                <w:rFonts w:hint="eastAsia" w:ascii="宋体" w:hAnsi="宋体"/>
                <w:sz w:val="24"/>
                <w:szCs w:val="24"/>
              </w:rPr>
              <w:t>实木木方三面刨光，数量不少于三根铁钉钉制而成，木材干燥、无大结疤、无穿心死结，无朽木，含水率小于</w:t>
            </w:r>
            <w:r>
              <w:rPr>
                <w:rFonts w:hint="eastAsia" w:ascii="宋体" w:hAnsi="宋体" w:cs="Calibri"/>
                <w:sz w:val="24"/>
                <w:szCs w:val="24"/>
              </w:rPr>
              <w:t>12%</w:t>
            </w:r>
            <w:r>
              <w:rPr>
                <w:rFonts w:hint="eastAsia" w:ascii="宋体" w:hAnsi="宋体"/>
                <w:sz w:val="24"/>
                <w:szCs w:val="24"/>
              </w:rPr>
              <w:t>。</w:t>
            </w:r>
          </w:p>
          <w:p>
            <w:pPr>
              <w:pStyle w:val="12"/>
              <w:rPr>
                <w:rFonts w:hint="eastAsia" w:hAnsi="宋体"/>
                <w:sz w:val="24"/>
                <w:szCs w:val="24"/>
              </w:rPr>
            </w:pPr>
            <w:r>
              <w:rPr>
                <w:rFonts w:hint="eastAsia" w:ascii="宋体" w:hAnsi="宋体" w:eastAsia="宋体" w:cs="宋体"/>
                <w:color w:val="auto"/>
                <w:sz w:val="24"/>
                <w:szCs w:val="24"/>
              </w:rPr>
              <w:t>★</w:t>
            </w:r>
            <w:r>
              <w:rPr>
                <w:rFonts w:hint="eastAsia" w:hAnsi="宋体"/>
                <w:sz w:val="24"/>
                <w:szCs w:val="24"/>
              </w:rPr>
              <w:t>4</w:t>
            </w:r>
            <w:r>
              <w:rPr>
                <w:rFonts w:hint="eastAsia" w:hAnsi="宋体"/>
                <w:sz w:val="24"/>
                <w:szCs w:val="24"/>
                <w:lang w:val="en-US" w:eastAsia="zh-CN"/>
              </w:rPr>
              <w:t>.</w:t>
            </w:r>
            <w:r>
              <w:rPr>
                <w:rFonts w:hint="eastAsia" w:hAnsi="宋体"/>
                <w:sz w:val="24"/>
                <w:szCs w:val="24"/>
              </w:rPr>
              <w:t>扶梯:采用外梯结构，蹬梯净宽≧360mm，蹬梯净间距240~300mm;踏板宽度:≧100mm，厚度≧25mm，有防滑处理。</w:t>
            </w:r>
          </w:p>
          <w:p>
            <w:pPr>
              <w:rPr>
                <w:rFonts w:hint="eastAsia"/>
                <w:sz w:val="24"/>
                <w:szCs w:val="24"/>
              </w:rPr>
            </w:pPr>
            <w:r>
              <w:rPr>
                <w:rFonts w:hint="eastAsia" w:ascii="宋体" w:hAnsi="宋体"/>
                <w:sz w:val="24"/>
                <w:szCs w:val="24"/>
              </w:rPr>
              <w:t>5</w:t>
            </w:r>
            <w:r>
              <w:rPr>
                <w:rFonts w:hint="eastAsia" w:ascii="宋体" w:hAnsi="宋体"/>
                <w:sz w:val="24"/>
                <w:szCs w:val="24"/>
                <w:lang w:val="en-US" w:eastAsia="zh-CN"/>
              </w:rPr>
              <w:t>.</w:t>
            </w:r>
            <w:r>
              <w:rPr>
                <w:rFonts w:hint="eastAsia" w:ascii="宋体" w:hAnsi="宋体"/>
                <w:sz w:val="24"/>
                <w:szCs w:val="24"/>
              </w:rPr>
              <w:t>金属件焊接及表面处理:表面经去油、除锈、抛丸或磷化表面处理后经高温静电喷涂，着附能力强，冷轧钢板或钢管乙酸盐雾连续喷雾≧</w:t>
            </w:r>
            <w:r>
              <w:rPr>
                <w:rFonts w:hint="eastAsia" w:ascii="宋体" w:hAnsi="宋体" w:cs="Calibri"/>
                <w:sz w:val="24"/>
                <w:szCs w:val="24"/>
              </w:rPr>
              <w:t>200</w:t>
            </w:r>
            <w:r>
              <w:rPr>
                <w:rFonts w:hint="eastAsia" w:ascii="宋体" w:hAnsi="宋体"/>
                <w:sz w:val="24"/>
                <w:szCs w:val="24"/>
              </w:rPr>
              <w:t>小时测试等级≧</w:t>
            </w:r>
            <w:r>
              <w:rPr>
                <w:rFonts w:hint="eastAsia" w:ascii="宋体" w:hAnsi="宋体" w:cs="Calibri"/>
                <w:sz w:val="24"/>
                <w:szCs w:val="24"/>
              </w:rPr>
              <w:t>10</w:t>
            </w:r>
            <w:r>
              <w:rPr>
                <w:rFonts w:hint="eastAsia" w:ascii="宋体" w:hAnsi="宋体"/>
                <w:sz w:val="24"/>
                <w:szCs w:val="24"/>
              </w:rPr>
              <w:t>级。</w:t>
            </w:r>
          </w:p>
          <w:p>
            <w:pPr>
              <w:rPr>
                <w:rFonts w:hint="eastAsia" w:ascii="宋体" w:hAnsi="宋体" w:cs="宋体"/>
                <w:sz w:val="24"/>
                <w:szCs w:val="24"/>
              </w:rPr>
            </w:pPr>
            <w:r>
              <w:rPr>
                <w:rFonts w:hint="eastAsia" w:ascii="宋体" w:hAnsi="宋体"/>
                <w:sz w:val="24"/>
                <w:szCs w:val="24"/>
              </w:rPr>
              <w:t>6</w:t>
            </w:r>
            <w:r>
              <w:rPr>
                <w:rFonts w:hint="eastAsia" w:ascii="宋体" w:hAnsi="宋体"/>
                <w:sz w:val="24"/>
                <w:szCs w:val="24"/>
                <w:lang w:val="en-US" w:eastAsia="zh-CN"/>
              </w:rPr>
              <w:t>.</w:t>
            </w:r>
            <w:r>
              <w:rPr>
                <w:rFonts w:hint="eastAsia" w:ascii="宋体" w:hAnsi="宋体"/>
                <w:sz w:val="24"/>
                <w:szCs w:val="24"/>
              </w:rPr>
              <w:t>蚊帐：采用直径≧19mm*1.0mm厚圆管制作(或更合理设计）。</w:t>
            </w:r>
          </w:p>
          <w:p>
            <w:pPr>
              <w:pStyle w:val="8"/>
              <w:rPr>
                <w:rFonts w:hint="eastAsia"/>
                <w:sz w:val="24"/>
                <w:szCs w:val="24"/>
              </w:rPr>
            </w:pPr>
            <w:r>
              <w:rPr>
                <w:rFonts w:hint="eastAsia" w:ascii="宋体" w:hAnsi="宋体"/>
                <w:sz w:val="24"/>
                <w:szCs w:val="24"/>
              </w:rPr>
              <w:t>7</w:t>
            </w:r>
            <w:r>
              <w:rPr>
                <w:rFonts w:hint="eastAsia" w:ascii="宋体" w:hAnsi="宋体"/>
                <w:sz w:val="24"/>
                <w:szCs w:val="24"/>
                <w:lang w:val="en-US" w:eastAsia="zh-CN"/>
              </w:rPr>
              <w:t>.</w:t>
            </w:r>
            <w:r>
              <w:rPr>
                <w:rFonts w:hint="eastAsia" w:ascii="宋体" w:hAnsi="宋体"/>
                <w:sz w:val="24"/>
                <w:szCs w:val="24"/>
              </w:rPr>
              <w:t>设计要求四人位床的下铺床位可拆下，不影响整体稳定结构，方便以后下铺改成柜子或桌子。</w:t>
            </w:r>
          </w:p>
          <w:p>
            <w:pPr>
              <w:pStyle w:val="8"/>
              <w:rPr>
                <w:sz w:val="24"/>
                <w:szCs w:val="24"/>
              </w:rPr>
            </w:pPr>
            <w:r>
              <w:rPr>
                <w:rFonts w:hint="eastAsia" w:ascii="宋体" w:hAnsi="宋体" w:cs="宋体"/>
                <w:sz w:val="24"/>
                <w:szCs w:val="24"/>
              </w:rPr>
              <w:t>8</w:t>
            </w:r>
            <w:r>
              <w:rPr>
                <w:rFonts w:hint="eastAsia" w:ascii="宋体" w:hAnsi="宋体" w:cs="宋体"/>
                <w:sz w:val="24"/>
                <w:szCs w:val="24"/>
                <w:lang w:val="en-US" w:eastAsia="zh-CN"/>
              </w:rPr>
              <w:t>.</w:t>
            </w:r>
            <w:r>
              <w:rPr>
                <w:rFonts w:hint="eastAsia" w:ascii="宋体" w:hAnsi="宋体" w:cs="宋体"/>
                <w:sz w:val="24"/>
                <w:szCs w:val="24"/>
              </w:rPr>
              <w:t>床底配置存放行李箱和鞋子的架子，要求设计合理，使用方便，结实耐用。</w:t>
            </w:r>
          </w:p>
          <w:p>
            <w:pPr>
              <w:spacing w:line="300" w:lineRule="exact"/>
              <w:rPr>
                <w:rFonts w:hint="eastAsia" w:ascii="宋体" w:hAnsi="宋体" w:cs="宋体"/>
                <w:sz w:val="24"/>
                <w:szCs w:val="24"/>
              </w:rPr>
            </w:pPr>
            <w:r>
              <w:rPr>
                <w:rFonts w:hint="eastAsia" w:ascii="宋体" w:hAnsi="宋体" w:cs="宋体"/>
                <w:sz w:val="24"/>
                <w:szCs w:val="24"/>
              </w:rPr>
              <w:t>（二）七人衣柜</w:t>
            </w:r>
          </w:p>
          <w:p>
            <w:pPr>
              <w:spacing w:line="300" w:lineRule="exact"/>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衣柜整体尺寸：长度为1880mm高度为1680mm深度600mm, 外形尺寸正负10mm（长度可根据床下内空空间制作）。</w:t>
            </w:r>
          </w:p>
          <w:p>
            <w:pPr>
              <w:spacing w:line="300" w:lineRule="exact"/>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柜体：基材为≧17mm厚双饰面杉木芯E0级环保生态板，生态板符合甲醛释放量≤0.3mg/L或≤0.03mg/m3。背板为15mm厚同色双饰面环保多层板。</w:t>
            </w:r>
          </w:p>
          <w:p>
            <w:pPr>
              <w:spacing w:line="300" w:lineRule="exact"/>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封边：采用优质pvc封边条,与柜板面同色,1.2 mm厚，</w:t>
            </w:r>
            <w:r>
              <w:rPr>
                <w:rFonts w:hint="eastAsia" w:ascii="宋体" w:hAnsi="宋体" w:cs="宋体"/>
                <w:kern w:val="0"/>
                <w:sz w:val="24"/>
                <w:szCs w:val="24"/>
              </w:rPr>
              <w:t>采用</w:t>
            </w:r>
            <w:r>
              <w:rPr>
                <w:rFonts w:hint="eastAsia" w:ascii="宋体" w:hAnsi="宋体" w:cs="宋体"/>
                <w:sz w:val="24"/>
                <w:szCs w:val="24"/>
              </w:rPr>
              <w:t>优质热熔胶封边而成(板露边处),做到平整、不炝边、受热受冻不会脱胶开裂。</w:t>
            </w:r>
          </w:p>
          <w:p>
            <w:pPr>
              <w:spacing w:line="300" w:lineRule="exact"/>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五金件：门铰链选用优质品牌阻尼铰链，采用优质拉手。</w:t>
            </w:r>
          </w:p>
          <w:p>
            <w:pPr>
              <w:spacing w:line="300" w:lineRule="exact"/>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胶粘剂：采用水性胶粘剂，应符合HJ 2541-2016的要求。</w:t>
            </w:r>
          </w:p>
          <w:p>
            <w:pPr>
              <w:spacing w:line="300" w:lineRule="exact"/>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设计7人学生住宿，要求每人至少要有一个衣柜。</w:t>
            </w:r>
          </w:p>
          <w:p>
            <w:pPr>
              <w:spacing w:line="300" w:lineRule="exact"/>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4"/>
                <w:lang w:val="en-US" w:eastAsia="zh-CN"/>
              </w:rPr>
              <w:t>.</w:t>
            </w:r>
            <w:r>
              <w:rPr>
                <w:rFonts w:hint="eastAsia" w:ascii="宋体" w:hAnsi="宋体" w:cs="宋体"/>
                <w:sz w:val="24"/>
                <w:szCs w:val="24"/>
              </w:rPr>
              <w:t>柜体下方无需设计行李架。</w:t>
            </w:r>
          </w:p>
          <w:p>
            <w:pPr>
              <w:spacing w:line="300" w:lineRule="exact"/>
              <w:rPr>
                <w:rFonts w:hint="eastAsia" w:ascii="宋体" w:hAnsi="宋体" w:cs="宋体"/>
                <w:b/>
                <w:sz w:val="24"/>
                <w:szCs w:val="24"/>
              </w:rPr>
            </w:pPr>
            <w:r>
              <w:rPr>
                <w:rFonts w:hint="eastAsia" w:ascii="宋体" w:hAnsi="宋体" w:cs="宋体"/>
                <w:sz w:val="24"/>
                <w:szCs w:val="24"/>
              </w:rPr>
              <w:t>产品应符合QB/T 2741-2013&lt;学生公寓多功能家具&gt;标准的要求。其中甲醛释放量≤0.3mg/L或≤0.03mg/m3。</w:t>
            </w:r>
          </w:p>
        </w:tc>
        <w:tc>
          <w:tcPr>
            <w:tcW w:w="87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205组</w:t>
            </w:r>
          </w:p>
        </w:tc>
        <w:tc>
          <w:tcPr>
            <w:tcW w:w="2372"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drawing>
                <wp:anchor distT="0" distB="0" distL="114300" distR="114300" simplePos="0" relativeHeight="251666432" behindDoc="0" locked="0" layoutInCell="1" allowOverlap="1">
                  <wp:simplePos x="0" y="0"/>
                  <wp:positionH relativeFrom="column">
                    <wp:posOffset>216535</wp:posOffset>
                  </wp:positionH>
                  <wp:positionV relativeFrom="paragraph">
                    <wp:posOffset>207645</wp:posOffset>
                  </wp:positionV>
                  <wp:extent cx="1124585" cy="977265"/>
                  <wp:effectExtent l="0" t="0" r="18415" b="13335"/>
                  <wp:wrapSquare wrapText="bothSides"/>
                  <wp:docPr id="22" name="图片 2" descr="微信图片_20221009145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微信图片_20221009145839"/>
                          <pic:cNvPicPr>
                            <a:picLocks noChangeAspect="1"/>
                          </pic:cNvPicPr>
                        </pic:nvPicPr>
                        <pic:blipFill>
                          <a:blip r:embed="rId12"/>
                          <a:stretch>
                            <a:fillRect/>
                          </a:stretch>
                        </pic:blipFill>
                        <pic:spPr>
                          <a:xfrm>
                            <a:off x="0" y="0"/>
                            <a:ext cx="1124585" cy="97726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center"/>
          </w:tcPr>
          <w:p>
            <w:pPr>
              <w:pStyle w:val="9"/>
              <w:spacing w:line="300" w:lineRule="exact"/>
              <w:ind w:firstLine="0" w:firstLineChars="0"/>
              <w:jc w:val="center"/>
              <w:rPr>
                <w:rFonts w:hint="eastAsia" w:ascii="宋体" w:hAnsi="宋体" w:cs="宋体"/>
                <w:color w:val="FF0000"/>
                <w:sz w:val="24"/>
                <w:szCs w:val="24"/>
              </w:rPr>
            </w:pPr>
          </w:p>
        </w:tc>
        <w:tc>
          <w:tcPr>
            <w:tcW w:w="898" w:type="dxa"/>
            <w:vMerge w:val="continue"/>
            <w:noWrap w:val="0"/>
            <w:vAlign w:val="center"/>
          </w:tcPr>
          <w:p>
            <w:pPr>
              <w:pStyle w:val="9"/>
              <w:spacing w:line="300" w:lineRule="exact"/>
              <w:ind w:firstLine="0" w:firstLineChars="0"/>
              <w:jc w:val="center"/>
              <w:rPr>
                <w:rFonts w:hint="eastAsia" w:ascii="宋体" w:hAnsi="宋体" w:cs="宋体"/>
                <w:sz w:val="24"/>
                <w:szCs w:val="24"/>
              </w:rPr>
            </w:pPr>
          </w:p>
        </w:tc>
        <w:tc>
          <w:tcPr>
            <w:tcW w:w="4607" w:type="dxa"/>
            <w:vMerge w:val="continue"/>
            <w:noWrap w:val="0"/>
            <w:vAlign w:val="center"/>
          </w:tcPr>
          <w:p>
            <w:pPr>
              <w:rPr>
                <w:rFonts w:hint="eastAsia" w:ascii="宋体" w:hAnsi="宋体" w:cs="宋体"/>
                <w:sz w:val="24"/>
                <w:szCs w:val="24"/>
              </w:rPr>
            </w:pPr>
          </w:p>
        </w:tc>
        <w:tc>
          <w:tcPr>
            <w:tcW w:w="87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205组</w:t>
            </w:r>
          </w:p>
        </w:tc>
        <w:tc>
          <w:tcPr>
            <w:tcW w:w="2372" w:type="dxa"/>
            <w:noWrap w:val="0"/>
            <w:vAlign w:val="center"/>
          </w:tcPr>
          <w:p>
            <w:pPr>
              <w:pStyle w:val="9"/>
              <w:spacing w:line="300" w:lineRule="exact"/>
              <w:ind w:firstLine="0" w:firstLineChars="0"/>
              <w:rPr>
                <w:rFonts w:hint="eastAsia" w:ascii="宋体" w:hAnsi="宋体" w:cs="宋体"/>
                <w:sz w:val="24"/>
                <w:szCs w:val="24"/>
              </w:rPr>
            </w:pPr>
          </w:p>
          <w:p>
            <w:pPr>
              <w:pStyle w:val="9"/>
              <w:spacing w:line="300" w:lineRule="exact"/>
              <w:ind w:firstLine="0" w:firstLineChars="0"/>
              <w:rPr>
                <w:rFonts w:hint="eastAsia" w:ascii="宋体" w:hAnsi="宋体" w:cs="宋体"/>
                <w:sz w:val="24"/>
                <w:szCs w:val="24"/>
              </w:rPr>
            </w:pPr>
          </w:p>
          <w:p>
            <w:pPr>
              <w:pStyle w:val="9"/>
              <w:spacing w:line="300" w:lineRule="exact"/>
              <w:ind w:firstLine="0" w:firstLineChars="0"/>
              <w:rPr>
                <w:rFonts w:hint="eastAsia" w:ascii="宋体" w:hAnsi="宋体" w:cs="宋体"/>
                <w:sz w:val="24"/>
                <w:szCs w:val="24"/>
              </w:rPr>
            </w:pPr>
          </w:p>
          <w:p>
            <w:pPr>
              <w:pStyle w:val="9"/>
              <w:spacing w:line="300" w:lineRule="exact"/>
              <w:ind w:firstLine="0" w:firstLineChars="0"/>
              <w:rPr>
                <w:rFonts w:hint="eastAsia" w:ascii="宋体" w:hAnsi="宋体" w:cs="宋体"/>
                <w:sz w:val="24"/>
                <w:szCs w:val="24"/>
              </w:rPr>
            </w:pPr>
            <w:r>
              <w:rPr>
                <w:rFonts w:hint="eastAsia" w:ascii="宋体" w:hAnsi="宋体" w:cs="宋体"/>
                <w:sz w:val="24"/>
                <w:szCs w:val="24"/>
              </w:rPr>
              <w:drawing>
                <wp:anchor distT="0" distB="0" distL="114300" distR="114300" simplePos="0" relativeHeight="251667456" behindDoc="0" locked="0" layoutInCell="1" allowOverlap="1">
                  <wp:simplePos x="0" y="0"/>
                  <wp:positionH relativeFrom="column">
                    <wp:posOffset>156845</wp:posOffset>
                  </wp:positionH>
                  <wp:positionV relativeFrom="paragraph">
                    <wp:posOffset>85090</wp:posOffset>
                  </wp:positionV>
                  <wp:extent cx="1288415" cy="1164590"/>
                  <wp:effectExtent l="0" t="0" r="6985" b="16510"/>
                  <wp:wrapSquare wrapText="bothSides"/>
                  <wp:docPr id="25" name="图片 3" descr="微信图片_20221009145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descr="微信图片_20221009145845"/>
                          <pic:cNvPicPr>
                            <a:picLocks noChangeAspect="1"/>
                          </pic:cNvPicPr>
                        </pic:nvPicPr>
                        <pic:blipFill>
                          <a:blip r:embed="rId13"/>
                          <a:stretch>
                            <a:fillRect/>
                          </a:stretch>
                        </pic:blipFill>
                        <pic:spPr>
                          <a:xfrm>
                            <a:off x="0" y="0"/>
                            <a:ext cx="1288415" cy="1164590"/>
                          </a:xfrm>
                          <a:prstGeom prst="rect">
                            <a:avLst/>
                          </a:prstGeom>
                          <a:noFill/>
                          <a:ln>
                            <a:noFill/>
                          </a:ln>
                        </pic:spPr>
                      </pic:pic>
                    </a:graphicData>
                  </a:graphic>
                </wp:anchor>
              </w:drawing>
            </w:r>
          </w:p>
          <w:p>
            <w:pPr>
              <w:pStyle w:val="9"/>
              <w:spacing w:line="300" w:lineRule="exact"/>
              <w:ind w:firstLine="0" w:firstLineChars="0"/>
              <w:jc w:val="center"/>
              <w:rPr>
                <w:rFonts w:hint="eastAsia" w:ascii="宋体" w:hAnsi="宋体" w:cs="宋体"/>
                <w:sz w:val="24"/>
                <w:szCs w:val="24"/>
              </w:rPr>
            </w:pPr>
          </w:p>
          <w:p>
            <w:pPr>
              <w:pStyle w:val="9"/>
              <w:spacing w:line="300" w:lineRule="exact"/>
              <w:ind w:firstLine="0" w:firstLineChars="0"/>
              <w:rPr>
                <w:rFonts w:hint="eastAsia" w:ascii="宋体" w:hAnsi="宋体" w:cs="宋体"/>
                <w:sz w:val="24"/>
                <w:szCs w:val="24"/>
              </w:rPr>
            </w:pPr>
          </w:p>
          <w:p>
            <w:pPr>
              <w:pStyle w:val="9"/>
              <w:spacing w:line="300" w:lineRule="exact"/>
              <w:ind w:firstLine="0" w:firstLineChars="0"/>
              <w:jc w:val="center"/>
              <w:rPr>
                <w:rFonts w:hint="eastAsia" w:ascii="宋体" w:hAnsi="宋体" w:cs="宋体"/>
                <w:sz w:val="24"/>
                <w:szCs w:val="24"/>
              </w:rPr>
            </w:pPr>
          </w:p>
          <w:p>
            <w:pPr>
              <w:pStyle w:val="8"/>
              <w:rPr>
                <w:rFonts w:hint="eastAsia"/>
                <w:sz w:val="24"/>
                <w:szCs w:val="24"/>
              </w:rPr>
            </w:pPr>
          </w:p>
          <w:p>
            <w:pPr>
              <w:pStyle w:val="9"/>
              <w:ind w:firstLine="240"/>
              <w:rPr>
                <w:rFonts w:hint="eastAsia"/>
                <w:sz w:val="24"/>
                <w:szCs w:val="24"/>
              </w:rPr>
            </w:pPr>
          </w:p>
          <w:p>
            <w:pPr>
              <w:pStyle w:val="8"/>
              <w:rPr>
                <w:rFonts w:hint="eastAsia"/>
                <w:sz w:val="24"/>
                <w:szCs w:val="24"/>
              </w:rPr>
            </w:pPr>
          </w:p>
          <w:p>
            <w:pPr>
              <w:pStyle w:val="9"/>
              <w:ind w:firstLine="240"/>
              <w:rPr>
                <w:rFonts w:hint="eastAsia"/>
                <w:sz w:val="24"/>
                <w:szCs w:val="24"/>
              </w:rPr>
            </w:pPr>
          </w:p>
          <w:p>
            <w:pPr>
              <w:pStyle w:val="8"/>
              <w:rPr>
                <w:rFonts w:hint="eastAsia"/>
                <w:sz w:val="24"/>
                <w:szCs w:val="24"/>
              </w:rPr>
            </w:pPr>
          </w:p>
          <w:p>
            <w:pPr>
              <w:pStyle w:val="9"/>
              <w:ind w:firstLine="240"/>
              <w:rPr>
                <w:rFonts w:hint="eastAsia"/>
                <w:sz w:val="24"/>
                <w:szCs w:val="24"/>
              </w:rPr>
            </w:pPr>
            <w:r>
              <w:rPr>
                <w:rFonts w:hint="eastAsia"/>
                <w:sz w:val="24"/>
                <w:szCs w:val="24"/>
              </w:rPr>
              <w:drawing>
                <wp:anchor distT="0" distB="0" distL="114300" distR="114300" simplePos="0" relativeHeight="251670528" behindDoc="0" locked="0" layoutInCell="1" allowOverlap="1">
                  <wp:simplePos x="0" y="0"/>
                  <wp:positionH relativeFrom="column">
                    <wp:posOffset>656590</wp:posOffset>
                  </wp:positionH>
                  <wp:positionV relativeFrom="paragraph">
                    <wp:posOffset>316865</wp:posOffset>
                  </wp:positionV>
                  <wp:extent cx="1245870" cy="1245870"/>
                  <wp:effectExtent l="0" t="0" r="11430" b="11430"/>
                  <wp:wrapSquare wrapText="bothSides"/>
                  <wp:docPr id="24" name="图片 4" descr="282fda8bc302886c646d94c98ade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descr="282fda8bc302886c646d94c98ade130"/>
                          <pic:cNvPicPr>
                            <a:picLocks noChangeAspect="1"/>
                          </pic:cNvPicPr>
                        </pic:nvPicPr>
                        <pic:blipFill>
                          <a:blip r:embed="rId14"/>
                          <a:stretch>
                            <a:fillRect/>
                          </a:stretch>
                        </pic:blipFill>
                        <pic:spPr>
                          <a:xfrm>
                            <a:off x="0" y="0"/>
                            <a:ext cx="1245870" cy="124587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2</w:t>
            </w:r>
          </w:p>
        </w:tc>
        <w:tc>
          <w:tcPr>
            <w:tcW w:w="898"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男生宿舍</w:t>
            </w:r>
          </w:p>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三人位</w:t>
            </w:r>
          </w:p>
          <w:p>
            <w:pPr>
              <w:pStyle w:val="9"/>
              <w:spacing w:line="300" w:lineRule="exact"/>
              <w:ind w:firstLine="0" w:firstLineChars="0"/>
              <w:jc w:val="center"/>
              <w:rPr>
                <w:rFonts w:ascii="宋体" w:hAnsi="宋体" w:cs="宋体"/>
                <w:sz w:val="24"/>
                <w:szCs w:val="24"/>
              </w:rPr>
            </w:pPr>
            <w:r>
              <w:rPr>
                <w:rFonts w:hint="eastAsia" w:ascii="宋体" w:hAnsi="宋体" w:cs="宋体"/>
                <w:sz w:val="24"/>
                <w:szCs w:val="24"/>
              </w:rPr>
              <w:t>宿舍床（含柜）</w:t>
            </w:r>
          </w:p>
        </w:tc>
        <w:tc>
          <w:tcPr>
            <w:tcW w:w="4607" w:type="dxa"/>
            <w:noWrap w:val="0"/>
            <w:vAlign w:val="center"/>
          </w:tcPr>
          <w:p>
            <w:pPr>
              <w:rPr>
                <w:rFonts w:hint="eastAsia" w:ascii="Calibri" w:hAnsi="Calibri"/>
                <w:sz w:val="24"/>
                <w:szCs w:val="24"/>
              </w:rPr>
            </w:pPr>
            <w:r>
              <w:rPr>
                <w:rFonts w:hint="eastAsia" w:ascii="宋体" w:hAnsi="宋体" w:eastAsia="宋体" w:cs="宋体"/>
                <w:color w:val="auto"/>
                <w:sz w:val="24"/>
                <w:szCs w:val="24"/>
              </w:rPr>
              <w:t>★</w:t>
            </w:r>
            <w:r>
              <w:rPr>
                <w:rFonts w:hint="eastAsia" w:hAnsi="宋体"/>
                <w:sz w:val="24"/>
                <w:szCs w:val="24"/>
              </w:rPr>
              <w:t>1</w:t>
            </w:r>
            <w:r>
              <w:rPr>
                <w:rFonts w:hint="eastAsia" w:hAnsi="宋体"/>
                <w:sz w:val="24"/>
                <w:szCs w:val="24"/>
                <w:lang w:val="en-US" w:eastAsia="zh-CN"/>
              </w:rPr>
              <w:t>.</w:t>
            </w:r>
            <w:r>
              <w:rPr>
                <w:rFonts w:hint="eastAsia" w:hAnsi="宋体"/>
                <w:sz w:val="24"/>
                <w:szCs w:val="24"/>
              </w:rPr>
              <w:t>规格:W4000*D900*H2120mm（±5mm）</w:t>
            </w:r>
            <w:r>
              <w:rPr>
                <w:rFonts w:hint="eastAsia" w:ascii="宋体" w:hAnsi="宋体"/>
                <w:sz w:val="24"/>
                <w:szCs w:val="24"/>
              </w:rPr>
              <w:t>（含蚊帐架约高</w:t>
            </w:r>
            <w:r>
              <w:rPr>
                <w:rFonts w:hint="eastAsia" w:ascii="宋体" w:hAnsi="宋体" w:cs="Calibri"/>
                <w:sz w:val="24"/>
                <w:szCs w:val="24"/>
              </w:rPr>
              <w:t>2800mm</w:t>
            </w:r>
            <w:r>
              <w:rPr>
                <w:rFonts w:hint="eastAsia" w:ascii="宋体" w:hAnsi="宋体"/>
                <w:sz w:val="24"/>
                <w:szCs w:val="24"/>
              </w:rPr>
              <w:t>）</w:t>
            </w:r>
          </w:p>
          <w:p>
            <w:pPr>
              <w:rPr>
                <w:rFonts w:hint="eastAsia" w:ascii="Calibri" w:hAnsi="Calibri"/>
                <w:sz w:val="24"/>
                <w:szCs w:val="24"/>
              </w:rPr>
            </w:pPr>
            <w:r>
              <w:rPr>
                <w:rFonts w:hint="eastAsia" w:ascii="宋体" w:hAnsi="宋体" w:eastAsia="宋体" w:cs="宋体"/>
                <w:color w:val="auto"/>
                <w:sz w:val="24"/>
                <w:szCs w:val="24"/>
              </w:rPr>
              <w:t>★</w:t>
            </w:r>
            <w:r>
              <w:rPr>
                <w:rFonts w:hint="eastAsia" w:hAnsi="宋体"/>
                <w:sz w:val="24"/>
                <w:szCs w:val="24"/>
              </w:rPr>
              <w:t>2</w:t>
            </w:r>
            <w:r>
              <w:rPr>
                <w:rFonts w:hint="eastAsia" w:hAnsi="宋体"/>
                <w:sz w:val="24"/>
                <w:szCs w:val="24"/>
                <w:lang w:val="en-US" w:eastAsia="zh-CN"/>
              </w:rPr>
              <w:t>.</w:t>
            </w:r>
            <w:r>
              <w:rPr>
                <w:rFonts w:hint="eastAsia" w:hAnsi="宋体"/>
                <w:sz w:val="24"/>
                <w:szCs w:val="24"/>
              </w:rPr>
              <w:t>床架:立脚采用≧65*65*1.2mm异型管，床头横管采用≧85*35*1.2mm异型管;床挺采用≧85*35*1.2mm异型管，管材均要求为开口管，起到双面喷涂防锈，外露管口端面应加闷盖或内塞;横档采用≧40*20*1.2mm(横截面积≧800mm2</w:t>
            </w:r>
            <w:r>
              <w:rPr>
                <w:rFonts w:hint="eastAsia" w:ascii="宋体" w:hAnsi="宋体" w:cs="宋体"/>
                <w:sz w:val="24"/>
                <w:szCs w:val="24"/>
              </w:rPr>
              <w:t>即可)</w:t>
            </w:r>
            <w:r>
              <w:rPr>
                <w:rFonts w:hint="eastAsia" w:hAnsi="宋体"/>
                <w:sz w:val="24"/>
                <w:szCs w:val="24"/>
              </w:rPr>
              <w:t>管材。安全护栏的外护栏高度≥300mm，护栏内侧标有永久性床褥安全警示线，永久警示线到安全护栏的定边距离≧200mm;安全护栏采用钢管焊接或其它满足安全要求材质。</w:t>
            </w:r>
            <w:r>
              <w:rPr>
                <w:rFonts w:hint="eastAsia" w:ascii="宋体" w:hAnsi="宋体"/>
                <w:sz w:val="24"/>
                <w:szCs w:val="24"/>
              </w:rPr>
              <w:t>上床横梁要求型材下面为圆弧型且具有安装布帘导轨功能，增加学生私密性和防撞头功能。</w:t>
            </w:r>
          </w:p>
          <w:p>
            <w:pPr>
              <w:rPr>
                <w:rFonts w:hint="eastAsia" w:ascii="Calibri" w:hAnsi="Calibri"/>
                <w:color w:val="FF0000"/>
                <w:sz w:val="24"/>
                <w:szCs w:val="24"/>
              </w:rPr>
            </w:pPr>
            <w:r>
              <w:rPr>
                <w:rFonts w:hint="eastAsia" w:hAnsi="宋体"/>
                <w:sz w:val="24"/>
                <w:szCs w:val="24"/>
              </w:rPr>
              <w:t>3</w:t>
            </w:r>
            <w:r>
              <w:rPr>
                <w:rFonts w:hint="eastAsia" w:ascii="宋体" w:hAnsi="宋体"/>
                <w:sz w:val="24"/>
                <w:szCs w:val="24"/>
                <w:lang w:val="en-US" w:eastAsia="zh-CN"/>
              </w:rPr>
              <w:t>.</w:t>
            </w:r>
            <w:r>
              <w:rPr>
                <w:rFonts w:hint="eastAsia" w:ascii="宋体" w:hAnsi="宋体"/>
                <w:sz w:val="24"/>
                <w:szCs w:val="24"/>
              </w:rPr>
              <w:t>床板:采用杉木板，板材厚度≧18mm，板数不超过八块板，尺寸根据实际公寓床内空制作。经干燥防腐、防蛀处理，无闪边，双面刨光。横档用</w:t>
            </w:r>
            <w:r>
              <w:rPr>
                <w:rFonts w:hint="eastAsia" w:ascii="宋体" w:hAnsi="宋体" w:cs="Calibri"/>
                <w:sz w:val="24"/>
                <w:szCs w:val="24"/>
              </w:rPr>
              <w:t>25</w:t>
            </w:r>
            <w:r>
              <w:rPr>
                <w:rFonts w:hint="eastAsia" w:ascii="宋体" w:hAnsi="宋体"/>
                <w:sz w:val="24"/>
                <w:szCs w:val="24"/>
              </w:rPr>
              <w:t>×</w:t>
            </w:r>
            <w:r>
              <w:rPr>
                <w:rFonts w:hint="eastAsia" w:ascii="宋体" w:hAnsi="宋体" w:cs="Calibri"/>
                <w:sz w:val="24"/>
                <w:szCs w:val="24"/>
              </w:rPr>
              <w:t>35mm</w:t>
            </w:r>
            <w:r>
              <w:rPr>
                <w:rFonts w:hint="eastAsia" w:ascii="宋体" w:hAnsi="宋体"/>
                <w:sz w:val="24"/>
                <w:szCs w:val="24"/>
              </w:rPr>
              <w:t>实木木方三面刨光，数量不少于三根铁钉钉制而成，木材干燥、无大结疤、无穿心死结，无朽木，含水率小于</w:t>
            </w:r>
            <w:r>
              <w:rPr>
                <w:rFonts w:hint="eastAsia" w:ascii="宋体" w:hAnsi="宋体" w:cs="Calibri"/>
                <w:sz w:val="24"/>
                <w:szCs w:val="24"/>
              </w:rPr>
              <w:t>12%</w:t>
            </w:r>
            <w:r>
              <w:rPr>
                <w:rFonts w:hint="eastAsia" w:ascii="宋体" w:hAnsi="宋体"/>
                <w:sz w:val="24"/>
                <w:szCs w:val="24"/>
              </w:rPr>
              <w:t>。</w:t>
            </w:r>
          </w:p>
          <w:p>
            <w:pPr>
              <w:pStyle w:val="12"/>
              <w:rPr>
                <w:rFonts w:hint="eastAsia" w:hAnsi="宋体"/>
                <w:sz w:val="24"/>
                <w:szCs w:val="24"/>
              </w:rPr>
            </w:pPr>
            <w:r>
              <w:rPr>
                <w:rFonts w:hint="eastAsia" w:ascii="宋体" w:hAnsi="宋体" w:eastAsia="宋体" w:cs="宋体"/>
                <w:color w:val="auto"/>
                <w:sz w:val="24"/>
                <w:szCs w:val="24"/>
              </w:rPr>
              <w:t>★</w:t>
            </w:r>
            <w:r>
              <w:rPr>
                <w:rFonts w:hint="eastAsia" w:hAnsi="宋体"/>
                <w:sz w:val="24"/>
                <w:szCs w:val="24"/>
              </w:rPr>
              <w:t>4</w:t>
            </w:r>
            <w:r>
              <w:rPr>
                <w:rFonts w:hint="eastAsia" w:hAnsi="宋体"/>
                <w:sz w:val="24"/>
                <w:szCs w:val="24"/>
                <w:lang w:val="en-US" w:eastAsia="zh-CN"/>
              </w:rPr>
              <w:t>.</w:t>
            </w:r>
            <w:r>
              <w:rPr>
                <w:rFonts w:hint="eastAsia" w:hAnsi="宋体"/>
                <w:sz w:val="24"/>
                <w:szCs w:val="24"/>
              </w:rPr>
              <w:t>扶梯:采用外梯结构，蹬梯净宽≧360mm，蹬梯净间距240~300mm;踏板宽度:≧100mm，厚度≧25mm，有防滑处理。</w:t>
            </w:r>
          </w:p>
          <w:p>
            <w:pPr>
              <w:rPr>
                <w:rFonts w:hint="eastAsia"/>
                <w:sz w:val="24"/>
                <w:szCs w:val="24"/>
              </w:rPr>
            </w:pPr>
            <w:r>
              <w:rPr>
                <w:rFonts w:hint="eastAsia" w:ascii="宋体" w:hAnsi="宋体"/>
                <w:sz w:val="24"/>
                <w:szCs w:val="24"/>
              </w:rPr>
              <w:t>5</w:t>
            </w:r>
            <w:r>
              <w:rPr>
                <w:rFonts w:hint="eastAsia" w:ascii="宋体" w:hAnsi="宋体"/>
                <w:sz w:val="24"/>
                <w:szCs w:val="24"/>
                <w:lang w:val="en-US" w:eastAsia="zh-CN"/>
              </w:rPr>
              <w:t>.</w:t>
            </w:r>
            <w:r>
              <w:rPr>
                <w:rFonts w:hint="eastAsia" w:ascii="宋体" w:hAnsi="宋体"/>
                <w:sz w:val="24"/>
                <w:szCs w:val="24"/>
              </w:rPr>
              <w:t>金属件焊接及表面处理:表面经去油、除锈、抛丸或磷化表面处理后经高温静电喷涂，着附能力强，冷轧钢板或钢管乙酸盐雾连续喷雾≧</w:t>
            </w:r>
            <w:r>
              <w:rPr>
                <w:rFonts w:hint="eastAsia" w:ascii="宋体" w:hAnsi="宋体" w:cs="Calibri"/>
                <w:sz w:val="24"/>
                <w:szCs w:val="24"/>
              </w:rPr>
              <w:t>200</w:t>
            </w:r>
            <w:r>
              <w:rPr>
                <w:rFonts w:hint="eastAsia" w:ascii="宋体" w:hAnsi="宋体"/>
                <w:sz w:val="24"/>
                <w:szCs w:val="24"/>
              </w:rPr>
              <w:t>小时测试等级≧</w:t>
            </w:r>
            <w:r>
              <w:rPr>
                <w:rFonts w:hint="eastAsia" w:ascii="宋体" w:hAnsi="宋体" w:cs="Calibri"/>
                <w:sz w:val="24"/>
                <w:szCs w:val="24"/>
              </w:rPr>
              <w:t>10</w:t>
            </w:r>
            <w:r>
              <w:rPr>
                <w:rFonts w:hint="eastAsia" w:ascii="宋体" w:hAnsi="宋体"/>
                <w:sz w:val="24"/>
                <w:szCs w:val="24"/>
              </w:rPr>
              <w:t>级。</w:t>
            </w:r>
          </w:p>
          <w:p>
            <w:pPr>
              <w:rPr>
                <w:rFonts w:hint="eastAsia" w:ascii="宋体" w:hAnsi="宋体" w:cs="宋体"/>
                <w:sz w:val="24"/>
                <w:szCs w:val="24"/>
              </w:rPr>
            </w:pPr>
            <w:r>
              <w:rPr>
                <w:rFonts w:hint="eastAsia" w:ascii="宋体" w:hAnsi="宋体"/>
                <w:sz w:val="24"/>
                <w:szCs w:val="24"/>
              </w:rPr>
              <w:t>6</w:t>
            </w:r>
            <w:r>
              <w:rPr>
                <w:rFonts w:hint="eastAsia" w:ascii="宋体" w:hAnsi="宋体" w:cs="宋体"/>
                <w:sz w:val="24"/>
                <w:szCs w:val="24"/>
                <w:lang w:val="en-US" w:eastAsia="zh-CN"/>
              </w:rPr>
              <w:t>.</w:t>
            </w:r>
            <w:r>
              <w:rPr>
                <w:rFonts w:hint="eastAsia" w:ascii="宋体" w:hAnsi="宋体" w:cs="宋体"/>
                <w:sz w:val="24"/>
                <w:szCs w:val="24"/>
              </w:rPr>
              <w:t>蚊帐：采用直径≧19mm*1.0mm厚圆管制作(或更合理设计）。</w:t>
            </w:r>
          </w:p>
          <w:p>
            <w:pPr>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4"/>
                <w:lang w:val="en-US" w:eastAsia="zh-CN"/>
              </w:rPr>
              <w:t>.</w:t>
            </w:r>
            <w:r>
              <w:rPr>
                <w:rFonts w:hint="eastAsia" w:ascii="宋体" w:hAnsi="宋体" w:cs="宋体"/>
                <w:sz w:val="24"/>
                <w:szCs w:val="24"/>
              </w:rPr>
              <w:t>床底配置存放鞋架，要求设计合理，使用方便，结实耐用。</w:t>
            </w:r>
          </w:p>
          <w:p>
            <w:pPr>
              <w:rPr>
                <w:rFonts w:hint="eastAsia" w:ascii="宋体" w:hAnsi="宋体" w:cs="宋体"/>
                <w:sz w:val="24"/>
                <w:szCs w:val="24"/>
              </w:rPr>
            </w:pPr>
            <w:r>
              <w:rPr>
                <w:rFonts w:hint="eastAsia" w:ascii="宋体" w:hAnsi="宋体" w:cs="宋体"/>
                <w:sz w:val="24"/>
                <w:szCs w:val="24"/>
              </w:rPr>
              <w:t>（二）三人衣柜（3人）</w:t>
            </w:r>
          </w:p>
          <w:p>
            <w:pPr>
              <w:rPr>
                <w:rFonts w:hint="eastAsia" w:ascii="宋体" w:hAnsi="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sz w:val="24"/>
                <w:szCs w:val="24"/>
              </w:rPr>
              <w:t>衣柜整体尺寸：长度为</w:t>
            </w:r>
            <w:r>
              <w:rPr>
                <w:rFonts w:hint="eastAsia" w:ascii="宋体" w:hAnsi="宋体" w:cs="Calibri"/>
                <w:sz w:val="24"/>
                <w:szCs w:val="24"/>
              </w:rPr>
              <w:t>1900mm</w:t>
            </w:r>
            <w:r>
              <w:rPr>
                <w:rFonts w:hint="eastAsia" w:ascii="宋体" w:hAnsi="宋体"/>
                <w:sz w:val="24"/>
                <w:szCs w:val="24"/>
              </w:rPr>
              <w:t>高度为</w:t>
            </w:r>
            <w:r>
              <w:rPr>
                <w:rFonts w:hint="eastAsia" w:ascii="宋体" w:hAnsi="宋体" w:cs="Calibri"/>
                <w:sz w:val="24"/>
                <w:szCs w:val="24"/>
              </w:rPr>
              <w:t>1680mm</w:t>
            </w:r>
            <w:r>
              <w:rPr>
                <w:rFonts w:hint="eastAsia" w:ascii="宋体" w:hAnsi="宋体"/>
                <w:sz w:val="24"/>
                <w:szCs w:val="24"/>
              </w:rPr>
              <w:t>深度</w:t>
            </w:r>
            <w:r>
              <w:rPr>
                <w:rFonts w:hint="eastAsia" w:ascii="宋体" w:hAnsi="宋体" w:cs="Calibri"/>
                <w:sz w:val="24"/>
                <w:szCs w:val="24"/>
              </w:rPr>
              <w:t xml:space="preserve">600mm, </w:t>
            </w:r>
            <w:r>
              <w:rPr>
                <w:rFonts w:hint="eastAsia" w:ascii="宋体" w:hAnsi="宋体"/>
                <w:sz w:val="24"/>
                <w:szCs w:val="24"/>
              </w:rPr>
              <w:t>外形尺寸正负</w:t>
            </w:r>
            <w:r>
              <w:rPr>
                <w:rFonts w:hint="eastAsia" w:ascii="宋体" w:hAnsi="宋体" w:cs="Calibri"/>
                <w:sz w:val="24"/>
                <w:szCs w:val="24"/>
              </w:rPr>
              <w:t>10mm</w:t>
            </w:r>
            <w:r>
              <w:rPr>
                <w:rFonts w:hint="eastAsia" w:ascii="宋体" w:hAnsi="宋体"/>
                <w:sz w:val="24"/>
                <w:szCs w:val="24"/>
              </w:rPr>
              <w:t>（长度可根据床下内空空间制作）。</w:t>
            </w:r>
          </w:p>
          <w:p>
            <w:pPr>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ascii="宋体" w:hAnsi="宋体" w:cs="宋体"/>
                <w:sz w:val="24"/>
                <w:szCs w:val="24"/>
              </w:rPr>
              <w:t>柜体：</w:t>
            </w:r>
            <w:r>
              <w:rPr>
                <w:rFonts w:hint="eastAsia" w:ascii="宋体" w:hAnsi="宋体"/>
                <w:sz w:val="24"/>
                <w:szCs w:val="24"/>
              </w:rPr>
              <w:t>基材为≧</w:t>
            </w:r>
            <w:r>
              <w:rPr>
                <w:rFonts w:hint="eastAsia" w:ascii="宋体" w:hAnsi="宋体" w:cs="Calibri"/>
                <w:sz w:val="24"/>
                <w:szCs w:val="24"/>
              </w:rPr>
              <w:t>17mm</w:t>
            </w:r>
            <w:r>
              <w:rPr>
                <w:rFonts w:hint="eastAsia" w:ascii="宋体" w:hAnsi="宋体"/>
                <w:sz w:val="24"/>
                <w:szCs w:val="24"/>
              </w:rPr>
              <w:t>厚双饰面杉木芯</w:t>
            </w:r>
            <w:r>
              <w:rPr>
                <w:rFonts w:hint="eastAsia" w:ascii="宋体" w:hAnsi="宋体" w:cs="Calibri"/>
                <w:sz w:val="24"/>
                <w:szCs w:val="24"/>
              </w:rPr>
              <w:t>E0</w:t>
            </w:r>
            <w:r>
              <w:rPr>
                <w:rFonts w:hint="eastAsia" w:ascii="宋体" w:hAnsi="宋体"/>
                <w:sz w:val="24"/>
                <w:szCs w:val="24"/>
              </w:rPr>
              <w:t>级环保生态板，生态板符合甲醛释放量≤</w:t>
            </w:r>
            <w:r>
              <w:rPr>
                <w:rFonts w:ascii="宋体" w:hAnsi="宋体"/>
                <w:sz w:val="24"/>
                <w:szCs w:val="24"/>
              </w:rPr>
              <w:t>0.</w:t>
            </w:r>
            <w:r>
              <w:rPr>
                <w:rFonts w:hint="eastAsia" w:ascii="宋体" w:hAnsi="宋体"/>
                <w:sz w:val="24"/>
                <w:szCs w:val="24"/>
              </w:rPr>
              <w:t>3</w:t>
            </w:r>
            <w:r>
              <w:rPr>
                <w:rFonts w:ascii="宋体" w:hAnsi="宋体"/>
                <w:sz w:val="24"/>
                <w:szCs w:val="24"/>
              </w:rPr>
              <w:t>mg/L或</w:t>
            </w:r>
            <w:r>
              <w:rPr>
                <w:rFonts w:hint="eastAsia" w:ascii="宋体" w:hAnsi="宋体"/>
                <w:sz w:val="24"/>
                <w:szCs w:val="24"/>
              </w:rPr>
              <w:t>≤</w:t>
            </w:r>
            <w:r>
              <w:rPr>
                <w:rFonts w:ascii="宋体" w:hAnsi="宋体"/>
                <w:sz w:val="24"/>
                <w:szCs w:val="24"/>
              </w:rPr>
              <w:t>0.</w:t>
            </w:r>
            <w:r>
              <w:rPr>
                <w:rFonts w:hint="eastAsia" w:ascii="宋体" w:hAnsi="宋体"/>
                <w:sz w:val="24"/>
                <w:szCs w:val="24"/>
              </w:rPr>
              <w:t>03</w:t>
            </w:r>
            <w:r>
              <w:rPr>
                <w:rFonts w:ascii="宋体" w:hAnsi="宋体"/>
                <w:sz w:val="24"/>
                <w:szCs w:val="24"/>
              </w:rPr>
              <w:t>mg/</w:t>
            </w:r>
            <w:r>
              <w:rPr>
                <w:rFonts w:hint="eastAsia" w:ascii="宋体" w:hAnsi="宋体"/>
                <w:sz w:val="24"/>
                <w:szCs w:val="24"/>
              </w:rPr>
              <w:t>m3。背板为15</w:t>
            </w:r>
            <w:r>
              <w:rPr>
                <w:rFonts w:hint="eastAsia" w:ascii="宋体" w:hAnsi="宋体" w:cs="Calibri"/>
                <w:sz w:val="24"/>
                <w:szCs w:val="24"/>
              </w:rPr>
              <w:t>mm</w:t>
            </w:r>
            <w:r>
              <w:rPr>
                <w:rFonts w:hint="eastAsia" w:ascii="宋体" w:hAnsi="宋体"/>
                <w:sz w:val="24"/>
                <w:szCs w:val="24"/>
              </w:rPr>
              <w:t>厚同色双饰面环保多层板。</w:t>
            </w:r>
          </w:p>
          <w:p>
            <w:pPr>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w:t>
            </w:r>
            <w:r>
              <w:rPr>
                <w:rFonts w:hint="eastAsia" w:ascii="宋体" w:hAnsi="宋体"/>
                <w:sz w:val="24"/>
                <w:szCs w:val="24"/>
              </w:rPr>
              <w:t>封边：采用优质</w:t>
            </w:r>
            <w:r>
              <w:rPr>
                <w:rFonts w:hint="eastAsia" w:ascii="宋体" w:hAnsi="宋体" w:cs="Calibri"/>
                <w:sz w:val="24"/>
                <w:szCs w:val="24"/>
              </w:rPr>
              <w:t>pvc</w:t>
            </w:r>
            <w:r>
              <w:rPr>
                <w:rFonts w:hint="eastAsia" w:ascii="宋体" w:hAnsi="宋体"/>
                <w:sz w:val="24"/>
                <w:szCs w:val="24"/>
              </w:rPr>
              <w:t>封边条</w:t>
            </w:r>
            <w:r>
              <w:rPr>
                <w:rFonts w:hint="eastAsia" w:ascii="宋体" w:hAnsi="宋体" w:cs="Calibri"/>
                <w:sz w:val="24"/>
                <w:szCs w:val="24"/>
              </w:rPr>
              <w:t>,</w:t>
            </w:r>
            <w:r>
              <w:rPr>
                <w:rFonts w:hint="eastAsia" w:ascii="宋体" w:hAnsi="宋体"/>
                <w:sz w:val="24"/>
                <w:szCs w:val="24"/>
              </w:rPr>
              <w:t>与柜板面同色</w:t>
            </w:r>
            <w:r>
              <w:rPr>
                <w:rFonts w:hint="eastAsia" w:ascii="宋体" w:hAnsi="宋体" w:cs="Calibri"/>
                <w:sz w:val="24"/>
                <w:szCs w:val="24"/>
              </w:rPr>
              <w:t>,1.2 mm</w:t>
            </w:r>
            <w:r>
              <w:rPr>
                <w:rFonts w:hint="eastAsia" w:ascii="宋体" w:hAnsi="宋体"/>
                <w:sz w:val="24"/>
                <w:szCs w:val="24"/>
              </w:rPr>
              <w:t>厚，</w:t>
            </w:r>
            <w:r>
              <w:rPr>
                <w:rFonts w:hint="eastAsia" w:ascii="宋体" w:hAnsi="宋体"/>
                <w:kern w:val="0"/>
                <w:sz w:val="24"/>
                <w:szCs w:val="24"/>
              </w:rPr>
              <w:t>采用</w:t>
            </w:r>
            <w:r>
              <w:rPr>
                <w:rFonts w:hint="eastAsia" w:ascii="宋体" w:hAnsi="宋体"/>
                <w:sz w:val="24"/>
                <w:szCs w:val="24"/>
              </w:rPr>
              <w:t>优质热熔胶封边而成</w:t>
            </w:r>
            <w:r>
              <w:rPr>
                <w:rFonts w:hint="eastAsia" w:ascii="宋体" w:hAnsi="宋体" w:cs="Calibri"/>
                <w:sz w:val="24"/>
                <w:szCs w:val="24"/>
              </w:rPr>
              <w:t>(</w:t>
            </w:r>
            <w:r>
              <w:rPr>
                <w:rFonts w:hint="eastAsia" w:ascii="宋体" w:hAnsi="宋体"/>
                <w:sz w:val="24"/>
                <w:szCs w:val="24"/>
              </w:rPr>
              <w:t>板露边处</w:t>
            </w:r>
            <w:r>
              <w:rPr>
                <w:rFonts w:hint="eastAsia" w:ascii="宋体" w:hAnsi="宋体" w:cs="Calibri"/>
                <w:sz w:val="24"/>
                <w:szCs w:val="24"/>
              </w:rPr>
              <w:t>),</w:t>
            </w:r>
            <w:r>
              <w:rPr>
                <w:rFonts w:hint="eastAsia" w:ascii="宋体" w:hAnsi="宋体"/>
                <w:sz w:val="24"/>
                <w:szCs w:val="24"/>
              </w:rPr>
              <w:t>做到平整、不炝边、受热受冻不会脱胶开裂。</w:t>
            </w:r>
          </w:p>
          <w:p>
            <w:pPr>
              <w:rPr>
                <w:rFonts w:ascii="宋体" w:hAnsi="宋体"/>
                <w:sz w:val="24"/>
                <w:szCs w:val="24"/>
              </w:rPr>
            </w:pPr>
            <w:r>
              <w:rPr>
                <w:rFonts w:hint="eastAsia" w:ascii="宋体" w:hAnsi="宋体"/>
                <w:sz w:val="24"/>
                <w:szCs w:val="24"/>
              </w:rPr>
              <w:t>4</w:t>
            </w:r>
            <w:r>
              <w:rPr>
                <w:rFonts w:hint="eastAsia" w:ascii="宋体" w:hAnsi="宋体"/>
                <w:sz w:val="24"/>
                <w:szCs w:val="24"/>
                <w:lang w:val="en-US" w:eastAsia="zh-CN"/>
              </w:rPr>
              <w:t>.</w:t>
            </w:r>
            <w:r>
              <w:rPr>
                <w:rFonts w:hint="eastAsia" w:ascii="宋体" w:hAnsi="宋体"/>
                <w:sz w:val="24"/>
                <w:szCs w:val="24"/>
              </w:rPr>
              <w:t>五金件：门铰链选用优质品牌阻尼铰链，采用优质拉手。</w:t>
            </w:r>
          </w:p>
          <w:p>
            <w:pPr>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胶粘剂：采用水性胶粘剂，应符合</w:t>
            </w:r>
            <w:r>
              <w:rPr>
                <w:rFonts w:ascii="宋体" w:hAnsi="宋体" w:cs="宋体"/>
                <w:sz w:val="24"/>
                <w:szCs w:val="24"/>
              </w:rPr>
              <w:t>HJ 2541-2016的要求。</w:t>
            </w:r>
          </w:p>
          <w:p>
            <w:pPr>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柜体下方配置存放行李架，要求设计合理，使用方便，结实耐用。</w:t>
            </w:r>
          </w:p>
          <w:p>
            <w:pPr>
              <w:rPr>
                <w:rFonts w:hint="eastAsia" w:ascii="宋体" w:hAnsi="宋体" w:cs="宋体"/>
                <w:sz w:val="24"/>
                <w:szCs w:val="24"/>
              </w:rPr>
            </w:pPr>
            <w:r>
              <w:rPr>
                <w:rFonts w:hint="eastAsia" w:ascii="宋体" w:hAnsi="宋体"/>
                <w:b/>
                <w:sz w:val="24"/>
                <w:szCs w:val="24"/>
              </w:rPr>
              <w:t>产品应符合QB/T 2741-2013&lt;学生公寓多功能家具&gt;标准的要求。其中甲醛释放量≤</w:t>
            </w:r>
            <w:r>
              <w:rPr>
                <w:rFonts w:ascii="宋体" w:hAnsi="宋体"/>
                <w:b/>
                <w:sz w:val="24"/>
                <w:szCs w:val="24"/>
              </w:rPr>
              <w:t>0.</w:t>
            </w:r>
            <w:r>
              <w:rPr>
                <w:rFonts w:hint="eastAsia" w:ascii="宋体" w:hAnsi="宋体"/>
                <w:b/>
                <w:sz w:val="24"/>
                <w:szCs w:val="24"/>
              </w:rPr>
              <w:t>3</w:t>
            </w:r>
            <w:r>
              <w:rPr>
                <w:rFonts w:ascii="宋体" w:hAnsi="宋体"/>
                <w:b/>
                <w:sz w:val="24"/>
                <w:szCs w:val="24"/>
              </w:rPr>
              <w:t>mg/L或</w:t>
            </w:r>
            <w:r>
              <w:rPr>
                <w:rFonts w:hint="eastAsia" w:ascii="宋体" w:hAnsi="宋体"/>
                <w:b/>
                <w:sz w:val="24"/>
                <w:szCs w:val="24"/>
              </w:rPr>
              <w:t>≤</w:t>
            </w:r>
            <w:r>
              <w:rPr>
                <w:rFonts w:ascii="宋体" w:hAnsi="宋体"/>
                <w:b/>
                <w:sz w:val="24"/>
                <w:szCs w:val="24"/>
              </w:rPr>
              <w:t>0.</w:t>
            </w:r>
            <w:r>
              <w:rPr>
                <w:rFonts w:hint="eastAsia" w:ascii="宋体" w:hAnsi="宋体"/>
                <w:b/>
                <w:sz w:val="24"/>
                <w:szCs w:val="24"/>
              </w:rPr>
              <w:t>03</w:t>
            </w:r>
            <w:r>
              <w:rPr>
                <w:rFonts w:ascii="宋体" w:hAnsi="宋体"/>
                <w:b/>
                <w:sz w:val="24"/>
                <w:szCs w:val="24"/>
              </w:rPr>
              <w:t>mg/</w:t>
            </w:r>
            <w:r>
              <w:rPr>
                <w:rFonts w:hint="eastAsia" w:ascii="宋体" w:hAnsi="宋体"/>
                <w:b/>
                <w:sz w:val="24"/>
                <w:szCs w:val="24"/>
              </w:rPr>
              <w:t>m3</w:t>
            </w:r>
            <w:r>
              <w:rPr>
                <w:rFonts w:ascii="宋体" w:hAnsi="宋体"/>
                <w:b/>
                <w:sz w:val="24"/>
                <w:szCs w:val="24"/>
              </w:rPr>
              <w:t>。</w:t>
            </w:r>
          </w:p>
        </w:tc>
        <w:tc>
          <w:tcPr>
            <w:tcW w:w="87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408组</w:t>
            </w:r>
          </w:p>
        </w:tc>
        <w:tc>
          <w:tcPr>
            <w:tcW w:w="2372"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drawing>
                <wp:anchor distT="0" distB="0" distL="114300" distR="114300" simplePos="0" relativeHeight="251668480" behindDoc="0" locked="0" layoutInCell="1" allowOverlap="1">
                  <wp:simplePos x="0" y="0"/>
                  <wp:positionH relativeFrom="column">
                    <wp:posOffset>272415</wp:posOffset>
                  </wp:positionH>
                  <wp:positionV relativeFrom="paragraph">
                    <wp:posOffset>255270</wp:posOffset>
                  </wp:positionV>
                  <wp:extent cx="1438910" cy="1270635"/>
                  <wp:effectExtent l="0" t="0" r="8890" b="5715"/>
                  <wp:wrapSquare wrapText="bothSides"/>
                  <wp:docPr id="29" name="图片 5" descr="微信图片_20221009145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descr="微信图片_20221009145852"/>
                          <pic:cNvPicPr>
                            <a:picLocks noChangeAspect="1"/>
                          </pic:cNvPicPr>
                        </pic:nvPicPr>
                        <pic:blipFill>
                          <a:blip r:embed="rId15"/>
                          <a:stretch>
                            <a:fillRect/>
                          </a:stretch>
                        </pic:blipFill>
                        <pic:spPr>
                          <a:xfrm>
                            <a:off x="0" y="0"/>
                            <a:ext cx="1438910" cy="1270635"/>
                          </a:xfrm>
                          <a:prstGeom prst="rect">
                            <a:avLst/>
                          </a:prstGeom>
                          <a:noFill/>
                          <a:ln>
                            <a:noFill/>
                          </a:ln>
                        </pic:spPr>
                      </pic:pic>
                    </a:graphicData>
                  </a:graphic>
                </wp:anchor>
              </w:drawing>
            </w:r>
          </w:p>
          <w:p>
            <w:pPr>
              <w:pStyle w:val="9"/>
              <w:spacing w:line="300" w:lineRule="exact"/>
              <w:ind w:firstLine="0" w:firstLineChars="0"/>
              <w:jc w:val="center"/>
              <w:rPr>
                <w:rFonts w:hint="eastAsia" w:ascii="宋体" w:hAnsi="宋体" w:cs="宋体"/>
                <w:sz w:val="24"/>
                <w:szCs w:val="24"/>
              </w:rPr>
            </w:pPr>
          </w:p>
          <w:p>
            <w:pPr>
              <w:pStyle w:val="9"/>
              <w:spacing w:line="300" w:lineRule="exact"/>
              <w:ind w:firstLine="0" w:firstLineChars="0"/>
              <w:jc w:val="center"/>
              <w:rPr>
                <w:rFonts w:hint="eastAsia" w:ascii="宋体" w:hAnsi="宋体" w:cs="宋体"/>
                <w:sz w:val="24"/>
                <w:szCs w:val="24"/>
              </w:rPr>
            </w:pPr>
          </w:p>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drawing>
                <wp:anchor distT="0" distB="0" distL="114300" distR="114300" simplePos="0" relativeHeight="251665408" behindDoc="0" locked="0" layoutInCell="1" allowOverlap="1">
                  <wp:simplePos x="0" y="0"/>
                  <wp:positionH relativeFrom="column">
                    <wp:posOffset>328930</wp:posOffset>
                  </wp:positionH>
                  <wp:positionV relativeFrom="paragraph">
                    <wp:posOffset>248920</wp:posOffset>
                  </wp:positionV>
                  <wp:extent cx="802640" cy="787400"/>
                  <wp:effectExtent l="0" t="0" r="16510" b="12700"/>
                  <wp:wrapSquare wrapText="bothSides"/>
                  <wp:docPr id="30" name="图片 4"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descr="16"/>
                          <pic:cNvPicPr>
                            <a:picLocks noChangeAspect="1"/>
                          </pic:cNvPicPr>
                        </pic:nvPicPr>
                        <pic:blipFill>
                          <a:blip r:embed="rId16"/>
                          <a:stretch>
                            <a:fillRect/>
                          </a:stretch>
                        </pic:blipFill>
                        <pic:spPr>
                          <a:xfrm>
                            <a:off x="0" y="0"/>
                            <a:ext cx="802640" cy="787400"/>
                          </a:xfrm>
                          <a:prstGeom prst="rect">
                            <a:avLst/>
                          </a:prstGeom>
                          <a:noFill/>
                          <a:ln>
                            <a:noFill/>
                          </a:ln>
                        </pic:spPr>
                      </pic:pic>
                    </a:graphicData>
                  </a:graphic>
                </wp:anchor>
              </w:drawing>
            </w:r>
          </w:p>
          <w:p>
            <w:pPr>
              <w:pStyle w:val="9"/>
              <w:spacing w:line="300" w:lineRule="exact"/>
              <w:ind w:firstLine="0" w:firstLineChars="0"/>
              <w:jc w:val="center"/>
              <w:rPr>
                <w:rFonts w:hint="eastAsia" w:ascii="宋体" w:hAnsi="宋体" w:cs="宋体"/>
                <w:sz w:val="24"/>
                <w:szCs w:val="24"/>
              </w:rPr>
            </w:pPr>
          </w:p>
          <w:p>
            <w:pPr>
              <w:pStyle w:val="9"/>
              <w:spacing w:line="300" w:lineRule="exact"/>
              <w:ind w:firstLine="0" w:firstLineChars="0"/>
              <w:jc w:val="center"/>
              <w:rPr>
                <w:rFonts w:hint="eastAsia" w:ascii="宋体" w:hAnsi="宋体" w:cs="宋体"/>
                <w:sz w:val="24"/>
                <w:szCs w:val="24"/>
              </w:rPr>
            </w:pPr>
          </w:p>
          <w:p>
            <w:pPr>
              <w:pStyle w:val="9"/>
              <w:spacing w:line="300" w:lineRule="exact"/>
              <w:ind w:firstLine="0" w:firstLineChars="0"/>
              <w:jc w:val="center"/>
              <w:rPr>
                <w:rFonts w:hint="eastAsia" w:ascii="宋体" w:hAnsi="宋体" w:cs="宋体"/>
                <w:color w:val="auto"/>
                <w:sz w:val="24"/>
                <w:szCs w:val="24"/>
              </w:rPr>
            </w:pPr>
            <w:r>
              <w:rPr>
                <w:rFonts w:hint="eastAsia" w:ascii="宋体" w:hAnsi="宋体" w:cs="宋体"/>
                <w:color w:val="auto"/>
                <w:sz w:val="24"/>
                <w:szCs w:val="24"/>
              </w:rPr>
              <w:t>提供</w:t>
            </w:r>
            <w:r>
              <w:rPr>
                <w:rFonts w:hint="eastAsia" w:ascii="宋体" w:hAnsi="宋体" w:cs="宋体"/>
                <w:color w:val="auto"/>
                <w:sz w:val="24"/>
                <w:szCs w:val="24"/>
                <w:lang w:val="en-US" w:eastAsia="zh-CN"/>
              </w:rPr>
              <w:t>样</w:t>
            </w:r>
            <w:r>
              <w:rPr>
                <w:rFonts w:hint="eastAsia" w:ascii="宋体" w:hAnsi="宋体" w:cs="宋体"/>
                <w:color w:val="auto"/>
                <w:sz w:val="24"/>
                <w:szCs w:val="24"/>
              </w:rPr>
              <w:t>品</w:t>
            </w:r>
          </w:p>
          <w:p>
            <w:pPr>
              <w:pStyle w:val="8"/>
              <w:rPr>
                <w:rFonts w:hint="eastAsia"/>
                <w:sz w:val="24"/>
                <w:szCs w:val="24"/>
              </w:rPr>
            </w:pPr>
          </w:p>
          <w:p>
            <w:pPr>
              <w:pStyle w:val="9"/>
              <w:spacing w:line="300" w:lineRule="exact"/>
              <w:ind w:firstLine="0" w:firstLineChars="0"/>
              <w:jc w:val="center"/>
              <w:rPr>
                <w:rFonts w:hint="eastAsia" w:ascii="宋体" w:hAnsi="宋体" w:cs="宋体"/>
                <w:sz w:val="24"/>
                <w:szCs w:val="24"/>
              </w:rPr>
            </w:pPr>
          </w:p>
          <w:p>
            <w:pPr>
              <w:pStyle w:val="9"/>
              <w:spacing w:line="300" w:lineRule="exact"/>
              <w:ind w:firstLine="0" w:firstLineChars="0"/>
              <w:jc w:val="center"/>
              <w:rPr>
                <w:rFonts w:hint="eastAsia" w:ascii="宋体" w:hAnsi="宋体" w:cs="宋体"/>
                <w:sz w:val="24"/>
                <w:szCs w:val="24"/>
              </w:rPr>
            </w:pPr>
          </w:p>
          <w:p>
            <w:pPr>
              <w:pStyle w:val="9"/>
              <w:spacing w:line="300" w:lineRule="exact"/>
              <w:ind w:firstLine="0" w:firstLineChars="0"/>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754"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3</w:t>
            </w:r>
          </w:p>
        </w:tc>
        <w:tc>
          <w:tcPr>
            <w:tcW w:w="898" w:type="dxa"/>
            <w:noWrap w:val="0"/>
            <w:vAlign w:val="center"/>
          </w:tcPr>
          <w:p>
            <w:pPr>
              <w:pStyle w:val="9"/>
              <w:spacing w:line="300" w:lineRule="exact"/>
              <w:ind w:firstLine="0" w:firstLineChars="0"/>
              <w:jc w:val="center"/>
              <w:rPr>
                <w:rFonts w:ascii="宋体" w:hAnsi="宋体" w:cs="宋体"/>
                <w:sz w:val="24"/>
                <w:szCs w:val="24"/>
              </w:rPr>
            </w:pPr>
            <w:r>
              <w:rPr>
                <w:rFonts w:hint="eastAsia" w:ascii="宋体" w:hAnsi="宋体" w:cs="宋体"/>
                <w:sz w:val="24"/>
                <w:szCs w:val="24"/>
              </w:rPr>
              <w:t>挂衣架</w:t>
            </w:r>
          </w:p>
        </w:tc>
        <w:tc>
          <w:tcPr>
            <w:tcW w:w="4607" w:type="dxa"/>
            <w:noWrap w:val="0"/>
            <w:vAlign w:val="center"/>
          </w:tcPr>
          <w:p>
            <w:pPr>
              <w:rPr>
                <w:rFonts w:ascii="宋体" w:hAnsi="宋体"/>
                <w:bCs/>
                <w:sz w:val="24"/>
                <w:szCs w:val="24"/>
              </w:rPr>
            </w:pPr>
            <w:r>
              <w:rPr>
                <w:rFonts w:hint="eastAsia" w:ascii="宋体" w:hAnsi="宋体"/>
                <w:bCs/>
                <w:sz w:val="24"/>
                <w:szCs w:val="24"/>
              </w:rPr>
              <w:t>1</w:t>
            </w:r>
            <w:r>
              <w:rPr>
                <w:rFonts w:hint="eastAsia" w:ascii="宋体" w:hAnsi="宋体"/>
                <w:bCs/>
                <w:sz w:val="24"/>
                <w:szCs w:val="24"/>
                <w:lang w:val="en-US" w:eastAsia="zh-CN"/>
              </w:rPr>
              <w:t>.</w:t>
            </w:r>
            <w:r>
              <w:rPr>
                <w:rFonts w:hint="eastAsia" w:ascii="宋体" w:hAnsi="宋体"/>
                <w:bCs/>
                <w:sz w:val="24"/>
                <w:szCs w:val="24"/>
              </w:rPr>
              <w:t>规格：2800*400*600</w:t>
            </w:r>
          </w:p>
          <w:p>
            <w:pPr>
              <w:rPr>
                <w:rFonts w:ascii="宋体" w:hAnsi="宋体"/>
                <w:b/>
                <w:sz w:val="24"/>
                <w:szCs w:val="24"/>
              </w:rPr>
            </w:pPr>
            <w:r>
              <w:rPr>
                <w:rFonts w:hint="eastAsia" w:ascii="宋体" w:hAnsi="宋体"/>
                <w:bCs/>
                <w:sz w:val="24"/>
                <w:szCs w:val="24"/>
              </w:rPr>
              <w:t>2</w:t>
            </w:r>
            <w:r>
              <w:rPr>
                <w:rFonts w:hint="eastAsia" w:ascii="宋体" w:hAnsi="宋体"/>
                <w:bCs/>
                <w:sz w:val="24"/>
                <w:szCs w:val="24"/>
                <w:lang w:val="en-US" w:eastAsia="zh-CN"/>
              </w:rPr>
              <w:t>.</w:t>
            </w:r>
            <w:r>
              <w:rPr>
                <w:rFonts w:hint="eastAsia" w:ascii="宋体" w:hAnsi="宋体"/>
                <w:bCs/>
                <w:sz w:val="24"/>
                <w:szCs w:val="24"/>
              </w:rPr>
              <w:t>采用优质2.5*2.5铝合金，顶端采用2.5*2.5加厚吊杆，通过螺丝固定在房顶。</w:t>
            </w:r>
          </w:p>
        </w:tc>
        <w:tc>
          <w:tcPr>
            <w:tcW w:w="87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419+85</w:t>
            </w:r>
          </w:p>
        </w:tc>
        <w:tc>
          <w:tcPr>
            <w:tcW w:w="2372" w:type="dxa"/>
            <w:noWrap w:val="0"/>
            <w:vAlign w:val="center"/>
          </w:tcPr>
          <w:p>
            <w:pPr>
              <w:pStyle w:val="9"/>
              <w:spacing w:line="300" w:lineRule="exact"/>
              <w:ind w:firstLine="0" w:firstLineChars="0"/>
              <w:rPr>
                <w:rFonts w:hint="eastAsia" w:ascii="宋体" w:hAnsi="宋体" w:cs="宋体"/>
                <w:sz w:val="24"/>
                <w:szCs w:val="24"/>
              </w:rPr>
            </w:pPr>
            <w:r>
              <w:rPr>
                <w:rFonts w:hint="eastAsia" w:ascii="宋体" w:hAnsi="宋体" w:cs="宋体"/>
                <w:color w:val="000000"/>
                <w:sz w:val="24"/>
                <w:szCs w:val="24"/>
              </w:rPr>
              <w:drawing>
                <wp:anchor distT="0" distB="0" distL="114300" distR="114300" simplePos="0" relativeHeight="251671552" behindDoc="0" locked="0" layoutInCell="1" allowOverlap="1">
                  <wp:simplePos x="0" y="0"/>
                  <wp:positionH relativeFrom="column">
                    <wp:posOffset>296545</wp:posOffset>
                  </wp:positionH>
                  <wp:positionV relativeFrom="paragraph">
                    <wp:posOffset>151130</wp:posOffset>
                  </wp:positionV>
                  <wp:extent cx="1296670" cy="726440"/>
                  <wp:effectExtent l="0" t="0" r="17780" b="16510"/>
                  <wp:wrapSquare wrapText="bothSides"/>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pic:cNvPicPr>
                            <a:picLocks noChangeAspect="1"/>
                          </pic:cNvPicPr>
                        </pic:nvPicPr>
                        <pic:blipFill>
                          <a:blip r:embed="rId17"/>
                          <a:stretch>
                            <a:fillRect/>
                          </a:stretch>
                        </pic:blipFill>
                        <pic:spPr>
                          <a:xfrm>
                            <a:off x="0" y="0"/>
                            <a:ext cx="1296670" cy="72644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754"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4</w:t>
            </w:r>
          </w:p>
        </w:tc>
        <w:tc>
          <w:tcPr>
            <w:tcW w:w="898"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床</w:t>
            </w:r>
          </w:p>
        </w:tc>
        <w:tc>
          <w:tcPr>
            <w:tcW w:w="4607" w:type="dxa"/>
            <w:noWrap w:val="0"/>
            <w:vAlign w:val="center"/>
          </w:tcPr>
          <w:p>
            <w:pPr>
              <w:rPr>
                <w:rFonts w:hint="eastAsia" w:ascii="宋体" w:hAnsi="宋体" w:cs="宋体"/>
                <w:sz w:val="24"/>
                <w:szCs w:val="24"/>
              </w:rPr>
            </w:pPr>
            <w:r>
              <w:rPr>
                <w:rFonts w:hint="eastAsia" w:ascii="宋体" w:hAnsi="宋体" w:cs="宋体"/>
                <w:sz w:val="24"/>
                <w:szCs w:val="24"/>
              </w:rPr>
              <w:t>床规格：1500mm*2000mm*450mm，床头柜规格：400*400*450mm（1床1柜为1套）甲醛释放量≤0.3mg/L或≤0.03mg/m3 。</w:t>
            </w:r>
          </w:p>
          <w:p>
            <w:pPr>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基材：采用樟子松，经去皮、烘干、防虫防腐处理，木材含水量 10.8%，纹理清晰自然。</w:t>
            </w:r>
          </w:p>
          <w:p>
            <w:pPr>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框体：采用全实木框架。</w:t>
            </w:r>
          </w:p>
          <w:p>
            <w:pPr>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油漆 ：采用品牌水性油漆，底漆符合VOC 含量、乙二醇醚及醚酯总和含量、苯含量、甲苯与二甲苯（含乙苯）总和含量、多环芳烃总和含量、游离二异氰酸酯总和含量、卤代烃总和含量均为未检出，符合环保要求，绿色环保、附着力好、不黄变。</w:t>
            </w:r>
          </w:p>
        </w:tc>
        <w:tc>
          <w:tcPr>
            <w:tcW w:w="87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10套</w:t>
            </w:r>
          </w:p>
        </w:tc>
        <w:tc>
          <w:tcPr>
            <w:tcW w:w="2372"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drawing>
                <wp:anchor distT="0" distB="0" distL="114300" distR="114300" simplePos="0" relativeHeight="251664384" behindDoc="0" locked="0" layoutInCell="1" allowOverlap="1">
                  <wp:simplePos x="0" y="0"/>
                  <wp:positionH relativeFrom="column">
                    <wp:posOffset>1033780</wp:posOffset>
                  </wp:positionH>
                  <wp:positionV relativeFrom="paragraph">
                    <wp:posOffset>254000</wp:posOffset>
                  </wp:positionV>
                  <wp:extent cx="433705" cy="455295"/>
                  <wp:effectExtent l="0" t="0" r="4445" b="1905"/>
                  <wp:wrapSquare wrapText="bothSides"/>
                  <wp:docPr id="33" name="图片 8" descr="65d304d4f7c22c7c8c40a26cbb6f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 descr="65d304d4f7c22c7c8c40a26cbb6fad2"/>
                          <pic:cNvPicPr>
                            <a:picLocks noChangeAspect="1"/>
                          </pic:cNvPicPr>
                        </pic:nvPicPr>
                        <pic:blipFill>
                          <a:blip r:embed="rId18"/>
                          <a:stretch>
                            <a:fillRect/>
                          </a:stretch>
                        </pic:blipFill>
                        <pic:spPr>
                          <a:xfrm>
                            <a:off x="0" y="0"/>
                            <a:ext cx="433705" cy="455295"/>
                          </a:xfrm>
                          <a:prstGeom prst="rect">
                            <a:avLst/>
                          </a:prstGeom>
                          <a:noFill/>
                          <a:ln>
                            <a:noFill/>
                          </a:ln>
                        </pic:spPr>
                      </pic:pic>
                    </a:graphicData>
                  </a:graphic>
                </wp:anchor>
              </w:drawing>
            </w:r>
            <w:r>
              <w:rPr>
                <w:rFonts w:hint="eastAsia" w:ascii="宋体" w:hAnsi="宋体" w:cs="宋体"/>
                <w:sz w:val="24"/>
                <w:szCs w:val="24"/>
              </w:rPr>
              <w:drawing>
                <wp:anchor distT="0" distB="0" distL="114300" distR="114300" simplePos="0" relativeHeight="251663360" behindDoc="0" locked="0" layoutInCell="1" allowOverlap="1">
                  <wp:simplePos x="0" y="0"/>
                  <wp:positionH relativeFrom="column">
                    <wp:posOffset>25400</wp:posOffset>
                  </wp:positionH>
                  <wp:positionV relativeFrom="paragraph">
                    <wp:posOffset>130810</wp:posOffset>
                  </wp:positionV>
                  <wp:extent cx="861060" cy="624205"/>
                  <wp:effectExtent l="0" t="0" r="15240" b="4445"/>
                  <wp:wrapSquare wrapText="bothSides"/>
                  <wp:docPr id="34" name="图片 9" descr="bbe14afeebea1701f058f0c60314b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descr="bbe14afeebea1701f058f0c60314b2e"/>
                          <pic:cNvPicPr>
                            <a:picLocks noChangeAspect="1"/>
                          </pic:cNvPicPr>
                        </pic:nvPicPr>
                        <pic:blipFill>
                          <a:blip r:embed="rId19"/>
                          <a:stretch>
                            <a:fillRect/>
                          </a:stretch>
                        </pic:blipFill>
                        <pic:spPr>
                          <a:xfrm>
                            <a:off x="0" y="0"/>
                            <a:ext cx="861060" cy="62420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3" w:hRule="atLeast"/>
          <w:jc w:val="center"/>
        </w:trPr>
        <w:tc>
          <w:tcPr>
            <w:tcW w:w="754" w:type="dxa"/>
            <w:noWrap w:val="0"/>
            <w:vAlign w:val="center"/>
          </w:tcPr>
          <w:p>
            <w:pPr>
              <w:pStyle w:val="9"/>
              <w:spacing w:line="300" w:lineRule="exac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898" w:type="dxa"/>
            <w:noWrap w:val="0"/>
            <w:vAlign w:val="center"/>
          </w:tcPr>
          <w:p>
            <w:pPr>
              <w:pStyle w:val="20"/>
              <w:ind w:left="0" w:leftChars="0" w:firstLine="0"/>
              <w:jc w:val="center"/>
              <w:rPr>
                <w:rFonts w:hint="eastAsia" w:ascii="宋体" w:hAnsi="宋体" w:cs="宋体"/>
                <w:sz w:val="24"/>
                <w:szCs w:val="24"/>
              </w:rPr>
            </w:pPr>
            <w:r>
              <w:rPr>
                <w:rFonts w:hint="eastAsia" w:ascii="宋体" w:hAnsi="宋体" w:cs="宋体"/>
                <w:sz w:val="24"/>
                <w:szCs w:val="24"/>
              </w:rPr>
              <w:t>写字</w:t>
            </w:r>
          </w:p>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桌椅</w:t>
            </w:r>
          </w:p>
        </w:tc>
        <w:tc>
          <w:tcPr>
            <w:tcW w:w="4607" w:type="dxa"/>
            <w:noWrap w:val="0"/>
            <w:vAlign w:val="center"/>
          </w:tcPr>
          <w:p>
            <w:pPr>
              <w:rPr>
                <w:rFonts w:hint="eastAsia" w:ascii="宋体" w:hAnsi="宋体" w:cs="宋体"/>
                <w:sz w:val="24"/>
                <w:szCs w:val="24"/>
              </w:rPr>
            </w:pPr>
            <w:r>
              <w:rPr>
                <w:rFonts w:hint="eastAsia" w:ascii="宋体" w:hAnsi="宋体" w:cs="宋体"/>
                <w:sz w:val="24"/>
                <w:szCs w:val="24"/>
              </w:rPr>
              <w:t>书桌：800mm*600mm*750mm椅子：450mm*450mm*1100mm，甲醛释放量≤0.3mg/L或≤0.03mg/m3 。</w:t>
            </w:r>
          </w:p>
          <w:p>
            <w:pPr>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基材：要求采用樟子松，表面无黑节，经去皮、烘干、防虫防腐处理，木材含水量≤12%，纹理清晰自然、色泽一致。</w:t>
            </w:r>
          </w:p>
          <w:p>
            <w:pPr>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结构：舒适美观平稳。</w:t>
            </w:r>
          </w:p>
          <w:p>
            <w:pPr>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框体：要求采用全实木框架。</w:t>
            </w:r>
          </w:p>
          <w:p>
            <w:pPr>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油漆：要求采用品牌油漆，底漆符合VOC 含量、乙二醇醚及醚酯总和含量、苯含量、甲苯与二甲苯（含乙苯）总和含量、多环芳烃总和含量、游离二异氰酸酯总和含量、卤代烃总和含量均为未检出，符合环保要求，绿色环保、附着力好、不黄变。</w:t>
            </w:r>
          </w:p>
          <w:p>
            <w:pPr>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五金配件：要求采用品牌五金配件。</w:t>
            </w:r>
          </w:p>
          <w:p>
            <w:pPr>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所有拉手采用手工內掏暗拉手。</w:t>
            </w:r>
          </w:p>
        </w:tc>
        <w:tc>
          <w:tcPr>
            <w:tcW w:w="87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10套</w:t>
            </w:r>
          </w:p>
        </w:tc>
        <w:tc>
          <w:tcPr>
            <w:tcW w:w="2372"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drawing>
                <wp:anchor distT="0" distB="0" distL="114300" distR="114300" simplePos="0" relativeHeight="251661312" behindDoc="0" locked="0" layoutInCell="1" allowOverlap="1">
                  <wp:simplePos x="0" y="0"/>
                  <wp:positionH relativeFrom="column">
                    <wp:posOffset>69850</wp:posOffset>
                  </wp:positionH>
                  <wp:positionV relativeFrom="paragraph">
                    <wp:posOffset>215265</wp:posOffset>
                  </wp:positionV>
                  <wp:extent cx="737235" cy="683260"/>
                  <wp:effectExtent l="0" t="0" r="5715" b="2540"/>
                  <wp:wrapSquare wrapText="bothSides"/>
                  <wp:docPr id="35" name="图片 10" descr="f18a5d58410474d08d617e0bd4270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0" descr="f18a5d58410474d08d617e0bd42706a"/>
                          <pic:cNvPicPr>
                            <a:picLocks noChangeAspect="1"/>
                          </pic:cNvPicPr>
                        </pic:nvPicPr>
                        <pic:blipFill>
                          <a:blip r:embed="rId20"/>
                          <a:stretch>
                            <a:fillRect/>
                          </a:stretch>
                        </pic:blipFill>
                        <pic:spPr>
                          <a:xfrm>
                            <a:off x="0" y="0"/>
                            <a:ext cx="737235" cy="683260"/>
                          </a:xfrm>
                          <a:prstGeom prst="rect">
                            <a:avLst/>
                          </a:prstGeom>
                          <a:noFill/>
                          <a:ln>
                            <a:noFill/>
                          </a:ln>
                        </pic:spPr>
                      </pic:pic>
                    </a:graphicData>
                  </a:graphic>
                </wp:anchor>
              </w:drawing>
            </w:r>
            <w:r>
              <w:rPr>
                <w:rFonts w:hint="eastAsia" w:ascii="宋体" w:hAnsi="宋体" w:cs="宋体"/>
                <w:sz w:val="24"/>
                <w:szCs w:val="24"/>
              </w:rPr>
              <w:drawing>
                <wp:anchor distT="0" distB="0" distL="114300" distR="114300" simplePos="0" relativeHeight="251662336" behindDoc="0" locked="0" layoutInCell="1" allowOverlap="1">
                  <wp:simplePos x="0" y="0"/>
                  <wp:positionH relativeFrom="column">
                    <wp:posOffset>854710</wp:posOffset>
                  </wp:positionH>
                  <wp:positionV relativeFrom="paragraph">
                    <wp:posOffset>172085</wp:posOffset>
                  </wp:positionV>
                  <wp:extent cx="478155" cy="648335"/>
                  <wp:effectExtent l="0" t="0" r="17145" b="18415"/>
                  <wp:wrapSquare wrapText="bothSides"/>
                  <wp:docPr id="36" name="图片 11" descr="4f7ca8d0b2e44b117bcf1871a25cb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1" descr="4f7ca8d0b2e44b117bcf1871a25cb22"/>
                          <pic:cNvPicPr>
                            <a:picLocks noChangeAspect="1"/>
                          </pic:cNvPicPr>
                        </pic:nvPicPr>
                        <pic:blipFill>
                          <a:blip r:embed="rId21"/>
                          <a:stretch>
                            <a:fillRect/>
                          </a:stretch>
                        </pic:blipFill>
                        <pic:spPr>
                          <a:xfrm>
                            <a:off x="0" y="0"/>
                            <a:ext cx="478155" cy="64833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54" w:type="dxa"/>
            <w:noWrap w:val="0"/>
            <w:vAlign w:val="center"/>
          </w:tcPr>
          <w:p>
            <w:pPr>
              <w:pStyle w:val="9"/>
              <w:spacing w:line="300" w:lineRule="exac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898" w:type="dxa"/>
            <w:noWrap w:val="0"/>
            <w:vAlign w:val="center"/>
          </w:tcPr>
          <w:p>
            <w:pPr>
              <w:pStyle w:val="20"/>
              <w:ind w:left="0" w:leftChars="0" w:firstLine="0"/>
              <w:jc w:val="center"/>
              <w:rPr>
                <w:rFonts w:ascii="宋体" w:hAnsi="宋体" w:cs="宋体"/>
                <w:color w:val="FF0000"/>
                <w:sz w:val="24"/>
                <w:szCs w:val="24"/>
              </w:rPr>
            </w:pPr>
            <w:r>
              <w:rPr>
                <w:rFonts w:hint="eastAsia" w:ascii="宋体" w:hAnsi="宋体" w:cs="宋体"/>
                <w:sz w:val="24"/>
                <w:szCs w:val="24"/>
              </w:rPr>
              <w:t>衣柜</w:t>
            </w:r>
          </w:p>
          <w:p>
            <w:pPr>
              <w:pStyle w:val="9"/>
              <w:spacing w:line="300" w:lineRule="exact"/>
              <w:ind w:firstLine="0" w:firstLineChars="0"/>
              <w:jc w:val="center"/>
              <w:rPr>
                <w:rFonts w:hint="eastAsia" w:ascii="宋体" w:hAnsi="宋体" w:cs="宋体"/>
                <w:sz w:val="24"/>
                <w:szCs w:val="24"/>
              </w:rPr>
            </w:pPr>
          </w:p>
        </w:tc>
        <w:tc>
          <w:tcPr>
            <w:tcW w:w="4607" w:type="dxa"/>
            <w:noWrap w:val="0"/>
            <w:vAlign w:val="center"/>
          </w:tcPr>
          <w:p>
            <w:pPr>
              <w:jc w:val="left"/>
              <w:rPr>
                <w:rFonts w:hint="eastAsia" w:ascii="宋体" w:hAnsi="宋体" w:cs="宋体"/>
                <w:sz w:val="24"/>
                <w:szCs w:val="24"/>
              </w:rPr>
            </w:pPr>
            <w:r>
              <w:rPr>
                <w:rFonts w:hint="eastAsia" w:ascii="宋体" w:hAnsi="宋体" w:cs="宋体"/>
                <w:sz w:val="24"/>
                <w:szCs w:val="24"/>
              </w:rPr>
              <w:t>规格：800*600*2000mm</w:t>
            </w:r>
          </w:p>
          <w:p>
            <w:pPr>
              <w:numPr>
                <w:ilvl w:val="0"/>
                <w:numId w:val="0"/>
              </w:numPr>
              <w:jc w:val="lef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基材：优质橡胶木。</w:t>
            </w:r>
          </w:p>
          <w:p>
            <w:pPr>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漆工艺：引用先进UV生产线，拟采用“五底三面”油漆工艺制作。 面漆达到色泽美观、不变色、光滑耐磨、手感好。</w:t>
            </w:r>
          </w:p>
          <w:p>
            <w:pPr>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油漆 ：采用品牌水性油漆，底漆符合VOC 含量、乙二醇醚及醚酯总和含量、苯含量、甲苯与二甲苯（含乙苯）总和含量、多环芳烃总和含量、游离二异氰酸酯总和含量、卤代烃总和含量均为未检出，符合环保要求，绿色环保、附着力好、不黄变。</w:t>
            </w:r>
          </w:p>
        </w:tc>
        <w:tc>
          <w:tcPr>
            <w:tcW w:w="87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10张</w:t>
            </w:r>
          </w:p>
        </w:tc>
        <w:tc>
          <w:tcPr>
            <w:tcW w:w="2372"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drawing>
                <wp:anchor distT="0" distB="0" distL="114300" distR="114300" simplePos="0" relativeHeight="251669504" behindDoc="0" locked="0" layoutInCell="1" allowOverlap="1">
                  <wp:simplePos x="0" y="0"/>
                  <wp:positionH relativeFrom="column">
                    <wp:posOffset>399415</wp:posOffset>
                  </wp:positionH>
                  <wp:positionV relativeFrom="paragraph">
                    <wp:posOffset>219075</wp:posOffset>
                  </wp:positionV>
                  <wp:extent cx="1256665" cy="1172210"/>
                  <wp:effectExtent l="0" t="0" r="635" b="8890"/>
                  <wp:wrapSquare wrapText="bothSides"/>
                  <wp:docPr id="40" name="图片 12" descr="0652629348c5220da0be35437cb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2" descr="0652629348c5220da0be35437cb2997"/>
                          <pic:cNvPicPr>
                            <a:picLocks noChangeAspect="1"/>
                          </pic:cNvPicPr>
                        </pic:nvPicPr>
                        <pic:blipFill>
                          <a:blip r:embed="rId22"/>
                          <a:stretch>
                            <a:fillRect/>
                          </a:stretch>
                        </pic:blipFill>
                        <pic:spPr>
                          <a:xfrm>
                            <a:off x="0" y="0"/>
                            <a:ext cx="1256665" cy="117221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54" w:type="dxa"/>
            <w:noWrap w:val="0"/>
            <w:vAlign w:val="center"/>
          </w:tcPr>
          <w:p>
            <w:pPr>
              <w:pStyle w:val="9"/>
              <w:spacing w:line="300" w:lineRule="exac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898"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无障碍床</w:t>
            </w:r>
          </w:p>
        </w:tc>
        <w:tc>
          <w:tcPr>
            <w:tcW w:w="4607" w:type="dxa"/>
            <w:noWrap w:val="0"/>
            <w:vAlign w:val="center"/>
          </w:tcPr>
          <w:p>
            <w:pPr>
              <w:rPr>
                <w:rFonts w:hint="eastAsia" w:ascii="宋体" w:hAnsi="宋体" w:cs="宋体"/>
                <w:sz w:val="24"/>
                <w:szCs w:val="24"/>
              </w:rPr>
            </w:pPr>
            <w:r>
              <w:rPr>
                <w:rFonts w:hint="eastAsia" w:ascii="宋体" w:hAnsi="宋体" w:cs="宋体"/>
                <w:sz w:val="24"/>
                <w:szCs w:val="24"/>
              </w:rPr>
              <w:t>床规格：1000mm*2000mm*450mm</w:t>
            </w:r>
          </w:p>
          <w:p>
            <w:pPr>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基材：采用樟子松，经去皮、烘干、防虫防腐处理，木材含水量 10.8%，纹理清晰自然。</w:t>
            </w:r>
          </w:p>
          <w:p>
            <w:pPr>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框体：采用全实木框架。</w:t>
            </w:r>
          </w:p>
          <w:p>
            <w:pPr>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油漆 ：采用品牌水性油漆，底漆符合VOC 含量、乙二醇醚及醚酯总和含量、苯含量、甲苯与二甲苯（含乙苯）总和含量、多环芳烃总和含量、游离二异氰酸酯总和含量、卤代烃总和含量均为未检出，符合环保要求，绿色环保、附着力好、不黄变。</w:t>
            </w:r>
          </w:p>
        </w:tc>
        <w:tc>
          <w:tcPr>
            <w:tcW w:w="870"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sz w:val="24"/>
                <w:szCs w:val="24"/>
              </w:rPr>
              <w:t>2</w:t>
            </w:r>
            <w:r>
              <w:rPr>
                <w:rFonts w:hint="eastAsia" w:ascii="宋体" w:hAnsi="宋体" w:cs="宋体"/>
                <w:sz w:val="24"/>
                <w:szCs w:val="24"/>
              </w:rPr>
              <w:t>间（每间3人）</w:t>
            </w:r>
          </w:p>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共6张</w:t>
            </w:r>
          </w:p>
        </w:tc>
        <w:tc>
          <w:tcPr>
            <w:tcW w:w="2372"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drawing>
                <wp:anchor distT="0" distB="0" distL="114300" distR="114300" simplePos="0" relativeHeight="251672576" behindDoc="0" locked="0" layoutInCell="1" allowOverlap="1">
                  <wp:simplePos x="0" y="0"/>
                  <wp:positionH relativeFrom="column">
                    <wp:posOffset>454025</wp:posOffset>
                  </wp:positionH>
                  <wp:positionV relativeFrom="paragraph">
                    <wp:posOffset>346075</wp:posOffset>
                  </wp:positionV>
                  <wp:extent cx="1175385" cy="852170"/>
                  <wp:effectExtent l="0" t="0" r="5715" b="5080"/>
                  <wp:wrapSquare wrapText="bothSides"/>
                  <wp:docPr id="41" name="图片 13" descr="bbe14afeebea1701f058f0c60314b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3" descr="bbe14afeebea1701f058f0c60314b2e"/>
                          <pic:cNvPicPr>
                            <a:picLocks noChangeAspect="1"/>
                          </pic:cNvPicPr>
                        </pic:nvPicPr>
                        <pic:blipFill>
                          <a:blip r:embed="rId19"/>
                          <a:stretch>
                            <a:fillRect/>
                          </a:stretch>
                        </pic:blipFill>
                        <pic:spPr>
                          <a:xfrm>
                            <a:off x="0" y="0"/>
                            <a:ext cx="1175385" cy="852170"/>
                          </a:xfrm>
                          <a:prstGeom prst="rect">
                            <a:avLst/>
                          </a:prstGeom>
                          <a:noFill/>
                          <a:ln>
                            <a:noFill/>
                          </a:ln>
                        </pic:spPr>
                      </pic:pic>
                    </a:graphicData>
                  </a:graphic>
                </wp:anchor>
              </w:drawing>
            </w:r>
          </w:p>
        </w:tc>
      </w:tr>
    </w:tbl>
    <w:p>
      <w:pPr>
        <w:numPr>
          <w:ilvl w:val="0"/>
          <w:numId w:val="0"/>
        </w:numPr>
        <w:wordWrap w:val="0"/>
        <w:spacing w:line="360" w:lineRule="auto"/>
        <w:ind w:leftChars="0"/>
        <w:rPr>
          <w:rFonts w:hint="eastAsia" w:eastAsia="宋体"/>
          <w:sz w:val="24"/>
          <w:szCs w:val="24"/>
          <w:lang w:eastAsia="zh-CN"/>
        </w:rPr>
      </w:pPr>
      <w:r>
        <w:rPr>
          <w:rFonts w:hint="eastAsia" w:ascii="宋体" w:hAnsi="宋体" w:cs="宋体"/>
          <w:b/>
          <w:bCs/>
          <w:sz w:val="24"/>
          <w:szCs w:val="24"/>
        </w:rPr>
        <w:t>教师宿舍：共85间/每间3人位</w:t>
      </w:r>
      <w:r>
        <w:rPr>
          <w:rFonts w:hint="eastAsia" w:ascii="宋体" w:hAnsi="宋体" w:cs="宋体"/>
          <w:b/>
          <w:bCs/>
          <w:sz w:val="24"/>
          <w:szCs w:val="24"/>
          <w:lang w:eastAsia="zh-CN"/>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52"/>
        <w:gridCol w:w="4311"/>
        <w:gridCol w:w="1402"/>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4" w:type="dxa"/>
            <w:noWrap w:val="0"/>
            <w:vAlign w:val="center"/>
          </w:tcPr>
          <w:p>
            <w:pPr>
              <w:pStyle w:val="9"/>
              <w:spacing w:line="300" w:lineRule="exac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752" w:type="dxa"/>
            <w:noWrap w:val="0"/>
            <w:vAlign w:val="center"/>
          </w:tcPr>
          <w:p>
            <w:pPr>
              <w:pStyle w:val="9"/>
              <w:spacing w:line="300" w:lineRule="exact"/>
              <w:ind w:firstLine="0" w:firstLineChars="0"/>
              <w:jc w:val="center"/>
              <w:rPr>
                <w:rFonts w:ascii="宋体" w:hAnsi="宋体" w:cs="宋体"/>
                <w:sz w:val="24"/>
                <w:szCs w:val="24"/>
              </w:rPr>
            </w:pPr>
            <w:r>
              <w:rPr>
                <w:rFonts w:hint="eastAsia" w:ascii="宋体" w:hAnsi="宋体" w:cs="宋体"/>
                <w:sz w:val="24"/>
                <w:szCs w:val="24"/>
              </w:rPr>
              <w:t>3人间老师宿舍（床及床垫）</w:t>
            </w:r>
          </w:p>
        </w:tc>
        <w:tc>
          <w:tcPr>
            <w:tcW w:w="4311" w:type="dxa"/>
            <w:noWrap w:val="0"/>
            <w:vAlign w:val="center"/>
          </w:tcPr>
          <w:p>
            <w:pPr>
              <w:rPr>
                <w:rFonts w:hint="eastAsia" w:ascii="宋体" w:hAnsi="宋体" w:cs="宋体"/>
                <w:sz w:val="24"/>
                <w:szCs w:val="24"/>
              </w:rPr>
            </w:pPr>
            <w:r>
              <w:rPr>
                <w:rFonts w:hint="eastAsia" w:ascii="宋体" w:hAnsi="宋体" w:cs="宋体"/>
                <w:sz w:val="24"/>
                <w:szCs w:val="24"/>
              </w:rPr>
              <w:t>规格：</w:t>
            </w:r>
            <w:r>
              <w:rPr>
                <w:rFonts w:hint="eastAsia" w:ascii="宋体" w:hAnsi="宋体" w:cs="宋体"/>
                <w:color w:val="auto"/>
                <w:sz w:val="24"/>
                <w:szCs w:val="24"/>
              </w:rPr>
              <w:t>1</w:t>
            </w:r>
            <w:r>
              <w:rPr>
                <w:rFonts w:hint="eastAsia" w:ascii="宋体" w:hAnsi="宋体" w:cs="宋体"/>
                <w:color w:val="auto"/>
                <w:sz w:val="24"/>
                <w:szCs w:val="24"/>
                <w:lang w:val="en-US" w:eastAsia="zh-CN"/>
              </w:rPr>
              <w:t>2</w:t>
            </w:r>
            <w:r>
              <w:rPr>
                <w:rFonts w:hint="eastAsia" w:ascii="宋体" w:hAnsi="宋体" w:cs="宋体"/>
                <w:color w:val="auto"/>
                <w:sz w:val="24"/>
                <w:szCs w:val="24"/>
              </w:rPr>
              <w:t>00</w:t>
            </w:r>
            <w:r>
              <w:rPr>
                <w:rFonts w:hint="eastAsia" w:ascii="宋体" w:hAnsi="宋体" w:cs="宋体"/>
                <w:sz w:val="24"/>
                <w:szCs w:val="24"/>
              </w:rPr>
              <w:t>*2000*450mm</w:t>
            </w:r>
          </w:p>
          <w:p>
            <w:pPr>
              <w:jc w:val="left"/>
              <w:rPr>
                <w:rFonts w:hint="eastAsia" w:ascii="宋体" w:hAnsi="宋体" w:cs="宋体"/>
                <w:sz w:val="24"/>
                <w:szCs w:val="24"/>
              </w:rPr>
            </w:pPr>
            <w:r>
              <w:rPr>
                <w:rFonts w:hint="eastAsia" w:ascii="宋体" w:hAnsi="宋体" w:eastAsia="宋体" w:cs="宋体"/>
                <w:color w:val="auto"/>
                <w:sz w:val="24"/>
                <w:szCs w:val="24"/>
              </w:rPr>
              <w:t>★</w:t>
            </w: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基材：优质橡胶木                                                                               2</w:t>
            </w:r>
            <w:r>
              <w:rPr>
                <w:rFonts w:hint="eastAsia" w:ascii="宋体" w:hAnsi="宋体" w:cs="宋体"/>
                <w:sz w:val="24"/>
                <w:szCs w:val="24"/>
                <w:lang w:val="en-US" w:eastAsia="zh-CN"/>
              </w:rPr>
              <w:t>.</w:t>
            </w:r>
            <w:r>
              <w:rPr>
                <w:rFonts w:hint="eastAsia" w:ascii="宋体" w:hAnsi="宋体" w:cs="宋体"/>
                <w:sz w:val="24"/>
                <w:szCs w:val="24"/>
              </w:rPr>
              <w:t>漆工艺：引用先进UV生产线，拟采用“五底三面”油漆工艺制作。 面漆达到色泽美观、不变色、光滑耐磨、手感好。</w:t>
            </w:r>
          </w:p>
          <w:p>
            <w:pPr>
              <w:jc w:val="left"/>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 xml:space="preserve">五金件：优质连接件。                  </w:t>
            </w:r>
          </w:p>
          <w:p>
            <w:pPr>
              <w:jc w:val="left"/>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床板采用杉木板，板材厚度≥18mm。</w:t>
            </w:r>
          </w:p>
          <w:p>
            <w:pPr>
              <w:jc w:val="left"/>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床垫：厚度≥50mm的环保棕垫。</w:t>
            </w:r>
          </w:p>
          <w:p>
            <w:pPr>
              <w:jc w:val="left"/>
              <w:rPr>
                <w:rFonts w:hint="eastAsia" w:ascii="宋体" w:hAnsi="宋体" w:cs="宋体"/>
                <w:color w:val="FF0000"/>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油漆 ：采用品牌水性油漆，底漆符合VOC 含量、乙二醇醚及醚酯总和含量、苯含量、甲苯与二甲苯（含乙苯）总和含量、多环芳烃总和含量、游离二异氰酸酯总和含量、卤代烃总和含量均为未检出，符合环保要求，绿色环保、附着力好、不黄变。</w:t>
            </w:r>
          </w:p>
        </w:tc>
        <w:tc>
          <w:tcPr>
            <w:tcW w:w="1402"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85间（每间3人）255张</w:t>
            </w:r>
          </w:p>
        </w:tc>
        <w:tc>
          <w:tcPr>
            <w:tcW w:w="2355" w:type="dxa"/>
            <w:noWrap w:val="0"/>
            <w:vAlign w:val="center"/>
          </w:tcPr>
          <w:p>
            <w:pPr>
              <w:pStyle w:val="9"/>
              <w:spacing w:line="300" w:lineRule="exact"/>
              <w:ind w:firstLine="0" w:firstLineChars="0"/>
              <w:jc w:val="center"/>
              <w:rPr>
                <w:rFonts w:hint="eastAsia" w:ascii="宋体" w:hAnsi="宋体" w:cs="宋体"/>
                <w:color w:val="FF0000"/>
                <w:sz w:val="24"/>
                <w:szCs w:val="24"/>
              </w:rPr>
            </w:pPr>
            <w:r>
              <w:rPr>
                <w:sz w:val="24"/>
                <w:szCs w:val="24"/>
              </w:rPr>
              <w:drawing>
                <wp:anchor distT="0" distB="0" distL="0" distR="0" simplePos="0" relativeHeight="251673600" behindDoc="0" locked="0" layoutInCell="1" allowOverlap="1">
                  <wp:simplePos x="0" y="0"/>
                  <wp:positionH relativeFrom="column">
                    <wp:posOffset>139065</wp:posOffset>
                  </wp:positionH>
                  <wp:positionV relativeFrom="paragraph">
                    <wp:posOffset>993775</wp:posOffset>
                  </wp:positionV>
                  <wp:extent cx="1181100" cy="1038225"/>
                  <wp:effectExtent l="0" t="0" r="0" b="9525"/>
                  <wp:wrapSquare wrapText="bothSides"/>
                  <wp:docPr id="44" name="图片 2" descr="C:\Users\ADMINI~1\AppData\Local\Temp\ksohtml778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 descr="C:\Users\ADMINI~1\AppData\Local\Temp\ksohtml7780\wps1.png"/>
                          <pic:cNvPicPr>
                            <a:picLocks noChangeAspect="1"/>
                          </pic:cNvPicPr>
                        </pic:nvPicPr>
                        <pic:blipFill>
                          <a:blip r:embed="rId23"/>
                          <a:stretch>
                            <a:fillRect/>
                          </a:stretch>
                        </pic:blipFill>
                        <pic:spPr>
                          <a:xfrm>
                            <a:off x="0" y="0"/>
                            <a:ext cx="1181100" cy="1038225"/>
                          </a:xfrm>
                          <a:prstGeom prst="rect">
                            <a:avLst/>
                          </a:prstGeom>
                          <a:noFill/>
                          <a:ln>
                            <a:noFill/>
                          </a:ln>
                        </pic:spPr>
                      </pic:pic>
                    </a:graphicData>
                  </a:graphic>
                </wp:anchor>
              </w:drawing>
            </w:r>
          </w:p>
          <w:p>
            <w:pPr>
              <w:pStyle w:val="9"/>
              <w:spacing w:line="300" w:lineRule="exact"/>
              <w:ind w:firstLine="0" w:firstLineChars="0"/>
              <w:jc w:val="center"/>
              <w:rPr>
                <w:rFonts w:hint="eastAsia" w:ascii="宋体" w:hAnsi="宋体" w:cs="宋体"/>
                <w:color w:val="FF0000"/>
                <w:sz w:val="24"/>
                <w:szCs w:val="24"/>
              </w:rPr>
            </w:pPr>
          </w:p>
          <w:p>
            <w:pPr>
              <w:pStyle w:val="9"/>
              <w:spacing w:line="300" w:lineRule="exact"/>
              <w:ind w:firstLine="0" w:firstLineChars="0"/>
              <w:jc w:val="center"/>
              <w:rPr>
                <w:rFonts w:hint="eastAsia" w:ascii="宋体" w:hAnsi="宋体" w:cs="宋体"/>
                <w:color w:val="FF0000"/>
                <w:sz w:val="24"/>
                <w:szCs w:val="24"/>
              </w:rPr>
            </w:pPr>
          </w:p>
          <w:p>
            <w:pPr>
              <w:pStyle w:val="9"/>
              <w:spacing w:line="300" w:lineRule="exact"/>
              <w:ind w:firstLine="0" w:firstLineChars="0"/>
              <w:jc w:val="center"/>
              <w:rPr>
                <w:rFonts w:hint="eastAsia" w:ascii="宋体" w:hAnsi="宋体" w:cs="宋体"/>
                <w:color w:val="FF0000"/>
                <w:sz w:val="24"/>
                <w:szCs w:val="24"/>
              </w:rPr>
            </w:pPr>
          </w:p>
          <w:p>
            <w:pPr>
              <w:pStyle w:val="9"/>
              <w:spacing w:line="300" w:lineRule="exact"/>
              <w:ind w:firstLine="0" w:firstLineChars="0"/>
              <w:jc w:val="center"/>
              <w:rPr>
                <w:rFonts w:hint="eastAsia" w:ascii="宋体" w:hAnsi="宋体" w:cs="宋体"/>
                <w:color w:val="FF0000"/>
                <w:sz w:val="24"/>
                <w:szCs w:val="24"/>
              </w:rPr>
            </w:pPr>
          </w:p>
          <w:p>
            <w:pPr>
              <w:pStyle w:val="9"/>
              <w:spacing w:line="300" w:lineRule="exact"/>
              <w:ind w:firstLine="0" w:firstLineChars="0"/>
              <w:jc w:val="center"/>
              <w:rPr>
                <w:rFonts w:hint="eastAsia" w:ascii="宋体" w:hAnsi="宋体" w:cs="宋体"/>
                <w:color w:val="FF0000"/>
                <w:sz w:val="24"/>
                <w:szCs w:val="24"/>
              </w:rPr>
            </w:pPr>
          </w:p>
          <w:p>
            <w:pPr>
              <w:pStyle w:val="9"/>
              <w:spacing w:line="300" w:lineRule="exact"/>
              <w:ind w:firstLine="0" w:firstLineChars="0"/>
              <w:jc w:val="center"/>
              <w:rPr>
                <w:rFonts w:hint="eastAsia" w:ascii="宋体" w:hAnsi="宋体" w:cs="宋体"/>
                <w:color w:val="FF0000"/>
                <w:sz w:val="24"/>
                <w:szCs w:val="24"/>
              </w:rPr>
            </w:pPr>
          </w:p>
          <w:p>
            <w:pPr>
              <w:pStyle w:val="9"/>
              <w:spacing w:line="300" w:lineRule="exact"/>
              <w:ind w:firstLine="0" w:firstLineChars="0"/>
              <w:jc w:val="center"/>
              <w:rPr>
                <w:rFonts w:ascii="宋体" w:hAnsi="宋体" w:cs="宋体"/>
                <w:sz w:val="24"/>
                <w:szCs w:val="24"/>
              </w:rPr>
            </w:pPr>
            <w:r>
              <w:rPr>
                <w:rFonts w:hint="eastAsia" w:ascii="宋体" w:hAnsi="宋体" w:cs="宋体"/>
                <w:color w:val="auto"/>
                <w:sz w:val="24"/>
                <w:szCs w:val="24"/>
              </w:rPr>
              <w:t>（提供</w:t>
            </w:r>
            <w:r>
              <w:rPr>
                <w:rFonts w:hint="eastAsia" w:ascii="宋体" w:hAnsi="宋体" w:cs="宋体"/>
                <w:color w:val="auto"/>
                <w:sz w:val="24"/>
                <w:szCs w:val="24"/>
                <w:lang w:val="en-US" w:eastAsia="zh-CN"/>
              </w:rPr>
              <w:t>样</w:t>
            </w:r>
            <w:r>
              <w:rPr>
                <w:rFonts w:hint="eastAsia" w:ascii="宋体" w:hAnsi="宋体" w:cs="宋体"/>
                <w:color w:val="auto"/>
                <w:sz w:val="24"/>
                <w:szCs w:val="24"/>
              </w:rPr>
              <w:t>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pPr>
              <w:pStyle w:val="9"/>
              <w:spacing w:line="300" w:lineRule="exac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val="en-US" w:eastAsia="zh-CN"/>
              </w:rPr>
              <w:t>9</w:t>
            </w:r>
          </w:p>
        </w:tc>
        <w:tc>
          <w:tcPr>
            <w:tcW w:w="752" w:type="dxa"/>
            <w:noWrap w:val="0"/>
            <w:vAlign w:val="center"/>
          </w:tcPr>
          <w:p>
            <w:pPr>
              <w:jc w:val="center"/>
              <w:rPr>
                <w:b/>
                <w:sz w:val="24"/>
                <w:szCs w:val="24"/>
              </w:rPr>
            </w:pPr>
            <w:r>
              <w:rPr>
                <w:rFonts w:hint="eastAsia" w:ascii="宋体" w:hAnsi="宋体"/>
                <w:b w:val="0"/>
                <w:bCs/>
                <w:sz w:val="24"/>
                <w:szCs w:val="24"/>
              </w:rPr>
              <w:t>衣柜</w:t>
            </w:r>
          </w:p>
          <w:p>
            <w:pPr>
              <w:pStyle w:val="9"/>
              <w:spacing w:line="300" w:lineRule="exact"/>
              <w:ind w:firstLine="0" w:firstLineChars="0"/>
              <w:jc w:val="center"/>
              <w:rPr>
                <w:rFonts w:hint="eastAsia" w:ascii="宋体" w:hAnsi="宋体" w:cs="宋体"/>
                <w:sz w:val="24"/>
                <w:szCs w:val="24"/>
              </w:rPr>
            </w:pPr>
          </w:p>
        </w:tc>
        <w:tc>
          <w:tcPr>
            <w:tcW w:w="4311" w:type="dxa"/>
            <w:noWrap w:val="0"/>
            <w:vAlign w:val="center"/>
          </w:tcPr>
          <w:p>
            <w:pPr>
              <w:jc w:val="left"/>
              <w:rPr>
                <w:rFonts w:hint="eastAsia" w:ascii="宋体" w:hAnsi="宋体" w:cs="宋体"/>
                <w:sz w:val="24"/>
                <w:szCs w:val="24"/>
              </w:rPr>
            </w:pPr>
            <w:r>
              <w:rPr>
                <w:rFonts w:hint="eastAsia" w:ascii="宋体" w:hAnsi="宋体" w:cs="宋体"/>
                <w:sz w:val="24"/>
                <w:szCs w:val="24"/>
              </w:rPr>
              <w:t>规格：1800*600*2000mm</w:t>
            </w:r>
          </w:p>
          <w:p>
            <w:pPr>
              <w:numPr>
                <w:ilvl w:val="0"/>
                <w:numId w:val="0"/>
              </w:numPr>
              <w:jc w:val="lef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基材：优质橡胶木。</w:t>
            </w:r>
          </w:p>
          <w:p>
            <w:pPr>
              <w:jc w:val="lef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漆工艺：引用先进UV生产线，拟采用“五底三面”油漆工艺制作。 面漆达到色泽美观、不变色、光滑耐磨、手感好。</w:t>
            </w:r>
          </w:p>
          <w:p>
            <w:pPr>
              <w:rPr>
                <w:rFonts w:hint="eastAsia" w:ascii="宋体" w:hAnsi="宋体" w:cs="宋体"/>
                <w:color w:val="FF0000"/>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油漆 ：采用品牌水性油漆，底漆符合VOC 含量、乙二醇醚及醚酯总和含量、苯含量、甲苯与二甲苯（含乙苯）总和含量、多环芳烃总和含量、游离二异氰酸酯总和含量、卤代烃总和含量均为未检出，符合环保要求，绿色环保、附着力好、不黄变。</w:t>
            </w:r>
          </w:p>
        </w:tc>
        <w:tc>
          <w:tcPr>
            <w:tcW w:w="1402" w:type="dxa"/>
            <w:noWrap w:val="0"/>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85只（每间3人）</w:t>
            </w:r>
          </w:p>
        </w:tc>
        <w:tc>
          <w:tcPr>
            <w:tcW w:w="2355" w:type="dxa"/>
            <w:noWrap w:val="0"/>
            <w:vAlign w:val="center"/>
          </w:tcPr>
          <w:p>
            <w:pPr>
              <w:pStyle w:val="9"/>
              <w:spacing w:line="300" w:lineRule="exact"/>
              <w:ind w:firstLine="0" w:firstLineChars="0"/>
              <w:jc w:val="center"/>
              <w:rPr>
                <w:rFonts w:hint="eastAsia"/>
                <w:sz w:val="24"/>
                <w:szCs w:val="24"/>
              </w:rPr>
            </w:pPr>
            <w:r>
              <w:rPr>
                <w:rFonts w:hint="eastAsia"/>
                <w:sz w:val="24"/>
                <w:szCs w:val="24"/>
              </w:rPr>
              <w:drawing>
                <wp:anchor distT="0" distB="0" distL="114300" distR="114300" simplePos="0" relativeHeight="251674624" behindDoc="0" locked="0" layoutInCell="1" allowOverlap="1">
                  <wp:simplePos x="0" y="0"/>
                  <wp:positionH relativeFrom="column">
                    <wp:posOffset>177165</wp:posOffset>
                  </wp:positionH>
                  <wp:positionV relativeFrom="paragraph">
                    <wp:posOffset>260350</wp:posOffset>
                  </wp:positionV>
                  <wp:extent cx="1205230" cy="1605915"/>
                  <wp:effectExtent l="0" t="0" r="13970" b="13335"/>
                  <wp:wrapSquare wrapText="bothSides"/>
                  <wp:docPr id="42" name="图片 3" descr="f47df7bd5333d98f27d1aa809861f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 descr="f47df7bd5333d98f27d1aa809861f12"/>
                          <pic:cNvPicPr>
                            <a:picLocks noChangeAspect="1"/>
                          </pic:cNvPicPr>
                        </pic:nvPicPr>
                        <pic:blipFill>
                          <a:blip r:embed="rId24"/>
                          <a:stretch>
                            <a:fillRect/>
                          </a:stretch>
                        </pic:blipFill>
                        <pic:spPr>
                          <a:xfrm>
                            <a:off x="0" y="0"/>
                            <a:ext cx="1205230" cy="1605915"/>
                          </a:xfrm>
                          <a:prstGeom prst="rect">
                            <a:avLst/>
                          </a:prstGeom>
                          <a:noFill/>
                          <a:ln>
                            <a:noFill/>
                          </a:ln>
                        </pic:spPr>
                      </pic:pic>
                    </a:graphicData>
                  </a:graphic>
                </wp:anchor>
              </w:drawing>
            </w:r>
          </w:p>
        </w:tc>
      </w:tr>
    </w:tbl>
    <w:p>
      <w:pPr>
        <w:pStyle w:val="2"/>
        <w:rPr>
          <w:rFonts w:hint="eastAsia"/>
          <w:sz w:val="24"/>
          <w:szCs w:val="24"/>
        </w:rPr>
      </w:pPr>
    </w:p>
    <w:p>
      <w:pPr>
        <w:numPr>
          <w:ilvl w:val="0"/>
          <w:numId w:val="7"/>
        </w:numPr>
        <w:wordWrap w:val="0"/>
        <w:spacing w:line="360" w:lineRule="auto"/>
        <w:ind w:left="0" w:leftChars="0" w:firstLine="0" w:firstLineChars="0"/>
        <w:rPr>
          <w:rFonts w:hint="eastAsia"/>
          <w:sz w:val="24"/>
          <w:szCs w:val="24"/>
        </w:rPr>
      </w:pPr>
      <w:r>
        <w:rPr>
          <w:rFonts w:hint="eastAsia" w:ascii="宋体" w:hAnsi="宋体"/>
          <w:sz w:val="24"/>
          <w:szCs w:val="24"/>
        </w:rPr>
        <w:t>本项目执行的标准和规范包括但不局限于以下：</w:t>
      </w:r>
    </w:p>
    <w:p>
      <w:pPr>
        <w:pStyle w:val="2"/>
        <w:rPr>
          <w:rFonts w:hint="eastAsia"/>
          <w:b w:val="0"/>
          <w:bCs/>
          <w:sz w:val="24"/>
          <w:szCs w:val="24"/>
        </w:rPr>
      </w:pPr>
      <w:r>
        <w:rPr>
          <w:rFonts w:hint="eastAsia"/>
          <w:b w:val="0"/>
          <w:bCs/>
          <w:sz w:val="24"/>
          <w:szCs w:val="24"/>
        </w:rPr>
        <w:t>如有未特别注明需执行的国家相关标准、行业标准、地方标准或者其他标准、规范，则统一执行最新标准、规范。</w:t>
      </w:r>
    </w:p>
    <w:p>
      <w:pPr>
        <w:pStyle w:val="2"/>
        <w:rPr>
          <w:rFonts w:hint="eastAsia"/>
          <w:b w:val="0"/>
          <w:bCs/>
          <w:sz w:val="24"/>
          <w:szCs w:val="24"/>
        </w:rPr>
      </w:pPr>
      <w:r>
        <w:rPr>
          <w:rFonts w:hint="eastAsia"/>
          <w:b w:val="0"/>
          <w:bCs/>
          <w:sz w:val="24"/>
          <w:szCs w:val="24"/>
        </w:rPr>
        <w:t xml:space="preserve">     1.GB 18580-2017     室内装饰装修材料  人造板及其制品中甲醛释放限量</w:t>
      </w:r>
    </w:p>
    <w:p>
      <w:pPr>
        <w:pStyle w:val="2"/>
        <w:rPr>
          <w:rFonts w:hint="eastAsia"/>
          <w:b w:val="0"/>
          <w:bCs/>
          <w:sz w:val="24"/>
          <w:szCs w:val="24"/>
        </w:rPr>
      </w:pPr>
      <w:r>
        <w:rPr>
          <w:rFonts w:hint="eastAsia"/>
          <w:b w:val="0"/>
          <w:bCs/>
          <w:sz w:val="24"/>
          <w:szCs w:val="24"/>
        </w:rPr>
        <w:t xml:space="preserve">     2.GB/T 3328-2016    家具  床类主要尺寸</w:t>
      </w:r>
    </w:p>
    <w:p>
      <w:pPr>
        <w:pStyle w:val="2"/>
        <w:rPr>
          <w:rFonts w:hint="eastAsia"/>
          <w:b w:val="0"/>
          <w:bCs/>
          <w:sz w:val="24"/>
          <w:szCs w:val="24"/>
        </w:rPr>
      </w:pPr>
      <w:r>
        <w:rPr>
          <w:rFonts w:hint="eastAsia"/>
          <w:b w:val="0"/>
          <w:bCs/>
          <w:sz w:val="24"/>
          <w:szCs w:val="24"/>
        </w:rPr>
        <w:t xml:space="preserve">     3.QB/T 2741-2013    学生公寓多功能家具</w:t>
      </w:r>
    </w:p>
    <w:p>
      <w:pPr>
        <w:pStyle w:val="2"/>
        <w:rPr>
          <w:rFonts w:hint="eastAsia"/>
          <w:b w:val="0"/>
          <w:bCs/>
          <w:sz w:val="24"/>
          <w:szCs w:val="24"/>
        </w:rPr>
      </w:pPr>
      <w:r>
        <w:rPr>
          <w:rFonts w:hint="eastAsia"/>
          <w:b w:val="0"/>
          <w:bCs/>
          <w:sz w:val="24"/>
          <w:szCs w:val="24"/>
        </w:rPr>
        <w:t xml:space="preserve">     4.HJ 571-2010       环境标志产品技术要求 人造板及其制品</w:t>
      </w:r>
    </w:p>
    <w:p>
      <w:pPr>
        <w:pStyle w:val="2"/>
        <w:rPr>
          <w:b w:val="0"/>
          <w:bCs/>
          <w:sz w:val="24"/>
          <w:szCs w:val="24"/>
        </w:rPr>
      </w:pPr>
      <w:r>
        <w:rPr>
          <w:rFonts w:hint="eastAsia"/>
          <w:b w:val="0"/>
          <w:bCs/>
          <w:sz w:val="24"/>
          <w:szCs w:val="24"/>
        </w:rPr>
        <w:t xml:space="preserve">     5.HJ 2541-2016      环境标志产品技术要求 胶黏剂</w:t>
      </w:r>
    </w:p>
    <w:p>
      <w:pPr>
        <w:pStyle w:val="28"/>
        <w:numPr>
          <w:ilvl w:val="0"/>
          <w:numId w:val="7"/>
        </w:numPr>
        <w:ind w:left="0" w:leftChars="0" w:firstLine="0" w:firstLineChars="0"/>
        <w:rPr>
          <w:rFonts w:hint="eastAsia"/>
          <w:sz w:val="24"/>
          <w:szCs w:val="24"/>
          <w:lang w:eastAsia="zh-CN"/>
        </w:rPr>
      </w:pPr>
      <w:r>
        <w:rPr>
          <w:rFonts w:hint="eastAsia"/>
          <w:sz w:val="24"/>
          <w:szCs w:val="24"/>
        </w:rPr>
        <w:t>主要材料品牌一览表</w:t>
      </w:r>
      <w:r>
        <w:rPr>
          <w:rFonts w:hint="eastAsia"/>
          <w:sz w:val="24"/>
          <w:szCs w:val="24"/>
          <w:lang w:eastAsia="zh-CN"/>
        </w:rPr>
        <w:t>：</w:t>
      </w:r>
    </w:p>
    <w:tbl>
      <w:tblPr>
        <w:tblStyle w:val="21"/>
        <w:tblW w:w="7985" w:type="dxa"/>
        <w:jc w:val="center"/>
        <w:tblLayout w:type="fixed"/>
        <w:tblCellMar>
          <w:top w:w="0" w:type="dxa"/>
          <w:left w:w="108" w:type="dxa"/>
          <w:bottom w:w="0" w:type="dxa"/>
          <w:right w:w="108" w:type="dxa"/>
        </w:tblCellMar>
      </w:tblPr>
      <w:tblGrid>
        <w:gridCol w:w="700"/>
        <w:gridCol w:w="2513"/>
        <w:gridCol w:w="4772"/>
      </w:tblGrid>
      <w:tr>
        <w:tblPrEx>
          <w:tblCellMar>
            <w:top w:w="0" w:type="dxa"/>
            <w:left w:w="108" w:type="dxa"/>
            <w:bottom w:w="0" w:type="dxa"/>
            <w:right w:w="108" w:type="dxa"/>
          </w:tblCellMar>
        </w:tblPrEx>
        <w:trPr>
          <w:trHeight w:val="39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500" w:lineRule="exact"/>
              <w:ind w:left="-179" w:leftChars="-86" w:right="-107" w:rightChars="-51" w:hanging="2"/>
              <w:jc w:val="center"/>
              <w:rPr>
                <w:rFonts w:hint="eastAsia" w:ascii="宋体" w:hAnsi="宋体" w:cs="宋体"/>
                <w:b/>
                <w:sz w:val="24"/>
                <w:szCs w:val="24"/>
              </w:rPr>
            </w:pPr>
            <w:r>
              <w:rPr>
                <w:rFonts w:hint="eastAsia" w:ascii="宋体" w:hAnsi="宋体" w:cs="宋体"/>
                <w:b/>
                <w:sz w:val="24"/>
                <w:szCs w:val="24"/>
              </w:rPr>
              <w:t>序号</w:t>
            </w:r>
          </w:p>
        </w:tc>
        <w:tc>
          <w:tcPr>
            <w:tcW w:w="2513" w:type="dxa"/>
            <w:tcBorders>
              <w:top w:val="single" w:color="000000" w:sz="4" w:space="0"/>
              <w:left w:val="nil"/>
              <w:bottom w:val="single" w:color="000000" w:sz="4" w:space="0"/>
              <w:right w:val="single" w:color="000000" w:sz="4" w:space="0"/>
            </w:tcBorders>
            <w:shd w:val="clear" w:color="auto" w:fill="FFFFFF"/>
            <w:noWrap w:val="0"/>
            <w:vAlign w:val="center"/>
          </w:tcPr>
          <w:p>
            <w:pPr>
              <w:spacing w:line="500" w:lineRule="exact"/>
              <w:ind w:left="-107" w:leftChars="-51" w:right="-130" w:rightChars="-62"/>
              <w:jc w:val="center"/>
              <w:rPr>
                <w:rFonts w:hint="eastAsia" w:ascii="宋体" w:hAnsi="宋体" w:cs="宋体"/>
                <w:b/>
                <w:sz w:val="24"/>
                <w:szCs w:val="24"/>
              </w:rPr>
            </w:pPr>
            <w:r>
              <w:rPr>
                <w:rFonts w:hint="eastAsia" w:ascii="宋体" w:hAnsi="宋体" w:cs="宋体"/>
                <w:b/>
                <w:sz w:val="24"/>
                <w:szCs w:val="24"/>
              </w:rPr>
              <w:t>材料名称</w:t>
            </w:r>
          </w:p>
        </w:tc>
        <w:tc>
          <w:tcPr>
            <w:tcW w:w="4772" w:type="dxa"/>
            <w:tcBorders>
              <w:top w:val="single" w:color="000000" w:sz="4" w:space="0"/>
              <w:left w:val="nil"/>
              <w:bottom w:val="single" w:color="000000" w:sz="4" w:space="0"/>
              <w:right w:val="single" w:color="000000" w:sz="4" w:space="0"/>
            </w:tcBorders>
            <w:shd w:val="clear" w:color="auto" w:fill="FFFFFF"/>
            <w:noWrap w:val="0"/>
            <w:vAlign w:val="center"/>
          </w:tcPr>
          <w:p>
            <w:pPr>
              <w:spacing w:line="500" w:lineRule="exact"/>
              <w:ind w:left="-107" w:leftChars="-51"/>
              <w:jc w:val="center"/>
              <w:rPr>
                <w:rFonts w:hint="eastAsia" w:ascii="宋体" w:hAnsi="宋体" w:cs="宋体"/>
                <w:b/>
                <w:sz w:val="24"/>
                <w:szCs w:val="24"/>
              </w:rPr>
            </w:pPr>
            <w:r>
              <w:rPr>
                <w:rFonts w:hint="eastAsia" w:ascii="宋体" w:hAnsi="宋体" w:cs="宋体"/>
                <w:b/>
                <w:sz w:val="24"/>
                <w:szCs w:val="24"/>
              </w:rPr>
              <w:t>品  牌</w:t>
            </w:r>
          </w:p>
        </w:tc>
      </w:tr>
      <w:tr>
        <w:tblPrEx>
          <w:tblCellMar>
            <w:top w:w="0" w:type="dxa"/>
            <w:left w:w="108" w:type="dxa"/>
            <w:bottom w:w="0" w:type="dxa"/>
            <w:right w:w="108" w:type="dxa"/>
          </w:tblCellMar>
        </w:tblPrEx>
        <w:trPr>
          <w:trHeight w:val="39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int="eastAsia" w:ascii="宋体" w:hAnsi="宋体" w:cs="宋体"/>
                <w:kern w:val="0"/>
                <w:sz w:val="24"/>
                <w:szCs w:val="24"/>
              </w:rPr>
            </w:pPr>
            <w:r>
              <w:rPr>
                <w:rFonts w:hint="eastAsia" w:ascii="宋体" w:hAnsi="宋体" w:cs="宋体"/>
                <w:kern w:val="0"/>
                <w:sz w:val="24"/>
                <w:szCs w:val="24"/>
              </w:rPr>
              <w:t>1</w:t>
            </w:r>
          </w:p>
        </w:tc>
        <w:tc>
          <w:tcPr>
            <w:tcW w:w="251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cs="宋体"/>
                <w:sz w:val="24"/>
                <w:szCs w:val="24"/>
              </w:rPr>
            </w:pPr>
            <w:r>
              <w:rPr>
                <w:rFonts w:hint="eastAsia" w:ascii="宋体" w:hAnsi="宋体" w:cs="宋体"/>
                <w:sz w:val="24"/>
                <w:szCs w:val="24"/>
              </w:rPr>
              <w:t>胶合板（多层板）</w:t>
            </w:r>
          </w:p>
        </w:tc>
        <w:tc>
          <w:tcPr>
            <w:tcW w:w="477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ascii="宋体" w:hAnsi="宋体" w:cs="宋体"/>
                <w:sz w:val="24"/>
                <w:szCs w:val="24"/>
              </w:rPr>
            </w:pPr>
            <w:r>
              <w:rPr>
                <w:rFonts w:hint="eastAsia" w:ascii="宋体" w:hAnsi="宋体" w:cs="宋体"/>
                <w:sz w:val="24"/>
                <w:szCs w:val="24"/>
              </w:rPr>
              <w:t>福人、大亚</w:t>
            </w:r>
            <w:r>
              <w:rPr>
                <w:rFonts w:hint="eastAsia" w:ascii="宋体" w:hAnsi="宋体" w:cs="宋体"/>
                <w:sz w:val="24"/>
                <w:szCs w:val="24"/>
              </w:rPr>
              <w:tab/>
            </w:r>
            <w:r>
              <w:rPr>
                <w:rFonts w:hint="eastAsia" w:ascii="宋体" w:hAnsi="宋体" w:cs="宋体"/>
                <w:sz w:val="24"/>
                <w:szCs w:val="24"/>
              </w:rPr>
              <w:t>、露水河及同等以上</w:t>
            </w:r>
          </w:p>
        </w:tc>
      </w:tr>
      <w:tr>
        <w:tblPrEx>
          <w:tblCellMar>
            <w:top w:w="0" w:type="dxa"/>
            <w:left w:w="108" w:type="dxa"/>
            <w:bottom w:w="0" w:type="dxa"/>
            <w:right w:w="108" w:type="dxa"/>
          </w:tblCellMar>
        </w:tblPrEx>
        <w:trPr>
          <w:trHeight w:val="39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int="eastAsia" w:ascii="宋体" w:hAnsi="宋体" w:cs="宋体"/>
                <w:kern w:val="0"/>
                <w:sz w:val="24"/>
                <w:szCs w:val="24"/>
              </w:rPr>
            </w:pPr>
            <w:r>
              <w:rPr>
                <w:rFonts w:hint="eastAsia" w:ascii="宋体" w:hAnsi="宋体" w:cs="宋体"/>
                <w:kern w:val="0"/>
                <w:sz w:val="24"/>
                <w:szCs w:val="24"/>
              </w:rPr>
              <w:t>2</w:t>
            </w:r>
          </w:p>
        </w:tc>
        <w:tc>
          <w:tcPr>
            <w:tcW w:w="251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sz w:val="24"/>
                <w:szCs w:val="24"/>
              </w:rPr>
              <w:t>水性油漆</w:t>
            </w:r>
          </w:p>
        </w:tc>
        <w:tc>
          <w:tcPr>
            <w:tcW w:w="477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sz w:val="24"/>
                <w:szCs w:val="24"/>
              </w:rPr>
              <w:t>大宝、华润、嘉宝莉及同等以上</w:t>
            </w:r>
          </w:p>
        </w:tc>
      </w:tr>
      <w:tr>
        <w:tblPrEx>
          <w:tblCellMar>
            <w:top w:w="0" w:type="dxa"/>
            <w:left w:w="108" w:type="dxa"/>
            <w:bottom w:w="0" w:type="dxa"/>
            <w:right w:w="108" w:type="dxa"/>
          </w:tblCellMar>
        </w:tblPrEx>
        <w:trPr>
          <w:trHeight w:val="39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int="eastAsia" w:ascii="宋体" w:hAnsi="宋体" w:cs="宋体"/>
                <w:kern w:val="0"/>
                <w:sz w:val="24"/>
                <w:szCs w:val="24"/>
              </w:rPr>
            </w:pPr>
            <w:r>
              <w:rPr>
                <w:rFonts w:hint="eastAsia" w:ascii="宋体" w:hAnsi="宋体" w:cs="宋体"/>
                <w:kern w:val="0"/>
                <w:sz w:val="24"/>
                <w:szCs w:val="24"/>
              </w:rPr>
              <w:t>3</w:t>
            </w:r>
          </w:p>
        </w:tc>
        <w:tc>
          <w:tcPr>
            <w:tcW w:w="251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sz w:val="24"/>
                <w:szCs w:val="24"/>
              </w:rPr>
              <w:t>海棉</w:t>
            </w:r>
          </w:p>
        </w:tc>
        <w:tc>
          <w:tcPr>
            <w:tcW w:w="477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sz w:val="24"/>
                <w:szCs w:val="24"/>
              </w:rPr>
              <w:t>圣诺盟、东亚、东泰及同等以上</w:t>
            </w:r>
          </w:p>
        </w:tc>
      </w:tr>
      <w:tr>
        <w:tblPrEx>
          <w:tblCellMar>
            <w:top w:w="0" w:type="dxa"/>
            <w:left w:w="108" w:type="dxa"/>
            <w:bottom w:w="0" w:type="dxa"/>
            <w:right w:w="108" w:type="dxa"/>
          </w:tblCellMar>
        </w:tblPrEx>
        <w:trPr>
          <w:trHeight w:val="39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int="eastAsia" w:ascii="宋体" w:hAnsi="宋体" w:cs="宋体"/>
                <w:kern w:val="0"/>
                <w:sz w:val="24"/>
                <w:szCs w:val="24"/>
              </w:rPr>
            </w:pPr>
            <w:r>
              <w:rPr>
                <w:rFonts w:hint="eastAsia" w:ascii="宋体" w:hAnsi="宋体" w:cs="宋体"/>
                <w:kern w:val="0"/>
                <w:sz w:val="24"/>
                <w:szCs w:val="24"/>
              </w:rPr>
              <w:t>4</w:t>
            </w:r>
          </w:p>
        </w:tc>
        <w:tc>
          <w:tcPr>
            <w:tcW w:w="251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sz w:val="24"/>
                <w:szCs w:val="24"/>
              </w:rPr>
              <w:t>粘胶剂</w:t>
            </w:r>
          </w:p>
        </w:tc>
        <w:tc>
          <w:tcPr>
            <w:tcW w:w="477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sz w:val="24"/>
                <w:szCs w:val="24"/>
              </w:rPr>
              <w:t>汉高、顶立 、创伟及同等以上</w:t>
            </w:r>
          </w:p>
        </w:tc>
      </w:tr>
      <w:tr>
        <w:tblPrEx>
          <w:tblCellMar>
            <w:top w:w="0" w:type="dxa"/>
            <w:left w:w="108" w:type="dxa"/>
            <w:bottom w:w="0" w:type="dxa"/>
            <w:right w:w="108" w:type="dxa"/>
          </w:tblCellMar>
        </w:tblPrEx>
        <w:trPr>
          <w:trHeight w:val="39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int="eastAsia" w:ascii="宋体" w:hAnsi="宋体" w:cs="宋体"/>
                <w:kern w:val="0"/>
                <w:sz w:val="24"/>
                <w:szCs w:val="24"/>
              </w:rPr>
            </w:pPr>
            <w:r>
              <w:rPr>
                <w:rFonts w:hint="eastAsia" w:ascii="宋体" w:hAnsi="宋体" w:cs="宋体"/>
                <w:kern w:val="0"/>
                <w:sz w:val="24"/>
                <w:szCs w:val="24"/>
              </w:rPr>
              <w:t>5</w:t>
            </w:r>
          </w:p>
        </w:tc>
        <w:tc>
          <w:tcPr>
            <w:tcW w:w="251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五金件（</w:t>
            </w:r>
            <w:r>
              <w:rPr>
                <w:rFonts w:hint="eastAsia" w:ascii="宋体" w:hAnsi="宋体" w:cs="宋体"/>
                <w:sz w:val="24"/>
                <w:szCs w:val="24"/>
              </w:rPr>
              <w:t>铰链、导轨、锁具</w:t>
            </w:r>
            <w:r>
              <w:rPr>
                <w:rFonts w:hint="eastAsia" w:ascii="宋体" w:hAnsi="宋体" w:cs="宋体"/>
                <w:sz w:val="24"/>
                <w:szCs w:val="24"/>
                <w:lang w:eastAsia="zh-CN"/>
              </w:rPr>
              <w:t>等）</w:t>
            </w:r>
          </w:p>
        </w:tc>
        <w:tc>
          <w:tcPr>
            <w:tcW w:w="477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sz w:val="24"/>
                <w:szCs w:val="24"/>
              </w:rPr>
              <w:t>海蒂诗、海福乐、DTC 及同等以上</w:t>
            </w:r>
          </w:p>
        </w:tc>
      </w:tr>
      <w:tr>
        <w:tblPrEx>
          <w:tblCellMar>
            <w:top w:w="0" w:type="dxa"/>
            <w:left w:w="108" w:type="dxa"/>
            <w:bottom w:w="0" w:type="dxa"/>
            <w:right w:w="108" w:type="dxa"/>
          </w:tblCellMar>
        </w:tblPrEx>
        <w:trPr>
          <w:trHeight w:val="39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int="eastAsia" w:ascii="宋体" w:hAnsi="宋体" w:cs="宋体"/>
                <w:kern w:val="0"/>
                <w:sz w:val="24"/>
                <w:szCs w:val="24"/>
              </w:rPr>
            </w:pPr>
            <w:r>
              <w:rPr>
                <w:rFonts w:hint="eastAsia" w:ascii="宋体" w:hAnsi="宋体" w:cs="宋体"/>
                <w:kern w:val="0"/>
                <w:sz w:val="24"/>
                <w:szCs w:val="24"/>
              </w:rPr>
              <w:t>6</w:t>
            </w:r>
          </w:p>
        </w:tc>
        <w:tc>
          <w:tcPr>
            <w:tcW w:w="251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sz w:val="24"/>
                <w:szCs w:val="24"/>
              </w:rPr>
              <w:t>钢材</w:t>
            </w:r>
          </w:p>
        </w:tc>
        <w:tc>
          <w:tcPr>
            <w:tcW w:w="477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sz w:val="24"/>
                <w:szCs w:val="24"/>
              </w:rPr>
              <w:t>宝钢、首钢、鞍钢及同等以上</w:t>
            </w:r>
          </w:p>
        </w:tc>
      </w:tr>
    </w:tbl>
    <w:p>
      <w:pPr>
        <w:spacing w:line="360" w:lineRule="auto"/>
        <w:ind w:firstLine="480" w:firstLineChars="200"/>
        <w:rPr>
          <w:rFonts w:hint="eastAsia"/>
          <w:sz w:val="24"/>
          <w:szCs w:val="24"/>
        </w:rPr>
      </w:pPr>
      <w:r>
        <w:rPr>
          <w:rFonts w:hint="eastAsia"/>
          <w:bCs/>
          <w:sz w:val="24"/>
          <w:szCs w:val="24"/>
        </w:rPr>
        <w:t>备注：货物类技术参数必须按上表格式填写。</w:t>
      </w:r>
    </w:p>
    <w:p>
      <w:pPr>
        <w:spacing w:line="360" w:lineRule="auto"/>
        <w:rPr>
          <w:rFonts w:ascii="宋体" w:hAnsi="宋体" w:cs="宋体"/>
          <w:b w:val="0"/>
          <w:bCs w:val="0"/>
          <w:kern w:val="0"/>
          <w:sz w:val="24"/>
          <w:szCs w:val="24"/>
        </w:rPr>
      </w:pPr>
      <w:r>
        <w:rPr>
          <w:rFonts w:hint="eastAsia" w:ascii="宋体" w:hAnsi="宋体" w:cs="宋体"/>
          <w:b w:val="0"/>
          <w:bCs w:val="0"/>
          <w:kern w:val="0"/>
          <w:sz w:val="24"/>
          <w:szCs w:val="24"/>
          <w:lang w:val="en-US" w:eastAsia="zh-CN"/>
        </w:rPr>
        <w:t>(四）</w:t>
      </w:r>
      <w:r>
        <w:rPr>
          <w:rFonts w:hint="eastAsia" w:ascii="宋体" w:hAnsi="宋体" w:cs="宋体"/>
          <w:b w:val="0"/>
          <w:bCs w:val="0"/>
          <w:kern w:val="0"/>
          <w:sz w:val="24"/>
          <w:szCs w:val="24"/>
        </w:rPr>
        <w:t>其他相关说明：</w:t>
      </w:r>
    </w:p>
    <w:p>
      <w:pPr>
        <w:pStyle w:val="12"/>
        <w:snapToGrid w:val="0"/>
        <w:spacing w:line="360" w:lineRule="auto"/>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投标人所投产品自产或外购需在投标文件中明确（如外购需要写明产地、品牌），但</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所用原材料（油漆、胶水等）均应符合环保要求。</w:t>
      </w:r>
    </w:p>
    <w:p>
      <w:pPr>
        <w:numPr>
          <w:ilvl w:val="0"/>
          <w:numId w:val="0"/>
        </w:num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本采购项目产品要求采用推荐品牌（或同等级及以上）的材料配件进行生产，详见《主要材料品牌一览表》。</w:t>
      </w:r>
    </w:p>
    <w:p>
      <w:pPr>
        <w:numPr>
          <w:ilvl w:val="0"/>
          <w:numId w:val="0"/>
        </w:num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3</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如因检测方法不同，但检测结果满足采购人技术要求的国家限定标准，视同符合。</w:t>
      </w:r>
    </w:p>
    <w:p>
      <w:pPr>
        <w:pStyle w:val="12"/>
        <w:snapToGrid w:val="0"/>
        <w:spacing w:line="360" w:lineRule="auto"/>
        <w:outlineLvl w:val="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中标后按采购人要求进场确定各产品尺寸</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，颜色</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，且根据采购人需求可进行外观样式的适当调整，大货生产前须经釆购人确认产品尺寸规格、外观样式后，方可正式批量生产大货或外购。</w:t>
      </w:r>
    </w:p>
    <w:p>
      <w:pPr>
        <w:pStyle w:val="12"/>
        <w:snapToGrid w:val="0"/>
        <w:spacing w:line="360" w:lineRule="auto"/>
        <w:outlineLvl w:val="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家具供应数量在实际施工中如有出入，按实结算。</w:t>
      </w:r>
    </w:p>
    <w:p>
      <w:pPr>
        <w:pStyle w:val="8"/>
        <w:spacing w:line="360" w:lineRule="auto"/>
        <w:rPr>
          <w:rFonts w:hint="eastAsia"/>
          <w:sz w:val="24"/>
          <w:szCs w:val="24"/>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中标后，采购单位对中标供应商的样品进行封存，作为验收的依据之一，验收结束后归还。</w:t>
      </w:r>
      <w:r>
        <w:rPr>
          <w:rStyle w:val="49"/>
          <w:rFonts w:hint="eastAsia" w:ascii="宋体" w:hAnsi="宋体" w:cs="宋体"/>
          <w:b w:val="0"/>
          <w:bCs/>
          <w:color w:val="000000" w:themeColor="text1"/>
          <w:sz w:val="24"/>
          <w:szCs w:val="24"/>
          <w14:textFill>
            <w14:solidFill>
              <w14:schemeClr w14:val="tx1"/>
            </w14:solidFill>
          </w14:textFill>
        </w:rPr>
        <w:t>对应产品或同类产品（如样品中含有板材，则该板材同时为其他具有板材产品的验收标准），如供应产品不符合样品标准，中标供应商需按要求进行整改，如无法整改至符合要求，甲方有权中止合约，并要求中标方赔偿相应损失，同时提交相关部门处理。</w:t>
      </w:r>
    </w:p>
    <w:p>
      <w:pPr>
        <w:pStyle w:val="12"/>
        <w:snapToGrid w:val="0"/>
        <w:spacing w:line="360" w:lineRule="auto"/>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（五）项目售后服务标准</w:t>
      </w:r>
    </w:p>
    <w:p>
      <w:pPr>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1.中标供应商提供的售后服务应符合GB/T 37652-2019《家具售后服务要求》。</w:t>
      </w:r>
    </w:p>
    <w:p>
      <w:pPr>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2.质量保证期：所有家具的质量保证期不少于</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质保期从项目验收合格之日起开始计算），在此保证期内，如在正常使用过程中出现的质量问题，供应商须负责免费维修或调换。质保期满后，中标供应商终身维护，仅收取零配件成本费用，免人工费、差旅费。</w:t>
      </w:r>
    </w:p>
    <w:p>
      <w:pPr>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中标供应商需提供24小时售后服务，且维修人员须在接到维修电话后24小时内赶到现场，提供不间断的服务直到修复为止。维修点需提供足够的备件以适应采购人维修需求。在24小时内未到达现场的，采购人可以有权从其它的供应商中得到服务，由此造成的全部损失由中标单位承担。</w:t>
      </w:r>
    </w:p>
    <w:p>
      <w:pPr>
        <w:pStyle w:val="12"/>
        <w:snapToGrid w:val="0"/>
        <w:spacing w:line="360" w:lineRule="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r>
        <w:rPr>
          <w:rFonts w:hint="eastAsia" w:hAnsi="宋体" w:cs="宋体"/>
          <w:kern w:val="0"/>
          <w:sz w:val="24"/>
          <w:szCs w:val="24"/>
          <w:lang w:val="en-US" w:eastAsia="zh-CN" w:bidi="ar-SA"/>
        </w:rPr>
        <w:t>六</w:t>
      </w:r>
      <w:r>
        <w:rPr>
          <w:rFonts w:hint="eastAsia" w:ascii="宋体" w:hAnsi="宋体" w:eastAsia="宋体" w:cs="宋体"/>
          <w:kern w:val="0"/>
          <w:sz w:val="24"/>
          <w:szCs w:val="24"/>
          <w:lang w:val="en-US" w:eastAsia="zh-CN" w:bidi="ar-SA"/>
        </w:rPr>
        <w:t>）样品清单</w:t>
      </w:r>
    </w:p>
    <w:tbl>
      <w:tblPr>
        <w:tblStyle w:val="21"/>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427"/>
        <w:gridCol w:w="750"/>
        <w:gridCol w:w="3408"/>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19" w:type="dxa"/>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427" w:type="dxa"/>
            <w:shd w:val="clear" w:color="auto" w:fill="auto"/>
            <w:vAlign w:val="center"/>
          </w:tcPr>
          <w:p>
            <w:pPr>
              <w:widowControl/>
              <w:rPr>
                <w:rFonts w:ascii="宋体" w:hAnsi="宋体" w:cs="宋体"/>
                <w:b/>
                <w:bCs/>
                <w:color w:val="000000"/>
                <w:kern w:val="0"/>
                <w:sz w:val="24"/>
                <w:szCs w:val="24"/>
              </w:rPr>
            </w:pPr>
            <w:r>
              <w:rPr>
                <w:rFonts w:hint="eastAsia" w:ascii="宋体" w:hAnsi="宋体" w:cs="宋体"/>
                <w:b/>
                <w:bCs/>
                <w:color w:val="000000"/>
                <w:kern w:val="0"/>
                <w:sz w:val="24"/>
                <w:szCs w:val="24"/>
              </w:rPr>
              <w:t>货物名称</w:t>
            </w:r>
          </w:p>
        </w:tc>
        <w:tc>
          <w:tcPr>
            <w:tcW w:w="750" w:type="dxa"/>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3408" w:type="dxa"/>
            <w:shd w:val="clear" w:color="auto" w:fill="auto"/>
            <w:vAlign w:val="center"/>
          </w:tcPr>
          <w:p>
            <w:pPr>
              <w:widowControl/>
              <w:jc w:val="center"/>
              <w:rPr>
                <w:rFonts w:hint="eastAsia" w:ascii="宋体" w:hAnsi="宋体" w:eastAsia="宋体" w:cs="宋体"/>
                <w:b/>
                <w:bCs/>
                <w:color w:val="000000"/>
                <w:kern w:val="0"/>
                <w:sz w:val="24"/>
                <w:szCs w:val="24"/>
                <w:lang w:eastAsia="zh-CN"/>
              </w:rPr>
            </w:pPr>
            <w:r>
              <w:rPr>
                <w:rFonts w:hint="eastAsia" w:ascii="宋体" w:hAnsi="宋体" w:cs="宋体"/>
                <w:b/>
                <w:bCs/>
                <w:color w:val="000000"/>
                <w:kern w:val="0"/>
                <w:sz w:val="24"/>
                <w:szCs w:val="24"/>
              </w:rPr>
              <w:t>指标项</w:t>
            </w:r>
          </w:p>
        </w:tc>
        <w:tc>
          <w:tcPr>
            <w:tcW w:w="2778" w:type="dxa"/>
            <w:shd w:val="clear" w:color="auto" w:fill="auto"/>
            <w:vAlign w:val="center"/>
          </w:tcPr>
          <w:p>
            <w:pPr>
              <w:widowControl/>
              <w:jc w:val="center"/>
              <w:rPr>
                <w:rFonts w:hint="eastAsia" w:ascii="宋体" w:hAnsi="宋体" w:eastAsia="宋体" w:cs="宋体"/>
                <w:b/>
                <w:bCs/>
                <w:color w:val="000000"/>
                <w:kern w:val="0"/>
                <w:sz w:val="24"/>
                <w:szCs w:val="24"/>
                <w:lang w:eastAsia="zh-CN"/>
              </w:rPr>
            </w:pPr>
            <w:r>
              <w:rPr>
                <w:rFonts w:hint="eastAsia" w:ascii="宋体" w:hAnsi="宋体" w:cs="宋体"/>
                <w:b/>
                <w:bCs/>
                <w:color w:val="000000"/>
                <w:kern w:val="0"/>
                <w:sz w:val="24"/>
                <w:szCs w:val="24"/>
                <w:lang w:eastAsia="zh-CN"/>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719" w:type="dxa"/>
            <w:shd w:val="clear" w:color="auto" w:fill="auto"/>
            <w:vAlign w:val="center"/>
          </w:tcPr>
          <w:p>
            <w:pPr>
              <w:widowControl/>
              <w:ind w:right="480"/>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427" w:type="dxa"/>
            <w:shd w:val="clear" w:color="auto" w:fill="auto"/>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男生宿舍</w:t>
            </w:r>
          </w:p>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三人位</w:t>
            </w:r>
          </w:p>
          <w:p>
            <w:pPr>
              <w:widowControl/>
              <w:jc w:val="center"/>
              <w:rPr>
                <w:rFonts w:ascii="宋体" w:hAnsi="宋体" w:cs="宋体"/>
                <w:color w:val="000000"/>
                <w:kern w:val="0"/>
                <w:sz w:val="24"/>
                <w:szCs w:val="24"/>
              </w:rPr>
            </w:pPr>
            <w:r>
              <w:rPr>
                <w:rFonts w:hint="eastAsia" w:ascii="宋体" w:hAnsi="宋体" w:cs="宋体"/>
                <w:sz w:val="24"/>
                <w:szCs w:val="24"/>
              </w:rPr>
              <w:t>宿舍床（含柜）</w:t>
            </w:r>
          </w:p>
        </w:tc>
        <w:tc>
          <w:tcPr>
            <w:tcW w:w="750" w:type="dxa"/>
            <w:shd w:val="clear" w:color="auto" w:fill="auto"/>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组</w:t>
            </w:r>
          </w:p>
        </w:tc>
        <w:tc>
          <w:tcPr>
            <w:tcW w:w="3408" w:type="dxa"/>
            <w:shd w:val="clear" w:color="auto" w:fill="auto"/>
            <w:vAlign w:val="center"/>
          </w:tcPr>
          <w:p>
            <w:pPr>
              <w:rPr>
                <w:rFonts w:hint="eastAsia" w:ascii="Calibri" w:hAnsi="Calibri"/>
                <w:sz w:val="24"/>
                <w:szCs w:val="24"/>
              </w:rPr>
            </w:pPr>
            <w:r>
              <w:rPr>
                <w:rFonts w:hint="eastAsia" w:hAnsi="宋体"/>
                <w:sz w:val="24"/>
                <w:szCs w:val="24"/>
              </w:rPr>
              <w:t>规格:W4000*D900*H2120mm（±5mm）</w:t>
            </w:r>
            <w:r>
              <w:rPr>
                <w:rFonts w:hint="eastAsia" w:ascii="宋体" w:hAnsi="宋体"/>
                <w:sz w:val="24"/>
                <w:szCs w:val="24"/>
              </w:rPr>
              <w:t>（含蚊帐架约高</w:t>
            </w:r>
            <w:r>
              <w:rPr>
                <w:rFonts w:hint="eastAsia" w:ascii="宋体" w:hAnsi="宋体" w:cs="Calibri"/>
                <w:sz w:val="24"/>
                <w:szCs w:val="24"/>
              </w:rPr>
              <w:t>2800mm</w:t>
            </w:r>
            <w:r>
              <w:rPr>
                <w:rFonts w:hint="eastAsia" w:ascii="宋体" w:hAnsi="宋体"/>
                <w:sz w:val="24"/>
                <w:szCs w:val="24"/>
              </w:rPr>
              <w:t>）</w:t>
            </w:r>
          </w:p>
          <w:p>
            <w:pPr>
              <w:widowControl/>
              <w:jc w:val="center"/>
              <w:rPr>
                <w:rFonts w:hint="eastAsia" w:eastAsia="宋体"/>
                <w:sz w:val="24"/>
                <w:szCs w:val="24"/>
                <w:lang w:eastAsia="zh-CN"/>
              </w:rPr>
            </w:pPr>
          </w:p>
        </w:tc>
        <w:tc>
          <w:tcPr>
            <w:tcW w:w="2778"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sz w:val="24"/>
                <w:szCs w:val="24"/>
              </w:rPr>
              <w:drawing>
                <wp:anchor distT="0" distB="0" distL="114300" distR="114300" simplePos="0" relativeHeight="251676672" behindDoc="0" locked="0" layoutInCell="1" allowOverlap="1">
                  <wp:simplePos x="0" y="0"/>
                  <wp:positionH relativeFrom="column">
                    <wp:posOffset>419100</wp:posOffset>
                  </wp:positionH>
                  <wp:positionV relativeFrom="paragraph">
                    <wp:posOffset>1217295</wp:posOffset>
                  </wp:positionV>
                  <wp:extent cx="802640" cy="787400"/>
                  <wp:effectExtent l="0" t="0" r="16510" b="12700"/>
                  <wp:wrapSquare wrapText="bothSides"/>
                  <wp:docPr id="46" name="图片 4"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 descr="16"/>
                          <pic:cNvPicPr>
                            <a:picLocks noChangeAspect="1"/>
                          </pic:cNvPicPr>
                        </pic:nvPicPr>
                        <pic:blipFill>
                          <a:blip r:embed="rId16"/>
                          <a:stretch>
                            <a:fillRect/>
                          </a:stretch>
                        </pic:blipFill>
                        <pic:spPr>
                          <a:xfrm>
                            <a:off x="0" y="0"/>
                            <a:ext cx="802640" cy="787400"/>
                          </a:xfrm>
                          <a:prstGeom prst="rect">
                            <a:avLst/>
                          </a:prstGeom>
                          <a:noFill/>
                          <a:ln>
                            <a:noFill/>
                          </a:ln>
                        </pic:spPr>
                      </pic:pic>
                    </a:graphicData>
                  </a:graphic>
                </wp:anchor>
              </w:drawing>
            </w:r>
            <w:r>
              <w:rPr>
                <w:rFonts w:hint="eastAsia" w:ascii="宋体" w:hAnsi="宋体" w:cs="宋体"/>
                <w:sz w:val="24"/>
                <w:szCs w:val="24"/>
              </w:rPr>
              <w:drawing>
                <wp:anchor distT="0" distB="0" distL="114300" distR="114300" simplePos="0" relativeHeight="251675648" behindDoc="0" locked="0" layoutInCell="1" allowOverlap="1">
                  <wp:simplePos x="0" y="0"/>
                  <wp:positionH relativeFrom="column">
                    <wp:posOffset>66675</wp:posOffset>
                  </wp:positionH>
                  <wp:positionV relativeFrom="paragraph">
                    <wp:posOffset>27305</wp:posOffset>
                  </wp:positionV>
                  <wp:extent cx="1438910" cy="1270635"/>
                  <wp:effectExtent l="0" t="0" r="8890" b="5715"/>
                  <wp:wrapSquare wrapText="bothSides"/>
                  <wp:docPr id="45" name="图片 5" descr="微信图片_20221009145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 descr="微信图片_20221009145852"/>
                          <pic:cNvPicPr>
                            <a:picLocks noChangeAspect="1"/>
                          </pic:cNvPicPr>
                        </pic:nvPicPr>
                        <pic:blipFill>
                          <a:blip r:embed="rId15"/>
                          <a:stretch>
                            <a:fillRect/>
                          </a:stretch>
                        </pic:blipFill>
                        <pic:spPr>
                          <a:xfrm>
                            <a:off x="0" y="0"/>
                            <a:ext cx="1438910" cy="1270635"/>
                          </a:xfrm>
                          <a:prstGeom prst="rect">
                            <a:avLst/>
                          </a:prstGeom>
                          <a:noFill/>
                          <a:ln>
                            <a:noFill/>
                          </a:ln>
                        </pic:spPr>
                      </pic:pic>
                    </a:graphicData>
                  </a:graphic>
                </wp:anchor>
              </w:drawing>
            </w:r>
          </w:p>
          <w:p>
            <w:pPr>
              <w:widowControl/>
              <w:jc w:val="center"/>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719" w:type="dxa"/>
            <w:shd w:val="clear" w:color="auto" w:fill="auto"/>
            <w:vAlign w:val="center"/>
          </w:tcPr>
          <w:p>
            <w:pPr>
              <w:widowControl/>
              <w:ind w:right="48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2</w:t>
            </w:r>
          </w:p>
        </w:tc>
        <w:tc>
          <w:tcPr>
            <w:tcW w:w="1427" w:type="dxa"/>
            <w:shd w:val="clear" w:color="auto" w:fill="auto"/>
            <w:vAlign w:val="center"/>
          </w:tcPr>
          <w:p>
            <w:pPr>
              <w:pStyle w:val="9"/>
              <w:spacing w:line="300" w:lineRule="exact"/>
              <w:ind w:firstLine="0" w:firstLineChars="0"/>
              <w:jc w:val="center"/>
              <w:rPr>
                <w:rFonts w:hint="eastAsia" w:ascii="宋体" w:hAnsi="宋体" w:cs="宋体"/>
                <w:sz w:val="24"/>
                <w:szCs w:val="24"/>
              </w:rPr>
            </w:pPr>
            <w:r>
              <w:rPr>
                <w:rFonts w:hint="eastAsia" w:ascii="宋体" w:hAnsi="宋体" w:cs="宋体"/>
                <w:sz w:val="24"/>
                <w:szCs w:val="24"/>
              </w:rPr>
              <w:t>3人间老师宿舍（床及床垫）</w:t>
            </w:r>
          </w:p>
        </w:tc>
        <w:tc>
          <w:tcPr>
            <w:tcW w:w="750" w:type="dxa"/>
            <w:shd w:val="clear" w:color="auto" w:fill="auto"/>
            <w:noWrap/>
            <w:vAlign w:val="center"/>
          </w:tcPr>
          <w:p>
            <w:pPr>
              <w:pStyle w:val="9"/>
              <w:spacing w:line="300" w:lineRule="exact"/>
              <w:ind w:firstLine="0" w:firstLineChars="0"/>
              <w:jc w:val="center"/>
              <w:rPr>
                <w:rFonts w:hint="eastAsia" w:ascii="宋体" w:hAnsi="宋体" w:cs="宋体"/>
                <w:sz w:val="24"/>
                <w:szCs w:val="24"/>
                <w:lang w:eastAsia="zh-CN"/>
              </w:rPr>
            </w:pPr>
            <w:r>
              <w:rPr>
                <w:rFonts w:hint="eastAsia" w:ascii="宋体" w:hAnsi="宋体" w:cs="宋体"/>
                <w:sz w:val="24"/>
                <w:szCs w:val="24"/>
                <w:lang w:eastAsia="zh-CN"/>
              </w:rPr>
              <w:t>组</w:t>
            </w:r>
          </w:p>
        </w:tc>
        <w:tc>
          <w:tcPr>
            <w:tcW w:w="3408" w:type="dxa"/>
            <w:shd w:val="clear" w:color="auto" w:fill="auto"/>
            <w:vAlign w:val="center"/>
          </w:tcPr>
          <w:p>
            <w:pPr>
              <w:rPr>
                <w:rFonts w:hint="eastAsia" w:ascii="宋体" w:hAnsi="宋体" w:cs="宋体"/>
                <w:sz w:val="24"/>
                <w:szCs w:val="24"/>
              </w:rPr>
            </w:pPr>
            <w:r>
              <w:rPr>
                <w:rFonts w:hint="eastAsia" w:ascii="宋体" w:hAnsi="宋体" w:cs="宋体"/>
                <w:sz w:val="24"/>
                <w:szCs w:val="24"/>
              </w:rPr>
              <w:t>规格：</w:t>
            </w:r>
            <w:r>
              <w:rPr>
                <w:rFonts w:hint="eastAsia" w:ascii="宋体" w:hAnsi="宋体" w:cs="宋体"/>
                <w:color w:val="auto"/>
                <w:sz w:val="24"/>
                <w:szCs w:val="24"/>
              </w:rPr>
              <w:t>1</w:t>
            </w:r>
            <w:r>
              <w:rPr>
                <w:rFonts w:hint="eastAsia" w:ascii="宋体" w:hAnsi="宋体" w:cs="宋体"/>
                <w:color w:val="auto"/>
                <w:sz w:val="24"/>
                <w:szCs w:val="24"/>
                <w:lang w:val="en-US" w:eastAsia="zh-CN"/>
              </w:rPr>
              <w:t>2</w:t>
            </w:r>
            <w:r>
              <w:rPr>
                <w:rFonts w:hint="eastAsia" w:ascii="宋体" w:hAnsi="宋体" w:cs="宋体"/>
                <w:color w:val="auto"/>
                <w:sz w:val="24"/>
                <w:szCs w:val="24"/>
              </w:rPr>
              <w:t>00</w:t>
            </w:r>
            <w:r>
              <w:rPr>
                <w:rFonts w:hint="eastAsia" w:ascii="宋体" w:hAnsi="宋体" w:cs="宋体"/>
                <w:sz w:val="24"/>
                <w:szCs w:val="24"/>
              </w:rPr>
              <w:t>*2000*450mm</w:t>
            </w:r>
            <w:bookmarkStart w:id="122" w:name="_GoBack"/>
            <w:bookmarkEnd w:id="122"/>
          </w:p>
          <w:p>
            <w:pPr>
              <w:pStyle w:val="9"/>
              <w:spacing w:line="300" w:lineRule="exact"/>
              <w:ind w:firstLine="0" w:firstLineChars="0"/>
              <w:jc w:val="center"/>
              <w:rPr>
                <w:rFonts w:hint="eastAsia" w:ascii="宋体" w:hAnsi="宋体" w:cs="宋体"/>
                <w:sz w:val="24"/>
                <w:szCs w:val="24"/>
              </w:rPr>
            </w:pPr>
          </w:p>
        </w:tc>
        <w:tc>
          <w:tcPr>
            <w:tcW w:w="2778" w:type="dxa"/>
            <w:shd w:val="clear" w:color="auto" w:fill="auto"/>
            <w:noWrap/>
            <w:vAlign w:val="center"/>
          </w:tcPr>
          <w:p>
            <w:pPr>
              <w:pStyle w:val="9"/>
              <w:spacing w:line="300" w:lineRule="exact"/>
              <w:ind w:firstLine="0" w:firstLineChars="0"/>
              <w:jc w:val="center"/>
              <w:rPr>
                <w:rFonts w:hint="eastAsia" w:ascii="宋体" w:hAnsi="宋体" w:cs="宋体"/>
                <w:sz w:val="24"/>
                <w:szCs w:val="24"/>
              </w:rPr>
            </w:pPr>
            <w:r>
              <w:rPr>
                <w:sz w:val="24"/>
                <w:szCs w:val="24"/>
              </w:rPr>
              <w:drawing>
                <wp:anchor distT="0" distB="0" distL="0" distR="0" simplePos="0" relativeHeight="251677696" behindDoc="0" locked="0" layoutInCell="1" allowOverlap="1">
                  <wp:simplePos x="0" y="0"/>
                  <wp:positionH relativeFrom="column">
                    <wp:posOffset>247650</wp:posOffset>
                  </wp:positionH>
                  <wp:positionV relativeFrom="paragraph">
                    <wp:posOffset>82550</wp:posOffset>
                  </wp:positionV>
                  <wp:extent cx="1181100" cy="1038225"/>
                  <wp:effectExtent l="0" t="0" r="0" b="9525"/>
                  <wp:wrapSquare wrapText="bothSides"/>
                  <wp:docPr id="47" name="图片 5" descr="C:\Users\ADMINI~1\AppData\Local\Temp\ksohtml778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 descr="C:\Users\ADMINI~1\AppData\Local\Temp\ksohtml7780\wps1.png"/>
                          <pic:cNvPicPr>
                            <a:picLocks noChangeAspect="1"/>
                          </pic:cNvPicPr>
                        </pic:nvPicPr>
                        <pic:blipFill>
                          <a:blip r:embed="rId23"/>
                          <a:stretch>
                            <a:fillRect/>
                          </a:stretch>
                        </pic:blipFill>
                        <pic:spPr>
                          <a:xfrm>
                            <a:off x="0" y="0"/>
                            <a:ext cx="1181100" cy="103822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shd w:val="clear" w:color="auto" w:fill="auto"/>
            <w:vAlign w:val="center"/>
          </w:tcPr>
          <w:p>
            <w:pPr>
              <w:widowControl/>
              <w:ind w:right="720"/>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1427" w:type="dxa"/>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小样</w:t>
            </w:r>
          </w:p>
        </w:tc>
        <w:tc>
          <w:tcPr>
            <w:tcW w:w="750" w:type="dxa"/>
            <w:shd w:val="clear" w:color="auto" w:fill="auto"/>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批</w:t>
            </w:r>
          </w:p>
        </w:tc>
        <w:tc>
          <w:tcPr>
            <w:tcW w:w="6186" w:type="dxa"/>
            <w:gridSpan w:val="2"/>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①实木多层板封边板材（30</w:t>
            </w:r>
            <w:r>
              <w:rPr>
                <w:rFonts w:ascii="宋体" w:hAnsi="宋体" w:cs="宋体"/>
                <w:color w:val="000000"/>
                <w:kern w:val="0"/>
                <w:sz w:val="24"/>
                <w:szCs w:val="24"/>
              </w:rPr>
              <w:t>cm</w:t>
            </w:r>
            <w:r>
              <w:rPr>
                <w:rFonts w:hint="eastAsia" w:ascii="宋体" w:hAnsi="宋体" w:cs="宋体"/>
                <w:color w:val="000000"/>
                <w:kern w:val="0"/>
                <w:sz w:val="24"/>
                <w:szCs w:val="24"/>
              </w:rPr>
              <w:t>*30</w:t>
            </w:r>
            <w:r>
              <w:rPr>
                <w:rFonts w:ascii="宋体" w:hAnsi="宋体" w:cs="宋体"/>
                <w:color w:val="000000"/>
                <w:kern w:val="0"/>
                <w:sz w:val="24"/>
                <w:szCs w:val="24"/>
              </w:rPr>
              <w:t>cm</w:t>
            </w:r>
            <w:r>
              <w:rPr>
                <w:rFonts w:hint="eastAsia" w:ascii="宋体" w:hAnsi="宋体" w:cs="宋体"/>
                <w:color w:val="000000"/>
                <w:kern w:val="0"/>
                <w:sz w:val="24"/>
                <w:szCs w:val="24"/>
              </w:rPr>
              <w:t>）</w:t>
            </w:r>
          </w:p>
          <w:p>
            <w:pPr>
              <w:widowControl/>
              <w:rPr>
                <w:rFonts w:hint="eastAsia" w:ascii="宋体" w:hAnsi="宋体" w:cs="宋体"/>
                <w:color w:val="000000"/>
                <w:kern w:val="0"/>
                <w:sz w:val="24"/>
                <w:szCs w:val="24"/>
              </w:rPr>
            </w:pPr>
            <w:r>
              <w:rPr>
                <w:rFonts w:hint="eastAsia" w:ascii="宋体" w:hAnsi="宋体" w:cs="宋体"/>
                <w:color w:val="000000"/>
                <w:kern w:val="0"/>
                <w:sz w:val="24"/>
                <w:szCs w:val="24"/>
              </w:rPr>
              <w:t>②五金件（铰链、锁具、拉手、滑轨等）。</w:t>
            </w:r>
          </w:p>
        </w:tc>
      </w:tr>
    </w:tbl>
    <w:p>
      <w:pPr>
        <w:pStyle w:val="8"/>
        <w:rPr>
          <w:rFonts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bCs/>
          <w:color w:val="000000" w:themeColor="text1"/>
          <w:kern w:val="0"/>
          <w:sz w:val="24"/>
          <w:szCs w:val="24"/>
          <w14:textFill>
            <w14:solidFill>
              <w14:schemeClr w14:val="tx1"/>
            </w14:solidFill>
          </w14:textFill>
        </w:rPr>
        <w:t>1.样品属于投标文件的组成部分。样品的生产、运输、安装、保全等一切费用由投标人自理。</w:t>
      </w:r>
    </w:p>
    <w:p>
      <w:pPr>
        <w:pStyle w:val="6"/>
        <w:spacing w:line="360" w:lineRule="auto"/>
        <w:ind w:firstLine="0"/>
        <w:rPr>
          <w:rFonts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bCs/>
          <w:color w:val="000000" w:themeColor="text1"/>
          <w:kern w:val="0"/>
          <w:sz w:val="24"/>
          <w:szCs w:val="24"/>
          <w14:textFill>
            <w14:solidFill>
              <w14:schemeClr w14:val="tx1"/>
            </w14:solidFill>
          </w14:textFill>
        </w:rPr>
        <w:t>2.根据投标文件规定的时间，投标人应将样品送达指定地点。</w:t>
      </w:r>
    </w:p>
    <w:p>
      <w:pPr>
        <w:pStyle w:val="6"/>
        <w:spacing w:line="360" w:lineRule="auto"/>
        <w:ind w:firstLine="0"/>
        <w:rPr>
          <w:sz w:val="24"/>
          <w:szCs w:val="24"/>
        </w:rPr>
      </w:pPr>
      <w:r>
        <w:rPr>
          <w:rFonts w:hint="eastAsia" w:asciiTheme="minorEastAsia" w:hAnsiTheme="minorEastAsia" w:eastAsiaTheme="minorEastAsia"/>
          <w:bCs/>
          <w:color w:val="000000" w:themeColor="text1"/>
          <w:kern w:val="0"/>
          <w:sz w:val="24"/>
          <w:szCs w:val="24"/>
          <w14:textFill>
            <w14:solidFill>
              <w14:schemeClr w14:val="tx1"/>
            </w14:solidFill>
          </w14:textFill>
        </w:rPr>
        <w:t>3.采购结果公告发布后，中标人的样品由采购人封存，作为履约验收的依据之一。未中标人将样品自行取回。如未中标人未按规定时间内自行取回的，视为同意其样品由采购组织机构处理。</w:t>
      </w:r>
    </w:p>
    <w:p>
      <w:pPr>
        <w:spacing w:line="360" w:lineRule="auto"/>
        <w:rPr>
          <w:rFonts w:hint="eastAsia" w:cs="Times New Roman" w:asciiTheme="minorEastAsia" w:hAnsiTheme="minorEastAsia" w:eastAsiaTheme="minorEastAsia"/>
          <w:bCs/>
          <w:color w:val="000000" w:themeColor="text1"/>
          <w:kern w:val="0"/>
          <w:sz w:val="24"/>
          <w:szCs w:val="24"/>
          <w:lang w:val="en-US" w:eastAsia="zh-CN" w:bidi="ar-SA"/>
          <w14:textFill>
            <w14:solidFill>
              <w14:schemeClr w14:val="tx1"/>
            </w14:solidFill>
          </w14:textFill>
        </w:rPr>
      </w:pPr>
      <w:r>
        <w:rPr>
          <w:rFonts w:hint="eastAsia" w:cs="Times New Roman" w:asciiTheme="minorEastAsia" w:hAnsiTheme="minorEastAsia" w:eastAsiaTheme="minorEastAsia"/>
          <w:bCs/>
          <w:color w:val="000000" w:themeColor="text1"/>
          <w:kern w:val="0"/>
          <w:sz w:val="24"/>
          <w:szCs w:val="24"/>
          <w:lang w:val="en-US" w:eastAsia="zh-CN" w:bidi="ar-SA"/>
          <w14:textFill>
            <w14:solidFill>
              <w14:schemeClr w14:val="tx1"/>
            </w14:solidFill>
          </w14:textFill>
        </w:rPr>
        <w:t>三、商务需求</w:t>
      </w:r>
    </w:p>
    <w:p>
      <w:pPr>
        <w:pStyle w:val="12"/>
        <w:snapToGrid w:val="0"/>
        <w:spacing w:line="360" w:lineRule="auto"/>
        <w:rPr>
          <w:rFonts w:hint="eastAsia" w:cs="Times New Roman" w:asciiTheme="minorEastAsia" w:hAnsiTheme="minorEastAsia" w:eastAsiaTheme="minorEastAsia"/>
          <w:bCs/>
          <w:color w:val="000000" w:themeColor="text1"/>
          <w:kern w:val="0"/>
          <w:sz w:val="24"/>
          <w:szCs w:val="24"/>
          <w:lang w:val="en-US" w:eastAsia="zh-CN" w:bidi="ar-SA"/>
          <w14:textFill>
            <w14:solidFill>
              <w14:schemeClr w14:val="tx1"/>
            </w14:solidFill>
          </w14:textFill>
        </w:rPr>
      </w:pPr>
      <w:r>
        <w:rPr>
          <w:rFonts w:hint="eastAsia" w:cs="Times New Roman" w:asciiTheme="minorEastAsia" w:hAnsiTheme="minorEastAsia" w:eastAsiaTheme="minorEastAsia"/>
          <w:bCs/>
          <w:color w:val="000000" w:themeColor="text1"/>
          <w:kern w:val="0"/>
          <w:sz w:val="24"/>
          <w:szCs w:val="24"/>
          <w:lang w:val="en-US" w:eastAsia="zh-CN" w:bidi="ar-SA"/>
          <w14:textFill>
            <w14:solidFill>
              <w14:schemeClr w14:val="tx1"/>
            </w14:solidFill>
          </w14:textFill>
        </w:rPr>
        <w:t>（一）质保期：免费质保期至少5年（产品技术需求栏中有特别注明的除外）</w:t>
      </w:r>
    </w:p>
    <w:p>
      <w:pPr>
        <w:pStyle w:val="12"/>
        <w:snapToGrid w:val="0"/>
        <w:spacing w:line="360" w:lineRule="auto"/>
        <w:rPr>
          <w:rFonts w:hint="eastAsia" w:cs="Times New Roman" w:asciiTheme="minorEastAsia" w:hAnsiTheme="minorEastAsia" w:eastAsiaTheme="minorEastAsia"/>
          <w:bCs/>
          <w:color w:val="000000" w:themeColor="text1"/>
          <w:kern w:val="0"/>
          <w:sz w:val="24"/>
          <w:szCs w:val="24"/>
          <w:lang w:val="en-US" w:eastAsia="zh-CN" w:bidi="ar-SA"/>
          <w14:textFill>
            <w14:solidFill>
              <w14:schemeClr w14:val="tx1"/>
            </w14:solidFill>
          </w14:textFill>
        </w:rPr>
      </w:pPr>
      <w:r>
        <w:rPr>
          <w:rFonts w:hint="eastAsia" w:cs="Times New Roman" w:asciiTheme="minorEastAsia" w:hAnsiTheme="minorEastAsia" w:eastAsiaTheme="minorEastAsia"/>
          <w:bCs/>
          <w:color w:val="000000" w:themeColor="text1"/>
          <w:kern w:val="0"/>
          <w:sz w:val="24"/>
          <w:szCs w:val="24"/>
          <w:lang w:val="en-US" w:eastAsia="zh-CN" w:bidi="ar-SA"/>
          <w14:textFill>
            <w14:solidFill>
              <w14:schemeClr w14:val="tx1"/>
            </w14:solidFill>
          </w14:textFill>
        </w:rPr>
        <w:t>（二）交货时间：自签订合同之日起70个工作日内供货、安装调试完毕。</w:t>
      </w:r>
    </w:p>
    <w:p>
      <w:pPr>
        <w:pStyle w:val="12"/>
        <w:snapToGrid w:val="0"/>
        <w:spacing w:line="360" w:lineRule="auto"/>
        <w:ind w:firstLine="720" w:firstLineChars="300"/>
        <w:rPr>
          <w:rFonts w:hint="eastAsia" w:cs="Times New Roman" w:asciiTheme="minorEastAsia" w:hAnsiTheme="minorEastAsia" w:eastAsiaTheme="minorEastAsia"/>
          <w:bCs/>
          <w:color w:val="000000" w:themeColor="text1"/>
          <w:kern w:val="0"/>
          <w:sz w:val="24"/>
          <w:szCs w:val="24"/>
          <w:lang w:val="en-US" w:eastAsia="zh-CN" w:bidi="ar-SA"/>
          <w14:textFill>
            <w14:solidFill>
              <w14:schemeClr w14:val="tx1"/>
            </w14:solidFill>
          </w14:textFill>
        </w:rPr>
      </w:pPr>
      <w:r>
        <w:rPr>
          <w:rFonts w:hint="eastAsia" w:cs="Times New Roman" w:asciiTheme="minorEastAsia" w:hAnsiTheme="minorEastAsia" w:eastAsiaTheme="minorEastAsia"/>
          <w:bCs/>
          <w:color w:val="000000" w:themeColor="text1"/>
          <w:kern w:val="0"/>
          <w:sz w:val="24"/>
          <w:szCs w:val="24"/>
          <w:lang w:val="en-US" w:eastAsia="zh-CN" w:bidi="ar-SA"/>
          <w14:textFill>
            <w14:solidFill>
              <w14:schemeClr w14:val="tx1"/>
            </w14:solidFill>
          </w14:textFill>
        </w:rPr>
        <w:t>交货地点：</w:t>
      </w:r>
      <w:r>
        <w:rPr>
          <w:rFonts w:hint="eastAsia" w:ascii="宋体" w:hAnsi="宋体" w:cs="宋体"/>
          <w:sz w:val="24"/>
          <w:szCs w:val="24"/>
          <w:lang w:val="en-US" w:eastAsia="zh-CN"/>
        </w:rPr>
        <w:t>台州市永宁中学</w:t>
      </w:r>
    </w:p>
    <w:p>
      <w:pPr>
        <w:pStyle w:val="7"/>
        <w:numPr>
          <w:ilvl w:val="0"/>
          <w:numId w:val="0"/>
        </w:numPr>
        <w:spacing w:line="360" w:lineRule="auto"/>
        <w:ind w:left="720" w:leftChars="0" w:hanging="720" w:hangingChars="300"/>
        <w:rPr>
          <w:rFonts w:hint="eastAsia" w:eastAsia="宋体" w:cs="Times New Roman" w:asciiTheme="minorEastAsia" w:hAnsiTheme="minorEastAsia"/>
          <w:bCs/>
          <w:color w:val="000000" w:themeColor="text1"/>
          <w:kern w:val="0"/>
          <w:sz w:val="24"/>
          <w:szCs w:val="24"/>
          <w:lang w:val="en-US" w:eastAsia="zh-CN" w:bidi="ar-SA"/>
          <w14:textFill>
            <w14:solidFill>
              <w14:schemeClr w14:val="tx1"/>
            </w14:solidFill>
          </w14:textFill>
        </w:rPr>
      </w:pPr>
      <w:r>
        <w:rPr>
          <w:rFonts w:hint="eastAsia" w:cs="Times New Roman" w:asciiTheme="minorEastAsia" w:hAnsiTheme="minorEastAsia" w:eastAsiaTheme="minorEastAsia"/>
          <w:bCs/>
          <w:color w:val="000000" w:themeColor="text1"/>
          <w:kern w:val="0"/>
          <w:sz w:val="24"/>
          <w:szCs w:val="24"/>
          <w:lang w:val="en-US" w:eastAsia="zh-CN" w:bidi="ar-SA"/>
          <w14:textFill>
            <w14:solidFill>
              <w14:schemeClr w14:val="tx1"/>
            </w14:solidFill>
          </w14:textFill>
        </w:rPr>
        <w:t>（三）付款条件：在签订合同后14天内采购人预付采购合同总款项的35%。货到验收合格后，</w:t>
      </w:r>
      <w:r>
        <w:rPr>
          <w:rFonts w:hint="eastAsia" w:hAnsi="宋体" w:cs="宋体"/>
          <w:sz w:val="24"/>
          <w:szCs w:val="24"/>
        </w:rPr>
        <w:t>支付合同</w:t>
      </w:r>
      <w:r>
        <w:rPr>
          <w:rFonts w:hint="eastAsia" w:hAnsi="宋体" w:cs="宋体"/>
          <w:sz w:val="24"/>
          <w:szCs w:val="24"/>
          <w:lang w:eastAsia="zh-CN"/>
        </w:rPr>
        <w:t>总</w:t>
      </w:r>
      <w:r>
        <w:rPr>
          <w:rFonts w:hint="eastAsia" w:hAnsi="宋体" w:cs="宋体"/>
          <w:sz w:val="24"/>
          <w:szCs w:val="24"/>
        </w:rPr>
        <w:t>款项的</w:t>
      </w:r>
      <w:r>
        <w:rPr>
          <w:rFonts w:hint="eastAsia" w:hAnsi="宋体" w:cs="宋体"/>
          <w:sz w:val="24"/>
          <w:szCs w:val="24"/>
          <w:lang w:val="en-US" w:eastAsia="zh-CN"/>
        </w:rPr>
        <w:t>65</w:t>
      </w:r>
      <w:r>
        <w:rPr>
          <w:rFonts w:hint="eastAsia" w:hAnsi="宋体" w:cs="宋体"/>
          <w:sz w:val="24"/>
          <w:szCs w:val="24"/>
        </w:rPr>
        <w:t>％</w:t>
      </w:r>
      <w:r>
        <w:rPr>
          <w:rFonts w:hint="eastAsia" w:hAnsi="宋体" w:cs="宋体"/>
          <w:sz w:val="24"/>
          <w:szCs w:val="24"/>
          <w:lang w:eastAsia="zh-CN"/>
        </w:rPr>
        <w:t>。</w:t>
      </w:r>
    </w:p>
    <w:p>
      <w:pPr>
        <w:pStyle w:val="2"/>
        <w:numPr>
          <w:ilvl w:val="0"/>
          <w:numId w:val="0"/>
        </w:numPr>
        <w:ind w:left="720" w:right="25" w:rightChars="0" w:hanging="720" w:hangingChars="300"/>
        <w:rPr>
          <w:rFonts w:hint="eastAsia" w:ascii="宋体" w:hAnsi="宋体" w:eastAsia="宋体" w:cs="宋体"/>
          <w:b w:val="0"/>
          <w:sz w:val="24"/>
          <w:szCs w:val="24"/>
          <w:u w:val="none"/>
          <w:lang w:val="en-US" w:eastAsia="zh-CN" w:bidi="ar-SA"/>
        </w:rPr>
      </w:pPr>
      <w:r>
        <w:rPr>
          <w:rFonts w:hint="eastAsia" w:cs="宋体"/>
          <w:b w:val="0"/>
          <w:sz w:val="24"/>
          <w:szCs w:val="24"/>
          <w:u w:val="none"/>
          <w:lang w:val="en-US" w:eastAsia="zh-CN" w:bidi="ar-SA"/>
        </w:rPr>
        <w:t>（四）</w:t>
      </w:r>
      <w:r>
        <w:rPr>
          <w:rFonts w:hint="eastAsia" w:ascii="宋体" w:hAnsi="宋体" w:eastAsia="宋体" w:cs="宋体"/>
          <w:b w:val="0"/>
          <w:sz w:val="24"/>
          <w:szCs w:val="24"/>
          <w:u w:val="none"/>
          <w:lang w:val="en-US" w:eastAsia="zh-CN" w:bidi="ar-SA"/>
        </w:rPr>
        <w:t>履约保证金：签订合同前支付合同总价款的</w:t>
      </w:r>
      <w:r>
        <w:rPr>
          <w:rFonts w:hint="eastAsia" w:cs="宋体"/>
          <w:b w:val="0"/>
          <w:color w:val="000000" w:themeColor="text1"/>
          <w:sz w:val="24"/>
          <w:szCs w:val="24"/>
          <w:u w:val="none"/>
          <w:lang w:val="en-US" w:eastAsia="zh-CN" w:bidi="ar-SA"/>
          <w14:textFill>
            <w14:solidFill>
              <w14:schemeClr w14:val="tx1"/>
            </w14:solidFill>
          </w14:textFill>
        </w:rPr>
        <w:t>1</w:t>
      </w:r>
      <w:r>
        <w:rPr>
          <w:rFonts w:hint="eastAsia" w:ascii="宋体" w:hAnsi="宋体" w:eastAsia="宋体" w:cs="宋体"/>
          <w:b w:val="0"/>
          <w:color w:val="000000" w:themeColor="text1"/>
          <w:sz w:val="24"/>
          <w:szCs w:val="24"/>
          <w:u w:val="none"/>
          <w:lang w:val="en-US" w:eastAsia="zh-CN" w:bidi="ar-SA"/>
          <w14:textFill>
            <w14:solidFill>
              <w14:schemeClr w14:val="tx1"/>
            </w14:solidFill>
          </w14:textFill>
        </w:rPr>
        <w:t>%作</w:t>
      </w:r>
      <w:r>
        <w:rPr>
          <w:rFonts w:hint="eastAsia" w:ascii="宋体" w:hAnsi="宋体" w:eastAsia="宋体" w:cs="宋体"/>
          <w:b w:val="0"/>
          <w:sz w:val="24"/>
          <w:szCs w:val="24"/>
          <w:u w:val="none"/>
          <w:lang w:val="en-US" w:eastAsia="zh-CN" w:bidi="ar-SA"/>
        </w:rPr>
        <w:t>为履约保证金，在验收合格后退还。</w:t>
      </w:r>
      <w:r>
        <w:rPr>
          <w:rFonts w:hint="eastAsia" w:ascii="宋体" w:hAnsi="宋体" w:cs="宋体"/>
          <w:sz w:val="24"/>
          <w:szCs w:val="24"/>
        </w:rPr>
        <w:t>允许保函形式提交</w:t>
      </w:r>
      <w:r>
        <w:rPr>
          <w:rFonts w:hint="eastAsia" w:cs="宋体"/>
          <w:sz w:val="24"/>
          <w:szCs w:val="24"/>
          <w:lang w:eastAsia="zh-CN"/>
        </w:rPr>
        <w:t>。</w:t>
      </w:r>
    </w:p>
    <w:p>
      <w:pPr>
        <w:pStyle w:val="2"/>
        <w:rPr>
          <w:rFonts w:hint="eastAsia"/>
          <w:sz w:val="24"/>
          <w:szCs w:val="24"/>
        </w:rPr>
      </w:pPr>
    </w:p>
    <w:p>
      <w:pPr>
        <w:spacing w:line="360" w:lineRule="auto"/>
        <w:ind w:firstLine="720" w:firstLineChars="300"/>
        <w:jc w:val="left"/>
        <w:rPr>
          <w:rFonts w:hint="eastAsia" w:ascii="宋体" w:hAnsi="宋体" w:cs="宋体"/>
          <w:bCs/>
          <w:sz w:val="24"/>
          <w:szCs w:val="24"/>
        </w:rPr>
      </w:pPr>
      <w:r>
        <w:rPr>
          <w:rFonts w:hint="eastAsia" w:ascii="宋体" w:hAnsi="宋体" w:cs="宋体"/>
          <w:bCs/>
          <w:sz w:val="24"/>
          <w:szCs w:val="24"/>
        </w:rPr>
        <w:t xml:space="preserve">   </w:t>
      </w:r>
    </w:p>
    <w:p>
      <w:pPr>
        <w:pStyle w:val="20"/>
        <w:rPr>
          <w:rFonts w:hint="eastAsia" w:ascii="宋体" w:hAnsi="宋体" w:cs="宋体"/>
          <w:bCs/>
          <w:sz w:val="24"/>
          <w:szCs w:val="24"/>
        </w:rPr>
      </w:pPr>
    </w:p>
    <w:p>
      <w:pPr>
        <w:rPr>
          <w:rFonts w:hint="eastAsia" w:ascii="宋体" w:hAnsi="宋体" w:cs="宋体"/>
          <w:bCs/>
          <w:sz w:val="24"/>
          <w:szCs w:val="24"/>
        </w:rPr>
      </w:pPr>
    </w:p>
    <w:p>
      <w:pPr>
        <w:pStyle w:val="2"/>
        <w:rPr>
          <w:rFonts w:hint="eastAsia" w:ascii="宋体" w:hAnsi="宋体" w:cs="宋体"/>
          <w:bCs/>
          <w:sz w:val="24"/>
          <w:szCs w:val="24"/>
        </w:rPr>
      </w:pPr>
    </w:p>
    <w:p>
      <w:pPr>
        <w:rPr>
          <w:rFonts w:hint="eastAsia" w:ascii="宋体" w:hAnsi="宋体" w:cs="宋体"/>
          <w:bCs/>
          <w:sz w:val="24"/>
          <w:szCs w:val="24"/>
        </w:rPr>
      </w:pPr>
    </w:p>
    <w:p>
      <w:pPr>
        <w:pStyle w:val="2"/>
        <w:rPr>
          <w:rFonts w:hint="eastAsia" w:ascii="宋体" w:hAnsi="宋体" w:cs="宋体"/>
          <w:bCs/>
          <w:sz w:val="24"/>
          <w:szCs w:val="24"/>
        </w:rPr>
      </w:pPr>
    </w:p>
    <w:p>
      <w:pPr>
        <w:rPr>
          <w:rFonts w:hint="eastAsia" w:ascii="宋体" w:hAnsi="宋体" w:cs="宋体"/>
          <w:bCs/>
          <w:sz w:val="24"/>
        </w:rPr>
      </w:pPr>
    </w:p>
    <w:p>
      <w:pPr>
        <w:pStyle w:val="2"/>
        <w:rPr>
          <w:rFonts w:hint="eastAsia" w:ascii="宋体" w:hAnsi="宋体" w:cs="宋体"/>
          <w:bCs/>
          <w:sz w:val="24"/>
        </w:rPr>
      </w:pPr>
    </w:p>
    <w:p>
      <w:pPr>
        <w:rPr>
          <w:rFonts w:hint="eastAsia" w:ascii="宋体" w:hAnsi="宋体" w:cs="宋体"/>
          <w:bCs/>
          <w:sz w:val="24"/>
        </w:rPr>
      </w:pPr>
    </w:p>
    <w:p>
      <w:pPr>
        <w:pStyle w:val="2"/>
        <w:rPr>
          <w:rFonts w:hint="eastAsia" w:ascii="宋体" w:hAnsi="宋体" w:cs="宋体"/>
          <w:bCs/>
          <w:sz w:val="24"/>
        </w:rPr>
      </w:pPr>
    </w:p>
    <w:p>
      <w:pPr>
        <w:rPr>
          <w:rFonts w:hint="eastAsia" w:ascii="宋体" w:hAnsi="宋体" w:cs="宋体"/>
          <w:bCs/>
          <w:sz w:val="24"/>
        </w:rPr>
      </w:pPr>
    </w:p>
    <w:p>
      <w:pPr>
        <w:pStyle w:val="2"/>
        <w:rPr>
          <w:rFonts w:hint="eastAsia" w:ascii="宋体" w:hAnsi="宋体" w:cs="宋体"/>
          <w:bCs/>
          <w:sz w:val="24"/>
        </w:rPr>
      </w:pPr>
    </w:p>
    <w:p>
      <w:pPr>
        <w:rPr>
          <w:rFonts w:hint="eastAsia" w:ascii="宋体" w:hAnsi="宋体" w:cs="宋体"/>
          <w:bCs/>
          <w:sz w:val="24"/>
        </w:rPr>
      </w:pPr>
    </w:p>
    <w:p>
      <w:pPr>
        <w:pStyle w:val="2"/>
        <w:rPr>
          <w:rFonts w:hint="eastAsia" w:ascii="宋体" w:hAnsi="宋体" w:cs="宋体"/>
          <w:bCs/>
          <w:sz w:val="24"/>
        </w:rPr>
      </w:pPr>
    </w:p>
    <w:p>
      <w:pPr>
        <w:rPr>
          <w:rFonts w:hint="eastAsia" w:ascii="宋体" w:hAnsi="宋体" w:cs="宋体"/>
          <w:bCs/>
          <w:sz w:val="24"/>
        </w:rPr>
      </w:pPr>
    </w:p>
    <w:p>
      <w:pPr>
        <w:pStyle w:val="2"/>
        <w:rPr>
          <w:rFonts w:hint="eastAsia" w:ascii="宋体" w:hAnsi="宋体" w:cs="宋体"/>
          <w:bCs/>
          <w:sz w:val="24"/>
        </w:rPr>
      </w:pPr>
    </w:p>
    <w:p>
      <w:pPr>
        <w:rPr>
          <w:rFonts w:hint="eastAsia" w:ascii="宋体" w:hAnsi="宋体" w:cs="宋体"/>
          <w:bCs/>
          <w:sz w:val="24"/>
        </w:rPr>
      </w:pPr>
    </w:p>
    <w:p>
      <w:pPr>
        <w:pStyle w:val="2"/>
        <w:rPr>
          <w:rFonts w:hint="eastAsia" w:ascii="宋体" w:hAnsi="宋体" w:cs="宋体"/>
          <w:bCs/>
          <w:sz w:val="24"/>
        </w:rPr>
      </w:pPr>
    </w:p>
    <w:p>
      <w:pPr>
        <w:rPr>
          <w:rFonts w:hint="eastAsia" w:ascii="宋体" w:hAnsi="宋体" w:cs="宋体"/>
          <w:bCs/>
          <w:sz w:val="24"/>
        </w:rPr>
      </w:pPr>
    </w:p>
    <w:p>
      <w:pPr>
        <w:pStyle w:val="2"/>
        <w:rPr>
          <w:rFonts w:hint="eastAsia"/>
        </w:rPr>
      </w:pPr>
    </w:p>
    <w:p>
      <w:pPr>
        <w:pStyle w:val="20"/>
        <w:ind w:left="0" w:leftChars="0" w:firstLine="0" w:firstLineChars="0"/>
        <w:rPr>
          <w:rFonts w:hint="eastAsia" w:ascii="宋体" w:hAnsi="宋体" w:cs="宋体"/>
          <w:bCs/>
          <w:sz w:val="24"/>
        </w:rPr>
      </w:pPr>
    </w:p>
    <w:p>
      <w:pPr>
        <w:rPr>
          <w:rFonts w:hint="eastAsia" w:ascii="宋体" w:hAnsi="宋体" w:cs="宋体"/>
          <w:bCs/>
          <w:sz w:val="24"/>
        </w:rPr>
      </w:pPr>
    </w:p>
    <w:p>
      <w:pPr>
        <w:pStyle w:val="2"/>
        <w:rPr>
          <w:rFonts w:hint="eastAsia"/>
        </w:rPr>
      </w:pPr>
    </w:p>
    <w:p>
      <w:pPr>
        <w:pStyle w:val="12"/>
        <w:tabs>
          <w:tab w:val="left" w:pos="630"/>
        </w:tabs>
        <w:snapToGrid w:val="0"/>
        <w:spacing w:line="360" w:lineRule="auto"/>
        <w:jc w:val="center"/>
        <w:rPr>
          <w:rFonts w:hint="eastAsia" w:cs="Times New Roman" w:asciiTheme="minorEastAsia" w:hAnsiTheme="minorEastAsia" w:eastAsiaTheme="minorEastAsia"/>
          <w:b/>
          <w:sz w:val="36"/>
          <w:szCs w:val="36"/>
        </w:rPr>
      </w:pPr>
    </w:p>
    <w:p>
      <w:pPr>
        <w:pStyle w:val="12"/>
        <w:tabs>
          <w:tab w:val="left" w:pos="630"/>
        </w:tabs>
        <w:snapToGrid w:val="0"/>
        <w:spacing w:line="360" w:lineRule="auto"/>
        <w:jc w:val="center"/>
        <w:rPr>
          <w:rFonts w:hint="eastAsia" w:cs="Times New Roman" w:asciiTheme="minorEastAsia" w:hAnsiTheme="minorEastAsia" w:eastAsiaTheme="minorEastAsia"/>
          <w:b/>
          <w:sz w:val="36"/>
          <w:szCs w:val="36"/>
        </w:rPr>
      </w:pPr>
    </w:p>
    <w:p>
      <w:pPr>
        <w:pStyle w:val="12"/>
        <w:tabs>
          <w:tab w:val="left" w:pos="630"/>
        </w:tabs>
        <w:snapToGrid w:val="0"/>
        <w:spacing w:line="360" w:lineRule="auto"/>
        <w:jc w:val="center"/>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szCs w:val="24"/>
        </w:rPr>
      </w:pPr>
      <w:r>
        <w:rPr>
          <w:rFonts w:hint="eastAsia" w:ascii="宋体" w:hAnsi="宋体" w:cs="宋体"/>
          <w:sz w:val="24"/>
          <w:szCs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szCs w:val="24"/>
        </w:rPr>
      </w:pPr>
      <w:r>
        <w:rPr>
          <w:rFonts w:hint="eastAsia" w:ascii="宋体" w:hAnsi="宋体" w:cs="宋体"/>
          <w:sz w:val="24"/>
          <w:szCs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二、评标方法</w:t>
      </w:r>
    </w:p>
    <w:p>
      <w:pPr>
        <w:spacing w:line="360" w:lineRule="auto"/>
        <w:ind w:firstLine="480" w:firstLineChars="200"/>
        <w:rPr>
          <w:sz w:val="24"/>
          <w:szCs w:val="24"/>
        </w:rPr>
      </w:pPr>
      <w:r>
        <w:rPr>
          <w:rFonts w:hint="eastAsia" w:ascii="宋体" w:hAnsi="宋体" w:cs="宋体"/>
          <w:sz w:val="24"/>
          <w:szCs w:val="24"/>
        </w:rPr>
        <w:t>综合评分法，是指投标文件满足招标文件全部实质性要求，且按照评审因素的量化指标评审得分最高的投标人为中标候选人的评标方法。</w:t>
      </w:r>
    </w:p>
    <w:p>
      <w:pPr>
        <w:pStyle w:val="20"/>
        <w:spacing w:after="0"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三、评标委员会</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1.参加采购活动前3年内与供应商存在劳动关系；</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2.参加采购活动前3年内担任供应商的董事、监事；</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3.参加采购活动前3年内是供应商的控股股东或者实际控制人；</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4.与供应商的法定代表人或者负责人有夫妻、直系血亲、三代以内旁系血亲或者近姻亲关系；</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5.与供应商有其他可能影响政府采购活动公平、公正进行的关系；</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6.法律法规规定的其他情形。</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（三）评标委员会负责具体评标事务，并独立履行下列职责：</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1.审查、评价投标文件是否符合招标文件的商务、技术等实质性要求；</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2.要求投标人对投标文件有关事项作出澄清或者说明；</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3.对投标文件进行比较和评价；</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4.确定中标候选人名单，以及根据采购人委托直接确定中标人；</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5.向采购人、采购组织机构或者有关部门报告评标中发现的违法行为；</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6.法律法规规定的其他职责。</w:t>
      </w:r>
    </w:p>
    <w:p>
      <w:pPr>
        <w:pStyle w:val="19"/>
        <w:spacing w:before="0" w:beforeAutospacing="0" w:after="0" w:afterAutospacing="0" w:line="360" w:lineRule="auto"/>
        <w:ind w:firstLine="482" w:firstLineChars="200"/>
        <w:jc w:val="both"/>
        <w:rPr>
          <w:rFonts w:hint="default" w:asciiTheme="minorEastAsia" w:hAnsiTheme="minorEastAsia" w:eastAsiaTheme="minorEastAsia"/>
          <w:b/>
          <w:sz w:val="24"/>
          <w:szCs w:val="24"/>
        </w:rPr>
      </w:pPr>
      <w:r>
        <w:rPr>
          <w:rFonts w:asciiTheme="minorEastAsia" w:hAnsiTheme="minorEastAsia" w:eastAsiaTheme="minorEastAsia"/>
          <w:b/>
          <w:sz w:val="24"/>
          <w:szCs w:val="24"/>
        </w:rPr>
        <w:t>四、无效标情形</w:t>
      </w:r>
    </w:p>
    <w:p>
      <w:pPr>
        <w:adjustRightInd w:val="0"/>
        <w:snapToGrid w:val="0"/>
        <w:spacing w:line="360" w:lineRule="auto"/>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kern w:val="0"/>
          <w:sz w:val="24"/>
          <w:szCs w:val="24"/>
        </w:rPr>
        <w:t>（一）在资格证明文件或商务与技术文件中出现投标报价的，或者报价文件中报价的货物跟商务与技术文件中的投标货物出现重大偏差的；</w:t>
      </w:r>
    </w:p>
    <w:p>
      <w:pPr>
        <w:pStyle w:val="19"/>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sz w:val="24"/>
          <w:szCs w:val="24"/>
        </w:rPr>
      </w:pPr>
      <w:r>
        <w:rPr>
          <w:rFonts w:asciiTheme="minorEastAsia" w:hAnsiTheme="minorEastAsia" w:eastAsiaTheme="minorEastAsia"/>
          <w:sz w:val="24"/>
          <w:szCs w:val="24"/>
        </w:rPr>
        <w:t>（二）不具备招标文件中规定的资格要求的；</w:t>
      </w:r>
      <w:r>
        <w:rPr>
          <w:rFonts w:hint="default" w:asciiTheme="minorEastAsia" w:hAnsiTheme="minorEastAsia" w:eastAsiaTheme="minorEastAsia"/>
          <w:sz w:val="24"/>
          <w:szCs w:val="24"/>
        </w:rPr>
        <w:tab/>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sz w:val="24"/>
          <w:szCs w:val="24"/>
        </w:rPr>
      </w:pPr>
      <w:r>
        <w:rPr>
          <w:rFonts w:asciiTheme="minorEastAsia" w:hAnsiTheme="minorEastAsia" w:eastAsiaTheme="minorEastAsia"/>
          <w:sz w:val="24"/>
          <w:szCs w:val="24"/>
        </w:rPr>
        <w:t>（三）投标文件含有采购人不能接受的附加条件的；</w:t>
      </w:r>
    </w:p>
    <w:p>
      <w:pPr>
        <w:pStyle w:val="7"/>
        <w:spacing w:line="360" w:lineRule="auto"/>
        <w:ind w:firstLine="480" w:firstLineChars="200"/>
        <w:jc w:val="both"/>
        <w:rPr>
          <w:rFonts w:asciiTheme="minorEastAsia" w:hAnsiTheme="minorEastAsia" w:eastAsiaTheme="minorEastAsia"/>
          <w:bCs/>
          <w:kern w:val="0"/>
          <w:sz w:val="24"/>
          <w:szCs w:val="24"/>
        </w:rPr>
      </w:pPr>
      <w:r>
        <w:rPr>
          <w:rFonts w:hint="eastAsia" w:asciiTheme="minorEastAsia" w:hAnsiTheme="minorEastAsia" w:eastAsiaTheme="minorEastAsia"/>
          <w:kern w:val="0"/>
          <w:sz w:val="24"/>
          <w:szCs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sz w:val="24"/>
          <w:szCs w:val="24"/>
        </w:rPr>
      </w:pPr>
      <w:r>
        <w:rPr>
          <w:rFonts w:asciiTheme="minorEastAsia" w:hAnsiTheme="minorEastAsia" w:eastAsiaTheme="minorEastAsia"/>
          <w:sz w:val="24"/>
          <w:szCs w:val="24"/>
        </w:rPr>
        <w:t xml:space="preserve">（五）报价超过招标文件中规定的预算金额/最高限价或未填写投标报价的； </w:t>
      </w:r>
    </w:p>
    <w:p>
      <w:pPr>
        <w:pStyle w:val="7"/>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（六）主要性能参数指标负偏离</w:t>
      </w:r>
      <w:r>
        <w:rPr>
          <w:rFonts w:hint="eastAsia" w:asciiTheme="minorEastAsia" w:hAnsiTheme="minorEastAsia" w:eastAsiaTheme="minorEastAsia"/>
          <w:kern w:val="0"/>
          <w:sz w:val="24"/>
          <w:szCs w:val="24"/>
          <w:u w:val="single"/>
          <w:lang w:val="en-US" w:eastAsia="zh-CN"/>
        </w:rPr>
        <w:t>8</w:t>
      </w:r>
      <w:r>
        <w:rPr>
          <w:rFonts w:hint="eastAsia" w:asciiTheme="minorEastAsia" w:hAnsiTheme="minorEastAsia" w:eastAsiaTheme="minorEastAsia"/>
          <w:color w:val="0000FF"/>
          <w:kern w:val="0"/>
          <w:sz w:val="24"/>
          <w:szCs w:val="24"/>
          <w:u w:val="single"/>
        </w:rPr>
        <w:t xml:space="preserve"> </w:t>
      </w:r>
      <w:r>
        <w:rPr>
          <w:rFonts w:hint="eastAsia" w:asciiTheme="minorEastAsia" w:hAnsiTheme="minorEastAsia" w:eastAsiaTheme="minorEastAsia"/>
          <w:kern w:val="0"/>
          <w:sz w:val="24"/>
          <w:szCs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（九）有</w:t>
      </w:r>
      <w:r>
        <w:rPr>
          <w:rFonts w:asciiTheme="minorEastAsia" w:hAnsiTheme="minorEastAsia" w:eastAsiaTheme="minorEastAsia"/>
          <w:kern w:val="0"/>
          <w:sz w:val="24"/>
          <w:szCs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szCs w:val="24"/>
        </w:rPr>
        <w:t>，并移送采购监管部门</w:t>
      </w:r>
      <w:r>
        <w:rPr>
          <w:rFonts w:asciiTheme="minorEastAsia" w:hAnsiTheme="minorEastAsia" w:eastAsiaTheme="minorEastAsia"/>
          <w:kern w:val="0"/>
          <w:sz w:val="24"/>
          <w:szCs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不同投标人的投标文件由同一单位或者个人编制；</w:t>
      </w:r>
    </w:p>
    <w:p>
      <w:pPr>
        <w:pStyle w:val="19"/>
        <w:spacing w:before="0" w:beforeAutospacing="0" w:after="0" w:afterAutospacing="0" w:line="360" w:lineRule="auto"/>
        <w:ind w:firstLine="480" w:firstLineChars="200"/>
        <w:jc w:val="both"/>
        <w:rPr>
          <w:rFonts w:hint="default" w:asciiTheme="minorEastAsia" w:hAnsiTheme="minorEastAsia" w:eastAsiaTheme="minorEastAsia"/>
          <w:sz w:val="24"/>
          <w:szCs w:val="24"/>
        </w:rPr>
      </w:pPr>
      <w:r>
        <w:rPr>
          <w:rFonts w:asciiTheme="minorEastAsia" w:hAnsiTheme="minorEastAsia" w:eastAsiaTheme="minorEastAsia"/>
          <w:sz w:val="24"/>
          <w:szCs w:val="24"/>
        </w:rPr>
        <w:t>2.不同投标人委托同一单位或者个人办理投标事宜；</w:t>
      </w:r>
    </w:p>
    <w:p>
      <w:pPr>
        <w:pStyle w:val="19"/>
        <w:spacing w:before="0" w:beforeAutospacing="0" w:after="0" w:afterAutospacing="0" w:line="360" w:lineRule="auto"/>
        <w:ind w:firstLine="480" w:firstLineChars="200"/>
        <w:jc w:val="both"/>
        <w:rPr>
          <w:rFonts w:hint="default" w:asciiTheme="minorEastAsia" w:hAnsiTheme="minorEastAsia" w:eastAsiaTheme="minorEastAsia"/>
          <w:sz w:val="24"/>
          <w:szCs w:val="24"/>
        </w:rPr>
      </w:pPr>
      <w:r>
        <w:rPr>
          <w:rFonts w:asciiTheme="minorEastAsia" w:hAnsiTheme="minorEastAsia" w:eastAsiaTheme="minorEastAsia"/>
          <w:sz w:val="24"/>
          <w:szCs w:val="24"/>
        </w:rPr>
        <w:t>3.不同投标人的投标文件载明的项目管理成员或者联系人员为同一人；</w:t>
      </w:r>
    </w:p>
    <w:p>
      <w:pPr>
        <w:pStyle w:val="19"/>
        <w:spacing w:before="0" w:beforeAutospacing="0" w:after="0" w:afterAutospacing="0" w:line="360" w:lineRule="auto"/>
        <w:ind w:firstLine="480" w:firstLineChars="200"/>
        <w:jc w:val="both"/>
        <w:rPr>
          <w:rFonts w:hint="default" w:asciiTheme="minorEastAsia" w:hAnsiTheme="minorEastAsia" w:eastAsiaTheme="minorEastAsia"/>
          <w:sz w:val="24"/>
          <w:szCs w:val="24"/>
        </w:rPr>
      </w:pPr>
      <w:r>
        <w:rPr>
          <w:rFonts w:asciiTheme="minorEastAsia" w:hAnsiTheme="minorEastAsia" w:eastAsiaTheme="minorEastAsia"/>
          <w:sz w:val="24"/>
          <w:szCs w:val="24"/>
        </w:rPr>
        <w:t>4.不同投标人的投标文件异常一致或者投标报价呈规律性差异；</w:t>
      </w:r>
    </w:p>
    <w:p>
      <w:pPr>
        <w:pStyle w:val="19"/>
        <w:spacing w:before="0" w:beforeAutospacing="0" w:after="0" w:afterAutospacing="0" w:line="360" w:lineRule="auto"/>
        <w:ind w:firstLine="480" w:firstLineChars="200"/>
        <w:jc w:val="both"/>
        <w:rPr>
          <w:rFonts w:hint="default" w:asciiTheme="minorEastAsia" w:hAnsiTheme="minorEastAsia" w:eastAsiaTheme="minorEastAsia"/>
          <w:sz w:val="24"/>
          <w:szCs w:val="24"/>
        </w:rPr>
      </w:pPr>
      <w:r>
        <w:rPr>
          <w:rFonts w:asciiTheme="minorEastAsia" w:hAnsiTheme="minorEastAsia" w:eastAsiaTheme="minorEastAsia"/>
          <w:sz w:val="24"/>
          <w:szCs w:val="24"/>
        </w:rPr>
        <w:t>5.不同投标人的投标文件相互混装。</w:t>
      </w:r>
    </w:p>
    <w:p>
      <w:pPr>
        <w:pStyle w:val="19"/>
        <w:spacing w:before="0" w:beforeAutospacing="0" w:after="0" w:afterAutospacing="0" w:line="360" w:lineRule="auto"/>
        <w:ind w:firstLine="480" w:firstLineChars="200"/>
        <w:jc w:val="both"/>
        <w:rPr>
          <w:rFonts w:hint="default" w:asciiTheme="minorEastAsia" w:hAnsiTheme="minorEastAsia"/>
          <w:sz w:val="24"/>
          <w:szCs w:val="24"/>
        </w:rPr>
      </w:pPr>
      <w:r>
        <w:rPr>
          <w:rFonts w:asciiTheme="minorEastAsia" w:hAnsiTheme="minorEastAsia" w:eastAsiaTheme="minorEastAsia"/>
          <w:sz w:val="24"/>
          <w:szCs w:val="24"/>
        </w:rPr>
        <w:t>（十）</w:t>
      </w:r>
      <w:r>
        <w:rPr>
          <w:rFonts w:cs="宋体"/>
          <w:sz w:val="24"/>
          <w:szCs w:val="24"/>
        </w:rPr>
        <w:t>实质性要求（招标文件中打“▲”内容）不响应的；</w:t>
      </w:r>
    </w:p>
    <w:p>
      <w:pPr>
        <w:pStyle w:val="6"/>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（十一）商务</w:t>
      </w:r>
      <w:r>
        <w:rPr>
          <w:rFonts w:hint="eastAsia" w:ascii="宋体" w:hAnsi="宋体" w:cs="宋体"/>
          <w:sz w:val="24"/>
          <w:szCs w:val="24"/>
        </w:rPr>
        <w:t>条款不响应的；</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pPr>
        <w:pStyle w:val="6"/>
        <w:spacing w:line="360" w:lineRule="auto"/>
        <w:ind w:firstLine="480" w:firstLineChars="200"/>
        <w:rPr>
          <w:rFonts w:hint="eastAsia" w:ascii="宋体" w:hAnsi="宋体" w:cs="宋体"/>
          <w:sz w:val="24"/>
          <w:szCs w:val="24"/>
        </w:rPr>
      </w:pPr>
      <w:r>
        <w:rPr>
          <w:rFonts w:hint="eastAsia" w:ascii="宋体" w:hAnsi="宋体" w:cs="宋体"/>
          <w:sz w:val="24"/>
          <w:szCs w:val="24"/>
        </w:rPr>
        <w:t>（十三）逾期或未按要求提交投标文件的；</w:t>
      </w:r>
    </w:p>
    <w:p>
      <w:pPr>
        <w:pStyle w:val="6"/>
        <w:spacing w:line="360" w:lineRule="auto"/>
        <w:ind w:firstLine="480" w:firstLineChars="200"/>
        <w:rPr>
          <w:rFonts w:hint="eastAsia" w:ascii="宋体" w:hAnsi="宋体" w:cs="宋体"/>
          <w:sz w:val="24"/>
          <w:szCs w:val="24"/>
        </w:rPr>
      </w:pPr>
      <w:r>
        <w:rPr>
          <w:rFonts w:hint="eastAsia" w:ascii="宋体" w:hAnsi="宋体" w:cs="宋体"/>
          <w:sz w:val="24"/>
          <w:szCs w:val="24"/>
        </w:rPr>
        <w:t>（十</w:t>
      </w:r>
      <w:r>
        <w:rPr>
          <w:rFonts w:hint="eastAsia" w:ascii="宋体" w:hAnsi="宋体" w:cs="宋体"/>
          <w:sz w:val="24"/>
          <w:szCs w:val="24"/>
          <w:lang w:val="en-US" w:eastAsia="zh-CN"/>
        </w:rPr>
        <w:t>四</w:t>
      </w:r>
      <w:r>
        <w:rPr>
          <w:rFonts w:hint="eastAsia" w:ascii="宋体" w:hAnsi="宋体" w:cs="宋体"/>
          <w:sz w:val="24"/>
          <w:szCs w:val="24"/>
          <w:lang w:eastAsia="zh-CN"/>
        </w:rPr>
        <w:t>）未</w:t>
      </w:r>
      <w:r>
        <w:rPr>
          <w:rFonts w:hint="eastAsia" w:ascii="宋体" w:hAnsi="宋体" w:eastAsia="宋体" w:cs="Times New Roman"/>
          <w:color w:val="auto"/>
          <w:kern w:val="0"/>
          <w:sz w:val="24"/>
          <w:szCs w:val="24"/>
          <w:lang w:eastAsia="zh-CN"/>
        </w:rPr>
        <w:t>按要求提供资格证明文件的；</w:t>
      </w:r>
    </w:p>
    <w:p>
      <w:pPr>
        <w:pStyle w:val="6"/>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五</w:t>
      </w:r>
      <w:r>
        <w:rPr>
          <w:rFonts w:hint="eastAsia" w:asciiTheme="minorEastAsia" w:hAnsiTheme="minorEastAsia" w:eastAsiaTheme="minorEastAsia"/>
          <w:kern w:val="0"/>
          <w:sz w:val="24"/>
          <w:szCs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szCs w:val="24"/>
        </w:rPr>
      </w:pPr>
      <w:r>
        <w:rPr>
          <w:rFonts w:hint="eastAsia" w:ascii="宋体" w:hAnsi="宋体" w:cs="宋体"/>
          <w:b/>
          <w:kern w:val="0"/>
          <w:sz w:val="24"/>
          <w:szCs w:val="24"/>
        </w:rPr>
        <w:t>五、废标情形</w:t>
      </w:r>
    </w:p>
    <w:p>
      <w:pPr>
        <w:pStyle w:val="19"/>
        <w:spacing w:before="0" w:beforeAutospacing="0" w:after="0" w:afterAutospacing="0" w:line="360" w:lineRule="auto"/>
        <w:ind w:firstLine="480" w:firstLineChars="200"/>
        <w:jc w:val="both"/>
        <w:rPr>
          <w:rFonts w:hint="default" w:cs="宋体"/>
          <w:sz w:val="24"/>
          <w:szCs w:val="24"/>
        </w:rPr>
      </w:pPr>
      <w:r>
        <w:rPr>
          <w:rFonts w:asciiTheme="minorEastAsia" w:hAnsiTheme="minorEastAsia" w:eastAsiaTheme="minorEastAsia"/>
          <w:sz w:val="24"/>
          <w:szCs w:val="24"/>
        </w:rPr>
        <w:t>（一）</w:t>
      </w:r>
      <w:r>
        <w:rPr>
          <w:rFonts w:cs="宋体"/>
          <w:sz w:val="24"/>
          <w:szCs w:val="24"/>
        </w:rPr>
        <w:t>出现影响采购公正的违法、违规行为的；</w:t>
      </w:r>
    </w:p>
    <w:p>
      <w:pPr>
        <w:pStyle w:val="19"/>
        <w:spacing w:before="0" w:beforeAutospacing="0" w:after="0" w:afterAutospacing="0" w:line="360" w:lineRule="auto"/>
        <w:ind w:firstLine="480" w:firstLineChars="200"/>
        <w:jc w:val="both"/>
        <w:rPr>
          <w:rFonts w:hint="default" w:cs="宋体"/>
          <w:b/>
          <w:bCs/>
          <w:sz w:val="24"/>
          <w:szCs w:val="24"/>
        </w:rPr>
      </w:pPr>
      <w:r>
        <w:rPr>
          <w:rFonts w:asciiTheme="minorEastAsia" w:hAnsiTheme="minorEastAsia" w:eastAsiaTheme="minorEastAsia"/>
          <w:sz w:val="24"/>
          <w:szCs w:val="24"/>
        </w:rPr>
        <w:t>（二）</w:t>
      </w:r>
      <w:r>
        <w:rPr>
          <w:rFonts w:cs="宋体"/>
          <w:sz w:val="24"/>
          <w:szCs w:val="24"/>
        </w:rPr>
        <w:t>评标委员会发现招标文件存在歧义、重大缺陷导致评标工作无法进行，或者招标文件内容违反国家有关强制性规定的；</w:t>
      </w:r>
    </w:p>
    <w:p>
      <w:pPr>
        <w:pStyle w:val="19"/>
        <w:spacing w:before="0" w:beforeAutospacing="0" w:after="0" w:afterAutospacing="0" w:line="360" w:lineRule="auto"/>
        <w:ind w:firstLine="480" w:firstLineChars="200"/>
        <w:jc w:val="both"/>
        <w:rPr>
          <w:rFonts w:hint="default" w:cs="宋体"/>
          <w:sz w:val="24"/>
          <w:szCs w:val="24"/>
        </w:rPr>
      </w:pPr>
      <w:r>
        <w:rPr>
          <w:rFonts w:asciiTheme="minorEastAsia" w:hAnsiTheme="minorEastAsia" w:eastAsiaTheme="minorEastAsia"/>
          <w:sz w:val="24"/>
          <w:szCs w:val="24"/>
        </w:rPr>
        <w:t>（三）</w:t>
      </w:r>
      <w:r>
        <w:rPr>
          <w:rFonts w:cs="宋体"/>
          <w:sz w:val="24"/>
          <w:szCs w:val="24"/>
        </w:rPr>
        <w:t>因重大变故，采购任务取消的；</w:t>
      </w:r>
    </w:p>
    <w:p>
      <w:pPr>
        <w:pStyle w:val="19"/>
        <w:spacing w:before="0" w:beforeAutospacing="0" w:after="0" w:afterAutospacing="0" w:line="360" w:lineRule="auto"/>
        <w:ind w:firstLine="480" w:firstLineChars="200"/>
        <w:jc w:val="both"/>
        <w:rPr>
          <w:rFonts w:hint="default" w:cs="宋体"/>
          <w:sz w:val="24"/>
          <w:szCs w:val="24"/>
        </w:rPr>
      </w:pPr>
      <w:r>
        <w:rPr>
          <w:rFonts w:asciiTheme="minorEastAsia" w:hAnsiTheme="minorEastAsia" w:eastAsiaTheme="minorEastAsia"/>
          <w:sz w:val="24"/>
          <w:szCs w:val="24"/>
        </w:rPr>
        <w:t>（四）</w:t>
      </w:r>
      <w:r>
        <w:rPr>
          <w:rFonts w:cs="宋体"/>
          <w:sz w:val="24"/>
          <w:szCs w:val="24"/>
        </w:rPr>
        <w:t>法律、法规和招标文件规定的其他导致评标结果无效的。</w:t>
      </w:r>
    </w:p>
    <w:p>
      <w:pPr>
        <w:pStyle w:val="12"/>
        <w:snapToGrid w:val="0"/>
        <w:spacing w:line="360" w:lineRule="auto"/>
        <w:ind w:firstLine="482" w:firstLineChars="200"/>
        <w:rPr>
          <w:rFonts w:hAnsi="宋体" w:cs="宋体"/>
          <w:b/>
          <w:sz w:val="24"/>
          <w:szCs w:val="24"/>
        </w:rPr>
      </w:pPr>
      <w:r>
        <w:rPr>
          <w:rFonts w:hint="eastAsia" w:hAnsi="宋体" w:cs="宋体"/>
          <w:b/>
          <w:sz w:val="24"/>
          <w:szCs w:val="24"/>
        </w:rPr>
        <w:t>六、评标过程的监控</w:t>
      </w:r>
    </w:p>
    <w:p>
      <w:pPr>
        <w:pStyle w:val="19"/>
        <w:spacing w:before="0" w:beforeAutospacing="0" w:after="0" w:afterAutospacing="0" w:line="360" w:lineRule="auto"/>
        <w:ind w:firstLine="480" w:firstLineChars="200"/>
        <w:jc w:val="both"/>
        <w:rPr>
          <w:rFonts w:hint="default" w:cs="宋体"/>
          <w:sz w:val="24"/>
          <w:szCs w:val="24"/>
        </w:rPr>
      </w:pPr>
      <w:r>
        <w:rPr>
          <w:rFonts w:cs="宋体"/>
          <w:sz w:val="24"/>
          <w:szCs w:val="24"/>
        </w:rPr>
        <w:t>本项目评标过程实行全程录音、录像监控，政府采购监管部门视情进行现场监督，投标人在评标过程中所进行的试图影响评标结果的不公正活动，可能导致其投标被拒绝。</w:t>
      </w:r>
    </w:p>
    <w:p>
      <w:pPr>
        <w:pStyle w:val="12"/>
        <w:snapToGrid w:val="0"/>
        <w:spacing w:line="360" w:lineRule="auto"/>
        <w:ind w:firstLine="482" w:firstLineChars="200"/>
        <w:rPr>
          <w:rFonts w:hAnsi="宋体" w:cs="宋体"/>
          <w:b/>
          <w:bCs/>
          <w:sz w:val="24"/>
          <w:szCs w:val="24"/>
        </w:rPr>
      </w:pPr>
      <w:r>
        <w:rPr>
          <w:rFonts w:hint="eastAsia" w:hAnsi="宋体" w:cs="宋体"/>
          <w:b/>
          <w:bCs/>
          <w:sz w:val="24"/>
          <w:szCs w:val="24"/>
        </w:rPr>
        <w:t>七、政府采购政策落实</w:t>
      </w:r>
    </w:p>
    <w:p>
      <w:pPr>
        <w:autoSpaceDE w:val="0"/>
        <w:autoSpaceDN w:val="0"/>
        <w:adjustRightInd w:val="0"/>
        <w:spacing w:line="360" w:lineRule="auto"/>
        <w:ind w:firstLine="482" w:firstLineChars="200"/>
        <w:rPr>
          <w:rFonts w:ascii="宋体"/>
          <w:b/>
          <w:bCs/>
          <w:sz w:val="24"/>
          <w:szCs w:val="24"/>
          <w:lang w:val="zh-CN"/>
        </w:rPr>
      </w:pPr>
      <w:r>
        <w:rPr>
          <w:rFonts w:hint="eastAsia" w:ascii="宋体"/>
          <w:b/>
          <w:bCs/>
          <w:sz w:val="24"/>
          <w:szCs w:val="24"/>
        </w:rPr>
        <w:t>（一）</w:t>
      </w:r>
      <w:r>
        <w:rPr>
          <w:rFonts w:hint="eastAsia" w:ascii="宋体"/>
          <w:b/>
          <w:bCs/>
          <w:sz w:val="24"/>
          <w:szCs w:val="24"/>
          <w:lang w:val="zh-CN"/>
        </w:rPr>
        <w:t>政府采购政策</w:t>
      </w:r>
    </w:p>
    <w:p>
      <w:pPr>
        <w:autoSpaceDE w:val="0"/>
        <w:autoSpaceDN w:val="0"/>
        <w:adjustRightInd w:val="0"/>
        <w:spacing w:line="360" w:lineRule="auto"/>
        <w:ind w:firstLine="480" w:firstLineChars="200"/>
        <w:rPr>
          <w:rFonts w:ascii="宋体"/>
          <w:sz w:val="24"/>
          <w:szCs w:val="24"/>
        </w:rPr>
      </w:pPr>
      <w:r>
        <w:rPr>
          <w:rFonts w:hint="eastAsia" w:ascii="宋体"/>
          <w:sz w:val="24"/>
          <w:szCs w:val="24"/>
        </w:rPr>
        <w:t>1.</w:t>
      </w:r>
      <w:r>
        <w:rPr>
          <w:rFonts w:hint="eastAsia" w:ascii="宋体"/>
          <w:sz w:val="24"/>
          <w:szCs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szCs w:val="24"/>
        </w:rPr>
        <w:t>中</w:t>
      </w:r>
      <w:r>
        <w:rPr>
          <w:rFonts w:hint="eastAsia" w:ascii="宋体"/>
          <w:sz w:val="24"/>
          <w:szCs w:val="24"/>
          <w:lang w:val="zh-CN"/>
        </w:rPr>
        <w:t>小企业声明函》（</w:t>
      </w:r>
      <w:r>
        <w:rPr>
          <w:rFonts w:hint="eastAsia" w:ascii="宋体"/>
          <w:sz w:val="24"/>
          <w:szCs w:val="24"/>
        </w:rPr>
        <w:t>见附件16</w:t>
      </w:r>
      <w:r>
        <w:rPr>
          <w:rFonts w:hint="eastAsia" w:ascii="宋体"/>
          <w:sz w:val="24"/>
          <w:szCs w:val="24"/>
          <w:lang w:val="zh-CN"/>
        </w:rPr>
        <w:t>），</w:t>
      </w:r>
      <w:r>
        <w:rPr>
          <w:rFonts w:hint="eastAsia" w:ascii="宋体"/>
          <w:sz w:val="24"/>
          <w:szCs w:val="24"/>
        </w:rPr>
        <w:t>投标人未提供以上资料或者经</w:t>
      </w:r>
      <w:r>
        <w:rPr>
          <w:rFonts w:hint="eastAsia" w:ascii="宋体"/>
          <w:sz w:val="24"/>
          <w:szCs w:val="24"/>
          <w:lang w:val="zh-CN"/>
        </w:rPr>
        <w:t>评标委员会核查不符的</w:t>
      </w:r>
      <w:r>
        <w:rPr>
          <w:rFonts w:hint="eastAsia" w:ascii="宋体"/>
          <w:sz w:val="24"/>
          <w:szCs w:val="24"/>
        </w:rPr>
        <w:t>，将不能享受</w:t>
      </w:r>
      <w:r>
        <w:rPr>
          <w:rFonts w:hint="eastAsia"/>
          <w:sz w:val="24"/>
          <w:szCs w:val="24"/>
        </w:rPr>
        <w:t>相应的</w:t>
      </w:r>
      <w:r>
        <w:rPr>
          <w:rFonts w:hint="eastAsia" w:ascii="宋体"/>
          <w:sz w:val="24"/>
          <w:szCs w:val="24"/>
        </w:rPr>
        <w:t>小微企业优惠政策。</w:t>
      </w:r>
    </w:p>
    <w:p>
      <w:pPr>
        <w:autoSpaceDE w:val="0"/>
        <w:autoSpaceDN w:val="0"/>
        <w:adjustRightInd w:val="0"/>
        <w:spacing w:line="360" w:lineRule="auto"/>
        <w:ind w:firstLine="480" w:firstLineChars="200"/>
        <w:rPr>
          <w:rFonts w:ascii="宋体"/>
          <w:sz w:val="24"/>
          <w:szCs w:val="24"/>
          <w:lang w:val="zh-CN"/>
        </w:rPr>
      </w:pPr>
      <w:r>
        <w:rPr>
          <w:rFonts w:hint="eastAsia" w:ascii="宋体"/>
          <w:sz w:val="24"/>
          <w:szCs w:val="24"/>
        </w:rPr>
        <w:t>2.</w:t>
      </w:r>
      <w:r>
        <w:rPr>
          <w:rFonts w:hint="eastAsia" w:ascii="宋体"/>
          <w:sz w:val="24"/>
          <w:szCs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szCs w:val="24"/>
          <w:lang w:val="zh-CN"/>
        </w:rPr>
      </w:pPr>
      <w:r>
        <w:rPr>
          <w:rFonts w:hint="eastAsia" w:ascii="宋体"/>
          <w:sz w:val="24"/>
          <w:szCs w:val="24"/>
        </w:rPr>
        <w:t>3.</w:t>
      </w:r>
      <w:r>
        <w:rPr>
          <w:rFonts w:hint="eastAsia" w:ascii="宋体"/>
          <w:sz w:val="24"/>
          <w:szCs w:val="24"/>
          <w:lang w:val="zh-CN"/>
        </w:rPr>
        <w:t>残疾人福利性单位在参加政府采购活动时，应提供《残疾人福利性单位声明函》（见附件</w:t>
      </w:r>
      <w:r>
        <w:rPr>
          <w:rFonts w:hint="eastAsia" w:ascii="宋体"/>
          <w:sz w:val="24"/>
          <w:szCs w:val="24"/>
        </w:rPr>
        <w:t>16</w:t>
      </w:r>
      <w:r>
        <w:rPr>
          <w:rFonts w:hint="eastAsia" w:ascii="宋体"/>
          <w:sz w:val="24"/>
          <w:szCs w:val="24"/>
          <w:lang w:val="zh-CN"/>
        </w:rPr>
        <w:t>），视同小型、微型企业，享受小微企业政府采购优惠政策。</w:t>
      </w:r>
    </w:p>
    <w:p>
      <w:pPr>
        <w:pStyle w:val="7"/>
        <w:spacing w:line="360" w:lineRule="auto"/>
        <w:ind w:firstLine="480" w:firstLineChars="200"/>
        <w:jc w:val="both"/>
        <w:rPr>
          <w:rFonts w:ascii="宋体" w:hAnsi="宋体" w:cs="宋体"/>
          <w:sz w:val="24"/>
          <w:szCs w:val="24"/>
        </w:rPr>
      </w:pPr>
      <w:r>
        <w:rPr>
          <w:rFonts w:hint="eastAsia" w:ascii="宋体"/>
          <w:sz w:val="24"/>
          <w:szCs w:val="24"/>
        </w:rPr>
        <w:t>4.</w:t>
      </w:r>
      <w:r>
        <w:rPr>
          <w:rFonts w:hint="eastAsia" w:ascii="宋体" w:hAnsi="宋体" w:cs="宋体"/>
          <w:sz w:val="24"/>
          <w:szCs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pPr>
        <w:pStyle w:val="7"/>
        <w:spacing w:line="360" w:lineRule="auto"/>
        <w:ind w:firstLine="480" w:firstLineChars="200"/>
        <w:jc w:val="both"/>
        <w:rPr>
          <w:rFonts w:ascii="宋体" w:hAnsi="宋体" w:cs="宋体"/>
          <w:sz w:val="24"/>
          <w:szCs w:val="24"/>
        </w:rPr>
      </w:pPr>
      <w:r>
        <w:rPr>
          <w:rFonts w:hint="eastAsia" w:ascii="宋体" w:hAnsi="宋体" w:cs="宋体"/>
          <w:sz w:val="24"/>
          <w:szCs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sz w:val="24"/>
          <w:szCs w:val="24"/>
          <w:lang w:val="zh-CN"/>
        </w:rPr>
      </w:pPr>
      <w:r>
        <w:rPr>
          <w:rFonts w:hint="eastAsia" w:ascii="宋体"/>
          <w:b/>
          <w:bCs/>
          <w:sz w:val="24"/>
          <w:szCs w:val="24"/>
        </w:rPr>
        <w:t>（二）政府采购政策优惠措施</w:t>
      </w:r>
    </w:p>
    <w:p>
      <w:pPr>
        <w:autoSpaceDE w:val="0"/>
        <w:autoSpaceDN w:val="0"/>
        <w:adjustRightInd w:val="0"/>
        <w:spacing w:line="360" w:lineRule="auto"/>
        <w:ind w:firstLine="480" w:firstLineChars="200"/>
        <w:rPr>
          <w:rFonts w:ascii="宋体"/>
          <w:sz w:val="24"/>
          <w:szCs w:val="24"/>
          <w:lang w:val="zh-CN"/>
        </w:rPr>
      </w:pPr>
      <w:r>
        <w:rPr>
          <w:rFonts w:hint="eastAsia" w:ascii="宋体"/>
          <w:color w:val="000000"/>
          <w:sz w:val="24"/>
          <w:szCs w:val="24"/>
          <w:lang w:val="zh-CN"/>
        </w:rPr>
        <w:t>经主管预算单位统筹后未预留份额专门面向中小企业采购的采购项目，以及预留份额项目中的非预留部分：</w:t>
      </w:r>
      <w:r>
        <w:rPr>
          <w:rFonts w:hint="eastAsia" w:ascii="宋体"/>
          <w:color w:val="000000"/>
          <w:sz w:val="24"/>
          <w:szCs w:val="24"/>
        </w:rPr>
        <w:t>对</w:t>
      </w:r>
      <w:r>
        <w:rPr>
          <w:rFonts w:hint="eastAsia" w:ascii="宋体"/>
          <w:color w:val="000000"/>
          <w:sz w:val="24"/>
          <w:szCs w:val="24"/>
          <w:lang w:val="zh-CN"/>
        </w:rPr>
        <w:t>小微企业</w:t>
      </w:r>
      <w:r>
        <w:rPr>
          <w:rFonts w:hint="eastAsia" w:ascii="宋体"/>
          <w:color w:val="000000"/>
          <w:sz w:val="24"/>
          <w:szCs w:val="24"/>
        </w:rPr>
        <w:t>报价</w:t>
      </w:r>
      <w:r>
        <w:rPr>
          <w:rFonts w:hint="eastAsia" w:ascii="宋体"/>
          <w:color w:val="000000"/>
          <w:sz w:val="24"/>
          <w:szCs w:val="24"/>
          <w:lang w:val="zh-CN"/>
        </w:rPr>
        <w:t>给予</w:t>
      </w:r>
      <w:r>
        <w:rPr>
          <w:rFonts w:hint="eastAsia" w:ascii="宋体"/>
          <w:color w:val="000000"/>
          <w:sz w:val="24"/>
          <w:szCs w:val="24"/>
        </w:rPr>
        <w:t>10</w:t>
      </w:r>
      <w:r>
        <w:rPr>
          <w:rFonts w:hint="eastAsia" w:ascii="宋体"/>
          <w:color w:val="000000"/>
          <w:sz w:val="24"/>
          <w:szCs w:val="24"/>
          <w:lang w:val="zh-CN"/>
        </w:rPr>
        <w:t>%-</w:t>
      </w:r>
      <w:r>
        <w:rPr>
          <w:rFonts w:hint="eastAsia" w:ascii="宋体"/>
          <w:color w:val="000000"/>
          <w:sz w:val="24"/>
          <w:szCs w:val="24"/>
        </w:rPr>
        <w:t>20</w:t>
      </w:r>
      <w:r>
        <w:rPr>
          <w:rFonts w:hint="eastAsia" w:ascii="宋体"/>
          <w:color w:val="000000"/>
          <w:sz w:val="24"/>
          <w:szCs w:val="24"/>
          <w:lang w:val="zh-CN"/>
        </w:rPr>
        <w:t>%的扣除，用扣除后的价格计算评标基准价和投标报价。联合体各方均为小微企业的，联合体视同为小微企业，</w:t>
      </w:r>
      <w:r>
        <w:rPr>
          <w:rFonts w:hint="eastAsia" w:ascii="宋体"/>
          <w:color w:val="000000"/>
          <w:sz w:val="24"/>
          <w:szCs w:val="24"/>
        </w:rPr>
        <w:t>对报价</w:t>
      </w:r>
      <w:r>
        <w:rPr>
          <w:rFonts w:hint="eastAsia" w:ascii="宋体"/>
          <w:color w:val="000000"/>
          <w:sz w:val="24"/>
          <w:szCs w:val="24"/>
          <w:lang w:val="zh-CN"/>
        </w:rPr>
        <w:t>给予</w:t>
      </w:r>
      <w:r>
        <w:rPr>
          <w:rFonts w:hint="eastAsia" w:ascii="宋体"/>
          <w:color w:val="000000"/>
          <w:sz w:val="24"/>
          <w:szCs w:val="24"/>
        </w:rPr>
        <w:t>10</w:t>
      </w:r>
      <w:r>
        <w:rPr>
          <w:rFonts w:hint="eastAsia" w:ascii="宋体"/>
          <w:color w:val="000000"/>
          <w:sz w:val="24"/>
          <w:szCs w:val="24"/>
          <w:lang w:val="zh-CN"/>
        </w:rPr>
        <w:t>%-</w:t>
      </w:r>
      <w:r>
        <w:rPr>
          <w:rFonts w:hint="eastAsia" w:ascii="宋体"/>
          <w:color w:val="000000"/>
          <w:sz w:val="24"/>
          <w:szCs w:val="24"/>
        </w:rPr>
        <w:t>20</w:t>
      </w:r>
      <w:r>
        <w:rPr>
          <w:rFonts w:hint="eastAsia" w:ascii="宋体"/>
          <w:color w:val="000000"/>
          <w:sz w:val="24"/>
          <w:szCs w:val="24"/>
          <w:lang w:val="zh-CN"/>
        </w:rPr>
        <w:t>%的扣除；联合协议或者分包意向协议约定小微企业的合同份额占到合同总金额30%以上的，</w:t>
      </w:r>
      <w:r>
        <w:rPr>
          <w:rFonts w:hint="eastAsia" w:ascii="宋体"/>
          <w:color w:val="000000"/>
          <w:sz w:val="24"/>
          <w:szCs w:val="24"/>
        </w:rPr>
        <w:t>对报价</w:t>
      </w:r>
      <w:r>
        <w:rPr>
          <w:rFonts w:hint="eastAsia" w:ascii="宋体"/>
          <w:color w:val="000000"/>
          <w:sz w:val="24"/>
          <w:szCs w:val="24"/>
          <w:lang w:val="zh-CN"/>
        </w:rPr>
        <w:t>给予</w:t>
      </w:r>
      <w:r>
        <w:rPr>
          <w:rFonts w:hint="eastAsia" w:ascii="宋体"/>
          <w:color w:val="000000"/>
          <w:sz w:val="24"/>
          <w:szCs w:val="24"/>
        </w:rPr>
        <w:t>4</w:t>
      </w:r>
      <w:r>
        <w:rPr>
          <w:rFonts w:hint="eastAsia" w:ascii="宋体"/>
          <w:color w:val="000000"/>
          <w:sz w:val="24"/>
          <w:szCs w:val="24"/>
          <w:lang w:val="zh-CN"/>
        </w:rPr>
        <w:t>%</w:t>
      </w:r>
      <w:r>
        <w:rPr>
          <w:rFonts w:hint="eastAsia" w:ascii="宋体"/>
          <w:color w:val="000000"/>
          <w:sz w:val="24"/>
          <w:szCs w:val="24"/>
        </w:rPr>
        <w:t>-6%</w:t>
      </w:r>
      <w:r>
        <w:rPr>
          <w:rFonts w:hint="eastAsia" w:ascii="宋体"/>
          <w:color w:val="000000"/>
          <w:sz w:val="24"/>
          <w:szCs w:val="24"/>
          <w:lang w:val="zh-CN"/>
        </w:rPr>
        <w:t>的价格扣除，用扣除后的价格计算评标基准价和响应报价</w:t>
      </w:r>
      <w:r>
        <w:rPr>
          <w:rFonts w:hint="eastAsia" w:ascii="宋体"/>
          <w:sz w:val="24"/>
          <w:szCs w:val="24"/>
          <w:lang w:val="zh-CN"/>
        </w:rPr>
        <w:t>。同一投标人（包括联合体），小微企业、监狱企业、残疾人福利性单位价格扣除优惠只享受一次，不得重复享受。</w:t>
      </w:r>
    </w:p>
    <w:p>
      <w:pPr>
        <w:pStyle w:val="12"/>
        <w:snapToGrid w:val="0"/>
        <w:spacing w:line="360" w:lineRule="auto"/>
        <w:ind w:firstLine="482" w:firstLineChars="200"/>
        <w:rPr>
          <w:rFonts w:hAnsi="宋体" w:cs="宋体"/>
          <w:b/>
          <w:bCs/>
          <w:sz w:val="24"/>
          <w:szCs w:val="24"/>
        </w:rPr>
      </w:pPr>
      <w:r>
        <w:rPr>
          <w:rFonts w:hint="eastAsia" w:hAnsi="宋体" w:cs="宋体"/>
          <w:b/>
          <w:bCs/>
          <w:sz w:val="24"/>
          <w:szCs w:val="24"/>
        </w:rPr>
        <w:t>八、评标程序</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（一）资格性审查</w:t>
      </w:r>
    </w:p>
    <w:p>
      <w:pPr>
        <w:pStyle w:val="7"/>
        <w:spacing w:line="360" w:lineRule="auto"/>
        <w:ind w:firstLine="480" w:firstLineChars="200"/>
        <w:jc w:val="both"/>
        <w:rPr>
          <w:rFonts w:ascii="宋体" w:hAnsi="宋体" w:cs="宋体"/>
          <w:sz w:val="24"/>
          <w:szCs w:val="24"/>
        </w:rPr>
      </w:pPr>
      <w:r>
        <w:rPr>
          <w:rFonts w:hint="eastAsia" w:ascii="宋体" w:hAnsi="宋体" w:cs="宋体"/>
          <w:sz w:val="24"/>
          <w:szCs w:val="24"/>
        </w:rPr>
        <w:t>投标文件解密后，采购人或采购组织机构依法对投标人的资格进行审查，对审查发现无效的进行必要的询问，在政采云平台公布无效投标的投标人名单、投标无效的原因。</w:t>
      </w:r>
    </w:p>
    <w:tbl>
      <w:tblPr>
        <w:tblStyle w:val="21"/>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中华人民共和国境内注册的法人或其他组织或自然人，投标时提交有效的营业执照（或事业法人登记证或身份证等相关证明）扫描件，法定代表人委托办理招标事宜的请提交授权委托书（根据附件2-1《授权委托书》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80" w:firstLineChars="200"/>
              <w:rPr>
                <w:rFonts w:ascii="宋体" w:hAnsi="宋体" w:cs="宋体"/>
                <w:color w:val="000000" w:themeColor="text1"/>
                <w:sz w:val="24"/>
                <w:szCs w:val="24"/>
                <w14:textFill>
                  <w14:solidFill>
                    <w14:schemeClr w14:val="tx1"/>
                  </w14:solidFill>
                </w14:textFill>
              </w:rPr>
            </w:pPr>
            <w:r>
              <w:rPr>
                <w:rFonts w:hint="eastAsia" w:cs="宋体"/>
                <w:sz w:val="24"/>
                <w:szCs w:val="24"/>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按投标文件格式填报设备及专业技术能力情况（根据附件4《投标人基本情况表》和附件5《项目实施人员一览表》填报）。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参加本次采购活动前3年内，在经营活动中没有重大违法记录（根据附件1《投标声明书》）。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1.截止时点：开标后评标前。</w:t>
            </w:r>
          </w:p>
          <w:p>
            <w:pPr>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2.信用信息查询记录和证据留存的具体方式：由采购组织机构在规定查询时间内打印信用信息查询记录并归入项目档案。</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r>
              <w:rPr>
                <w:rFonts w:hint="eastAsia" w:ascii="宋体" w:hAnsi="宋体" w:cs="宋体"/>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1.单位负责人为同一人或者存在直接控股、管理关系的不同供应商，不得同时参加本项目投标。</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2.为本项目提供整体设计、规范编制或者项目管理、监理、检测等服务的供应商，不得再参与本项目投标。</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1</w:t>
            </w:r>
            <w:r>
              <w:rPr>
                <w:rFonts w:hint="eastAsia" w:ascii="宋体" w:hAnsi="宋体" w:cs="宋体"/>
                <w:color w:val="000000" w:themeColor="text1"/>
                <w:sz w:val="24"/>
                <w:szCs w:val="24"/>
                <w14:textFill>
                  <w14:solidFill>
                    <w14:schemeClr w14:val="tx1"/>
                  </w14:solidFill>
                </w14:textFill>
              </w:rPr>
              <w:t>.若以联合体形式投标，请提交联合体授权委托书（根据附件2-2《联合体授权委托书》填报），并载明联合体各方承担的工作和义务（根据附件3 《联合体共同投标协议书》填报）。</w:t>
            </w:r>
          </w:p>
          <w:p>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2.若以联合体形式投标，联合体各方均须满足上方条款，并提供相应承诺或说明。</w:t>
            </w:r>
          </w:p>
        </w:tc>
      </w:tr>
    </w:tbl>
    <w:p>
      <w:pPr>
        <w:pStyle w:val="7"/>
        <w:spacing w:line="360" w:lineRule="auto"/>
        <w:ind w:firstLine="482" w:firstLineChars="200"/>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w:t>
      </w:r>
      <w:r>
        <w:rPr>
          <w:rFonts w:asciiTheme="minorEastAsia" w:hAnsiTheme="minorEastAsia" w:eastAsiaTheme="minorEastAsia"/>
          <w:b/>
          <w:bCs/>
          <w:sz w:val="24"/>
          <w:szCs w:val="24"/>
        </w:rPr>
        <w:t>符合性审查</w:t>
      </w:r>
    </w:p>
    <w:p>
      <w:pPr>
        <w:pStyle w:val="7"/>
        <w:spacing w:line="360" w:lineRule="auto"/>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szCs w:val="24"/>
        </w:rPr>
        <w:t>问</w:t>
      </w:r>
      <w:r>
        <w:rPr>
          <w:rFonts w:asciiTheme="minorEastAsia" w:hAnsiTheme="minorEastAsia" w:eastAsiaTheme="minorEastAsia"/>
          <w:sz w:val="24"/>
          <w:szCs w:val="24"/>
        </w:rPr>
        <w:t>，</w:t>
      </w:r>
      <w:r>
        <w:rPr>
          <w:rFonts w:hint="eastAsia" w:ascii="宋体" w:hAnsi="宋体" w:cs="宋体"/>
          <w:sz w:val="24"/>
          <w:szCs w:val="24"/>
        </w:rPr>
        <w:t>在政采云平台公布无效投标的投标人名单、投标无效的原因。</w:t>
      </w:r>
    </w:p>
    <w:tbl>
      <w:tblPr>
        <w:tblStyle w:val="21"/>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7"/>
              <w:spacing w:line="300" w:lineRule="auto"/>
              <w:ind w:right="146"/>
              <w:jc w:val="center"/>
              <w:rPr>
                <w:sz w:val="24"/>
                <w:szCs w:val="24"/>
              </w:rPr>
            </w:pPr>
            <w:r>
              <w:rPr>
                <w:rFonts w:hint="eastAsia"/>
                <w:sz w:val="24"/>
                <w:szCs w:val="24"/>
              </w:rPr>
              <w:t>“▲”实质性条款</w:t>
            </w:r>
          </w:p>
        </w:tc>
        <w:tc>
          <w:tcPr>
            <w:tcW w:w="7476" w:type="dxa"/>
            <w:shd w:val="clear" w:color="auto" w:fill="auto"/>
            <w:tcMar>
              <w:top w:w="57" w:type="dxa"/>
              <w:left w:w="108" w:type="dxa"/>
              <w:bottom w:w="0" w:type="dxa"/>
              <w:right w:w="108" w:type="dxa"/>
            </w:tcMar>
            <w:vAlign w:val="center"/>
          </w:tcPr>
          <w:p>
            <w:pPr>
              <w:pStyle w:val="47"/>
              <w:spacing w:before="48" w:line="300" w:lineRule="auto"/>
              <w:ind w:firstLine="480" w:firstLineChars="200"/>
              <w:rPr>
                <w:sz w:val="24"/>
                <w:szCs w:val="24"/>
              </w:rPr>
            </w:pPr>
            <w:r>
              <w:rPr>
                <w:rFonts w:hint="eastAsia"/>
                <w:sz w:val="24"/>
                <w:szCs w:val="24"/>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7"/>
              <w:spacing w:line="300" w:lineRule="auto"/>
              <w:ind w:right="146"/>
              <w:jc w:val="center"/>
              <w:rPr>
                <w:sz w:val="24"/>
                <w:szCs w:val="24"/>
              </w:rPr>
            </w:pPr>
            <w:r>
              <w:rPr>
                <w:rFonts w:hint="eastAsia"/>
                <w:sz w:val="24"/>
                <w:szCs w:val="24"/>
              </w:rPr>
              <w:t>串通投标</w:t>
            </w:r>
          </w:p>
        </w:tc>
        <w:tc>
          <w:tcPr>
            <w:tcW w:w="7476" w:type="dxa"/>
            <w:shd w:val="clear" w:color="auto" w:fill="auto"/>
            <w:tcMar>
              <w:top w:w="57" w:type="dxa"/>
              <w:left w:w="108" w:type="dxa"/>
              <w:bottom w:w="0" w:type="dxa"/>
              <w:right w:w="108" w:type="dxa"/>
            </w:tcMar>
            <w:vAlign w:val="center"/>
          </w:tcPr>
          <w:p>
            <w:pPr>
              <w:pStyle w:val="47"/>
              <w:spacing w:before="48" w:line="300" w:lineRule="auto"/>
              <w:ind w:firstLine="480" w:firstLineChars="200"/>
              <w:rPr>
                <w:sz w:val="24"/>
                <w:szCs w:val="24"/>
              </w:rPr>
            </w:pPr>
            <w:r>
              <w:rPr>
                <w:rFonts w:hint="eastAsia"/>
                <w:sz w:val="24"/>
                <w:szCs w:val="24"/>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7"/>
              <w:spacing w:line="300" w:lineRule="auto"/>
              <w:ind w:right="146"/>
              <w:jc w:val="center"/>
              <w:rPr>
                <w:sz w:val="24"/>
                <w:szCs w:val="24"/>
              </w:rPr>
            </w:pPr>
            <w:r>
              <w:rPr>
                <w:rFonts w:hint="eastAsia"/>
                <w:sz w:val="24"/>
                <w:szCs w:val="24"/>
              </w:rPr>
              <w:t>附加条件</w:t>
            </w:r>
          </w:p>
        </w:tc>
        <w:tc>
          <w:tcPr>
            <w:tcW w:w="7476" w:type="dxa"/>
            <w:shd w:val="clear" w:color="auto" w:fill="auto"/>
            <w:tcMar>
              <w:top w:w="57" w:type="dxa"/>
              <w:left w:w="108" w:type="dxa"/>
              <w:bottom w:w="0" w:type="dxa"/>
              <w:right w:w="108" w:type="dxa"/>
            </w:tcMar>
            <w:vAlign w:val="center"/>
          </w:tcPr>
          <w:p>
            <w:pPr>
              <w:pStyle w:val="47"/>
              <w:spacing w:before="48" w:line="300" w:lineRule="auto"/>
              <w:ind w:firstLine="480" w:firstLineChars="200"/>
              <w:rPr>
                <w:sz w:val="24"/>
                <w:szCs w:val="24"/>
              </w:rPr>
            </w:pPr>
            <w:r>
              <w:rPr>
                <w:rFonts w:hint="eastAsia"/>
                <w:sz w:val="24"/>
                <w:szCs w:val="24"/>
              </w:rPr>
              <w:t>投标文件未含有采购人不可接受的附加条件。</w:t>
            </w:r>
          </w:p>
        </w:tc>
      </w:tr>
    </w:tbl>
    <w:p>
      <w:pPr>
        <w:pStyle w:val="7"/>
        <w:numPr>
          <w:ilvl w:val="0"/>
          <w:numId w:val="7"/>
        </w:numPr>
        <w:spacing w:line="360" w:lineRule="auto"/>
        <w:ind w:left="0" w:leftChars="0" w:firstLine="0" w:firstLineChars="0"/>
        <w:jc w:val="both"/>
        <w:rPr>
          <w:rFonts w:hint="eastAsia" w:asciiTheme="minorEastAsia" w:hAnsiTheme="minorEastAsia" w:eastAsiaTheme="minorEastAsia"/>
          <w:b/>
          <w:bCs/>
          <w:sz w:val="24"/>
        </w:rPr>
      </w:pPr>
      <w:r>
        <w:rPr>
          <w:rFonts w:hint="eastAsia" w:asciiTheme="minorEastAsia" w:hAnsiTheme="minorEastAsia" w:eastAsiaTheme="minorEastAsia"/>
          <w:b/>
          <w:bCs/>
          <w:sz w:val="24"/>
        </w:rPr>
        <w:t>商务技术及价格评审</w:t>
      </w:r>
    </w:p>
    <w:p>
      <w:pPr>
        <w:numPr>
          <w:ilvl w:val="0"/>
          <w:numId w:val="0"/>
        </w:numPr>
        <w:rPr>
          <w:rFonts w:hint="eastAsia"/>
          <w:sz w:val="24"/>
          <w:szCs w:val="24"/>
          <w:lang w:val="zh-CN"/>
        </w:rPr>
      </w:pPr>
      <w:r>
        <w:rPr>
          <w:rFonts w:hint="eastAsia" w:ascii="宋体" w:hAnsi="宋体" w:cs="宋体"/>
          <w:sz w:val="24"/>
          <w:szCs w:val="24"/>
          <w:u w:val="single"/>
        </w:rPr>
        <w:t xml:space="preserve"> 1 </w:t>
      </w:r>
      <w:r>
        <w:rPr>
          <w:rFonts w:hint="eastAsia" w:asciiTheme="minorEastAsia" w:hAnsiTheme="minorEastAsia" w:eastAsiaTheme="minorEastAsia"/>
          <w:kern w:val="0"/>
          <w:sz w:val="24"/>
          <w:szCs w:val="24"/>
        </w:rPr>
        <w:t>标项项目评标方法为综合评分法，总计100分，评标按以下标准及要求进行：</w:t>
      </w:r>
    </w:p>
    <w:tbl>
      <w:tblPr>
        <w:tblStyle w:val="21"/>
        <w:tblpPr w:leftFromText="180" w:rightFromText="180" w:vertAnchor="text" w:horzAnchor="page" w:tblpX="1082" w:tblpY="114"/>
        <w:tblW w:w="10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833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8" w:type="dxa"/>
            <w:tcBorders>
              <w:top w:val="single" w:color="auto" w:sz="4" w:space="0"/>
              <w:left w:val="single" w:color="auto" w:sz="4" w:space="0"/>
              <w:bottom w:val="single" w:color="auto" w:sz="4" w:space="0"/>
              <w:right w:val="single" w:color="auto" w:sz="4" w:space="0"/>
            </w:tcBorders>
            <w:shd w:val="clear" w:color="auto" w:fill="B3B3B3"/>
            <w:vAlign w:val="center"/>
          </w:tcPr>
          <w:p>
            <w:pPr>
              <w:jc w:val="center"/>
              <w:rPr>
                <w:rFonts w:ascii="宋体" w:hAnsi="宋体" w:cs="宋体"/>
                <w:b/>
                <w:color w:val="auto"/>
                <w:sz w:val="24"/>
                <w:szCs w:val="24"/>
              </w:rPr>
            </w:pPr>
            <w:r>
              <w:rPr>
                <w:rFonts w:hint="eastAsia" w:ascii="宋体" w:hAnsi="宋体" w:cs="宋体"/>
                <w:b/>
                <w:color w:val="auto"/>
                <w:sz w:val="24"/>
                <w:szCs w:val="24"/>
              </w:rPr>
              <w:t>评标</w:t>
            </w:r>
          </w:p>
          <w:p>
            <w:pPr>
              <w:jc w:val="center"/>
              <w:rPr>
                <w:rFonts w:ascii="宋体" w:hAnsi="宋体" w:cs="宋体"/>
                <w:b/>
                <w:color w:val="auto"/>
                <w:sz w:val="24"/>
                <w:szCs w:val="24"/>
              </w:rPr>
            </w:pPr>
            <w:r>
              <w:rPr>
                <w:rFonts w:hint="eastAsia" w:ascii="宋体" w:hAnsi="宋体" w:cs="宋体"/>
                <w:b/>
                <w:color w:val="auto"/>
                <w:sz w:val="24"/>
                <w:szCs w:val="24"/>
              </w:rPr>
              <w:t>内容</w:t>
            </w:r>
          </w:p>
        </w:tc>
        <w:tc>
          <w:tcPr>
            <w:tcW w:w="8335" w:type="dxa"/>
            <w:tcBorders>
              <w:top w:val="single" w:color="auto" w:sz="4" w:space="0"/>
              <w:left w:val="single" w:color="auto" w:sz="4" w:space="0"/>
              <w:bottom w:val="single" w:color="auto" w:sz="4" w:space="0"/>
              <w:right w:val="single" w:color="auto" w:sz="4" w:space="0"/>
            </w:tcBorders>
            <w:shd w:val="clear" w:color="auto" w:fill="B3B3B3"/>
            <w:vAlign w:val="center"/>
          </w:tcPr>
          <w:p>
            <w:pPr>
              <w:jc w:val="center"/>
              <w:rPr>
                <w:rFonts w:ascii="宋体" w:hAnsi="宋体" w:cs="宋体"/>
                <w:b/>
                <w:color w:val="auto"/>
                <w:sz w:val="24"/>
                <w:szCs w:val="24"/>
              </w:rPr>
            </w:pPr>
            <w:r>
              <w:rPr>
                <w:rFonts w:hint="eastAsia" w:ascii="宋体" w:hAnsi="宋体" w:cs="宋体"/>
                <w:b/>
                <w:color w:val="auto"/>
                <w:sz w:val="24"/>
                <w:szCs w:val="24"/>
              </w:rPr>
              <w:t>细则内容</w:t>
            </w:r>
          </w:p>
        </w:tc>
        <w:tc>
          <w:tcPr>
            <w:tcW w:w="665" w:type="dxa"/>
            <w:tcBorders>
              <w:top w:val="single" w:color="auto" w:sz="4" w:space="0"/>
              <w:left w:val="single" w:color="auto" w:sz="4" w:space="0"/>
              <w:bottom w:val="single" w:color="auto" w:sz="4" w:space="0"/>
              <w:right w:val="single" w:color="auto" w:sz="4" w:space="0"/>
            </w:tcBorders>
            <w:shd w:val="clear" w:color="auto" w:fill="B3B3B3"/>
            <w:vAlign w:val="center"/>
          </w:tcPr>
          <w:p>
            <w:pPr>
              <w:jc w:val="center"/>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38"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b/>
                <w:color w:val="auto"/>
                <w:sz w:val="24"/>
                <w:szCs w:val="24"/>
              </w:rPr>
            </w:pPr>
            <w:r>
              <w:rPr>
                <w:rFonts w:hint="eastAsia" w:ascii="宋体" w:hAnsi="宋体" w:cs="宋体"/>
                <w:b/>
                <w:color w:val="auto"/>
                <w:sz w:val="24"/>
                <w:szCs w:val="24"/>
              </w:rPr>
              <w:t>技术</w:t>
            </w:r>
          </w:p>
          <w:p>
            <w:pPr>
              <w:widowControl/>
              <w:jc w:val="center"/>
              <w:rPr>
                <w:rFonts w:ascii="宋体" w:hAnsi="宋体" w:cs="宋体"/>
                <w:b/>
                <w:color w:val="auto"/>
                <w:sz w:val="24"/>
                <w:szCs w:val="24"/>
              </w:rPr>
            </w:pPr>
            <w:r>
              <w:rPr>
                <w:rFonts w:hint="eastAsia" w:ascii="宋体" w:hAnsi="宋体" w:cs="宋体"/>
                <w:b/>
                <w:color w:val="auto"/>
                <w:sz w:val="24"/>
                <w:szCs w:val="24"/>
              </w:rPr>
              <w:t>性能</w:t>
            </w:r>
          </w:p>
          <w:p>
            <w:pPr>
              <w:widowControl/>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51</w:t>
            </w:r>
          </w:p>
        </w:tc>
        <w:tc>
          <w:tcPr>
            <w:tcW w:w="8335" w:type="dxa"/>
            <w:tcBorders>
              <w:top w:val="single" w:color="auto" w:sz="4" w:space="0"/>
              <w:left w:val="single" w:color="auto" w:sz="4" w:space="0"/>
              <w:right w:val="single" w:color="auto" w:sz="4" w:space="0"/>
            </w:tcBorders>
          </w:tcPr>
          <w:p>
            <w:pPr>
              <w:pStyle w:val="2"/>
              <w:widowControl w:val="0"/>
              <w:numPr>
                <w:ilvl w:val="0"/>
                <w:numId w:val="0"/>
              </w:numPr>
              <w:autoSpaceDE w:val="0"/>
              <w:autoSpaceDN w:val="0"/>
              <w:adjustRightInd w:val="0"/>
              <w:spacing w:line="240" w:lineRule="auto"/>
              <w:ind w:right="25" w:rightChars="0"/>
              <w:jc w:val="both"/>
              <w:outlineLvl w:val="1"/>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提供投标人或生产厂家须提供自</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2021年</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月1日以来</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符合核心技术性能要求与采购标的同品类（</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1.</w:t>
            </w:r>
            <w:r>
              <w:rPr>
                <w:rFonts w:hint="eastAsia" w:ascii="宋体" w:hAnsi="宋体" w:cs="宋体"/>
                <w:b w:val="0"/>
                <w:bCs/>
                <w:sz w:val="24"/>
                <w:szCs w:val="24"/>
              </w:rPr>
              <w:t>学生公寓床、</w:t>
            </w:r>
            <w:r>
              <w:rPr>
                <w:rFonts w:hint="eastAsia" w:ascii="宋体" w:hAnsi="宋体" w:cs="宋体"/>
                <w:b w:val="0"/>
                <w:bCs/>
                <w:sz w:val="24"/>
                <w:szCs w:val="24"/>
                <w:lang w:val="en-US" w:eastAsia="zh-CN"/>
              </w:rPr>
              <w:t>2.</w:t>
            </w:r>
            <w:r>
              <w:rPr>
                <w:rFonts w:hint="eastAsia" w:ascii="宋体" w:hAnsi="宋体" w:cs="宋体"/>
                <w:b w:val="0"/>
                <w:bCs/>
                <w:sz w:val="24"/>
                <w:szCs w:val="24"/>
              </w:rPr>
              <w:t>衣柜、</w:t>
            </w:r>
            <w:r>
              <w:rPr>
                <w:rFonts w:hint="eastAsia" w:ascii="宋体" w:hAnsi="宋体" w:cs="宋体"/>
                <w:b w:val="0"/>
                <w:bCs/>
                <w:sz w:val="24"/>
                <w:szCs w:val="24"/>
                <w:lang w:val="en-US" w:eastAsia="zh-CN"/>
              </w:rPr>
              <w:t>3.</w:t>
            </w:r>
            <w:r>
              <w:rPr>
                <w:rFonts w:hint="eastAsia" w:ascii="宋体" w:hAnsi="宋体" w:cs="宋体"/>
                <w:b w:val="0"/>
                <w:bCs/>
                <w:sz w:val="24"/>
                <w:szCs w:val="24"/>
              </w:rPr>
              <w:t>实木床、</w:t>
            </w:r>
            <w:r>
              <w:rPr>
                <w:rFonts w:hint="eastAsia" w:ascii="宋体" w:hAnsi="宋体" w:cs="宋体"/>
                <w:b w:val="0"/>
                <w:bCs/>
                <w:sz w:val="24"/>
                <w:szCs w:val="24"/>
                <w:lang w:val="en-US" w:eastAsia="zh-CN"/>
              </w:rPr>
              <w:t>4.</w:t>
            </w:r>
            <w:r>
              <w:rPr>
                <w:rFonts w:hint="eastAsia" w:ascii="宋体" w:hAnsi="宋体" w:cs="宋体"/>
                <w:b w:val="0"/>
                <w:bCs/>
                <w:sz w:val="24"/>
                <w:szCs w:val="24"/>
              </w:rPr>
              <w:t>实木衣柜</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的</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成品检测报告。</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每个品类的核心技术指标评分内容如下：</w:t>
            </w:r>
          </w:p>
          <w:p>
            <w:pPr>
              <w:pStyle w:val="2"/>
              <w:widowControl w:val="0"/>
              <w:numPr>
                <w:ilvl w:val="0"/>
                <w:numId w:val="0"/>
              </w:numPr>
              <w:autoSpaceDE w:val="0"/>
              <w:autoSpaceDN w:val="0"/>
              <w:adjustRightInd w:val="0"/>
              <w:spacing w:line="240" w:lineRule="auto"/>
              <w:ind w:right="25" w:rightChars="0"/>
              <w:jc w:val="both"/>
              <w:outlineLvl w:val="1"/>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力学性能(稳定性全项、符合采购需求的强度及耐久性全项），完全符合得</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分,较符合得</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1.4-0.8分，欠符合得0.7-0.1分，</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不符合不得分；</w:t>
            </w:r>
          </w:p>
          <w:p>
            <w:pPr>
              <w:pStyle w:val="2"/>
              <w:widowControl w:val="0"/>
              <w:numPr>
                <w:ilvl w:val="0"/>
                <w:numId w:val="0"/>
              </w:numPr>
              <w:autoSpaceDE w:val="0"/>
              <w:autoSpaceDN w:val="0"/>
              <w:adjustRightInd w:val="0"/>
              <w:spacing w:line="240" w:lineRule="auto"/>
              <w:ind w:right="25" w:rightChars="0"/>
              <w:jc w:val="both"/>
              <w:outlineLvl w:val="1"/>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产品涉及的表面理化性能（如：漆膜、软硬质覆面、金属件、封边条表面胶合强度等），完全符合得</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分,较符合得</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0.7-0.4分，欠符合得0.3-0.1分，</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不符合不得分；</w:t>
            </w:r>
          </w:p>
          <w:p>
            <w:pPr>
              <w:pStyle w:val="2"/>
              <w:widowControl w:val="0"/>
              <w:numPr>
                <w:ilvl w:val="0"/>
                <w:numId w:val="0"/>
              </w:numPr>
              <w:autoSpaceDE w:val="0"/>
              <w:autoSpaceDN w:val="0"/>
              <w:adjustRightInd w:val="0"/>
              <w:spacing w:line="240" w:lineRule="auto"/>
              <w:ind w:right="25" w:rightChars="0"/>
              <w:jc w:val="both"/>
              <w:outlineLvl w:val="1"/>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3）甲醛释放量按对应的国家标准执行评分（选取两项中的其中一项）：</w:t>
            </w:r>
          </w:p>
          <w:p>
            <w:pPr>
              <w:pStyle w:val="2"/>
              <w:widowControl w:val="0"/>
              <w:numPr>
                <w:ilvl w:val="0"/>
                <w:numId w:val="0"/>
              </w:numPr>
              <w:autoSpaceDE w:val="0"/>
              <w:autoSpaceDN w:val="0"/>
              <w:adjustRightInd w:val="0"/>
              <w:spacing w:line="240" w:lineRule="auto"/>
              <w:ind w:right="25" w:rightChars="0"/>
              <w:jc w:val="both"/>
              <w:outlineLvl w:val="1"/>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（1）按GB 18580-2017执行，甲醛释放量≤0.05mg/m3 得2分,0.05（不含）～0.124mg/m3 得1分；</w:t>
            </w:r>
          </w:p>
          <w:p>
            <w:pPr>
              <w:pStyle w:val="2"/>
              <w:widowControl w:val="0"/>
              <w:numPr>
                <w:ilvl w:val="0"/>
                <w:numId w:val="0"/>
              </w:numPr>
              <w:autoSpaceDE w:val="0"/>
              <w:autoSpaceDN w:val="0"/>
              <w:adjustRightInd w:val="0"/>
              <w:spacing w:line="240" w:lineRule="auto"/>
              <w:ind w:right="25" w:rightChars="0"/>
              <w:jc w:val="both"/>
              <w:outlineLvl w:val="1"/>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（2）按GB 18584-2001执行，甲醛释放量≤0.5mg/L 得2分,0.5（不含）～1.5mg/L 得1分。</w:t>
            </w:r>
          </w:p>
          <w:p>
            <w:pPr>
              <w:pStyle w:val="2"/>
              <w:widowControl w:val="0"/>
              <w:numPr>
                <w:ilvl w:val="0"/>
                <w:numId w:val="0"/>
              </w:numPr>
              <w:autoSpaceDE w:val="0"/>
              <w:autoSpaceDN w:val="0"/>
              <w:adjustRightInd w:val="0"/>
              <w:spacing w:line="240" w:lineRule="auto"/>
              <w:ind w:right="25" w:rightChars="0"/>
              <w:jc w:val="both"/>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除第3项所涉及的甲醛释放量以外的安全性能和有害物质限量，完全符合得</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分,较符合得</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1.4-0.8分，欠符合得0.7-0.1分，</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不符合不得分。</w:t>
            </w:r>
          </w:p>
          <w:p>
            <w:pPr>
              <w:spacing w:line="24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如检测报告与</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十</w:t>
            </w:r>
            <w:r>
              <w:rPr>
                <w:rFonts w:hint="eastAsia" w:asciiTheme="minorEastAsia" w:hAnsiTheme="minorEastAsia" w:eastAsiaTheme="minorEastAsia" w:cstheme="minorEastAsia"/>
                <w:color w:val="000000" w:themeColor="text1"/>
                <w:sz w:val="24"/>
                <w:szCs w:val="24"/>
                <w14:textFill>
                  <w14:solidFill>
                    <w14:schemeClr w14:val="tx1"/>
                  </w14:solidFill>
                </w14:textFill>
              </w:rPr>
              <w:t>项品类相关的，但名称稍有不同的，视作为符合。</w:t>
            </w:r>
          </w:p>
          <w:p>
            <w:pPr>
              <w:numPr>
                <w:ilvl w:val="0"/>
                <w:numId w:val="8"/>
              </w:numPr>
              <w:spacing w:line="240" w:lineRule="auto"/>
              <w:rPr>
                <w:rFonts w:hint="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所有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检测</w:t>
            </w:r>
            <w:r>
              <w:rPr>
                <w:rFonts w:hint="eastAsia" w:asciiTheme="minorEastAsia" w:hAnsiTheme="minorEastAsia" w:eastAsiaTheme="minorEastAsia" w:cstheme="minorEastAsia"/>
                <w:color w:val="000000" w:themeColor="text1"/>
                <w:sz w:val="24"/>
                <w:szCs w:val="24"/>
                <w14:textFill>
                  <w14:solidFill>
                    <w14:schemeClr w14:val="tx1"/>
                  </w14:solidFill>
                </w14:textFill>
              </w:rPr>
              <w:t>报告需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原件</w:t>
            </w:r>
            <w:r>
              <w:rPr>
                <w:rFonts w:hint="eastAsia" w:asciiTheme="minorEastAsia" w:hAnsiTheme="minorEastAsia" w:eastAsiaTheme="minorEastAsia" w:cstheme="minorEastAsia"/>
                <w:color w:val="000000" w:themeColor="text1"/>
                <w:sz w:val="24"/>
                <w:szCs w:val="24"/>
                <w14:textFill>
                  <w14:solidFill>
                    <w14:schemeClr w14:val="tx1"/>
                  </w14:solidFill>
                </w14:textFill>
              </w:rPr>
              <w:t>扫描件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首页、内容页、结尾页等完整页面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否则不得分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br w:type="textWrapping"/>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出具的检测报告必须由具备家具成品及其原辅材料检测能力并通过国家计量认证（CMA资质）的第三方检测机构提供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tc>
        <w:tc>
          <w:tcPr>
            <w:tcW w:w="665" w:type="dxa"/>
            <w:tcBorders>
              <w:top w:val="single" w:color="auto" w:sz="4" w:space="0"/>
              <w:left w:val="single" w:color="auto" w:sz="4" w:space="0"/>
              <w:right w:val="single" w:color="auto" w:sz="4" w:space="0"/>
            </w:tcBorders>
            <w:vAlign w:val="center"/>
          </w:tcPr>
          <w:p>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color w:val="000000" w:themeColor="text1"/>
                <w:kern w:val="0"/>
                <w:sz w:val="24"/>
                <w:szCs w:val="24"/>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9" w:hRule="atLeast"/>
        </w:trPr>
        <w:tc>
          <w:tcPr>
            <w:tcW w:w="1138" w:type="dxa"/>
            <w:vMerge w:val="continue"/>
            <w:tcBorders>
              <w:left w:val="single" w:color="auto" w:sz="4" w:space="0"/>
              <w:right w:val="single" w:color="auto" w:sz="4" w:space="0"/>
            </w:tcBorders>
            <w:vAlign w:val="center"/>
          </w:tcPr>
          <w:p>
            <w:pPr>
              <w:widowControl/>
              <w:jc w:val="center"/>
              <w:rPr>
                <w:rFonts w:ascii="宋体" w:hAnsi="宋体" w:cs="宋体"/>
                <w:b/>
                <w:color w:val="auto"/>
                <w:sz w:val="24"/>
                <w:szCs w:val="24"/>
              </w:rPr>
            </w:pPr>
          </w:p>
        </w:tc>
        <w:tc>
          <w:tcPr>
            <w:tcW w:w="8335" w:type="dxa"/>
            <w:tcBorders>
              <w:top w:val="single" w:color="auto" w:sz="4" w:space="0"/>
              <w:left w:val="single" w:color="auto" w:sz="4" w:space="0"/>
              <w:right w:val="single" w:color="auto" w:sz="4" w:space="0"/>
            </w:tcBorders>
          </w:tcPr>
          <w:p>
            <w:pPr>
              <w:numPr>
                <w:ilvl w:val="0"/>
                <w:numId w:val="0"/>
              </w:numPr>
              <w:spacing w:line="24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提供投标人或生产厂家须提供自</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2021年</w:t>
            </w:r>
            <w:r>
              <w:rPr>
                <w:rFonts w:hint="eastAsia"/>
                <w:color w:val="000000" w:themeColor="text1"/>
                <w:sz w:val="24"/>
                <w:szCs w:val="24"/>
                <w:lang w:val="en-US" w:eastAsia="zh-CN"/>
                <w14:textFill>
                  <w14:solidFill>
                    <w14:schemeClr w14:val="tx1"/>
                  </w14:solidFill>
                </w14:textFill>
              </w:rPr>
              <w:t>11</w:t>
            </w:r>
            <w:r>
              <w:rPr>
                <w:rFonts w:hint="eastAsia"/>
                <w:color w:val="000000" w:themeColor="text1"/>
                <w:sz w:val="24"/>
                <w:szCs w:val="24"/>
                <w14:textFill>
                  <w14:solidFill>
                    <w14:schemeClr w14:val="tx1"/>
                  </w14:solidFill>
                </w14:textFill>
              </w:rPr>
              <w:t>月1日以来</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须提供符合国家标准或行业标准要求的本</w:t>
            </w:r>
            <w:r>
              <w:rPr>
                <w:rFonts w:hint="eastAsia"/>
                <w:color w:val="000000" w:themeColor="text1"/>
                <w:sz w:val="24"/>
                <w:szCs w:val="24"/>
                <w:lang w:eastAsia="zh-CN"/>
                <w14:textFill>
                  <w14:solidFill>
                    <w14:schemeClr w14:val="tx1"/>
                  </w14:solidFill>
                </w14:textFill>
              </w:rPr>
              <w:t>次</w:t>
            </w:r>
            <w:r>
              <w:rPr>
                <w:rFonts w:hint="eastAsia"/>
                <w:color w:val="000000" w:themeColor="text1"/>
                <w:sz w:val="24"/>
                <w:szCs w:val="24"/>
                <w14:textFill>
                  <w14:solidFill>
                    <w14:schemeClr w14:val="tx1"/>
                  </w14:solidFill>
                </w14:textFill>
              </w:rPr>
              <w:t>采购所涉及的</w:t>
            </w:r>
            <w:r>
              <w:rPr>
                <w:rFonts w:hint="eastAsia"/>
                <w:color w:val="000000" w:themeColor="text1"/>
                <w:sz w:val="24"/>
                <w:szCs w:val="24"/>
                <w:lang w:eastAsia="zh-CN"/>
                <w14:textFill>
                  <w14:solidFill>
                    <w14:schemeClr w14:val="tx1"/>
                  </w14:solidFill>
                </w14:textFill>
              </w:rPr>
              <w:t>主要</w:t>
            </w:r>
            <w:r>
              <w:rPr>
                <w:rFonts w:hint="eastAsia"/>
                <w:color w:val="000000" w:themeColor="text1"/>
                <w:sz w:val="24"/>
                <w:szCs w:val="24"/>
                <w14:textFill>
                  <w14:solidFill>
                    <w14:schemeClr w14:val="tx1"/>
                  </w14:solidFill>
                </w14:textFill>
              </w:rPr>
              <w:t>原材料（如</w:t>
            </w:r>
            <w:r>
              <w:rPr>
                <w:rFonts w:hint="eastAsia"/>
                <w:color w:val="000000" w:themeColor="text1"/>
                <w:sz w:val="24"/>
                <w:szCs w:val="24"/>
                <w:lang w:val="en-US" w:eastAsia="zh-CN"/>
                <w14:textFill>
                  <w14:solidFill>
                    <w14:schemeClr w14:val="tx1"/>
                  </w14:solidFill>
                </w14:textFill>
              </w:rPr>
              <w:t>1.</w:t>
            </w:r>
            <w:r>
              <w:rPr>
                <w:rFonts w:hint="eastAsia" w:ascii="宋体" w:hAnsi="宋体" w:cs="宋体"/>
                <w:sz w:val="24"/>
                <w:szCs w:val="24"/>
              </w:rPr>
              <w:t>人造板</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实木板</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3.</w:t>
            </w:r>
            <w:r>
              <w:rPr>
                <w:rFonts w:hint="eastAsia" w:ascii="宋体" w:hAnsi="宋体" w:cs="宋体"/>
                <w:sz w:val="24"/>
                <w:szCs w:val="24"/>
              </w:rPr>
              <w:t>钢管/钢板</w:t>
            </w:r>
            <w:r>
              <w:rPr>
                <w:rFonts w:hint="eastAsia" w:ascii="宋体" w:hAnsi="宋体" w:cs="宋体"/>
                <w:sz w:val="24"/>
                <w:szCs w:val="24"/>
                <w:lang w:val="en-US" w:eastAsia="zh-CN"/>
              </w:rPr>
              <w:t>4.</w:t>
            </w:r>
            <w:r>
              <w:rPr>
                <w:rFonts w:hint="eastAsia"/>
                <w:color w:val="000000" w:themeColor="text1"/>
                <w:sz w:val="24"/>
                <w:szCs w:val="24"/>
                <w14:textFill>
                  <w14:solidFill>
                    <w14:schemeClr w14:val="tx1"/>
                  </w14:solidFill>
                </w14:textFill>
              </w:rPr>
              <w:t>油漆</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胶水</w:t>
            </w:r>
            <w:r>
              <w:rPr>
                <w:rFonts w:hint="eastAsia"/>
                <w:color w:val="000000" w:themeColor="text1"/>
                <w:sz w:val="24"/>
                <w:szCs w:val="24"/>
                <w:lang w:val="en-US" w:eastAsia="zh-CN"/>
                <w14:textFill>
                  <w14:solidFill>
                    <w14:schemeClr w14:val="tx1"/>
                  </w14:solidFill>
                </w14:textFill>
              </w:rPr>
              <w:t>6.</w:t>
            </w:r>
            <w:r>
              <w:rPr>
                <w:rFonts w:hint="eastAsia" w:ascii="宋体" w:hAnsi="宋体" w:cs="宋体"/>
                <w:sz w:val="24"/>
                <w:szCs w:val="24"/>
              </w:rPr>
              <w:t>塑粉</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14:textFill>
                  <w14:solidFill>
                    <w14:schemeClr w14:val="tx1"/>
                  </w14:solidFill>
                </w14:textFill>
              </w:rPr>
              <w:t>封边条、</w:t>
            </w:r>
            <w:r>
              <w:rPr>
                <w:rFonts w:hint="eastAsia"/>
                <w:color w:val="000000" w:themeColor="text1"/>
                <w:sz w:val="24"/>
                <w:szCs w:val="24"/>
                <w:lang w:val="en-US" w:eastAsia="zh-CN"/>
                <w14:textFill>
                  <w14:solidFill>
                    <w14:schemeClr w14:val="tx1"/>
                  </w14:solidFill>
                </w14:textFill>
              </w:rPr>
              <w:t>8.</w:t>
            </w:r>
            <w:r>
              <w:rPr>
                <w:rFonts w:hint="eastAsia" w:ascii="宋体" w:hAnsi="宋体" w:cs="宋体"/>
                <w:sz w:val="24"/>
                <w:szCs w:val="24"/>
              </w:rPr>
              <w:t>塑料件</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9.</w:t>
            </w:r>
            <w:r>
              <w:rPr>
                <w:rFonts w:hint="eastAsia" w:ascii="宋体" w:hAnsi="宋体" w:cs="宋体"/>
                <w:sz w:val="24"/>
                <w:szCs w:val="24"/>
              </w:rPr>
              <w:t>五金</w:t>
            </w:r>
            <w:r>
              <w:rPr>
                <w:rFonts w:hint="eastAsia"/>
                <w:color w:val="000000" w:themeColor="text1"/>
                <w:sz w:val="24"/>
                <w:szCs w:val="24"/>
                <w14:textFill>
                  <w14:solidFill>
                    <w14:schemeClr w14:val="tx1"/>
                  </w14:solidFill>
                </w14:textFill>
              </w:rPr>
              <w:t>）的检测报告。每提供一个种类的原材料检测报告，得0.</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分，最高得</w:t>
            </w:r>
            <w:r>
              <w:rPr>
                <w:rFonts w:hint="eastAsia"/>
                <w:color w:val="000000" w:themeColor="text1"/>
                <w:sz w:val="24"/>
                <w:szCs w:val="24"/>
                <w:lang w:val="en-US" w:eastAsia="zh-CN"/>
                <w14:textFill>
                  <w14:solidFill>
                    <w14:schemeClr w14:val="tx1"/>
                  </w14:solidFill>
                </w14:textFill>
              </w:rPr>
              <w:t>4.5</w:t>
            </w:r>
            <w:r>
              <w:rPr>
                <w:rFonts w:hint="eastAsia"/>
                <w:color w:val="000000" w:themeColor="text1"/>
                <w:sz w:val="24"/>
                <w:szCs w:val="24"/>
                <w14:textFill>
                  <w14:solidFill>
                    <w14:schemeClr w14:val="tx1"/>
                  </w14:solidFill>
                </w14:textFill>
              </w:rPr>
              <w:t>分。</w:t>
            </w:r>
          </w:p>
          <w:p>
            <w:pPr>
              <w:spacing w:line="24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如检测报告与</w:t>
            </w:r>
            <w:r>
              <w:rPr>
                <w:rFonts w:hint="eastAsia"/>
                <w:color w:val="000000" w:themeColor="text1"/>
                <w:sz w:val="24"/>
                <w:szCs w:val="24"/>
                <w:lang w:eastAsia="zh-CN"/>
                <w14:textFill>
                  <w14:solidFill>
                    <w14:schemeClr w14:val="tx1"/>
                  </w14:solidFill>
                </w14:textFill>
              </w:rPr>
              <w:t>十</w:t>
            </w:r>
            <w:r>
              <w:rPr>
                <w:rFonts w:hint="eastAsia"/>
                <w:color w:val="000000" w:themeColor="text1"/>
                <w:sz w:val="24"/>
                <w:szCs w:val="24"/>
                <w14:textFill>
                  <w14:solidFill>
                    <w14:schemeClr w14:val="tx1"/>
                  </w14:solidFill>
                </w14:textFill>
              </w:rPr>
              <w:t>项品类相关的，但名称稍有不同的，视作为符合。</w:t>
            </w:r>
          </w:p>
          <w:p>
            <w:pPr>
              <w:numPr>
                <w:ilvl w:val="0"/>
                <w:numId w:val="0"/>
              </w:numPr>
              <w:spacing w:line="240" w:lineRule="auto"/>
              <w:ind w:leftChars="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所有</w:t>
            </w:r>
            <w:r>
              <w:rPr>
                <w:rFonts w:hint="eastAsia"/>
                <w:color w:val="000000" w:themeColor="text1"/>
                <w:sz w:val="24"/>
                <w:szCs w:val="24"/>
                <w:lang w:eastAsia="zh-CN"/>
                <w14:textFill>
                  <w14:solidFill>
                    <w14:schemeClr w14:val="tx1"/>
                  </w14:solidFill>
                </w14:textFill>
              </w:rPr>
              <w:t>检测</w:t>
            </w:r>
            <w:r>
              <w:rPr>
                <w:rFonts w:hint="eastAsia"/>
                <w:color w:val="000000" w:themeColor="text1"/>
                <w:sz w:val="24"/>
                <w:szCs w:val="24"/>
                <w14:textFill>
                  <w14:solidFill>
                    <w14:schemeClr w14:val="tx1"/>
                  </w14:solidFill>
                </w14:textFill>
              </w:rPr>
              <w:t>报告需</w:t>
            </w:r>
            <w:r>
              <w:rPr>
                <w:rFonts w:hint="eastAsia"/>
                <w:color w:val="000000" w:themeColor="text1"/>
                <w:sz w:val="24"/>
                <w:szCs w:val="24"/>
                <w:lang w:eastAsia="zh-CN"/>
                <w14:textFill>
                  <w14:solidFill>
                    <w14:schemeClr w14:val="tx1"/>
                  </w14:solidFill>
                </w14:textFill>
              </w:rPr>
              <w:t>原件</w:t>
            </w:r>
            <w:r>
              <w:rPr>
                <w:rFonts w:hint="eastAsia"/>
                <w:color w:val="000000" w:themeColor="text1"/>
                <w:sz w:val="24"/>
                <w:szCs w:val="24"/>
                <w14:textFill>
                  <w14:solidFill>
                    <w14:schemeClr w14:val="tx1"/>
                  </w14:solidFill>
                </w14:textFill>
              </w:rPr>
              <w:t>扫描件</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首页、内容页、结尾页等完整页面</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否则不得分</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br w:type="textWrapping"/>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出具的检测报告必须由具备家具成品及其原辅材料检测能力并通过国家计量认证（CMA资质）的第三方检测机构提供</w:t>
            </w:r>
            <w:r>
              <w:rPr>
                <w:rFonts w:hint="eastAsia"/>
                <w:color w:val="000000" w:themeColor="text1"/>
                <w:sz w:val="24"/>
                <w:szCs w:val="24"/>
                <w:lang w:eastAsia="zh-CN"/>
                <w14:textFill>
                  <w14:solidFill>
                    <w14:schemeClr w14:val="tx1"/>
                  </w14:solidFill>
                </w14:textFill>
              </w:rPr>
              <w:t>。</w:t>
            </w:r>
          </w:p>
        </w:tc>
        <w:tc>
          <w:tcPr>
            <w:tcW w:w="665" w:type="dxa"/>
            <w:tcBorders>
              <w:top w:val="single" w:color="auto" w:sz="4" w:space="0"/>
              <w:left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color w:val="000000" w:themeColor="text1"/>
                <w:kern w:val="0"/>
                <w:sz w:val="24"/>
                <w:szCs w:val="24"/>
                <w:lang w:val="en-US" w:eastAsia="zh-CN"/>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trPr>
        <w:tc>
          <w:tcPr>
            <w:tcW w:w="1138" w:type="dxa"/>
            <w:vMerge w:val="continue"/>
            <w:tcBorders>
              <w:left w:val="single" w:color="auto" w:sz="4" w:space="0"/>
              <w:right w:val="single" w:color="auto" w:sz="4" w:space="0"/>
            </w:tcBorders>
            <w:vAlign w:val="center"/>
          </w:tcPr>
          <w:p>
            <w:pPr>
              <w:widowControl/>
              <w:jc w:val="center"/>
              <w:rPr>
                <w:rFonts w:ascii="宋体" w:hAnsi="宋体" w:cs="宋体"/>
                <w:b/>
                <w:color w:val="auto"/>
                <w:sz w:val="24"/>
                <w:szCs w:val="24"/>
              </w:rPr>
            </w:pPr>
          </w:p>
        </w:tc>
        <w:tc>
          <w:tcPr>
            <w:tcW w:w="8335" w:type="dxa"/>
            <w:tcBorders>
              <w:top w:val="single" w:color="auto" w:sz="4" w:space="0"/>
              <w:left w:val="single" w:color="auto" w:sz="4" w:space="0"/>
              <w:right w:val="single" w:color="auto" w:sz="4" w:space="0"/>
            </w:tcBorders>
            <w:vAlign w:val="top"/>
          </w:tcPr>
          <w:p>
            <w:pPr>
              <w:adjustRightInd w:val="0"/>
              <w:snapToGrid w:val="0"/>
              <w:spacing w:line="240" w:lineRule="auto"/>
              <w:jc w:val="left"/>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核心生产设备按品类，具体要求如下：</w:t>
            </w:r>
          </w:p>
          <w:p>
            <w:pPr>
              <w:adjustRightInd w:val="0"/>
              <w:snapToGrid w:val="0"/>
              <w:spacing w:line="240" w:lineRule="auto"/>
              <w:jc w:val="left"/>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1.人造板类：开料锯机、封边机、排钻床、冷压机、热压机、涂装设备、加工中心等；</w:t>
            </w:r>
          </w:p>
          <w:p>
            <w:pPr>
              <w:adjustRightInd w:val="0"/>
              <w:snapToGrid w:val="0"/>
              <w:spacing w:line="240" w:lineRule="auto"/>
              <w:jc w:val="left"/>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2.实木类：纵解锯机、横截锯机、平刨床、压刨床、拼板机、开榫机、加工中心、干燥房、涂装设备等；</w:t>
            </w:r>
          </w:p>
          <w:p>
            <w:pPr>
              <w:adjustRightInd w:val="0"/>
              <w:snapToGrid w:val="0"/>
              <w:spacing w:line="240" w:lineRule="auto"/>
              <w:jc w:val="left"/>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3.钢制类：切割设备、折弯机、焊接设备、涂装设备、冲床、钻床、加工中心等；</w:t>
            </w:r>
          </w:p>
          <w:p>
            <w:pPr>
              <w:adjustRightInd w:val="0"/>
              <w:snapToGrid w:val="0"/>
              <w:spacing w:line="240" w:lineRule="auto"/>
              <w:jc w:val="left"/>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4.钢木类：切割设备、弯管机、焊接设备、涂装设备、开料锯机、封边机、排钻床等。</w:t>
            </w:r>
          </w:p>
          <w:p>
            <w:pPr>
              <w:pStyle w:val="2"/>
              <w:spacing w:line="240" w:lineRule="auto"/>
              <w:rPr>
                <w:rFonts w:hint="eastAsia"/>
                <w:b w:val="0"/>
                <w:bCs/>
                <w:sz w:val="24"/>
                <w:szCs w:val="24"/>
              </w:rPr>
            </w:pPr>
            <w:r>
              <w:rPr>
                <w:rFonts w:hint="eastAsia"/>
                <w:b w:val="0"/>
                <w:bCs/>
                <w:color w:val="000000" w:themeColor="text1"/>
                <w:sz w:val="24"/>
                <w:szCs w:val="24"/>
                <w:lang w:eastAsia="zh-CN"/>
                <w14:textFill>
                  <w14:solidFill>
                    <w14:schemeClr w14:val="tx1"/>
                  </w14:solidFill>
                </w14:textFill>
              </w:rPr>
              <w:t>5.软体类：核心专业生产设备不单列。</w:t>
            </w:r>
          </w:p>
          <w:p>
            <w:pPr>
              <w:adjustRightInd w:val="0"/>
              <w:snapToGrid w:val="0"/>
              <w:spacing w:line="240" w:lineRule="auto"/>
              <w:jc w:val="left"/>
              <w:rPr>
                <w:rFonts w:hint="eastAsia"/>
                <w:sz w:val="24"/>
                <w:szCs w:val="24"/>
              </w:rPr>
            </w:pPr>
            <w:r>
              <w:rPr>
                <w:rFonts w:hint="eastAsia"/>
                <w:color w:val="000000" w:themeColor="text1"/>
                <w:sz w:val="24"/>
                <w:szCs w:val="24"/>
                <w14:textFill>
                  <w14:solidFill>
                    <w14:schemeClr w14:val="tx1"/>
                  </w14:solidFill>
                </w14:textFill>
              </w:rPr>
              <w:t>投标人</w:t>
            </w:r>
            <w:r>
              <w:rPr>
                <w:rFonts w:hint="eastAsia"/>
                <w:color w:val="000000" w:themeColor="text1"/>
                <w:sz w:val="24"/>
                <w:szCs w:val="24"/>
                <w:lang w:eastAsia="zh-CN"/>
                <w14:textFill>
                  <w14:solidFill>
                    <w14:schemeClr w14:val="tx1"/>
                  </w14:solidFill>
                </w14:textFill>
              </w:rPr>
              <w:t>提供</w:t>
            </w:r>
            <w:r>
              <w:rPr>
                <w:rFonts w:hint="eastAsia"/>
                <w:color w:val="000000" w:themeColor="text1"/>
                <w:sz w:val="24"/>
                <w:szCs w:val="24"/>
                <w14:textFill>
                  <w14:solidFill>
                    <w14:schemeClr w14:val="tx1"/>
                  </w14:solidFill>
                </w14:textFill>
              </w:rPr>
              <w:t>与本次采购产品相关的必要生产</w:t>
            </w:r>
            <w:r>
              <w:rPr>
                <w:rFonts w:hint="eastAsia"/>
                <w:color w:val="000000" w:themeColor="text1"/>
                <w:sz w:val="24"/>
                <w:szCs w:val="24"/>
                <w:lang w:eastAsia="zh-CN"/>
                <w14:textFill>
                  <w14:solidFill>
                    <w14:schemeClr w14:val="tx1"/>
                  </w14:solidFill>
                </w14:textFill>
              </w:rPr>
              <w:t>设备</w:t>
            </w:r>
            <w:r>
              <w:rPr>
                <w:rFonts w:hint="eastAsia"/>
                <w:color w:val="000000" w:themeColor="text1"/>
                <w:sz w:val="24"/>
                <w:szCs w:val="24"/>
                <w14:textFill>
                  <w14:solidFill>
                    <w14:schemeClr w14:val="tx1"/>
                  </w14:solidFill>
                </w14:textFill>
              </w:rPr>
              <w:t>和检测设备</w:t>
            </w:r>
            <w:r>
              <w:rPr>
                <w:rFonts w:hint="eastAsia"/>
                <w:color w:val="000000" w:themeColor="text1"/>
                <w:sz w:val="24"/>
                <w:szCs w:val="24"/>
                <w:lang w:eastAsia="zh-CN"/>
                <w14:textFill>
                  <w14:solidFill>
                    <w14:schemeClr w14:val="tx1"/>
                  </w14:solidFill>
                </w14:textFill>
              </w:rPr>
              <w:t>，根据设备的</w:t>
            </w:r>
            <w:r>
              <w:rPr>
                <w:rFonts w:hint="eastAsia"/>
                <w:color w:val="000000" w:themeColor="text1"/>
                <w:sz w:val="24"/>
                <w:szCs w:val="24"/>
                <w14:textFill>
                  <w14:solidFill>
                    <w14:schemeClr w14:val="tx1"/>
                  </w14:solidFill>
                </w14:textFill>
              </w:rPr>
              <w:t>情况（品牌、产地、规格、用途的详细说明）；</w:t>
            </w:r>
            <w:r>
              <w:rPr>
                <w:rFonts w:hint="eastAsia"/>
                <w:color w:val="000000" w:themeColor="text1"/>
                <w:sz w:val="24"/>
                <w:szCs w:val="24"/>
                <w:lang w:eastAsia="zh-CN"/>
                <w14:textFill>
                  <w14:solidFill>
                    <w14:schemeClr w14:val="tx1"/>
                  </w14:solidFill>
                </w14:textFill>
              </w:rPr>
              <w:t>须</w:t>
            </w:r>
            <w:r>
              <w:rPr>
                <w:rFonts w:hint="eastAsia"/>
                <w:color w:val="000000" w:themeColor="text1"/>
                <w:sz w:val="24"/>
                <w:szCs w:val="24"/>
                <w14:textFill>
                  <w14:solidFill>
                    <w14:schemeClr w14:val="tx1"/>
                  </w14:solidFill>
                </w14:textFill>
              </w:rPr>
              <w:t>提供设备照片、进货发票原件扫描件或相关证明，并制作在投标技术文件中。</w:t>
            </w:r>
          </w:p>
          <w:p>
            <w:pPr>
              <w:numPr>
                <w:ilvl w:val="0"/>
                <w:numId w:val="0"/>
              </w:numPr>
              <w:spacing w:line="24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①设备先进、使用性能佳、完全满足本次采购服务需求的给6-4.1分；</w:t>
            </w:r>
          </w:p>
          <w:p>
            <w:pPr>
              <w:numPr>
                <w:ilvl w:val="0"/>
                <w:numId w:val="0"/>
              </w:numPr>
              <w:spacing w:line="24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②设备齐全、使用性能一般、较满足本次采购服务需求的给4-2.1分；</w:t>
            </w:r>
          </w:p>
          <w:p>
            <w:pPr>
              <w:spacing w:line="240" w:lineRule="auto"/>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③设备简陋、使用性能差、基本满足本次采购服务需求的给2-0分。</w:t>
            </w:r>
          </w:p>
        </w:tc>
        <w:tc>
          <w:tcPr>
            <w:tcW w:w="665" w:type="dxa"/>
            <w:tcBorders>
              <w:top w:val="single" w:color="auto" w:sz="4" w:space="0"/>
              <w:left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color w:val="000000" w:themeColor="text1"/>
                <w:kern w:val="0"/>
                <w:sz w:val="24"/>
                <w:szCs w:val="24"/>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38" w:type="dxa"/>
            <w:vMerge w:val="continue"/>
            <w:tcBorders>
              <w:left w:val="single" w:color="auto" w:sz="4" w:space="0"/>
              <w:right w:val="single" w:color="auto" w:sz="4" w:space="0"/>
            </w:tcBorders>
            <w:vAlign w:val="center"/>
          </w:tcPr>
          <w:p>
            <w:pPr>
              <w:widowControl/>
              <w:jc w:val="center"/>
              <w:rPr>
                <w:rFonts w:ascii="宋体" w:hAnsi="宋体" w:cs="宋体"/>
                <w:b/>
                <w:color w:val="auto"/>
                <w:sz w:val="24"/>
                <w:szCs w:val="24"/>
              </w:rPr>
            </w:pPr>
          </w:p>
        </w:tc>
        <w:tc>
          <w:tcPr>
            <w:tcW w:w="8335" w:type="dxa"/>
            <w:tcBorders>
              <w:top w:val="single" w:color="auto" w:sz="4" w:space="0"/>
              <w:left w:val="single" w:color="auto" w:sz="4" w:space="0"/>
              <w:bottom w:val="single" w:color="auto" w:sz="4" w:space="0"/>
              <w:right w:val="single" w:color="auto" w:sz="4" w:space="0"/>
            </w:tcBorders>
            <w:vAlign w:val="top"/>
          </w:tcPr>
          <w:p>
            <w:pPr>
              <w:numPr>
                <w:ilvl w:val="0"/>
                <w:numId w:val="0"/>
              </w:numPr>
              <w:spacing w:line="24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技术团队履历及能力说明，须提供项目负责人、专业技术人员的</w:t>
            </w:r>
            <w:r>
              <w:rPr>
                <w:rFonts w:hint="eastAsia" w:ascii="宋体" w:hAnsi="宋体" w:cs="宋体"/>
                <w:color w:val="000000" w:themeColor="text1"/>
                <w:sz w:val="24"/>
                <w:szCs w:val="24"/>
                <w14:textFill>
                  <w14:solidFill>
                    <w14:schemeClr w14:val="tx1"/>
                  </w14:solidFill>
                </w14:textFill>
              </w:rPr>
              <w:t>职称证书、资历证明资料</w:t>
            </w:r>
            <w:r>
              <w:rPr>
                <w:rFonts w:hint="eastAsia" w:ascii="宋体" w:hAnsi="宋体"/>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提供技术岗位人员在投标单位近</w:t>
            </w:r>
            <w:r>
              <w:rPr>
                <w:rFonts w:hint="eastAsia" w:ascii="Times New Roman" w:hAnsi="Times New Roman" w:cs="Times New Roman"/>
                <w:color w:val="000000" w:themeColor="text1"/>
                <w:sz w:val="24"/>
                <w:szCs w:val="24"/>
                <w:lang w:val="en-US" w:eastAsia="zh-CN"/>
                <w14:textFill>
                  <w14:solidFill>
                    <w14:schemeClr w14:val="tx1"/>
                  </w14:solidFill>
                </w14:textFill>
              </w:rPr>
              <w:t>6</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个月社保缴纳证明（截止开标之日起）</w:t>
            </w:r>
          </w:p>
          <w:p>
            <w:pPr>
              <w:numPr>
                <w:ilvl w:val="0"/>
                <w:numId w:val="0"/>
              </w:numPr>
              <w:spacing w:line="24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①技术岗位职称、工作经验丰富，优于本次采购服务需求的给</w:t>
            </w:r>
            <w:r>
              <w:rPr>
                <w:rFonts w:hint="eastAsia" w:ascii="Times New Roman" w:hAnsi="Times New Roman" w:cs="Times New Roman"/>
                <w:color w:val="000000" w:themeColor="text1"/>
                <w:sz w:val="24"/>
                <w:szCs w:val="24"/>
                <w:lang w:val="en-US" w:eastAsia="zh-CN"/>
                <w14:textFill>
                  <w14:solidFill>
                    <w14:schemeClr w14:val="tx1"/>
                  </w14:solidFill>
                </w14:textFill>
              </w:rPr>
              <w:t>2</w:t>
            </w:r>
            <w:r>
              <w:rPr>
                <w:rFonts w:hint="eastAsia" w:cs="Times New Roman"/>
                <w:color w:val="000000" w:themeColor="text1"/>
                <w:sz w:val="24"/>
                <w:szCs w:val="24"/>
                <w:lang w:val="en-US" w:eastAsia="zh-CN"/>
                <w14:textFill>
                  <w14:solidFill>
                    <w14:schemeClr w14:val="tx1"/>
                  </w14:solidFill>
                </w14:textFill>
              </w:rPr>
              <w:t>.5</w:t>
            </w: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eastAsia" w:cs="Times New Roman"/>
                <w:color w:val="000000" w:themeColor="text1"/>
                <w:sz w:val="24"/>
                <w:szCs w:val="24"/>
                <w:lang w:val="en-US" w:eastAsia="zh-CN"/>
                <w14:textFill>
                  <w14:solidFill>
                    <w14:schemeClr w14:val="tx1"/>
                  </w14:solidFill>
                </w14:textFill>
              </w:rPr>
              <w:t>7</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②技术岗位职称、工作经验欠佳，</w:t>
            </w:r>
            <w:r>
              <w:rPr>
                <w:rFonts w:hint="eastAsia" w:cs="Times New Roman"/>
                <w:color w:val="000000" w:themeColor="text1"/>
                <w:sz w:val="24"/>
                <w:szCs w:val="24"/>
                <w:lang w:val="en-US" w:eastAsia="zh-CN"/>
                <w14:textFill>
                  <w14:solidFill>
                    <w14:schemeClr w14:val="tx1"/>
                  </w14:solidFill>
                </w14:textFill>
              </w:rPr>
              <w:t>较</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满足本次采购服务需求的给</w:t>
            </w: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eastAsia" w:cs="Times New Roman"/>
                <w:color w:val="000000" w:themeColor="text1"/>
                <w:sz w:val="24"/>
                <w:szCs w:val="24"/>
                <w:lang w:val="en-US" w:eastAsia="zh-CN"/>
                <w14:textFill>
                  <w14:solidFill>
                    <w14:schemeClr w14:val="tx1"/>
                  </w14:solidFill>
                </w14:textFill>
              </w:rPr>
              <w:t>6</w:t>
            </w:r>
            <w:r>
              <w:rPr>
                <w:rFonts w:hint="eastAsia" w:ascii="Times New Roman" w:hAnsi="Times New Roman" w:cs="Times New Roman"/>
                <w:color w:val="000000" w:themeColor="text1"/>
                <w:sz w:val="24"/>
                <w:szCs w:val="24"/>
                <w:lang w:val="en-US" w:eastAsia="zh-CN"/>
                <w14:textFill>
                  <w14:solidFill>
                    <w14:schemeClr w14:val="tx1"/>
                  </w14:solidFill>
                </w14:textFill>
              </w:rPr>
              <w:t>-0.</w:t>
            </w:r>
            <w:r>
              <w:rPr>
                <w:rFonts w:hint="eastAsia" w:cs="Times New Roman"/>
                <w:color w:val="000000" w:themeColor="text1"/>
                <w:sz w:val="24"/>
                <w:szCs w:val="24"/>
                <w:lang w:val="en-US" w:eastAsia="zh-CN"/>
                <w14:textFill>
                  <w14:solidFill>
                    <w14:schemeClr w14:val="tx1"/>
                  </w14:solidFill>
                </w14:textFill>
              </w:rPr>
              <w:t>8</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分；</w:t>
            </w:r>
          </w:p>
          <w:p>
            <w:pPr>
              <w:numPr>
                <w:ilvl w:val="0"/>
                <w:numId w:val="0"/>
              </w:numPr>
              <w:spacing w:line="240" w:lineRule="auto"/>
              <w:ind w:left="0" w:leftChars="0" w:firstLine="0" w:firstLineChars="0"/>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③技术岗位职称、工作经验不足，</w:t>
            </w:r>
            <w:r>
              <w:rPr>
                <w:rFonts w:hint="eastAsia"/>
                <w:color w:val="000000" w:themeColor="text1"/>
                <w:sz w:val="24"/>
                <w:szCs w:val="24"/>
                <w:lang w:val="en-US" w:eastAsia="zh-CN"/>
                <w14:textFill>
                  <w14:solidFill>
                    <w14:schemeClr w14:val="tx1"/>
                  </w14:solidFill>
                </w14:textFill>
              </w:rPr>
              <w:t>基本满足本次采购服务需求</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的给 </w:t>
            </w:r>
            <w:r>
              <w:rPr>
                <w:rFonts w:hint="eastAsia" w:ascii="Times New Roman" w:hAnsi="Times New Roman" w:cs="Times New Roman"/>
                <w:color w:val="000000" w:themeColor="text1"/>
                <w:sz w:val="24"/>
                <w:szCs w:val="24"/>
                <w:lang w:val="en-US" w:eastAsia="zh-CN"/>
                <w14:textFill>
                  <w14:solidFill>
                    <w14:schemeClr w14:val="tx1"/>
                  </w14:solidFill>
                </w14:textFill>
              </w:rPr>
              <w:t>0.</w:t>
            </w:r>
            <w:r>
              <w:rPr>
                <w:rFonts w:hint="eastAsia" w:cs="Times New Roman"/>
                <w:color w:val="000000" w:themeColor="text1"/>
                <w:sz w:val="24"/>
                <w:szCs w:val="24"/>
                <w:lang w:val="en-US" w:eastAsia="zh-CN"/>
                <w14:textFill>
                  <w14:solidFill>
                    <w14:schemeClr w14:val="tx1"/>
                  </w14:solidFill>
                </w14:textFill>
              </w:rPr>
              <w:t>7</w:t>
            </w:r>
            <w:r>
              <w:rPr>
                <w:rFonts w:hint="eastAsia" w:ascii="Times New Roman" w:hAnsi="Times New Roman" w:cs="Times New Roman"/>
                <w:color w:val="000000" w:themeColor="text1"/>
                <w:sz w:val="24"/>
                <w:szCs w:val="24"/>
                <w:lang w:val="en-US" w:eastAsia="zh-CN"/>
                <w14:textFill>
                  <w14:solidFill>
                    <w14:schemeClr w14:val="tx1"/>
                  </w14:solidFill>
                </w14:textFill>
              </w:rPr>
              <w:t>-0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分。</w:t>
            </w:r>
          </w:p>
        </w:tc>
        <w:tc>
          <w:tcPr>
            <w:tcW w:w="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38" w:type="dxa"/>
            <w:vMerge w:val="continue"/>
            <w:tcBorders>
              <w:left w:val="single" w:color="auto" w:sz="4" w:space="0"/>
              <w:right w:val="single" w:color="auto" w:sz="4" w:space="0"/>
            </w:tcBorders>
            <w:vAlign w:val="center"/>
          </w:tcPr>
          <w:p>
            <w:pPr>
              <w:widowControl/>
              <w:jc w:val="center"/>
              <w:rPr>
                <w:rFonts w:ascii="宋体" w:hAnsi="宋体" w:cs="宋体"/>
                <w:b/>
                <w:color w:val="auto"/>
                <w:sz w:val="24"/>
                <w:szCs w:val="24"/>
              </w:rPr>
            </w:pPr>
          </w:p>
        </w:tc>
        <w:tc>
          <w:tcPr>
            <w:tcW w:w="8335" w:type="dxa"/>
            <w:tcBorders>
              <w:top w:val="single" w:color="auto" w:sz="4" w:space="0"/>
              <w:left w:val="single" w:color="auto" w:sz="4" w:space="0"/>
              <w:bottom w:val="single" w:color="auto" w:sz="4" w:space="0"/>
              <w:right w:val="single" w:color="auto" w:sz="4" w:space="0"/>
            </w:tcBorders>
          </w:tcPr>
          <w:p>
            <w:pPr>
              <w:pStyle w:val="9"/>
              <w:spacing w:line="240" w:lineRule="auto"/>
              <w:ind w:left="0" w:leftChars="0" w:firstLine="0" w:firstLineChars="0"/>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项目实施规划方案，提出合理的项目整体实施方案，能按照项目分解节点，并可跟踪实施。</w:t>
            </w:r>
            <w:r>
              <w:rPr>
                <w:rFonts w:hint="eastAsia" w:ascii="宋体" w:hAnsi="宋体"/>
                <w:color w:val="000000" w:themeColor="text1"/>
                <w:sz w:val="24"/>
                <w:szCs w:val="24"/>
                <w14:textFill>
                  <w14:solidFill>
                    <w14:schemeClr w14:val="tx1"/>
                  </w14:solidFill>
                </w14:textFill>
              </w:rPr>
              <w:t>根据供应商提供</w:t>
            </w:r>
            <w:r>
              <w:rPr>
                <w:rFonts w:hint="eastAsia" w:ascii="宋体" w:hAnsi="宋体" w:cs="宋体"/>
                <w:color w:val="000000" w:themeColor="text1"/>
                <w:sz w:val="24"/>
                <w:szCs w:val="24"/>
                <w14:textFill>
                  <w14:solidFill>
                    <w14:schemeClr w14:val="tx1"/>
                  </w14:solidFill>
                </w14:textFill>
              </w:rPr>
              <w:t>方案定位</w:t>
            </w:r>
            <w:r>
              <w:rPr>
                <w:rFonts w:hint="eastAsia" w:ascii="宋体" w:hAnsi="宋体" w:cs="宋体"/>
                <w:color w:val="000000" w:themeColor="text1"/>
                <w:sz w:val="24"/>
                <w:szCs w:val="24"/>
                <w:lang w:eastAsia="zh-CN"/>
                <w14:textFill>
                  <w14:solidFill>
                    <w14:schemeClr w14:val="tx1"/>
                  </w14:solidFill>
                </w14:textFill>
              </w:rPr>
              <w:t>的</w:t>
            </w:r>
            <w:r>
              <w:rPr>
                <w:rFonts w:hint="eastAsia" w:ascii="宋体" w:hAnsi="宋体" w:cs="宋体"/>
                <w:color w:val="000000" w:themeColor="text1"/>
                <w:sz w:val="24"/>
                <w:szCs w:val="24"/>
                <w14:textFill>
                  <w14:solidFill>
                    <w14:schemeClr w14:val="tx1"/>
                  </w14:solidFill>
                </w14:textFill>
              </w:rPr>
              <w:t>准确性和针对性，科学性、合理性、完整性等，综合</w:t>
            </w:r>
            <w:r>
              <w:rPr>
                <w:rFonts w:hint="eastAsia" w:ascii="宋体" w:hAnsi="宋体" w:cs="宋体"/>
                <w:color w:val="000000" w:themeColor="text1"/>
                <w:kern w:val="0"/>
                <w:sz w:val="24"/>
                <w:szCs w:val="24"/>
                <w:lang w:bidi="ar"/>
                <w14:textFill>
                  <w14:solidFill>
                    <w14:schemeClr w14:val="tx1"/>
                  </w14:solidFill>
                </w14:textFill>
              </w:rPr>
              <w:t>评分</w:t>
            </w:r>
            <w:r>
              <w:rPr>
                <w:rFonts w:hint="eastAsia" w:ascii="宋体" w:hAnsi="宋体" w:cs="宋体"/>
                <w:color w:val="000000" w:themeColor="text1"/>
                <w:kern w:val="0"/>
                <w:sz w:val="24"/>
                <w:szCs w:val="24"/>
                <w:lang w:eastAsia="zh-CN" w:bidi="ar"/>
                <w14:textFill>
                  <w14:solidFill>
                    <w14:schemeClr w14:val="tx1"/>
                  </w14:solidFill>
                </w14:textFill>
              </w:rPr>
              <w:t>：</w:t>
            </w:r>
          </w:p>
          <w:p>
            <w:pPr>
              <w:numPr>
                <w:ilvl w:val="0"/>
                <w:numId w:val="0"/>
              </w:numPr>
              <w:spacing w:line="24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①方案详实、内容新颖、操作性强的给</w:t>
            </w:r>
            <w:r>
              <w:rPr>
                <w:rFonts w:hint="eastAsia" w:cs="Times New Roman"/>
                <w:color w:val="000000" w:themeColor="text1"/>
                <w:sz w:val="24"/>
                <w:szCs w:val="24"/>
                <w:lang w:val="en-US" w:eastAsia="zh-CN"/>
                <w14:textFill>
                  <w14:solidFill>
                    <w14:schemeClr w14:val="tx1"/>
                  </w14:solidFill>
                </w14:textFill>
              </w:rPr>
              <w:t>2-1.4</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②方案合理、内容完整、可操作的给</w:t>
            </w:r>
            <w:r>
              <w:rPr>
                <w:rFonts w:hint="eastAsia" w:cs="Times New Roman"/>
                <w:color w:val="000000" w:themeColor="text1"/>
                <w:sz w:val="24"/>
                <w:szCs w:val="24"/>
                <w:lang w:val="en-US" w:eastAsia="zh-CN"/>
                <w14:textFill>
                  <w14:solidFill>
                    <w14:schemeClr w14:val="tx1"/>
                  </w14:solidFill>
                </w14:textFill>
              </w:rPr>
              <w:t>1.3-0.7</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分；</w:t>
            </w:r>
          </w:p>
          <w:p>
            <w:pPr>
              <w:numPr>
                <w:ilvl w:val="0"/>
                <w:numId w:val="0"/>
              </w:numPr>
              <w:spacing w:line="240" w:lineRule="auto"/>
              <w:rPr>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③方案粗糙、内容缺漏、操作性差的给</w:t>
            </w:r>
            <w:r>
              <w:rPr>
                <w:rFonts w:hint="eastAsia" w:ascii="Times New Roman" w:hAnsi="Times New Roman" w:cs="Times New Roman"/>
                <w:color w:val="000000" w:themeColor="text1"/>
                <w:sz w:val="24"/>
                <w:szCs w:val="24"/>
                <w:lang w:val="en-US" w:eastAsia="zh-CN"/>
                <w14:textFill>
                  <w14:solidFill>
                    <w14:schemeClr w14:val="tx1"/>
                  </w14:solidFill>
                </w14:textFill>
              </w:rPr>
              <w:t>0.6-0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分。</w:t>
            </w:r>
          </w:p>
        </w:tc>
        <w:tc>
          <w:tcPr>
            <w:tcW w:w="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38" w:type="dxa"/>
            <w:vMerge w:val="continue"/>
            <w:tcBorders>
              <w:left w:val="single" w:color="auto" w:sz="4" w:space="0"/>
              <w:right w:val="single" w:color="auto" w:sz="4" w:space="0"/>
            </w:tcBorders>
            <w:vAlign w:val="center"/>
          </w:tcPr>
          <w:p>
            <w:pPr>
              <w:widowControl/>
              <w:jc w:val="center"/>
              <w:rPr>
                <w:rFonts w:ascii="宋体" w:hAnsi="宋体" w:cs="宋体"/>
                <w:b/>
                <w:color w:val="auto"/>
                <w:sz w:val="24"/>
                <w:szCs w:val="24"/>
              </w:rPr>
            </w:pPr>
          </w:p>
        </w:tc>
        <w:tc>
          <w:tcPr>
            <w:tcW w:w="8335" w:type="dxa"/>
            <w:tcBorders>
              <w:top w:val="single" w:color="auto" w:sz="4" w:space="0"/>
              <w:left w:val="single" w:color="auto" w:sz="4" w:space="0"/>
              <w:bottom w:val="single" w:color="auto" w:sz="4" w:space="0"/>
              <w:right w:val="single" w:color="auto" w:sz="4" w:space="0"/>
            </w:tcBorders>
          </w:tcPr>
          <w:p>
            <w:pPr>
              <w:pStyle w:val="9"/>
              <w:spacing w:line="240" w:lineRule="auto"/>
              <w:ind w:left="0" w:leftChars="0" w:firstLine="0" w:firstLineChars="0"/>
              <w:rPr>
                <w:rFonts w:hint="eastAsia"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生产实施方案，要具备生产能力，在规定的时间内有计划的完成项目需求产品的生产装配。根据供应商提供</w:t>
            </w:r>
            <w:r>
              <w:rPr>
                <w:rFonts w:hint="eastAsia" w:ascii="宋体" w:hAnsi="宋体" w:cs="宋体"/>
                <w:color w:val="000000" w:themeColor="text1"/>
                <w:sz w:val="24"/>
                <w:szCs w:val="24"/>
                <w14:textFill>
                  <w14:solidFill>
                    <w14:schemeClr w14:val="tx1"/>
                  </w14:solidFill>
                </w14:textFill>
              </w:rPr>
              <w:t>方案定位的准确性和针对性，科学性、合理性、完整性等，综合</w:t>
            </w:r>
            <w:r>
              <w:rPr>
                <w:rFonts w:hint="eastAsia" w:ascii="宋体" w:hAnsi="宋体" w:cs="宋体"/>
                <w:color w:val="000000" w:themeColor="text1"/>
                <w:kern w:val="0"/>
                <w:sz w:val="24"/>
                <w:szCs w:val="24"/>
                <w:lang w:bidi="ar"/>
                <w14:textFill>
                  <w14:solidFill>
                    <w14:schemeClr w14:val="tx1"/>
                  </w14:solidFill>
                </w14:textFill>
              </w:rPr>
              <w:t>评分</w:t>
            </w:r>
            <w:r>
              <w:rPr>
                <w:rFonts w:hint="eastAsia" w:ascii="宋体" w:hAnsi="宋体" w:cs="宋体"/>
                <w:color w:val="000000" w:themeColor="text1"/>
                <w:kern w:val="0"/>
                <w:sz w:val="24"/>
                <w:szCs w:val="24"/>
                <w:lang w:eastAsia="zh-CN" w:bidi="ar"/>
                <w14:textFill>
                  <w14:solidFill>
                    <w14:schemeClr w14:val="tx1"/>
                  </w14:solidFill>
                </w14:textFill>
              </w:rPr>
              <w:t>：</w:t>
            </w:r>
          </w:p>
          <w:p>
            <w:pPr>
              <w:numPr>
                <w:ilvl w:val="0"/>
                <w:numId w:val="0"/>
              </w:numPr>
              <w:spacing w:line="24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①方案详实、内容新颖、操作性强的给</w:t>
            </w:r>
            <w:r>
              <w:rPr>
                <w:rFonts w:hint="eastAsia" w:cs="Times New Roman"/>
                <w:color w:val="000000" w:themeColor="text1"/>
                <w:sz w:val="24"/>
                <w:szCs w:val="24"/>
                <w:lang w:val="en-US" w:eastAsia="zh-CN"/>
                <w14:textFill>
                  <w14:solidFill>
                    <w14:schemeClr w14:val="tx1"/>
                  </w14:solidFill>
                </w14:textFill>
              </w:rPr>
              <w:t>2-1.4</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②方案合理、内容完整、可操作的给</w:t>
            </w:r>
            <w:r>
              <w:rPr>
                <w:rFonts w:hint="eastAsia" w:cs="Times New Roman"/>
                <w:color w:val="000000" w:themeColor="text1"/>
                <w:sz w:val="24"/>
                <w:szCs w:val="24"/>
                <w:lang w:val="en-US" w:eastAsia="zh-CN"/>
                <w14:textFill>
                  <w14:solidFill>
                    <w14:schemeClr w14:val="tx1"/>
                  </w14:solidFill>
                </w14:textFill>
              </w:rPr>
              <w:t>1.3-0.7</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分；</w:t>
            </w:r>
          </w:p>
          <w:p>
            <w:pPr>
              <w:numPr>
                <w:ilvl w:val="0"/>
                <w:numId w:val="0"/>
              </w:numPr>
              <w:spacing w:line="240" w:lineRule="auto"/>
              <w:rPr>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③方案粗糙、内容缺漏、操作性差的给</w:t>
            </w:r>
            <w:r>
              <w:rPr>
                <w:rFonts w:hint="eastAsia" w:cs="Times New Roman"/>
                <w:color w:val="000000" w:themeColor="text1"/>
                <w:sz w:val="24"/>
                <w:szCs w:val="24"/>
                <w:lang w:val="en-US" w:eastAsia="zh-CN"/>
                <w14:textFill>
                  <w14:solidFill>
                    <w14:schemeClr w14:val="tx1"/>
                  </w14:solidFill>
                </w14:textFill>
              </w:rPr>
              <w:t>0.6-0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分。</w:t>
            </w:r>
          </w:p>
        </w:tc>
        <w:tc>
          <w:tcPr>
            <w:tcW w:w="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1138" w:type="dxa"/>
            <w:vMerge w:val="continue"/>
            <w:tcBorders>
              <w:left w:val="single" w:color="auto" w:sz="4" w:space="0"/>
              <w:right w:val="single" w:color="auto" w:sz="4" w:space="0"/>
            </w:tcBorders>
            <w:vAlign w:val="center"/>
          </w:tcPr>
          <w:p>
            <w:pPr>
              <w:widowControl/>
              <w:jc w:val="center"/>
              <w:rPr>
                <w:rFonts w:ascii="宋体" w:hAnsi="宋体" w:cs="宋体"/>
                <w:b/>
                <w:color w:val="auto"/>
                <w:sz w:val="24"/>
                <w:szCs w:val="24"/>
              </w:rPr>
            </w:pPr>
          </w:p>
        </w:tc>
        <w:tc>
          <w:tcPr>
            <w:tcW w:w="8335" w:type="dxa"/>
            <w:tcBorders>
              <w:top w:val="single" w:color="auto" w:sz="4" w:space="0"/>
              <w:left w:val="single" w:color="auto" w:sz="4" w:space="0"/>
              <w:bottom w:val="single" w:color="auto" w:sz="4" w:space="0"/>
              <w:right w:val="single" w:color="auto" w:sz="4" w:space="0"/>
            </w:tcBorders>
          </w:tcPr>
          <w:p>
            <w:pPr>
              <w:spacing w:line="240" w:lineRule="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品质管理管控过程，有独立品管部门和专门品管人员，确保产品生产过程中的质量控制完善。</w:t>
            </w:r>
            <w:r>
              <w:rPr>
                <w:rFonts w:hint="eastAsia"/>
                <w:color w:val="000000" w:themeColor="text1"/>
                <w:sz w:val="24"/>
                <w:szCs w:val="24"/>
                <w14:textFill>
                  <w14:solidFill>
                    <w14:schemeClr w14:val="tx1"/>
                  </w14:solidFill>
                </w14:textFill>
              </w:rPr>
              <w:t>根据供应商提供方案的定位准确性和针对性，科学性、合理性、完整性等，综合评分</w:t>
            </w:r>
            <w:r>
              <w:rPr>
                <w:rFonts w:hint="eastAsia"/>
                <w:color w:val="000000" w:themeColor="text1"/>
                <w:sz w:val="24"/>
                <w:szCs w:val="24"/>
                <w:lang w:eastAsia="zh-CN"/>
                <w14:textFill>
                  <w14:solidFill>
                    <w14:schemeClr w14:val="tx1"/>
                  </w14:solidFill>
                </w14:textFill>
              </w:rPr>
              <w:t>：</w:t>
            </w:r>
          </w:p>
          <w:p>
            <w:pPr>
              <w:spacing w:line="24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①方案详实、内容新颖、操作性强的给</w:t>
            </w:r>
            <w:r>
              <w:rPr>
                <w:rFonts w:hint="eastAsia" w:cs="Times New Roman"/>
                <w:color w:val="000000" w:themeColor="text1"/>
                <w:sz w:val="24"/>
                <w:szCs w:val="24"/>
                <w:lang w:val="en-US" w:eastAsia="zh-CN"/>
                <w14:textFill>
                  <w14:solidFill>
                    <w14:schemeClr w14:val="tx1"/>
                  </w14:solidFill>
                </w14:textFill>
              </w:rPr>
              <w:t>2-1.4</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②方案合理、内容完整、可操作的给</w:t>
            </w:r>
            <w:r>
              <w:rPr>
                <w:rFonts w:hint="eastAsia" w:cs="Times New Roman"/>
                <w:color w:val="000000" w:themeColor="text1"/>
                <w:sz w:val="24"/>
                <w:szCs w:val="24"/>
                <w:lang w:val="en-US" w:eastAsia="zh-CN"/>
                <w14:textFill>
                  <w14:solidFill>
                    <w14:schemeClr w14:val="tx1"/>
                  </w14:solidFill>
                </w14:textFill>
              </w:rPr>
              <w:t>1.3-0.7</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分；</w:t>
            </w:r>
          </w:p>
          <w:p>
            <w:pPr>
              <w:spacing w:line="240" w:lineRule="auto"/>
              <w:rPr>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③方案粗糙、内容缺漏、操作性差的给</w:t>
            </w:r>
            <w:r>
              <w:rPr>
                <w:rFonts w:hint="eastAsia" w:cs="Times New Roman"/>
                <w:color w:val="000000" w:themeColor="text1"/>
                <w:sz w:val="24"/>
                <w:szCs w:val="24"/>
                <w:lang w:val="en-US" w:eastAsia="zh-CN"/>
                <w14:textFill>
                  <w14:solidFill>
                    <w14:schemeClr w14:val="tx1"/>
                  </w14:solidFill>
                </w14:textFill>
              </w:rPr>
              <w:t>0.6-0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分。</w:t>
            </w:r>
          </w:p>
        </w:tc>
        <w:tc>
          <w:tcPr>
            <w:tcW w:w="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138" w:type="dxa"/>
            <w:vMerge w:val="continue"/>
            <w:tcBorders>
              <w:left w:val="single" w:color="auto" w:sz="4" w:space="0"/>
              <w:right w:val="single" w:color="auto" w:sz="4" w:space="0"/>
            </w:tcBorders>
            <w:vAlign w:val="center"/>
          </w:tcPr>
          <w:p>
            <w:pPr>
              <w:widowControl/>
              <w:jc w:val="center"/>
              <w:rPr>
                <w:rFonts w:ascii="宋体" w:hAnsi="宋体" w:cs="宋体"/>
                <w:b/>
                <w:color w:val="auto"/>
                <w:sz w:val="24"/>
                <w:szCs w:val="24"/>
              </w:rPr>
            </w:pPr>
          </w:p>
        </w:tc>
        <w:tc>
          <w:tcPr>
            <w:tcW w:w="8335" w:type="dxa"/>
            <w:tcBorders>
              <w:top w:val="single" w:color="auto" w:sz="4" w:space="0"/>
              <w:left w:val="single" w:color="auto" w:sz="4" w:space="0"/>
              <w:bottom w:val="single" w:color="auto" w:sz="4" w:space="0"/>
              <w:right w:val="single" w:color="auto" w:sz="4" w:space="0"/>
            </w:tcBorders>
          </w:tcPr>
          <w:p>
            <w:pPr>
              <w:spacing w:line="240" w:lineRule="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安装服务实施方案，安装方案的制定，根据货物交付时间节点，落实送货安装时间和人员安排，确保按期交付使用。</w:t>
            </w:r>
            <w:r>
              <w:rPr>
                <w:rFonts w:hint="eastAsia"/>
                <w:color w:val="000000" w:themeColor="text1"/>
                <w:sz w:val="24"/>
                <w:szCs w:val="24"/>
                <w14:textFill>
                  <w14:solidFill>
                    <w14:schemeClr w14:val="tx1"/>
                  </w14:solidFill>
                </w14:textFill>
              </w:rPr>
              <w:t>根据供应商提供方案的定位准确性和针对性，科学性、合理性、完整性等，综合评分</w:t>
            </w:r>
            <w:r>
              <w:rPr>
                <w:rFonts w:hint="eastAsia"/>
                <w:color w:val="000000" w:themeColor="text1"/>
                <w:sz w:val="24"/>
                <w:szCs w:val="24"/>
                <w:lang w:eastAsia="zh-CN"/>
                <w14:textFill>
                  <w14:solidFill>
                    <w14:schemeClr w14:val="tx1"/>
                  </w14:solidFill>
                </w14:textFill>
              </w:rPr>
              <w:t>：</w:t>
            </w:r>
          </w:p>
          <w:p>
            <w:pPr>
              <w:spacing w:line="24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①方案详实、内容新颖、操作性强的给</w:t>
            </w:r>
            <w:r>
              <w:rPr>
                <w:rFonts w:hint="eastAsia" w:cs="Times New Roman"/>
                <w:color w:val="000000" w:themeColor="text1"/>
                <w:sz w:val="24"/>
                <w:szCs w:val="24"/>
                <w:lang w:val="en-US" w:eastAsia="zh-CN"/>
                <w14:textFill>
                  <w14:solidFill>
                    <w14:schemeClr w14:val="tx1"/>
                  </w14:solidFill>
                </w14:textFill>
              </w:rPr>
              <w:t>2-1.4</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②方案合理、内容完整、可操作的给</w:t>
            </w:r>
            <w:r>
              <w:rPr>
                <w:rFonts w:hint="eastAsia" w:cs="Times New Roman"/>
                <w:color w:val="000000" w:themeColor="text1"/>
                <w:sz w:val="24"/>
                <w:szCs w:val="24"/>
                <w:lang w:val="en-US" w:eastAsia="zh-CN"/>
                <w14:textFill>
                  <w14:solidFill>
                    <w14:schemeClr w14:val="tx1"/>
                  </w14:solidFill>
                </w14:textFill>
              </w:rPr>
              <w:t>1.3-0.7</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分；</w:t>
            </w:r>
          </w:p>
          <w:p>
            <w:pPr>
              <w:pStyle w:val="9"/>
              <w:spacing w:line="240" w:lineRule="auto"/>
              <w:ind w:left="0" w:leftChars="0" w:firstLine="0" w:firstLineChars="0"/>
              <w:rPr>
                <w:rFonts w:hint="eastAsia"/>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③方案粗糙、内容缺漏、操作性差的给</w:t>
            </w:r>
            <w:r>
              <w:rPr>
                <w:rFonts w:hint="eastAsia" w:cs="Times New Roman"/>
                <w:color w:val="000000" w:themeColor="text1"/>
                <w:sz w:val="24"/>
                <w:szCs w:val="24"/>
                <w:lang w:val="en-US" w:eastAsia="zh-CN"/>
                <w14:textFill>
                  <w14:solidFill>
                    <w14:schemeClr w14:val="tx1"/>
                  </w14:solidFill>
                </w14:textFill>
              </w:rPr>
              <w:t>0.6-0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分。</w:t>
            </w:r>
          </w:p>
        </w:tc>
        <w:tc>
          <w:tcPr>
            <w:tcW w:w="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trPr>
        <w:tc>
          <w:tcPr>
            <w:tcW w:w="1138" w:type="dxa"/>
            <w:vMerge w:val="continue"/>
            <w:tcBorders>
              <w:left w:val="single" w:color="auto" w:sz="4" w:space="0"/>
              <w:right w:val="single" w:color="auto" w:sz="4" w:space="0"/>
            </w:tcBorders>
            <w:vAlign w:val="center"/>
          </w:tcPr>
          <w:p>
            <w:pPr>
              <w:widowControl/>
              <w:jc w:val="center"/>
              <w:rPr>
                <w:rFonts w:ascii="宋体" w:hAnsi="宋体" w:cs="宋体"/>
                <w:b/>
                <w:color w:val="auto"/>
                <w:sz w:val="24"/>
                <w:szCs w:val="24"/>
              </w:rPr>
            </w:pPr>
          </w:p>
        </w:tc>
        <w:tc>
          <w:tcPr>
            <w:tcW w:w="8335" w:type="dxa"/>
            <w:tcBorders>
              <w:top w:val="single" w:color="auto" w:sz="4" w:space="0"/>
              <w:left w:val="single" w:color="auto" w:sz="4" w:space="0"/>
              <w:bottom w:val="single" w:color="auto" w:sz="4" w:space="0"/>
              <w:right w:val="single" w:color="auto" w:sz="4" w:space="0"/>
            </w:tcBorders>
          </w:tcPr>
          <w:p>
            <w:pPr>
              <w:pStyle w:val="9"/>
              <w:spacing w:line="240" w:lineRule="auto"/>
              <w:ind w:left="0" w:leftChars="0" w:firstLine="0" w:firstLineChars="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其余技术规格响应情况。除核心性能技术指标外的其余技术规格均满足得</w:t>
            </w:r>
            <w:r>
              <w:rPr>
                <w:rFonts w:hint="eastAsia"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分，每一项负偏离扣0.5分，扣完为止。</w:t>
            </w:r>
          </w:p>
        </w:tc>
        <w:tc>
          <w:tcPr>
            <w:tcW w:w="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38" w:type="dxa"/>
            <w:vMerge w:val="continue"/>
            <w:tcBorders>
              <w:left w:val="single" w:color="auto" w:sz="4" w:space="0"/>
              <w:right w:val="single" w:color="auto" w:sz="4" w:space="0"/>
            </w:tcBorders>
            <w:vAlign w:val="center"/>
          </w:tcPr>
          <w:p>
            <w:pPr>
              <w:widowControl/>
              <w:jc w:val="center"/>
              <w:rPr>
                <w:rFonts w:ascii="宋体" w:hAnsi="宋体" w:cs="宋体"/>
                <w:b/>
                <w:color w:val="auto"/>
                <w:sz w:val="24"/>
                <w:szCs w:val="24"/>
              </w:rPr>
            </w:pPr>
          </w:p>
        </w:tc>
        <w:tc>
          <w:tcPr>
            <w:tcW w:w="8335"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b/>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样品</w:t>
            </w:r>
            <w:r>
              <w:rPr>
                <w:rFonts w:hint="eastAsia" w:ascii="宋体" w:hAnsi="宋体"/>
                <w:color w:val="000000" w:themeColor="text1"/>
                <w:sz w:val="24"/>
                <w:szCs w:val="24"/>
                <w:lang w:val="en-US" w:eastAsia="zh-CN"/>
                <w14:textFill>
                  <w14:solidFill>
                    <w14:schemeClr w14:val="tx1"/>
                  </w14:solidFill>
                </w14:textFill>
              </w:rPr>
              <w:t>21</w:t>
            </w:r>
            <w:r>
              <w:rPr>
                <w:rFonts w:hint="eastAsia" w:ascii="宋体" w:hAnsi="宋体"/>
                <w:color w:val="000000" w:themeColor="text1"/>
                <w:sz w:val="24"/>
                <w:szCs w:val="24"/>
                <w14:textFill>
                  <w14:solidFill>
                    <w14:schemeClr w14:val="tx1"/>
                  </w14:solidFill>
                </w14:textFill>
              </w:rPr>
              <w:t>分；评分规则附后。</w:t>
            </w:r>
          </w:p>
        </w:tc>
        <w:tc>
          <w:tcPr>
            <w:tcW w:w="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eastAsia="宋体"/>
                <w:color w:val="000000" w:themeColor="text1"/>
                <w:kern w:val="0"/>
                <w:sz w:val="24"/>
                <w:szCs w:val="24"/>
                <w:lang w:val="en-US" w:eastAsia="zh-CN"/>
                <w14:textFill>
                  <w14:solidFill>
                    <w14:schemeClr w14:val="tx1"/>
                  </w14:solidFill>
                </w14:textFill>
              </w:rPr>
            </w:pPr>
            <w:r>
              <w:rPr>
                <w:rFonts w:hint="eastAsia" w:ascii="宋体"/>
                <w:color w:val="000000" w:themeColor="text1"/>
                <w:kern w:val="0"/>
                <w:sz w:val="24"/>
                <w:szCs w:val="24"/>
                <w:lang w:val="en-US" w:eastAsia="zh-CN"/>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138" w:type="dxa"/>
            <w:vMerge w:val="restart"/>
            <w:tcBorders>
              <w:top w:val="single" w:color="auto" w:sz="4" w:space="0"/>
              <w:left w:val="single" w:color="auto" w:sz="4" w:space="0"/>
              <w:right w:val="single" w:color="auto" w:sz="4" w:space="0"/>
            </w:tcBorders>
            <w:vAlign w:val="center"/>
          </w:tcPr>
          <w:p>
            <w:pPr>
              <w:widowControl/>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rPr>
              <w:t>实力信誉及业绩</w:t>
            </w:r>
            <w:r>
              <w:rPr>
                <w:rFonts w:hint="eastAsia" w:ascii="宋体" w:hAnsi="宋体" w:cs="宋体"/>
                <w:b/>
                <w:color w:val="auto"/>
                <w:sz w:val="24"/>
                <w:szCs w:val="24"/>
                <w:lang w:val="en-US" w:eastAsia="zh-CN"/>
              </w:rPr>
              <w:t>12</w:t>
            </w:r>
          </w:p>
        </w:tc>
        <w:tc>
          <w:tcPr>
            <w:tcW w:w="8335" w:type="dxa"/>
            <w:tcBorders>
              <w:top w:val="single" w:color="auto" w:sz="4" w:space="0"/>
              <w:left w:val="single" w:color="auto" w:sz="4" w:space="0"/>
              <w:bottom w:val="single" w:color="auto" w:sz="4" w:space="0"/>
              <w:right w:val="single" w:color="auto" w:sz="4" w:space="0"/>
            </w:tcBorders>
            <w:vAlign w:val="center"/>
          </w:tcPr>
          <w:p>
            <w:pPr>
              <w:pStyle w:val="34"/>
              <w:spacing w:line="240" w:lineRule="auto"/>
              <w:rPr>
                <w:rFonts w:hint="eastAsia" w:ascii="宋体" w:hAnsi="宋体" w:cs="Times New Roman"/>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投标主要产品的生产厂家</w:t>
            </w:r>
            <w:r>
              <w:rPr>
                <w:rFonts w:hint="eastAsia" w:ascii="宋体" w:hAnsi="宋体" w:cs="宋体"/>
                <w:color w:val="000000" w:themeColor="text1"/>
                <w:kern w:val="0"/>
                <w:sz w:val="24"/>
                <w:szCs w:val="24"/>
                <w:lang w:eastAsia="zh-CN"/>
                <w14:textFill>
                  <w14:solidFill>
                    <w14:schemeClr w14:val="tx1"/>
                  </w14:solidFill>
                </w14:textFill>
              </w:rPr>
              <w:t>或投标人</w:t>
            </w:r>
            <w:r>
              <w:rPr>
                <w:rFonts w:hint="eastAsia" w:ascii="宋体" w:hAnsi="宋体"/>
                <w:color w:val="000000" w:themeColor="text1"/>
                <w:sz w:val="24"/>
                <w:szCs w:val="24"/>
                <w14:textFill>
                  <w14:solidFill>
                    <w14:schemeClr w14:val="tx1"/>
                  </w14:solidFill>
                </w14:textFill>
              </w:rPr>
              <w:t>具有ISO9001质量管理体系认证证书，</w:t>
            </w:r>
            <w:r>
              <w:rPr>
                <w:rFonts w:hint="eastAsia" w:ascii="宋体" w:hAnsi="宋体" w:cs="Times New Roman"/>
                <w:color w:val="000000" w:themeColor="text1"/>
                <w:sz w:val="24"/>
                <w:szCs w:val="24"/>
                <w14:textFill>
                  <w14:solidFill>
                    <w14:schemeClr w14:val="tx1"/>
                  </w14:solidFill>
                </w14:textFill>
              </w:rPr>
              <w:t>ISO14001环境管理体系认证证书，ISO45001职业健康安全管理体系认证证书(或GB/T28001职业健康安全管理体系认证证书)</w:t>
            </w:r>
            <w:r>
              <w:rPr>
                <w:rFonts w:hint="eastAsia" w:ascii="宋体" w:hAnsi="宋体" w:cs="Times New Roman"/>
                <w:color w:val="000000" w:themeColor="text1"/>
                <w:sz w:val="24"/>
                <w:szCs w:val="24"/>
                <w:lang w:eastAsia="zh-CN"/>
                <w14:textFill>
                  <w14:solidFill>
                    <w14:schemeClr w14:val="tx1"/>
                  </w14:solidFill>
                </w14:textFill>
              </w:rPr>
              <w:t>，</w:t>
            </w:r>
            <w:r>
              <w:rPr>
                <w:rFonts w:hint="eastAsia" w:ascii="宋体" w:hAnsi="宋体" w:cs="Times New Roman"/>
                <w:color w:val="000000" w:themeColor="text1"/>
                <w:sz w:val="24"/>
                <w:szCs w:val="24"/>
                <w14:textFill>
                  <w14:solidFill>
                    <w14:schemeClr w14:val="tx1"/>
                  </w14:solidFill>
                </w14:textFill>
              </w:rPr>
              <w:t>证书必须在有效期内，根据证书认证范围</w:t>
            </w:r>
            <w:r>
              <w:rPr>
                <w:rFonts w:hint="eastAsia" w:ascii="宋体" w:hAnsi="宋体" w:cs="Times New Roman"/>
                <w:color w:val="000000" w:themeColor="text1"/>
                <w:sz w:val="24"/>
                <w:szCs w:val="24"/>
                <w:lang w:eastAsia="zh-CN"/>
                <w14:textFill>
                  <w14:solidFill>
                    <w14:schemeClr w14:val="tx1"/>
                  </w14:solidFill>
                </w14:textFill>
              </w:rPr>
              <w:t>的覆盖范围，进行</w:t>
            </w:r>
            <w:r>
              <w:rPr>
                <w:rFonts w:hint="eastAsia" w:ascii="宋体" w:hAnsi="宋体" w:cs="Times New Roman"/>
                <w:color w:val="000000" w:themeColor="text1"/>
                <w:sz w:val="24"/>
                <w:szCs w:val="24"/>
                <w14:textFill>
                  <w14:solidFill>
                    <w14:schemeClr w14:val="tx1"/>
                  </w14:solidFill>
                </w14:textFill>
              </w:rPr>
              <w:t>综合评分（须提供原件扫描件</w:t>
            </w:r>
            <w:r>
              <w:rPr>
                <w:rFonts w:hint="eastAsia" w:ascii="宋体" w:hAnsi="宋体" w:cs="Times New Roman"/>
                <w:color w:val="000000" w:themeColor="text1"/>
                <w:sz w:val="24"/>
                <w:szCs w:val="24"/>
                <w:lang w:eastAsia="zh-CN"/>
                <w14:textFill>
                  <w14:solidFill>
                    <w14:schemeClr w14:val="tx1"/>
                  </w14:solidFill>
                </w14:textFill>
              </w:rPr>
              <w:t>，</w:t>
            </w:r>
            <w:r>
              <w:rPr>
                <w:rFonts w:hint="eastAsia" w:ascii="宋体" w:hAnsi="宋体" w:cs="Times New Roman"/>
                <w:color w:val="000000" w:themeColor="text1"/>
                <w:sz w:val="24"/>
                <w:szCs w:val="24"/>
                <w14:textFill>
                  <w14:solidFill>
                    <w14:schemeClr w14:val="tx1"/>
                  </w14:solidFill>
                </w14:textFill>
              </w:rPr>
              <w:t>否则不得分）。</w:t>
            </w:r>
          </w:p>
          <w:p>
            <w:pPr>
              <w:pStyle w:val="34"/>
              <w:spacing w:line="240" w:lineRule="auto"/>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①</w:t>
            </w:r>
            <w:r>
              <w:rPr>
                <w:rFonts w:hint="eastAsia" w:ascii="宋体" w:hAnsi="宋体" w:cs="Times New Roman"/>
                <w:color w:val="000000" w:themeColor="text1"/>
                <w:sz w:val="24"/>
                <w:szCs w:val="24"/>
                <w14:textFill>
                  <w14:solidFill>
                    <w14:schemeClr w14:val="tx1"/>
                  </w14:solidFill>
                </w14:textFill>
              </w:rPr>
              <w:t>认证</w:t>
            </w:r>
            <w:r>
              <w:rPr>
                <w:rFonts w:hint="eastAsia" w:ascii="宋体" w:hAnsi="宋体" w:cs="Times New Roman"/>
                <w:color w:val="000000" w:themeColor="text1"/>
                <w:sz w:val="24"/>
                <w:szCs w:val="24"/>
                <w:lang w:eastAsia="zh-CN"/>
                <w14:textFill>
                  <w14:solidFill>
                    <w14:schemeClr w14:val="tx1"/>
                  </w14:solidFill>
                </w14:textFill>
              </w:rPr>
              <w:t>覆盖</w:t>
            </w:r>
            <w:r>
              <w:rPr>
                <w:rFonts w:hint="eastAsia" w:ascii="宋体" w:hAnsi="宋体" w:cs="Times New Roman"/>
                <w:color w:val="000000" w:themeColor="text1"/>
                <w:sz w:val="24"/>
                <w:szCs w:val="24"/>
                <w14:textFill>
                  <w14:solidFill>
                    <w14:schemeClr w14:val="tx1"/>
                  </w14:solidFill>
                </w14:textFill>
              </w:rPr>
              <w:t>范围</w:t>
            </w:r>
            <w:r>
              <w:rPr>
                <w:rFonts w:hint="eastAsia" w:ascii="宋体" w:hAnsi="宋体" w:cs="Times New Roman"/>
                <w:color w:val="000000" w:themeColor="text1"/>
                <w:sz w:val="24"/>
                <w:szCs w:val="24"/>
                <w:lang w:eastAsia="zh-CN"/>
                <w14:textFill>
                  <w14:solidFill>
                    <w14:schemeClr w14:val="tx1"/>
                  </w14:solidFill>
                </w14:textFill>
              </w:rPr>
              <w:t>宽泛，范围与所需产品完全吻合的</w:t>
            </w:r>
            <w:r>
              <w:rPr>
                <w:rFonts w:hint="eastAsia" w:ascii="宋体" w:hAnsi="宋体" w:cs="Times New Roman"/>
                <w:color w:val="000000" w:themeColor="text1"/>
                <w:sz w:val="24"/>
                <w:szCs w:val="24"/>
                <w:lang w:val="en-US" w:eastAsia="zh-CN"/>
                <w14:textFill>
                  <w14:solidFill>
                    <w14:schemeClr w14:val="tx1"/>
                  </w14:solidFill>
                </w14:textFill>
              </w:rPr>
              <w:t>给3分；</w:t>
            </w:r>
          </w:p>
          <w:p>
            <w:pPr>
              <w:pStyle w:val="34"/>
              <w:spacing w:line="240" w:lineRule="auto"/>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②</w:t>
            </w:r>
            <w:r>
              <w:rPr>
                <w:rFonts w:hint="eastAsia" w:ascii="宋体" w:hAnsi="宋体" w:cs="Times New Roman"/>
                <w:color w:val="000000" w:themeColor="text1"/>
                <w:sz w:val="24"/>
                <w:szCs w:val="24"/>
                <w14:textFill>
                  <w14:solidFill>
                    <w14:schemeClr w14:val="tx1"/>
                  </w14:solidFill>
                </w14:textFill>
              </w:rPr>
              <w:t>认证</w:t>
            </w:r>
            <w:r>
              <w:rPr>
                <w:rFonts w:hint="eastAsia" w:ascii="宋体" w:hAnsi="宋体" w:cs="Times New Roman"/>
                <w:color w:val="000000" w:themeColor="text1"/>
                <w:sz w:val="24"/>
                <w:szCs w:val="24"/>
                <w:lang w:eastAsia="zh-CN"/>
                <w14:textFill>
                  <w14:solidFill>
                    <w14:schemeClr w14:val="tx1"/>
                  </w14:solidFill>
                </w14:textFill>
              </w:rPr>
              <w:t>覆盖</w:t>
            </w:r>
            <w:r>
              <w:rPr>
                <w:rFonts w:hint="eastAsia" w:ascii="宋体" w:hAnsi="宋体" w:cs="Times New Roman"/>
                <w:color w:val="000000" w:themeColor="text1"/>
                <w:sz w:val="24"/>
                <w:szCs w:val="24"/>
                <w14:textFill>
                  <w14:solidFill>
                    <w14:schemeClr w14:val="tx1"/>
                  </w14:solidFill>
                </w14:textFill>
              </w:rPr>
              <w:t>范围</w:t>
            </w:r>
            <w:r>
              <w:rPr>
                <w:rFonts w:hint="eastAsia" w:ascii="宋体" w:hAnsi="宋体" w:cs="Times New Roman"/>
                <w:color w:val="000000" w:themeColor="text1"/>
                <w:sz w:val="24"/>
                <w:szCs w:val="24"/>
                <w:lang w:eastAsia="zh-CN"/>
                <w14:textFill>
                  <w14:solidFill>
                    <w14:schemeClr w14:val="tx1"/>
                  </w14:solidFill>
                </w14:textFill>
              </w:rPr>
              <w:t>较广，范围与所需产品较吻合的</w:t>
            </w:r>
            <w:r>
              <w:rPr>
                <w:rFonts w:hint="eastAsia" w:ascii="宋体" w:hAnsi="宋体" w:cs="Times New Roman"/>
                <w:color w:val="000000" w:themeColor="text1"/>
                <w:sz w:val="24"/>
                <w:szCs w:val="24"/>
                <w:lang w:val="en-US" w:eastAsia="zh-CN"/>
                <w14:textFill>
                  <w14:solidFill>
                    <w14:schemeClr w14:val="tx1"/>
                  </w14:solidFill>
                </w14:textFill>
              </w:rPr>
              <w:t>给2.5-1.5分；</w:t>
            </w:r>
          </w:p>
          <w:p>
            <w:pPr>
              <w:pStyle w:val="34"/>
              <w:spacing w:line="240" w:lineRule="auto"/>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③</w:t>
            </w:r>
            <w:r>
              <w:rPr>
                <w:rFonts w:hint="eastAsia" w:ascii="宋体" w:hAnsi="宋体" w:cs="Times New Roman"/>
                <w:color w:val="000000" w:themeColor="text1"/>
                <w:sz w:val="24"/>
                <w:szCs w:val="24"/>
                <w14:textFill>
                  <w14:solidFill>
                    <w14:schemeClr w14:val="tx1"/>
                  </w14:solidFill>
                </w14:textFill>
              </w:rPr>
              <w:t>认证</w:t>
            </w:r>
            <w:r>
              <w:rPr>
                <w:rFonts w:hint="eastAsia" w:ascii="宋体" w:hAnsi="宋体" w:cs="Times New Roman"/>
                <w:color w:val="000000" w:themeColor="text1"/>
                <w:sz w:val="24"/>
                <w:szCs w:val="24"/>
                <w:lang w:eastAsia="zh-CN"/>
                <w14:textFill>
                  <w14:solidFill>
                    <w14:schemeClr w14:val="tx1"/>
                  </w14:solidFill>
                </w14:textFill>
              </w:rPr>
              <w:t>覆盖</w:t>
            </w:r>
            <w:r>
              <w:rPr>
                <w:rFonts w:hint="eastAsia" w:ascii="宋体" w:hAnsi="宋体" w:cs="Times New Roman"/>
                <w:color w:val="000000" w:themeColor="text1"/>
                <w:sz w:val="24"/>
                <w:szCs w:val="24"/>
                <w14:textFill>
                  <w14:solidFill>
                    <w14:schemeClr w14:val="tx1"/>
                  </w14:solidFill>
                </w14:textFill>
              </w:rPr>
              <w:t>范围</w:t>
            </w:r>
            <w:r>
              <w:rPr>
                <w:rFonts w:hint="eastAsia" w:ascii="宋体" w:hAnsi="宋体" w:cs="Times New Roman"/>
                <w:color w:val="000000" w:themeColor="text1"/>
                <w:sz w:val="24"/>
                <w:szCs w:val="24"/>
                <w:lang w:eastAsia="zh-CN"/>
                <w14:textFill>
                  <w14:solidFill>
                    <w14:schemeClr w14:val="tx1"/>
                  </w14:solidFill>
                </w14:textFill>
              </w:rPr>
              <w:t>单一，范围与所需产品吻合低的</w:t>
            </w:r>
            <w:r>
              <w:rPr>
                <w:rFonts w:hint="eastAsia" w:ascii="宋体" w:hAnsi="宋体" w:cs="Times New Roman"/>
                <w:color w:val="000000" w:themeColor="text1"/>
                <w:sz w:val="24"/>
                <w:szCs w:val="24"/>
                <w:lang w:val="en-US" w:eastAsia="zh-CN"/>
                <w14:textFill>
                  <w14:solidFill>
                    <w14:schemeClr w14:val="tx1"/>
                  </w14:solidFill>
                </w14:textFill>
              </w:rPr>
              <w:t>给1.4-0.4分。</w:t>
            </w:r>
          </w:p>
          <w:p>
            <w:pPr>
              <w:pStyle w:val="34"/>
              <w:spacing w:line="240" w:lineRule="auto"/>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④</w:t>
            </w:r>
            <w:r>
              <w:rPr>
                <w:rFonts w:hint="eastAsia" w:ascii="宋体" w:hAnsi="宋体" w:cs="Times New Roman"/>
                <w:color w:val="000000" w:themeColor="text1"/>
                <w:sz w:val="24"/>
                <w:szCs w:val="24"/>
                <w14:textFill>
                  <w14:solidFill>
                    <w14:schemeClr w14:val="tx1"/>
                  </w14:solidFill>
                </w14:textFill>
              </w:rPr>
              <w:t>认证</w:t>
            </w:r>
            <w:r>
              <w:rPr>
                <w:rFonts w:hint="eastAsia" w:ascii="宋体" w:hAnsi="宋体" w:cs="Times New Roman"/>
                <w:color w:val="000000" w:themeColor="text1"/>
                <w:sz w:val="24"/>
                <w:szCs w:val="24"/>
                <w:lang w:eastAsia="zh-CN"/>
                <w14:textFill>
                  <w14:solidFill>
                    <w14:schemeClr w14:val="tx1"/>
                  </w14:solidFill>
                </w14:textFill>
              </w:rPr>
              <w:t>覆盖范围与所需产品不吻合的，</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此项不得分。</w:t>
            </w:r>
          </w:p>
        </w:tc>
        <w:tc>
          <w:tcPr>
            <w:tcW w:w="66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s="Times New Roman"/>
                <w:color w:val="000000" w:themeColor="text1"/>
                <w:kern w:val="2"/>
                <w:sz w:val="24"/>
                <w:szCs w:val="24"/>
                <w:lang w:val="en-US" w:eastAsia="zh-CN"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trPr>
        <w:tc>
          <w:tcPr>
            <w:tcW w:w="1138" w:type="dxa"/>
            <w:vMerge w:val="continue"/>
            <w:tcBorders>
              <w:left w:val="single" w:color="auto" w:sz="4" w:space="0"/>
              <w:right w:val="single" w:color="auto" w:sz="4" w:space="0"/>
            </w:tcBorders>
            <w:vAlign w:val="center"/>
          </w:tcPr>
          <w:p>
            <w:pPr>
              <w:widowControl/>
              <w:jc w:val="center"/>
              <w:rPr>
                <w:rFonts w:hint="eastAsia" w:ascii="宋体" w:hAnsi="宋体" w:cs="宋体"/>
                <w:b/>
                <w:color w:val="auto"/>
                <w:sz w:val="24"/>
                <w:szCs w:val="24"/>
              </w:rPr>
            </w:pPr>
          </w:p>
        </w:tc>
        <w:tc>
          <w:tcPr>
            <w:tcW w:w="8335" w:type="dxa"/>
            <w:tcBorders>
              <w:top w:val="single" w:color="auto" w:sz="4" w:space="0"/>
              <w:left w:val="single" w:color="auto" w:sz="4" w:space="0"/>
              <w:bottom w:val="single" w:color="auto" w:sz="4" w:space="0"/>
              <w:right w:val="single" w:color="auto" w:sz="4" w:space="0"/>
            </w:tcBorders>
            <w:vAlign w:val="top"/>
          </w:tcPr>
          <w:p>
            <w:pPr>
              <w:pStyle w:val="34"/>
              <w:spacing w:line="240" w:lineRule="auto"/>
              <w:rPr>
                <w:rFonts w:hint="eastAsia" w:ascii="宋体" w:hAnsi="宋体" w:cs="宋体"/>
                <w:color w:val="000000" w:themeColor="text1"/>
                <w:kern w:val="0"/>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投标主要产品的</w:t>
            </w:r>
            <w:r>
              <w:rPr>
                <w:rFonts w:hint="eastAsia" w:ascii="宋体" w:hAnsi="宋体" w:cs="宋体"/>
                <w:color w:val="000000" w:themeColor="text1"/>
                <w:kern w:val="0"/>
                <w:sz w:val="24"/>
                <w:szCs w:val="24"/>
                <w14:textFill>
                  <w14:solidFill>
                    <w14:schemeClr w14:val="tx1"/>
                  </w14:solidFill>
                </w14:textFill>
              </w:rPr>
              <w:t>生产厂家</w:t>
            </w:r>
            <w:r>
              <w:rPr>
                <w:rFonts w:hint="eastAsia" w:ascii="宋体" w:hAnsi="宋体" w:cs="宋体"/>
                <w:color w:val="000000" w:themeColor="text1"/>
                <w:kern w:val="0"/>
                <w:sz w:val="24"/>
                <w:szCs w:val="24"/>
                <w:lang w:eastAsia="zh-CN"/>
                <w14:textFill>
                  <w14:solidFill>
                    <w14:schemeClr w14:val="tx1"/>
                  </w14:solidFill>
                </w14:textFill>
              </w:rPr>
              <w:t>或投标人</w:t>
            </w:r>
            <w:r>
              <w:rPr>
                <w:rFonts w:hint="eastAsia" w:ascii="宋体" w:hAnsi="宋体" w:cs="宋体"/>
                <w:color w:val="000000" w:themeColor="text1"/>
                <w:kern w:val="0"/>
                <w:sz w:val="24"/>
                <w:szCs w:val="24"/>
                <w14:textFill>
                  <w14:solidFill>
                    <w14:schemeClr w14:val="tx1"/>
                  </w14:solidFill>
                </w14:textFill>
              </w:rPr>
              <w:t>具有CQC中国环保产品认证证书</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sz w:val="24"/>
                <w:szCs w:val="24"/>
                <w:u w:val="none"/>
                <w14:textFill>
                  <w14:solidFill>
                    <w14:schemeClr w14:val="tx1"/>
                  </w14:solidFill>
                </w14:textFill>
              </w:rPr>
              <w:t>证书必须在有效期内，</w:t>
            </w:r>
            <w:r>
              <w:rPr>
                <w:rFonts w:hint="eastAsia" w:ascii="宋体" w:hAnsi="宋体" w:cs="宋体"/>
                <w:color w:val="000000" w:themeColor="text1"/>
                <w:kern w:val="0"/>
                <w:sz w:val="24"/>
                <w:szCs w:val="24"/>
                <w14:textFill>
                  <w14:solidFill>
                    <w14:schemeClr w14:val="tx1"/>
                  </w14:solidFill>
                </w14:textFill>
              </w:rPr>
              <w:t>根据证书认证范围</w:t>
            </w:r>
            <w:r>
              <w:rPr>
                <w:rFonts w:hint="eastAsia" w:ascii="宋体" w:hAnsi="宋体" w:cs="宋体"/>
                <w:color w:val="000000" w:themeColor="text1"/>
                <w:kern w:val="0"/>
                <w:sz w:val="24"/>
                <w:szCs w:val="24"/>
                <w:lang w:eastAsia="zh-CN"/>
                <w14:textFill>
                  <w14:solidFill>
                    <w14:schemeClr w14:val="tx1"/>
                  </w14:solidFill>
                </w14:textFill>
              </w:rPr>
              <w:t>的覆盖范围，</w:t>
            </w:r>
            <w:r>
              <w:rPr>
                <w:rFonts w:hint="eastAsia" w:ascii="宋体" w:hAnsi="宋体" w:cs="Times New Roman"/>
                <w:color w:val="000000" w:themeColor="text1"/>
                <w:sz w:val="24"/>
                <w:szCs w:val="24"/>
                <w:lang w:eastAsia="zh-CN"/>
                <w14:textFill>
                  <w14:solidFill>
                    <w14:schemeClr w14:val="tx1"/>
                  </w14:solidFill>
                </w14:textFill>
              </w:rPr>
              <w:t>进行</w:t>
            </w:r>
            <w:r>
              <w:rPr>
                <w:rFonts w:hint="eastAsia" w:ascii="宋体" w:hAnsi="宋体" w:cs="宋体"/>
                <w:color w:val="000000" w:themeColor="text1"/>
                <w:kern w:val="0"/>
                <w:sz w:val="24"/>
                <w:szCs w:val="24"/>
                <w14:textFill>
                  <w14:solidFill>
                    <w14:schemeClr w14:val="tx1"/>
                  </w14:solidFill>
                </w14:textFill>
              </w:rPr>
              <w:t>综合评分（须提供原件扫描件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否则不得分）。</w:t>
            </w:r>
          </w:p>
          <w:p>
            <w:pPr>
              <w:pStyle w:val="34"/>
              <w:spacing w:line="240" w:lineRule="auto"/>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①</w:t>
            </w:r>
            <w:r>
              <w:rPr>
                <w:rFonts w:hint="eastAsia" w:ascii="宋体" w:hAnsi="宋体" w:cs="Times New Roman"/>
                <w:color w:val="000000" w:themeColor="text1"/>
                <w:sz w:val="24"/>
                <w:szCs w:val="24"/>
                <w14:textFill>
                  <w14:solidFill>
                    <w14:schemeClr w14:val="tx1"/>
                  </w14:solidFill>
                </w14:textFill>
              </w:rPr>
              <w:t>认证</w:t>
            </w:r>
            <w:r>
              <w:rPr>
                <w:rFonts w:hint="eastAsia" w:ascii="宋体" w:hAnsi="宋体" w:cs="Times New Roman"/>
                <w:color w:val="000000" w:themeColor="text1"/>
                <w:sz w:val="24"/>
                <w:szCs w:val="24"/>
                <w:lang w:eastAsia="zh-CN"/>
                <w14:textFill>
                  <w14:solidFill>
                    <w14:schemeClr w14:val="tx1"/>
                  </w14:solidFill>
                </w14:textFill>
              </w:rPr>
              <w:t>覆盖</w:t>
            </w:r>
            <w:r>
              <w:rPr>
                <w:rFonts w:hint="eastAsia" w:ascii="宋体" w:hAnsi="宋体" w:cs="Times New Roman"/>
                <w:color w:val="000000" w:themeColor="text1"/>
                <w:sz w:val="24"/>
                <w:szCs w:val="24"/>
                <w14:textFill>
                  <w14:solidFill>
                    <w14:schemeClr w14:val="tx1"/>
                  </w14:solidFill>
                </w14:textFill>
              </w:rPr>
              <w:t>范围</w:t>
            </w:r>
            <w:r>
              <w:rPr>
                <w:rFonts w:hint="eastAsia" w:ascii="宋体" w:hAnsi="宋体" w:cs="Times New Roman"/>
                <w:color w:val="000000" w:themeColor="text1"/>
                <w:sz w:val="24"/>
                <w:szCs w:val="24"/>
                <w:lang w:eastAsia="zh-CN"/>
                <w14:textFill>
                  <w14:solidFill>
                    <w14:schemeClr w14:val="tx1"/>
                  </w14:solidFill>
                </w14:textFill>
              </w:rPr>
              <w:t>宽泛，范围与所需产品完全吻合的</w:t>
            </w:r>
            <w:r>
              <w:rPr>
                <w:rFonts w:hint="eastAsia" w:ascii="宋体" w:hAnsi="宋体" w:cs="Times New Roman"/>
                <w:color w:val="000000" w:themeColor="text1"/>
                <w:sz w:val="24"/>
                <w:szCs w:val="24"/>
                <w:lang w:val="en-US" w:eastAsia="zh-CN"/>
                <w14:textFill>
                  <w14:solidFill>
                    <w14:schemeClr w14:val="tx1"/>
                  </w14:solidFill>
                </w14:textFill>
              </w:rPr>
              <w:t>给2分；</w:t>
            </w:r>
          </w:p>
          <w:p>
            <w:pPr>
              <w:pStyle w:val="34"/>
              <w:spacing w:line="240" w:lineRule="auto"/>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②</w:t>
            </w:r>
            <w:r>
              <w:rPr>
                <w:rFonts w:hint="eastAsia" w:ascii="宋体" w:hAnsi="宋体" w:cs="Times New Roman"/>
                <w:color w:val="000000" w:themeColor="text1"/>
                <w:sz w:val="24"/>
                <w:szCs w:val="24"/>
                <w14:textFill>
                  <w14:solidFill>
                    <w14:schemeClr w14:val="tx1"/>
                  </w14:solidFill>
                </w14:textFill>
              </w:rPr>
              <w:t>认证</w:t>
            </w:r>
            <w:r>
              <w:rPr>
                <w:rFonts w:hint="eastAsia" w:ascii="宋体" w:hAnsi="宋体" w:cs="Times New Roman"/>
                <w:color w:val="000000" w:themeColor="text1"/>
                <w:sz w:val="24"/>
                <w:szCs w:val="24"/>
                <w:lang w:eastAsia="zh-CN"/>
                <w14:textFill>
                  <w14:solidFill>
                    <w14:schemeClr w14:val="tx1"/>
                  </w14:solidFill>
                </w14:textFill>
              </w:rPr>
              <w:t>覆盖</w:t>
            </w:r>
            <w:r>
              <w:rPr>
                <w:rFonts w:hint="eastAsia" w:ascii="宋体" w:hAnsi="宋体" w:cs="Times New Roman"/>
                <w:color w:val="000000" w:themeColor="text1"/>
                <w:sz w:val="24"/>
                <w:szCs w:val="24"/>
                <w14:textFill>
                  <w14:solidFill>
                    <w14:schemeClr w14:val="tx1"/>
                  </w14:solidFill>
                </w14:textFill>
              </w:rPr>
              <w:t>范围</w:t>
            </w:r>
            <w:r>
              <w:rPr>
                <w:rFonts w:hint="eastAsia" w:ascii="宋体" w:hAnsi="宋体" w:cs="Times New Roman"/>
                <w:color w:val="000000" w:themeColor="text1"/>
                <w:sz w:val="24"/>
                <w:szCs w:val="24"/>
                <w:lang w:eastAsia="zh-CN"/>
                <w14:textFill>
                  <w14:solidFill>
                    <w14:schemeClr w14:val="tx1"/>
                  </w14:solidFill>
                </w14:textFill>
              </w:rPr>
              <w:t>较广，范围与所需产品较吻合的</w:t>
            </w:r>
            <w:r>
              <w:rPr>
                <w:rFonts w:hint="eastAsia" w:ascii="宋体" w:hAnsi="宋体" w:cs="Times New Roman"/>
                <w:color w:val="000000" w:themeColor="text1"/>
                <w:sz w:val="24"/>
                <w:szCs w:val="24"/>
                <w:lang w:val="en-US" w:eastAsia="zh-CN"/>
                <w14:textFill>
                  <w14:solidFill>
                    <w14:schemeClr w14:val="tx1"/>
                  </w14:solidFill>
                </w14:textFill>
              </w:rPr>
              <w:t>给1.5-1分；</w:t>
            </w:r>
          </w:p>
          <w:p>
            <w:pPr>
              <w:pStyle w:val="34"/>
              <w:spacing w:line="240" w:lineRule="auto"/>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③</w:t>
            </w:r>
            <w:r>
              <w:rPr>
                <w:rFonts w:hint="eastAsia" w:ascii="宋体" w:hAnsi="宋体" w:cs="Times New Roman"/>
                <w:color w:val="000000" w:themeColor="text1"/>
                <w:sz w:val="24"/>
                <w:szCs w:val="24"/>
                <w14:textFill>
                  <w14:solidFill>
                    <w14:schemeClr w14:val="tx1"/>
                  </w14:solidFill>
                </w14:textFill>
              </w:rPr>
              <w:t>认证</w:t>
            </w:r>
            <w:r>
              <w:rPr>
                <w:rFonts w:hint="eastAsia" w:ascii="宋体" w:hAnsi="宋体" w:cs="Times New Roman"/>
                <w:color w:val="000000" w:themeColor="text1"/>
                <w:sz w:val="24"/>
                <w:szCs w:val="24"/>
                <w:lang w:eastAsia="zh-CN"/>
                <w14:textFill>
                  <w14:solidFill>
                    <w14:schemeClr w14:val="tx1"/>
                  </w14:solidFill>
                </w14:textFill>
              </w:rPr>
              <w:t>覆盖</w:t>
            </w:r>
            <w:r>
              <w:rPr>
                <w:rFonts w:hint="eastAsia" w:ascii="宋体" w:hAnsi="宋体" w:cs="Times New Roman"/>
                <w:color w:val="000000" w:themeColor="text1"/>
                <w:sz w:val="24"/>
                <w:szCs w:val="24"/>
                <w14:textFill>
                  <w14:solidFill>
                    <w14:schemeClr w14:val="tx1"/>
                  </w14:solidFill>
                </w14:textFill>
              </w:rPr>
              <w:t>范围</w:t>
            </w:r>
            <w:r>
              <w:rPr>
                <w:rFonts w:hint="eastAsia" w:ascii="宋体" w:hAnsi="宋体" w:cs="Times New Roman"/>
                <w:color w:val="000000" w:themeColor="text1"/>
                <w:sz w:val="24"/>
                <w:szCs w:val="24"/>
                <w:lang w:eastAsia="zh-CN"/>
                <w14:textFill>
                  <w14:solidFill>
                    <w14:schemeClr w14:val="tx1"/>
                  </w14:solidFill>
                </w14:textFill>
              </w:rPr>
              <w:t>单一，范围与所需产品吻合低的</w:t>
            </w:r>
            <w:r>
              <w:rPr>
                <w:rFonts w:hint="eastAsia" w:ascii="宋体" w:hAnsi="宋体" w:cs="Times New Roman"/>
                <w:color w:val="000000" w:themeColor="text1"/>
                <w:sz w:val="24"/>
                <w:szCs w:val="24"/>
                <w:lang w:val="en-US" w:eastAsia="zh-CN"/>
                <w14:textFill>
                  <w14:solidFill>
                    <w14:schemeClr w14:val="tx1"/>
                  </w14:solidFill>
                </w14:textFill>
              </w:rPr>
              <w:t>给0.9-0.4分。</w:t>
            </w:r>
          </w:p>
          <w:p>
            <w:pPr>
              <w:pStyle w:val="9"/>
              <w:spacing w:line="240" w:lineRule="auto"/>
              <w:ind w:left="0" w:leftChars="0" w:firstLine="0" w:firstLineChars="0"/>
              <w:rPr>
                <w:rFonts w:hint="eastAsia" w:ascii="宋体" w:hAnsi="宋体" w:cs="宋体"/>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④</w:t>
            </w:r>
            <w:r>
              <w:rPr>
                <w:rFonts w:hint="eastAsia" w:ascii="宋体" w:hAnsi="宋体" w:cs="Times New Roman"/>
                <w:color w:val="000000" w:themeColor="text1"/>
                <w:sz w:val="24"/>
                <w:szCs w:val="24"/>
                <w14:textFill>
                  <w14:solidFill>
                    <w14:schemeClr w14:val="tx1"/>
                  </w14:solidFill>
                </w14:textFill>
              </w:rPr>
              <w:t>认证</w:t>
            </w:r>
            <w:r>
              <w:rPr>
                <w:rFonts w:hint="eastAsia" w:ascii="宋体" w:hAnsi="宋体" w:cs="Times New Roman"/>
                <w:color w:val="000000" w:themeColor="text1"/>
                <w:sz w:val="24"/>
                <w:szCs w:val="24"/>
                <w:lang w:eastAsia="zh-CN"/>
                <w14:textFill>
                  <w14:solidFill>
                    <w14:schemeClr w14:val="tx1"/>
                  </w14:solidFill>
                </w14:textFill>
              </w:rPr>
              <w:t>覆盖范围与所需产品不吻合的，</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此项不得分。</w:t>
            </w:r>
          </w:p>
        </w:tc>
        <w:tc>
          <w:tcPr>
            <w:tcW w:w="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color w:val="000000" w:themeColor="text1"/>
                <w:kern w:val="0"/>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atLeast"/>
        </w:trPr>
        <w:tc>
          <w:tcPr>
            <w:tcW w:w="1138" w:type="dxa"/>
            <w:vMerge w:val="continue"/>
            <w:tcBorders>
              <w:left w:val="single" w:color="auto" w:sz="4" w:space="0"/>
              <w:right w:val="single" w:color="auto" w:sz="4" w:space="0"/>
            </w:tcBorders>
            <w:vAlign w:val="center"/>
          </w:tcPr>
          <w:p>
            <w:pPr>
              <w:widowControl/>
              <w:jc w:val="center"/>
              <w:rPr>
                <w:rFonts w:hint="eastAsia" w:ascii="宋体" w:hAnsi="宋体" w:cs="宋体"/>
                <w:b/>
                <w:color w:val="auto"/>
                <w:sz w:val="24"/>
                <w:szCs w:val="24"/>
              </w:rPr>
            </w:pPr>
          </w:p>
        </w:tc>
        <w:tc>
          <w:tcPr>
            <w:tcW w:w="8335" w:type="dxa"/>
            <w:tcBorders>
              <w:top w:val="single" w:color="auto" w:sz="4" w:space="0"/>
              <w:left w:val="single" w:color="auto" w:sz="4" w:space="0"/>
              <w:bottom w:val="single" w:color="auto" w:sz="4" w:space="0"/>
              <w:right w:val="single" w:color="auto" w:sz="4" w:space="0"/>
            </w:tcBorders>
            <w:vAlign w:val="top"/>
          </w:tcPr>
          <w:p>
            <w:pPr>
              <w:pStyle w:val="8"/>
              <w:spacing w:line="240" w:lineRule="auto"/>
              <w:rPr>
                <w:rFonts w:hint="eastAsia" w:ascii="宋体" w:hAnsi="宋体" w:cs="宋体"/>
                <w:color w:val="000000" w:themeColor="text1"/>
                <w:kern w:val="0"/>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投标主要产品的</w:t>
            </w:r>
            <w:r>
              <w:rPr>
                <w:rFonts w:hint="eastAsia" w:ascii="宋体" w:hAnsi="宋体" w:cs="宋体"/>
                <w:color w:val="000000" w:themeColor="text1"/>
                <w:kern w:val="0"/>
                <w:sz w:val="24"/>
                <w:szCs w:val="24"/>
                <w14:textFill>
                  <w14:solidFill>
                    <w14:schemeClr w14:val="tx1"/>
                  </w14:solidFill>
                </w14:textFill>
              </w:rPr>
              <w:t>生产厂家</w:t>
            </w:r>
            <w:r>
              <w:rPr>
                <w:rFonts w:hint="eastAsia" w:ascii="宋体" w:hAnsi="宋体" w:cs="宋体"/>
                <w:color w:val="000000" w:themeColor="text1"/>
                <w:kern w:val="0"/>
                <w:sz w:val="24"/>
                <w:szCs w:val="24"/>
                <w:lang w:eastAsia="zh-CN"/>
                <w14:textFill>
                  <w14:solidFill>
                    <w14:schemeClr w14:val="tx1"/>
                  </w14:solidFill>
                </w14:textFill>
              </w:rPr>
              <w:t>或投标人</w:t>
            </w:r>
            <w:r>
              <w:rPr>
                <w:rFonts w:hint="eastAsia" w:ascii="宋体" w:hAnsi="宋体" w:cs="宋体"/>
                <w:color w:val="000000" w:themeColor="text1"/>
                <w:kern w:val="0"/>
                <w:sz w:val="24"/>
                <w:szCs w:val="24"/>
                <w14:textFill>
                  <w14:solidFill>
                    <w14:schemeClr w14:val="tx1"/>
                  </w14:solidFill>
                </w14:textFill>
              </w:rPr>
              <w:t>具有CEC家具产品环保卫士认证证书</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u w:val="none"/>
                <w14:textFill>
                  <w14:solidFill>
                    <w14:schemeClr w14:val="tx1"/>
                  </w14:solidFill>
                </w14:textFill>
              </w:rPr>
              <w:t>证书必须在有效期内，</w:t>
            </w:r>
            <w:r>
              <w:rPr>
                <w:rFonts w:hint="eastAsia" w:ascii="宋体" w:hAnsi="宋体" w:cs="宋体"/>
                <w:color w:val="000000" w:themeColor="text1"/>
                <w:kern w:val="0"/>
                <w:sz w:val="24"/>
                <w:szCs w:val="24"/>
                <w14:textFill>
                  <w14:solidFill>
                    <w14:schemeClr w14:val="tx1"/>
                  </w14:solidFill>
                </w14:textFill>
              </w:rPr>
              <w:t>根据证书认证范围</w:t>
            </w:r>
            <w:r>
              <w:rPr>
                <w:rFonts w:hint="eastAsia" w:ascii="宋体" w:hAnsi="宋体" w:cs="宋体"/>
                <w:color w:val="000000" w:themeColor="text1"/>
                <w:kern w:val="0"/>
                <w:sz w:val="24"/>
                <w:szCs w:val="24"/>
                <w:lang w:eastAsia="zh-CN"/>
                <w14:textFill>
                  <w14:solidFill>
                    <w14:schemeClr w14:val="tx1"/>
                  </w14:solidFill>
                </w14:textFill>
              </w:rPr>
              <w:t>的覆盖范围，</w:t>
            </w:r>
            <w:r>
              <w:rPr>
                <w:rFonts w:hint="eastAsia" w:ascii="宋体" w:hAnsi="宋体" w:cs="Times New Roman"/>
                <w:color w:val="000000" w:themeColor="text1"/>
                <w:sz w:val="24"/>
                <w:szCs w:val="24"/>
                <w:lang w:eastAsia="zh-CN"/>
                <w14:textFill>
                  <w14:solidFill>
                    <w14:schemeClr w14:val="tx1"/>
                  </w14:solidFill>
                </w14:textFill>
              </w:rPr>
              <w:t>进行</w:t>
            </w:r>
            <w:r>
              <w:rPr>
                <w:rFonts w:hint="eastAsia" w:ascii="宋体" w:hAnsi="宋体" w:cs="宋体"/>
                <w:color w:val="000000" w:themeColor="text1"/>
                <w:kern w:val="0"/>
                <w:sz w:val="24"/>
                <w:szCs w:val="24"/>
                <w14:textFill>
                  <w14:solidFill>
                    <w14:schemeClr w14:val="tx1"/>
                  </w14:solidFill>
                </w14:textFill>
              </w:rPr>
              <w:t>综合评分（须提供原件扫描件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否则不得分）。</w:t>
            </w:r>
          </w:p>
          <w:p>
            <w:pPr>
              <w:pStyle w:val="34"/>
              <w:spacing w:line="240" w:lineRule="auto"/>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①</w:t>
            </w:r>
            <w:r>
              <w:rPr>
                <w:rFonts w:hint="eastAsia" w:ascii="宋体" w:hAnsi="宋体" w:cs="Times New Roman"/>
                <w:color w:val="000000" w:themeColor="text1"/>
                <w:sz w:val="24"/>
                <w:szCs w:val="24"/>
                <w14:textFill>
                  <w14:solidFill>
                    <w14:schemeClr w14:val="tx1"/>
                  </w14:solidFill>
                </w14:textFill>
              </w:rPr>
              <w:t>认证</w:t>
            </w:r>
            <w:r>
              <w:rPr>
                <w:rFonts w:hint="eastAsia" w:ascii="宋体" w:hAnsi="宋体" w:cs="Times New Roman"/>
                <w:color w:val="000000" w:themeColor="text1"/>
                <w:sz w:val="24"/>
                <w:szCs w:val="24"/>
                <w:lang w:eastAsia="zh-CN"/>
                <w14:textFill>
                  <w14:solidFill>
                    <w14:schemeClr w14:val="tx1"/>
                  </w14:solidFill>
                </w14:textFill>
              </w:rPr>
              <w:t>覆盖</w:t>
            </w:r>
            <w:r>
              <w:rPr>
                <w:rFonts w:hint="eastAsia" w:ascii="宋体" w:hAnsi="宋体" w:cs="Times New Roman"/>
                <w:color w:val="000000" w:themeColor="text1"/>
                <w:sz w:val="24"/>
                <w:szCs w:val="24"/>
                <w14:textFill>
                  <w14:solidFill>
                    <w14:schemeClr w14:val="tx1"/>
                  </w14:solidFill>
                </w14:textFill>
              </w:rPr>
              <w:t>范围</w:t>
            </w:r>
            <w:r>
              <w:rPr>
                <w:rFonts w:hint="eastAsia" w:ascii="宋体" w:hAnsi="宋体" w:cs="Times New Roman"/>
                <w:color w:val="000000" w:themeColor="text1"/>
                <w:sz w:val="24"/>
                <w:szCs w:val="24"/>
                <w:lang w:eastAsia="zh-CN"/>
                <w14:textFill>
                  <w14:solidFill>
                    <w14:schemeClr w14:val="tx1"/>
                  </w14:solidFill>
                </w14:textFill>
              </w:rPr>
              <w:t>宽泛，范围与所需产品完全吻合的</w:t>
            </w:r>
            <w:r>
              <w:rPr>
                <w:rFonts w:hint="eastAsia" w:ascii="宋体" w:hAnsi="宋体" w:cs="Times New Roman"/>
                <w:color w:val="000000" w:themeColor="text1"/>
                <w:sz w:val="24"/>
                <w:szCs w:val="24"/>
                <w:lang w:val="en-US" w:eastAsia="zh-CN"/>
                <w14:textFill>
                  <w14:solidFill>
                    <w14:schemeClr w14:val="tx1"/>
                  </w14:solidFill>
                </w14:textFill>
              </w:rPr>
              <w:t>给2分；</w:t>
            </w:r>
          </w:p>
          <w:p>
            <w:pPr>
              <w:pStyle w:val="34"/>
              <w:spacing w:line="240" w:lineRule="auto"/>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②</w:t>
            </w:r>
            <w:r>
              <w:rPr>
                <w:rFonts w:hint="eastAsia" w:ascii="宋体" w:hAnsi="宋体" w:cs="Times New Roman"/>
                <w:color w:val="000000" w:themeColor="text1"/>
                <w:sz w:val="24"/>
                <w:szCs w:val="24"/>
                <w14:textFill>
                  <w14:solidFill>
                    <w14:schemeClr w14:val="tx1"/>
                  </w14:solidFill>
                </w14:textFill>
              </w:rPr>
              <w:t>认证</w:t>
            </w:r>
            <w:r>
              <w:rPr>
                <w:rFonts w:hint="eastAsia" w:ascii="宋体" w:hAnsi="宋体" w:cs="Times New Roman"/>
                <w:color w:val="000000" w:themeColor="text1"/>
                <w:sz w:val="24"/>
                <w:szCs w:val="24"/>
                <w:lang w:eastAsia="zh-CN"/>
                <w14:textFill>
                  <w14:solidFill>
                    <w14:schemeClr w14:val="tx1"/>
                  </w14:solidFill>
                </w14:textFill>
              </w:rPr>
              <w:t>覆盖</w:t>
            </w:r>
            <w:r>
              <w:rPr>
                <w:rFonts w:hint="eastAsia" w:ascii="宋体" w:hAnsi="宋体" w:cs="Times New Roman"/>
                <w:color w:val="000000" w:themeColor="text1"/>
                <w:sz w:val="24"/>
                <w:szCs w:val="24"/>
                <w14:textFill>
                  <w14:solidFill>
                    <w14:schemeClr w14:val="tx1"/>
                  </w14:solidFill>
                </w14:textFill>
              </w:rPr>
              <w:t>范围</w:t>
            </w:r>
            <w:r>
              <w:rPr>
                <w:rFonts w:hint="eastAsia" w:ascii="宋体" w:hAnsi="宋体" w:cs="Times New Roman"/>
                <w:color w:val="000000" w:themeColor="text1"/>
                <w:sz w:val="24"/>
                <w:szCs w:val="24"/>
                <w:lang w:eastAsia="zh-CN"/>
                <w14:textFill>
                  <w14:solidFill>
                    <w14:schemeClr w14:val="tx1"/>
                  </w14:solidFill>
                </w14:textFill>
              </w:rPr>
              <w:t>较广，范围与所需产品较吻合的</w:t>
            </w:r>
            <w:r>
              <w:rPr>
                <w:rFonts w:hint="eastAsia" w:ascii="宋体" w:hAnsi="宋体" w:cs="Times New Roman"/>
                <w:color w:val="000000" w:themeColor="text1"/>
                <w:sz w:val="24"/>
                <w:szCs w:val="24"/>
                <w:lang w:val="en-US" w:eastAsia="zh-CN"/>
                <w14:textFill>
                  <w14:solidFill>
                    <w14:schemeClr w14:val="tx1"/>
                  </w14:solidFill>
                </w14:textFill>
              </w:rPr>
              <w:t>给1.5-1分；</w:t>
            </w:r>
          </w:p>
          <w:p>
            <w:pPr>
              <w:pStyle w:val="34"/>
              <w:spacing w:line="240" w:lineRule="auto"/>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③</w:t>
            </w:r>
            <w:r>
              <w:rPr>
                <w:rFonts w:hint="eastAsia" w:ascii="宋体" w:hAnsi="宋体" w:cs="Times New Roman"/>
                <w:color w:val="000000" w:themeColor="text1"/>
                <w:sz w:val="24"/>
                <w:szCs w:val="24"/>
                <w14:textFill>
                  <w14:solidFill>
                    <w14:schemeClr w14:val="tx1"/>
                  </w14:solidFill>
                </w14:textFill>
              </w:rPr>
              <w:t>认证</w:t>
            </w:r>
            <w:r>
              <w:rPr>
                <w:rFonts w:hint="eastAsia" w:ascii="宋体" w:hAnsi="宋体" w:cs="Times New Roman"/>
                <w:color w:val="000000" w:themeColor="text1"/>
                <w:sz w:val="24"/>
                <w:szCs w:val="24"/>
                <w:lang w:eastAsia="zh-CN"/>
                <w14:textFill>
                  <w14:solidFill>
                    <w14:schemeClr w14:val="tx1"/>
                  </w14:solidFill>
                </w14:textFill>
              </w:rPr>
              <w:t>覆盖</w:t>
            </w:r>
            <w:r>
              <w:rPr>
                <w:rFonts w:hint="eastAsia" w:ascii="宋体" w:hAnsi="宋体" w:cs="Times New Roman"/>
                <w:color w:val="000000" w:themeColor="text1"/>
                <w:sz w:val="24"/>
                <w:szCs w:val="24"/>
                <w14:textFill>
                  <w14:solidFill>
                    <w14:schemeClr w14:val="tx1"/>
                  </w14:solidFill>
                </w14:textFill>
              </w:rPr>
              <w:t>范围</w:t>
            </w:r>
            <w:r>
              <w:rPr>
                <w:rFonts w:hint="eastAsia" w:ascii="宋体" w:hAnsi="宋体" w:cs="Times New Roman"/>
                <w:color w:val="000000" w:themeColor="text1"/>
                <w:sz w:val="24"/>
                <w:szCs w:val="24"/>
                <w:lang w:eastAsia="zh-CN"/>
                <w14:textFill>
                  <w14:solidFill>
                    <w14:schemeClr w14:val="tx1"/>
                  </w14:solidFill>
                </w14:textFill>
              </w:rPr>
              <w:t>单一，范围与所需产品吻合低的</w:t>
            </w:r>
            <w:r>
              <w:rPr>
                <w:rFonts w:hint="eastAsia" w:ascii="宋体" w:hAnsi="宋体" w:cs="Times New Roman"/>
                <w:color w:val="000000" w:themeColor="text1"/>
                <w:sz w:val="24"/>
                <w:szCs w:val="24"/>
                <w:lang w:val="en-US" w:eastAsia="zh-CN"/>
                <w14:textFill>
                  <w14:solidFill>
                    <w14:schemeClr w14:val="tx1"/>
                  </w14:solidFill>
                </w14:textFill>
              </w:rPr>
              <w:t>给0.9-0.4分。</w:t>
            </w:r>
          </w:p>
          <w:p>
            <w:pPr>
              <w:pStyle w:val="9"/>
              <w:spacing w:line="240" w:lineRule="auto"/>
              <w:ind w:left="0" w:leftChars="0" w:firstLine="0" w:firstLineChars="0"/>
              <w:rPr>
                <w:rFonts w:hint="eastAsia" w:ascii="宋体" w:hAnsi="宋体" w:cs="宋体"/>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④</w:t>
            </w:r>
            <w:r>
              <w:rPr>
                <w:rFonts w:hint="eastAsia" w:ascii="宋体" w:hAnsi="宋体" w:cs="Times New Roman"/>
                <w:color w:val="000000" w:themeColor="text1"/>
                <w:sz w:val="24"/>
                <w:szCs w:val="24"/>
                <w14:textFill>
                  <w14:solidFill>
                    <w14:schemeClr w14:val="tx1"/>
                  </w14:solidFill>
                </w14:textFill>
              </w:rPr>
              <w:t>认证</w:t>
            </w:r>
            <w:r>
              <w:rPr>
                <w:rFonts w:hint="eastAsia" w:ascii="宋体" w:hAnsi="宋体" w:cs="Times New Roman"/>
                <w:color w:val="000000" w:themeColor="text1"/>
                <w:sz w:val="24"/>
                <w:szCs w:val="24"/>
                <w:lang w:eastAsia="zh-CN"/>
                <w14:textFill>
                  <w14:solidFill>
                    <w14:schemeClr w14:val="tx1"/>
                  </w14:solidFill>
                </w14:textFill>
              </w:rPr>
              <w:t>覆盖范围与所需产品不吻合的，</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此项不得分。</w:t>
            </w:r>
          </w:p>
        </w:tc>
        <w:tc>
          <w:tcPr>
            <w:tcW w:w="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color w:val="000000" w:themeColor="text1"/>
                <w:kern w:val="0"/>
                <w:sz w:val="24"/>
                <w:szCs w:val="24"/>
                <w:lang w:val="en-US" w:eastAsia="zh-CN"/>
                <w14:textFill>
                  <w14:solidFill>
                    <w14:schemeClr w14:val="tx1"/>
                  </w14:solidFill>
                </w14:textFill>
              </w:rPr>
            </w:pPr>
            <w:r>
              <w:rPr>
                <w:rFonts w:hint="eastAsia" w:ascii="宋体"/>
                <w:color w:val="000000" w:themeColor="text1"/>
                <w:kern w:val="0"/>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trPr>
        <w:tc>
          <w:tcPr>
            <w:tcW w:w="1138" w:type="dxa"/>
            <w:vMerge w:val="continue"/>
            <w:tcBorders>
              <w:left w:val="single" w:color="auto" w:sz="4" w:space="0"/>
              <w:right w:val="single" w:color="auto" w:sz="4" w:space="0"/>
            </w:tcBorders>
            <w:vAlign w:val="center"/>
          </w:tcPr>
          <w:p>
            <w:pPr>
              <w:widowControl/>
              <w:jc w:val="center"/>
              <w:rPr>
                <w:rFonts w:hint="eastAsia" w:ascii="宋体" w:hAnsi="宋体" w:cs="宋体"/>
                <w:b/>
                <w:color w:val="auto"/>
                <w:sz w:val="24"/>
                <w:szCs w:val="24"/>
              </w:rPr>
            </w:pPr>
          </w:p>
        </w:tc>
        <w:tc>
          <w:tcPr>
            <w:tcW w:w="8335"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投标产品环境标志产品评审。投标产品列入财政部、生态环境部等部门发布的“环境标志产品品目清单”，且获得指定认证机构出具的环境标志产品认证证书的，每项产品得0.5分，最高得</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分。供应商须提供国家确定的认证机构出具的、处于有效期之内的环境标志产品认证证书</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s="宋体"/>
                <w:b w:val="0"/>
                <w:bCs w:val="0"/>
                <w:color w:val="000000" w:themeColor="text1"/>
                <w:kern w:val="0"/>
                <w:sz w:val="24"/>
                <w:szCs w:val="24"/>
                <w14:textFill>
                  <w14:solidFill>
                    <w14:schemeClr w14:val="tx1"/>
                  </w14:solidFill>
                </w14:textFill>
              </w:rPr>
              <w:t>（须提供原件扫描件</w:t>
            </w:r>
            <w:r>
              <w:rPr>
                <w:rFonts w:hint="eastAsia" w:ascii="宋体" w:hAnsi="宋体" w:cs="宋体"/>
                <w:b w:val="0"/>
                <w:bCs w:val="0"/>
                <w:color w:val="000000" w:themeColor="text1"/>
                <w:kern w:val="0"/>
                <w:sz w:val="24"/>
                <w:szCs w:val="24"/>
                <w:lang w:eastAsia="zh-CN"/>
                <w14:textFill>
                  <w14:solidFill>
                    <w14:schemeClr w14:val="tx1"/>
                  </w14:solidFill>
                </w14:textFill>
              </w:rPr>
              <w:t>，</w:t>
            </w:r>
            <w:r>
              <w:rPr>
                <w:rFonts w:hint="eastAsia" w:ascii="宋体" w:hAnsi="宋体"/>
                <w:b w:val="0"/>
                <w:bCs w:val="0"/>
                <w:color w:val="000000" w:themeColor="text1"/>
                <w:sz w:val="24"/>
                <w:szCs w:val="24"/>
                <w14:textFill>
                  <w14:solidFill>
                    <w14:schemeClr w14:val="tx1"/>
                  </w14:solidFill>
                </w14:textFill>
              </w:rPr>
              <w:t>否则不得分</w:t>
            </w:r>
            <w:r>
              <w:rPr>
                <w:rFonts w:hint="eastAsia" w:ascii="宋体" w:hAnsi="宋体" w:cs="宋体"/>
                <w:b w:val="0"/>
                <w:bCs w:val="0"/>
                <w:color w:val="000000" w:themeColor="text1"/>
                <w:kern w:val="0"/>
                <w:sz w:val="24"/>
                <w:szCs w:val="24"/>
                <w14:textFill>
                  <w14:solidFill>
                    <w14:schemeClr w14:val="tx1"/>
                  </w14:solidFill>
                </w14:textFill>
              </w:rPr>
              <w:t>）。</w:t>
            </w:r>
          </w:p>
        </w:tc>
        <w:tc>
          <w:tcPr>
            <w:tcW w:w="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Times New Roman" w:eastAsia="宋体" w:cs="Times New Roman"/>
                <w:color w:val="000000" w:themeColor="text1"/>
                <w:kern w:val="0"/>
                <w:sz w:val="24"/>
                <w:szCs w:val="24"/>
                <w:lang w:val="en-US" w:eastAsia="zh-CN" w:bidi="ar-SA"/>
                <w14:textFill>
                  <w14:solidFill>
                    <w14:schemeClr w14:val="tx1"/>
                  </w14:solidFill>
                </w14:textFill>
              </w:rPr>
            </w:pPr>
            <w:r>
              <w:rPr>
                <w:rFonts w:hint="eastAsia" w:ascii="宋体"/>
                <w:color w:val="000000" w:themeColor="text1"/>
                <w:kern w:val="0"/>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138" w:type="dxa"/>
            <w:vMerge w:val="continue"/>
            <w:tcBorders>
              <w:left w:val="single" w:color="auto" w:sz="4" w:space="0"/>
              <w:right w:val="single" w:color="auto" w:sz="4" w:space="0"/>
            </w:tcBorders>
            <w:vAlign w:val="center"/>
          </w:tcPr>
          <w:p>
            <w:pPr>
              <w:widowControl/>
              <w:jc w:val="center"/>
              <w:rPr>
                <w:rFonts w:ascii="宋体" w:hAnsi="宋体" w:cs="宋体"/>
                <w:b/>
                <w:color w:val="auto"/>
                <w:sz w:val="24"/>
                <w:szCs w:val="24"/>
              </w:rPr>
            </w:pPr>
          </w:p>
        </w:tc>
        <w:tc>
          <w:tcPr>
            <w:tcW w:w="8335" w:type="dxa"/>
            <w:tcBorders>
              <w:top w:val="single" w:color="auto" w:sz="4" w:space="0"/>
              <w:left w:val="single" w:color="auto" w:sz="4" w:space="0"/>
              <w:bottom w:val="single" w:color="auto" w:sz="4" w:space="0"/>
              <w:right w:val="single" w:color="auto" w:sz="4" w:space="0"/>
            </w:tcBorders>
            <w:vAlign w:val="center"/>
          </w:tcPr>
          <w:p>
            <w:pPr>
              <w:pStyle w:val="20"/>
              <w:spacing w:line="240" w:lineRule="auto"/>
              <w:ind w:left="0" w:leftChars="0" w:firstLine="0" w:firstLineChars="0"/>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自2019年10月以来（以合同签订时间为准）类似项目，依照投标人提供的合同案例、</w:t>
            </w:r>
            <w:r>
              <w:rPr>
                <w:rFonts w:hint="eastAsia" w:ascii="Calibri" w:hAnsi="Calibri" w:eastAsia="宋体" w:cs="Calibri"/>
                <w:color w:val="000000" w:themeColor="text1"/>
                <w:kern w:val="0"/>
                <w:sz w:val="24"/>
                <w:szCs w:val="24"/>
                <w:lang w:val="en-US" w:eastAsia="zh-CN"/>
                <w14:textFill>
                  <w14:solidFill>
                    <w14:schemeClr w14:val="tx1"/>
                  </w14:solidFill>
                </w14:textFill>
              </w:rPr>
              <w:t>发票证明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及</w:t>
            </w:r>
            <w:r>
              <w:rPr>
                <w:rFonts w:hint="eastAsia" w:asciiTheme="minorEastAsia" w:hAnsiTheme="minorEastAsia" w:eastAsiaTheme="minorEastAsia" w:cstheme="minorEastAsia"/>
                <w:color w:val="000000" w:themeColor="text1"/>
                <w:sz w:val="24"/>
                <w:szCs w:val="24"/>
                <w14:textFill>
                  <w14:solidFill>
                    <w14:schemeClr w14:val="tx1"/>
                  </w14:solidFill>
                </w14:textFill>
              </w:rPr>
              <w:t>验收报告</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证明，每个项目都需提供合同扫描件、发票原件扫描件、</w:t>
            </w:r>
            <w:r>
              <w:rPr>
                <w:rFonts w:hint="eastAsia" w:asciiTheme="minorEastAsia" w:hAnsiTheme="minorEastAsia" w:eastAsiaTheme="minorEastAsia" w:cstheme="minorEastAsia"/>
                <w:color w:val="000000" w:themeColor="text1"/>
                <w:sz w:val="24"/>
                <w:szCs w:val="24"/>
                <w14:textFill>
                  <w14:solidFill>
                    <w14:schemeClr w14:val="tx1"/>
                  </w14:solidFill>
                </w14:textFill>
              </w:rPr>
              <w:t>验收报告</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原件扫描件，每提供一个项目得1分，最高得3分。</w:t>
            </w:r>
          </w:p>
        </w:tc>
        <w:tc>
          <w:tcPr>
            <w:tcW w:w="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trPr>
        <w:tc>
          <w:tcPr>
            <w:tcW w:w="1138" w:type="dxa"/>
            <w:vMerge w:val="restart"/>
            <w:tcBorders>
              <w:left w:val="single" w:color="auto" w:sz="4" w:space="0"/>
              <w:right w:val="single" w:color="auto" w:sz="4" w:space="0"/>
            </w:tcBorders>
            <w:vAlign w:val="center"/>
          </w:tcPr>
          <w:p>
            <w:pPr>
              <w:jc w:val="center"/>
              <w:rPr>
                <w:rFonts w:hint="eastAsia" w:ascii="宋体" w:hAnsi="宋体" w:cs="宋体"/>
                <w:b/>
                <w:color w:val="auto"/>
                <w:sz w:val="24"/>
                <w:szCs w:val="24"/>
              </w:rPr>
            </w:pPr>
            <w:r>
              <w:rPr>
                <w:rFonts w:hint="eastAsia" w:ascii="宋体" w:hAnsi="宋体" w:cs="宋体"/>
                <w:b/>
                <w:color w:val="auto"/>
                <w:sz w:val="24"/>
                <w:szCs w:val="24"/>
              </w:rPr>
              <w:t>售后</w:t>
            </w:r>
          </w:p>
          <w:p>
            <w:pPr>
              <w:jc w:val="center"/>
              <w:rPr>
                <w:rFonts w:ascii="宋体" w:hAnsi="宋体" w:cs="宋体"/>
                <w:b/>
                <w:color w:val="auto"/>
                <w:sz w:val="24"/>
                <w:szCs w:val="24"/>
              </w:rPr>
            </w:pPr>
            <w:r>
              <w:rPr>
                <w:rFonts w:hint="eastAsia" w:ascii="宋体" w:hAnsi="宋体" w:cs="宋体"/>
                <w:b/>
                <w:color w:val="auto"/>
                <w:sz w:val="24"/>
                <w:szCs w:val="24"/>
              </w:rPr>
              <w:t>服务</w:t>
            </w:r>
          </w:p>
          <w:p>
            <w:pPr>
              <w:ind w:firstLine="482" w:firstLineChars="200"/>
              <w:jc w:val="both"/>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7</w:t>
            </w:r>
          </w:p>
        </w:tc>
        <w:tc>
          <w:tcPr>
            <w:tcW w:w="8335" w:type="dxa"/>
            <w:tcBorders>
              <w:top w:val="single" w:color="auto" w:sz="4" w:space="0"/>
              <w:left w:val="single" w:color="auto" w:sz="4" w:space="0"/>
              <w:bottom w:val="single" w:color="auto" w:sz="4" w:space="0"/>
              <w:right w:val="single" w:color="auto" w:sz="4" w:space="0"/>
            </w:tcBorders>
            <w:vAlign w:val="center"/>
          </w:tcPr>
          <w:p>
            <w:pPr>
              <w:spacing w:line="240" w:lineRule="auto"/>
              <w:rPr>
                <w:color w:val="auto"/>
                <w:sz w:val="24"/>
                <w:szCs w:val="24"/>
              </w:rPr>
            </w:pPr>
            <w:r>
              <w:rPr>
                <w:rFonts w:hint="eastAsia"/>
                <w:color w:val="auto"/>
                <w:sz w:val="24"/>
                <w:szCs w:val="24"/>
              </w:rPr>
              <w:t>质保期在原质保要求基础上承诺增加1年</w:t>
            </w:r>
            <w:r>
              <w:rPr>
                <w:rFonts w:hint="eastAsia"/>
                <w:color w:val="auto"/>
                <w:sz w:val="24"/>
                <w:szCs w:val="24"/>
                <w:lang w:eastAsia="zh-CN"/>
              </w:rPr>
              <w:t>得</w:t>
            </w:r>
            <w:r>
              <w:rPr>
                <w:rFonts w:hint="eastAsia"/>
                <w:color w:val="auto"/>
                <w:sz w:val="24"/>
                <w:szCs w:val="24"/>
                <w:lang w:val="en-US" w:eastAsia="zh-CN"/>
              </w:rPr>
              <w:t>0.5</w:t>
            </w:r>
            <w:r>
              <w:rPr>
                <w:rFonts w:hint="eastAsia"/>
                <w:color w:val="auto"/>
                <w:sz w:val="24"/>
                <w:szCs w:val="24"/>
              </w:rPr>
              <w:t>分，最多给予</w:t>
            </w:r>
            <w:r>
              <w:rPr>
                <w:rFonts w:hint="eastAsia"/>
                <w:color w:val="auto"/>
                <w:sz w:val="24"/>
                <w:szCs w:val="24"/>
                <w:lang w:val="en-US" w:eastAsia="zh-CN"/>
              </w:rPr>
              <w:t>2</w:t>
            </w:r>
            <w:r>
              <w:rPr>
                <w:rFonts w:hint="eastAsia"/>
                <w:color w:val="auto"/>
                <w:sz w:val="24"/>
                <w:szCs w:val="24"/>
              </w:rPr>
              <w:t>分。</w:t>
            </w:r>
          </w:p>
        </w:tc>
        <w:tc>
          <w:tcPr>
            <w:tcW w:w="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4"/>
                <w:szCs w:val="24"/>
                <w:lang w:eastAsia="zh-CN"/>
              </w:rPr>
            </w:pPr>
            <w:r>
              <w:rPr>
                <w:rFonts w:hint="eastAsia" w:ascii="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1138" w:type="dxa"/>
            <w:vMerge w:val="continue"/>
            <w:tcBorders>
              <w:left w:val="single" w:color="auto" w:sz="4" w:space="0"/>
              <w:right w:val="single" w:color="auto" w:sz="4" w:space="0"/>
            </w:tcBorders>
            <w:vAlign w:val="center"/>
          </w:tcPr>
          <w:p>
            <w:pPr>
              <w:adjustRightInd w:val="0"/>
              <w:snapToGrid w:val="0"/>
              <w:jc w:val="center"/>
              <w:rPr>
                <w:rFonts w:ascii="宋体" w:hAnsi="宋体" w:cs="宋体"/>
                <w:b/>
                <w:color w:val="auto"/>
                <w:sz w:val="24"/>
                <w:szCs w:val="24"/>
              </w:rPr>
            </w:pPr>
          </w:p>
        </w:tc>
        <w:tc>
          <w:tcPr>
            <w:tcW w:w="833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提供详细完整的“三包”措施，及售后</w:t>
            </w:r>
            <w:r>
              <w:rPr>
                <w:rFonts w:hint="eastAsia" w:ascii="宋体" w:hAnsi="宋体"/>
                <w:color w:val="000000" w:themeColor="text1"/>
                <w:sz w:val="24"/>
                <w:szCs w:val="24"/>
                <w14:textFill>
                  <w14:solidFill>
                    <w14:schemeClr w14:val="tx1"/>
                  </w14:solidFill>
                </w14:textFill>
              </w:rPr>
              <w:t>服务方案（</w:t>
            </w:r>
            <w:r>
              <w:rPr>
                <w:rFonts w:hint="eastAsia" w:ascii="宋体" w:hAnsi="宋体" w:cs="宋体"/>
                <w:color w:val="000000" w:themeColor="text1"/>
                <w:sz w:val="24"/>
                <w:szCs w:val="24"/>
                <w14:textFill>
                  <w14:solidFill>
                    <w14:schemeClr w14:val="tx1"/>
                  </w14:solidFill>
                </w14:textFill>
              </w:rPr>
              <w:t>包括服务措施、产品质量保证、</w:t>
            </w:r>
            <w:r>
              <w:rPr>
                <w:rFonts w:hint="eastAsia" w:ascii="宋体" w:hAnsi="宋体"/>
                <w:color w:val="000000" w:themeColor="text1"/>
                <w:sz w:val="24"/>
                <w:szCs w:val="24"/>
                <w14:textFill>
                  <w14:solidFill>
                    <w14:schemeClr w14:val="tx1"/>
                  </w14:solidFill>
                </w14:textFill>
              </w:rPr>
              <w:t>定期回访、维修保养等）</w:t>
            </w:r>
            <w:r>
              <w:rPr>
                <w:rFonts w:hint="eastAsia" w:ascii="宋体" w:hAnsi="宋体" w:cs="宋体"/>
                <w:color w:val="000000" w:themeColor="text1"/>
                <w:sz w:val="24"/>
                <w:szCs w:val="24"/>
                <w14:textFill>
                  <w14:solidFill>
                    <w14:schemeClr w14:val="tx1"/>
                  </w14:solidFill>
                </w14:textFill>
              </w:rPr>
              <w:t>、服务承诺（应急维修响应时间等）综合评分：</w:t>
            </w:r>
          </w:p>
          <w:p>
            <w:pPr>
              <w:numPr>
                <w:ilvl w:val="0"/>
                <w:numId w:val="0"/>
              </w:numPr>
              <w:spacing w:line="24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①方案详实、内容新颖、操作性强的给3-2.1分；</w:t>
            </w:r>
          </w:p>
          <w:p>
            <w:pPr>
              <w:numPr>
                <w:ilvl w:val="0"/>
                <w:numId w:val="0"/>
              </w:numPr>
              <w:spacing w:line="24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②方案合理、内容完整、可操作的给2-1.1分；</w:t>
            </w:r>
          </w:p>
          <w:p>
            <w:pPr>
              <w:spacing w:line="240" w:lineRule="auto"/>
              <w:rPr>
                <w:rFonts w:ascii="宋体" w:hAnsi="宋体"/>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③方案粗糙、内容缺漏、操作性差的给1-0分。</w:t>
            </w:r>
          </w:p>
        </w:tc>
        <w:tc>
          <w:tcPr>
            <w:tcW w:w="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138" w:type="dxa"/>
            <w:vMerge w:val="continue"/>
            <w:tcBorders>
              <w:left w:val="single" w:color="auto" w:sz="4" w:space="0"/>
              <w:right w:val="single" w:color="auto" w:sz="4" w:space="0"/>
            </w:tcBorders>
            <w:vAlign w:val="center"/>
          </w:tcPr>
          <w:p>
            <w:pPr>
              <w:adjustRightInd w:val="0"/>
              <w:snapToGrid w:val="0"/>
              <w:jc w:val="center"/>
              <w:rPr>
                <w:rFonts w:ascii="宋体" w:hAnsi="宋体" w:cs="宋体"/>
                <w:b/>
                <w:color w:val="auto"/>
                <w:sz w:val="24"/>
                <w:szCs w:val="24"/>
              </w:rPr>
            </w:pPr>
          </w:p>
        </w:tc>
        <w:tc>
          <w:tcPr>
            <w:tcW w:w="8335"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color w:val="000000" w:themeColor="text1"/>
                <w:sz w:val="24"/>
                <w:szCs w:val="24"/>
                <w14:textFill>
                  <w14:solidFill>
                    <w14:schemeClr w14:val="tx1"/>
                  </w14:solidFill>
                </w14:textFill>
              </w:rPr>
            </w:pPr>
            <w:r>
              <w:rPr>
                <w:rFonts w:hint="eastAsia" w:ascii="宋体" w:hAnsi="宋体" w:eastAsiaTheme="minorEastAsia" w:cstheme="minorBidi"/>
                <w:b w:val="0"/>
                <w:bCs w:val="0"/>
                <w:color w:val="000000" w:themeColor="text1"/>
                <w:kern w:val="2"/>
                <w:sz w:val="24"/>
                <w:szCs w:val="24"/>
                <w:lang w:val="en-US" w:eastAsia="zh-CN" w:bidi="ar-SA"/>
                <w14:textFill>
                  <w14:solidFill>
                    <w14:schemeClr w14:val="tx1"/>
                  </w14:solidFill>
                </w14:textFill>
              </w:rPr>
              <w:t>根据投标人售后响应服务方案合理且能满足</w:t>
            </w:r>
            <w:r>
              <w:rPr>
                <w:rFonts w:hint="eastAsia" w:ascii="宋体" w:hAnsi="宋体" w:eastAsiaTheme="minorEastAsia" w:cstheme="minorBidi"/>
                <w:b w:val="0"/>
                <w:bCs w:val="0"/>
                <w:color w:val="000000" w:themeColor="text1"/>
                <w:kern w:val="2"/>
                <w:sz w:val="24"/>
                <w:szCs w:val="24"/>
                <w:lang w:val="zh-CN" w:eastAsia="zh-CN" w:bidi="ar-SA"/>
                <w14:textFill>
                  <w14:solidFill>
                    <w14:schemeClr w14:val="tx1"/>
                  </w14:solidFill>
                </w14:textFill>
              </w:rPr>
              <w:t>采购人需求的</w:t>
            </w:r>
            <w:r>
              <w:rPr>
                <w:rFonts w:hint="eastAsia" w:ascii="宋体" w:hAnsi="宋体" w:eastAsiaTheme="minorEastAsia" w:cstheme="minorBidi"/>
                <w:b w:val="0"/>
                <w:bCs w:val="0"/>
                <w:color w:val="000000" w:themeColor="text1"/>
                <w:kern w:val="2"/>
                <w:sz w:val="24"/>
                <w:szCs w:val="24"/>
                <w:lang w:val="en-US" w:eastAsia="zh-CN" w:bidi="ar-SA"/>
                <w14:textFill>
                  <w14:solidFill>
                    <w14:schemeClr w14:val="tx1"/>
                  </w14:solidFill>
                </w14:textFill>
              </w:rPr>
              <w:t>，出现一般性故障，接到维修通知后，在半小时内电话响应，在24小时内到达现场，在24小时内修复</w:t>
            </w:r>
            <w:r>
              <w:rPr>
                <w:rFonts w:hint="eastAsia" w:ascii="宋体" w:hAnsi="宋体" w:cstheme="minorBidi"/>
                <w:b w:val="0"/>
                <w:bCs w:val="0"/>
                <w:color w:val="000000" w:themeColor="text1"/>
                <w:kern w:val="2"/>
                <w:sz w:val="24"/>
                <w:szCs w:val="24"/>
                <w:lang w:val="en-US" w:eastAsia="zh-CN" w:bidi="ar-SA"/>
                <w14:textFill>
                  <w14:solidFill>
                    <w14:schemeClr w14:val="tx1"/>
                  </w14:solidFill>
                </w14:textFill>
              </w:rPr>
              <w:t>，满足得</w:t>
            </w:r>
            <w:r>
              <w:rPr>
                <w:rFonts w:hint="eastAsia" w:ascii="宋体" w:hAnsi="宋体" w:eastAsiaTheme="minorEastAsia" w:cstheme="minorBidi"/>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Theme="minorEastAsia" w:cstheme="minorBidi"/>
                <w:b w:val="0"/>
                <w:bCs w:val="0"/>
                <w:color w:val="000000" w:themeColor="text1"/>
                <w:kern w:val="2"/>
                <w:sz w:val="24"/>
                <w:szCs w:val="24"/>
                <w:lang w:val="zh-CN" w:eastAsia="zh-CN" w:bidi="ar-SA"/>
                <w14:textFill>
                  <w14:solidFill>
                    <w14:schemeClr w14:val="tx1"/>
                  </w14:solidFill>
                </w14:textFill>
              </w:rPr>
              <w:t>分</w:t>
            </w:r>
            <w:r>
              <w:rPr>
                <w:rFonts w:hint="eastAsia" w:ascii="宋体" w:hAnsi="宋体" w:cstheme="minorBidi"/>
                <w:b w:val="0"/>
                <w:bCs w:val="0"/>
                <w:color w:val="000000" w:themeColor="text1"/>
                <w:kern w:val="2"/>
                <w:sz w:val="24"/>
                <w:szCs w:val="24"/>
                <w:lang w:val="zh-CN" w:eastAsia="zh-CN" w:bidi="ar-SA"/>
                <w14:textFill>
                  <w14:solidFill>
                    <w14:schemeClr w14:val="tx1"/>
                  </w14:solidFill>
                </w14:textFill>
              </w:rPr>
              <w:t>。</w:t>
            </w:r>
          </w:p>
        </w:tc>
        <w:tc>
          <w:tcPr>
            <w:tcW w:w="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 w:hRule="atLeast"/>
        </w:trPr>
        <w:tc>
          <w:tcPr>
            <w:tcW w:w="1138" w:type="dxa"/>
            <w:vMerge w:val="continue"/>
            <w:tcBorders>
              <w:left w:val="single" w:color="auto" w:sz="4" w:space="0"/>
              <w:right w:val="single" w:color="auto" w:sz="4" w:space="0"/>
            </w:tcBorders>
            <w:vAlign w:val="center"/>
          </w:tcPr>
          <w:p>
            <w:pPr>
              <w:adjustRightInd w:val="0"/>
              <w:snapToGrid w:val="0"/>
              <w:jc w:val="center"/>
              <w:rPr>
                <w:rFonts w:ascii="宋体" w:hAnsi="宋体" w:cs="宋体"/>
                <w:b/>
                <w:color w:val="auto"/>
                <w:sz w:val="24"/>
                <w:szCs w:val="24"/>
              </w:rPr>
            </w:pPr>
          </w:p>
        </w:tc>
        <w:tc>
          <w:tcPr>
            <w:tcW w:w="833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kern w:val="2"/>
                <w:sz w:val="24"/>
                <w:szCs w:val="24"/>
                <w:lang w:val="en-US" w:eastAsia="zh-CN" w:bidi="ar-SA"/>
              </w:rPr>
            </w:pPr>
            <w:r>
              <w:rPr>
                <w:rFonts w:hint="eastAsia" w:ascii="宋体" w:hAnsi="宋体" w:cs="宋体"/>
                <w:color w:val="auto"/>
                <w:sz w:val="24"/>
                <w:szCs w:val="24"/>
              </w:rPr>
              <w:t>其他优惠条件及维修服务承诺：认定为实质性优惠条件或有实质性意义的维修服务承诺的，1分。</w:t>
            </w:r>
          </w:p>
        </w:tc>
        <w:tc>
          <w:tcPr>
            <w:tcW w:w="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1138" w:type="dxa"/>
            <w:tcBorders>
              <w:left w:val="single" w:color="auto" w:sz="4" w:space="0"/>
              <w:right w:val="single" w:color="auto" w:sz="4" w:space="0"/>
            </w:tcBorders>
            <w:vAlign w:val="center"/>
          </w:tcPr>
          <w:p>
            <w:pPr>
              <w:adjustRightInd w:val="0"/>
              <w:snapToGrid w:val="0"/>
              <w:spacing w:line="240" w:lineRule="auto"/>
              <w:jc w:val="center"/>
              <w:rPr>
                <w:rFonts w:ascii="宋体" w:hAnsi="宋体" w:cs="宋体"/>
                <w:b/>
                <w:color w:val="auto"/>
                <w:sz w:val="24"/>
                <w:szCs w:val="24"/>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价格</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30</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分</w:t>
            </w:r>
          </w:p>
        </w:tc>
        <w:tc>
          <w:tcPr>
            <w:tcW w:w="8335" w:type="dxa"/>
            <w:tcBorders>
              <w:top w:val="single" w:color="auto" w:sz="4" w:space="0"/>
              <w:left w:val="single" w:color="auto" w:sz="4" w:space="0"/>
              <w:bottom w:val="single" w:color="auto" w:sz="4" w:space="0"/>
              <w:right w:val="single" w:color="auto" w:sz="4" w:space="0"/>
            </w:tcBorders>
            <w:vAlign w:val="center"/>
          </w:tcPr>
          <w:p>
            <w:pPr>
              <w:spacing w:line="240" w:lineRule="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以合格投标人有效投标总报价中的最低价为基准价，基准价为30分。投标报价得分＝（评标基准价/投标报价）×</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30%</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w:t>
            </w:r>
            <w:r>
              <w:rPr>
                <w:rFonts w:hint="eastAsia" w:asciiTheme="minorEastAsia" w:hAnsiTheme="minorEastAsia" w:eastAsiaTheme="minorEastAsia" w:cstheme="minorEastAsia"/>
                <w:color w:val="000000" w:themeColor="text1"/>
                <w:sz w:val="24"/>
                <w:szCs w:val="24"/>
                <w14:textFill>
                  <w14:solidFill>
                    <w14:schemeClr w14:val="tx1"/>
                  </w14:solidFill>
                </w14:textFill>
              </w:rPr>
              <w:t>（小数点后保留2位小数）。注：符合本章第七点政府采购政策的，根据对应情形，对报价给予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20%</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或</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6%</w:t>
            </w:r>
            <w:r>
              <w:rPr>
                <w:rFonts w:hint="eastAsia" w:asciiTheme="minorEastAsia" w:hAnsiTheme="minorEastAsia" w:eastAsiaTheme="minorEastAsia" w:cstheme="minorEastAsia"/>
                <w:color w:val="000000" w:themeColor="text1"/>
                <w:sz w:val="24"/>
                <w:szCs w:val="24"/>
                <w14:textFill>
                  <w14:solidFill>
                    <w14:schemeClr w14:val="tx1"/>
                  </w14:solidFill>
                </w14:textFill>
              </w:rPr>
              <w:t>的价格扣除，用扣除后的价格参与评审。</w:t>
            </w:r>
          </w:p>
        </w:tc>
        <w:tc>
          <w:tcPr>
            <w:tcW w:w="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30</w:t>
            </w:r>
          </w:p>
        </w:tc>
      </w:tr>
    </w:tbl>
    <w:p>
      <w:pPr>
        <w:pStyle w:val="12"/>
        <w:snapToGrid w:val="0"/>
        <w:outlineLvl w:val="0"/>
        <w:rPr>
          <w:rFonts w:hAnsi="宋体" w:cs="宋体"/>
          <w:color w:val="FF0000"/>
          <w:kern w:val="0"/>
          <w:sz w:val="24"/>
          <w:szCs w:val="24"/>
        </w:rPr>
      </w:pPr>
      <w:r>
        <w:rPr>
          <w:rFonts w:hint="eastAsia" w:hAnsi="宋体" w:cs="宋体"/>
          <w:b/>
          <w:color w:val="auto"/>
          <w:sz w:val="24"/>
          <w:szCs w:val="24"/>
        </w:rPr>
        <w:t>注：1、合同、证书、报告及其他相关证明材料，将原件扫描上传至电子投标文件，并加盖电子印章。（</w:t>
      </w:r>
      <w:r>
        <w:rPr>
          <w:rFonts w:hint="eastAsia" w:hAnsi="宋体" w:cs="宋体"/>
          <w:color w:val="auto"/>
          <w:kern w:val="0"/>
          <w:sz w:val="24"/>
          <w:szCs w:val="24"/>
        </w:rPr>
        <w:t>中标后签订合同前，中标人须提供原件给采购人核查。</w:t>
      </w:r>
      <w:r>
        <w:rPr>
          <w:rFonts w:hint="eastAsia" w:hAnsi="宋体" w:cs="宋体"/>
          <w:b/>
          <w:color w:val="auto"/>
          <w:sz w:val="24"/>
          <w:szCs w:val="24"/>
        </w:rPr>
        <w:t>）</w:t>
      </w:r>
    </w:p>
    <w:p>
      <w:pPr>
        <w:pStyle w:val="18"/>
        <w:ind w:left="0" w:leftChars="0" w:firstLine="0" w:firstLineChars="0"/>
        <w:rPr>
          <w:sz w:val="24"/>
          <w:szCs w:val="24"/>
        </w:rPr>
      </w:pPr>
    </w:p>
    <w:p>
      <w:pPr>
        <w:jc w:val="center"/>
        <w:rPr>
          <w:color w:val="000000"/>
          <w:sz w:val="24"/>
          <w:szCs w:val="24"/>
        </w:rPr>
      </w:pPr>
      <w:r>
        <w:rPr>
          <w:rFonts w:hint="eastAsia"/>
          <w:b/>
          <w:color w:val="000000"/>
          <w:sz w:val="24"/>
          <w:szCs w:val="24"/>
        </w:rPr>
        <w:t>样品评标内容及标准</w:t>
      </w:r>
    </w:p>
    <w:tbl>
      <w:tblPr>
        <w:tblStyle w:val="21"/>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806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5" w:type="dxa"/>
            <w:tcBorders>
              <w:top w:val="single" w:color="auto" w:sz="4" w:space="0"/>
              <w:left w:val="single" w:color="auto" w:sz="4" w:space="0"/>
              <w:bottom w:val="single" w:color="auto" w:sz="4" w:space="0"/>
              <w:right w:val="single" w:color="auto" w:sz="4" w:space="0"/>
            </w:tcBorders>
            <w:shd w:val="clear" w:color="auto" w:fill="B3B3B3"/>
            <w:vAlign w:val="center"/>
          </w:tcPr>
          <w:p>
            <w:pPr>
              <w:jc w:val="center"/>
              <w:rPr>
                <w:b/>
                <w:color w:val="000000"/>
                <w:sz w:val="24"/>
                <w:szCs w:val="24"/>
              </w:rPr>
            </w:pPr>
            <w:r>
              <w:rPr>
                <w:rFonts w:hint="eastAsia"/>
                <w:b/>
                <w:color w:val="000000"/>
                <w:sz w:val="24"/>
                <w:szCs w:val="24"/>
              </w:rPr>
              <w:t>评标内容</w:t>
            </w:r>
          </w:p>
        </w:tc>
        <w:tc>
          <w:tcPr>
            <w:tcW w:w="8060" w:type="dxa"/>
            <w:tcBorders>
              <w:top w:val="single" w:color="auto" w:sz="4" w:space="0"/>
              <w:left w:val="single" w:color="auto" w:sz="4" w:space="0"/>
              <w:bottom w:val="single" w:color="auto" w:sz="4" w:space="0"/>
              <w:right w:val="single" w:color="auto" w:sz="4" w:space="0"/>
            </w:tcBorders>
            <w:shd w:val="clear" w:color="auto" w:fill="B3B3B3"/>
            <w:vAlign w:val="center"/>
          </w:tcPr>
          <w:p>
            <w:pPr>
              <w:jc w:val="center"/>
              <w:rPr>
                <w:b/>
                <w:color w:val="000000"/>
                <w:sz w:val="24"/>
                <w:szCs w:val="24"/>
              </w:rPr>
            </w:pPr>
            <w:r>
              <w:rPr>
                <w:rFonts w:hint="eastAsia"/>
                <w:b/>
                <w:color w:val="000000"/>
                <w:sz w:val="24"/>
                <w:szCs w:val="24"/>
              </w:rPr>
              <w:t>细则内容</w:t>
            </w:r>
          </w:p>
        </w:tc>
        <w:tc>
          <w:tcPr>
            <w:tcW w:w="765" w:type="dxa"/>
            <w:tcBorders>
              <w:top w:val="single" w:color="auto" w:sz="4" w:space="0"/>
              <w:left w:val="single" w:color="auto" w:sz="4" w:space="0"/>
              <w:bottom w:val="single" w:color="auto" w:sz="4" w:space="0"/>
              <w:right w:val="single" w:color="auto" w:sz="4" w:space="0"/>
            </w:tcBorders>
            <w:shd w:val="clear" w:color="auto" w:fill="B3B3B3"/>
            <w:vAlign w:val="center"/>
          </w:tcPr>
          <w:p>
            <w:pPr>
              <w:jc w:val="center"/>
              <w:rPr>
                <w:b/>
                <w:color w:val="000000"/>
                <w:sz w:val="24"/>
                <w:szCs w:val="24"/>
              </w:rPr>
            </w:pPr>
            <w:r>
              <w:rPr>
                <w:rFonts w:hint="eastAsia"/>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225" w:type="dxa"/>
            <w:tcBorders>
              <w:top w:val="single" w:color="auto" w:sz="4" w:space="0"/>
              <w:left w:val="single" w:color="auto" w:sz="4" w:space="0"/>
              <w:right w:val="single" w:color="auto" w:sz="4" w:space="0"/>
            </w:tcBorders>
            <w:vAlign w:val="center"/>
          </w:tcPr>
          <w:p>
            <w:pPr>
              <w:jc w:val="center"/>
              <w:rPr>
                <w:rFonts w:ascii="宋体" w:hAnsi="宋体"/>
                <w:bCs/>
                <w:color w:val="000000"/>
                <w:sz w:val="24"/>
                <w:szCs w:val="24"/>
              </w:rPr>
            </w:pPr>
            <w:r>
              <w:rPr>
                <w:rFonts w:hint="eastAsia" w:ascii="宋体" w:hAnsi="宋体"/>
                <w:bCs/>
                <w:color w:val="000000"/>
                <w:sz w:val="24"/>
                <w:szCs w:val="24"/>
              </w:rPr>
              <w:t>产品主要尺寸、形状及位置公差</w:t>
            </w:r>
          </w:p>
        </w:tc>
        <w:tc>
          <w:tcPr>
            <w:tcW w:w="8060" w:type="dxa"/>
            <w:tcBorders>
              <w:top w:val="single" w:color="auto" w:sz="4" w:space="0"/>
              <w:left w:val="single" w:color="auto" w:sz="4" w:space="0"/>
              <w:bottom w:val="single" w:color="auto" w:sz="4" w:space="0"/>
              <w:right w:val="single" w:color="auto" w:sz="4" w:space="0"/>
            </w:tcBorders>
            <w:vAlign w:val="center"/>
          </w:tcPr>
          <w:p>
            <w:pPr>
              <w:spacing w:line="240" w:lineRule="auto"/>
              <w:ind w:right="-107" w:rightChars="-51"/>
              <w:rPr>
                <w:sz w:val="24"/>
                <w:szCs w:val="24"/>
              </w:rPr>
            </w:pPr>
            <w:r>
              <w:rPr>
                <w:rFonts w:hint="eastAsia"/>
                <w:sz w:val="24"/>
                <w:szCs w:val="24"/>
              </w:rPr>
              <w:t>每偏离一个参数指标扣0.5分，扣完为止。</w:t>
            </w:r>
          </w:p>
          <w:p>
            <w:pPr>
              <w:spacing w:line="240" w:lineRule="auto"/>
              <w:ind w:right="-107" w:rightChars="-51"/>
              <w:rPr>
                <w:sz w:val="24"/>
                <w:szCs w:val="24"/>
              </w:rPr>
            </w:pPr>
            <w:r>
              <w:rPr>
                <w:rFonts w:hint="eastAsia"/>
                <w:sz w:val="24"/>
                <w:szCs w:val="24"/>
              </w:rPr>
              <w:t>采购人有明确要求且明示的产品尺寸偏差控制在±3mm以内(测量工具：0～3m钢卷尺，精度1mm)；</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olor w:val="000000"/>
                <w:kern w:val="0"/>
                <w:sz w:val="24"/>
                <w:szCs w:val="24"/>
              </w:rPr>
            </w:pPr>
            <w:r>
              <w:rPr>
                <w:rFonts w:hint="eastAsia" w:ascii="宋体"/>
                <w:color w:val="000000"/>
                <w:kern w:val="0"/>
                <w:sz w:val="24"/>
                <w:szCs w:val="24"/>
                <w:lang w:val="en-US" w:eastAsia="zh-CN"/>
              </w:rPr>
              <w:t>2</w:t>
            </w:r>
            <w:r>
              <w:rPr>
                <w:rFonts w:hint="eastAsia" w:ascii="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225" w:type="dxa"/>
            <w:tcBorders>
              <w:top w:val="single" w:color="auto" w:sz="4" w:space="0"/>
              <w:left w:val="single" w:color="auto" w:sz="4" w:space="0"/>
              <w:right w:val="single" w:color="auto" w:sz="4" w:space="0"/>
            </w:tcBorders>
            <w:vAlign w:val="center"/>
          </w:tcPr>
          <w:p>
            <w:pPr>
              <w:jc w:val="center"/>
              <w:rPr>
                <w:rFonts w:ascii="宋体" w:hAnsi="宋体"/>
                <w:bCs/>
                <w:color w:val="000000"/>
                <w:sz w:val="24"/>
                <w:szCs w:val="24"/>
              </w:rPr>
            </w:pPr>
            <w:r>
              <w:rPr>
                <w:rFonts w:hint="eastAsia" w:ascii="宋体" w:hAnsi="宋体"/>
                <w:bCs/>
                <w:color w:val="000000"/>
                <w:sz w:val="24"/>
                <w:szCs w:val="24"/>
              </w:rPr>
              <w:t>材料要求</w:t>
            </w:r>
          </w:p>
        </w:tc>
        <w:tc>
          <w:tcPr>
            <w:tcW w:w="8060" w:type="dxa"/>
            <w:tcBorders>
              <w:top w:val="single" w:color="auto" w:sz="4" w:space="0"/>
              <w:left w:val="single" w:color="auto" w:sz="4" w:space="0"/>
              <w:bottom w:val="single" w:color="auto" w:sz="4" w:space="0"/>
              <w:right w:val="single" w:color="auto" w:sz="4" w:space="0"/>
            </w:tcBorders>
            <w:vAlign w:val="center"/>
          </w:tcPr>
          <w:p>
            <w:pPr>
              <w:spacing w:line="240" w:lineRule="auto"/>
              <w:ind w:right="-107" w:rightChars="-51"/>
              <w:rPr>
                <w:sz w:val="24"/>
                <w:szCs w:val="24"/>
              </w:rPr>
            </w:pPr>
            <w:r>
              <w:rPr>
                <w:rFonts w:hint="eastAsia"/>
                <w:sz w:val="24"/>
                <w:szCs w:val="24"/>
              </w:rPr>
              <w:t>每个不合格项扣0.5分，扣完为止。</w:t>
            </w:r>
          </w:p>
          <w:p>
            <w:pPr>
              <w:spacing w:line="240" w:lineRule="auto"/>
              <w:ind w:right="-107" w:rightChars="-51"/>
              <w:rPr>
                <w:sz w:val="24"/>
                <w:szCs w:val="24"/>
              </w:rPr>
            </w:pPr>
            <w:r>
              <w:rPr>
                <w:rFonts w:hint="eastAsia"/>
                <w:sz w:val="24"/>
                <w:szCs w:val="24"/>
              </w:rPr>
              <w:t>样品所选用板材、钢板、五金、封边条、木皮、脚轮等主要原材料的规格尺寸与采购需求一致。</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olor w:val="000000" w:themeColor="text1"/>
                <w:kern w:val="0"/>
                <w:sz w:val="24"/>
                <w:szCs w:val="24"/>
                <w14:textFill>
                  <w14:solidFill>
                    <w14:schemeClr w14:val="tx1"/>
                  </w14:solidFill>
                </w14:textFill>
              </w:rPr>
            </w:pPr>
            <w:r>
              <w:rPr>
                <w:rFonts w:hint="eastAsia" w:ascii="宋体"/>
                <w:color w:val="000000" w:themeColor="text1"/>
                <w:kern w:val="0"/>
                <w:sz w:val="24"/>
                <w:szCs w:val="24"/>
                <w:lang w:val="en-US" w:eastAsia="zh-CN"/>
                <w14:textFill>
                  <w14:solidFill>
                    <w14:schemeClr w14:val="tx1"/>
                  </w14:solidFill>
                </w14:textFill>
              </w:rPr>
              <w:t>4</w:t>
            </w:r>
            <w:r>
              <w:rPr>
                <w:rFonts w:hint="eastAsia" w:ascii="宋体"/>
                <w:color w:val="000000" w:themeColor="text1"/>
                <w:kern w:val="0"/>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szCs w:val="24"/>
              </w:rPr>
            </w:pPr>
            <w:r>
              <w:rPr>
                <w:rFonts w:hint="eastAsia" w:ascii="宋体" w:hAnsi="宋体"/>
                <w:bCs/>
                <w:color w:val="000000"/>
                <w:sz w:val="24"/>
                <w:szCs w:val="24"/>
              </w:rPr>
              <w:t>功能要求</w:t>
            </w:r>
          </w:p>
        </w:tc>
        <w:tc>
          <w:tcPr>
            <w:tcW w:w="806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000000"/>
                <w:sz w:val="24"/>
                <w:szCs w:val="24"/>
              </w:rPr>
            </w:pPr>
            <w:r>
              <w:rPr>
                <w:rFonts w:hint="eastAsia" w:ascii="宋体" w:hAnsi="宋体"/>
                <w:color w:val="000000"/>
                <w:sz w:val="24"/>
                <w:szCs w:val="24"/>
              </w:rPr>
              <w:t>每个不合格项扣0.5分，扣完为止。</w:t>
            </w:r>
          </w:p>
          <w:p>
            <w:pPr>
              <w:spacing w:line="240" w:lineRule="auto"/>
              <w:rPr>
                <w:rFonts w:hint="eastAsia" w:ascii="宋体" w:hAnsi="宋体"/>
                <w:color w:val="000000"/>
                <w:sz w:val="24"/>
                <w:szCs w:val="24"/>
              </w:rPr>
            </w:pPr>
            <w:r>
              <w:rPr>
                <w:rFonts w:hint="eastAsia" w:ascii="宋体" w:hAnsi="宋体"/>
                <w:color w:val="000000"/>
                <w:sz w:val="24"/>
                <w:szCs w:val="24"/>
              </w:rPr>
              <w:t>1.铰链、合页、反弹装置、吸合装置、滑轨、倾斜机构、升降机构、翻转机构、插销等部件，安装后应灵活使用；</w:t>
            </w:r>
          </w:p>
          <w:p>
            <w:pPr>
              <w:spacing w:line="240" w:lineRule="auto"/>
              <w:rPr>
                <w:rFonts w:hint="eastAsia" w:ascii="宋体" w:hAnsi="宋体"/>
                <w:color w:val="000000"/>
                <w:sz w:val="24"/>
                <w:szCs w:val="24"/>
              </w:rPr>
            </w:pPr>
            <w:r>
              <w:rPr>
                <w:rFonts w:hint="eastAsia" w:ascii="宋体" w:hAnsi="宋体"/>
                <w:color w:val="000000"/>
                <w:sz w:val="24"/>
                <w:szCs w:val="24"/>
              </w:rPr>
              <w:t>2.折叠机构：无非预期的自行折叠现象；</w:t>
            </w:r>
          </w:p>
          <w:p>
            <w:pPr>
              <w:spacing w:line="240" w:lineRule="auto"/>
              <w:rPr>
                <w:rFonts w:hint="eastAsia" w:ascii="宋体" w:hAnsi="宋体"/>
                <w:color w:val="000000"/>
                <w:sz w:val="24"/>
                <w:szCs w:val="24"/>
              </w:rPr>
            </w:pPr>
            <w:r>
              <w:rPr>
                <w:rFonts w:hint="eastAsia" w:ascii="宋体" w:hAnsi="宋体"/>
                <w:color w:val="000000"/>
                <w:sz w:val="24"/>
                <w:szCs w:val="24"/>
              </w:rPr>
              <w:t>3.家具锁锁定到位，开启应灵活；</w:t>
            </w:r>
          </w:p>
          <w:p>
            <w:pPr>
              <w:spacing w:line="240" w:lineRule="auto"/>
              <w:rPr>
                <w:rFonts w:hint="eastAsia" w:ascii="宋体" w:hAnsi="宋体"/>
                <w:color w:val="000000"/>
                <w:sz w:val="24"/>
                <w:szCs w:val="24"/>
              </w:rPr>
            </w:pPr>
            <w:r>
              <w:rPr>
                <w:rFonts w:hint="eastAsia" w:ascii="宋体" w:hAnsi="宋体"/>
                <w:color w:val="000000"/>
                <w:sz w:val="24"/>
                <w:szCs w:val="24"/>
              </w:rPr>
              <w:t>4.锁定脚轮的锁定装置完好，在开锁状态下应运动灵活；</w:t>
            </w:r>
          </w:p>
          <w:p>
            <w:pPr>
              <w:spacing w:line="240" w:lineRule="auto"/>
              <w:rPr>
                <w:rFonts w:ascii="宋体" w:hAnsi="宋体"/>
                <w:color w:val="000000"/>
                <w:sz w:val="24"/>
                <w:szCs w:val="24"/>
              </w:rPr>
            </w:pPr>
            <w:r>
              <w:rPr>
                <w:rFonts w:hint="eastAsia" w:ascii="宋体" w:hAnsi="宋体"/>
                <w:color w:val="000000"/>
                <w:sz w:val="24"/>
                <w:szCs w:val="24"/>
              </w:rPr>
              <w:t>5.设计美观、实用，能够实现产品的整体使用功能。</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olor w:val="000000" w:themeColor="text1"/>
                <w:kern w:val="0"/>
                <w:sz w:val="24"/>
                <w:szCs w:val="24"/>
                <w14:textFill>
                  <w14:solidFill>
                    <w14:schemeClr w14:val="tx1"/>
                  </w14:solidFill>
                </w14:textFill>
              </w:rPr>
            </w:pPr>
            <w:r>
              <w:rPr>
                <w:rFonts w:hint="eastAsia" w:ascii="宋体"/>
                <w:color w:val="000000" w:themeColor="text1"/>
                <w:kern w:val="0"/>
                <w:sz w:val="24"/>
                <w:szCs w:val="24"/>
                <w:lang w:val="en-US" w:eastAsia="zh-CN"/>
                <w14:textFill>
                  <w14:solidFill>
                    <w14:schemeClr w14:val="tx1"/>
                  </w14:solidFill>
                </w14:textFill>
              </w:rPr>
              <w:t>3</w:t>
            </w:r>
            <w:r>
              <w:rPr>
                <w:rFonts w:hint="eastAsia" w:ascii="宋体"/>
                <w:color w:val="000000" w:themeColor="text1"/>
                <w:kern w:val="0"/>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szCs w:val="24"/>
              </w:rPr>
            </w:pPr>
            <w:r>
              <w:rPr>
                <w:rFonts w:hint="eastAsia" w:ascii="宋体" w:hAnsi="宋体"/>
                <w:bCs/>
                <w:color w:val="000000"/>
                <w:sz w:val="24"/>
                <w:szCs w:val="24"/>
              </w:rPr>
              <w:t>样品外观</w:t>
            </w:r>
          </w:p>
        </w:tc>
        <w:tc>
          <w:tcPr>
            <w:tcW w:w="8060" w:type="dxa"/>
            <w:tcBorders>
              <w:top w:val="single" w:color="auto" w:sz="4" w:space="0"/>
              <w:left w:val="single" w:color="auto" w:sz="4" w:space="0"/>
              <w:bottom w:val="single" w:color="auto" w:sz="4" w:space="0"/>
              <w:right w:val="single" w:color="auto" w:sz="4" w:space="0"/>
            </w:tcBorders>
            <w:vAlign w:val="center"/>
          </w:tcPr>
          <w:p>
            <w:pPr>
              <w:spacing w:line="240" w:lineRule="auto"/>
              <w:rPr>
                <w:sz w:val="24"/>
                <w:szCs w:val="24"/>
              </w:rPr>
            </w:pPr>
            <w:r>
              <w:rPr>
                <w:rFonts w:hint="eastAsia"/>
                <w:sz w:val="24"/>
                <w:szCs w:val="24"/>
              </w:rPr>
              <w:t>每个不合格项扣0.5分，扣完为止。</w:t>
            </w:r>
          </w:p>
          <w:p>
            <w:pPr>
              <w:spacing w:line="240" w:lineRule="auto"/>
              <w:rPr>
                <w:sz w:val="24"/>
                <w:szCs w:val="24"/>
              </w:rPr>
            </w:pPr>
            <w:r>
              <w:rPr>
                <w:rFonts w:hint="eastAsia"/>
                <w:sz w:val="24"/>
                <w:szCs w:val="24"/>
              </w:rPr>
              <w:t>1.金属件：</w:t>
            </w:r>
          </w:p>
          <w:p>
            <w:pPr>
              <w:spacing w:line="240" w:lineRule="auto"/>
              <w:rPr>
                <w:sz w:val="24"/>
                <w:szCs w:val="24"/>
              </w:rPr>
            </w:pPr>
            <w:r>
              <w:rPr>
                <w:rFonts w:hint="eastAsia"/>
                <w:sz w:val="24"/>
                <w:szCs w:val="24"/>
              </w:rPr>
              <w:t>(1)管材：管材应无裂缝、叠缝，外露管口端面应封闭；</w:t>
            </w:r>
          </w:p>
          <w:p>
            <w:pPr>
              <w:spacing w:line="240" w:lineRule="auto"/>
              <w:rPr>
                <w:sz w:val="24"/>
                <w:szCs w:val="24"/>
              </w:rPr>
            </w:pPr>
            <w:r>
              <w:rPr>
                <w:rFonts w:hint="eastAsia"/>
                <w:sz w:val="24"/>
                <w:szCs w:val="24"/>
              </w:rPr>
              <w:t>(2)焊接件：焊接处应无脱焊、虚焊、焊穿、错位，焊接处应无夹渣、气孔、焊瘤、焊丝头、咬边、飞溅，焊接处表面波纹应均匀；</w:t>
            </w:r>
          </w:p>
          <w:p>
            <w:pPr>
              <w:spacing w:line="240" w:lineRule="auto"/>
              <w:rPr>
                <w:sz w:val="24"/>
                <w:szCs w:val="24"/>
              </w:rPr>
            </w:pPr>
            <w:r>
              <w:rPr>
                <w:rFonts w:hint="eastAsia"/>
                <w:sz w:val="24"/>
                <w:szCs w:val="24"/>
              </w:rPr>
              <w:t>(3)冲压件：冲压件应无脱层、裂缝；</w:t>
            </w:r>
          </w:p>
          <w:p>
            <w:pPr>
              <w:spacing w:line="240" w:lineRule="auto"/>
              <w:rPr>
                <w:sz w:val="24"/>
                <w:szCs w:val="24"/>
              </w:rPr>
            </w:pPr>
            <w:r>
              <w:rPr>
                <w:rFonts w:hint="eastAsia"/>
                <w:sz w:val="24"/>
                <w:szCs w:val="24"/>
              </w:rPr>
              <w:t>(4)铆接件：铆接处应铆接牢固，无漏铆、脱铆，铆钉应端正圆滑，无明显锤印；</w:t>
            </w:r>
          </w:p>
          <w:p>
            <w:pPr>
              <w:spacing w:line="240" w:lineRule="auto"/>
              <w:rPr>
                <w:sz w:val="24"/>
                <w:szCs w:val="24"/>
              </w:rPr>
            </w:pPr>
            <w:r>
              <w:rPr>
                <w:rFonts w:hint="eastAsia"/>
                <w:sz w:val="24"/>
                <w:szCs w:val="24"/>
              </w:rPr>
              <w:t>(5)金属合金件：无锈蚀、氧化膜脱落、刃口、锐棱，表面细密，应无裂纹、毛刺、黑斑等缺陷；</w:t>
            </w:r>
          </w:p>
          <w:p>
            <w:pPr>
              <w:spacing w:line="240" w:lineRule="auto"/>
              <w:rPr>
                <w:sz w:val="24"/>
                <w:szCs w:val="24"/>
              </w:rPr>
            </w:pPr>
            <w:r>
              <w:rPr>
                <w:rFonts w:hint="eastAsia"/>
                <w:sz w:val="24"/>
                <w:szCs w:val="24"/>
              </w:rPr>
              <w:t>(6)皱纹或波纹：圆管和扁线管弯曲处弧形应圆滑一致；</w:t>
            </w:r>
          </w:p>
          <w:p>
            <w:pPr>
              <w:spacing w:line="240" w:lineRule="auto"/>
              <w:rPr>
                <w:sz w:val="24"/>
                <w:szCs w:val="24"/>
              </w:rPr>
            </w:pPr>
            <w:r>
              <w:rPr>
                <w:rFonts w:hint="eastAsia"/>
                <w:sz w:val="24"/>
                <w:szCs w:val="24"/>
              </w:rPr>
              <w:t>(7)喷涂层：涂层应无漏喷、锈蚀和脱色、掉色现象，涂层应光滑均匀，色泽一致，应无流挂、疙瘩、皱皮、飞漆等缺陷；</w:t>
            </w:r>
          </w:p>
          <w:p>
            <w:pPr>
              <w:spacing w:line="240" w:lineRule="auto"/>
              <w:rPr>
                <w:sz w:val="24"/>
                <w:szCs w:val="24"/>
              </w:rPr>
            </w:pPr>
            <w:r>
              <w:rPr>
                <w:rFonts w:hint="eastAsia"/>
                <w:sz w:val="24"/>
                <w:szCs w:val="24"/>
              </w:rPr>
              <w:t>(8)电镀层：表面应无剥落、返锈、毛刺，表面应无烧焦、起泡、针孔、裂纹、花斑（不包括镀彩锌）和划痕。</w:t>
            </w:r>
          </w:p>
          <w:p>
            <w:pPr>
              <w:pStyle w:val="8"/>
              <w:spacing w:line="240" w:lineRule="auto"/>
              <w:rPr>
                <w:sz w:val="24"/>
                <w:szCs w:val="24"/>
              </w:rPr>
            </w:pPr>
            <w:r>
              <w:rPr>
                <w:rFonts w:hint="eastAsia"/>
                <w:sz w:val="24"/>
                <w:szCs w:val="24"/>
              </w:rPr>
              <w:t>2.木制件：</w:t>
            </w:r>
          </w:p>
          <w:p>
            <w:pPr>
              <w:pStyle w:val="8"/>
              <w:spacing w:line="240" w:lineRule="auto"/>
              <w:rPr>
                <w:sz w:val="24"/>
                <w:szCs w:val="24"/>
              </w:rPr>
            </w:pPr>
            <w:r>
              <w:rPr>
                <w:rFonts w:hint="eastAsia"/>
                <w:sz w:val="24"/>
                <w:szCs w:val="24"/>
              </w:rPr>
              <w:t>(1)不应有蛀虫现象；</w:t>
            </w:r>
          </w:p>
          <w:p>
            <w:pPr>
              <w:pStyle w:val="8"/>
              <w:spacing w:line="240" w:lineRule="auto"/>
              <w:rPr>
                <w:sz w:val="24"/>
                <w:szCs w:val="24"/>
              </w:rPr>
            </w:pPr>
            <w:r>
              <w:rPr>
                <w:rFonts w:hint="eastAsia"/>
                <w:sz w:val="24"/>
                <w:szCs w:val="24"/>
              </w:rPr>
              <w:t>(2)应无贯通裂缝；</w:t>
            </w:r>
          </w:p>
          <w:p>
            <w:pPr>
              <w:pStyle w:val="8"/>
              <w:spacing w:line="240" w:lineRule="auto"/>
              <w:rPr>
                <w:sz w:val="24"/>
                <w:szCs w:val="24"/>
              </w:rPr>
            </w:pPr>
            <w:r>
              <w:rPr>
                <w:rFonts w:hint="eastAsia"/>
                <w:sz w:val="24"/>
                <w:szCs w:val="24"/>
              </w:rPr>
              <w:t>(3)外表应无腐朽材，内表腐朽材面积不应超过零件面积的20%；</w:t>
            </w:r>
          </w:p>
          <w:p>
            <w:pPr>
              <w:pStyle w:val="8"/>
              <w:spacing w:line="240" w:lineRule="auto"/>
              <w:rPr>
                <w:sz w:val="24"/>
                <w:szCs w:val="24"/>
              </w:rPr>
            </w:pPr>
            <w:r>
              <w:rPr>
                <w:rFonts w:hint="eastAsia"/>
                <w:sz w:val="24"/>
                <w:szCs w:val="24"/>
              </w:rPr>
              <w:t>(4)外表节子宽度不应超过材宽的1/3，直径不应超过12mm（特殊设计要求除外）；</w:t>
            </w:r>
          </w:p>
          <w:p>
            <w:pPr>
              <w:pStyle w:val="8"/>
              <w:spacing w:line="240" w:lineRule="auto"/>
              <w:rPr>
                <w:sz w:val="24"/>
                <w:szCs w:val="24"/>
              </w:rPr>
            </w:pPr>
            <w:r>
              <w:rPr>
                <w:rFonts w:hint="eastAsia"/>
                <w:sz w:val="24"/>
                <w:szCs w:val="24"/>
              </w:rPr>
              <w:t>(5)结合处应无崩茬；</w:t>
            </w:r>
          </w:p>
          <w:p>
            <w:pPr>
              <w:pStyle w:val="8"/>
              <w:spacing w:line="240" w:lineRule="auto"/>
              <w:rPr>
                <w:sz w:val="24"/>
                <w:szCs w:val="24"/>
              </w:rPr>
            </w:pPr>
            <w:r>
              <w:rPr>
                <w:rFonts w:hint="eastAsia"/>
                <w:sz w:val="24"/>
                <w:szCs w:val="24"/>
              </w:rPr>
              <w:t>(6)薄木、塑料等材料贴面应无明显透胶、脱胶、凹陷、压痕、鼓泡、胶迹。</w:t>
            </w:r>
          </w:p>
          <w:p>
            <w:pPr>
              <w:pStyle w:val="8"/>
              <w:spacing w:line="240" w:lineRule="auto"/>
              <w:rPr>
                <w:sz w:val="24"/>
                <w:szCs w:val="24"/>
              </w:rPr>
            </w:pPr>
            <w:r>
              <w:rPr>
                <w:rFonts w:hint="eastAsia"/>
                <w:sz w:val="24"/>
                <w:szCs w:val="24"/>
              </w:rPr>
              <w:t>3.人造板件外观:</w:t>
            </w:r>
          </w:p>
          <w:p>
            <w:pPr>
              <w:pStyle w:val="8"/>
              <w:spacing w:line="240" w:lineRule="auto"/>
              <w:rPr>
                <w:sz w:val="24"/>
                <w:szCs w:val="24"/>
              </w:rPr>
            </w:pPr>
            <w:r>
              <w:rPr>
                <w:rFonts w:hint="eastAsia"/>
                <w:sz w:val="24"/>
                <w:szCs w:val="24"/>
              </w:rPr>
              <w:t>(1)外表应无干花、湿花,内表干花、湿花面积不超过板面的5%；</w:t>
            </w:r>
          </w:p>
          <w:p>
            <w:pPr>
              <w:pStyle w:val="8"/>
              <w:spacing w:line="240" w:lineRule="auto"/>
              <w:rPr>
                <w:sz w:val="24"/>
                <w:szCs w:val="24"/>
              </w:rPr>
            </w:pPr>
            <w:r>
              <w:rPr>
                <w:rFonts w:hint="eastAsia"/>
                <w:sz w:val="24"/>
                <w:szCs w:val="24"/>
              </w:rPr>
              <w:t>(2)同一板面外表，允许1处，面积在3mm²～30mm²内；</w:t>
            </w:r>
          </w:p>
          <w:p>
            <w:pPr>
              <w:pStyle w:val="8"/>
              <w:spacing w:line="240" w:lineRule="auto"/>
              <w:rPr>
                <w:sz w:val="24"/>
                <w:szCs w:val="24"/>
              </w:rPr>
            </w:pPr>
            <w:r>
              <w:rPr>
                <w:rFonts w:hint="eastAsia"/>
                <w:sz w:val="24"/>
                <w:szCs w:val="24"/>
              </w:rPr>
              <w:t>(3)外表应无明显划痕、压痕；</w:t>
            </w:r>
          </w:p>
          <w:p>
            <w:pPr>
              <w:pStyle w:val="8"/>
              <w:spacing w:line="240" w:lineRule="auto"/>
              <w:rPr>
                <w:sz w:val="24"/>
                <w:szCs w:val="24"/>
              </w:rPr>
            </w:pPr>
            <w:r>
              <w:rPr>
                <w:rFonts w:hint="eastAsia"/>
                <w:sz w:val="24"/>
                <w:szCs w:val="24"/>
              </w:rPr>
              <w:t>(4)表面应无明显色差；</w:t>
            </w:r>
          </w:p>
          <w:p>
            <w:pPr>
              <w:pStyle w:val="8"/>
              <w:spacing w:line="240" w:lineRule="auto"/>
              <w:rPr>
                <w:sz w:val="24"/>
                <w:szCs w:val="24"/>
              </w:rPr>
            </w:pPr>
            <w:r>
              <w:rPr>
                <w:rFonts w:hint="eastAsia"/>
                <w:sz w:val="24"/>
                <w:szCs w:val="24"/>
              </w:rPr>
              <w:t>(5)外表应无鼓泡、龟裂、分层。</w:t>
            </w:r>
          </w:p>
          <w:p>
            <w:pPr>
              <w:pStyle w:val="8"/>
              <w:spacing w:line="240" w:lineRule="auto"/>
              <w:rPr>
                <w:sz w:val="24"/>
                <w:szCs w:val="24"/>
              </w:rPr>
            </w:pPr>
            <w:r>
              <w:rPr>
                <w:rFonts w:hint="eastAsia"/>
                <w:sz w:val="24"/>
                <w:szCs w:val="24"/>
              </w:rPr>
              <w:t>4.漆膜外观要求：</w:t>
            </w:r>
          </w:p>
          <w:p>
            <w:pPr>
              <w:pStyle w:val="8"/>
              <w:spacing w:line="240" w:lineRule="auto"/>
              <w:rPr>
                <w:sz w:val="24"/>
                <w:szCs w:val="24"/>
              </w:rPr>
            </w:pPr>
            <w:r>
              <w:rPr>
                <w:rFonts w:hint="eastAsia"/>
                <w:sz w:val="24"/>
                <w:szCs w:val="24"/>
              </w:rPr>
              <w:t>(1)同色部件的色泽应相似；</w:t>
            </w:r>
          </w:p>
          <w:p>
            <w:pPr>
              <w:pStyle w:val="8"/>
              <w:spacing w:line="240" w:lineRule="auto"/>
              <w:rPr>
                <w:sz w:val="24"/>
                <w:szCs w:val="24"/>
              </w:rPr>
            </w:pPr>
            <w:r>
              <w:rPr>
                <w:rFonts w:hint="eastAsia"/>
                <w:sz w:val="24"/>
                <w:szCs w:val="24"/>
              </w:rPr>
              <w:t>(2)应无褪色、掉色现象；</w:t>
            </w:r>
          </w:p>
          <w:p>
            <w:pPr>
              <w:pStyle w:val="8"/>
              <w:spacing w:line="240" w:lineRule="auto"/>
              <w:rPr>
                <w:sz w:val="24"/>
                <w:szCs w:val="24"/>
              </w:rPr>
            </w:pPr>
            <w:r>
              <w:rPr>
                <w:rFonts w:hint="eastAsia"/>
                <w:sz w:val="24"/>
                <w:szCs w:val="24"/>
              </w:rPr>
              <w:t>(3)涂层不应有皱皮、发粘或漏漆现象；</w:t>
            </w:r>
          </w:p>
          <w:p>
            <w:pPr>
              <w:pStyle w:val="8"/>
              <w:spacing w:line="240" w:lineRule="auto"/>
              <w:rPr>
                <w:sz w:val="24"/>
                <w:szCs w:val="24"/>
              </w:rPr>
            </w:pPr>
            <w:r>
              <w:rPr>
                <w:rFonts w:hint="eastAsia"/>
                <w:sz w:val="24"/>
                <w:szCs w:val="24"/>
              </w:rPr>
              <w:t>(4)涂层应平整光滑、清晰、无明显粒子、涨边现象；应无明显加工痕迹、划痕、雾光、白棱、白点、鼓泡、油白、流挂、缩孔、刷毛、积粉和杂渣。</w:t>
            </w:r>
          </w:p>
          <w:p>
            <w:pPr>
              <w:pStyle w:val="8"/>
              <w:spacing w:line="240" w:lineRule="auto"/>
              <w:rPr>
                <w:sz w:val="24"/>
                <w:szCs w:val="24"/>
              </w:rPr>
            </w:pPr>
            <w:r>
              <w:rPr>
                <w:rFonts w:hint="eastAsia"/>
                <w:sz w:val="24"/>
                <w:szCs w:val="24"/>
              </w:rPr>
              <w:t>5.软包件：</w:t>
            </w:r>
          </w:p>
          <w:p>
            <w:pPr>
              <w:pStyle w:val="8"/>
              <w:spacing w:line="240" w:lineRule="auto"/>
              <w:rPr>
                <w:sz w:val="24"/>
                <w:szCs w:val="24"/>
              </w:rPr>
            </w:pPr>
            <w:r>
              <w:rPr>
                <w:rFonts w:hint="eastAsia"/>
                <w:sz w:val="24"/>
                <w:szCs w:val="24"/>
              </w:rPr>
              <w:t>(1)软面包覆表面：包覆的面料拼接对称图案应完整；同一部位绒面料的绒毛方向应一致；不应有明显色差，包覆的面料应无破损、严重划痕、色污、油污，应平服饱满，松紧均匀，不应有明显皱折，对称工艺性皱折应匀称，层次分明；</w:t>
            </w:r>
          </w:p>
          <w:p>
            <w:pPr>
              <w:pStyle w:val="8"/>
              <w:spacing w:line="240" w:lineRule="auto"/>
              <w:rPr>
                <w:sz w:val="24"/>
                <w:szCs w:val="24"/>
              </w:rPr>
            </w:pPr>
            <w:r>
              <w:rPr>
                <w:rFonts w:hint="eastAsia"/>
                <w:sz w:val="24"/>
                <w:szCs w:val="24"/>
              </w:rPr>
              <w:t>(2)外露泡钉：应排列应整齐，间距基本相等，不应有泡钉明显敲扁或脱漆；</w:t>
            </w:r>
          </w:p>
          <w:p>
            <w:pPr>
              <w:pStyle w:val="8"/>
              <w:spacing w:line="240" w:lineRule="auto"/>
              <w:rPr>
                <w:sz w:val="24"/>
                <w:szCs w:val="24"/>
              </w:rPr>
            </w:pPr>
            <w:r>
              <w:rPr>
                <w:rFonts w:hint="eastAsia"/>
                <w:sz w:val="24"/>
                <w:szCs w:val="24"/>
              </w:rPr>
              <w:t>(3)缝纫：线迹间距应均匀，无明显浮线、跳针或外露线头、脱线、开缝、脱胶。</w:t>
            </w:r>
          </w:p>
          <w:p>
            <w:pPr>
              <w:pStyle w:val="8"/>
              <w:spacing w:line="240" w:lineRule="auto"/>
              <w:rPr>
                <w:sz w:val="24"/>
                <w:szCs w:val="24"/>
              </w:rPr>
            </w:pPr>
            <w:r>
              <w:rPr>
                <w:rFonts w:hint="eastAsia"/>
                <w:sz w:val="24"/>
                <w:szCs w:val="24"/>
              </w:rPr>
              <w:t>6.塑料件:应无裂纹，无明显变形，应无明显缩孔、气泡、杂质、伤痕，外表用塑料件表面应光洁、无划痕、无污渍、无明显色差。</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olor w:val="000000" w:themeColor="text1"/>
                <w:kern w:val="0"/>
                <w:sz w:val="24"/>
                <w:szCs w:val="24"/>
                <w14:textFill>
                  <w14:solidFill>
                    <w14:schemeClr w14:val="tx1"/>
                  </w14:solidFill>
                </w14:textFill>
              </w:rPr>
            </w:pPr>
            <w:r>
              <w:rPr>
                <w:rFonts w:hint="eastAsia" w:ascii="宋体"/>
                <w:color w:val="000000" w:themeColor="text1"/>
                <w:kern w:val="0"/>
                <w:sz w:val="24"/>
                <w:szCs w:val="24"/>
                <w:lang w:val="en-US" w:eastAsia="zh-CN"/>
                <w14:textFill>
                  <w14:solidFill>
                    <w14:schemeClr w14:val="tx1"/>
                  </w14:solidFill>
                </w14:textFill>
              </w:rPr>
              <w:t>4</w:t>
            </w:r>
            <w:r>
              <w:rPr>
                <w:rFonts w:hint="eastAsia" w:ascii="宋体"/>
                <w:color w:val="000000" w:themeColor="text1"/>
                <w:kern w:val="0"/>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szCs w:val="24"/>
              </w:rPr>
            </w:pPr>
            <w:r>
              <w:rPr>
                <w:rFonts w:hint="eastAsia" w:ascii="宋体" w:hAnsi="宋体"/>
                <w:bCs/>
                <w:color w:val="000000"/>
                <w:sz w:val="24"/>
                <w:szCs w:val="24"/>
              </w:rPr>
              <w:t>制作工艺</w:t>
            </w:r>
          </w:p>
        </w:tc>
        <w:tc>
          <w:tcPr>
            <w:tcW w:w="806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000000"/>
                <w:sz w:val="24"/>
                <w:szCs w:val="24"/>
              </w:rPr>
            </w:pPr>
            <w:r>
              <w:rPr>
                <w:rFonts w:hint="eastAsia" w:ascii="宋体" w:hAnsi="宋体"/>
                <w:color w:val="000000"/>
                <w:sz w:val="24"/>
                <w:szCs w:val="24"/>
              </w:rPr>
              <w:t>每个不合格项扣0.5分，扣完为止。</w:t>
            </w:r>
          </w:p>
          <w:p>
            <w:pPr>
              <w:spacing w:line="240" w:lineRule="auto"/>
              <w:rPr>
                <w:rFonts w:ascii="宋体" w:hAnsi="宋体"/>
                <w:color w:val="000000"/>
                <w:sz w:val="24"/>
                <w:szCs w:val="24"/>
              </w:rPr>
            </w:pPr>
            <w:r>
              <w:rPr>
                <w:rFonts w:hint="eastAsia" w:ascii="宋体" w:hAnsi="宋体"/>
                <w:color w:val="000000"/>
                <w:sz w:val="24"/>
                <w:szCs w:val="24"/>
              </w:rPr>
              <w:t>1.人造板部件的非交接面应进行封边或涂饰处理；</w:t>
            </w:r>
          </w:p>
          <w:p>
            <w:pPr>
              <w:spacing w:line="240" w:lineRule="auto"/>
              <w:rPr>
                <w:rFonts w:ascii="宋体" w:hAnsi="宋体"/>
                <w:color w:val="000000"/>
                <w:sz w:val="24"/>
                <w:szCs w:val="24"/>
              </w:rPr>
            </w:pPr>
            <w:r>
              <w:rPr>
                <w:rFonts w:hint="eastAsia" w:ascii="宋体" w:hAnsi="宋体"/>
                <w:color w:val="000000"/>
                <w:sz w:val="24"/>
                <w:szCs w:val="24"/>
              </w:rPr>
              <w:t>2.板件或部件在接触人体或贮物部位不应有毛刺、刃口或棱角；</w:t>
            </w:r>
          </w:p>
          <w:p>
            <w:pPr>
              <w:spacing w:line="240" w:lineRule="auto"/>
              <w:rPr>
                <w:rFonts w:ascii="宋体" w:hAnsi="宋体"/>
                <w:color w:val="000000"/>
                <w:sz w:val="24"/>
                <w:szCs w:val="24"/>
              </w:rPr>
            </w:pPr>
            <w:r>
              <w:rPr>
                <w:rFonts w:hint="eastAsia" w:ascii="宋体" w:hAnsi="宋体"/>
                <w:color w:val="000000"/>
                <w:sz w:val="24"/>
                <w:szCs w:val="24"/>
              </w:rPr>
              <w:t>3.板件或部件的外表应光滑，倒棱、圆角、圆线应均匀一致；</w:t>
            </w:r>
          </w:p>
          <w:p>
            <w:pPr>
              <w:spacing w:line="240" w:lineRule="auto"/>
              <w:rPr>
                <w:rFonts w:ascii="宋体" w:hAnsi="宋体"/>
                <w:color w:val="000000"/>
                <w:sz w:val="24"/>
                <w:szCs w:val="24"/>
              </w:rPr>
            </w:pPr>
            <w:r>
              <w:rPr>
                <w:rFonts w:hint="eastAsia" w:ascii="宋体" w:hAnsi="宋体"/>
                <w:color w:val="000000"/>
                <w:sz w:val="24"/>
                <w:szCs w:val="24"/>
              </w:rPr>
              <w:t>4.榫、塞角、零部件等结合处不应断裂；</w:t>
            </w:r>
          </w:p>
          <w:p>
            <w:pPr>
              <w:spacing w:line="240" w:lineRule="auto"/>
              <w:rPr>
                <w:rFonts w:ascii="宋体" w:hAnsi="宋体"/>
                <w:color w:val="000000"/>
                <w:sz w:val="24"/>
                <w:szCs w:val="24"/>
              </w:rPr>
            </w:pPr>
            <w:r>
              <w:rPr>
                <w:rFonts w:hint="eastAsia" w:ascii="宋体" w:hAnsi="宋体"/>
                <w:color w:val="000000"/>
                <w:sz w:val="24"/>
                <w:szCs w:val="24"/>
              </w:rPr>
              <w:t>5.零部件的结合应严密、牢固；</w:t>
            </w:r>
          </w:p>
          <w:p>
            <w:pPr>
              <w:spacing w:line="240" w:lineRule="auto"/>
              <w:rPr>
                <w:rFonts w:ascii="宋体" w:hAnsi="宋体"/>
                <w:color w:val="000000"/>
                <w:sz w:val="24"/>
                <w:szCs w:val="24"/>
              </w:rPr>
            </w:pPr>
            <w:r>
              <w:rPr>
                <w:rFonts w:hint="eastAsia" w:ascii="宋体" w:hAnsi="宋体"/>
                <w:color w:val="000000"/>
                <w:sz w:val="24"/>
                <w:szCs w:val="24"/>
              </w:rPr>
              <w:t>6.各种配件、连接件安装不应有少件、漏钉、透钉（预留孔、选择孔除外）；</w:t>
            </w:r>
          </w:p>
          <w:p>
            <w:pPr>
              <w:spacing w:line="240" w:lineRule="auto"/>
              <w:rPr>
                <w:rFonts w:ascii="宋体" w:hAnsi="宋体"/>
                <w:color w:val="000000"/>
                <w:sz w:val="24"/>
                <w:szCs w:val="24"/>
              </w:rPr>
            </w:pPr>
            <w:r>
              <w:rPr>
                <w:rFonts w:hint="eastAsia" w:ascii="宋体" w:hAnsi="宋体"/>
                <w:color w:val="000000"/>
                <w:sz w:val="24"/>
                <w:szCs w:val="24"/>
              </w:rPr>
              <w:t>7.各种配件安装应严密、平整、端正、牢固，结合处应无开裂或松动；</w:t>
            </w:r>
          </w:p>
          <w:p>
            <w:pPr>
              <w:spacing w:line="240" w:lineRule="auto"/>
              <w:rPr>
                <w:rFonts w:ascii="宋体" w:hAnsi="宋体"/>
                <w:color w:val="000000"/>
                <w:sz w:val="24"/>
                <w:szCs w:val="24"/>
              </w:rPr>
            </w:pPr>
            <w:r>
              <w:rPr>
                <w:rFonts w:hint="eastAsia" w:ascii="宋体" w:hAnsi="宋体"/>
                <w:color w:val="000000"/>
                <w:sz w:val="24"/>
                <w:szCs w:val="24"/>
              </w:rPr>
              <w:t>8.对称部位应对称，凹凸和大挖、过桥、棱角、圆弧处应无缺角；铲底应平</w:t>
            </w:r>
          </w:p>
          <w:p>
            <w:pPr>
              <w:spacing w:line="240" w:lineRule="auto"/>
              <w:rPr>
                <w:rFonts w:ascii="宋体" w:hAnsi="宋体"/>
                <w:color w:val="000000"/>
                <w:sz w:val="24"/>
                <w:szCs w:val="24"/>
              </w:rPr>
            </w:pPr>
            <w:r>
              <w:rPr>
                <w:rFonts w:hint="eastAsia" w:ascii="宋体" w:hAnsi="宋体"/>
                <w:color w:val="000000"/>
                <w:sz w:val="24"/>
                <w:szCs w:val="24"/>
              </w:rPr>
              <w:t>整，各部位不应有锤印或毛刺；</w:t>
            </w:r>
          </w:p>
          <w:p>
            <w:pPr>
              <w:spacing w:line="240" w:lineRule="auto"/>
              <w:rPr>
                <w:rFonts w:ascii="宋体" w:hAnsi="宋体"/>
                <w:color w:val="000000"/>
                <w:sz w:val="24"/>
                <w:szCs w:val="24"/>
              </w:rPr>
            </w:pPr>
            <w:r>
              <w:rPr>
                <w:rFonts w:hint="eastAsia" w:ascii="宋体" w:hAnsi="宋体"/>
                <w:color w:val="000000"/>
                <w:sz w:val="24"/>
                <w:szCs w:val="24"/>
              </w:rPr>
              <w:t>9.车木的线形应一致，凹凸台阶应匀称，对称部位应对称，车削线条应清晰，加工表面不应有崩茬、刀痕、砂痕。</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olor w:val="000000" w:themeColor="text1"/>
                <w:kern w:val="0"/>
                <w:sz w:val="24"/>
                <w:szCs w:val="24"/>
                <w14:textFill>
                  <w14:solidFill>
                    <w14:schemeClr w14:val="tx1"/>
                  </w14:solidFill>
                </w14:textFill>
              </w:rPr>
            </w:pPr>
            <w:r>
              <w:rPr>
                <w:rFonts w:hint="eastAsia" w:ascii="宋体"/>
                <w:color w:val="000000" w:themeColor="text1"/>
                <w:kern w:val="0"/>
                <w:sz w:val="24"/>
                <w:szCs w:val="24"/>
                <w:lang w:val="en-US" w:eastAsia="zh-CN"/>
                <w14:textFill>
                  <w14:solidFill>
                    <w14:schemeClr w14:val="tx1"/>
                  </w14:solidFill>
                </w14:textFill>
              </w:rPr>
              <w:t>4</w:t>
            </w:r>
            <w:r>
              <w:rPr>
                <w:rFonts w:hint="eastAsia" w:ascii="宋体"/>
                <w:color w:val="000000" w:themeColor="text1"/>
                <w:kern w:val="0"/>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szCs w:val="24"/>
              </w:rPr>
            </w:pPr>
            <w:r>
              <w:rPr>
                <w:rFonts w:hint="eastAsia" w:ascii="宋体" w:hAnsi="宋体"/>
                <w:bCs/>
                <w:color w:val="000000"/>
                <w:sz w:val="24"/>
                <w:szCs w:val="24"/>
              </w:rPr>
              <w:t>结构及安全</w:t>
            </w:r>
          </w:p>
        </w:tc>
        <w:tc>
          <w:tcPr>
            <w:tcW w:w="806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000000"/>
                <w:sz w:val="24"/>
                <w:szCs w:val="24"/>
              </w:rPr>
            </w:pPr>
            <w:r>
              <w:rPr>
                <w:rFonts w:hint="eastAsia" w:ascii="宋体" w:hAnsi="宋体"/>
                <w:color w:val="000000"/>
                <w:sz w:val="24"/>
                <w:szCs w:val="24"/>
              </w:rPr>
              <w:t>每个不合格项扣0.5分，扣完为止。</w:t>
            </w:r>
          </w:p>
          <w:p>
            <w:pPr>
              <w:spacing w:line="240" w:lineRule="auto"/>
              <w:rPr>
                <w:rFonts w:hint="eastAsia" w:ascii="宋体" w:hAnsi="宋体"/>
                <w:color w:val="000000"/>
                <w:sz w:val="24"/>
                <w:szCs w:val="24"/>
              </w:rPr>
            </w:pPr>
            <w:r>
              <w:rPr>
                <w:rFonts w:hint="eastAsia" w:ascii="宋体" w:hAnsi="宋体"/>
                <w:color w:val="000000"/>
                <w:sz w:val="24"/>
                <w:szCs w:val="24"/>
              </w:rPr>
              <w:t>1.抽屉、键盘托应设有限位装置；</w:t>
            </w:r>
          </w:p>
          <w:p>
            <w:pPr>
              <w:spacing w:line="240" w:lineRule="auto"/>
              <w:rPr>
                <w:rFonts w:hint="eastAsia" w:ascii="宋体" w:hAnsi="宋体"/>
                <w:color w:val="000000"/>
                <w:sz w:val="24"/>
                <w:szCs w:val="24"/>
              </w:rPr>
            </w:pPr>
            <w:r>
              <w:rPr>
                <w:rFonts w:hint="eastAsia" w:ascii="宋体" w:hAnsi="宋体"/>
                <w:color w:val="000000"/>
                <w:sz w:val="24"/>
                <w:szCs w:val="24"/>
              </w:rPr>
              <w:t>2.在设计为安放台式电脑主机所对成的背板上应有符合设备要求的散热孔；</w:t>
            </w:r>
          </w:p>
          <w:p>
            <w:pPr>
              <w:spacing w:line="240" w:lineRule="auto"/>
              <w:rPr>
                <w:rFonts w:hint="eastAsia" w:ascii="宋体" w:hAnsi="宋体"/>
                <w:color w:val="000000"/>
                <w:sz w:val="24"/>
                <w:szCs w:val="24"/>
              </w:rPr>
            </w:pPr>
            <w:r>
              <w:rPr>
                <w:rFonts w:hint="eastAsia" w:ascii="宋体" w:hAnsi="宋体"/>
                <w:color w:val="000000"/>
                <w:sz w:val="24"/>
                <w:szCs w:val="24"/>
              </w:rPr>
              <w:t>3.除靠墙部位外，其他部位应安装安全栏板，且安装牢固；安全栏板应采用专用工具才能拆卸；</w:t>
            </w:r>
          </w:p>
          <w:p>
            <w:pPr>
              <w:spacing w:line="240" w:lineRule="auto"/>
              <w:rPr>
                <w:rFonts w:hint="eastAsia" w:ascii="宋体" w:hAnsi="宋体"/>
                <w:color w:val="000000"/>
                <w:sz w:val="24"/>
                <w:szCs w:val="24"/>
              </w:rPr>
            </w:pPr>
            <w:r>
              <w:rPr>
                <w:rFonts w:hint="eastAsia" w:ascii="宋体" w:hAnsi="宋体"/>
                <w:color w:val="000000"/>
                <w:sz w:val="24"/>
                <w:szCs w:val="24"/>
              </w:rPr>
              <w:t>4.梯凳表面应有防滑措施；</w:t>
            </w:r>
          </w:p>
          <w:p>
            <w:pPr>
              <w:spacing w:line="240" w:lineRule="auto"/>
              <w:rPr>
                <w:rFonts w:hint="eastAsia" w:ascii="宋体" w:hAnsi="宋体"/>
                <w:color w:val="000000"/>
                <w:sz w:val="24"/>
                <w:szCs w:val="24"/>
              </w:rPr>
            </w:pPr>
            <w:r>
              <w:rPr>
                <w:rFonts w:hint="eastAsia" w:ascii="宋体" w:hAnsi="宋体"/>
                <w:color w:val="000000"/>
                <w:sz w:val="24"/>
                <w:szCs w:val="24"/>
              </w:rPr>
              <w:t>5.应具备床板防落措施，横向支撑件不应少于3根；</w:t>
            </w:r>
          </w:p>
          <w:p>
            <w:pPr>
              <w:spacing w:line="240" w:lineRule="auto"/>
              <w:rPr>
                <w:rFonts w:hint="eastAsia" w:ascii="宋体" w:hAnsi="宋体"/>
                <w:color w:val="000000"/>
                <w:sz w:val="24"/>
                <w:szCs w:val="24"/>
              </w:rPr>
            </w:pPr>
            <w:r>
              <w:rPr>
                <w:rFonts w:hint="eastAsia" w:ascii="宋体" w:hAnsi="宋体"/>
                <w:color w:val="000000"/>
                <w:sz w:val="24"/>
                <w:szCs w:val="24"/>
              </w:rPr>
              <w:t>6.床板如不是固定式的，则床板与床板支撑部的单侧最大限叠放时，另一侧的床板支撑件与床板搭接距离不应小于15mm；</w:t>
            </w:r>
          </w:p>
          <w:p>
            <w:pPr>
              <w:spacing w:line="240" w:lineRule="auto"/>
              <w:rPr>
                <w:rFonts w:hint="eastAsia" w:ascii="宋体" w:hAnsi="宋体"/>
                <w:color w:val="000000"/>
                <w:sz w:val="24"/>
                <w:szCs w:val="24"/>
              </w:rPr>
            </w:pPr>
            <w:r>
              <w:rPr>
                <w:rFonts w:hint="eastAsia" w:ascii="宋体" w:hAnsi="宋体"/>
                <w:color w:val="000000"/>
                <w:sz w:val="24"/>
                <w:szCs w:val="24"/>
              </w:rPr>
              <w:t>7.床体各部件应连接紧密、牢固，不应松动；</w:t>
            </w:r>
          </w:p>
          <w:p>
            <w:pPr>
              <w:spacing w:line="240" w:lineRule="auto"/>
              <w:rPr>
                <w:rFonts w:hint="eastAsia" w:ascii="宋体" w:hAnsi="宋体"/>
                <w:color w:val="000000"/>
                <w:sz w:val="24"/>
                <w:szCs w:val="24"/>
              </w:rPr>
            </w:pPr>
            <w:r>
              <w:rPr>
                <w:rFonts w:hint="eastAsia" w:ascii="宋体" w:hAnsi="宋体"/>
                <w:color w:val="000000"/>
                <w:sz w:val="24"/>
                <w:szCs w:val="24"/>
              </w:rPr>
              <w:t>8.五金配件安装应无少件、(选择孔除外)、透钉；</w:t>
            </w:r>
          </w:p>
          <w:p>
            <w:pPr>
              <w:spacing w:line="240" w:lineRule="auto"/>
              <w:rPr>
                <w:rFonts w:hint="eastAsia" w:ascii="宋体" w:hAnsi="宋体"/>
                <w:color w:val="000000"/>
                <w:sz w:val="24"/>
                <w:szCs w:val="24"/>
              </w:rPr>
            </w:pPr>
            <w:r>
              <w:rPr>
                <w:rFonts w:hint="eastAsia" w:ascii="宋体" w:hAnsi="宋体"/>
                <w:color w:val="000000"/>
                <w:sz w:val="24"/>
                <w:szCs w:val="24"/>
              </w:rPr>
              <w:t>9.启闭零件和配件安装后，应使用灵活；</w:t>
            </w:r>
          </w:p>
          <w:p>
            <w:pPr>
              <w:spacing w:line="240" w:lineRule="auto"/>
              <w:rPr>
                <w:rFonts w:ascii="宋体" w:hAnsi="宋体"/>
                <w:color w:val="000000"/>
                <w:sz w:val="24"/>
                <w:szCs w:val="24"/>
              </w:rPr>
            </w:pPr>
            <w:r>
              <w:rPr>
                <w:rFonts w:hint="eastAsia" w:ascii="宋体" w:hAnsi="宋体"/>
                <w:color w:val="000000"/>
                <w:sz w:val="24"/>
                <w:szCs w:val="24"/>
              </w:rPr>
              <w:t>10.放置电脑、电插座等设备的部位，应预留管线安装、穿越的位置和槽口。</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olor w:val="000000"/>
                <w:kern w:val="0"/>
                <w:sz w:val="24"/>
                <w:szCs w:val="24"/>
              </w:rPr>
            </w:pPr>
            <w:r>
              <w:rPr>
                <w:rFonts w:hint="eastAsia" w:ascii="宋体"/>
                <w:color w:val="000000" w:themeColor="text1"/>
                <w:kern w:val="0"/>
                <w:sz w:val="24"/>
                <w:szCs w:val="24"/>
                <w:lang w:val="en-US" w:eastAsia="zh-CN"/>
                <w14:textFill>
                  <w14:solidFill>
                    <w14:schemeClr w14:val="tx1"/>
                  </w14:solidFill>
                </w14:textFill>
              </w:rPr>
              <w:t>4</w:t>
            </w:r>
            <w:r>
              <w:rPr>
                <w:rFonts w:hint="eastAsia" w:ascii="宋体"/>
                <w:color w:val="000000" w:themeColor="text1"/>
                <w:kern w:val="0"/>
                <w:sz w:val="24"/>
                <w:szCs w:val="24"/>
                <w14:textFill>
                  <w14:solidFill>
                    <w14:schemeClr w14:val="tx1"/>
                  </w14:solidFill>
                </w14:textFill>
              </w:rPr>
              <w:t>分</w:t>
            </w:r>
          </w:p>
        </w:tc>
      </w:tr>
    </w:tbl>
    <w:p>
      <w:pPr>
        <w:jc w:val="left"/>
        <w:rPr>
          <w:rStyle w:val="49"/>
          <w:rFonts w:hint="eastAsia" w:ascii="宋体" w:hAnsi="宋体" w:cs="宋体"/>
          <w:color w:val="000000"/>
          <w:sz w:val="24"/>
          <w:szCs w:val="24"/>
        </w:rPr>
      </w:pPr>
      <w:r>
        <w:rPr>
          <w:rStyle w:val="49"/>
          <w:rFonts w:hint="eastAsia" w:ascii="宋体" w:hAnsi="宋体" w:cs="宋体"/>
          <w:color w:val="000000"/>
          <w:sz w:val="24"/>
          <w:szCs w:val="24"/>
        </w:rPr>
        <w:t>说明：</w:t>
      </w:r>
    </w:p>
    <w:p>
      <w:pPr>
        <w:spacing w:line="360" w:lineRule="auto"/>
        <w:jc w:val="left"/>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w:t>
      </w:r>
      <w:r>
        <w:rPr>
          <w:rStyle w:val="49"/>
          <w:rFonts w:hint="eastAsia" w:ascii="宋体" w:hAnsi="宋体" w:cs="宋体"/>
          <w:color w:val="000000" w:themeColor="text1"/>
          <w:sz w:val="24"/>
          <w:szCs w:val="24"/>
          <w:lang w:val="en-US"/>
          <w14:textFill>
            <w14:solidFill>
              <w14:schemeClr w14:val="tx1"/>
            </w14:solidFill>
          </w14:textFill>
        </w:rPr>
        <w:t>.</w:t>
      </w:r>
      <w:r>
        <w:rPr>
          <w:rStyle w:val="49"/>
          <w:rFonts w:hint="eastAsia" w:ascii="宋体" w:hAnsi="宋体" w:cs="宋体"/>
          <w:color w:val="000000" w:themeColor="text1"/>
          <w:sz w:val="24"/>
          <w:szCs w:val="24"/>
          <w14:textFill>
            <w14:solidFill>
              <w14:schemeClr w14:val="tx1"/>
            </w14:solidFill>
          </w14:textFill>
        </w:rPr>
        <w:t>所有提供的样品不能出现公司名称或与公司有关的商标和标记，如无法去除，可以用贴纸等进行遮盖，如发现有，样品分按零分处理。</w:t>
      </w:r>
    </w:p>
    <w:p>
      <w:pPr>
        <w:spacing w:line="360" w:lineRule="auto"/>
        <w:jc w:val="left"/>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w:t>
      </w:r>
      <w:r>
        <w:rPr>
          <w:rStyle w:val="49"/>
          <w:rFonts w:hint="eastAsia" w:ascii="宋体" w:hAnsi="宋体" w:cs="宋体"/>
          <w:color w:val="000000" w:themeColor="text1"/>
          <w:sz w:val="24"/>
          <w:szCs w:val="24"/>
          <w:lang w:val="en-US"/>
          <w14:textFill>
            <w14:solidFill>
              <w14:schemeClr w14:val="tx1"/>
            </w14:solidFill>
          </w14:textFill>
        </w:rPr>
        <w:t>.</w:t>
      </w:r>
      <w:r>
        <w:rPr>
          <w:rStyle w:val="49"/>
          <w:rFonts w:hint="eastAsia" w:ascii="宋体" w:hAnsi="宋体" w:cs="宋体"/>
          <w:color w:val="000000" w:themeColor="text1"/>
          <w:sz w:val="24"/>
          <w:szCs w:val="24"/>
          <w14:textFill>
            <w14:solidFill>
              <w14:schemeClr w14:val="tx1"/>
            </w14:solidFill>
          </w14:textFill>
        </w:rPr>
        <w:t>与采购需求实质偏离（如材质、尺寸不符合，样品有明显缺陷等）较大的，经评标委员会确认，同样视为无效样品，按缺件处理。</w:t>
      </w:r>
    </w:p>
    <w:p>
      <w:pPr>
        <w:spacing w:line="360" w:lineRule="auto"/>
        <w:jc w:val="left"/>
        <w:rPr>
          <w:rStyle w:val="49"/>
          <w:rFonts w:hint="eastAsia"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w:t>
      </w:r>
      <w:r>
        <w:rPr>
          <w:rStyle w:val="49"/>
          <w:rFonts w:hint="eastAsia" w:ascii="宋体" w:hAnsi="宋体" w:cs="宋体"/>
          <w:color w:val="000000" w:themeColor="text1"/>
          <w:sz w:val="24"/>
          <w:szCs w:val="24"/>
          <w:lang w:val="en-US"/>
          <w14:textFill>
            <w14:solidFill>
              <w14:schemeClr w14:val="tx1"/>
            </w14:solidFill>
          </w14:textFill>
        </w:rPr>
        <w:t>.</w:t>
      </w:r>
      <w:r>
        <w:rPr>
          <w:rStyle w:val="49"/>
          <w:rFonts w:hint="eastAsia" w:ascii="宋体" w:hAnsi="宋体" w:cs="宋体"/>
          <w:color w:val="000000" w:themeColor="text1"/>
          <w:sz w:val="24"/>
          <w:szCs w:val="24"/>
          <w14:textFill>
            <w14:solidFill>
              <w14:schemeClr w14:val="tx1"/>
            </w14:solidFill>
          </w14:textFill>
        </w:rPr>
        <w:t>样品少一件，样品总分减5分。</w:t>
      </w:r>
      <w:r>
        <w:rPr>
          <w:rStyle w:val="49"/>
          <w:rFonts w:hint="eastAsia" w:ascii="宋体" w:hAnsi="宋体" w:cs="宋体"/>
          <w:color w:val="000000"/>
          <w:sz w:val="24"/>
          <w:szCs w:val="24"/>
        </w:rPr>
        <w:t xml:space="preserve">小件样品少一类，样品总分减2分。    </w:t>
      </w:r>
    </w:p>
    <w:p>
      <w:pPr>
        <w:spacing w:line="360" w:lineRule="auto"/>
        <w:jc w:val="left"/>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4</w:t>
      </w:r>
      <w:r>
        <w:rPr>
          <w:rStyle w:val="49"/>
          <w:rFonts w:hint="eastAsia" w:ascii="宋体" w:hAnsi="宋体" w:cs="宋体"/>
          <w:color w:val="000000" w:themeColor="text1"/>
          <w:sz w:val="24"/>
          <w:szCs w:val="24"/>
          <w:lang w:val="en-US"/>
          <w14:textFill>
            <w14:solidFill>
              <w14:schemeClr w14:val="tx1"/>
            </w14:solidFill>
          </w14:textFill>
        </w:rPr>
        <w:t>.</w:t>
      </w:r>
      <w:r>
        <w:rPr>
          <w:rStyle w:val="49"/>
          <w:rFonts w:hint="eastAsia" w:ascii="宋体" w:hAnsi="宋体" w:cs="宋体"/>
          <w:color w:val="000000" w:themeColor="text1"/>
          <w:sz w:val="24"/>
          <w:szCs w:val="24"/>
          <w14:textFill>
            <w14:solidFill>
              <w14:schemeClr w14:val="tx1"/>
            </w14:solidFill>
          </w14:textFill>
        </w:rPr>
        <w:t>样品</w:t>
      </w:r>
      <w:r>
        <w:rPr>
          <w:rStyle w:val="49"/>
          <w:rFonts w:hint="eastAsia" w:ascii="宋体" w:hAnsi="宋体" w:cs="宋体"/>
          <w:color w:val="000000"/>
          <w:sz w:val="24"/>
          <w:szCs w:val="24"/>
        </w:rPr>
        <w:t>（包括材质、油漆、五金件等）</w:t>
      </w:r>
      <w:r>
        <w:rPr>
          <w:rStyle w:val="49"/>
          <w:rFonts w:hint="eastAsia" w:ascii="宋体" w:hAnsi="宋体" w:cs="宋体"/>
          <w:color w:val="000000" w:themeColor="text1"/>
          <w:sz w:val="24"/>
          <w:szCs w:val="24"/>
          <w14:textFill>
            <w14:solidFill>
              <w14:schemeClr w14:val="tx1"/>
            </w14:solidFill>
          </w14:textFill>
        </w:rPr>
        <w:t>须与招标文件一致，样式须与招标文件相似。</w:t>
      </w:r>
    </w:p>
    <w:p>
      <w:pPr>
        <w:spacing w:line="360" w:lineRule="auto"/>
        <w:jc w:val="left"/>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5</w:t>
      </w:r>
      <w:r>
        <w:rPr>
          <w:rStyle w:val="49"/>
          <w:rFonts w:hint="eastAsia" w:ascii="宋体" w:hAnsi="宋体" w:cs="宋体"/>
          <w:color w:val="000000" w:themeColor="text1"/>
          <w:sz w:val="24"/>
          <w:szCs w:val="24"/>
          <w:lang w:val="en-US"/>
          <w14:textFill>
            <w14:solidFill>
              <w14:schemeClr w14:val="tx1"/>
            </w14:solidFill>
          </w14:textFill>
        </w:rPr>
        <w:t>.</w:t>
      </w:r>
      <w:r>
        <w:rPr>
          <w:rStyle w:val="49"/>
          <w:rFonts w:hint="eastAsia" w:ascii="宋体" w:hAnsi="宋体" w:cs="宋体"/>
          <w:color w:val="000000" w:themeColor="text1"/>
          <w:sz w:val="24"/>
          <w:szCs w:val="24"/>
          <w14:textFill>
            <w14:solidFill>
              <w14:schemeClr w14:val="tx1"/>
            </w14:solidFill>
          </w14:textFill>
        </w:rPr>
        <w:t>未中标的样品由投标供应商自行处理。</w:t>
      </w:r>
    </w:p>
    <w:p>
      <w:pPr>
        <w:spacing w:line="360" w:lineRule="auto"/>
        <w:jc w:val="left"/>
        <w:rPr>
          <w:rFonts w:hint="eastAsia"/>
          <w:sz w:val="24"/>
          <w:szCs w:val="24"/>
        </w:rPr>
      </w:pPr>
      <w:r>
        <w:rPr>
          <w:rStyle w:val="49"/>
          <w:rFonts w:hint="eastAsia" w:ascii="宋体" w:hAnsi="宋体" w:cs="宋体"/>
          <w:color w:val="000000" w:themeColor="text1"/>
          <w:sz w:val="24"/>
          <w:szCs w:val="24"/>
          <w14:textFill>
            <w14:solidFill>
              <w14:schemeClr w14:val="tx1"/>
            </w14:solidFill>
          </w14:textFill>
        </w:rPr>
        <w:t>6</w:t>
      </w:r>
      <w:r>
        <w:rPr>
          <w:rStyle w:val="49"/>
          <w:rFonts w:hint="eastAsia" w:ascii="宋体" w:hAnsi="宋体" w:cs="宋体"/>
          <w:color w:val="000000" w:themeColor="text1"/>
          <w:sz w:val="24"/>
          <w:szCs w:val="24"/>
          <w:lang w:val="en-US"/>
          <w14:textFill>
            <w14:solidFill>
              <w14:schemeClr w14:val="tx1"/>
            </w14:solidFill>
          </w14:textFill>
        </w:rPr>
        <w:t>.</w:t>
      </w:r>
      <w:r>
        <w:rPr>
          <w:rStyle w:val="49"/>
          <w:rFonts w:hint="eastAsia" w:ascii="宋体" w:hAnsi="宋体" w:cs="宋体"/>
          <w:color w:val="000000" w:themeColor="text1"/>
          <w:sz w:val="24"/>
          <w:szCs w:val="24"/>
          <w14:textFill>
            <w14:solidFill>
              <w14:schemeClr w14:val="tx1"/>
            </w14:solidFill>
          </w14:textFill>
        </w:rPr>
        <w:t>评标时，台州市政府</w:t>
      </w:r>
      <w:r>
        <w:rPr>
          <w:rStyle w:val="49"/>
          <w:rFonts w:hint="eastAsia" w:ascii="宋体" w:hAnsi="宋体" w:cs="宋体"/>
          <w:color w:val="000000" w:themeColor="text1"/>
          <w:sz w:val="24"/>
          <w:szCs w:val="24"/>
          <w:lang w:eastAsia="zh-CN"/>
          <w14:textFill>
            <w14:solidFill>
              <w14:schemeClr w14:val="tx1"/>
            </w14:solidFill>
          </w14:textFill>
        </w:rPr>
        <w:t>采购监管处人员</w:t>
      </w:r>
      <w:r>
        <w:rPr>
          <w:rStyle w:val="49"/>
          <w:rFonts w:hint="eastAsia" w:ascii="宋体" w:hAnsi="宋体" w:cs="宋体"/>
          <w:color w:val="000000" w:themeColor="text1"/>
          <w:sz w:val="24"/>
          <w:szCs w:val="24"/>
          <w14:textFill>
            <w14:solidFill>
              <w14:schemeClr w14:val="tx1"/>
            </w14:solidFill>
          </w14:textFill>
        </w:rPr>
        <w:t>对提交样品及小样的供应商随机抽取并编号，专家评审小组按编号评分。</w:t>
      </w:r>
    </w:p>
    <w:p>
      <w:pPr>
        <w:pStyle w:val="12"/>
        <w:snapToGrid w:val="0"/>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2.评审要求</w:t>
      </w:r>
    </w:p>
    <w:p>
      <w:pPr>
        <w:spacing w:line="360" w:lineRule="auto"/>
        <w:ind w:firstLine="480" w:firstLineChars="200"/>
        <w:rPr>
          <w:rFonts w:ascii="宋体" w:hAnsi="宋体" w:cs="宋体"/>
          <w:sz w:val="24"/>
          <w:szCs w:val="24"/>
        </w:rPr>
      </w:pPr>
      <w:r>
        <w:rPr>
          <w:rFonts w:hint="eastAsia" w:ascii="宋体" w:hAnsi="宋体" w:cs="宋体"/>
          <w:sz w:val="24"/>
          <w:szCs w:val="24"/>
        </w:rPr>
        <w:t>（1）评标委员会应当按照招标文件中规定的评标方法和标准，对符合性审查合格的投标文件的商务部分和技术部分进行综合比较与评价，其中</w:t>
      </w:r>
      <w:r>
        <w:rPr>
          <w:rFonts w:hint="eastAsia" w:ascii="宋体"/>
          <w:bCs/>
          <w:sz w:val="24"/>
          <w:szCs w:val="24"/>
          <w:lang w:val="zh-CN"/>
        </w:rPr>
        <w:t>客观</w:t>
      </w:r>
      <w:r>
        <w:rPr>
          <w:rFonts w:hint="eastAsia" w:ascii="宋体"/>
          <w:bCs/>
          <w:sz w:val="24"/>
          <w:szCs w:val="24"/>
        </w:rPr>
        <w:t>评分项的分值</w:t>
      </w:r>
      <w:r>
        <w:rPr>
          <w:rFonts w:hint="eastAsia" w:ascii="宋体"/>
          <w:bCs/>
          <w:sz w:val="24"/>
          <w:szCs w:val="24"/>
          <w:lang w:val="zh-CN"/>
        </w:rPr>
        <w:t>应当一致。</w:t>
      </w:r>
    </w:p>
    <w:p>
      <w:pPr>
        <w:spacing w:line="360" w:lineRule="auto"/>
        <w:ind w:firstLine="480" w:firstLineChars="200"/>
        <w:rPr>
          <w:rFonts w:ascii="宋体" w:hAnsi="宋体" w:cs="宋体"/>
          <w:sz w:val="24"/>
          <w:szCs w:val="24"/>
        </w:rPr>
      </w:pPr>
      <w:r>
        <w:rPr>
          <w:rFonts w:hint="eastAsia" w:ascii="宋体" w:hAnsi="宋体" w:cs="宋体"/>
          <w:sz w:val="24"/>
          <w:szCs w:val="24"/>
        </w:rPr>
        <w:t>（2）对于投标文件报价出现前后不一致的，除招标文件另有规定外，按照下列规定修正：</w:t>
      </w:r>
    </w:p>
    <w:p>
      <w:pPr>
        <w:spacing w:line="360" w:lineRule="auto"/>
        <w:ind w:firstLine="480" w:firstLineChars="200"/>
        <w:rPr>
          <w:rFonts w:ascii="宋体" w:hAnsi="宋体" w:cs="宋体"/>
          <w:sz w:val="24"/>
          <w:szCs w:val="24"/>
        </w:rPr>
      </w:pPr>
      <w:r>
        <w:rPr>
          <w:rFonts w:hint="eastAsia" w:ascii="宋体" w:hAnsi="宋体" w:cs="宋体"/>
          <w:sz w:val="24"/>
          <w:szCs w:val="24"/>
        </w:rPr>
        <w:t>①“政采云平台”上开启的投标报价与电子投标文件中开标一览表（报价表）内容不一致的，以电子投标文件中开标一览表（报价表）为准；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szCs w:val="24"/>
        </w:rPr>
      </w:pPr>
      <w:r>
        <w:rPr>
          <w:rFonts w:hint="eastAsia" w:ascii="宋体" w:hAnsi="宋体" w:cs="宋体"/>
          <w:sz w:val="24"/>
          <w:szCs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szCs w:val="24"/>
        </w:rPr>
      </w:pPr>
      <w:r>
        <w:rPr>
          <w:rFonts w:hint="eastAsia" w:ascii="宋体" w:hAnsi="宋体" w:cs="宋体"/>
          <w:sz w:val="24"/>
          <w:szCs w:val="24"/>
        </w:rPr>
        <w:t>③大写金额和小写金额不一致的，以大写金额为准；</w:t>
      </w:r>
    </w:p>
    <w:p>
      <w:pPr>
        <w:spacing w:line="360" w:lineRule="auto"/>
        <w:ind w:firstLine="480" w:firstLineChars="200"/>
        <w:rPr>
          <w:rFonts w:ascii="宋体" w:hAnsi="宋体" w:cs="宋体"/>
          <w:sz w:val="24"/>
          <w:szCs w:val="24"/>
        </w:rPr>
      </w:pPr>
      <w:r>
        <w:rPr>
          <w:rFonts w:hint="eastAsia" w:ascii="宋体" w:hAnsi="宋体" w:cs="宋体"/>
          <w:sz w:val="24"/>
          <w:szCs w:val="24"/>
        </w:rPr>
        <w:t>④单价金额小数点或者百分比有明显错位的，以开标一览表的总价为准，并修改单价；</w:t>
      </w:r>
    </w:p>
    <w:p>
      <w:pPr>
        <w:spacing w:line="360" w:lineRule="auto"/>
        <w:ind w:firstLine="480" w:firstLineChars="20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 5 \* GB3 \* MERGEFORMAT </w:instrText>
      </w:r>
      <w:r>
        <w:rPr>
          <w:rFonts w:hint="eastAsia" w:ascii="宋体" w:hAnsi="宋体" w:cs="宋体"/>
          <w:sz w:val="24"/>
          <w:szCs w:val="24"/>
        </w:rPr>
        <w:fldChar w:fldCharType="separate"/>
      </w:r>
      <w:r>
        <w:rPr>
          <w:sz w:val="24"/>
          <w:szCs w:val="24"/>
        </w:rPr>
        <w:t>⑤</w:t>
      </w:r>
      <w:r>
        <w:rPr>
          <w:rFonts w:hint="eastAsia" w:ascii="宋体" w:hAnsi="宋体" w:cs="宋体"/>
          <w:sz w:val="24"/>
          <w:szCs w:val="24"/>
        </w:rPr>
        <w:fldChar w:fldCharType="end"/>
      </w:r>
      <w:r>
        <w:rPr>
          <w:rFonts w:hint="eastAsia" w:ascii="宋体" w:hAnsi="宋体" w:cs="宋体"/>
          <w:sz w:val="24"/>
          <w:szCs w:val="24"/>
        </w:rPr>
        <w:t>总价金额与按单价汇总金额不一致的，以单价金额计算结果为准。</w:t>
      </w:r>
    </w:p>
    <w:p>
      <w:pPr>
        <w:spacing w:line="360" w:lineRule="auto"/>
        <w:ind w:firstLine="480" w:firstLineChars="200"/>
        <w:rPr>
          <w:rFonts w:ascii="宋体" w:hAnsi="宋体" w:cs="宋体"/>
          <w:sz w:val="24"/>
          <w:szCs w:val="24"/>
        </w:rPr>
      </w:pPr>
      <w:r>
        <w:rPr>
          <w:rFonts w:hint="eastAsia" w:ascii="宋体" w:hAnsi="宋体" w:cs="宋体"/>
          <w:sz w:val="24"/>
          <w:szCs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szCs w:val="24"/>
        </w:rPr>
      </w:pPr>
      <w:r>
        <w:rPr>
          <w:rFonts w:hint="eastAsia" w:ascii="宋体" w:hAnsi="宋体" w:cs="宋体"/>
          <w:sz w:val="24"/>
          <w:szCs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szCs w:val="24"/>
        </w:rPr>
      </w:pPr>
      <w:r>
        <w:rPr>
          <w:rFonts w:hint="eastAsia" w:ascii="宋体" w:hAnsi="宋体" w:cs="宋体"/>
          <w:sz w:val="24"/>
          <w:szCs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（四）结果汇总及排序</w:t>
      </w:r>
    </w:p>
    <w:p>
      <w:pPr>
        <w:spacing w:line="360" w:lineRule="auto"/>
        <w:ind w:firstLine="480" w:firstLineChars="200"/>
        <w:rPr>
          <w:rFonts w:ascii="宋体" w:hAnsi="宋体" w:cs="宋体"/>
          <w:sz w:val="24"/>
          <w:szCs w:val="24"/>
        </w:rPr>
      </w:pPr>
      <w:r>
        <w:rPr>
          <w:rFonts w:hint="eastAsia" w:ascii="宋体" w:hAnsi="宋体" w:cs="宋体"/>
          <w:sz w:val="24"/>
          <w:szCs w:val="24"/>
        </w:rPr>
        <w:t>评标委员会各成员应当独立对每个投标人的投标文件进行评价，并汇总每个投标人的得分。</w:t>
      </w:r>
    </w:p>
    <w:p>
      <w:pPr>
        <w:spacing w:line="360" w:lineRule="auto"/>
        <w:ind w:firstLine="480" w:firstLineChars="200"/>
        <w:rPr>
          <w:rFonts w:ascii="宋体" w:hAnsi="宋体" w:cs="宋体"/>
          <w:sz w:val="24"/>
          <w:szCs w:val="24"/>
          <w:lang w:val="zh-CN"/>
        </w:rPr>
      </w:pPr>
      <w:r>
        <w:rPr>
          <w:rFonts w:hint="eastAsia" w:ascii="宋体" w:hAnsi="宋体" w:cs="宋体"/>
          <w:sz w:val="24"/>
          <w:szCs w:val="24"/>
        </w:rPr>
        <w:t>1.评标结果按评审后综合得分由高到低顺序排列。</w:t>
      </w:r>
      <w:r>
        <w:rPr>
          <w:rFonts w:hint="eastAsia" w:ascii="宋体" w:hAnsi="宋体" w:cs="宋体"/>
          <w:sz w:val="24"/>
          <w:szCs w:val="24"/>
          <w:lang w:val="zh-CN"/>
        </w:rPr>
        <w:t>得分相同</w:t>
      </w:r>
      <w:r>
        <w:rPr>
          <w:rFonts w:hint="eastAsia" w:ascii="宋体" w:hAnsi="宋体" w:cs="宋体"/>
          <w:sz w:val="24"/>
          <w:szCs w:val="24"/>
        </w:rPr>
        <w:t>的</w:t>
      </w:r>
      <w:r>
        <w:rPr>
          <w:rFonts w:hint="eastAsia" w:ascii="宋体" w:hAnsi="宋体" w:cs="宋体"/>
          <w:sz w:val="24"/>
          <w:szCs w:val="24"/>
          <w:lang w:val="zh-CN"/>
        </w:rPr>
        <w:t>，</w:t>
      </w:r>
      <w:r>
        <w:rPr>
          <w:rFonts w:hint="eastAsia" w:ascii="宋体" w:hAnsi="宋体" w:cs="宋体"/>
          <w:sz w:val="24"/>
          <w:szCs w:val="24"/>
        </w:rPr>
        <w:t>按</w:t>
      </w:r>
      <w:r>
        <w:rPr>
          <w:rFonts w:hint="eastAsia" w:ascii="宋体" w:hAnsi="宋体" w:cs="宋体"/>
          <w:sz w:val="24"/>
          <w:szCs w:val="24"/>
          <w:lang w:val="zh-CN"/>
        </w:rPr>
        <w:t>投标报价</w:t>
      </w:r>
      <w:r>
        <w:rPr>
          <w:rFonts w:hint="eastAsia" w:ascii="宋体" w:hAnsi="宋体" w:cs="宋体"/>
          <w:sz w:val="24"/>
          <w:szCs w:val="24"/>
        </w:rPr>
        <w:t>由</w:t>
      </w:r>
      <w:r>
        <w:rPr>
          <w:rFonts w:hint="eastAsia" w:ascii="宋体" w:hAnsi="宋体" w:cs="宋体"/>
          <w:sz w:val="24"/>
          <w:szCs w:val="24"/>
          <w:lang w:val="zh-CN"/>
        </w:rPr>
        <w:t>低</w:t>
      </w:r>
      <w:r>
        <w:rPr>
          <w:rFonts w:hint="eastAsia" w:ascii="宋体" w:hAnsi="宋体" w:cs="宋体"/>
          <w:sz w:val="24"/>
          <w:szCs w:val="24"/>
        </w:rPr>
        <w:t>到高顺序排列。</w:t>
      </w:r>
      <w:r>
        <w:rPr>
          <w:rFonts w:hint="eastAsia" w:ascii="宋体" w:hAnsi="宋体" w:cs="宋体"/>
          <w:sz w:val="24"/>
          <w:szCs w:val="24"/>
          <w:lang w:val="zh-CN"/>
        </w:rPr>
        <w:t>得分且投标报价相同的</w:t>
      </w:r>
      <w:r>
        <w:rPr>
          <w:rFonts w:hint="eastAsia" w:ascii="宋体" w:hAnsi="宋体" w:cs="宋体"/>
          <w:sz w:val="24"/>
          <w:szCs w:val="24"/>
        </w:rPr>
        <w:t>并列</w:t>
      </w:r>
      <w:r>
        <w:rPr>
          <w:rFonts w:hint="eastAsia" w:ascii="宋体" w:hAnsi="宋体" w:cs="宋体"/>
          <w:sz w:val="24"/>
          <w:szCs w:val="24"/>
          <w:lang w:val="zh-CN"/>
        </w:rPr>
        <w:t>。</w:t>
      </w:r>
      <w:r>
        <w:rPr>
          <w:rFonts w:hint="eastAsia" w:ascii="宋体" w:hAnsi="宋体" w:cs="宋体"/>
          <w:sz w:val="24"/>
          <w:szCs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提供相同品牌产品的，</w:t>
      </w:r>
      <w:r>
        <w:rPr>
          <w:rFonts w:hint="eastAsia" w:ascii="宋体" w:hAnsi="宋体" w:cs="宋体"/>
          <w:sz w:val="24"/>
          <w:szCs w:val="24"/>
        </w:rPr>
        <w:t>参照《政府采购货物和服务招标投标管理办法》（第87号令）第三十一条有关规定执行</w:t>
      </w:r>
      <w:r>
        <w:rPr>
          <w:rFonts w:hint="eastAsia" w:ascii="宋体" w:hAnsi="宋体" w:cs="宋体"/>
          <w:sz w:val="24"/>
          <w:szCs w:val="24"/>
          <w:lang w:val="zh-CN"/>
        </w:rPr>
        <w:t>。</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（五）评标报告撰写</w:t>
      </w:r>
    </w:p>
    <w:p>
      <w:pPr>
        <w:spacing w:line="360" w:lineRule="auto"/>
        <w:ind w:firstLine="480" w:firstLineChars="200"/>
        <w:rPr>
          <w:rFonts w:ascii="宋体" w:hAnsi="宋体" w:cs="宋体"/>
          <w:sz w:val="24"/>
          <w:szCs w:val="24"/>
        </w:rPr>
      </w:pPr>
      <w:r>
        <w:rPr>
          <w:rFonts w:hint="eastAsia" w:ascii="宋体" w:hAnsi="宋体" w:cs="宋体"/>
          <w:sz w:val="24"/>
          <w:szCs w:val="24"/>
        </w:rPr>
        <w:t>评标委员会根据全体评标成员签字的原始评标记录和评标结果编写评标报告。</w:t>
      </w:r>
    </w:p>
    <w:p>
      <w:pPr>
        <w:widowControl/>
        <w:jc w:val="left"/>
        <w:rPr>
          <w:rFonts w:hint="eastAsia" w:asciiTheme="minorEastAsia" w:hAnsiTheme="minorEastAsia" w:eastAsiaTheme="minorEastAsia"/>
          <w:b/>
          <w:sz w:val="24"/>
          <w:szCs w:val="24"/>
        </w:rPr>
      </w:pPr>
      <w:r>
        <w:rPr>
          <w:rFonts w:asciiTheme="minorEastAsia" w:hAnsiTheme="minorEastAsia" w:eastAsiaTheme="minorEastAsia"/>
          <w:b/>
          <w:sz w:val="24"/>
          <w:szCs w:val="24"/>
        </w:rPr>
        <w:br w:type="page"/>
      </w:r>
      <w:bookmarkStart w:id="39" w:name="_Toc27944_WPSOffice_Level1"/>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9"/>
      <w:r>
        <w:rPr>
          <w:rFonts w:hint="eastAsia" w:asciiTheme="minorEastAsia" w:hAnsiTheme="minorEastAsia" w:eastAsiaTheme="minorEastAsia"/>
          <w:b/>
          <w:sz w:val="36"/>
          <w:szCs w:val="36"/>
        </w:rPr>
        <w:t>拟签订的合同文本</w:t>
      </w:r>
    </w:p>
    <w:p>
      <w:pPr>
        <w:widowControl/>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pPr>
        <w:pStyle w:val="12"/>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12"/>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2"/>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12"/>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项目公开招标的结果，签署本合同。</w:t>
      </w:r>
    </w:p>
    <w:p>
      <w:pPr>
        <w:spacing w:line="360" w:lineRule="auto"/>
        <w:ind w:firstLine="482" w:firstLineChars="200"/>
        <w:rPr>
          <w:rFonts w:ascii="宋体"/>
          <w:b/>
          <w:bCs/>
          <w:sz w:val="24"/>
          <w:lang w:val="zh-CN"/>
        </w:rPr>
      </w:pPr>
      <w:r>
        <w:rPr>
          <w:rFonts w:hint="eastAsia" w:ascii="宋体"/>
          <w:b/>
          <w:bCs/>
          <w:sz w:val="24"/>
          <w:lang w:val="zh-CN"/>
        </w:rPr>
        <w:t>一、合同文件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2"/>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12"/>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本合同金额为（大写）：____________________元（￥__________元）人民币。</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（二）若侵犯</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由乙方赔偿甲方因此遭受的损失（包括但不限于应对及追偿过程中所支付的律师费、差旅费、诉讼费、保全费、鉴定费、评估费等）。</w:t>
      </w:r>
    </w:p>
    <w:p>
      <w:pPr>
        <w:pStyle w:val="12"/>
        <w:snapToGrid w:val="0"/>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12"/>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本项目履约保证金为合同金额的</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w:t>
      </w:r>
      <w:r>
        <w:rPr>
          <w:rFonts w:hint="eastAsia" w:asciiTheme="minorEastAsia" w:hAnsiTheme="minorEastAsia" w:eastAsiaTheme="minorEastAsia" w:cstheme="minorBidi"/>
          <w:sz w:val="24"/>
        </w:rPr>
        <w:t>质保期满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12"/>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12"/>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年。（自交货验收合格之日起计）</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12"/>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pPr>
        <w:pStyle w:val="12"/>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pPr>
        <w:pStyle w:val="12"/>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pPr>
        <w:pStyle w:val="12"/>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pPr>
        <w:pStyle w:val="12"/>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付款方式：</w:t>
      </w:r>
    </w:p>
    <w:p>
      <w:pPr>
        <w:pStyle w:val="12"/>
        <w:snapToGrid w:val="0"/>
        <w:spacing w:line="360" w:lineRule="auto"/>
        <w:ind w:firstLine="480" w:firstLineChars="200"/>
        <w:rPr>
          <w:rFonts w:asciiTheme="minorEastAsia" w:hAnsiTheme="minorEastAsia" w:eastAsiaTheme="minorEastAsia"/>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12"/>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乙方应按招标文件规定的货物性能、技术要求、质量标准向甲方提供未经使用的全新产品。</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退货处理：乙方应退还甲方支付的合同款，同时应承担该货物的直接费用（运输、保险、检验、货款利息及银行手续费等）。</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如在使用过程中发生质量问题，乙方在接到甲方通知后在</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小时内到达甲方现场。</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在质保期内，乙方应对货物出现的质量及安全问题负责处理解决并承担一切费用。</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上述的货物免费保修期为</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年，因人为因素出现的故障不在免费保修范围内。超过保修期的机器设备，终生维修，维修时只收部件成本费。</w:t>
      </w:r>
    </w:p>
    <w:p>
      <w:pPr>
        <w:pStyle w:val="12"/>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乙方交货前应对产品作出全面检查和对验收文件进行整理，并列出清单，作为甲方收货验收和使用的技术条件依据，检验的结果应随货物交甲方。</w:t>
      </w:r>
    </w:p>
    <w:p>
      <w:pPr>
        <w:pStyle w:val="12"/>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（三）</w:t>
      </w:r>
      <w:r>
        <w:rPr>
          <w:rFonts w:asciiTheme="minorEastAsia" w:hAnsiTheme="minorEastAsia" w:eastAsiaTheme="minorEastAsia"/>
          <w:sz w:val="24"/>
        </w:rPr>
        <w:t>甲方对乙方提供的货物在使用前进行调试时，乙方需负责安装并培训甲方的使用操作人员，并协助甲方一起调试，直到符合技术要求，甲方才做最终验收。</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对技术复杂的货物，甲方应请国家认可的专业检测机构参与初步验收及最终验收，并由其出具质量检测报告。</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验收时乙方必须在现场，验收完毕后作出验收结果报告；验收费用由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方负责。</w:t>
      </w:r>
    </w:p>
    <w:p>
      <w:pPr>
        <w:pStyle w:val="12"/>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乙方应在货物发运前对其进行满足运输距离、防潮、防震、防锈和防破损装卸等要求包装，以保证货物安全运达甲方指定地点。</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使用说明书、质量检验证明书、随配附件和工具以及清单一并附于货物内。</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乙方在货物发运手续办理完毕后</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小时内或货到甲方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小时前通知甲方，以准备接货。</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货物在交付甲方前发生的风险均由乙方负责。</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货物在规定的交付期限内由乙方送达甲方指定的地点视为交付，乙方同时需通知甲方货物已送达。</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（六）乙方运送的货物涉及商品包装和快递包装的，参考《商品包装政府采购需求标准（试行）》、《快递包装政府采购需求标准（试行）》（财办库［2020］123号）。</w:t>
      </w:r>
    </w:p>
    <w:p>
      <w:pPr>
        <w:pStyle w:val="12"/>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甲方无故逾期验收和办理货款支付手续的</w:t>
      </w:r>
      <w:r>
        <w:rPr>
          <w:rFonts w:hint="eastAsia" w:asciiTheme="minorEastAsia" w:hAnsiTheme="minorEastAsia" w:eastAsiaTheme="minorEastAsia"/>
          <w:sz w:val="24"/>
          <w:lang w:eastAsia="zh-CN"/>
        </w:rPr>
        <w:t>，</w:t>
      </w:r>
      <w:r>
        <w:rPr>
          <w:rFonts w:asciiTheme="minorEastAsia" w:hAnsiTheme="minorEastAsia" w:eastAsiaTheme="minorEastAsia"/>
          <w:sz w:val="24"/>
        </w:rPr>
        <w:t>甲方应按逾期付款总额每日</w:t>
      </w:r>
      <w:r>
        <w:rPr>
          <w:rFonts w:asciiTheme="minorEastAsia" w:hAnsiTheme="minorEastAsia" w:eastAsiaTheme="minorEastAsia"/>
          <w:sz w:val="24"/>
          <w:u w:val="single"/>
        </w:rPr>
        <w:t>万分之五</w:t>
      </w:r>
      <w:r>
        <w:rPr>
          <w:rFonts w:asciiTheme="minorEastAsia" w:hAnsiTheme="minorEastAsia" w:eastAsiaTheme="minorEastAsia"/>
          <w:sz w:val="24"/>
        </w:rPr>
        <w:t>向乙方支付违约金。</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乙方逾期交付货物的，乙方应按逾期交货总额每日</w:t>
      </w:r>
      <w:r>
        <w:rPr>
          <w:rFonts w:asciiTheme="minorEastAsia" w:hAnsiTheme="minorEastAsia" w:eastAsiaTheme="minorEastAsia"/>
          <w:sz w:val="24"/>
          <w:u w:val="single"/>
        </w:rPr>
        <w:t>千分之六</w:t>
      </w:r>
      <w:r>
        <w:rPr>
          <w:rFonts w:asciiTheme="minorEastAsia" w:hAnsiTheme="minorEastAsia" w:eastAsiaTheme="minorEastAsia"/>
          <w:sz w:val="24"/>
        </w:rPr>
        <w:t>向甲方支付违约金，由甲方从待付货款中扣除。逾期超过约定日期</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sz w:val="24"/>
          <w:u w:val="single"/>
        </w:rPr>
        <w:t>5%</w:t>
      </w:r>
      <w:r>
        <w:rPr>
          <w:rFonts w:asciiTheme="minorEastAsia" w:hAnsiTheme="minorEastAsia" w:eastAsiaTheme="minorEastAsia"/>
          <w:sz w:val="24"/>
        </w:rPr>
        <w:t xml:space="preserve">的违约金，如造成甲方损失超过违约金的，超出部分由乙方继续承担赔偿责任。 </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（五）若发生纠纷，由违约方赔偿守约方因纠纷所支付的费用（包括但不限于律师费、差旅费、诉讼费、保全费、鉴定费、评估费等）。</w:t>
      </w:r>
    </w:p>
    <w:p>
      <w:pPr>
        <w:pStyle w:val="12"/>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在合同有效期内，任何一方因不可抗力事件导致不能履行合同，则合同履行期可延长，其延长期与不可抗力影响期相同。</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不可抗力事件发生后，应立即通知对方，并寄送有关权威机构出具的证明。</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不可抗力事件延续120天以上，双方应通过友好协商，确定是否继续履行合同。</w:t>
      </w:r>
    </w:p>
    <w:p>
      <w:pPr>
        <w:pStyle w:val="12"/>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pPr>
        <w:pStyle w:val="12"/>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2"/>
        <w:tabs>
          <w:tab w:val="left" w:pos="5790"/>
        </w:tabs>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、合同生效及其它</w:t>
      </w:r>
      <w:r>
        <w:rPr>
          <w:rFonts w:asciiTheme="minorEastAsia" w:hAnsiTheme="minorEastAsia" w:eastAsiaTheme="minorEastAsia"/>
          <w:b/>
          <w:sz w:val="24"/>
        </w:rPr>
        <w:tab/>
      </w:r>
    </w:p>
    <w:p>
      <w:pPr>
        <w:pStyle w:val="8"/>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（一）</w:t>
      </w:r>
      <w:r>
        <w:rPr>
          <w:rFonts w:asciiTheme="minorEastAsia" w:hAnsiTheme="minorEastAsia" w:eastAsiaTheme="minorEastAsia"/>
        </w:rPr>
        <w:t>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pPr>
        <w:pStyle w:val="8"/>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本合同未尽事宜，遵照</w:t>
      </w:r>
      <w:r>
        <w:rPr>
          <w:rFonts w:hint="eastAsia" w:ascii="宋体" w:hAnsi="宋体" w:eastAsia="宋体" w:cs="宋体"/>
        </w:rPr>
        <w:t>《</w:t>
      </w:r>
      <w:r>
        <w:rPr>
          <w:rFonts w:hint="eastAsia" w:ascii="宋体" w:hAnsi="宋体" w:eastAsia="宋体" w:cs="宋体"/>
          <w:color w:val="111F2C"/>
          <w:szCs w:val="21"/>
          <w:shd w:val="clear" w:color="auto" w:fill="FFFFFF"/>
        </w:rPr>
        <w:t>中华人民共和国民法典</w:t>
      </w:r>
      <w:r>
        <w:rPr>
          <w:rFonts w:hint="eastAsia" w:ascii="宋体" w:hAnsi="宋体" w:eastAsia="宋体" w:cs="宋体"/>
        </w:rPr>
        <w:t>》有关</w:t>
      </w:r>
      <w:r>
        <w:rPr>
          <w:rFonts w:asciiTheme="minorEastAsia" w:hAnsiTheme="minorEastAsia" w:eastAsiaTheme="minorEastAsia"/>
        </w:rPr>
        <w:t>条文执行。</w:t>
      </w:r>
    </w:p>
    <w:p>
      <w:pPr>
        <w:pStyle w:val="8"/>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（三）本合同一式两份，甲、乙双方各执一份。本项目未尽事宜以招标文件、投标文件及澄清文件等为准。</w:t>
      </w:r>
    </w:p>
    <w:p>
      <w:pPr>
        <w:widowControl/>
        <w:spacing w:line="360" w:lineRule="auto"/>
        <w:ind w:firstLine="482" w:firstLineChars="200"/>
        <w:rPr>
          <w:rFonts w:asciiTheme="minorEastAsia" w:hAnsiTheme="minorEastAsia" w:eastAsiaTheme="minorEastAsia"/>
          <w:b/>
          <w:sz w:val="24"/>
        </w:rPr>
      </w:pPr>
    </w:p>
    <w:p>
      <w:pPr>
        <w:widowControl/>
        <w:spacing w:line="360" w:lineRule="auto"/>
        <w:ind w:firstLine="482" w:firstLineChars="200"/>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                                     乙方（盖章）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spacing w:line="360" w:lineRule="auto"/>
        <w:ind w:firstLine="480" w:firstLineChars="200"/>
        <w:rPr>
          <w:rFonts w:asciiTheme="minorEastAsia" w:hAnsiTheme="minorEastAsia" w:eastAsiaTheme="minorEastAsia"/>
          <w:sz w:val="24"/>
        </w:rPr>
      </w:pP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spacing w:line="360" w:lineRule="auto"/>
        <w:jc w:val="center"/>
        <w:rPr>
          <w:rFonts w:hint="eastAsia" w:asciiTheme="minorEastAsia" w:hAnsiTheme="minorEastAsia" w:eastAsiaTheme="minorEastAsia"/>
          <w:b/>
          <w:sz w:val="36"/>
          <w:szCs w:val="36"/>
        </w:rPr>
      </w:pPr>
      <w:bookmarkStart w:id="40" w:name="_Toc5481_WPSOffice_Level1"/>
    </w:p>
    <w:bookmarkEnd w:id="40"/>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p>
    <w:p>
      <w:pPr>
        <w:rPr>
          <w:rFonts w:ascii="宋体" w:hAnsi="宋体"/>
          <w:b/>
          <w:kern w:val="0"/>
          <w:sz w:val="28"/>
          <w:szCs w:val="28"/>
        </w:rPr>
      </w:pPr>
      <w:r>
        <w:rPr>
          <w:rFonts w:hint="eastAsia" w:ascii="宋体" w:hAnsi="宋体"/>
          <w:b/>
          <w:kern w:val="0"/>
          <w:sz w:val="28"/>
          <w:szCs w:val="28"/>
        </w:rPr>
        <w:t xml:space="preserve"> </w:t>
      </w: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1" w:name="_Toc4956_WPSOffice_Level1"/>
      <w:bookmarkStart w:id="42" w:name="_Toc19093_WPSOffice_Level1"/>
      <w:bookmarkStart w:id="43" w:name="_Toc32372_WPSOffice_Level1"/>
      <w:r>
        <w:rPr>
          <w:rFonts w:hint="eastAsia"/>
          <w:sz w:val="52"/>
          <w:szCs w:val="52"/>
        </w:rPr>
        <w:t>项目名称</w:t>
      </w:r>
      <w:bookmarkEnd w:id="41"/>
      <w:bookmarkEnd w:id="42"/>
      <w:bookmarkEnd w:id="43"/>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0"/>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0"/>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rPr>
          <w:rFonts w:ascii="仿宋_GB2312" w:hAnsi="宋体" w:eastAsia="仿宋_GB2312"/>
          <w:b/>
          <w:sz w:val="36"/>
          <w:szCs w:val="36"/>
        </w:rPr>
      </w:pPr>
      <w:r>
        <w:rPr>
          <w:rFonts w:ascii="仿宋_GB2312" w:hAnsi="宋体" w:eastAsia="仿宋_GB2312"/>
          <w:b/>
          <w:sz w:val="36"/>
          <w:szCs w:val="36"/>
        </w:rPr>
        <w:br w:type="page"/>
      </w:r>
    </w:p>
    <w:p>
      <w:pPr>
        <w:pStyle w:val="20"/>
      </w:pPr>
    </w:p>
    <w:p>
      <w:pPr>
        <w:spacing w:line="360" w:lineRule="auto"/>
        <w:jc w:val="center"/>
        <w:rPr>
          <w:b/>
          <w:bCs/>
          <w:sz w:val="36"/>
          <w:szCs w:val="36"/>
        </w:rPr>
      </w:pPr>
      <w:r>
        <w:rPr>
          <w:rFonts w:hint="eastAsia"/>
          <w:b/>
          <w:bCs/>
          <w:sz w:val="36"/>
          <w:szCs w:val="36"/>
        </w:rPr>
        <w:t>资格证明文件目录</w:t>
      </w:r>
    </w:p>
    <w:p>
      <w:pPr>
        <w:pStyle w:val="6"/>
      </w:pPr>
    </w:p>
    <w:p/>
    <w:p>
      <w:pPr>
        <w:numPr>
          <w:ilvl w:val="0"/>
          <w:numId w:val="9"/>
        </w:numPr>
        <w:spacing w:line="360" w:lineRule="auto"/>
        <w:ind w:hanging="5"/>
        <w:rPr>
          <w:sz w:val="28"/>
          <w:szCs w:val="36"/>
        </w:rPr>
      </w:pPr>
      <w:bookmarkStart w:id="44" w:name="_Toc27049_WPSOffice_Level1"/>
      <w:bookmarkStart w:id="45" w:name="_Toc12587_WPSOffice_Level1"/>
      <w:r>
        <w:rPr>
          <w:rFonts w:hint="eastAsia"/>
          <w:sz w:val="28"/>
          <w:szCs w:val="36"/>
        </w:rPr>
        <w:t>投标声明书（附件1）</w:t>
      </w:r>
      <w:bookmarkEnd w:id="44"/>
      <w:bookmarkEnd w:id="45"/>
    </w:p>
    <w:p>
      <w:pPr>
        <w:numPr>
          <w:ilvl w:val="0"/>
          <w:numId w:val="9"/>
        </w:numPr>
        <w:spacing w:line="360" w:lineRule="auto"/>
        <w:ind w:hanging="5"/>
        <w:rPr>
          <w:sz w:val="28"/>
          <w:szCs w:val="36"/>
        </w:rPr>
      </w:pPr>
      <w:bookmarkStart w:id="46" w:name="_Toc28306_WPSOffice_Level1"/>
      <w:bookmarkStart w:id="47" w:name="_Toc25574_WPSOffice_Level1"/>
      <w:bookmarkStart w:id="48" w:name="_Toc32100_WPSOffice_Level1"/>
      <w:bookmarkStart w:id="49" w:name="_Toc29616_WPSOffice_Level1"/>
      <w:r>
        <w:rPr>
          <w:rFonts w:hint="eastAsia"/>
          <w:sz w:val="28"/>
          <w:szCs w:val="36"/>
        </w:rPr>
        <w:t>授权委托书或联合体授权委托书（法定代表人办理投标事宜的，则无需提交授权委托书；以联合体形式投标时需提供联合体授权委托书)（附件2-1、附件2-2）</w:t>
      </w:r>
      <w:bookmarkEnd w:id="46"/>
      <w:bookmarkEnd w:id="47"/>
    </w:p>
    <w:p>
      <w:pPr>
        <w:numPr>
          <w:ilvl w:val="0"/>
          <w:numId w:val="9"/>
        </w:numPr>
        <w:spacing w:line="360" w:lineRule="auto"/>
        <w:ind w:hanging="5"/>
        <w:rPr>
          <w:sz w:val="28"/>
          <w:szCs w:val="36"/>
        </w:rPr>
      </w:pPr>
      <w:r>
        <w:rPr>
          <w:rFonts w:hint="eastAsia"/>
          <w:sz w:val="28"/>
          <w:szCs w:val="36"/>
        </w:rPr>
        <w:t>联合体共同投标协议书（以联合体形式投标时需提供）（附件3）</w:t>
      </w:r>
    </w:p>
    <w:p>
      <w:pPr>
        <w:numPr>
          <w:ilvl w:val="0"/>
          <w:numId w:val="9"/>
        </w:numPr>
        <w:spacing w:line="360" w:lineRule="auto"/>
        <w:ind w:hanging="5"/>
        <w:rPr>
          <w:sz w:val="28"/>
          <w:szCs w:val="36"/>
        </w:rPr>
      </w:pPr>
      <w:r>
        <w:rPr>
          <w:rFonts w:hint="eastAsia"/>
          <w:sz w:val="28"/>
          <w:szCs w:val="36"/>
        </w:rPr>
        <w:t>法人或者其他组织的营业执照等证明文件、自然人的身份证明</w:t>
      </w:r>
      <w:bookmarkEnd w:id="48"/>
      <w:bookmarkEnd w:id="49"/>
    </w:p>
    <w:p>
      <w:pPr>
        <w:numPr>
          <w:ilvl w:val="0"/>
          <w:numId w:val="9"/>
        </w:numPr>
        <w:spacing w:line="360" w:lineRule="auto"/>
        <w:ind w:hanging="5"/>
        <w:rPr>
          <w:sz w:val="28"/>
          <w:szCs w:val="36"/>
        </w:rPr>
      </w:pPr>
      <w:bookmarkStart w:id="50" w:name="_Toc2696_WPSOffice_Level1"/>
      <w:bookmarkStart w:id="51" w:name="_Toc30751_WPSOffice_Level1"/>
      <w:r>
        <w:rPr>
          <w:rFonts w:hint="eastAsia"/>
          <w:sz w:val="28"/>
          <w:szCs w:val="36"/>
        </w:rPr>
        <w:t>符合参与政府采购活动的资格条件并且没有税收缴纳、社会保障等方面的失信记录的承诺函</w:t>
      </w:r>
    </w:p>
    <w:p>
      <w:pPr>
        <w:numPr>
          <w:ilvl w:val="0"/>
          <w:numId w:val="9"/>
        </w:numPr>
        <w:spacing w:line="360" w:lineRule="auto"/>
        <w:ind w:hanging="5"/>
        <w:rPr>
          <w:sz w:val="28"/>
          <w:szCs w:val="36"/>
        </w:rPr>
      </w:pPr>
      <w:r>
        <w:rPr>
          <w:rFonts w:hint="eastAsia"/>
          <w:sz w:val="28"/>
          <w:szCs w:val="36"/>
        </w:rPr>
        <w:t>具备履行合同所必需的设备和专业技术能力的证明材料</w:t>
      </w:r>
      <w:bookmarkEnd w:id="50"/>
      <w:bookmarkEnd w:id="51"/>
    </w:p>
    <w:p>
      <w:pPr>
        <w:numPr>
          <w:ilvl w:val="0"/>
          <w:numId w:val="9"/>
        </w:numPr>
        <w:spacing w:line="360" w:lineRule="auto"/>
        <w:ind w:hanging="5"/>
        <w:rPr>
          <w:sz w:val="28"/>
          <w:szCs w:val="36"/>
        </w:rPr>
      </w:pPr>
      <w:bookmarkStart w:id="52" w:name="_Toc14150_WPSOffice_Level1"/>
      <w:bookmarkStart w:id="53" w:name="_Toc4587_WPSOffice_Level1"/>
      <w:r>
        <w:rPr>
          <w:rFonts w:hint="eastAsia"/>
          <w:sz w:val="28"/>
          <w:szCs w:val="36"/>
        </w:rPr>
        <w:t>本项目要求的特定资质证书</w:t>
      </w:r>
      <w:bookmarkEnd w:id="52"/>
      <w:bookmarkEnd w:id="53"/>
    </w:p>
    <w:p>
      <w:pPr>
        <w:spacing w:line="360" w:lineRule="auto"/>
        <w:ind w:firstLine="482" w:firstLineChars="200"/>
        <w:rPr>
          <w:rFonts w:ascii="宋体" w:hAnsi="宋体"/>
          <w:b/>
          <w:sz w:val="24"/>
        </w:rPr>
      </w:pPr>
    </w:p>
    <w:p>
      <w:pPr>
        <w:spacing w:line="360" w:lineRule="auto"/>
        <w:ind w:left="420"/>
        <w:rPr>
          <w:rFonts w:ascii="宋体" w:hAnsi="宋体"/>
          <w:b/>
          <w:sz w:val="28"/>
        </w:rPr>
      </w:pPr>
    </w:p>
    <w:p>
      <w:pPr>
        <w:pStyle w:val="27"/>
        <w:rPr>
          <w:rFonts w:ascii="宋体" w:hAnsi="宋体"/>
          <w:b/>
          <w:sz w:val="28"/>
        </w:rPr>
      </w:pPr>
    </w:p>
    <w:p>
      <w:pPr>
        <w:pStyle w:val="27"/>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rPr>
          <w:rFonts w:ascii="宋体" w:hAnsi="宋体"/>
          <w:b/>
          <w:sz w:val="28"/>
        </w:rPr>
      </w:pPr>
      <w:r>
        <w:rPr>
          <w:rFonts w:ascii="宋体" w:hAnsi="宋体"/>
          <w:b/>
          <w:sz w:val="28"/>
        </w:rPr>
        <w:br w:type="page"/>
      </w: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54" w:name="_Toc31708_WPSOffice_Level1"/>
      <w:bookmarkStart w:id="55" w:name="_Toc30723_WPSOffice_Level1"/>
      <w:r>
        <w:rPr>
          <w:rFonts w:hint="eastAsia" w:ascii="宋体" w:hAnsi="宋体"/>
          <w:b/>
          <w:kern w:val="0"/>
          <w:sz w:val="32"/>
          <w:szCs w:val="32"/>
          <w:lang w:val="zh-CN"/>
        </w:rPr>
        <w:t>投标声明书</w:t>
      </w:r>
      <w:bookmarkEnd w:id="54"/>
      <w:bookmarkEnd w:id="55"/>
    </w:p>
    <w:p>
      <w:pPr>
        <w:snapToGrid w:val="0"/>
        <w:spacing w:before="120"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0"/>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0"/>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0"/>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0"/>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0"/>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0"/>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rPr>
          <w:rFonts w:ascii="宋体" w:hAnsi="宋体" w:cs="仿宋_GB2312"/>
          <w:kern w:val="0"/>
          <w:sz w:val="24"/>
          <w:lang w:val="zh-CN"/>
        </w:rPr>
      </w:pPr>
      <w:r>
        <w:rPr>
          <w:rFonts w:hint="eastAsia" w:ascii="宋体" w:hAnsi="宋体" w:cs="仿宋_GB2312"/>
          <w:kern w:val="0"/>
          <w:sz w:val="24"/>
          <w:lang w:val="zh-CN"/>
        </w:rPr>
        <w:br w:type="page"/>
      </w:r>
    </w:p>
    <w:p>
      <w:pPr>
        <w:adjustRightInd w:val="0"/>
        <w:snapToGrid w:val="0"/>
        <w:spacing w:line="360" w:lineRule="auto"/>
        <w:ind w:right="480"/>
        <w:rPr>
          <w:rFonts w:ascii="宋体"/>
          <w:b/>
          <w:sz w:val="30"/>
          <w:szCs w:val="30"/>
        </w:rPr>
      </w:pPr>
      <w:r>
        <w:rPr>
          <w:rFonts w:hint="eastAsia" w:ascii="宋体" w:hAnsi="宋体"/>
          <w:b/>
          <w:sz w:val="28"/>
        </w:rPr>
        <w:t>附件2-1</w:t>
      </w:r>
    </w:p>
    <w:p>
      <w:pPr>
        <w:spacing w:line="360" w:lineRule="auto"/>
        <w:ind w:firstLine="321" w:firstLineChars="100"/>
        <w:jc w:val="center"/>
        <w:rPr>
          <w:rFonts w:hAnsi="宋体"/>
          <w:b/>
          <w:sz w:val="32"/>
          <w:szCs w:val="32"/>
          <w:u w:val="single"/>
        </w:rPr>
      </w:pPr>
      <w:bookmarkStart w:id="56" w:name="_Toc24373_WPSOffice_Level1"/>
      <w:bookmarkStart w:id="57" w:name="_Toc6870_WPSOffice_Level1"/>
      <w:r>
        <w:rPr>
          <w:b/>
          <w:sz w:val="32"/>
          <w:szCs w:val="32"/>
        </w:rPr>
        <w:t>授权</w:t>
      </w:r>
      <w:r>
        <w:rPr>
          <w:rFonts w:hint="eastAsia"/>
          <w:b/>
          <w:sz w:val="32"/>
          <w:szCs w:val="32"/>
        </w:rPr>
        <w:t>委托</w:t>
      </w:r>
      <w:r>
        <w:rPr>
          <w:b/>
          <w:sz w:val="32"/>
          <w:szCs w:val="32"/>
        </w:rPr>
        <w:t>书</w:t>
      </w:r>
      <w:bookmarkEnd w:id="56"/>
      <w:bookmarkEnd w:id="57"/>
    </w:p>
    <w:p>
      <w:pPr>
        <w:snapToGrid w:val="0"/>
        <w:spacing w:before="120"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rPr>
        <w:t>：</w:t>
      </w:r>
    </w:p>
    <w:p>
      <w:pPr>
        <w:pStyle w:val="12"/>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2"/>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2"/>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sz w:val="24"/>
        </w:rPr>
      </w:pPr>
      <w:r>
        <w:rPr>
          <w:rFonts w:hint="eastAsia" w:ascii="宋体"/>
          <w:sz w:val="24"/>
        </w:rPr>
        <w:br w:type="page"/>
      </w:r>
    </w:p>
    <w:p>
      <w:pPr>
        <w:adjustRightInd w:val="0"/>
        <w:snapToGrid w:val="0"/>
        <w:spacing w:line="360" w:lineRule="auto"/>
        <w:ind w:right="480"/>
        <w:rPr>
          <w:rFonts w:ascii="宋体" w:hAnsi="宋体" w:cs="宋体"/>
          <w:b/>
          <w:bCs/>
          <w:sz w:val="32"/>
          <w:szCs w:val="32"/>
        </w:rPr>
      </w:pPr>
      <w:r>
        <w:rPr>
          <w:rFonts w:hint="eastAsia" w:ascii="宋体" w:hAnsi="宋体"/>
          <w:b/>
          <w:sz w:val="28"/>
        </w:rPr>
        <w:t>附件2-2</w:t>
      </w:r>
    </w:p>
    <w:p>
      <w:pPr>
        <w:spacing w:line="360" w:lineRule="auto"/>
        <w:ind w:firstLine="321" w:firstLineChars="100"/>
        <w:jc w:val="center"/>
        <w:rPr>
          <w:rFonts w:hAnsi="宋体"/>
          <w:b/>
          <w:sz w:val="32"/>
          <w:szCs w:val="32"/>
          <w:u w:val="single"/>
        </w:rPr>
      </w:pPr>
      <w:r>
        <w:rPr>
          <w:rFonts w:hint="eastAsia" w:ascii="宋体" w:hAnsi="宋体" w:cs="宋体"/>
          <w:b/>
          <w:bCs/>
          <w:sz w:val="32"/>
          <w:szCs w:val="32"/>
        </w:rPr>
        <w:t>联合体</w:t>
      </w:r>
      <w:r>
        <w:rPr>
          <w:b/>
          <w:sz w:val="32"/>
          <w:szCs w:val="32"/>
        </w:rPr>
        <w:t>授权</w:t>
      </w:r>
      <w:r>
        <w:rPr>
          <w:rFonts w:hint="eastAsia"/>
          <w:b/>
          <w:sz w:val="32"/>
          <w:szCs w:val="32"/>
        </w:rPr>
        <w:t>委托</w:t>
      </w:r>
      <w:r>
        <w:rPr>
          <w:b/>
          <w:sz w:val="32"/>
          <w:szCs w:val="32"/>
        </w:rPr>
        <w:t>书</w:t>
      </w:r>
    </w:p>
    <w:p>
      <w:pPr>
        <w:snapToGrid w:val="0"/>
        <w:spacing w:before="120" w:beforeLines="50" w:after="50" w:line="288" w:lineRule="auto"/>
        <w:rPr>
          <w:rFonts w:ascii="宋体" w:hAnsi="宋体" w:cs="宋体"/>
          <w:bCs/>
          <w:kern w:val="0"/>
          <w:sz w:val="24"/>
        </w:rPr>
      </w:pPr>
      <w:r>
        <w:rPr>
          <w:rFonts w:hint="eastAsia" w:hAnsi="宋体"/>
          <w:bCs/>
          <w:sz w:val="24"/>
          <w:u w:val="single"/>
        </w:rPr>
        <w:t>台州市政府采购中心</w:t>
      </w:r>
      <w:r>
        <w:rPr>
          <w:rFonts w:hint="eastAsia" w:ascii="宋体" w:hAnsi="宋体" w:cs="宋体"/>
          <w:bCs/>
          <w:kern w:val="0"/>
          <w:sz w:val="24"/>
        </w:rPr>
        <w:t>：</w:t>
      </w:r>
    </w:p>
    <w:p>
      <w:pPr>
        <w:pStyle w:val="12"/>
        <w:spacing w:line="360" w:lineRule="auto"/>
        <w:ind w:firstLine="420"/>
        <w:rPr>
          <w:rFonts w:hAnsi="宋体"/>
          <w:sz w:val="24"/>
        </w:rPr>
      </w:pPr>
      <w:r>
        <w:rPr>
          <w:rFonts w:hAnsi="宋体"/>
          <w:sz w:val="24"/>
          <w:u w:val="single"/>
        </w:rPr>
        <w:t>（</w:t>
      </w:r>
      <w:r>
        <w:rPr>
          <w:rFonts w:hint="eastAsia" w:hAnsi="宋体"/>
          <w:sz w:val="24"/>
          <w:u w:val="single"/>
        </w:rPr>
        <w:t>联合体牵头人公司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int="eastAsia" w:hAnsi="宋体"/>
          <w:sz w:val="24"/>
          <w:u w:val="single"/>
        </w:rPr>
        <w:t xml:space="preserve">  </w:t>
      </w:r>
      <w:r>
        <w:rPr>
          <w:rFonts w:hAnsi="宋体"/>
          <w:sz w:val="24"/>
          <w:u w:val="single"/>
        </w:rPr>
        <w:t>（</w:t>
      </w:r>
      <w:r>
        <w:rPr>
          <w:rFonts w:hint="eastAsia" w:hAnsi="宋体"/>
          <w:sz w:val="24"/>
          <w:u w:val="single"/>
        </w:rPr>
        <w:t>联合体成员1公司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Ansi="宋体"/>
          <w:sz w:val="24"/>
          <w:u w:val="single"/>
        </w:rPr>
        <w:t>（</w:t>
      </w:r>
      <w:r>
        <w:rPr>
          <w:rFonts w:hint="eastAsia" w:hAnsi="宋体"/>
          <w:sz w:val="24"/>
          <w:u w:val="single"/>
        </w:rPr>
        <w:t>联合体成员2公司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cs="宋体"/>
          <w:color w:val="000000"/>
          <w:kern w:val="0"/>
          <w:sz w:val="24"/>
        </w:rPr>
        <w:t>组成的联合体</w:t>
      </w:r>
      <w:r>
        <w:rPr>
          <w:rFonts w:hint="eastAsia" w:hAnsi="宋体"/>
          <w:sz w:val="24"/>
        </w:rPr>
        <w:t>，现共同</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12"/>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2"/>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rFonts w:ascii="宋体"/>
          <w:sz w:val="24"/>
        </w:rPr>
      </w:pPr>
      <w:r>
        <w:rPr>
          <w:rFonts w:hint="eastAsia" w:hAnsi="宋体"/>
          <w:sz w:val="24"/>
        </w:rPr>
        <w:t>联合体牵头人</w:t>
      </w:r>
      <w:r>
        <w:rPr>
          <w:rFonts w:hint="eastAsia" w:ascii="宋体"/>
          <w:sz w:val="24"/>
        </w:rPr>
        <w:t xml:space="preserve">全称（公章）： </w:t>
      </w:r>
    </w:p>
    <w:p>
      <w:pPr>
        <w:spacing w:line="360" w:lineRule="auto"/>
        <w:rPr>
          <w:rFonts w:ascii="宋体"/>
          <w:sz w:val="24"/>
        </w:rPr>
      </w:pPr>
      <w:r>
        <w:rPr>
          <w:rFonts w:hint="eastAsia" w:ascii="宋体"/>
          <w:sz w:val="24"/>
        </w:rPr>
        <w:t>法定代表人签字或盖章：</w:t>
      </w:r>
    </w:p>
    <w:p>
      <w:pPr>
        <w:spacing w:line="360" w:lineRule="auto"/>
        <w:rPr>
          <w:rFonts w:ascii="宋体"/>
          <w:sz w:val="24"/>
        </w:rPr>
      </w:pPr>
      <w:r>
        <w:rPr>
          <w:rFonts w:hint="eastAsia" w:hAnsi="宋体"/>
          <w:sz w:val="24"/>
        </w:rPr>
        <w:t>联合体成员1</w:t>
      </w:r>
      <w:r>
        <w:rPr>
          <w:rFonts w:hint="eastAsia" w:ascii="宋体"/>
          <w:sz w:val="24"/>
        </w:rPr>
        <w:t xml:space="preserve">全称（公章）： </w:t>
      </w:r>
    </w:p>
    <w:p>
      <w:pPr>
        <w:spacing w:line="360" w:lineRule="auto"/>
      </w:pPr>
      <w:r>
        <w:rPr>
          <w:rFonts w:hint="eastAsia" w:ascii="宋体"/>
          <w:sz w:val="24"/>
        </w:rPr>
        <w:t>法定代表人签字或盖章：</w:t>
      </w:r>
    </w:p>
    <w:p>
      <w:pPr>
        <w:spacing w:line="360" w:lineRule="auto"/>
      </w:pPr>
      <w:r>
        <w:rPr>
          <w:rFonts w:hint="eastAsia" w:ascii="宋体"/>
          <w:sz w:val="24"/>
        </w:rPr>
        <w:t xml:space="preserve">                                                       日期：</w:t>
      </w:r>
    </w:p>
    <w:p>
      <w:pPr>
        <w:spacing w:line="360" w:lineRule="auto"/>
        <w:rPr>
          <w:b/>
          <w:sz w:val="24"/>
        </w:rPr>
      </w:pPr>
      <w:r>
        <w:rPr>
          <w:rFonts w:hint="eastAsia" w:ascii="宋体"/>
          <w:b/>
          <w:sz w:val="24"/>
        </w:rPr>
        <w:t>附：</w:t>
      </w:r>
    </w:p>
    <w:tbl>
      <w:tblPr>
        <w:tblStyle w:val="21"/>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hAnsi="宋体"/>
          <w:sz w:val="24"/>
        </w:rPr>
        <w:t>联合体牵头人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Ansi="宋体"/>
          <w:sz w:val="24"/>
        </w:rPr>
      </w:pPr>
    </w:p>
    <w:p>
      <w:pPr>
        <w:spacing w:line="360" w:lineRule="auto"/>
        <w:rPr>
          <w:rFonts w:hAnsi="宋体"/>
          <w:sz w:val="24"/>
        </w:rPr>
      </w:pPr>
    </w:p>
    <w:p>
      <w:pPr>
        <w:spacing w:line="360" w:lineRule="auto"/>
        <w:rPr>
          <w:rFonts w:hAnsi="宋体"/>
          <w:sz w:val="24"/>
        </w:rPr>
      </w:pPr>
    </w:p>
    <w:tbl>
      <w:tblPr>
        <w:tblStyle w:val="21"/>
        <w:tblpPr w:leftFromText="180" w:rightFromText="180" w:vertAnchor="text" w:horzAnchor="page" w:tblpX="5940" w:tblpY="-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hAnsi="宋体"/>
          <w:sz w:val="24"/>
        </w:rPr>
        <w:t>联合体成员1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Ansi="宋体"/>
          <w:sz w:val="24"/>
        </w:rPr>
      </w:pPr>
    </w:p>
    <w:p>
      <w:pPr>
        <w:spacing w:line="360" w:lineRule="auto"/>
        <w:rPr>
          <w:rFonts w:ascii="宋体"/>
          <w:sz w:val="24"/>
        </w:rPr>
      </w:pPr>
    </w:p>
    <w:tbl>
      <w:tblPr>
        <w:tblStyle w:val="21"/>
        <w:tblpPr w:leftFromText="180" w:rightFromText="180" w:vertAnchor="text" w:horzAnchor="page" w:tblpX="5940" w:tblpY="4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ectPr>
          <w:footerReference r:id="rId3" w:type="default"/>
          <w:pgSz w:w="11906" w:h="16838"/>
          <w:pgMar w:top="1701" w:right="1418" w:bottom="1588" w:left="1418" w:header="851" w:footer="851" w:gutter="0"/>
          <w:cols w:space="720" w:num="1"/>
          <w:docGrid w:linePitch="312" w:charSpace="0"/>
        </w:sectPr>
      </w:pPr>
    </w:p>
    <w:p>
      <w:pPr>
        <w:rPr>
          <w:rFonts w:ascii="宋体" w:hAnsi="宋体"/>
          <w:b/>
          <w:sz w:val="28"/>
        </w:rPr>
      </w:pPr>
      <w:r>
        <w:rPr>
          <w:rFonts w:hint="eastAsia" w:ascii="宋体" w:hAnsi="宋体"/>
          <w:b/>
          <w:sz w:val="28"/>
        </w:rPr>
        <w:t>附件3</w:t>
      </w:r>
    </w:p>
    <w:p>
      <w:pPr>
        <w:spacing w:line="480" w:lineRule="auto"/>
        <w:ind w:firstLine="321" w:firstLineChars="100"/>
        <w:jc w:val="center"/>
        <w:rPr>
          <w:bCs/>
          <w:sz w:val="24"/>
        </w:rPr>
      </w:pPr>
      <w:r>
        <w:rPr>
          <w:rFonts w:hint="eastAsia" w:ascii="宋体" w:hAnsi="宋体" w:cs="宋体"/>
          <w:b/>
          <w:bCs/>
          <w:sz w:val="32"/>
          <w:szCs w:val="32"/>
        </w:rPr>
        <w:t>联合体共同投标协议书</w:t>
      </w:r>
    </w:p>
    <w:p>
      <w:pPr>
        <w:snapToGrid w:val="0"/>
        <w:spacing w:line="360" w:lineRule="auto"/>
        <w:ind w:firstLine="576"/>
        <w:rPr>
          <w:kern w:val="0"/>
          <w:sz w:val="24"/>
          <w:lang w:val="zh-CN"/>
        </w:rPr>
      </w:pPr>
      <w:r>
        <w:rPr>
          <w:rFonts w:hint="eastAsia"/>
          <w:kern w:val="0"/>
          <w:sz w:val="24"/>
          <w:u w:val="single"/>
        </w:rPr>
        <w:t xml:space="preserve"> </w:t>
      </w:r>
      <w:r>
        <w:rPr>
          <w:kern w:val="0"/>
          <w:sz w:val="24"/>
          <w:u w:val="single"/>
        </w:rPr>
        <w:t>（联合体所有成员名称）</w:t>
      </w:r>
      <w:r>
        <w:rPr>
          <w:rFonts w:hint="eastAsia"/>
          <w:kern w:val="0"/>
          <w:sz w:val="24"/>
          <w:u w:val="single"/>
        </w:rPr>
        <w:t xml:space="preserve"> </w:t>
      </w:r>
      <w:r>
        <w:rPr>
          <w:kern w:val="0"/>
          <w:sz w:val="24"/>
        </w:rPr>
        <w:t>自愿</w:t>
      </w:r>
      <w:r>
        <w:rPr>
          <w:kern w:val="0"/>
          <w:sz w:val="24"/>
          <w:lang w:val="zh-CN"/>
        </w:rPr>
        <w:t>组成联合体，以一个投标人的身份</w:t>
      </w:r>
      <w:r>
        <w:rPr>
          <w:rFonts w:hint="eastAsia"/>
          <w:kern w:val="0"/>
          <w:sz w:val="24"/>
        </w:rPr>
        <w:t>共同参加贵单位组织的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的</w:t>
      </w:r>
      <w:r>
        <w:rPr>
          <w:kern w:val="0"/>
          <w:sz w:val="24"/>
          <w:lang w:val="zh-CN"/>
        </w:rPr>
        <w:t>投标。</w:t>
      </w:r>
      <w:r>
        <w:rPr>
          <w:rFonts w:hint="eastAsia"/>
          <w:kern w:val="0"/>
          <w:sz w:val="24"/>
        </w:rPr>
        <w:t>现就联合体投标事宜订立如下协议：</w:t>
      </w:r>
      <w:r>
        <w:rPr>
          <w:kern w:val="0"/>
          <w:sz w:val="24"/>
          <w:lang w:val="zh-CN"/>
        </w:rPr>
        <w:t xml:space="preserve"> </w:t>
      </w:r>
    </w:p>
    <w:p>
      <w:pPr>
        <w:numPr>
          <w:ilvl w:val="0"/>
          <w:numId w:val="11"/>
        </w:numPr>
        <w:snapToGrid w:val="0"/>
        <w:spacing w:line="360" w:lineRule="auto"/>
        <w:ind w:firstLine="576"/>
        <w:rPr>
          <w:kern w:val="0"/>
          <w:sz w:val="24"/>
          <w:u w:val="single"/>
        </w:rPr>
      </w:pPr>
      <w:r>
        <w:rPr>
          <w:kern w:val="0"/>
          <w:sz w:val="24"/>
          <w:u w:val="single"/>
        </w:rPr>
        <w:t>（某联合体成员名称）</w:t>
      </w:r>
      <w:r>
        <w:rPr>
          <w:rFonts w:hint="eastAsia"/>
          <w:kern w:val="0"/>
          <w:sz w:val="24"/>
          <w:u w:val="single"/>
        </w:rPr>
        <w:t xml:space="preserve"> 为联合体的牵头人。</w:t>
      </w:r>
    </w:p>
    <w:p>
      <w:pPr>
        <w:numPr>
          <w:ilvl w:val="0"/>
          <w:numId w:val="11"/>
        </w:numPr>
        <w:snapToGrid w:val="0"/>
        <w:spacing w:line="360" w:lineRule="auto"/>
        <w:ind w:firstLine="576"/>
      </w:pPr>
      <w:r>
        <w:rPr>
          <w:rFonts w:hint="eastAsia"/>
          <w:kern w:val="0"/>
          <w:sz w:val="24"/>
        </w:rPr>
        <w:t>联合体牵头人合法代表联合体各成员，负责本采购项目投标文件编制和合同谈判活动，并代表联合体提交和接受相关的资料、信息及指示，并处理与之有关的一切事物，负责合同实施阶段的主办、组织和协调工作。</w:t>
      </w:r>
    </w:p>
    <w:p>
      <w:pPr>
        <w:numPr>
          <w:ilvl w:val="0"/>
          <w:numId w:val="11"/>
        </w:numPr>
        <w:snapToGrid w:val="0"/>
        <w:spacing w:line="360" w:lineRule="auto"/>
        <w:ind w:firstLine="576"/>
        <w:rPr>
          <w:lang w:val="zh-CN"/>
        </w:rPr>
      </w:pPr>
      <w:r>
        <w:rPr>
          <w:rFonts w:hint="eastAsia"/>
          <w:kern w:val="0"/>
          <w:sz w:val="24"/>
        </w:rPr>
        <w:t>联合体将严格按照招标文件的各项要求，递交投标文件，履行合同，并对外承担连带责任。</w:t>
      </w:r>
    </w:p>
    <w:p>
      <w:pPr>
        <w:numPr>
          <w:ilvl w:val="0"/>
          <w:numId w:val="11"/>
        </w:numPr>
        <w:snapToGrid w:val="0"/>
        <w:spacing w:line="360" w:lineRule="auto"/>
        <w:ind w:firstLine="576"/>
        <w:rPr>
          <w:kern w:val="0"/>
          <w:sz w:val="24"/>
          <w:lang w:val="zh-CN"/>
        </w:rPr>
      </w:pPr>
      <w:r>
        <w:rPr>
          <w:rFonts w:hint="eastAsia"/>
          <w:kern w:val="0"/>
          <w:sz w:val="24"/>
        </w:rPr>
        <w:t>本次联合投标中，分工如下：</w:t>
      </w:r>
      <w:r>
        <w:rPr>
          <w:rFonts w:hint="eastAsia"/>
          <w:kern w:val="0"/>
          <w:sz w:val="24"/>
          <w:u w:val="single"/>
        </w:rPr>
        <w:t>（</w:t>
      </w:r>
      <w:r>
        <w:rPr>
          <w:kern w:val="0"/>
          <w:sz w:val="24"/>
          <w:u w:val="single"/>
        </w:rPr>
        <w:t>联合体</w:t>
      </w:r>
      <w:r>
        <w:rPr>
          <w:rFonts w:hint="eastAsia"/>
          <w:kern w:val="0"/>
          <w:sz w:val="24"/>
          <w:u w:val="single"/>
        </w:rPr>
        <w:t>牵头人</w:t>
      </w:r>
      <w:r>
        <w:rPr>
          <w:kern w:val="0"/>
          <w:sz w:val="24"/>
          <w:u w:val="single"/>
        </w:rPr>
        <w:t>名称）</w:t>
      </w:r>
      <w:r>
        <w:rPr>
          <w:kern w:val="0"/>
          <w:sz w:val="24"/>
          <w:lang w:val="zh-CN"/>
        </w:rPr>
        <w:t>承担的工</w:t>
      </w:r>
      <w:r>
        <w:rPr>
          <w:rFonts w:hint="eastAsia"/>
          <w:kern w:val="0"/>
          <w:sz w:val="24"/>
        </w:rPr>
        <w:t>和义务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kern w:val="0"/>
          <w:sz w:val="24"/>
          <w:lang w:val="zh-CN"/>
        </w:rPr>
        <w:t>；</w:t>
      </w:r>
      <w:r>
        <w:rPr>
          <w:kern w:val="0"/>
          <w:sz w:val="24"/>
          <w:u w:val="single"/>
        </w:rPr>
        <w:t>（联合体成员</w:t>
      </w:r>
      <w:r>
        <w:rPr>
          <w:rFonts w:hint="eastAsia"/>
          <w:kern w:val="0"/>
          <w:sz w:val="24"/>
          <w:u w:val="single"/>
        </w:rPr>
        <w:t>1</w:t>
      </w:r>
      <w:r>
        <w:rPr>
          <w:kern w:val="0"/>
          <w:sz w:val="24"/>
          <w:u w:val="single"/>
        </w:rPr>
        <w:t>名称）</w:t>
      </w:r>
      <w:r>
        <w:rPr>
          <w:kern w:val="0"/>
          <w:sz w:val="24"/>
          <w:lang w:val="zh-CN"/>
        </w:rPr>
        <w:t>承担的工作</w:t>
      </w:r>
      <w:r>
        <w:rPr>
          <w:rFonts w:hint="eastAsia"/>
          <w:kern w:val="0"/>
          <w:sz w:val="24"/>
        </w:rPr>
        <w:t>和义务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rFonts w:hint="eastAsia"/>
          <w:sz w:val="24"/>
        </w:rPr>
        <w:t>。  ……</w:t>
      </w:r>
    </w:p>
    <w:p>
      <w:pPr>
        <w:numPr>
          <w:ilvl w:val="0"/>
          <w:numId w:val="11"/>
        </w:numPr>
        <w:snapToGrid w:val="0"/>
        <w:spacing w:line="360" w:lineRule="auto"/>
        <w:ind w:firstLine="576"/>
        <w:rPr>
          <w:kern w:val="0"/>
          <w:sz w:val="24"/>
        </w:rPr>
      </w:pPr>
      <w:r>
        <w:rPr>
          <w:rFonts w:hint="eastAsia"/>
          <w:kern w:val="0"/>
          <w:sz w:val="24"/>
        </w:rPr>
        <w:t>本次联合投标中，各方对于分享项目成果和知识产权的约定为：</w:t>
      </w:r>
      <w:r>
        <w:rPr>
          <w:rFonts w:hint="eastAsia"/>
          <w:kern w:val="0"/>
          <w:sz w:val="24"/>
          <w:u w:val="single"/>
        </w:rPr>
        <w:t xml:space="preserve">     </w:t>
      </w:r>
    </w:p>
    <w:p>
      <w:pPr>
        <w:snapToGrid w:val="0"/>
        <w:spacing w:line="360" w:lineRule="auto"/>
        <w:rPr>
          <w:kern w:val="0"/>
          <w:sz w:val="24"/>
          <w:u w:val="single"/>
        </w:rPr>
      </w:pPr>
      <w:r>
        <w:rPr>
          <w:rFonts w:hint="eastAsia"/>
          <w:kern w:val="0"/>
          <w:sz w:val="24"/>
          <w:u w:val="single"/>
        </w:rPr>
        <w:t xml:space="preserve">                                                                   。</w:t>
      </w:r>
    </w:p>
    <w:p>
      <w:pPr>
        <w:numPr>
          <w:ilvl w:val="0"/>
          <w:numId w:val="11"/>
        </w:numPr>
        <w:snapToGrid w:val="0"/>
        <w:spacing w:line="360" w:lineRule="auto"/>
        <w:ind w:firstLine="576"/>
        <w:rPr>
          <w:kern w:val="0"/>
          <w:sz w:val="24"/>
        </w:rPr>
      </w:pPr>
      <w:r>
        <w:rPr>
          <w:rFonts w:hint="eastAsia"/>
          <w:kern w:val="0"/>
          <w:sz w:val="24"/>
        </w:rPr>
        <w:t>各方具体的的责任、权利、义务，在中标后经各方协商后报采购人同意后在合同中明确。</w:t>
      </w:r>
    </w:p>
    <w:p>
      <w:pPr>
        <w:numPr>
          <w:ilvl w:val="0"/>
          <w:numId w:val="11"/>
        </w:numPr>
        <w:snapToGrid w:val="0"/>
        <w:spacing w:line="360" w:lineRule="auto"/>
        <w:ind w:firstLine="576"/>
        <w:rPr>
          <w:kern w:val="0"/>
          <w:sz w:val="24"/>
        </w:rPr>
      </w:pPr>
      <w:r>
        <w:rPr>
          <w:rFonts w:hint="eastAsia"/>
          <w:kern w:val="0"/>
          <w:sz w:val="24"/>
        </w:rPr>
        <w:t>联合体各方不得再以自己的名义参加本项目的投标。联合投标的项目负责人不能作为其他联合体或单独投标单位的项目组成员。因发生上述问题导致联合体投标无效的，联合体的其他成员可追求违约行为。</w:t>
      </w:r>
    </w:p>
    <w:p>
      <w:pPr>
        <w:numPr>
          <w:ilvl w:val="0"/>
          <w:numId w:val="11"/>
        </w:numPr>
        <w:snapToGrid w:val="0"/>
        <w:spacing w:line="360" w:lineRule="auto"/>
        <w:ind w:firstLine="576"/>
        <w:rPr>
          <w:kern w:val="0"/>
          <w:sz w:val="24"/>
          <w:lang w:val="zh-CN"/>
        </w:rPr>
      </w:pPr>
      <w:r>
        <w:rPr>
          <w:rFonts w:hint="eastAsia"/>
          <w:kern w:val="0"/>
          <w:sz w:val="24"/>
        </w:rPr>
        <w:t>未中标，本协议自动废止。</w:t>
      </w:r>
    </w:p>
    <w:p>
      <w:pPr>
        <w:pStyle w:val="6"/>
        <w:rPr>
          <w:lang w:val="zh-CN"/>
        </w:rPr>
      </w:pPr>
    </w:p>
    <w:p>
      <w:pPr>
        <w:snapToGrid w:val="0"/>
        <w:spacing w:line="360" w:lineRule="auto"/>
        <w:rPr>
          <w:kern w:val="0"/>
          <w:sz w:val="24"/>
          <w:lang w:val="zh-CN"/>
        </w:rPr>
      </w:pPr>
      <w:r>
        <w:rPr>
          <w:kern w:val="0"/>
          <w:sz w:val="24"/>
          <w:lang w:val="zh-CN"/>
        </w:rPr>
        <w:t>联合体</w:t>
      </w:r>
      <w:r>
        <w:rPr>
          <w:rFonts w:hint="eastAsia"/>
          <w:kern w:val="0"/>
          <w:sz w:val="24"/>
        </w:rPr>
        <w:t>牵头人</w:t>
      </w:r>
      <w:r>
        <w:rPr>
          <w:kern w:val="0"/>
          <w:sz w:val="24"/>
          <w:lang w:val="zh-CN"/>
        </w:rPr>
        <w:t>名称（盖单位公章或电子签章）：</w:t>
      </w:r>
    </w:p>
    <w:p>
      <w:pPr>
        <w:snapToGrid w:val="0"/>
        <w:spacing w:line="360" w:lineRule="auto"/>
        <w:rPr>
          <w:kern w:val="0"/>
          <w:sz w:val="24"/>
          <w:lang w:val="zh-CN"/>
        </w:rPr>
      </w:pPr>
      <w:r>
        <w:rPr>
          <w:rFonts w:hint="eastAsia"/>
          <w:kern w:val="0"/>
          <w:sz w:val="24"/>
          <w:lang w:val="zh-CN"/>
        </w:rPr>
        <w:t>法定代表人（签字）：</w:t>
      </w:r>
    </w:p>
    <w:p>
      <w:pPr>
        <w:snapToGrid w:val="0"/>
        <w:spacing w:line="360" w:lineRule="auto"/>
        <w:rPr>
          <w:kern w:val="0"/>
          <w:sz w:val="24"/>
          <w:lang w:val="zh-CN"/>
        </w:rPr>
      </w:pPr>
      <w:r>
        <w:rPr>
          <w:kern w:val="0"/>
          <w:sz w:val="24"/>
          <w:lang w:val="zh-CN"/>
        </w:rPr>
        <w:t>联合体成员</w:t>
      </w:r>
      <w:r>
        <w:rPr>
          <w:rFonts w:hint="eastAsia"/>
          <w:kern w:val="0"/>
          <w:sz w:val="24"/>
        </w:rPr>
        <w:t>1</w:t>
      </w:r>
      <w:r>
        <w:rPr>
          <w:kern w:val="0"/>
          <w:sz w:val="24"/>
          <w:lang w:val="zh-CN"/>
        </w:rPr>
        <w:t>名称（盖单位公章或电子签章）：</w:t>
      </w:r>
    </w:p>
    <w:p>
      <w:pPr>
        <w:snapToGrid w:val="0"/>
        <w:spacing w:line="360" w:lineRule="auto"/>
        <w:rPr>
          <w:lang w:val="zh-CN"/>
        </w:rPr>
      </w:pPr>
      <w:r>
        <w:rPr>
          <w:rFonts w:hint="eastAsia"/>
          <w:kern w:val="0"/>
          <w:sz w:val="24"/>
        </w:rPr>
        <w:t>法定代表人（签字）：</w:t>
      </w:r>
    </w:p>
    <w:p>
      <w:pPr>
        <w:snapToGrid w:val="0"/>
        <w:spacing w:line="360" w:lineRule="auto"/>
        <w:rPr>
          <w:kern w:val="0"/>
          <w:sz w:val="24"/>
        </w:rPr>
      </w:pPr>
      <w:r>
        <w:rPr>
          <w:kern w:val="0"/>
          <w:sz w:val="24"/>
          <w:lang w:val="zh-CN"/>
        </w:rPr>
        <w:t xml:space="preserve">                                         </w:t>
      </w:r>
      <w:r>
        <w:rPr>
          <w:rFonts w:hint="eastAsia"/>
          <w:kern w:val="0"/>
          <w:sz w:val="24"/>
        </w:rPr>
        <w:t xml:space="preserve">   签订日期：   年   月   日</w:t>
      </w:r>
    </w:p>
    <w:p>
      <w:pPr>
        <w:snapToGrid w:val="0"/>
        <w:spacing w:line="360" w:lineRule="auto"/>
        <w:jc w:val="center"/>
        <w:sectPr>
          <w:pgSz w:w="11906" w:h="16838"/>
          <w:pgMar w:top="1701" w:right="1448" w:bottom="1531" w:left="1418" w:header="851" w:footer="851" w:gutter="0"/>
          <w:cols w:space="720" w:num="1"/>
          <w:docGrid w:linePitch="312" w:charSpace="0"/>
        </w:sectPr>
      </w:pPr>
      <w:r>
        <w:rPr>
          <w:rFonts w:hint="eastAsia"/>
          <w:kern w:val="0"/>
          <w:sz w:val="24"/>
        </w:rPr>
        <w:t>（注：联合体各方成员应在本协议上共同盖章，不得分别签署协议书）</w:t>
      </w:r>
    </w:p>
    <w:p>
      <w:pPr>
        <w:rPr>
          <w:rFonts w:ascii="宋体" w:hAnsi="宋体"/>
          <w:b/>
          <w:sz w:val="28"/>
        </w:rPr>
      </w:pPr>
    </w:p>
    <w:p>
      <w:pPr>
        <w:jc w:val="center"/>
        <w:rPr>
          <w:sz w:val="52"/>
          <w:szCs w:val="52"/>
        </w:rPr>
      </w:pPr>
      <w:bookmarkStart w:id="58" w:name="_Toc26389_WPSOffice_Level1"/>
      <w:bookmarkStart w:id="59" w:name="_Toc16825_WPSOffice_Level1"/>
      <w:bookmarkStart w:id="60" w:name="_Toc12331_WPSOffice_Level1"/>
    </w:p>
    <w:p>
      <w:pPr>
        <w:jc w:val="center"/>
        <w:rPr>
          <w:sz w:val="52"/>
          <w:szCs w:val="52"/>
        </w:rPr>
      </w:pPr>
    </w:p>
    <w:p>
      <w:pPr>
        <w:jc w:val="center"/>
        <w:rPr>
          <w:sz w:val="52"/>
          <w:szCs w:val="52"/>
        </w:rPr>
      </w:pPr>
    </w:p>
    <w:p>
      <w:pPr>
        <w:jc w:val="center"/>
        <w:rPr>
          <w:sz w:val="52"/>
          <w:szCs w:val="52"/>
        </w:rPr>
      </w:pPr>
      <w:r>
        <w:rPr>
          <w:rFonts w:hint="eastAsia"/>
          <w:sz w:val="52"/>
          <w:szCs w:val="52"/>
        </w:rPr>
        <w:t>项目名称</w:t>
      </w:r>
      <w:bookmarkEnd w:id="58"/>
      <w:bookmarkEnd w:id="59"/>
      <w:bookmarkEnd w:id="60"/>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0"/>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pPr>
        <w:pStyle w:val="20"/>
      </w:pPr>
    </w:p>
    <w:p>
      <w:pPr>
        <w:pStyle w:val="20"/>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rPr>
          <w:rFonts w:ascii="仿宋_GB2312" w:hAnsi="宋体" w:eastAsia="仿宋_GB2312"/>
          <w:b/>
          <w:sz w:val="36"/>
          <w:szCs w:val="36"/>
        </w:rPr>
      </w:pPr>
      <w:r>
        <w:rPr>
          <w:rFonts w:ascii="仿宋_GB2312" w:hAnsi="宋体" w:eastAsia="仿宋_GB2312"/>
          <w:b/>
          <w:sz w:val="36"/>
          <w:szCs w:val="36"/>
        </w:rPr>
        <w:br w:type="page"/>
      </w:r>
    </w:p>
    <w:p>
      <w:pPr>
        <w:pStyle w:val="20"/>
      </w:pPr>
    </w:p>
    <w:p>
      <w:pPr>
        <w:spacing w:line="360" w:lineRule="auto"/>
        <w:jc w:val="center"/>
        <w:rPr>
          <w:sz w:val="28"/>
          <w:szCs w:val="28"/>
        </w:rPr>
      </w:pPr>
      <w:bookmarkStart w:id="61" w:name="_Toc5889_WPSOffice_Level1"/>
      <w:bookmarkStart w:id="62" w:name="_Toc11308_WPSOffice_Level1"/>
      <w:r>
        <w:rPr>
          <w:rFonts w:hint="eastAsia"/>
          <w:b/>
          <w:bCs/>
          <w:sz w:val="36"/>
          <w:szCs w:val="36"/>
          <w:lang w:val="zh-CN"/>
        </w:rPr>
        <w:t>商务与技术文件目录</w:t>
      </w:r>
      <w:bookmarkEnd w:id="61"/>
      <w:bookmarkEnd w:id="62"/>
    </w:p>
    <w:p>
      <w:pPr>
        <w:spacing w:line="360" w:lineRule="auto"/>
        <w:ind w:firstLine="562" w:firstLineChars="200"/>
        <w:rPr>
          <w:b/>
          <w:bCs/>
          <w:sz w:val="28"/>
          <w:szCs w:val="28"/>
        </w:rPr>
      </w:pPr>
      <w:bookmarkStart w:id="63" w:name="_Toc21250_WPSOffice_Level1"/>
      <w:bookmarkStart w:id="64" w:name="_Toc20529_WPSOffice_Level1"/>
      <w:r>
        <w:rPr>
          <w:rFonts w:hint="eastAsia"/>
          <w:b/>
          <w:bCs/>
          <w:sz w:val="28"/>
          <w:szCs w:val="28"/>
        </w:rPr>
        <w:t>第一部分  技术方案描述部分</w:t>
      </w:r>
      <w:bookmarkEnd w:id="63"/>
      <w:bookmarkEnd w:id="64"/>
    </w:p>
    <w:p>
      <w:pPr>
        <w:numPr>
          <w:ilvl w:val="0"/>
          <w:numId w:val="12"/>
        </w:numPr>
        <w:spacing w:line="360" w:lineRule="auto"/>
        <w:ind w:left="405" w:firstLine="15"/>
        <w:rPr>
          <w:sz w:val="28"/>
          <w:szCs w:val="28"/>
        </w:rPr>
      </w:pPr>
      <w:r>
        <w:rPr>
          <w:rFonts w:hint="eastAsia"/>
          <w:sz w:val="28"/>
          <w:szCs w:val="28"/>
        </w:rPr>
        <w:t>投标人情况介绍（附件4）</w:t>
      </w:r>
    </w:p>
    <w:p>
      <w:pPr>
        <w:numPr>
          <w:ilvl w:val="0"/>
          <w:numId w:val="12"/>
        </w:numPr>
        <w:spacing w:line="360" w:lineRule="auto"/>
        <w:ind w:left="405" w:firstLine="15"/>
        <w:rPr>
          <w:sz w:val="28"/>
          <w:szCs w:val="28"/>
        </w:rPr>
      </w:pPr>
      <w:r>
        <w:rPr>
          <w:rFonts w:hint="eastAsia"/>
          <w:sz w:val="28"/>
          <w:szCs w:val="28"/>
        </w:rPr>
        <w:t>项目需求的理解与分析</w:t>
      </w:r>
    </w:p>
    <w:p>
      <w:pPr>
        <w:numPr>
          <w:ilvl w:val="0"/>
          <w:numId w:val="12"/>
        </w:numPr>
        <w:spacing w:line="360" w:lineRule="auto"/>
        <w:ind w:left="405" w:firstLine="15"/>
        <w:rPr>
          <w:sz w:val="28"/>
          <w:szCs w:val="28"/>
        </w:rPr>
      </w:pPr>
      <w:r>
        <w:rPr>
          <w:rFonts w:hint="eastAsia"/>
          <w:sz w:val="28"/>
          <w:szCs w:val="28"/>
        </w:rPr>
        <w:t>项目组织实施方案（可视情选用附件5、附件6）</w:t>
      </w:r>
    </w:p>
    <w:p>
      <w:pPr>
        <w:numPr>
          <w:ilvl w:val="0"/>
          <w:numId w:val="12"/>
        </w:numPr>
        <w:spacing w:line="360" w:lineRule="auto"/>
        <w:ind w:left="405" w:firstLine="15"/>
        <w:rPr>
          <w:sz w:val="28"/>
          <w:szCs w:val="28"/>
        </w:rPr>
      </w:pPr>
      <w:r>
        <w:rPr>
          <w:rFonts w:hint="eastAsia"/>
          <w:sz w:val="28"/>
          <w:szCs w:val="28"/>
        </w:rPr>
        <w:t>安装、调试及验收方案</w:t>
      </w:r>
    </w:p>
    <w:p>
      <w:pPr>
        <w:spacing w:line="360" w:lineRule="auto"/>
        <w:ind w:firstLine="562" w:firstLineChars="200"/>
        <w:rPr>
          <w:b/>
          <w:bCs/>
          <w:sz w:val="28"/>
          <w:szCs w:val="28"/>
        </w:rPr>
      </w:pPr>
      <w:bookmarkStart w:id="65" w:name="_Toc12004_WPSOffice_Level1"/>
      <w:bookmarkStart w:id="66" w:name="_Toc6008_WPSOffice_Level1"/>
      <w:r>
        <w:rPr>
          <w:rFonts w:hint="eastAsia"/>
          <w:b/>
          <w:bCs/>
          <w:sz w:val="28"/>
          <w:szCs w:val="28"/>
        </w:rPr>
        <w:t>第二部分  投标产品描述部分</w:t>
      </w:r>
      <w:bookmarkEnd w:id="65"/>
      <w:bookmarkEnd w:id="66"/>
    </w:p>
    <w:p>
      <w:pPr>
        <w:numPr>
          <w:ilvl w:val="0"/>
          <w:numId w:val="13"/>
        </w:numPr>
        <w:spacing w:line="360" w:lineRule="auto"/>
        <w:ind w:hanging="5"/>
        <w:rPr>
          <w:sz w:val="28"/>
          <w:szCs w:val="28"/>
        </w:rPr>
      </w:pPr>
      <w:r>
        <w:rPr>
          <w:rFonts w:hint="eastAsia"/>
          <w:sz w:val="28"/>
          <w:szCs w:val="28"/>
        </w:rPr>
        <w:t>投标产品描述及相关资料（可视情选用附件7）</w:t>
      </w:r>
    </w:p>
    <w:p>
      <w:pPr>
        <w:numPr>
          <w:ilvl w:val="0"/>
          <w:numId w:val="13"/>
        </w:numPr>
        <w:spacing w:line="360" w:lineRule="auto"/>
        <w:ind w:hanging="5"/>
        <w:rPr>
          <w:sz w:val="28"/>
          <w:szCs w:val="28"/>
        </w:rPr>
      </w:pPr>
      <w:r>
        <w:rPr>
          <w:rFonts w:hint="eastAsia"/>
          <w:sz w:val="28"/>
          <w:szCs w:val="28"/>
        </w:rPr>
        <w:t>技术需求响应表（附件8）</w:t>
      </w:r>
    </w:p>
    <w:p>
      <w:pPr>
        <w:numPr>
          <w:ilvl w:val="0"/>
          <w:numId w:val="13"/>
        </w:numPr>
        <w:spacing w:line="360" w:lineRule="auto"/>
        <w:ind w:hanging="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7" w:name="_Toc30029_WPSOffice_Level1"/>
      <w:bookmarkStart w:id="68" w:name="_Toc20986_WPSOffice_Level1"/>
      <w:r>
        <w:rPr>
          <w:rFonts w:hint="eastAsia"/>
          <w:b/>
          <w:bCs/>
          <w:sz w:val="28"/>
          <w:szCs w:val="28"/>
        </w:rPr>
        <w:t>第三部分  商务及其他部分</w:t>
      </w:r>
      <w:bookmarkEnd w:id="67"/>
      <w:bookmarkEnd w:id="68"/>
    </w:p>
    <w:p>
      <w:pPr>
        <w:numPr>
          <w:ilvl w:val="0"/>
          <w:numId w:val="14"/>
        </w:numPr>
        <w:spacing w:line="360" w:lineRule="auto"/>
        <w:ind w:hanging="5"/>
        <w:rPr>
          <w:sz w:val="28"/>
          <w:szCs w:val="28"/>
        </w:rPr>
      </w:pPr>
      <w:r>
        <w:rPr>
          <w:rFonts w:hint="eastAsia"/>
          <w:sz w:val="28"/>
          <w:szCs w:val="28"/>
        </w:rPr>
        <w:t>证书一览表（附件9）</w:t>
      </w:r>
    </w:p>
    <w:p>
      <w:pPr>
        <w:numPr>
          <w:ilvl w:val="0"/>
          <w:numId w:val="14"/>
        </w:numPr>
        <w:spacing w:line="360" w:lineRule="auto"/>
        <w:ind w:hanging="5"/>
        <w:rPr>
          <w:sz w:val="28"/>
          <w:szCs w:val="28"/>
        </w:rPr>
      </w:pPr>
      <w:r>
        <w:rPr>
          <w:rFonts w:hint="eastAsia"/>
          <w:sz w:val="28"/>
          <w:szCs w:val="28"/>
        </w:rPr>
        <w:t>近三年来类似项目的成功案例（附件10）</w:t>
      </w:r>
    </w:p>
    <w:p>
      <w:pPr>
        <w:numPr>
          <w:ilvl w:val="0"/>
          <w:numId w:val="14"/>
        </w:numPr>
        <w:spacing w:line="360" w:lineRule="auto"/>
        <w:ind w:hanging="5"/>
        <w:rPr>
          <w:sz w:val="28"/>
          <w:szCs w:val="28"/>
        </w:rPr>
      </w:pPr>
      <w:r>
        <w:rPr>
          <w:rFonts w:hint="eastAsia"/>
          <w:sz w:val="28"/>
          <w:szCs w:val="28"/>
        </w:rPr>
        <w:t>售后服务描述及承诺（可视情选用附件11，附件12）</w:t>
      </w:r>
    </w:p>
    <w:p>
      <w:pPr>
        <w:numPr>
          <w:ilvl w:val="0"/>
          <w:numId w:val="14"/>
        </w:numPr>
        <w:spacing w:line="360" w:lineRule="auto"/>
        <w:ind w:hanging="5"/>
        <w:rPr>
          <w:sz w:val="28"/>
          <w:szCs w:val="28"/>
        </w:rPr>
      </w:pPr>
      <w:r>
        <w:rPr>
          <w:rFonts w:hint="eastAsia"/>
          <w:sz w:val="28"/>
          <w:szCs w:val="28"/>
        </w:rPr>
        <w:t>投标人需要说明的其他内容（包括可能影响投标人企业实力及信誉评分项以及售后服务评分项的各类证明材料）</w:t>
      </w:r>
    </w:p>
    <w:p>
      <w:pPr>
        <w:numPr>
          <w:ilvl w:val="0"/>
          <w:numId w:val="14"/>
        </w:numPr>
        <w:spacing w:line="360" w:lineRule="auto"/>
        <w:ind w:hanging="5"/>
        <w:rPr>
          <w:sz w:val="28"/>
          <w:szCs w:val="28"/>
        </w:rPr>
      </w:pPr>
      <w:r>
        <w:rPr>
          <w:rFonts w:hint="eastAsia"/>
          <w:sz w:val="28"/>
          <w:szCs w:val="28"/>
        </w:rPr>
        <w:t>主要货物用材响应表（类似家具类货物采用，附件13）</w:t>
      </w:r>
    </w:p>
    <w:p>
      <w:pPr>
        <w:pStyle w:val="31"/>
        <w:spacing w:before="0" w:beforeAutospacing="0" w:after="0" w:afterAutospacing="0" w:line="360" w:lineRule="auto"/>
        <w:ind w:firstLine="482" w:firstLineChars="200"/>
        <w:jc w:val="both"/>
        <w:rPr>
          <w:b/>
        </w:rPr>
      </w:pPr>
    </w:p>
    <w:p>
      <w:pPr>
        <w:pStyle w:val="31"/>
        <w:spacing w:before="0" w:beforeAutospacing="0" w:after="0" w:afterAutospacing="0" w:line="360" w:lineRule="auto"/>
        <w:rPr>
          <w:b/>
          <w:sz w:val="28"/>
        </w:rPr>
      </w:pPr>
    </w:p>
    <w:p>
      <w:pPr>
        <w:rPr>
          <w:b/>
          <w:sz w:val="28"/>
        </w:rPr>
      </w:pPr>
      <w:r>
        <w:rPr>
          <w:b/>
          <w:sz w:val="28"/>
        </w:rPr>
        <w:br w:type="page"/>
      </w:r>
    </w:p>
    <w:p>
      <w:pPr>
        <w:pStyle w:val="31"/>
        <w:spacing w:before="0" w:beforeAutospacing="0" w:after="0" w:afterAutospacing="0" w:line="360" w:lineRule="auto"/>
        <w:rPr>
          <w:b/>
          <w:sz w:val="28"/>
        </w:rPr>
      </w:pPr>
      <w:r>
        <w:rPr>
          <w:rFonts w:hint="eastAsia"/>
          <w:b/>
          <w:sz w:val="28"/>
        </w:rPr>
        <w:t>附件4</w:t>
      </w:r>
    </w:p>
    <w:p>
      <w:pPr>
        <w:pStyle w:val="31"/>
        <w:spacing w:before="0" w:beforeAutospacing="0" w:after="0" w:afterAutospacing="0" w:line="360" w:lineRule="auto"/>
        <w:jc w:val="center"/>
        <w:rPr>
          <w:rFonts w:eastAsia="微软雅黑"/>
          <w:sz w:val="36"/>
          <w:szCs w:val="36"/>
        </w:rPr>
      </w:pPr>
      <w:r>
        <w:rPr>
          <w:rFonts w:hint="eastAsia"/>
          <w:b/>
          <w:sz w:val="32"/>
          <w:szCs w:val="32"/>
        </w:rPr>
        <w:t xml:space="preserve">  </w:t>
      </w:r>
      <w:bookmarkStart w:id="69" w:name="_Toc13307_WPSOffice_Level1"/>
      <w:bookmarkStart w:id="70" w:name="_Toc14261_WPSOffice_Level1"/>
      <w:r>
        <w:rPr>
          <w:rFonts w:hint="eastAsia"/>
          <w:b/>
          <w:sz w:val="32"/>
          <w:szCs w:val="32"/>
        </w:rPr>
        <w:t>投标</w:t>
      </w:r>
      <w:r>
        <w:rPr>
          <w:rFonts w:hint="eastAsia"/>
          <w:b/>
          <w:bCs/>
          <w:sz w:val="32"/>
          <w:szCs w:val="32"/>
        </w:rPr>
        <w:t>人基本情况表</w:t>
      </w:r>
      <w:bookmarkEnd w:id="69"/>
      <w:bookmarkEnd w:id="70"/>
    </w:p>
    <w:tbl>
      <w:tblPr>
        <w:tblStyle w:val="21"/>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法人代表</w:t>
            </w:r>
          </w:p>
        </w:tc>
        <w:tc>
          <w:tcPr>
            <w:tcW w:w="2153"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pPr>
              <w:pStyle w:val="31"/>
              <w:spacing w:before="0" w:beforeAutospacing="0" w:after="0" w:afterAutospacing="0"/>
              <w:jc w:val="righ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bl>
    <w:p>
      <w:pPr>
        <w:pStyle w:val="31"/>
        <w:spacing w:before="0" w:beforeAutospacing="0" w:after="0" w:afterAutospacing="0"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pPr>
        <w:pStyle w:val="31"/>
        <w:spacing w:before="0" w:beforeAutospacing="0" w:after="0" w:afterAutospacing="0"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1"/>
        <w:spacing w:before="0" w:beforeAutospacing="0" w:after="0" w:afterAutospacing="0" w:line="360" w:lineRule="auto"/>
        <w:ind w:firstLine="424" w:firstLineChars="177"/>
        <w:rPr>
          <w:b/>
          <w:bCs/>
        </w:rPr>
      </w:pPr>
      <w:r>
        <w:rPr>
          <w:rFonts w:hint="eastAsia"/>
        </w:rPr>
        <w:t>日        期：：</w:t>
      </w:r>
    </w:p>
    <w:p>
      <w:pPr>
        <w:rPr>
          <w:rFonts w:ascii="宋体" w:hAnsi="宋体"/>
          <w:b/>
          <w:sz w:val="24"/>
        </w:rPr>
      </w:pPr>
      <w:r>
        <w:rPr>
          <w:rFonts w:ascii="宋体" w:hAnsi="宋体"/>
          <w:b/>
          <w:sz w:val="24"/>
        </w:rPr>
        <w:br w:type="page"/>
      </w:r>
    </w:p>
    <w:p>
      <w:pPr>
        <w:spacing w:line="360" w:lineRule="auto"/>
        <w:rPr>
          <w:rFonts w:ascii="宋体" w:hAnsi="宋体"/>
          <w:sz w:val="24"/>
        </w:rPr>
      </w:pPr>
      <w:r>
        <w:rPr>
          <w:rFonts w:hint="eastAsia" w:ascii="宋体" w:hAnsi="宋体"/>
          <w:b/>
          <w:sz w:val="28"/>
        </w:rPr>
        <w:t>附件5</w:t>
      </w:r>
    </w:p>
    <w:p>
      <w:pPr>
        <w:snapToGrid w:val="0"/>
        <w:spacing w:before="120" w:beforeLines="50" w:after="50" w:line="360" w:lineRule="auto"/>
        <w:jc w:val="center"/>
        <w:rPr>
          <w:rFonts w:ascii="宋体" w:hAnsi="宋体"/>
          <w:b/>
          <w:sz w:val="36"/>
          <w:szCs w:val="36"/>
        </w:rPr>
      </w:pPr>
      <w:bookmarkStart w:id="71" w:name="_Toc20569_WPSOffice_Level1"/>
      <w:bookmarkStart w:id="72" w:name="_Toc23671_WPSOffice_Level1"/>
      <w:r>
        <w:rPr>
          <w:rFonts w:hint="eastAsia" w:ascii="宋体" w:hAnsi="宋体"/>
          <w:b/>
          <w:sz w:val="32"/>
          <w:szCs w:val="32"/>
        </w:rPr>
        <w:t>项目实施人员一览表</w:t>
      </w:r>
      <w:bookmarkEnd w:id="71"/>
      <w:bookmarkEnd w:id="72"/>
    </w:p>
    <w:p>
      <w:pPr>
        <w:snapToGrid w:val="0"/>
        <w:spacing w:before="120" w:beforeLines="50" w:after="50" w:line="360" w:lineRule="auto"/>
        <w:jc w:val="center"/>
        <w:rPr>
          <w:rFonts w:ascii="宋体" w:hAnsi="宋体"/>
          <w:sz w:val="24"/>
        </w:rPr>
      </w:pPr>
      <w:r>
        <w:rPr>
          <w:rFonts w:hint="eastAsia" w:ascii="宋体" w:hAnsi="宋体"/>
          <w:sz w:val="24"/>
        </w:rPr>
        <w:t>（主要从业人员及其技术资格）</w:t>
      </w:r>
    </w:p>
    <w:tbl>
      <w:tblPr>
        <w:tblStyle w:val="21"/>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pacing w:line="360" w:lineRule="auto"/>
              <w:ind w:left="5250"/>
              <w:rPr>
                <w:rFonts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szCs w:val="21"/>
        </w:rPr>
        <w:t>1.在填写时，如本表格不适合投标单位的实际情况，可根据本表格式自行划表填写。</w:t>
      </w:r>
    </w:p>
    <w:p>
      <w:pPr>
        <w:pStyle w:val="32"/>
        <w:spacing w:line="360" w:lineRule="auto"/>
        <w:ind w:left="424" w:leftChars="202"/>
        <w:rPr>
          <w:rFonts w:ascii="宋体" w:hAnsi="宋体"/>
          <w:szCs w:val="21"/>
        </w:rPr>
      </w:pPr>
      <w:r>
        <w:rPr>
          <w:rFonts w:hint="eastAsia" w:ascii="宋体" w:hAnsi="宋体"/>
          <w:szCs w:val="21"/>
        </w:rPr>
        <w:t>2.附人员证书。</w:t>
      </w:r>
    </w:p>
    <w:p>
      <w:pPr>
        <w:pStyle w:val="32"/>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120" w:afterLines="50" w:line="360" w:lineRule="auto"/>
        <w:jc w:val="left"/>
        <w:rPr>
          <w:rFonts w:ascii="宋体" w:hAnsi="宋体"/>
          <w:sz w:val="24"/>
          <w:szCs w:val="20"/>
        </w:rPr>
      </w:pPr>
    </w:p>
    <w:p>
      <w:pPr>
        <w:snapToGrid w:val="0"/>
        <w:spacing w:before="50" w:after="12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宋体" w:hAnsi="宋体"/>
          <w:sz w:val="24"/>
        </w:rPr>
      </w:pPr>
      <w:r>
        <w:rPr>
          <w:rFonts w:hint="eastAsia" w:ascii="宋体" w:hAnsi="宋体"/>
          <w:sz w:val="24"/>
        </w:rPr>
        <w:br w:type="page"/>
      </w:r>
    </w:p>
    <w:p>
      <w:pPr>
        <w:spacing w:line="360" w:lineRule="auto"/>
        <w:rPr>
          <w:rFonts w:ascii="宋体" w:hAnsi="宋体"/>
        </w:rPr>
      </w:pPr>
      <w:r>
        <w:rPr>
          <w:rFonts w:hint="eastAsia" w:ascii="宋体" w:hAnsi="宋体"/>
          <w:b/>
          <w:sz w:val="28"/>
        </w:rPr>
        <w:t>附件6</w:t>
      </w:r>
    </w:p>
    <w:p>
      <w:pPr>
        <w:spacing w:before="120" w:beforeLines="50" w:after="120" w:afterLines="50" w:line="360" w:lineRule="auto"/>
        <w:ind w:right="-10"/>
        <w:jc w:val="center"/>
        <w:rPr>
          <w:rFonts w:ascii="宋体" w:hAnsi="宋体"/>
          <w:b/>
          <w:bCs/>
          <w:sz w:val="32"/>
          <w:szCs w:val="32"/>
        </w:rPr>
      </w:pPr>
      <w:bookmarkStart w:id="73" w:name="_Toc12710_WPSOffice_Level1"/>
      <w:bookmarkStart w:id="74" w:name="_Toc23055_WPSOffice_Level1"/>
      <w:r>
        <w:rPr>
          <w:rFonts w:hint="eastAsia" w:ascii="宋体" w:hAnsi="宋体"/>
          <w:b/>
          <w:bCs/>
          <w:sz w:val="32"/>
          <w:szCs w:val="32"/>
        </w:rPr>
        <w:t>项目负责人资格情况表</w:t>
      </w:r>
      <w:bookmarkEnd w:id="73"/>
      <w:bookmarkEnd w:id="74"/>
    </w:p>
    <w:tbl>
      <w:tblPr>
        <w:tblStyle w:val="21"/>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50" w:after="50" w:line="360" w:lineRule="auto"/>
        <w:rPr>
          <w:rFonts w:ascii="宋体" w:hAnsi="宋体"/>
          <w:b/>
          <w:sz w:val="28"/>
        </w:rPr>
      </w:pPr>
      <w:r>
        <w:rPr>
          <w:rFonts w:hint="eastAsia" w:ascii="宋体" w:hAnsi="宋体"/>
          <w:b/>
          <w:sz w:val="28"/>
        </w:rPr>
        <w:t>附件7</w:t>
      </w:r>
    </w:p>
    <w:p>
      <w:pPr>
        <w:spacing w:line="360" w:lineRule="auto"/>
        <w:ind w:left="-2"/>
        <w:jc w:val="center"/>
        <w:rPr>
          <w:rFonts w:ascii="宋体" w:hAnsi="宋体"/>
          <w:sz w:val="24"/>
        </w:rPr>
      </w:pPr>
      <w:bookmarkStart w:id="75" w:name="_Toc32718_WPSOffice_Level1"/>
      <w:bookmarkStart w:id="76" w:name="_Toc3591_WPSOffice_Level1"/>
      <w:r>
        <w:rPr>
          <w:rFonts w:hint="eastAsia" w:ascii="宋体" w:hAnsi="宋体"/>
          <w:b/>
          <w:sz w:val="32"/>
          <w:szCs w:val="32"/>
        </w:rPr>
        <w:t>供货</w:t>
      </w:r>
      <w:r>
        <w:rPr>
          <w:rFonts w:ascii="宋体" w:hAnsi="宋体"/>
          <w:b/>
          <w:sz w:val="32"/>
          <w:szCs w:val="32"/>
        </w:rPr>
        <w:t>清单</w:t>
      </w:r>
      <w:bookmarkEnd w:id="75"/>
      <w:bookmarkEnd w:id="76"/>
    </w:p>
    <w:tbl>
      <w:tblPr>
        <w:tblStyle w:val="21"/>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381"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134"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品牌</w:t>
            </w:r>
          </w:p>
        </w:tc>
        <w:tc>
          <w:tcPr>
            <w:tcW w:w="2195"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99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155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spacing w:line="360" w:lineRule="auto"/>
        <w:ind w:firstLine="422" w:firstLineChars="200"/>
        <w:rPr>
          <w:rFonts w:ascii="宋体" w:hAnsi="宋体"/>
          <w:b/>
          <w:szCs w:val="21"/>
        </w:rPr>
      </w:pPr>
      <w:r>
        <w:rPr>
          <w:rFonts w:hint="eastAsia" w:ascii="宋体" w:hAnsi="宋体"/>
          <w:b/>
          <w:szCs w:val="21"/>
        </w:rPr>
        <w:t>要求：</w:t>
      </w:r>
    </w:p>
    <w:p>
      <w:pPr>
        <w:numPr>
          <w:ilvl w:val="0"/>
          <w:numId w:val="15"/>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15"/>
        </w:numPr>
        <w:spacing w:line="360" w:lineRule="auto"/>
        <w:ind w:left="435" w:firstLine="556" w:firstLineChars="265"/>
        <w:rPr>
          <w:rFonts w:ascii="宋体" w:hAnsi="宋体"/>
          <w:szCs w:val="21"/>
        </w:rPr>
      </w:pPr>
      <w:r>
        <w:rPr>
          <w:rFonts w:hint="eastAsia" w:ascii="宋体" w:hAnsi="宋体"/>
          <w:szCs w:val="21"/>
        </w:rPr>
        <w:t>不含报价。</w:t>
      </w: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firstLine="571" w:firstLineChars="238"/>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993"/>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pPr>
        <w:rPr>
          <w:rFonts w:ascii="宋体" w:hAnsi="宋体"/>
          <w:b/>
          <w:sz w:val="28"/>
        </w:rPr>
      </w:pPr>
      <w:r>
        <w:rPr>
          <w:rFonts w:ascii="宋体" w:hAnsi="宋体"/>
          <w:b/>
          <w:sz w:val="28"/>
        </w:rPr>
        <w:br w:type="page"/>
      </w:r>
    </w:p>
    <w:p>
      <w:pPr>
        <w:snapToGrid w:val="0"/>
        <w:spacing w:before="50" w:after="50" w:line="360" w:lineRule="auto"/>
        <w:rPr>
          <w:rFonts w:ascii="宋体" w:hAnsi="宋体"/>
          <w:b/>
          <w:sz w:val="28"/>
        </w:rPr>
      </w:pPr>
      <w:r>
        <w:rPr>
          <w:rFonts w:hint="eastAsia" w:ascii="宋体" w:hAnsi="宋体"/>
          <w:b/>
          <w:sz w:val="28"/>
        </w:rPr>
        <w:t>附件8</w:t>
      </w:r>
    </w:p>
    <w:p>
      <w:pPr>
        <w:spacing w:line="360" w:lineRule="auto"/>
        <w:ind w:left="480"/>
        <w:jc w:val="center"/>
        <w:rPr>
          <w:rFonts w:ascii="宋体" w:hAnsi="宋体"/>
          <w:b/>
          <w:sz w:val="32"/>
          <w:szCs w:val="32"/>
        </w:rPr>
      </w:pPr>
      <w:bookmarkStart w:id="77" w:name="_Toc12856_WPSOffice_Level1"/>
      <w:bookmarkStart w:id="78" w:name="_Toc26601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77"/>
      <w:bookmarkEnd w:id="78"/>
    </w:p>
    <w:tbl>
      <w:tblPr>
        <w:tblStyle w:val="21"/>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64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44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0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pStyle w:val="33"/>
        <w:tabs>
          <w:tab w:val="left" w:pos="360"/>
        </w:tabs>
        <w:spacing w:line="360" w:lineRule="auto"/>
        <w:jc w:val="both"/>
        <w:rPr>
          <w:rFonts w:ascii="宋体"/>
          <w:b/>
          <w:szCs w:val="21"/>
        </w:rPr>
      </w:pPr>
      <w:r>
        <w:rPr>
          <w:rFonts w:hint="eastAsia" w:ascii="宋体"/>
          <w:b/>
          <w:szCs w:val="21"/>
        </w:rPr>
        <w:t>要求：</w:t>
      </w:r>
    </w:p>
    <w:p>
      <w:pPr>
        <w:pStyle w:val="33"/>
        <w:tabs>
          <w:tab w:val="left" w:pos="360"/>
        </w:tabs>
        <w:spacing w:line="360" w:lineRule="auto"/>
        <w:ind w:firstLine="420" w:firstLineChars="200"/>
        <w:jc w:val="both"/>
        <w:rPr>
          <w:rFonts w:ascii="宋体"/>
          <w:szCs w:val="21"/>
        </w:rPr>
      </w:pPr>
      <w:r>
        <w:rPr>
          <w:rFonts w:hint="eastAsia" w:ascii="宋体"/>
          <w:szCs w:val="21"/>
        </w:rPr>
        <w:t>1.本表的名称须与《报价明细表》一致。</w:t>
      </w:r>
    </w:p>
    <w:p>
      <w:pPr>
        <w:pStyle w:val="33"/>
        <w:spacing w:line="360" w:lineRule="auto"/>
        <w:ind w:firstLine="420" w:firstLineChars="200"/>
        <w:jc w:val="both"/>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3"/>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0"/>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pStyle w:val="34"/>
        <w:spacing w:line="360" w:lineRule="auto"/>
        <w:jc w:val="left"/>
        <w:rPr>
          <w:rFonts w:ascii="宋体" w:hAnsi="宋体"/>
          <w:b/>
          <w:sz w:val="28"/>
        </w:rPr>
      </w:pPr>
      <w:r>
        <w:rPr>
          <w:rFonts w:hint="eastAsia" w:ascii="宋体" w:hAnsi="宋体"/>
          <w:b/>
          <w:sz w:val="28"/>
        </w:rPr>
        <w:t>附件9</w:t>
      </w:r>
    </w:p>
    <w:p>
      <w:pPr>
        <w:pStyle w:val="35"/>
        <w:spacing w:line="360" w:lineRule="auto"/>
        <w:jc w:val="center"/>
        <w:rPr>
          <w:rFonts w:ascii="宋体" w:hAnsi="宋体"/>
          <w:b/>
          <w:sz w:val="32"/>
          <w:szCs w:val="32"/>
        </w:rPr>
      </w:pPr>
      <w:bookmarkStart w:id="79" w:name="_Toc17604_WPSOffice_Level1"/>
      <w:bookmarkStart w:id="80" w:name="_Toc11030_WPSOffice_Level1"/>
      <w:r>
        <w:rPr>
          <w:rFonts w:hint="eastAsia" w:ascii="宋体" w:hAnsi="宋体"/>
          <w:b/>
          <w:sz w:val="32"/>
          <w:szCs w:val="32"/>
        </w:rPr>
        <w:t>证书一览表</w:t>
      </w:r>
      <w:bookmarkEnd w:id="79"/>
      <w:bookmarkEnd w:id="80"/>
    </w:p>
    <w:tbl>
      <w:tblPr>
        <w:tblStyle w:val="21"/>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35"/>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35"/>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35"/>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35"/>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Borders>
              <w:top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Borders>
              <w:top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Borders>
              <w:bottom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Borders>
              <w:bottom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bl>
    <w:p>
      <w:pPr>
        <w:pStyle w:val="35"/>
        <w:tabs>
          <w:tab w:val="left" w:pos="1050"/>
        </w:tabs>
        <w:spacing w:line="360" w:lineRule="auto"/>
        <w:rPr>
          <w:rFonts w:ascii="宋体" w:hAnsi="宋体"/>
          <w:szCs w:val="21"/>
        </w:rPr>
      </w:pPr>
      <w:r>
        <w:rPr>
          <w:rFonts w:hint="eastAsia" w:ascii="宋体" w:hAnsi="宋体"/>
          <w:b/>
          <w:szCs w:val="21"/>
        </w:rPr>
        <w:t>要求：</w:t>
      </w:r>
    </w:p>
    <w:p>
      <w:pPr>
        <w:pStyle w:val="35"/>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pPr>
        <w:pStyle w:val="35"/>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pPr>
        <w:pStyle w:val="35"/>
        <w:tabs>
          <w:tab w:val="left" w:pos="1050"/>
        </w:tabs>
        <w:spacing w:line="360" w:lineRule="auto"/>
        <w:rPr>
          <w:rFonts w:ascii="仿宋_GB2312" w:hAnsi="宋体" w:eastAsia="仿宋_GB2312"/>
          <w:sz w:val="24"/>
        </w:rPr>
      </w:pPr>
    </w:p>
    <w:p>
      <w:pPr>
        <w:pStyle w:val="35"/>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1"/>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附件10</w:t>
      </w:r>
    </w:p>
    <w:p>
      <w:pPr>
        <w:pStyle w:val="34"/>
        <w:spacing w:line="360" w:lineRule="auto"/>
        <w:jc w:val="center"/>
        <w:rPr>
          <w:rFonts w:ascii="仿宋_GB2312" w:eastAsia="仿宋_GB2312"/>
          <w:b/>
          <w:sz w:val="28"/>
          <w:szCs w:val="28"/>
        </w:rPr>
      </w:pPr>
      <w:bookmarkStart w:id="81" w:name="_Toc7134_WPSOffice_Level1"/>
      <w:bookmarkStart w:id="82" w:name="_Toc19231_WPSOffice_Level1"/>
      <w:r>
        <w:rPr>
          <w:rFonts w:hint="eastAsia" w:ascii="宋体" w:hAnsi="宋体"/>
          <w:b/>
          <w:sz w:val="32"/>
          <w:szCs w:val="32"/>
        </w:rPr>
        <w:t>投标人类似项目实施情况一览表</w:t>
      </w:r>
      <w:bookmarkEnd w:id="81"/>
      <w:bookmarkEnd w:id="82"/>
    </w:p>
    <w:tbl>
      <w:tblPr>
        <w:tblStyle w:val="21"/>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bl>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仿宋" w:hAnsi="仿宋" w:eastAsia="仿宋"/>
          <w:snapToGrid w:val="0"/>
          <w:kern w:val="0"/>
          <w:sz w:val="24"/>
        </w:rPr>
      </w:pPr>
      <w:r>
        <w:rPr>
          <w:rFonts w:ascii="仿宋" w:hAnsi="仿宋" w:eastAsia="仿宋"/>
          <w:snapToGrid w:val="0"/>
          <w:kern w:val="0"/>
          <w:sz w:val="24"/>
        </w:rPr>
        <w:br w:type="page"/>
      </w:r>
    </w:p>
    <w:p>
      <w:pPr>
        <w:pStyle w:val="35"/>
        <w:tabs>
          <w:tab w:val="left" w:pos="1050"/>
        </w:tabs>
        <w:spacing w:line="360" w:lineRule="auto"/>
        <w:rPr>
          <w:rFonts w:ascii="仿宋_GB2312" w:hAnsi="宋体"/>
          <w:sz w:val="24"/>
        </w:rPr>
      </w:pPr>
      <w:r>
        <w:rPr>
          <w:rFonts w:hint="eastAsia" w:ascii="宋体" w:hAnsi="宋体"/>
          <w:b/>
          <w:sz w:val="28"/>
        </w:rPr>
        <w:t>附件11</w:t>
      </w:r>
    </w:p>
    <w:p>
      <w:pPr>
        <w:spacing w:line="360" w:lineRule="auto"/>
        <w:ind w:hanging="9"/>
        <w:jc w:val="center"/>
        <w:rPr>
          <w:rFonts w:ascii="宋体" w:hAnsi="宋体"/>
          <w:b/>
          <w:sz w:val="18"/>
          <w:szCs w:val="18"/>
        </w:rPr>
      </w:pPr>
      <w:bookmarkStart w:id="83" w:name="_Toc3068_WPSOffice_Level1"/>
      <w:bookmarkStart w:id="84" w:name="_Toc21582_WPSOffice_Level1"/>
      <w:r>
        <w:rPr>
          <w:rFonts w:hint="eastAsia" w:ascii="宋体" w:hAnsi="宋体"/>
          <w:b/>
          <w:sz w:val="32"/>
          <w:szCs w:val="32"/>
        </w:rPr>
        <w:t>商务需求响应表</w:t>
      </w:r>
      <w:bookmarkEnd w:id="83"/>
      <w:bookmarkEnd w:id="84"/>
    </w:p>
    <w:tbl>
      <w:tblPr>
        <w:tblStyle w:val="21"/>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售后服务保障要求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备品备件及耗材等要求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质保期</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交货和服务</w:t>
            </w:r>
          </w:p>
          <w:p>
            <w:pPr>
              <w:snapToGrid w:val="0"/>
              <w:rPr>
                <w:rFonts w:ascii="宋体" w:hAnsi="宋体" w:cs="Arial"/>
                <w:bCs/>
                <w:szCs w:val="21"/>
              </w:rPr>
            </w:pPr>
            <w:r>
              <w:rPr>
                <w:rFonts w:hint="eastAsia" w:ascii="宋体" w:hAnsi="宋体" w:cs="Arial"/>
                <w:bCs/>
                <w:szCs w:val="21"/>
              </w:rPr>
              <w:t>时间及地点</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付款条件</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rPr>
          <w:rFonts w:ascii="宋体" w:hAnsi="宋体"/>
          <w:b/>
          <w:sz w:val="28"/>
        </w:rPr>
      </w:pPr>
      <w:r>
        <w:rPr>
          <w:rFonts w:ascii="宋体" w:hAnsi="宋体"/>
          <w:b/>
          <w:sz w:val="28"/>
        </w:rPr>
        <w:br w:type="page"/>
      </w:r>
    </w:p>
    <w:p>
      <w:pPr>
        <w:tabs>
          <w:tab w:val="left" w:pos="2460"/>
        </w:tabs>
        <w:spacing w:line="360" w:lineRule="auto"/>
        <w:rPr>
          <w:rFonts w:ascii="宋体" w:hAnsi="宋体"/>
          <w:b/>
          <w:sz w:val="28"/>
        </w:rPr>
      </w:pPr>
      <w:r>
        <w:rPr>
          <w:rFonts w:hint="eastAsia" w:ascii="宋体" w:hAnsi="宋体"/>
          <w:b/>
          <w:sz w:val="28"/>
        </w:rPr>
        <w:t>附件12</w:t>
      </w:r>
      <w:r>
        <w:rPr>
          <w:rFonts w:ascii="宋体" w:hAnsi="宋体"/>
          <w:b/>
          <w:sz w:val="28"/>
        </w:rPr>
        <w:tab/>
      </w:r>
    </w:p>
    <w:p>
      <w:pPr>
        <w:spacing w:line="360" w:lineRule="auto"/>
        <w:jc w:val="center"/>
        <w:rPr>
          <w:rFonts w:ascii="宋体" w:hAnsi="宋体"/>
          <w:b/>
          <w:sz w:val="24"/>
        </w:rPr>
      </w:pPr>
      <w:bookmarkStart w:id="85" w:name="_Toc29652_WPSOffice_Level1"/>
      <w:bookmarkStart w:id="86" w:name="_Toc3463_WPSOffice_Level1"/>
      <w:r>
        <w:rPr>
          <w:rFonts w:hint="eastAsia" w:ascii="宋体" w:hAnsi="宋体"/>
          <w:b/>
          <w:sz w:val="32"/>
          <w:szCs w:val="32"/>
        </w:rPr>
        <w:t>售后服务情况表</w:t>
      </w:r>
      <w:bookmarkEnd w:id="85"/>
      <w:bookmarkEnd w:id="86"/>
    </w:p>
    <w:tbl>
      <w:tblPr>
        <w:tblStyle w:val="21"/>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6"/>
              <w:spacing w:line="360" w:lineRule="auto"/>
              <w:jc w:val="center"/>
              <w:rPr>
                <w:rFonts w:ascii="宋体" w:hAnsi="宋体" w:cs="Arial"/>
                <w:b/>
                <w:szCs w:val="21"/>
              </w:rPr>
            </w:pPr>
            <w:r>
              <w:rPr>
                <w:rFonts w:hint="eastAsia" w:ascii="宋体" w:hAnsi="宋体" w:cs="Arial"/>
                <w:b/>
                <w:szCs w:val="21"/>
              </w:rPr>
              <w:t>序号</w:t>
            </w:r>
          </w:p>
        </w:tc>
        <w:tc>
          <w:tcPr>
            <w:tcW w:w="2879" w:type="dxa"/>
            <w:tcMar>
              <w:top w:w="57" w:type="dxa"/>
              <w:left w:w="108" w:type="dxa"/>
              <w:bottom w:w="0" w:type="dxa"/>
              <w:right w:w="108" w:type="dxa"/>
            </w:tcMar>
            <w:vAlign w:val="center"/>
          </w:tcPr>
          <w:p>
            <w:pPr>
              <w:pStyle w:val="36"/>
              <w:spacing w:line="360" w:lineRule="auto"/>
              <w:jc w:val="center"/>
              <w:rPr>
                <w:rFonts w:ascii="宋体" w:hAnsi="宋体" w:cs="Arial"/>
                <w:b/>
                <w:szCs w:val="21"/>
              </w:rPr>
            </w:pPr>
            <w:r>
              <w:rPr>
                <w:rFonts w:hint="eastAsia" w:ascii="宋体" w:hAnsi="宋体" w:cs="Arial"/>
                <w:b/>
                <w:szCs w:val="21"/>
              </w:rPr>
              <w:t>项目</w:t>
            </w:r>
          </w:p>
        </w:tc>
        <w:tc>
          <w:tcPr>
            <w:tcW w:w="4061" w:type="dxa"/>
            <w:tcMar>
              <w:top w:w="57" w:type="dxa"/>
              <w:left w:w="108" w:type="dxa"/>
              <w:bottom w:w="0" w:type="dxa"/>
              <w:right w:w="108" w:type="dxa"/>
            </w:tcMar>
            <w:vAlign w:val="center"/>
          </w:tcPr>
          <w:p>
            <w:pPr>
              <w:pStyle w:val="36"/>
              <w:spacing w:line="360" w:lineRule="auto"/>
              <w:jc w:val="center"/>
              <w:rPr>
                <w:rFonts w:ascii="宋体" w:hAnsi="宋体" w:cs="Arial"/>
                <w:b/>
                <w:szCs w:val="21"/>
              </w:rPr>
            </w:pPr>
            <w:r>
              <w:rPr>
                <w:rFonts w:hint="eastAsia" w:ascii="宋体" w:hAnsi="宋体" w:cs="Arial"/>
                <w:b/>
                <w:szCs w:val="21"/>
              </w:rPr>
              <w:t>投标人情况</w:t>
            </w:r>
          </w:p>
        </w:tc>
        <w:tc>
          <w:tcPr>
            <w:tcW w:w="1301" w:type="dxa"/>
            <w:tcMar>
              <w:top w:w="57" w:type="dxa"/>
              <w:left w:w="108" w:type="dxa"/>
              <w:bottom w:w="0" w:type="dxa"/>
              <w:right w:w="108" w:type="dxa"/>
            </w:tcMar>
            <w:vAlign w:val="center"/>
          </w:tcPr>
          <w:p>
            <w:pPr>
              <w:pStyle w:val="36"/>
              <w:spacing w:line="360" w:lineRule="auto"/>
              <w:jc w:val="center"/>
              <w:rPr>
                <w:rFonts w:ascii="宋体" w:hAns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6"/>
              <w:spacing w:line="360" w:lineRule="auto"/>
              <w:jc w:val="center"/>
              <w:rPr>
                <w:rFonts w:ascii="宋体" w:hAnsi="宋体" w:cs="Arial"/>
                <w:bCs/>
                <w:szCs w:val="21"/>
              </w:rPr>
            </w:pPr>
            <w:r>
              <w:rPr>
                <w:rFonts w:hint="eastAsia" w:ascii="宋体" w:hAnsi="宋体" w:cs="Arial"/>
                <w:bCs/>
                <w:szCs w:val="21"/>
              </w:rPr>
              <w:t>1</w:t>
            </w:r>
          </w:p>
        </w:tc>
        <w:tc>
          <w:tcPr>
            <w:tcW w:w="2879" w:type="dxa"/>
            <w:vMerge w:val="restart"/>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r>
              <w:rPr>
                <w:rFonts w:hint="eastAsia" w:ascii="宋体" w:hAnsi="宋体" w:cs="Arial"/>
                <w:bCs/>
                <w:szCs w:val="21"/>
              </w:rPr>
              <w:t>保修期内售后服务情况(</w:t>
            </w:r>
            <w:r>
              <w:rPr>
                <w:rFonts w:ascii="宋体" w:hAnsi="宋体" w:cs="Arial"/>
                <w:bCs/>
                <w:szCs w:val="21"/>
              </w:rPr>
              <w:t>服务</w:t>
            </w:r>
            <w:r>
              <w:rPr>
                <w:rFonts w:hint="eastAsia" w:ascii="宋体" w:hAnsi="宋体" w:cs="Arial"/>
                <w:bCs/>
                <w:szCs w:val="21"/>
              </w:rPr>
              <w:t>方式、服务网点</w:t>
            </w:r>
            <w:r>
              <w:rPr>
                <w:rFonts w:ascii="宋体" w:hAnsi="宋体" w:cs="Arial"/>
                <w:bCs/>
                <w:szCs w:val="21"/>
              </w:rPr>
              <w:t>、售后服务的内容和措施</w:t>
            </w:r>
            <w:r>
              <w:rPr>
                <w:rFonts w:hint="eastAsia" w:ascii="宋体" w:hAnsi="宋体" w:cs="Arial"/>
                <w:bCs/>
                <w:szCs w:val="21"/>
              </w:rPr>
              <w:t>等等，可用附页和宣传材料)</w:t>
            </w:r>
          </w:p>
        </w:tc>
        <w:tc>
          <w:tcPr>
            <w:tcW w:w="4061" w:type="dxa"/>
            <w:tcMar>
              <w:top w:w="57" w:type="dxa"/>
              <w:left w:w="108" w:type="dxa"/>
              <w:bottom w:w="0" w:type="dxa"/>
              <w:right w:w="108" w:type="dxa"/>
            </w:tcMar>
          </w:tcPr>
          <w:p>
            <w:pPr>
              <w:pStyle w:val="36"/>
              <w:spacing w:line="360" w:lineRule="auto"/>
              <w:rPr>
                <w:rFonts w:ascii="宋体" w:hAnsi="宋体" w:cs="Arial"/>
                <w:bCs/>
                <w:szCs w:val="21"/>
              </w:rPr>
            </w:pPr>
            <w:r>
              <w:rPr>
                <w:rFonts w:hint="eastAsia" w:ascii="宋体" w:hAnsi="宋体" w:cs="Arial"/>
                <w:bCs/>
                <w:szCs w:val="21"/>
              </w:rPr>
              <w:t>生产厂商售后服务情况：</w:t>
            </w:r>
          </w:p>
        </w:tc>
        <w:tc>
          <w:tcPr>
            <w:tcW w:w="1301" w:type="dxa"/>
            <w:tcMar>
              <w:top w:w="57" w:type="dxa"/>
              <w:left w:w="108" w:type="dxa"/>
              <w:bottom w:w="0" w:type="dxa"/>
              <w:right w:w="108" w:type="dxa"/>
            </w:tcMar>
          </w:tcPr>
          <w:p>
            <w:pPr>
              <w:pStyle w:val="36"/>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p>
        </w:tc>
        <w:tc>
          <w:tcPr>
            <w:tcW w:w="2879" w:type="dxa"/>
            <w:vMerge w:val="continue"/>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p>
        </w:tc>
        <w:tc>
          <w:tcPr>
            <w:tcW w:w="4061" w:type="dxa"/>
            <w:tcMar>
              <w:top w:w="57" w:type="dxa"/>
              <w:left w:w="108" w:type="dxa"/>
              <w:bottom w:w="0" w:type="dxa"/>
              <w:right w:w="108" w:type="dxa"/>
            </w:tcMar>
          </w:tcPr>
          <w:p>
            <w:pPr>
              <w:pStyle w:val="36"/>
              <w:spacing w:line="360" w:lineRule="auto"/>
              <w:rPr>
                <w:rFonts w:ascii="宋体" w:hAnsi="宋体" w:cs="Arial"/>
                <w:bCs/>
                <w:szCs w:val="21"/>
              </w:rPr>
            </w:pPr>
            <w:r>
              <w:rPr>
                <w:rFonts w:hint="eastAsia" w:ascii="宋体" w:hAnsi="宋体" w:cs="Arial"/>
                <w:bCs/>
                <w:szCs w:val="21"/>
              </w:rPr>
              <w:t>投标人售后服务情况：</w:t>
            </w:r>
          </w:p>
        </w:tc>
        <w:tc>
          <w:tcPr>
            <w:tcW w:w="1301" w:type="dxa"/>
            <w:tcMar>
              <w:top w:w="57" w:type="dxa"/>
              <w:left w:w="108" w:type="dxa"/>
              <w:bottom w:w="0" w:type="dxa"/>
              <w:right w:w="108" w:type="dxa"/>
            </w:tcMar>
          </w:tcPr>
          <w:p>
            <w:pPr>
              <w:pStyle w:val="36"/>
              <w:spacing w:line="360" w:lineRule="auto"/>
              <w:jc w:val="left"/>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pPr>
              <w:pStyle w:val="36"/>
              <w:spacing w:line="360" w:lineRule="auto"/>
              <w:jc w:val="center"/>
              <w:rPr>
                <w:rFonts w:ascii="宋体" w:hAnsi="宋体" w:cs="Arial"/>
                <w:bCs/>
                <w:szCs w:val="21"/>
              </w:rPr>
            </w:pPr>
            <w:r>
              <w:rPr>
                <w:rFonts w:hint="eastAsia" w:ascii="宋体" w:hAnsi="宋体" w:cs="Arial"/>
                <w:bCs/>
                <w:szCs w:val="21"/>
              </w:rPr>
              <w:t>2</w:t>
            </w:r>
          </w:p>
        </w:tc>
        <w:tc>
          <w:tcPr>
            <w:tcW w:w="2879" w:type="dxa"/>
            <w:tcMar>
              <w:top w:w="57" w:type="dxa"/>
              <w:left w:w="108" w:type="dxa"/>
              <w:bottom w:w="0" w:type="dxa"/>
              <w:right w:w="108" w:type="dxa"/>
            </w:tcMar>
            <w:vAlign w:val="center"/>
          </w:tcPr>
          <w:p>
            <w:pPr>
              <w:pStyle w:val="36"/>
              <w:spacing w:line="360" w:lineRule="auto"/>
              <w:rPr>
                <w:rFonts w:ascii="宋体" w:hAnsi="宋体" w:cs="Arial"/>
                <w:bCs/>
                <w:szCs w:val="21"/>
              </w:rPr>
            </w:pPr>
            <w:r>
              <w:rPr>
                <w:rFonts w:hint="eastAsia" w:ascii="宋体" w:hAnsi="宋体" w:cs="Arial"/>
                <w:bCs/>
                <w:szCs w:val="21"/>
              </w:rPr>
              <w:t>保修期后售后服务</w:t>
            </w:r>
          </w:p>
        </w:tc>
        <w:tc>
          <w:tcPr>
            <w:tcW w:w="4061" w:type="dxa"/>
            <w:tcMar>
              <w:top w:w="57" w:type="dxa"/>
              <w:left w:w="108" w:type="dxa"/>
              <w:bottom w:w="0" w:type="dxa"/>
              <w:right w:w="108" w:type="dxa"/>
            </w:tcMar>
          </w:tcPr>
          <w:p>
            <w:pPr>
              <w:pStyle w:val="36"/>
              <w:widowControl/>
              <w:spacing w:line="360" w:lineRule="auto"/>
              <w:jc w:val="left"/>
              <w:rPr>
                <w:rFonts w:ascii="宋体" w:hAnsi="宋体" w:cs="Arial"/>
                <w:bCs/>
                <w:szCs w:val="21"/>
              </w:rPr>
            </w:pPr>
          </w:p>
          <w:p>
            <w:pPr>
              <w:pStyle w:val="36"/>
              <w:widowControl/>
              <w:spacing w:line="360" w:lineRule="auto"/>
              <w:jc w:val="left"/>
              <w:rPr>
                <w:rFonts w:ascii="宋体" w:hAnsi="宋体" w:cs="Arial"/>
                <w:bCs/>
                <w:szCs w:val="21"/>
              </w:rPr>
            </w:pPr>
          </w:p>
          <w:p>
            <w:pPr>
              <w:pStyle w:val="36"/>
              <w:spacing w:line="360" w:lineRule="auto"/>
              <w:rPr>
                <w:rFonts w:ascii="宋体" w:hAnsi="宋体" w:cs="Arial"/>
                <w:bCs/>
                <w:szCs w:val="21"/>
              </w:rPr>
            </w:pPr>
          </w:p>
        </w:tc>
        <w:tc>
          <w:tcPr>
            <w:tcW w:w="1301" w:type="dxa"/>
            <w:tcMar>
              <w:top w:w="57" w:type="dxa"/>
              <w:left w:w="108" w:type="dxa"/>
              <w:bottom w:w="0" w:type="dxa"/>
              <w:right w:w="108" w:type="dxa"/>
            </w:tcMar>
          </w:tcPr>
          <w:p>
            <w:pPr>
              <w:pStyle w:val="36"/>
              <w:widowControl/>
              <w:spacing w:line="360" w:lineRule="auto"/>
              <w:jc w:val="left"/>
              <w:rPr>
                <w:rFonts w:ascii="宋体" w:hAnsi="宋体" w:cs="Arial"/>
                <w:bCs/>
                <w:szCs w:val="21"/>
              </w:rPr>
            </w:pPr>
          </w:p>
          <w:p>
            <w:pPr>
              <w:pStyle w:val="36"/>
              <w:widowControl/>
              <w:spacing w:line="360" w:lineRule="auto"/>
              <w:jc w:val="left"/>
              <w:rPr>
                <w:rFonts w:ascii="宋体" w:hAnsi="宋体" w:cs="Arial"/>
                <w:bCs/>
                <w:szCs w:val="21"/>
              </w:rPr>
            </w:pPr>
          </w:p>
          <w:p>
            <w:pPr>
              <w:pStyle w:val="36"/>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r>
              <w:rPr>
                <w:rFonts w:hint="eastAsia" w:ascii="宋体" w:hAnsi="宋体" w:cs="Arial"/>
                <w:bCs/>
                <w:szCs w:val="21"/>
              </w:rPr>
              <w:t xml:space="preserve"> 3</w:t>
            </w:r>
          </w:p>
        </w:tc>
        <w:tc>
          <w:tcPr>
            <w:tcW w:w="2879" w:type="dxa"/>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4061" w:type="dxa"/>
            <w:tcMar>
              <w:top w:w="57" w:type="dxa"/>
              <w:left w:w="108" w:type="dxa"/>
              <w:bottom w:w="0" w:type="dxa"/>
              <w:right w:w="108" w:type="dxa"/>
            </w:tcMar>
          </w:tcPr>
          <w:p>
            <w:pPr>
              <w:pStyle w:val="36"/>
              <w:widowControl/>
              <w:spacing w:line="360" w:lineRule="auto"/>
              <w:jc w:val="left"/>
              <w:rPr>
                <w:rFonts w:ascii="宋体" w:hAnsi="宋体" w:cs="Arial"/>
                <w:bCs/>
                <w:i/>
                <w:szCs w:val="21"/>
              </w:rPr>
            </w:pPr>
          </w:p>
          <w:p>
            <w:pPr>
              <w:pStyle w:val="36"/>
              <w:widowControl/>
              <w:spacing w:line="360" w:lineRule="auto"/>
              <w:jc w:val="left"/>
              <w:rPr>
                <w:rFonts w:ascii="宋体" w:hAnsi="宋体" w:cs="Arial"/>
                <w:bCs/>
                <w:i/>
                <w:szCs w:val="21"/>
              </w:rPr>
            </w:pPr>
          </w:p>
        </w:tc>
        <w:tc>
          <w:tcPr>
            <w:tcW w:w="1301" w:type="dxa"/>
            <w:tcMar>
              <w:top w:w="57" w:type="dxa"/>
              <w:left w:w="108" w:type="dxa"/>
              <w:bottom w:w="0" w:type="dxa"/>
              <w:right w:w="108" w:type="dxa"/>
            </w:tcMar>
          </w:tcPr>
          <w:p>
            <w:pPr>
              <w:pStyle w:val="36"/>
              <w:widowControl/>
              <w:spacing w:line="360" w:lineRule="auto"/>
              <w:jc w:val="left"/>
              <w:rPr>
                <w:rFonts w:ascii="宋体" w:hAnsi="宋体" w:cs="Arial"/>
                <w:bCs/>
                <w:i/>
                <w:szCs w:val="21"/>
              </w:rPr>
            </w:pPr>
          </w:p>
          <w:p>
            <w:pPr>
              <w:pStyle w:val="36"/>
              <w:widowControl/>
              <w:spacing w:line="360" w:lineRule="auto"/>
              <w:jc w:val="left"/>
              <w:rPr>
                <w:rFonts w:ascii="宋体" w:hAnsi="宋体" w:cs="Arial"/>
                <w:bCs/>
                <w:i/>
                <w:szCs w:val="21"/>
              </w:rPr>
            </w:pPr>
          </w:p>
          <w:p>
            <w:pPr>
              <w:pStyle w:val="36"/>
              <w:widowControl/>
              <w:spacing w:line="360" w:lineRule="auto"/>
              <w:jc w:val="left"/>
              <w:rPr>
                <w:rFonts w:ascii="宋体" w:hAnsi="宋体" w:cs="Arial"/>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r>
              <w:rPr>
                <w:rFonts w:ascii="宋体" w:hAnsi="宋体" w:cs="Arial"/>
                <w:bCs/>
                <w:szCs w:val="21"/>
              </w:rPr>
              <w:t>……</w:t>
            </w:r>
          </w:p>
        </w:tc>
        <w:tc>
          <w:tcPr>
            <w:tcW w:w="2879" w:type="dxa"/>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r>
              <w:rPr>
                <w:rFonts w:ascii="宋体" w:hAnsi="宋体" w:cs="Arial"/>
                <w:bCs/>
                <w:szCs w:val="21"/>
              </w:rPr>
              <w:t>……</w:t>
            </w:r>
          </w:p>
        </w:tc>
        <w:tc>
          <w:tcPr>
            <w:tcW w:w="4061" w:type="dxa"/>
            <w:tcMar>
              <w:top w:w="57" w:type="dxa"/>
              <w:left w:w="108" w:type="dxa"/>
              <w:bottom w:w="0" w:type="dxa"/>
              <w:right w:w="108" w:type="dxa"/>
            </w:tcMar>
          </w:tcPr>
          <w:p>
            <w:pPr>
              <w:pStyle w:val="36"/>
              <w:widowControl/>
              <w:spacing w:line="360" w:lineRule="auto"/>
              <w:jc w:val="left"/>
              <w:rPr>
                <w:rFonts w:ascii="宋体" w:hAnsi="宋体" w:cs="Arial"/>
                <w:bCs/>
                <w:szCs w:val="21"/>
              </w:rPr>
            </w:pPr>
          </w:p>
        </w:tc>
        <w:tc>
          <w:tcPr>
            <w:tcW w:w="1301" w:type="dxa"/>
            <w:tcMar>
              <w:top w:w="57" w:type="dxa"/>
              <w:left w:w="108" w:type="dxa"/>
              <w:bottom w:w="0" w:type="dxa"/>
              <w:right w:w="108" w:type="dxa"/>
            </w:tcMar>
          </w:tcPr>
          <w:p>
            <w:pPr>
              <w:pStyle w:val="36"/>
              <w:widowControl/>
              <w:spacing w:line="360" w:lineRule="auto"/>
              <w:jc w:val="left"/>
              <w:rPr>
                <w:rFonts w:ascii="宋体" w:hAnsi="宋体" w:cs="Arial"/>
                <w:bCs/>
                <w:szCs w:val="21"/>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6"/>
        <w:rPr>
          <w:rFonts w:ascii="宋体" w:hAnsi="宋体"/>
          <w:sz w:val="24"/>
          <w:u w:val="single"/>
        </w:rPr>
      </w:pPr>
    </w:p>
    <w:p>
      <w:pPr>
        <w:pStyle w:val="6"/>
        <w:rPr>
          <w:rFonts w:ascii="宋体" w:hAnsi="宋体"/>
          <w:sz w:val="24"/>
          <w:u w:val="single"/>
        </w:rPr>
      </w:pPr>
    </w:p>
    <w:p>
      <w:pPr>
        <w:pStyle w:val="6"/>
        <w:rPr>
          <w:rFonts w:ascii="宋体" w:hAnsi="宋体"/>
          <w:sz w:val="24"/>
          <w:u w:val="single"/>
        </w:rPr>
      </w:pPr>
    </w:p>
    <w:p>
      <w:pPr>
        <w:pStyle w:val="6"/>
        <w:ind w:firstLine="0"/>
        <w:rPr>
          <w:rFonts w:ascii="宋体" w:hAnsi="宋体"/>
          <w:sz w:val="24"/>
          <w:u w:val="single"/>
        </w:rPr>
      </w:pPr>
    </w:p>
    <w:p>
      <w:pPr>
        <w:pStyle w:val="6"/>
        <w:ind w:firstLine="0"/>
        <w:rPr>
          <w:rFonts w:ascii="宋体" w:hAnsi="宋体"/>
          <w:sz w:val="24"/>
          <w:u w:val="single"/>
        </w:rPr>
      </w:pPr>
    </w:p>
    <w:p>
      <w:pPr>
        <w:pStyle w:val="6"/>
        <w:ind w:firstLine="0"/>
        <w:rPr>
          <w:rFonts w:ascii="宋体" w:hAnsi="宋体"/>
          <w:sz w:val="24"/>
          <w:u w:val="single"/>
        </w:rPr>
      </w:pPr>
    </w:p>
    <w:p>
      <w:pPr>
        <w:pStyle w:val="37"/>
        <w:spacing w:line="360" w:lineRule="auto"/>
        <w:rPr>
          <w:rFonts w:hAnsi="宋体"/>
          <w:b/>
          <w:sz w:val="28"/>
          <w:szCs w:val="28"/>
        </w:rPr>
      </w:pPr>
      <w:r>
        <w:rPr>
          <w:rFonts w:hint="eastAsia" w:hAnsi="宋体"/>
          <w:b/>
          <w:sz w:val="28"/>
          <w:szCs w:val="28"/>
        </w:rPr>
        <w:t>附件13</w:t>
      </w:r>
    </w:p>
    <w:p>
      <w:pPr>
        <w:pStyle w:val="37"/>
        <w:spacing w:line="360" w:lineRule="auto"/>
        <w:jc w:val="center"/>
        <w:rPr>
          <w:rFonts w:hAnsi="宋体"/>
          <w:b/>
          <w:sz w:val="32"/>
          <w:szCs w:val="32"/>
          <w:lang w:val="en-GB"/>
        </w:rPr>
      </w:pPr>
      <w:bookmarkStart w:id="87" w:name="_Toc15536_WPSOffice_Level1"/>
      <w:bookmarkStart w:id="88" w:name="_Toc16175_WPSOffice_Level1"/>
      <w:r>
        <w:rPr>
          <w:rFonts w:hint="eastAsia" w:hAnsi="宋体"/>
          <w:b/>
          <w:sz w:val="32"/>
          <w:szCs w:val="32"/>
        </w:rPr>
        <w:t>主要货物用材响应表(类似家具类货物采用)</w:t>
      </w:r>
      <w:bookmarkEnd w:id="87"/>
      <w:bookmarkEnd w:id="88"/>
    </w:p>
    <w:tbl>
      <w:tblPr>
        <w:tblStyle w:val="21"/>
        <w:tblpPr w:leftFromText="181" w:rightFromText="181" w:bottomFromText="170" w:vertAnchor="text" w:tblpXSpec="center" w:tblpY="1"/>
        <w:tblOverlap w:val="never"/>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58"/>
        <w:gridCol w:w="788"/>
        <w:gridCol w:w="1260"/>
        <w:gridCol w:w="900"/>
        <w:gridCol w:w="773"/>
        <w:gridCol w:w="1260"/>
        <w:gridCol w:w="8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78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产品配置</w:t>
            </w:r>
          </w:p>
        </w:tc>
        <w:tc>
          <w:tcPr>
            <w:tcW w:w="5988" w:type="dxa"/>
            <w:gridSpan w:val="6"/>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78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材料规格及参数</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商标</w:t>
            </w: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生产厂家</w:t>
            </w: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符合标准</w:t>
            </w: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性能说明</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firstLine="420" w:firstLineChars="200"/>
        <w:rPr>
          <w:rFonts w:ascii="宋体" w:hAnsi="宋体"/>
          <w:szCs w:val="21"/>
        </w:rPr>
      </w:pPr>
      <w:r>
        <w:rPr>
          <w:rFonts w:hint="eastAsia" w:ascii="宋体" w:hAnsi="宋体"/>
          <w:szCs w:val="21"/>
        </w:rPr>
        <w:t>1.请列出以上产品的各项主要用材、辅料、油漆、五金件等。</w:t>
      </w:r>
    </w:p>
    <w:p>
      <w:pPr>
        <w:pStyle w:val="36"/>
        <w:spacing w:line="360" w:lineRule="auto"/>
        <w:ind w:firstLine="420" w:firstLineChars="200"/>
        <w:rPr>
          <w:rFonts w:ascii="宋体" w:hAnsi="宋体"/>
          <w:szCs w:val="21"/>
        </w:rPr>
      </w:pPr>
      <w:r>
        <w:rPr>
          <w:rFonts w:hint="eastAsia" w:ascii="宋体" w:hAnsi="宋体"/>
          <w:szCs w:val="21"/>
        </w:rPr>
        <w:t>2.本表所列产品主要用材均为采购人抽样送检的范围。</w:t>
      </w:r>
    </w:p>
    <w:p>
      <w:pPr>
        <w:pStyle w:val="36"/>
        <w:spacing w:line="360" w:lineRule="auto"/>
        <w:ind w:firstLine="480" w:firstLineChars="200"/>
        <w:rPr>
          <w:rFonts w:ascii="仿宋_GB2312" w:eastAsia="仿宋_GB2312"/>
          <w:sz w:val="24"/>
        </w:rPr>
      </w:pPr>
    </w:p>
    <w:p>
      <w:pPr>
        <w:pStyle w:val="36"/>
        <w:spacing w:line="360" w:lineRule="auto"/>
        <w:ind w:firstLine="480" w:firstLineChars="200"/>
        <w:rPr>
          <w:rFonts w:ascii="仿宋_GB2312" w:eastAsia="仿宋_GB2312"/>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日        期：</w:t>
      </w:r>
    </w:p>
    <w:p>
      <w:pPr>
        <w:spacing w:line="360" w:lineRule="auto"/>
        <w:ind w:right="-110"/>
        <w:jc w:val="left"/>
        <w:rPr>
          <w:rFonts w:ascii="宋体" w:hAnsi="宋体"/>
          <w:b/>
          <w:sz w:val="28"/>
        </w:rPr>
      </w:pPr>
    </w:p>
    <w:p>
      <w:pPr>
        <w:rPr>
          <w:rFonts w:ascii="宋体" w:hAnsi="宋体"/>
          <w:b/>
          <w:sz w:val="28"/>
        </w:rPr>
      </w:pPr>
      <w:r>
        <w:rPr>
          <w:rFonts w:hint="eastAsia" w:ascii="宋体" w:hAnsi="宋体"/>
          <w:b/>
          <w:sz w:val="28"/>
        </w:rPr>
        <w:br w:type="page"/>
      </w:r>
    </w:p>
    <w:p>
      <w:pPr>
        <w:jc w:val="center"/>
        <w:rPr>
          <w:sz w:val="52"/>
          <w:szCs w:val="52"/>
        </w:rPr>
      </w:pPr>
      <w:bookmarkStart w:id="89" w:name="_Toc21322_WPSOffice_Level1"/>
      <w:bookmarkStart w:id="90" w:name="_Toc30468_WPSOffice_Level1"/>
      <w:bookmarkStart w:id="91" w:name="_Toc4615_WPSOffice_Level1"/>
    </w:p>
    <w:p>
      <w:pPr>
        <w:pStyle w:val="20"/>
      </w:pPr>
    </w:p>
    <w:p>
      <w:pPr>
        <w:jc w:val="center"/>
        <w:rPr>
          <w:sz w:val="52"/>
          <w:szCs w:val="52"/>
        </w:rPr>
      </w:pPr>
    </w:p>
    <w:p>
      <w:pPr>
        <w:jc w:val="center"/>
        <w:rPr>
          <w:sz w:val="52"/>
          <w:szCs w:val="52"/>
        </w:rPr>
      </w:pPr>
      <w:r>
        <w:rPr>
          <w:rFonts w:hint="eastAsia"/>
          <w:sz w:val="52"/>
          <w:szCs w:val="52"/>
        </w:rPr>
        <w:t>项目名称</w:t>
      </w:r>
      <w:bookmarkEnd w:id="89"/>
      <w:bookmarkEnd w:id="90"/>
      <w:bookmarkEnd w:id="91"/>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0"/>
      </w:pPr>
    </w:p>
    <w:p>
      <w:pPr>
        <w:jc w:val="center"/>
        <w:rPr>
          <w:sz w:val="84"/>
          <w:szCs w:val="84"/>
        </w:rPr>
      </w:pPr>
      <w:bookmarkStart w:id="92" w:name="_Toc9453_WPSOffice_Level1"/>
      <w:bookmarkStart w:id="93" w:name="_Toc8885_WPSOffice_Level1"/>
      <w:r>
        <w:rPr>
          <w:rFonts w:hint="eastAsia"/>
          <w:sz w:val="84"/>
          <w:szCs w:val="84"/>
        </w:rPr>
        <w:t>报</w:t>
      </w:r>
      <w:bookmarkEnd w:id="92"/>
      <w:bookmarkEnd w:id="93"/>
    </w:p>
    <w:p>
      <w:pPr>
        <w:jc w:val="center"/>
        <w:rPr>
          <w:sz w:val="84"/>
          <w:szCs w:val="84"/>
        </w:rPr>
      </w:pPr>
      <w:bookmarkStart w:id="94" w:name="_Toc10910_WPSOffice_Level1"/>
      <w:bookmarkStart w:id="95" w:name="_Toc7485_WPSOffice_Level1"/>
      <w:r>
        <w:rPr>
          <w:rFonts w:hint="eastAsia"/>
          <w:sz w:val="84"/>
          <w:szCs w:val="84"/>
        </w:rPr>
        <w:t>价</w:t>
      </w:r>
      <w:bookmarkEnd w:id="94"/>
      <w:bookmarkEnd w:id="95"/>
    </w:p>
    <w:p>
      <w:pPr>
        <w:jc w:val="center"/>
        <w:rPr>
          <w:sz w:val="84"/>
          <w:szCs w:val="84"/>
        </w:rPr>
      </w:pPr>
      <w:bookmarkStart w:id="96" w:name="_Toc3932_WPSOffice_Level1"/>
      <w:bookmarkStart w:id="97" w:name="_Toc14572_WPSOffice_Level1"/>
      <w:r>
        <w:rPr>
          <w:rFonts w:hint="eastAsia"/>
          <w:sz w:val="84"/>
          <w:szCs w:val="84"/>
        </w:rPr>
        <w:t>文</w:t>
      </w:r>
      <w:bookmarkEnd w:id="96"/>
      <w:bookmarkEnd w:id="97"/>
    </w:p>
    <w:p>
      <w:pPr>
        <w:jc w:val="center"/>
        <w:rPr>
          <w:sz w:val="84"/>
          <w:szCs w:val="84"/>
        </w:rPr>
      </w:pPr>
      <w:bookmarkStart w:id="98" w:name="_Toc7562_WPSOffice_Level1"/>
      <w:bookmarkStart w:id="99" w:name="_Toc16973_WPSOffice_Level1"/>
      <w:r>
        <w:rPr>
          <w:rFonts w:hint="eastAsia"/>
          <w:sz w:val="84"/>
          <w:szCs w:val="84"/>
        </w:rPr>
        <w:t>件</w:t>
      </w:r>
      <w:bookmarkEnd w:id="98"/>
      <w:bookmarkEnd w:id="99"/>
    </w:p>
    <w:p>
      <w:pPr>
        <w:spacing w:line="360" w:lineRule="auto"/>
        <w:ind w:right="532"/>
        <w:rPr>
          <w:rFonts w:ascii="宋体" w:hAnsi="宋体"/>
          <w:sz w:val="36"/>
          <w:szCs w:val="36"/>
        </w:rPr>
      </w:pPr>
    </w:p>
    <w:p>
      <w:pPr>
        <w:pStyle w:val="20"/>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100" w:name="_Toc4603_WPSOffice_Level1"/>
      <w:bookmarkStart w:id="101" w:name="_Toc26700_WPSOffice_Level1"/>
      <w:r>
        <w:rPr>
          <w:rFonts w:hint="eastAsia" w:ascii="宋体" w:hAnsi="宋体"/>
          <w:sz w:val="36"/>
          <w:szCs w:val="36"/>
        </w:rPr>
        <w:t>投标人全称（公章）：</w:t>
      </w:r>
      <w:bookmarkEnd w:id="100"/>
      <w:bookmarkEnd w:id="101"/>
    </w:p>
    <w:p>
      <w:pPr>
        <w:spacing w:line="360" w:lineRule="auto"/>
        <w:ind w:right="-108" w:firstLine="720" w:firstLineChars="200"/>
        <w:rPr>
          <w:rFonts w:ascii="宋体" w:hAnsi="宋体"/>
          <w:sz w:val="36"/>
          <w:szCs w:val="36"/>
        </w:rPr>
      </w:pPr>
      <w:bookmarkStart w:id="102" w:name="_Toc32593_WPSOffice_Level1"/>
      <w:bookmarkStart w:id="103" w:name="_Toc1391_WPSOffice_Level1"/>
      <w:r>
        <w:rPr>
          <w:rFonts w:hint="eastAsia" w:ascii="宋体" w:hAnsi="宋体"/>
          <w:sz w:val="36"/>
          <w:szCs w:val="36"/>
        </w:rPr>
        <w:t>地    址：</w:t>
      </w:r>
      <w:bookmarkEnd w:id="102"/>
      <w:bookmarkEnd w:id="103"/>
    </w:p>
    <w:p>
      <w:pPr>
        <w:spacing w:line="360" w:lineRule="auto"/>
        <w:ind w:right="-108" w:firstLine="720" w:firstLineChars="200"/>
        <w:rPr>
          <w:rFonts w:ascii="宋体" w:hAnsi="宋体"/>
          <w:sz w:val="36"/>
          <w:szCs w:val="36"/>
        </w:rPr>
      </w:pPr>
      <w:bookmarkStart w:id="104" w:name="_Toc20938_WPSOffice_Level1"/>
      <w:bookmarkStart w:id="105" w:name="_Toc3791_WPSOffice_Level1"/>
      <w:r>
        <w:rPr>
          <w:rFonts w:hint="eastAsia" w:ascii="宋体" w:hAnsi="宋体"/>
          <w:sz w:val="36"/>
          <w:szCs w:val="36"/>
        </w:rPr>
        <w:t>时    间：</w:t>
      </w:r>
      <w:bookmarkEnd w:id="104"/>
      <w:bookmarkEnd w:id="105"/>
    </w:p>
    <w:p>
      <w:pPr>
        <w:spacing w:line="360" w:lineRule="auto"/>
        <w:ind w:right="-108"/>
        <w:jc w:val="center"/>
        <w:rPr>
          <w:rFonts w:ascii="仿宋_GB2312" w:hAnsi="宋体" w:eastAsia="仿宋_GB2312"/>
          <w:b/>
          <w:sz w:val="36"/>
          <w:szCs w:val="36"/>
        </w:rPr>
      </w:pPr>
    </w:p>
    <w:p>
      <w:pPr>
        <w:pStyle w:val="20"/>
      </w:pPr>
    </w:p>
    <w:p>
      <w:pPr>
        <w:pStyle w:val="20"/>
      </w:pPr>
    </w:p>
    <w:p>
      <w:pPr>
        <w:pStyle w:val="20"/>
      </w:pPr>
    </w:p>
    <w:p>
      <w:pPr>
        <w:pStyle w:val="6"/>
        <w:ind w:firstLine="0"/>
        <w:rPr>
          <w:rFonts w:ascii="仿宋_GB2312" w:hAnsi="宋体" w:eastAsia="仿宋_GB2312"/>
          <w:b/>
          <w:sz w:val="36"/>
          <w:szCs w:val="36"/>
        </w:rPr>
      </w:pPr>
    </w:p>
    <w:p>
      <w:pPr>
        <w:pStyle w:val="6"/>
        <w:ind w:firstLine="0"/>
        <w:rPr>
          <w:rFonts w:ascii="仿宋_GB2312" w:hAnsi="宋体" w:eastAsia="仿宋_GB2312"/>
          <w:b/>
          <w:sz w:val="36"/>
          <w:szCs w:val="36"/>
        </w:rPr>
      </w:pPr>
    </w:p>
    <w:p>
      <w:pPr>
        <w:spacing w:line="480" w:lineRule="auto"/>
        <w:jc w:val="center"/>
        <w:rPr>
          <w:rFonts w:ascii="宋体" w:hAnsi="宋体"/>
          <w:b/>
          <w:bCs/>
          <w:sz w:val="36"/>
          <w:szCs w:val="36"/>
        </w:rPr>
      </w:pPr>
      <w:bookmarkStart w:id="106" w:name="_Toc29537_WPSOffice_Level1"/>
      <w:bookmarkStart w:id="107" w:name="_Toc19972_WPSOffice_Level1"/>
      <w:r>
        <w:rPr>
          <w:rFonts w:hint="eastAsia" w:ascii="宋体" w:hAnsi="宋体"/>
          <w:b/>
          <w:bCs/>
          <w:sz w:val="36"/>
          <w:szCs w:val="36"/>
        </w:rPr>
        <w:t>报价文件目录</w:t>
      </w:r>
      <w:bookmarkEnd w:id="106"/>
      <w:bookmarkEnd w:id="107"/>
    </w:p>
    <w:p>
      <w:pPr>
        <w:pStyle w:val="20"/>
      </w:pPr>
    </w:p>
    <w:p>
      <w:pPr>
        <w:spacing w:line="360" w:lineRule="auto"/>
        <w:ind w:firstLine="480" w:firstLineChars="200"/>
        <w:rPr>
          <w:sz w:val="24"/>
        </w:rPr>
      </w:pPr>
    </w:p>
    <w:p>
      <w:pPr>
        <w:numPr>
          <w:ilvl w:val="0"/>
          <w:numId w:val="16"/>
        </w:numPr>
        <w:spacing w:line="360" w:lineRule="auto"/>
        <w:rPr>
          <w:rFonts w:asciiTheme="minorEastAsia" w:hAnsiTheme="minorEastAsia" w:eastAsiaTheme="minorEastAsia" w:cstheme="minorEastAsia"/>
          <w:sz w:val="28"/>
          <w:szCs w:val="28"/>
        </w:rPr>
      </w:pPr>
      <w:bookmarkStart w:id="108" w:name="_Toc29988_WPSOffice_Level1"/>
      <w:bookmarkStart w:id="109" w:name="_Toc6778_WPSOffice_Level1"/>
      <w:r>
        <w:rPr>
          <w:rFonts w:hint="eastAsia" w:asciiTheme="minorEastAsia" w:hAnsiTheme="minorEastAsia" w:eastAsiaTheme="minorEastAsia" w:cstheme="minorEastAsia"/>
          <w:sz w:val="28"/>
          <w:szCs w:val="28"/>
        </w:rPr>
        <w:t>开标一览表（附件14）</w:t>
      </w:r>
      <w:bookmarkEnd w:id="108"/>
      <w:bookmarkEnd w:id="109"/>
    </w:p>
    <w:p>
      <w:pPr>
        <w:numPr>
          <w:ilvl w:val="0"/>
          <w:numId w:val="16"/>
        </w:numPr>
        <w:spacing w:line="360" w:lineRule="auto"/>
        <w:rPr>
          <w:rFonts w:asciiTheme="minorEastAsia" w:hAnsiTheme="minorEastAsia" w:eastAsiaTheme="minorEastAsia" w:cstheme="minorEastAsia"/>
          <w:sz w:val="28"/>
          <w:szCs w:val="28"/>
        </w:rPr>
      </w:pPr>
      <w:bookmarkStart w:id="110" w:name="_Toc11601_WPSOffice_Level1"/>
      <w:bookmarkStart w:id="111" w:name="_Toc15601_WPSOffice_Level1"/>
      <w:r>
        <w:rPr>
          <w:rFonts w:hint="eastAsia" w:asciiTheme="minorEastAsia" w:hAnsiTheme="minorEastAsia" w:eastAsiaTheme="minorEastAsia" w:cstheme="minorEastAsia"/>
          <w:sz w:val="28"/>
          <w:szCs w:val="28"/>
        </w:rPr>
        <w:t>报价明细表（附件15）</w:t>
      </w:r>
      <w:bookmarkEnd w:id="110"/>
      <w:bookmarkEnd w:id="111"/>
    </w:p>
    <w:p>
      <w:pPr>
        <w:numPr>
          <w:ilvl w:val="0"/>
          <w:numId w:val="16"/>
        </w:numPr>
        <w:spacing w:line="360" w:lineRule="auto"/>
        <w:rPr>
          <w:rFonts w:asciiTheme="minorEastAsia" w:hAnsiTheme="minorEastAsia" w:eastAsiaTheme="minorEastAsia" w:cstheme="minorEastAsia"/>
          <w:sz w:val="28"/>
          <w:szCs w:val="28"/>
        </w:rPr>
      </w:pPr>
      <w:bookmarkStart w:id="112" w:name="_Toc45_WPSOffice_Level1"/>
      <w:bookmarkStart w:id="113" w:name="_Toc17543_WPSOffice_Level1"/>
      <w:r>
        <w:rPr>
          <w:rFonts w:hint="eastAsia" w:asciiTheme="minorEastAsia" w:hAnsiTheme="minorEastAsia" w:eastAsiaTheme="minorEastAsia" w:cstheme="minorEastAsia"/>
          <w:sz w:val="28"/>
          <w:szCs w:val="28"/>
        </w:rPr>
        <w:t>中小企业声明函、</w:t>
      </w:r>
      <w:r>
        <w:rPr>
          <w:rFonts w:hint="eastAsia" w:asciiTheme="minorEastAsia" w:hAnsiTheme="minorEastAsia" w:eastAsiaTheme="minorEastAsia" w:cstheme="minorEastAsia"/>
          <w:sz w:val="28"/>
          <w:szCs w:val="28"/>
          <w:lang w:val="en-GB"/>
        </w:rPr>
        <w:t>残疾人福利性单位声明函</w:t>
      </w:r>
      <w:r>
        <w:rPr>
          <w:rFonts w:hint="eastAsia" w:asciiTheme="minorEastAsia" w:hAnsiTheme="minorEastAsia" w:eastAsiaTheme="minorEastAsia" w:cstheme="minorEastAsia"/>
          <w:sz w:val="28"/>
          <w:szCs w:val="28"/>
        </w:rPr>
        <w:t>（附件16）</w:t>
      </w:r>
      <w:bookmarkEnd w:id="112"/>
      <w:bookmarkEnd w:id="113"/>
    </w:p>
    <w:p>
      <w:pPr>
        <w:numPr>
          <w:ilvl w:val="0"/>
          <w:numId w:val="16"/>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针对报价投标人认为其他需要说明的</w:t>
      </w:r>
    </w:p>
    <w:p>
      <w:pPr>
        <w:spacing w:line="360" w:lineRule="auto"/>
        <w:rPr>
          <w:rFonts w:asciiTheme="minorEastAsia" w:hAnsiTheme="minorEastAsia" w:eastAsiaTheme="minorEastAsia" w:cstheme="minorEastAsia"/>
          <w:sz w:val="28"/>
          <w:szCs w:val="28"/>
        </w:rPr>
      </w:pPr>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附件14</w:t>
      </w:r>
    </w:p>
    <w:p>
      <w:pPr>
        <w:spacing w:line="360" w:lineRule="auto"/>
        <w:ind w:left="-2" w:hanging="2"/>
        <w:jc w:val="center"/>
        <w:rPr>
          <w:rFonts w:ascii="宋体" w:hAnsi="宋体"/>
          <w:b/>
          <w:sz w:val="32"/>
          <w:szCs w:val="32"/>
        </w:rPr>
      </w:pPr>
      <w:bookmarkStart w:id="114" w:name="_Toc16144_WPSOffice_Level1"/>
      <w:bookmarkStart w:id="115" w:name="_Toc30363_WPSOffice_Level1"/>
      <w:r>
        <w:rPr>
          <w:rFonts w:hint="eastAsia" w:ascii="宋体" w:hAnsi="宋体"/>
          <w:b/>
          <w:sz w:val="32"/>
          <w:szCs w:val="32"/>
        </w:rPr>
        <w:t>开标一览表</w:t>
      </w:r>
      <w:bookmarkEnd w:id="114"/>
      <w:bookmarkEnd w:id="115"/>
    </w:p>
    <w:p>
      <w:pPr>
        <w:pStyle w:val="20"/>
      </w:pPr>
    </w:p>
    <w:p>
      <w:pPr>
        <w:pStyle w:val="12"/>
        <w:spacing w:line="360" w:lineRule="auto"/>
        <w:ind w:firstLine="482" w:firstLineChars="200"/>
        <w:rPr>
          <w:rFonts w:hAnsi="宋体"/>
          <w:b/>
          <w:sz w:val="24"/>
        </w:rPr>
      </w:pPr>
      <w:r>
        <w:rPr>
          <w:rFonts w:hAnsi="宋体"/>
          <w:b/>
          <w:sz w:val="24"/>
        </w:rPr>
        <w:t>项目编号：</w:t>
      </w:r>
    </w:p>
    <w:p>
      <w:pPr>
        <w:pStyle w:val="40"/>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1"/>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bl>
    <w:p>
      <w:pPr>
        <w:spacing w:line="360" w:lineRule="auto"/>
        <w:ind w:firstLine="422" w:firstLineChars="200"/>
        <w:rPr>
          <w:rFonts w:ascii="宋体" w:hAnsi="宋体" w:cs="宋体"/>
          <w:sz w:val="24"/>
        </w:rPr>
      </w:pPr>
      <w:r>
        <w:rPr>
          <w:rFonts w:hint="eastAsia" w:ascii="宋体" w:hAnsi="宋体"/>
          <w:b/>
          <w:szCs w:val="21"/>
        </w:rPr>
        <w:t>填报要求：</w:t>
      </w:r>
      <w:r>
        <w:rPr>
          <w:rFonts w:hint="eastAsia" w:ascii="宋体" w:hAnsi="宋体" w:cs="宋体"/>
          <w:color w:val="111F2C"/>
          <w:szCs w:val="21"/>
          <w:shd w:val="clear" w:color="auto" w:fill="FFFFFF"/>
        </w:rPr>
        <w:t>投标报价包括本项目采购需求和投入使用的所有费用，包括但不限于主件、标准附件、备品备件、施工、服务、专用工具、安装、调试、检验、培训、运输、保险、税款等。</w:t>
      </w:r>
    </w:p>
    <w:p>
      <w:pPr>
        <w:spacing w:line="360" w:lineRule="auto"/>
        <w:rPr>
          <w:rFonts w:ascii="宋体" w:hAnsi="宋体" w:cs="宋体"/>
          <w:sz w:val="24"/>
        </w:rPr>
      </w:pPr>
    </w:p>
    <w:p>
      <w:pPr>
        <w:pStyle w:val="20"/>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附件15</w:t>
      </w:r>
    </w:p>
    <w:p>
      <w:pPr>
        <w:spacing w:line="360" w:lineRule="auto"/>
        <w:jc w:val="center"/>
        <w:rPr>
          <w:rFonts w:ascii="宋体" w:hAnsi="宋体"/>
          <w:sz w:val="24"/>
        </w:rPr>
      </w:pPr>
      <w:bookmarkStart w:id="116" w:name="_Toc8975_WPSOffice_Level1"/>
      <w:bookmarkStart w:id="117" w:name="_Toc22412_WPSOffice_Level1"/>
      <w:r>
        <w:rPr>
          <w:rFonts w:hint="eastAsia" w:ascii="宋体" w:hAnsi="宋体"/>
          <w:b/>
          <w:sz w:val="32"/>
          <w:szCs w:val="32"/>
        </w:rPr>
        <w:t>报价明细表</w:t>
      </w:r>
      <w:bookmarkEnd w:id="116"/>
      <w:bookmarkEnd w:id="117"/>
      <w:r>
        <w:rPr>
          <w:rFonts w:hint="eastAsia" w:ascii="宋体" w:hAnsi="宋体"/>
          <w:sz w:val="24"/>
        </w:rPr>
        <w:t xml:space="preserve">  </w:t>
      </w:r>
    </w:p>
    <w:p>
      <w:pPr>
        <w:spacing w:line="360" w:lineRule="auto"/>
        <w:rPr>
          <w:rFonts w:hAnsi="宋体"/>
          <w:b/>
          <w:sz w:val="24"/>
        </w:rPr>
      </w:pPr>
      <w:r>
        <w:rPr>
          <w:rFonts w:hAnsi="宋体"/>
          <w:b/>
          <w:sz w:val="24"/>
        </w:rPr>
        <w:t>项目编号：</w:t>
      </w:r>
    </w:p>
    <w:p>
      <w:pPr>
        <w:pStyle w:val="40"/>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1"/>
        <w:tblpPr w:leftFromText="181" w:rightFromText="181" w:bottomFromText="170" w:vertAnchor="text" w:tblpXSpec="center" w:tblpY="1"/>
        <w:tblOverlap w:val="never"/>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1005"/>
        <w:gridCol w:w="851"/>
        <w:gridCol w:w="714"/>
        <w:gridCol w:w="6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114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报价项目</w:t>
            </w:r>
          </w:p>
        </w:tc>
        <w:tc>
          <w:tcPr>
            <w:tcW w:w="103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品牌、产地</w:t>
            </w:r>
          </w:p>
        </w:tc>
        <w:tc>
          <w:tcPr>
            <w:tcW w:w="1260" w:type="dxa"/>
            <w:tcMar>
              <w:top w:w="57" w:type="dxa"/>
              <w:left w:w="108" w:type="dxa"/>
              <w:bottom w:w="0" w:type="dxa"/>
              <w:right w:w="108" w:type="dxa"/>
            </w:tcMar>
            <w:vAlign w:val="center"/>
          </w:tcPr>
          <w:p>
            <w:pPr>
              <w:spacing w:line="360" w:lineRule="auto"/>
              <w:ind w:left="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型号规格</w:t>
            </w:r>
          </w:p>
        </w:tc>
        <w:tc>
          <w:tcPr>
            <w:tcW w:w="1036"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制造商名称</w:t>
            </w:r>
          </w:p>
        </w:tc>
        <w:tc>
          <w:tcPr>
            <w:tcW w:w="1005"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是否是小微企业</w:t>
            </w:r>
          </w:p>
        </w:tc>
        <w:tc>
          <w:tcPr>
            <w:tcW w:w="851" w:type="dxa"/>
            <w:tcMar>
              <w:top w:w="57" w:type="dxa"/>
              <w:left w:w="108" w:type="dxa"/>
              <w:bottom w:w="0" w:type="dxa"/>
              <w:right w:w="108" w:type="dxa"/>
            </w:tcMar>
            <w:vAlign w:val="center"/>
          </w:tcPr>
          <w:p>
            <w:pPr>
              <w:spacing w:line="360" w:lineRule="auto"/>
              <w:ind w:left="1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数量</w:t>
            </w:r>
          </w:p>
        </w:tc>
        <w:tc>
          <w:tcPr>
            <w:tcW w:w="714"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单价</w:t>
            </w:r>
          </w:p>
        </w:tc>
        <w:tc>
          <w:tcPr>
            <w:tcW w:w="697"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小计</w:t>
            </w:r>
          </w:p>
        </w:tc>
        <w:tc>
          <w:tcPr>
            <w:tcW w:w="709"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975" w:type="dxa"/>
            <w:gridSpan w:val="10"/>
            <w:tcBorders>
              <w:bottom w:val="single" w:color="auto" w:sz="4" w:space="0"/>
            </w:tcBorders>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15"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15" w:firstLine="420" w:firstLineChars="200"/>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15" w:firstLine="420" w:firstLineChars="200"/>
        <w:rPr>
          <w:rFonts w:ascii="宋体"/>
          <w:szCs w:val="21"/>
          <w:lang w:val="zh-CN"/>
        </w:rPr>
      </w:pPr>
      <w:r>
        <w:rPr>
          <w:rFonts w:hint="eastAsia" w:ascii="宋体"/>
          <w:szCs w:val="21"/>
          <w:lang w:val="zh-CN"/>
        </w:rPr>
        <w:t>▲4. 本表中的型号规格必须明确，招标文件中明确要求定制的除外。</w:t>
      </w: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120" w:beforeLines="50" w:after="50" w:line="360" w:lineRule="auto"/>
        <w:rPr>
          <w:rFonts w:ascii="宋体" w:hAnsi="宋体"/>
          <w:b/>
          <w:sz w:val="28"/>
          <w:szCs w:val="28"/>
        </w:rPr>
      </w:pPr>
      <w:r>
        <w:rPr>
          <w:rFonts w:hint="eastAsia" w:ascii="宋体" w:hAnsi="宋体"/>
          <w:b/>
          <w:sz w:val="28"/>
        </w:rPr>
        <w:t>附件16</w:t>
      </w:r>
    </w:p>
    <w:p>
      <w:pPr>
        <w:pStyle w:val="6"/>
        <w:spacing w:line="360" w:lineRule="auto"/>
        <w:ind w:firstLine="0"/>
        <w:jc w:val="center"/>
        <w:rPr>
          <w:rFonts w:ascii="宋体" w:hAnsi="宋体" w:cs="宋体"/>
          <w:b/>
          <w:sz w:val="32"/>
          <w:szCs w:val="32"/>
        </w:rPr>
      </w:pPr>
      <w:bookmarkStart w:id="118" w:name="_Toc12654_WPSOffice_Level1"/>
      <w:bookmarkStart w:id="119" w:name="_Toc29357_WPSOffice_Level1"/>
      <w:r>
        <w:rPr>
          <w:rFonts w:hint="eastAsia" w:ascii="宋体" w:hAnsi="宋体" w:cs="宋体"/>
          <w:b/>
          <w:sz w:val="32"/>
          <w:szCs w:val="32"/>
        </w:rPr>
        <w:t>中小企业声明函（货物）</w:t>
      </w:r>
      <w:bookmarkEnd w:id="118"/>
      <w:bookmarkEnd w:id="119"/>
    </w:p>
    <w:p>
      <w:pPr>
        <w:pStyle w:val="6"/>
        <w:spacing w:line="360" w:lineRule="auto"/>
        <w:ind w:firstLine="643" w:firstLineChars="200"/>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企业名称（盖章）：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日 期：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0288;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sectPr>
          <w:headerReference r:id="rId5" w:type="first"/>
          <w:footerReference r:id="rId7" w:type="first"/>
          <w:headerReference r:id="rId4" w:type="default"/>
          <w:footerReference r:id="rId6" w:type="default"/>
          <w:pgSz w:w="11906" w:h="16838"/>
          <w:pgMar w:top="1701" w:right="1418" w:bottom="1588"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2"/>
        <w:spacing w:line="360" w:lineRule="auto"/>
        <w:jc w:val="center"/>
        <w:outlineLvl w:val="1"/>
        <w:rPr>
          <w:rFonts w:hAnsi="宋体" w:cs="宋体"/>
          <w:b/>
          <w:sz w:val="32"/>
          <w:szCs w:val="32"/>
          <w:lang w:val="en-GB"/>
        </w:rPr>
      </w:pPr>
      <w:bookmarkStart w:id="120" w:name="_Toc27483_WPSOffice_Level1"/>
      <w:bookmarkStart w:id="121" w:name="_Toc17646_WPSOffice_Level1"/>
      <w:r>
        <w:rPr>
          <w:rFonts w:hint="eastAsia" w:hAnsi="宋体" w:cs="宋体"/>
          <w:b/>
          <w:sz w:val="32"/>
          <w:szCs w:val="32"/>
          <w:lang w:val="en-GB"/>
        </w:rPr>
        <w:t>残疾人福利性单位声明函</w:t>
      </w:r>
      <w:bookmarkEnd w:id="120"/>
      <w:bookmarkEnd w:id="121"/>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1"/>
        <w:spacing w:line="360" w:lineRule="auto"/>
        <w:ind w:left="4788" w:leftChars="2280"/>
        <w:rPr>
          <w:rFonts w:ascii="宋体" w:hAnsi="宋体"/>
          <w:sz w:val="24"/>
        </w:rPr>
      </w:pPr>
      <w:r>
        <w:rPr>
          <w:rFonts w:hint="eastAsia" w:ascii="宋体" w:hAnsi="宋体" w:cs="宋体"/>
          <w:sz w:val="24"/>
        </w:rPr>
        <w:t xml:space="preserve">                                </w:t>
      </w:r>
      <w:r>
        <w:rPr>
          <w:rFonts w:hint="eastAsia" w:ascii="宋体" w:hAnsi="宋体"/>
          <w:sz w:val="24"/>
        </w:rPr>
        <w:t>单位名称（盖章）：</w:t>
      </w:r>
    </w:p>
    <w:p>
      <w:pPr>
        <w:pStyle w:val="41"/>
        <w:spacing w:line="360" w:lineRule="auto"/>
        <w:ind w:left="3591" w:leftChars="1710" w:firstLine="1200" w:firstLineChars="500"/>
        <w:rPr>
          <w:rFonts w:ascii="宋体" w:hAnsi="宋体"/>
          <w:sz w:val="24"/>
        </w:rPr>
      </w:pPr>
      <w:r>
        <w:rPr>
          <w:rFonts w:hint="eastAsia" w:ascii="宋体" w:hAnsi="宋体"/>
          <w:sz w:val="24"/>
        </w:rPr>
        <w:t>日  期  ：</w:t>
      </w:r>
    </w:p>
    <w:p>
      <w:pPr>
        <w:tabs>
          <w:tab w:val="left" w:pos="4860"/>
        </w:tabs>
        <w:spacing w:line="588" w:lineRule="exact"/>
        <w:ind w:right="1560" w:firstLine="480" w:firstLineChars="200"/>
        <w:jc w:val="center"/>
        <w:rPr>
          <w:rFonts w:ascii="宋体" w:hAnsi="宋体" w:cs="宋体"/>
          <w:sz w:val="24"/>
        </w:rPr>
      </w:pPr>
    </w:p>
    <w:p>
      <w:pPr>
        <w:pStyle w:val="41"/>
        <w:spacing w:line="360" w:lineRule="auto"/>
      </w:pPr>
    </w:p>
    <w:p/>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170625"/>
      <w:docPartObj>
        <w:docPartGallery w:val="autotext"/>
      </w:docPartObj>
    </w:sdtPr>
    <w:sdtContent>
      <w:p>
        <w:pPr>
          <w:pStyle w:val="15"/>
          <w:jc w:val="center"/>
        </w:pPr>
        <w:r>
          <w:fldChar w:fldCharType="begin"/>
        </w:r>
        <w:r>
          <w:instrText xml:space="preserve">PAGE   \* MERGEFORMAT</w:instrText>
        </w:r>
        <w:r>
          <w:fldChar w:fldCharType="separate"/>
        </w:r>
        <w:r>
          <w:rPr>
            <w:lang w:val="zh-CN"/>
          </w:rPr>
          <w:t>2</w:t>
        </w:r>
        <w: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政府采购文件公开招标货物类示范文本（试行）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XXX政府采购招标文件--货物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8FA37827"/>
    <w:multiLevelType w:val="singleLevel"/>
    <w:tmpl w:val="8FA37827"/>
    <w:lvl w:ilvl="0" w:tentative="0">
      <w:start w:val="1"/>
      <w:numFmt w:val="decimal"/>
      <w:lvlText w:val="%1."/>
      <w:lvlJc w:val="left"/>
      <w:pPr>
        <w:ind w:left="425" w:hanging="425"/>
      </w:pPr>
      <w:rPr>
        <w:rFonts w:hint="default"/>
      </w:rPr>
    </w:lvl>
  </w:abstractNum>
  <w:abstractNum w:abstractNumId="3">
    <w:nsid w:val="A98EAD43"/>
    <w:multiLevelType w:val="singleLevel"/>
    <w:tmpl w:val="A98EAD43"/>
    <w:lvl w:ilvl="0" w:tentative="0">
      <w:start w:val="2"/>
      <w:numFmt w:val="decimal"/>
      <w:lvlText w:val="%1."/>
      <w:lvlJc w:val="left"/>
      <w:pPr>
        <w:tabs>
          <w:tab w:val="left" w:pos="312"/>
        </w:tabs>
      </w:pPr>
    </w:lvl>
  </w:abstractNum>
  <w:abstractNum w:abstractNumId="4">
    <w:nsid w:val="B778F772"/>
    <w:multiLevelType w:val="singleLevel"/>
    <w:tmpl w:val="B778F772"/>
    <w:lvl w:ilvl="0" w:tentative="0">
      <w:start w:val="1"/>
      <w:numFmt w:val="decimal"/>
      <w:lvlText w:val="%1."/>
      <w:lvlJc w:val="left"/>
      <w:pPr>
        <w:tabs>
          <w:tab w:val="left" w:pos="312"/>
        </w:tabs>
      </w:pPr>
    </w:lvl>
  </w:abstractNum>
  <w:abstractNum w:abstractNumId="5">
    <w:nsid w:val="DB9645F2"/>
    <w:multiLevelType w:val="singleLevel"/>
    <w:tmpl w:val="DB9645F2"/>
    <w:lvl w:ilvl="0" w:tentative="0">
      <w:start w:val="2"/>
      <w:numFmt w:val="chineseCounting"/>
      <w:suff w:val="nothing"/>
      <w:lvlText w:val="（%1）"/>
      <w:lvlJc w:val="left"/>
      <w:pPr>
        <w:ind w:left="358"/>
      </w:pPr>
      <w:rPr>
        <w:rFonts w:hint="eastAsia"/>
      </w:rPr>
    </w:lvl>
  </w:abstractNum>
  <w:abstractNum w:abstractNumId="6">
    <w:nsid w:val="FF4D4BA8"/>
    <w:multiLevelType w:val="singleLevel"/>
    <w:tmpl w:val="FF4D4BA8"/>
    <w:lvl w:ilvl="0" w:tentative="0">
      <w:start w:val="1"/>
      <w:numFmt w:val="decimal"/>
      <w:lvlText w:val="%1."/>
      <w:lvlJc w:val="left"/>
      <w:pPr>
        <w:ind w:left="425" w:hanging="425"/>
      </w:pPr>
      <w:rPr>
        <w:rFonts w:hint="default"/>
      </w:rPr>
    </w:lvl>
  </w:abstractNum>
  <w:abstractNum w:abstractNumId="7">
    <w:nsid w:val="05AEF031"/>
    <w:multiLevelType w:val="singleLevel"/>
    <w:tmpl w:val="05AEF031"/>
    <w:lvl w:ilvl="0" w:tentative="0">
      <w:start w:val="2"/>
      <w:numFmt w:val="chineseCounting"/>
      <w:suff w:val="nothing"/>
      <w:lvlText w:val="%1、"/>
      <w:lvlJc w:val="left"/>
      <w:rPr>
        <w:rFonts w:hint="eastAsia"/>
      </w:rPr>
    </w:lvl>
  </w:abstractNum>
  <w:abstractNum w:abstractNumId="8">
    <w:nsid w:val="0ED2C79B"/>
    <w:multiLevelType w:val="singleLevel"/>
    <w:tmpl w:val="0ED2C79B"/>
    <w:lvl w:ilvl="0" w:tentative="0">
      <w:start w:val="1"/>
      <w:numFmt w:val="decimal"/>
      <w:pStyle w:val="5"/>
      <w:lvlText w:val="%1."/>
      <w:lvlJc w:val="left"/>
      <w:pPr>
        <w:tabs>
          <w:tab w:val="left" w:pos="360"/>
        </w:tabs>
        <w:ind w:left="360" w:hanging="360"/>
      </w:pPr>
    </w:lvl>
  </w:abstractNum>
  <w:abstractNum w:abstractNumId="9">
    <w:nsid w:val="289F1F1C"/>
    <w:multiLevelType w:val="singleLevel"/>
    <w:tmpl w:val="289F1F1C"/>
    <w:lvl w:ilvl="0" w:tentative="0">
      <w:start w:val="1"/>
      <w:numFmt w:val="decimal"/>
      <w:lvlText w:val="%1."/>
      <w:lvlJc w:val="left"/>
      <w:pPr>
        <w:ind w:left="425" w:hanging="425"/>
      </w:pPr>
      <w:rPr>
        <w:rFonts w:hint="default"/>
      </w:rPr>
    </w:lvl>
  </w:abstractNum>
  <w:abstractNum w:abstractNumId="10">
    <w:nsid w:val="461E5E94"/>
    <w:multiLevelType w:val="singleLevel"/>
    <w:tmpl w:val="461E5E94"/>
    <w:lvl w:ilvl="0" w:tentative="0">
      <w:start w:val="2"/>
      <w:numFmt w:val="chineseCounting"/>
      <w:suff w:val="space"/>
      <w:lvlText w:val="第%1章"/>
      <w:lvlJc w:val="left"/>
      <w:rPr>
        <w:rFonts w:hint="eastAsia"/>
      </w:rPr>
    </w:lvl>
  </w:abstractNum>
  <w:abstractNum w:abstractNumId="11">
    <w:nsid w:val="598BB3B8"/>
    <w:multiLevelType w:val="singleLevel"/>
    <w:tmpl w:val="598BB3B8"/>
    <w:lvl w:ilvl="0" w:tentative="0">
      <w:start w:val="1"/>
      <w:numFmt w:val="chineseCounting"/>
      <w:suff w:val="nothing"/>
      <w:lvlText w:val="（%1）"/>
      <w:lvlJc w:val="left"/>
      <w:rPr>
        <w:rFonts w:hint="eastAsia"/>
      </w:rPr>
    </w:lvl>
  </w:abstractNum>
  <w:abstractNum w:abstractNumId="12">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3">
    <w:nsid w:val="66DDD653"/>
    <w:multiLevelType w:val="singleLevel"/>
    <w:tmpl w:val="66DDD653"/>
    <w:lvl w:ilvl="0" w:tentative="0">
      <w:start w:val="1"/>
      <w:numFmt w:val="chineseCounting"/>
      <w:suff w:val="space"/>
      <w:lvlText w:val="第%1章"/>
      <w:lvlJc w:val="left"/>
      <w:rPr>
        <w:rFonts w:hint="eastAsia"/>
      </w:rPr>
    </w:lvl>
  </w:abstractNum>
  <w:abstractNum w:abstractNumId="14">
    <w:nsid w:val="7488A27B"/>
    <w:multiLevelType w:val="singleLevel"/>
    <w:tmpl w:val="7488A27B"/>
    <w:lvl w:ilvl="0" w:tentative="0">
      <w:start w:val="1"/>
      <w:numFmt w:val="decimal"/>
      <w:lvlText w:val="%1."/>
      <w:lvlJc w:val="left"/>
      <w:pPr>
        <w:ind w:left="425" w:hanging="425"/>
      </w:pPr>
      <w:rPr>
        <w:rFonts w:hint="default"/>
      </w:rPr>
    </w:lvl>
  </w:abstractNum>
  <w:abstractNum w:abstractNumId="15">
    <w:nsid w:val="7E92F494"/>
    <w:multiLevelType w:val="singleLevel"/>
    <w:tmpl w:val="7E92F494"/>
    <w:lvl w:ilvl="0" w:tentative="0">
      <w:start w:val="1"/>
      <w:numFmt w:val="decimal"/>
      <w:lvlText w:val="%1."/>
      <w:lvlJc w:val="left"/>
      <w:pPr>
        <w:ind w:left="425" w:hanging="425"/>
      </w:pPr>
      <w:rPr>
        <w:rFonts w:hint="default"/>
      </w:rPr>
    </w:lvl>
  </w:abstractNum>
  <w:num w:numId="1">
    <w:abstractNumId w:val="12"/>
  </w:num>
  <w:num w:numId="2">
    <w:abstractNumId w:val="8"/>
  </w:num>
  <w:num w:numId="3">
    <w:abstractNumId w:val="13"/>
  </w:num>
  <w:num w:numId="4">
    <w:abstractNumId w:val="10"/>
  </w:num>
  <w:num w:numId="5">
    <w:abstractNumId w:val="5"/>
  </w:num>
  <w:num w:numId="6">
    <w:abstractNumId w:val="7"/>
  </w:num>
  <w:num w:numId="7">
    <w:abstractNumId w:val="11"/>
  </w:num>
  <w:num w:numId="8">
    <w:abstractNumId w:val="3"/>
  </w:num>
  <w:num w:numId="9">
    <w:abstractNumId w:val="0"/>
  </w:num>
  <w:num w:numId="10">
    <w:abstractNumId w:val="15"/>
  </w:num>
  <w:num w:numId="11">
    <w:abstractNumId w:val="1"/>
  </w:num>
  <w:num w:numId="12">
    <w:abstractNumId w:val="14"/>
  </w:num>
  <w:num w:numId="13">
    <w:abstractNumId w:val="2"/>
  </w:num>
  <w:num w:numId="14">
    <w:abstractNumId w:val="9"/>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NDFhOWUzZDYzNDIyMjIzN2QyMDQxNmZhNWNhYzIifQ=="/>
  </w:docVars>
  <w:rsids>
    <w:rsidRoot w:val="685F2B0C"/>
    <w:rsid w:val="0002799D"/>
    <w:rsid w:val="00037F4A"/>
    <w:rsid w:val="00072A3F"/>
    <w:rsid w:val="000E538F"/>
    <w:rsid w:val="00111A75"/>
    <w:rsid w:val="001136A2"/>
    <w:rsid w:val="001B51C8"/>
    <w:rsid w:val="001C4F91"/>
    <w:rsid w:val="001E6CF9"/>
    <w:rsid w:val="00242A20"/>
    <w:rsid w:val="002A4418"/>
    <w:rsid w:val="00312C7C"/>
    <w:rsid w:val="00315916"/>
    <w:rsid w:val="003201FA"/>
    <w:rsid w:val="00330F75"/>
    <w:rsid w:val="003C4BB8"/>
    <w:rsid w:val="003E7404"/>
    <w:rsid w:val="00401AC8"/>
    <w:rsid w:val="00494691"/>
    <w:rsid w:val="005240D4"/>
    <w:rsid w:val="00565F77"/>
    <w:rsid w:val="005B7FA6"/>
    <w:rsid w:val="005F65CD"/>
    <w:rsid w:val="00623A21"/>
    <w:rsid w:val="00627077"/>
    <w:rsid w:val="00627D71"/>
    <w:rsid w:val="0066350B"/>
    <w:rsid w:val="006F24A9"/>
    <w:rsid w:val="006F679D"/>
    <w:rsid w:val="0072317A"/>
    <w:rsid w:val="007E4962"/>
    <w:rsid w:val="0093255C"/>
    <w:rsid w:val="00973FB8"/>
    <w:rsid w:val="00987EDA"/>
    <w:rsid w:val="00A921FD"/>
    <w:rsid w:val="00A97E75"/>
    <w:rsid w:val="00AA020C"/>
    <w:rsid w:val="00AB49B7"/>
    <w:rsid w:val="00B023A2"/>
    <w:rsid w:val="00B44061"/>
    <w:rsid w:val="00B76409"/>
    <w:rsid w:val="00BD378A"/>
    <w:rsid w:val="00C36B5B"/>
    <w:rsid w:val="00C4791F"/>
    <w:rsid w:val="00CF3329"/>
    <w:rsid w:val="00D00C48"/>
    <w:rsid w:val="00D0546E"/>
    <w:rsid w:val="00D07E9B"/>
    <w:rsid w:val="00DB1E3F"/>
    <w:rsid w:val="00DC1336"/>
    <w:rsid w:val="00E32B23"/>
    <w:rsid w:val="00E41EBA"/>
    <w:rsid w:val="00E448AC"/>
    <w:rsid w:val="00E66CDC"/>
    <w:rsid w:val="00EC04A9"/>
    <w:rsid w:val="00EF43FF"/>
    <w:rsid w:val="00F26F1C"/>
    <w:rsid w:val="00F42763"/>
    <w:rsid w:val="010742D5"/>
    <w:rsid w:val="01077B6C"/>
    <w:rsid w:val="01080A12"/>
    <w:rsid w:val="011C2867"/>
    <w:rsid w:val="011E4134"/>
    <w:rsid w:val="012355F0"/>
    <w:rsid w:val="012B6D61"/>
    <w:rsid w:val="013D03B1"/>
    <w:rsid w:val="01442E93"/>
    <w:rsid w:val="015C2A86"/>
    <w:rsid w:val="015F789E"/>
    <w:rsid w:val="01626374"/>
    <w:rsid w:val="016619A7"/>
    <w:rsid w:val="01851778"/>
    <w:rsid w:val="01AA3877"/>
    <w:rsid w:val="01AE11E6"/>
    <w:rsid w:val="01B70CE3"/>
    <w:rsid w:val="01D10A61"/>
    <w:rsid w:val="01D61DCE"/>
    <w:rsid w:val="01F170ED"/>
    <w:rsid w:val="01F53A09"/>
    <w:rsid w:val="01F916C8"/>
    <w:rsid w:val="02040004"/>
    <w:rsid w:val="022115FB"/>
    <w:rsid w:val="02292E42"/>
    <w:rsid w:val="02375009"/>
    <w:rsid w:val="02536BAE"/>
    <w:rsid w:val="0277756A"/>
    <w:rsid w:val="027C3466"/>
    <w:rsid w:val="0294584C"/>
    <w:rsid w:val="02985DC6"/>
    <w:rsid w:val="029A4E8A"/>
    <w:rsid w:val="02B85F13"/>
    <w:rsid w:val="02BD7D6C"/>
    <w:rsid w:val="02C73731"/>
    <w:rsid w:val="02F959F1"/>
    <w:rsid w:val="032334D5"/>
    <w:rsid w:val="032A675A"/>
    <w:rsid w:val="032C58C3"/>
    <w:rsid w:val="036059A4"/>
    <w:rsid w:val="037628ED"/>
    <w:rsid w:val="037B371D"/>
    <w:rsid w:val="03804F1D"/>
    <w:rsid w:val="038D5F87"/>
    <w:rsid w:val="03996F9E"/>
    <w:rsid w:val="03A92BAF"/>
    <w:rsid w:val="03AD4EC4"/>
    <w:rsid w:val="03D64DF8"/>
    <w:rsid w:val="03DC5B25"/>
    <w:rsid w:val="04050647"/>
    <w:rsid w:val="04086CE0"/>
    <w:rsid w:val="041155D0"/>
    <w:rsid w:val="041A0B7D"/>
    <w:rsid w:val="04315D2A"/>
    <w:rsid w:val="04332888"/>
    <w:rsid w:val="04431C4F"/>
    <w:rsid w:val="044D523C"/>
    <w:rsid w:val="04604D98"/>
    <w:rsid w:val="046212F9"/>
    <w:rsid w:val="04663F34"/>
    <w:rsid w:val="04686D1E"/>
    <w:rsid w:val="049E2BF2"/>
    <w:rsid w:val="04E746F0"/>
    <w:rsid w:val="04E87471"/>
    <w:rsid w:val="050A0D5B"/>
    <w:rsid w:val="050D23B9"/>
    <w:rsid w:val="05121E5F"/>
    <w:rsid w:val="05162537"/>
    <w:rsid w:val="051E7487"/>
    <w:rsid w:val="05251EEA"/>
    <w:rsid w:val="053F0EAC"/>
    <w:rsid w:val="053F23D3"/>
    <w:rsid w:val="05460F22"/>
    <w:rsid w:val="056B3DBF"/>
    <w:rsid w:val="057D6BFC"/>
    <w:rsid w:val="057E41A9"/>
    <w:rsid w:val="05AF5900"/>
    <w:rsid w:val="05B01B1D"/>
    <w:rsid w:val="05BC5BB6"/>
    <w:rsid w:val="05CB2372"/>
    <w:rsid w:val="05E07199"/>
    <w:rsid w:val="05F04110"/>
    <w:rsid w:val="05FD1629"/>
    <w:rsid w:val="06221E50"/>
    <w:rsid w:val="06653309"/>
    <w:rsid w:val="06653EC4"/>
    <w:rsid w:val="067544C8"/>
    <w:rsid w:val="0699402C"/>
    <w:rsid w:val="069B5E85"/>
    <w:rsid w:val="069C64C8"/>
    <w:rsid w:val="06A0112C"/>
    <w:rsid w:val="06AD7687"/>
    <w:rsid w:val="06B01054"/>
    <w:rsid w:val="06B22022"/>
    <w:rsid w:val="06B864B2"/>
    <w:rsid w:val="06D372D6"/>
    <w:rsid w:val="06D64E56"/>
    <w:rsid w:val="06F061D6"/>
    <w:rsid w:val="0703081A"/>
    <w:rsid w:val="070C5153"/>
    <w:rsid w:val="070E765D"/>
    <w:rsid w:val="07157529"/>
    <w:rsid w:val="071747A0"/>
    <w:rsid w:val="071E2C8A"/>
    <w:rsid w:val="07347410"/>
    <w:rsid w:val="07425FC3"/>
    <w:rsid w:val="074273EB"/>
    <w:rsid w:val="07463A3E"/>
    <w:rsid w:val="074A3B33"/>
    <w:rsid w:val="074E4D14"/>
    <w:rsid w:val="077E1A2E"/>
    <w:rsid w:val="078B5EF9"/>
    <w:rsid w:val="079F3EE7"/>
    <w:rsid w:val="07AE41DE"/>
    <w:rsid w:val="07D85507"/>
    <w:rsid w:val="07DF5164"/>
    <w:rsid w:val="07E50580"/>
    <w:rsid w:val="07F46C10"/>
    <w:rsid w:val="07F9224F"/>
    <w:rsid w:val="07FA589D"/>
    <w:rsid w:val="08281851"/>
    <w:rsid w:val="082E5DF2"/>
    <w:rsid w:val="083B791F"/>
    <w:rsid w:val="085403A4"/>
    <w:rsid w:val="085E020A"/>
    <w:rsid w:val="086951C1"/>
    <w:rsid w:val="08696EDC"/>
    <w:rsid w:val="087075EB"/>
    <w:rsid w:val="088D6A54"/>
    <w:rsid w:val="08941B48"/>
    <w:rsid w:val="089808CE"/>
    <w:rsid w:val="08B0516D"/>
    <w:rsid w:val="08C60C4A"/>
    <w:rsid w:val="08C72312"/>
    <w:rsid w:val="08DC3175"/>
    <w:rsid w:val="08F0261B"/>
    <w:rsid w:val="08F81693"/>
    <w:rsid w:val="09060203"/>
    <w:rsid w:val="090A0832"/>
    <w:rsid w:val="090B5543"/>
    <w:rsid w:val="0935241C"/>
    <w:rsid w:val="093D717C"/>
    <w:rsid w:val="09421EC5"/>
    <w:rsid w:val="095406F9"/>
    <w:rsid w:val="0955362C"/>
    <w:rsid w:val="09566590"/>
    <w:rsid w:val="09583EB5"/>
    <w:rsid w:val="095D7A37"/>
    <w:rsid w:val="09701FBD"/>
    <w:rsid w:val="09863AEE"/>
    <w:rsid w:val="09875848"/>
    <w:rsid w:val="09B05932"/>
    <w:rsid w:val="09B565E4"/>
    <w:rsid w:val="09BB0BBA"/>
    <w:rsid w:val="09BB6CF7"/>
    <w:rsid w:val="09C77B1C"/>
    <w:rsid w:val="09D40933"/>
    <w:rsid w:val="09E3201C"/>
    <w:rsid w:val="09E70A54"/>
    <w:rsid w:val="09E77E14"/>
    <w:rsid w:val="09E9749A"/>
    <w:rsid w:val="09F232F3"/>
    <w:rsid w:val="09F46495"/>
    <w:rsid w:val="09F623EB"/>
    <w:rsid w:val="09FF3A0A"/>
    <w:rsid w:val="0A082AE0"/>
    <w:rsid w:val="0A0D5A3B"/>
    <w:rsid w:val="0A172426"/>
    <w:rsid w:val="0A2355D9"/>
    <w:rsid w:val="0A4573B3"/>
    <w:rsid w:val="0A502B8B"/>
    <w:rsid w:val="0A524390"/>
    <w:rsid w:val="0A53599E"/>
    <w:rsid w:val="0A744A82"/>
    <w:rsid w:val="0A8528D5"/>
    <w:rsid w:val="0A887803"/>
    <w:rsid w:val="0A903A5E"/>
    <w:rsid w:val="0A904AA4"/>
    <w:rsid w:val="0A93374C"/>
    <w:rsid w:val="0A972E8D"/>
    <w:rsid w:val="0AAA5EAC"/>
    <w:rsid w:val="0AB40849"/>
    <w:rsid w:val="0ABB2280"/>
    <w:rsid w:val="0ACC5747"/>
    <w:rsid w:val="0AD56F1F"/>
    <w:rsid w:val="0AE946CC"/>
    <w:rsid w:val="0AEA3C8C"/>
    <w:rsid w:val="0AEE0D1E"/>
    <w:rsid w:val="0AFC0782"/>
    <w:rsid w:val="0B106E41"/>
    <w:rsid w:val="0B1E0CF0"/>
    <w:rsid w:val="0B2A3EE9"/>
    <w:rsid w:val="0B556C34"/>
    <w:rsid w:val="0B6C389D"/>
    <w:rsid w:val="0B7218AA"/>
    <w:rsid w:val="0B760351"/>
    <w:rsid w:val="0B846791"/>
    <w:rsid w:val="0B8B536A"/>
    <w:rsid w:val="0BCC7711"/>
    <w:rsid w:val="0BCD0049"/>
    <w:rsid w:val="0BDF6F64"/>
    <w:rsid w:val="0BE83010"/>
    <w:rsid w:val="0BEA0DB9"/>
    <w:rsid w:val="0C061D9D"/>
    <w:rsid w:val="0C0F3325"/>
    <w:rsid w:val="0C1358B4"/>
    <w:rsid w:val="0C35472E"/>
    <w:rsid w:val="0C4551B9"/>
    <w:rsid w:val="0C480F3E"/>
    <w:rsid w:val="0C4813D5"/>
    <w:rsid w:val="0C585BE0"/>
    <w:rsid w:val="0C607954"/>
    <w:rsid w:val="0C7E2237"/>
    <w:rsid w:val="0C9F1CEA"/>
    <w:rsid w:val="0CB73D61"/>
    <w:rsid w:val="0CBE1DF9"/>
    <w:rsid w:val="0CC9599A"/>
    <w:rsid w:val="0CE0341A"/>
    <w:rsid w:val="0CEE4F60"/>
    <w:rsid w:val="0CF14A50"/>
    <w:rsid w:val="0D026A32"/>
    <w:rsid w:val="0D10283C"/>
    <w:rsid w:val="0D3F7F2E"/>
    <w:rsid w:val="0D494870"/>
    <w:rsid w:val="0D5456F5"/>
    <w:rsid w:val="0D5955C7"/>
    <w:rsid w:val="0D705EC6"/>
    <w:rsid w:val="0D7C5049"/>
    <w:rsid w:val="0D83675C"/>
    <w:rsid w:val="0D8C75B3"/>
    <w:rsid w:val="0D9E0018"/>
    <w:rsid w:val="0DB757B9"/>
    <w:rsid w:val="0DC91529"/>
    <w:rsid w:val="0DE7555E"/>
    <w:rsid w:val="0DF06351"/>
    <w:rsid w:val="0E0979BF"/>
    <w:rsid w:val="0E574D87"/>
    <w:rsid w:val="0E5A014C"/>
    <w:rsid w:val="0E5E4DB8"/>
    <w:rsid w:val="0E5F6E07"/>
    <w:rsid w:val="0E607B1B"/>
    <w:rsid w:val="0E6126CF"/>
    <w:rsid w:val="0E63372C"/>
    <w:rsid w:val="0E635AF2"/>
    <w:rsid w:val="0E7F77A7"/>
    <w:rsid w:val="0E8405CA"/>
    <w:rsid w:val="0E8D5133"/>
    <w:rsid w:val="0E9C5859"/>
    <w:rsid w:val="0EB1236A"/>
    <w:rsid w:val="0ED24AE4"/>
    <w:rsid w:val="0EDD528C"/>
    <w:rsid w:val="0F197C6F"/>
    <w:rsid w:val="0F270991"/>
    <w:rsid w:val="0F3E6F11"/>
    <w:rsid w:val="0F6F7789"/>
    <w:rsid w:val="0FC27645"/>
    <w:rsid w:val="0FC947F4"/>
    <w:rsid w:val="101F02CE"/>
    <w:rsid w:val="10401F77"/>
    <w:rsid w:val="104B26C9"/>
    <w:rsid w:val="105312C0"/>
    <w:rsid w:val="105C5738"/>
    <w:rsid w:val="107907CC"/>
    <w:rsid w:val="10843C5D"/>
    <w:rsid w:val="108A2F73"/>
    <w:rsid w:val="109909D1"/>
    <w:rsid w:val="10AF48AE"/>
    <w:rsid w:val="10B47EB2"/>
    <w:rsid w:val="10B73F1D"/>
    <w:rsid w:val="10BE1B05"/>
    <w:rsid w:val="10C84882"/>
    <w:rsid w:val="10C91EBB"/>
    <w:rsid w:val="10D1178C"/>
    <w:rsid w:val="10E07EE2"/>
    <w:rsid w:val="10ED3781"/>
    <w:rsid w:val="10F630E0"/>
    <w:rsid w:val="11060EFE"/>
    <w:rsid w:val="11112CBE"/>
    <w:rsid w:val="111451B1"/>
    <w:rsid w:val="11163418"/>
    <w:rsid w:val="111818B8"/>
    <w:rsid w:val="113B439C"/>
    <w:rsid w:val="1143786B"/>
    <w:rsid w:val="11482EBF"/>
    <w:rsid w:val="11537715"/>
    <w:rsid w:val="11565610"/>
    <w:rsid w:val="11674F62"/>
    <w:rsid w:val="1171000D"/>
    <w:rsid w:val="11755B31"/>
    <w:rsid w:val="118A244C"/>
    <w:rsid w:val="11913CE3"/>
    <w:rsid w:val="11950BDB"/>
    <w:rsid w:val="119C5B20"/>
    <w:rsid w:val="11A2124C"/>
    <w:rsid w:val="11AC592C"/>
    <w:rsid w:val="11AD389E"/>
    <w:rsid w:val="11BD13A5"/>
    <w:rsid w:val="11C20C82"/>
    <w:rsid w:val="11C768FF"/>
    <w:rsid w:val="11D675CB"/>
    <w:rsid w:val="11E84D68"/>
    <w:rsid w:val="12011292"/>
    <w:rsid w:val="12063740"/>
    <w:rsid w:val="12101447"/>
    <w:rsid w:val="12241424"/>
    <w:rsid w:val="12275F24"/>
    <w:rsid w:val="123756C9"/>
    <w:rsid w:val="125F1817"/>
    <w:rsid w:val="12631B42"/>
    <w:rsid w:val="12655569"/>
    <w:rsid w:val="12695551"/>
    <w:rsid w:val="127576CE"/>
    <w:rsid w:val="127F2662"/>
    <w:rsid w:val="128435EC"/>
    <w:rsid w:val="12843C71"/>
    <w:rsid w:val="129643EF"/>
    <w:rsid w:val="12B83A98"/>
    <w:rsid w:val="12BB4641"/>
    <w:rsid w:val="12BF6231"/>
    <w:rsid w:val="12CD4F26"/>
    <w:rsid w:val="12CE1F8E"/>
    <w:rsid w:val="13024F62"/>
    <w:rsid w:val="1307442E"/>
    <w:rsid w:val="130B3F40"/>
    <w:rsid w:val="13244721"/>
    <w:rsid w:val="13285985"/>
    <w:rsid w:val="13390EFF"/>
    <w:rsid w:val="133A1A09"/>
    <w:rsid w:val="133C703D"/>
    <w:rsid w:val="13494163"/>
    <w:rsid w:val="134C77A5"/>
    <w:rsid w:val="134D2BB6"/>
    <w:rsid w:val="134F24D1"/>
    <w:rsid w:val="135D3F89"/>
    <w:rsid w:val="135E6A8D"/>
    <w:rsid w:val="13731B39"/>
    <w:rsid w:val="13806B2E"/>
    <w:rsid w:val="1381791C"/>
    <w:rsid w:val="13A11F77"/>
    <w:rsid w:val="13A75515"/>
    <w:rsid w:val="13C30E6E"/>
    <w:rsid w:val="140769BE"/>
    <w:rsid w:val="1413430F"/>
    <w:rsid w:val="141613F9"/>
    <w:rsid w:val="141C6857"/>
    <w:rsid w:val="14203CB8"/>
    <w:rsid w:val="143A0B7C"/>
    <w:rsid w:val="143C354F"/>
    <w:rsid w:val="144646A7"/>
    <w:rsid w:val="14545F32"/>
    <w:rsid w:val="14596F4E"/>
    <w:rsid w:val="146A2E8A"/>
    <w:rsid w:val="146F011F"/>
    <w:rsid w:val="147632A2"/>
    <w:rsid w:val="147C605C"/>
    <w:rsid w:val="14872049"/>
    <w:rsid w:val="14936552"/>
    <w:rsid w:val="14C272D2"/>
    <w:rsid w:val="14D616A8"/>
    <w:rsid w:val="14E463A0"/>
    <w:rsid w:val="14EA3450"/>
    <w:rsid w:val="14F767B6"/>
    <w:rsid w:val="14FB222F"/>
    <w:rsid w:val="14FF79DA"/>
    <w:rsid w:val="150F0D42"/>
    <w:rsid w:val="151C2838"/>
    <w:rsid w:val="152B0972"/>
    <w:rsid w:val="153100E0"/>
    <w:rsid w:val="153E582F"/>
    <w:rsid w:val="154D0C92"/>
    <w:rsid w:val="158346B4"/>
    <w:rsid w:val="159016BB"/>
    <w:rsid w:val="159D39C7"/>
    <w:rsid w:val="15A351E5"/>
    <w:rsid w:val="15D849FF"/>
    <w:rsid w:val="15E5000F"/>
    <w:rsid w:val="16031113"/>
    <w:rsid w:val="16213B9C"/>
    <w:rsid w:val="163E350B"/>
    <w:rsid w:val="16602856"/>
    <w:rsid w:val="16674FC6"/>
    <w:rsid w:val="16692CA6"/>
    <w:rsid w:val="16725D01"/>
    <w:rsid w:val="16887749"/>
    <w:rsid w:val="168F227C"/>
    <w:rsid w:val="16BF796D"/>
    <w:rsid w:val="16F45F36"/>
    <w:rsid w:val="16FC1D97"/>
    <w:rsid w:val="171F0861"/>
    <w:rsid w:val="17372639"/>
    <w:rsid w:val="17397720"/>
    <w:rsid w:val="173D243C"/>
    <w:rsid w:val="17534ECF"/>
    <w:rsid w:val="175F0E7A"/>
    <w:rsid w:val="17611E4F"/>
    <w:rsid w:val="1767434D"/>
    <w:rsid w:val="17BA77C8"/>
    <w:rsid w:val="17C93C3F"/>
    <w:rsid w:val="17D71645"/>
    <w:rsid w:val="17DC2F40"/>
    <w:rsid w:val="17DD1E28"/>
    <w:rsid w:val="17E01BB1"/>
    <w:rsid w:val="17E21891"/>
    <w:rsid w:val="181011F1"/>
    <w:rsid w:val="181C38B0"/>
    <w:rsid w:val="181E053B"/>
    <w:rsid w:val="18205336"/>
    <w:rsid w:val="18463EA2"/>
    <w:rsid w:val="184F29B3"/>
    <w:rsid w:val="18550589"/>
    <w:rsid w:val="18810539"/>
    <w:rsid w:val="188D1AD1"/>
    <w:rsid w:val="18AA0A18"/>
    <w:rsid w:val="18DF40DC"/>
    <w:rsid w:val="18F25DD8"/>
    <w:rsid w:val="18F45107"/>
    <w:rsid w:val="18F47AF6"/>
    <w:rsid w:val="190A522C"/>
    <w:rsid w:val="191C0124"/>
    <w:rsid w:val="192349BD"/>
    <w:rsid w:val="19297C63"/>
    <w:rsid w:val="192A06DB"/>
    <w:rsid w:val="192C0B58"/>
    <w:rsid w:val="192D288C"/>
    <w:rsid w:val="194335B5"/>
    <w:rsid w:val="198218DD"/>
    <w:rsid w:val="199450E1"/>
    <w:rsid w:val="19A01ECA"/>
    <w:rsid w:val="19BF2F9E"/>
    <w:rsid w:val="19C56581"/>
    <w:rsid w:val="19CC487B"/>
    <w:rsid w:val="19EE41FA"/>
    <w:rsid w:val="1A002E3D"/>
    <w:rsid w:val="1A0E78C9"/>
    <w:rsid w:val="1A187AC0"/>
    <w:rsid w:val="1A3366A8"/>
    <w:rsid w:val="1A5A6066"/>
    <w:rsid w:val="1A777345"/>
    <w:rsid w:val="1A7A4184"/>
    <w:rsid w:val="1A8D59A2"/>
    <w:rsid w:val="1A8E3BCD"/>
    <w:rsid w:val="1A9154DD"/>
    <w:rsid w:val="1AD15B84"/>
    <w:rsid w:val="1ADA6CD0"/>
    <w:rsid w:val="1AF47380"/>
    <w:rsid w:val="1B0B3181"/>
    <w:rsid w:val="1B0C0005"/>
    <w:rsid w:val="1B251F48"/>
    <w:rsid w:val="1B3833FF"/>
    <w:rsid w:val="1B396BED"/>
    <w:rsid w:val="1B4C6CA1"/>
    <w:rsid w:val="1B52759D"/>
    <w:rsid w:val="1B612ED3"/>
    <w:rsid w:val="1B6A011C"/>
    <w:rsid w:val="1B6B1E72"/>
    <w:rsid w:val="1B705E15"/>
    <w:rsid w:val="1B8C6B7B"/>
    <w:rsid w:val="1BA0571E"/>
    <w:rsid w:val="1BA72C10"/>
    <w:rsid w:val="1BB91038"/>
    <w:rsid w:val="1BBF65FB"/>
    <w:rsid w:val="1BD162E3"/>
    <w:rsid w:val="1BDE64F1"/>
    <w:rsid w:val="1BEA1EEC"/>
    <w:rsid w:val="1BF657FB"/>
    <w:rsid w:val="1BF868AD"/>
    <w:rsid w:val="1C0224B2"/>
    <w:rsid w:val="1C0503E8"/>
    <w:rsid w:val="1C126363"/>
    <w:rsid w:val="1C2023D8"/>
    <w:rsid w:val="1C766429"/>
    <w:rsid w:val="1C771298"/>
    <w:rsid w:val="1C786858"/>
    <w:rsid w:val="1C800114"/>
    <w:rsid w:val="1C9A155D"/>
    <w:rsid w:val="1CB15134"/>
    <w:rsid w:val="1CB778FC"/>
    <w:rsid w:val="1CC92F95"/>
    <w:rsid w:val="1CFA7EEF"/>
    <w:rsid w:val="1CFB1146"/>
    <w:rsid w:val="1D0E75B6"/>
    <w:rsid w:val="1D2331DE"/>
    <w:rsid w:val="1D312AFC"/>
    <w:rsid w:val="1D325ED3"/>
    <w:rsid w:val="1D37062D"/>
    <w:rsid w:val="1D4105A8"/>
    <w:rsid w:val="1D487EB6"/>
    <w:rsid w:val="1D531B64"/>
    <w:rsid w:val="1D6B6159"/>
    <w:rsid w:val="1D7B204C"/>
    <w:rsid w:val="1DB37E6F"/>
    <w:rsid w:val="1DB72E7F"/>
    <w:rsid w:val="1DEF210E"/>
    <w:rsid w:val="1E317170"/>
    <w:rsid w:val="1E331E3B"/>
    <w:rsid w:val="1E401394"/>
    <w:rsid w:val="1E4914EC"/>
    <w:rsid w:val="1E561B49"/>
    <w:rsid w:val="1E5B5B74"/>
    <w:rsid w:val="1E925E44"/>
    <w:rsid w:val="1E9355E4"/>
    <w:rsid w:val="1EDB21B2"/>
    <w:rsid w:val="1EE21D29"/>
    <w:rsid w:val="1F0B37C8"/>
    <w:rsid w:val="1F280F4B"/>
    <w:rsid w:val="1F3E1D5D"/>
    <w:rsid w:val="1F441C9D"/>
    <w:rsid w:val="1F5F4AC7"/>
    <w:rsid w:val="1F6E3177"/>
    <w:rsid w:val="1F6F04BA"/>
    <w:rsid w:val="1F6F7A87"/>
    <w:rsid w:val="1F7742A1"/>
    <w:rsid w:val="1F832B7E"/>
    <w:rsid w:val="1F8C15A6"/>
    <w:rsid w:val="1F986F45"/>
    <w:rsid w:val="1F9F6666"/>
    <w:rsid w:val="1FA140B4"/>
    <w:rsid w:val="1FCD6552"/>
    <w:rsid w:val="1FE07634"/>
    <w:rsid w:val="1FF829ED"/>
    <w:rsid w:val="1FF93EF0"/>
    <w:rsid w:val="20027E74"/>
    <w:rsid w:val="20077841"/>
    <w:rsid w:val="201047BC"/>
    <w:rsid w:val="2019412B"/>
    <w:rsid w:val="2024650C"/>
    <w:rsid w:val="204A07CF"/>
    <w:rsid w:val="204E5FD2"/>
    <w:rsid w:val="20703E6E"/>
    <w:rsid w:val="207A428C"/>
    <w:rsid w:val="20835E3C"/>
    <w:rsid w:val="208A0C45"/>
    <w:rsid w:val="208F1332"/>
    <w:rsid w:val="20AA71C2"/>
    <w:rsid w:val="20B10A0D"/>
    <w:rsid w:val="20B9166B"/>
    <w:rsid w:val="20D02ECC"/>
    <w:rsid w:val="20DC2970"/>
    <w:rsid w:val="20FA7410"/>
    <w:rsid w:val="21076B87"/>
    <w:rsid w:val="21094E07"/>
    <w:rsid w:val="21113681"/>
    <w:rsid w:val="21250156"/>
    <w:rsid w:val="212B3666"/>
    <w:rsid w:val="21523AD1"/>
    <w:rsid w:val="21532B4D"/>
    <w:rsid w:val="215C6880"/>
    <w:rsid w:val="216D19EE"/>
    <w:rsid w:val="21860B2C"/>
    <w:rsid w:val="218F0080"/>
    <w:rsid w:val="21A165ED"/>
    <w:rsid w:val="21E13F03"/>
    <w:rsid w:val="22084595"/>
    <w:rsid w:val="2225605D"/>
    <w:rsid w:val="222A72A4"/>
    <w:rsid w:val="222F2404"/>
    <w:rsid w:val="22423882"/>
    <w:rsid w:val="227334E7"/>
    <w:rsid w:val="22734646"/>
    <w:rsid w:val="22AE1EDE"/>
    <w:rsid w:val="22C23296"/>
    <w:rsid w:val="22D66D30"/>
    <w:rsid w:val="22DD6CC1"/>
    <w:rsid w:val="2307360A"/>
    <w:rsid w:val="230F0CC5"/>
    <w:rsid w:val="23243D93"/>
    <w:rsid w:val="232931CF"/>
    <w:rsid w:val="233E3FBC"/>
    <w:rsid w:val="23444415"/>
    <w:rsid w:val="234D2AE9"/>
    <w:rsid w:val="234D2C71"/>
    <w:rsid w:val="23505F5A"/>
    <w:rsid w:val="235F3612"/>
    <w:rsid w:val="23666663"/>
    <w:rsid w:val="23693289"/>
    <w:rsid w:val="23757B5B"/>
    <w:rsid w:val="237B0E89"/>
    <w:rsid w:val="238732D2"/>
    <w:rsid w:val="23887728"/>
    <w:rsid w:val="238E5D94"/>
    <w:rsid w:val="239006C7"/>
    <w:rsid w:val="239147E1"/>
    <w:rsid w:val="23920DB7"/>
    <w:rsid w:val="23941CC9"/>
    <w:rsid w:val="239C1E68"/>
    <w:rsid w:val="23BB34F7"/>
    <w:rsid w:val="23D167C1"/>
    <w:rsid w:val="23FE2934"/>
    <w:rsid w:val="24105169"/>
    <w:rsid w:val="24145543"/>
    <w:rsid w:val="2415164D"/>
    <w:rsid w:val="242853E9"/>
    <w:rsid w:val="24372605"/>
    <w:rsid w:val="24426206"/>
    <w:rsid w:val="2466767A"/>
    <w:rsid w:val="247921D2"/>
    <w:rsid w:val="24B77ED6"/>
    <w:rsid w:val="24D40FD8"/>
    <w:rsid w:val="24DE5C48"/>
    <w:rsid w:val="24E51E80"/>
    <w:rsid w:val="24F64777"/>
    <w:rsid w:val="24FB1C59"/>
    <w:rsid w:val="24FE0E05"/>
    <w:rsid w:val="25186BC6"/>
    <w:rsid w:val="253B28B5"/>
    <w:rsid w:val="253D055D"/>
    <w:rsid w:val="25517809"/>
    <w:rsid w:val="256C1BBD"/>
    <w:rsid w:val="256F2571"/>
    <w:rsid w:val="2576124C"/>
    <w:rsid w:val="258130F7"/>
    <w:rsid w:val="258F1D8B"/>
    <w:rsid w:val="25906574"/>
    <w:rsid w:val="259402E7"/>
    <w:rsid w:val="25AF3989"/>
    <w:rsid w:val="25B82D92"/>
    <w:rsid w:val="25C73339"/>
    <w:rsid w:val="25C772BF"/>
    <w:rsid w:val="25D05B49"/>
    <w:rsid w:val="25D62822"/>
    <w:rsid w:val="25FD1357"/>
    <w:rsid w:val="260B3061"/>
    <w:rsid w:val="26205FC9"/>
    <w:rsid w:val="262931EB"/>
    <w:rsid w:val="262B2929"/>
    <w:rsid w:val="262E591A"/>
    <w:rsid w:val="263771C4"/>
    <w:rsid w:val="26400EA4"/>
    <w:rsid w:val="265B4748"/>
    <w:rsid w:val="26622CD9"/>
    <w:rsid w:val="266372C2"/>
    <w:rsid w:val="267961DB"/>
    <w:rsid w:val="268C7D4E"/>
    <w:rsid w:val="26A60A07"/>
    <w:rsid w:val="26B424FB"/>
    <w:rsid w:val="26BA7639"/>
    <w:rsid w:val="26CC1B59"/>
    <w:rsid w:val="26D10ECC"/>
    <w:rsid w:val="26EF57DC"/>
    <w:rsid w:val="26F03AC9"/>
    <w:rsid w:val="27083115"/>
    <w:rsid w:val="27142A2D"/>
    <w:rsid w:val="271B4881"/>
    <w:rsid w:val="27214C90"/>
    <w:rsid w:val="272414C7"/>
    <w:rsid w:val="27265B39"/>
    <w:rsid w:val="272A2ED5"/>
    <w:rsid w:val="273D2914"/>
    <w:rsid w:val="273E547E"/>
    <w:rsid w:val="27400656"/>
    <w:rsid w:val="27437FB3"/>
    <w:rsid w:val="27685524"/>
    <w:rsid w:val="276959E0"/>
    <w:rsid w:val="276F555C"/>
    <w:rsid w:val="27702C8E"/>
    <w:rsid w:val="27827E3D"/>
    <w:rsid w:val="27A028B7"/>
    <w:rsid w:val="27AB6605"/>
    <w:rsid w:val="27BF3604"/>
    <w:rsid w:val="27D26786"/>
    <w:rsid w:val="27EA6257"/>
    <w:rsid w:val="27FD3CE9"/>
    <w:rsid w:val="2831638E"/>
    <w:rsid w:val="284F457A"/>
    <w:rsid w:val="28503B39"/>
    <w:rsid w:val="285117F8"/>
    <w:rsid w:val="288445F5"/>
    <w:rsid w:val="28883EBB"/>
    <w:rsid w:val="28885F5E"/>
    <w:rsid w:val="28901CD3"/>
    <w:rsid w:val="28907627"/>
    <w:rsid w:val="28A908AA"/>
    <w:rsid w:val="28C3120E"/>
    <w:rsid w:val="28D9203E"/>
    <w:rsid w:val="28FB2A87"/>
    <w:rsid w:val="290A1459"/>
    <w:rsid w:val="290D2770"/>
    <w:rsid w:val="291B4ED7"/>
    <w:rsid w:val="293430C2"/>
    <w:rsid w:val="29394DC3"/>
    <w:rsid w:val="294D3F3D"/>
    <w:rsid w:val="295B0D23"/>
    <w:rsid w:val="296A69AB"/>
    <w:rsid w:val="296E2E4C"/>
    <w:rsid w:val="297A28A9"/>
    <w:rsid w:val="29871168"/>
    <w:rsid w:val="299C3570"/>
    <w:rsid w:val="299C610E"/>
    <w:rsid w:val="299F7580"/>
    <w:rsid w:val="29B24934"/>
    <w:rsid w:val="29B661A7"/>
    <w:rsid w:val="29C25DAC"/>
    <w:rsid w:val="29EF59E7"/>
    <w:rsid w:val="29F869C7"/>
    <w:rsid w:val="29FA460F"/>
    <w:rsid w:val="2A081208"/>
    <w:rsid w:val="2A19132F"/>
    <w:rsid w:val="2A1E3A2B"/>
    <w:rsid w:val="2A3714C4"/>
    <w:rsid w:val="2A4E1459"/>
    <w:rsid w:val="2A5E24DB"/>
    <w:rsid w:val="2A5F7045"/>
    <w:rsid w:val="2A926984"/>
    <w:rsid w:val="2AA908E7"/>
    <w:rsid w:val="2AC017A8"/>
    <w:rsid w:val="2AC36155"/>
    <w:rsid w:val="2AF2488D"/>
    <w:rsid w:val="2B1C1A99"/>
    <w:rsid w:val="2B1E0CAF"/>
    <w:rsid w:val="2B275DB5"/>
    <w:rsid w:val="2B334F71"/>
    <w:rsid w:val="2B423F39"/>
    <w:rsid w:val="2B50394A"/>
    <w:rsid w:val="2B753191"/>
    <w:rsid w:val="2B793AD0"/>
    <w:rsid w:val="2B7D6E07"/>
    <w:rsid w:val="2B9444D2"/>
    <w:rsid w:val="2BB05DAB"/>
    <w:rsid w:val="2BE340CE"/>
    <w:rsid w:val="2BFC3479"/>
    <w:rsid w:val="2BFD1056"/>
    <w:rsid w:val="2C1E1CA1"/>
    <w:rsid w:val="2C214447"/>
    <w:rsid w:val="2C232160"/>
    <w:rsid w:val="2C4D6F1B"/>
    <w:rsid w:val="2C587217"/>
    <w:rsid w:val="2C825683"/>
    <w:rsid w:val="2C8D63B1"/>
    <w:rsid w:val="2CBB44E5"/>
    <w:rsid w:val="2CBC77F6"/>
    <w:rsid w:val="2CD535EF"/>
    <w:rsid w:val="2CDB55D6"/>
    <w:rsid w:val="2D05070F"/>
    <w:rsid w:val="2D1D236A"/>
    <w:rsid w:val="2D1F486A"/>
    <w:rsid w:val="2D7A4739"/>
    <w:rsid w:val="2DAB174B"/>
    <w:rsid w:val="2DAC3053"/>
    <w:rsid w:val="2DB21AB3"/>
    <w:rsid w:val="2DC70AE2"/>
    <w:rsid w:val="2DCA6026"/>
    <w:rsid w:val="2DCD4928"/>
    <w:rsid w:val="2DE96603"/>
    <w:rsid w:val="2DEA131C"/>
    <w:rsid w:val="2E096E66"/>
    <w:rsid w:val="2E0E6DB8"/>
    <w:rsid w:val="2E1729D6"/>
    <w:rsid w:val="2E1A0C6A"/>
    <w:rsid w:val="2E347EE6"/>
    <w:rsid w:val="2E374A38"/>
    <w:rsid w:val="2E3A1850"/>
    <w:rsid w:val="2E3C5510"/>
    <w:rsid w:val="2E4A61BB"/>
    <w:rsid w:val="2E6305D7"/>
    <w:rsid w:val="2E690638"/>
    <w:rsid w:val="2E875B98"/>
    <w:rsid w:val="2E91505A"/>
    <w:rsid w:val="2EA37EAA"/>
    <w:rsid w:val="2EBD7031"/>
    <w:rsid w:val="2EF370CA"/>
    <w:rsid w:val="2EF73B32"/>
    <w:rsid w:val="2F011E82"/>
    <w:rsid w:val="2F240791"/>
    <w:rsid w:val="2F3C5BA7"/>
    <w:rsid w:val="2F492921"/>
    <w:rsid w:val="2F4C7446"/>
    <w:rsid w:val="2F651F62"/>
    <w:rsid w:val="2F6858EF"/>
    <w:rsid w:val="2F6A0B1E"/>
    <w:rsid w:val="2F784161"/>
    <w:rsid w:val="2F7B48B5"/>
    <w:rsid w:val="2F853233"/>
    <w:rsid w:val="2F8F3F29"/>
    <w:rsid w:val="2F9E416C"/>
    <w:rsid w:val="2FAF333B"/>
    <w:rsid w:val="2FC27E67"/>
    <w:rsid w:val="2FCD2C96"/>
    <w:rsid w:val="2FE66FC1"/>
    <w:rsid w:val="30160CDB"/>
    <w:rsid w:val="301B2075"/>
    <w:rsid w:val="301D1535"/>
    <w:rsid w:val="30243B4E"/>
    <w:rsid w:val="30287A71"/>
    <w:rsid w:val="3046030C"/>
    <w:rsid w:val="30613F93"/>
    <w:rsid w:val="306162D4"/>
    <w:rsid w:val="30635A86"/>
    <w:rsid w:val="30797BE5"/>
    <w:rsid w:val="308146B4"/>
    <w:rsid w:val="3095556F"/>
    <w:rsid w:val="30974F88"/>
    <w:rsid w:val="3098505F"/>
    <w:rsid w:val="309F27BB"/>
    <w:rsid w:val="30A41F52"/>
    <w:rsid w:val="30C01081"/>
    <w:rsid w:val="30C81567"/>
    <w:rsid w:val="30CD46BC"/>
    <w:rsid w:val="31013135"/>
    <w:rsid w:val="311763B6"/>
    <w:rsid w:val="31257A15"/>
    <w:rsid w:val="31452A71"/>
    <w:rsid w:val="31527289"/>
    <w:rsid w:val="316118F5"/>
    <w:rsid w:val="31834561"/>
    <w:rsid w:val="318F2514"/>
    <w:rsid w:val="31937CD3"/>
    <w:rsid w:val="31AC658F"/>
    <w:rsid w:val="31B2519D"/>
    <w:rsid w:val="31B37BA1"/>
    <w:rsid w:val="31C62851"/>
    <w:rsid w:val="31EC7411"/>
    <w:rsid w:val="31EE6D68"/>
    <w:rsid w:val="31F241E6"/>
    <w:rsid w:val="31FD2600"/>
    <w:rsid w:val="32114B98"/>
    <w:rsid w:val="32127E75"/>
    <w:rsid w:val="32166D38"/>
    <w:rsid w:val="32210BD1"/>
    <w:rsid w:val="322658D9"/>
    <w:rsid w:val="32281C98"/>
    <w:rsid w:val="322A7F39"/>
    <w:rsid w:val="32361B53"/>
    <w:rsid w:val="32400891"/>
    <w:rsid w:val="32493248"/>
    <w:rsid w:val="324C0B81"/>
    <w:rsid w:val="32520890"/>
    <w:rsid w:val="3272558C"/>
    <w:rsid w:val="32731ECD"/>
    <w:rsid w:val="327403EA"/>
    <w:rsid w:val="32902492"/>
    <w:rsid w:val="32935ADE"/>
    <w:rsid w:val="329F26D5"/>
    <w:rsid w:val="32C25872"/>
    <w:rsid w:val="32D473D1"/>
    <w:rsid w:val="32DA51AD"/>
    <w:rsid w:val="32DC671C"/>
    <w:rsid w:val="32DF0D23"/>
    <w:rsid w:val="32E54AEA"/>
    <w:rsid w:val="33091096"/>
    <w:rsid w:val="33232830"/>
    <w:rsid w:val="33247F6A"/>
    <w:rsid w:val="33442827"/>
    <w:rsid w:val="33462AFF"/>
    <w:rsid w:val="336A1FE6"/>
    <w:rsid w:val="337E52FC"/>
    <w:rsid w:val="33843CA1"/>
    <w:rsid w:val="338604C2"/>
    <w:rsid w:val="338F2A0F"/>
    <w:rsid w:val="33996246"/>
    <w:rsid w:val="33DC7649"/>
    <w:rsid w:val="33FE167D"/>
    <w:rsid w:val="340639D6"/>
    <w:rsid w:val="34105AD1"/>
    <w:rsid w:val="34107C73"/>
    <w:rsid w:val="344C42AD"/>
    <w:rsid w:val="34731AFC"/>
    <w:rsid w:val="347728F4"/>
    <w:rsid w:val="348B54C8"/>
    <w:rsid w:val="34915550"/>
    <w:rsid w:val="349D56AC"/>
    <w:rsid w:val="349D6BA5"/>
    <w:rsid w:val="34A02734"/>
    <w:rsid w:val="34A11B7B"/>
    <w:rsid w:val="34A6697A"/>
    <w:rsid w:val="34AF7E71"/>
    <w:rsid w:val="34B33A72"/>
    <w:rsid w:val="34BF1760"/>
    <w:rsid w:val="34D5280E"/>
    <w:rsid w:val="34E20D20"/>
    <w:rsid w:val="350C7DB7"/>
    <w:rsid w:val="355B4813"/>
    <w:rsid w:val="3562042D"/>
    <w:rsid w:val="356608C9"/>
    <w:rsid w:val="35850AE6"/>
    <w:rsid w:val="358D2CB9"/>
    <w:rsid w:val="35DE1818"/>
    <w:rsid w:val="35E06871"/>
    <w:rsid w:val="35E13004"/>
    <w:rsid w:val="36146F55"/>
    <w:rsid w:val="363237A4"/>
    <w:rsid w:val="363B2715"/>
    <w:rsid w:val="36767BF1"/>
    <w:rsid w:val="36787E34"/>
    <w:rsid w:val="368C11C2"/>
    <w:rsid w:val="36D974F7"/>
    <w:rsid w:val="36DA1F2E"/>
    <w:rsid w:val="36E03CF2"/>
    <w:rsid w:val="36E05B33"/>
    <w:rsid w:val="36E7464B"/>
    <w:rsid w:val="36E77649"/>
    <w:rsid w:val="36FC06E4"/>
    <w:rsid w:val="37002BA5"/>
    <w:rsid w:val="372A57D1"/>
    <w:rsid w:val="373006D6"/>
    <w:rsid w:val="373215AF"/>
    <w:rsid w:val="37395AAC"/>
    <w:rsid w:val="37533A9C"/>
    <w:rsid w:val="37554C2A"/>
    <w:rsid w:val="376A448A"/>
    <w:rsid w:val="376B0F69"/>
    <w:rsid w:val="376C2F8C"/>
    <w:rsid w:val="37733C45"/>
    <w:rsid w:val="37CB5D1A"/>
    <w:rsid w:val="37EA244F"/>
    <w:rsid w:val="3801691A"/>
    <w:rsid w:val="38053C44"/>
    <w:rsid w:val="38066D52"/>
    <w:rsid w:val="3816564C"/>
    <w:rsid w:val="382A2A0E"/>
    <w:rsid w:val="383C5D00"/>
    <w:rsid w:val="383F5E4A"/>
    <w:rsid w:val="38622194"/>
    <w:rsid w:val="38684F32"/>
    <w:rsid w:val="387A7CA5"/>
    <w:rsid w:val="387E3BF1"/>
    <w:rsid w:val="388E0F50"/>
    <w:rsid w:val="38941E98"/>
    <w:rsid w:val="38983F5E"/>
    <w:rsid w:val="38C65B34"/>
    <w:rsid w:val="38E36244"/>
    <w:rsid w:val="38EC1118"/>
    <w:rsid w:val="38F96580"/>
    <w:rsid w:val="38FD1A72"/>
    <w:rsid w:val="39056352"/>
    <w:rsid w:val="391B682D"/>
    <w:rsid w:val="392F5095"/>
    <w:rsid w:val="3938092E"/>
    <w:rsid w:val="39413193"/>
    <w:rsid w:val="39465433"/>
    <w:rsid w:val="394F102E"/>
    <w:rsid w:val="395B6912"/>
    <w:rsid w:val="396E2E01"/>
    <w:rsid w:val="39750ACE"/>
    <w:rsid w:val="398A61BC"/>
    <w:rsid w:val="399510E7"/>
    <w:rsid w:val="399B683C"/>
    <w:rsid w:val="399D3FE9"/>
    <w:rsid w:val="39B51F60"/>
    <w:rsid w:val="39BE3B67"/>
    <w:rsid w:val="39E932D4"/>
    <w:rsid w:val="39EA0C0C"/>
    <w:rsid w:val="3A0E0140"/>
    <w:rsid w:val="3A10210A"/>
    <w:rsid w:val="3A1C6D85"/>
    <w:rsid w:val="3A3F6C87"/>
    <w:rsid w:val="3A4F625E"/>
    <w:rsid w:val="3A531373"/>
    <w:rsid w:val="3A5B021A"/>
    <w:rsid w:val="3A772970"/>
    <w:rsid w:val="3A7D6D38"/>
    <w:rsid w:val="3AB971E4"/>
    <w:rsid w:val="3AC23405"/>
    <w:rsid w:val="3ADF78F0"/>
    <w:rsid w:val="3AE00107"/>
    <w:rsid w:val="3AE428CE"/>
    <w:rsid w:val="3B023CD3"/>
    <w:rsid w:val="3B140F58"/>
    <w:rsid w:val="3B170940"/>
    <w:rsid w:val="3B2A2C19"/>
    <w:rsid w:val="3B376B70"/>
    <w:rsid w:val="3B7A7129"/>
    <w:rsid w:val="3B7B6D0A"/>
    <w:rsid w:val="3B7D7576"/>
    <w:rsid w:val="3B7F1E8C"/>
    <w:rsid w:val="3B806E1C"/>
    <w:rsid w:val="3B8212D1"/>
    <w:rsid w:val="3B890DAC"/>
    <w:rsid w:val="3BA25DBC"/>
    <w:rsid w:val="3BC76E9C"/>
    <w:rsid w:val="3BCB453B"/>
    <w:rsid w:val="3BCB467A"/>
    <w:rsid w:val="3BE455FD"/>
    <w:rsid w:val="3BE90506"/>
    <w:rsid w:val="3BEB6832"/>
    <w:rsid w:val="3BFA06DC"/>
    <w:rsid w:val="3C101301"/>
    <w:rsid w:val="3C1D466B"/>
    <w:rsid w:val="3C20237F"/>
    <w:rsid w:val="3C2E5ED4"/>
    <w:rsid w:val="3C40766B"/>
    <w:rsid w:val="3C502C92"/>
    <w:rsid w:val="3C6504EB"/>
    <w:rsid w:val="3C7F621D"/>
    <w:rsid w:val="3C8B47EB"/>
    <w:rsid w:val="3CA1704A"/>
    <w:rsid w:val="3CBB6AC9"/>
    <w:rsid w:val="3CBD35C8"/>
    <w:rsid w:val="3D1456AE"/>
    <w:rsid w:val="3D145DCC"/>
    <w:rsid w:val="3D1C0002"/>
    <w:rsid w:val="3D2962ED"/>
    <w:rsid w:val="3D2D7B94"/>
    <w:rsid w:val="3D340B81"/>
    <w:rsid w:val="3D4A41E6"/>
    <w:rsid w:val="3D4E706F"/>
    <w:rsid w:val="3D5B241B"/>
    <w:rsid w:val="3D8311E9"/>
    <w:rsid w:val="3DAA319C"/>
    <w:rsid w:val="3DC756F9"/>
    <w:rsid w:val="3E036111"/>
    <w:rsid w:val="3E1321C9"/>
    <w:rsid w:val="3E5D6B5C"/>
    <w:rsid w:val="3E7E4756"/>
    <w:rsid w:val="3E8106B7"/>
    <w:rsid w:val="3E845265"/>
    <w:rsid w:val="3E8A0DEA"/>
    <w:rsid w:val="3E9A3719"/>
    <w:rsid w:val="3EAB2402"/>
    <w:rsid w:val="3EBE0387"/>
    <w:rsid w:val="3EC254C0"/>
    <w:rsid w:val="3ED07987"/>
    <w:rsid w:val="3EDE3C76"/>
    <w:rsid w:val="3EED10F8"/>
    <w:rsid w:val="3EFE25BA"/>
    <w:rsid w:val="3F310FA6"/>
    <w:rsid w:val="3F337D20"/>
    <w:rsid w:val="3F3B3785"/>
    <w:rsid w:val="3F506818"/>
    <w:rsid w:val="3F684E6E"/>
    <w:rsid w:val="3F6A3676"/>
    <w:rsid w:val="3F710A6F"/>
    <w:rsid w:val="3F7E1F67"/>
    <w:rsid w:val="3F83420A"/>
    <w:rsid w:val="3F8F7315"/>
    <w:rsid w:val="3F9A203F"/>
    <w:rsid w:val="3FA67005"/>
    <w:rsid w:val="3FAE6184"/>
    <w:rsid w:val="3FE36C1C"/>
    <w:rsid w:val="3FE72AEA"/>
    <w:rsid w:val="3FEB19D5"/>
    <w:rsid w:val="3FF0041F"/>
    <w:rsid w:val="403B55F7"/>
    <w:rsid w:val="403D352D"/>
    <w:rsid w:val="403D5505"/>
    <w:rsid w:val="404C5FC4"/>
    <w:rsid w:val="40595A47"/>
    <w:rsid w:val="40632B44"/>
    <w:rsid w:val="408853C4"/>
    <w:rsid w:val="40D75E60"/>
    <w:rsid w:val="40F2437B"/>
    <w:rsid w:val="40FD48E0"/>
    <w:rsid w:val="40FE1BCF"/>
    <w:rsid w:val="40FE520F"/>
    <w:rsid w:val="4142644A"/>
    <w:rsid w:val="414562FD"/>
    <w:rsid w:val="41494FDC"/>
    <w:rsid w:val="414C3B30"/>
    <w:rsid w:val="41563B9A"/>
    <w:rsid w:val="41731331"/>
    <w:rsid w:val="417B7161"/>
    <w:rsid w:val="418579D7"/>
    <w:rsid w:val="418C6B85"/>
    <w:rsid w:val="4193340B"/>
    <w:rsid w:val="4196095F"/>
    <w:rsid w:val="419D72A2"/>
    <w:rsid w:val="41A0236E"/>
    <w:rsid w:val="41A96728"/>
    <w:rsid w:val="41AB6899"/>
    <w:rsid w:val="41EF2D3E"/>
    <w:rsid w:val="41F95353"/>
    <w:rsid w:val="42076836"/>
    <w:rsid w:val="420F1D94"/>
    <w:rsid w:val="421573A4"/>
    <w:rsid w:val="42187DAE"/>
    <w:rsid w:val="42251667"/>
    <w:rsid w:val="423B1FA8"/>
    <w:rsid w:val="424E4424"/>
    <w:rsid w:val="429325D1"/>
    <w:rsid w:val="429B53DF"/>
    <w:rsid w:val="429E3CF8"/>
    <w:rsid w:val="42BC7452"/>
    <w:rsid w:val="42D12138"/>
    <w:rsid w:val="42F7079D"/>
    <w:rsid w:val="430D4AC0"/>
    <w:rsid w:val="43195B8C"/>
    <w:rsid w:val="431E047F"/>
    <w:rsid w:val="431E65EF"/>
    <w:rsid w:val="43522956"/>
    <w:rsid w:val="43551F1B"/>
    <w:rsid w:val="43624EAD"/>
    <w:rsid w:val="437750CA"/>
    <w:rsid w:val="438D45B9"/>
    <w:rsid w:val="43985D00"/>
    <w:rsid w:val="43986BA3"/>
    <w:rsid w:val="43AB2F4E"/>
    <w:rsid w:val="43AC3F44"/>
    <w:rsid w:val="43B1210D"/>
    <w:rsid w:val="43BE4985"/>
    <w:rsid w:val="43DE77F3"/>
    <w:rsid w:val="43EF7EFB"/>
    <w:rsid w:val="43FA2050"/>
    <w:rsid w:val="4400649E"/>
    <w:rsid w:val="441910A9"/>
    <w:rsid w:val="441D0272"/>
    <w:rsid w:val="44500782"/>
    <w:rsid w:val="446871A0"/>
    <w:rsid w:val="4478624B"/>
    <w:rsid w:val="447B6681"/>
    <w:rsid w:val="4493367B"/>
    <w:rsid w:val="44961F17"/>
    <w:rsid w:val="44A84176"/>
    <w:rsid w:val="44AB74B4"/>
    <w:rsid w:val="44AD6ED3"/>
    <w:rsid w:val="44BB301C"/>
    <w:rsid w:val="44BE64B3"/>
    <w:rsid w:val="44C02DE8"/>
    <w:rsid w:val="450A3185"/>
    <w:rsid w:val="450E61CB"/>
    <w:rsid w:val="451037D6"/>
    <w:rsid w:val="452905F3"/>
    <w:rsid w:val="455235D7"/>
    <w:rsid w:val="45582FC6"/>
    <w:rsid w:val="4568103F"/>
    <w:rsid w:val="45801D53"/>
    <w:rsid w:val="45953C03"/>
    <w:rsid w:val="45A402CC"/>
    <w:rsid w:val="45AE2DF6"/>
    <w:rsid w:val="45F459D1"/>
    <w:rsid w:val="46052F0A"/>
    <w:rsid w:val="460C379B"/>
    <w:rsid w:val="462B2635"/>
    <w:rsid w:val="464A3711"/>
    <w:rsid w:val="46544EA9"/>
    <w:rsid w:val="466B4F4C"/>
    <w:rsid w:val="469246C4"/>
    <w:rsid w:val="46977D08"/>
    <w:rsid w:val="46AF3AB5"/>
    <w:rsid w:val="46E25CA4"/>
    <w:rsid w:val="46E37251"/>
    <w:rsid w:val="46F40267"/>
    <w:rsid w:val="47017932"/>
    <w:rsid w:val="47294A71"/>
    <w:rsid w:val="47451645"/>
    <w:rsid w:val="474C71DB"/>
    <w:rsid w:val="475662DB"/>
    <w:rsid w:val="47756FD4"/>
    <w:rsid w:val="4792415F"/>
    <w:rsid w:val="479B7297"/>
    <w:rsid w:val="47A214C1"/>
    <w:rsid w:val="47BA4746"/>
    <w:rsid w:val="47D626EF"/>
    <w:rsid w:val="47DE0285"/>
    <w:rsid w:val="47E81AB8"/>
    <w:rsid w:val="47F3460E"/>
    <w:rsid w:val="47F77566"/>
    <w:rsid w:val="47F94BE6"/>
    <w:rsid w:val="47FB74EB"/>
    <w:rsid w:val="4812405E"/>
    <w:rsid w:val="481A3D49"/>
    <w:rsid w:val="481C1F20"/>
    <w:rsid w:val="48220E04"/>
    <w:rsid w:val="48225672"/>
    <w:rsid w:val="482454C6"/>
    <w:rsid w:val="48297C86"/>
    <w:rsid w:val="48370969"/>
    <w:rsid w:val="4844625B"/>
    <w:rsid w:val="484F1572"/>
    <w:rsid w:val="485E533F"/>
    <w:rsid w:val="486B4E85"/>
    <w:rsid w:val="48736994"/>
    <w:rsid w:val="48801F0A"/>
    <w:rsid w:val="488C6B30"/>
    <w:rsid w:val="48913C4F"/>
    <w:rsid w:val="489757F5"/>
    <w:rsid w:val="489C3512"/>
    <w:rsid w:val="489C7EA5"/>
    <w:rsid w:val="48AF592F"/>
    <w:rsid w:val="48DB5184"/>
    <w:rsid w:val="48DC4BB3"/>
    <w:rsid w:val="48F11175"/>
    <w:rsid w:val="48FC5916"/>
    <w:rsid w:val="49035E3C"/>
    <w:rsid w:val="49161A6F"/>
    <w:rsid w:val="491B567A"/>
    <w:rsid w:val="492819DC"/>
    <w:rsid w:val="492B6619"/>
    <w:rsid w:val="49336FEA"/>
    <w:rsid w:val="493E22D0"/>
    <w:rsid w:val="49415896"/>
    <w:rsid w:val="494B0A69"/>
    <w:rsid w:val="4953162D"/>
    <w:rsid w:val="495C3D14"/>
    <w:rsid w:val="496A4A80"/>
    <w:rsid w:val="497C5511"/>
    <w:rsid w:val="498E2725"/>
    <w:rsid w:val="499C6D01"/>
    <w:rsid w:val="49A3132A"/>
    <w:rsid w:val="49B65DC9"/>
    <w:rsid w:val="49C828D8"/>
    <w:rsid w:val="49D94123"/>
    <w:rsid w:val="49E36EF3"/>
    <w:rsid w:val="49E82B6B"/>
    <w:rsid w:val="49E970EA"/>
    <w:rsid w:val="49EE0415"/>
    <w:rsid w:val="4A0805D0"/>
    <w:rsid w:val="4A26545B"/>
    <w:rsid w:val="4A3E1268"/>
    <w:rsid w:val="4A560AA6"/>
    <w:rsid w:val="4A56220C"/>
    <w:rsid w:val="4A631F60"/>
    <w:rsid w:val="4A7B659D"/>
    <w:rsid w:val="4A8F76FA"/>
    <w:rsid w:val="4ABD7744"/>
    <w:rsid w:val="4AD018B4"/>
    <w:rsid w:val="4AD122F6"/>
    <w:rsid w:val="4AEE5B50"/>
    <w:rsid w:val="4AFB6678"/>
    <w:rsid w:val="4B12483C"/>
    <w:rsid w:val="4B281AD9"/>
    <w:rsid w:val="4B286964"/>
    <w:rsid w:val="4B303F0B"/>
    <w:rsid w:val="4B462533"/>
    <w:rsid w:val="4B497516"/>
    <w:rsid w:val="4B4E2A92"/>
    <w:rsid w:val="4B5F395F"/>
    <w:rsid w:val="4B887ABD"/>
    <w:rsid w:val="4B8C414A"/>
    <w:rsid w:val="4B927D05"/>
    <w:rsid w:val="4B9E23D3"/>
    <w:rsid w:val="4B9F6E4A"/>
    <w:rsid w:val="4BA71700"/>
    <w:rsid w:val="4BC40127"/>
    <w:rsid w:val="4BCF7C38"/>
    <w:rsid w:val="4BD1718E"/>
    <w:rsid w:val="4BD95ACE"/>
    <w:rsid w:val="4C000F41"/>
    <w:rsid w:val="4C1E38AF"/>
    <w:rsid w:val="4C1F09E8"/>
    <w:rsid w:val="4C6A4F05"/>
    <w:rsid w:val="4C6B7BE3"/>
    <w:rsid w:val="4C771D65"/>
    <w:rsid w:val="4C783020"/>
    <w:rsid w:val="4C9743B6"/>
    <w:rsid w:val="4CD104DB"/>
    <w:rsid w:val="4CEE4DA0"/>
    <w:rsid w:val="4CFA5EBA"/>
    <w:rsid w:val="4D0B09F5"/>
    <w:rsid w:val="4D243AE6"/>
    <w:rsid w:val="4D362180"/>
    <w:rsid w:val="4D3C4079"/>
    <w:rsid w:val="4D4152D2"/>
    <w:rsid w:val="4D420722"/>
    <w:rsid w:val="4D56487E"/>
    <w:rsid w:val="4D5D2973"/>
    <w:rsid w:val="4D670A85"/>
    <w:rsid w:val="4D743D70"/>
    <w:rsid w:val="4D7D140D"/>
    <w:rsid w:val="4D806473"/>
    <w:rsid w:val="4DA27E03"/>
    <w:rsid w:val="4DB87F6B"/>
    <w:rsid w:val="4DBC2D6E"/>
    <w:rsid w:val="4DE22211"/>
    <w:rsid w:val="4DE66FB2"/>
    <w:rsid w:val="4DF85FC0"/>
    <w:rsid w:val="4E001052"/>
    <w:rsid w:val="4E162644"/>
    <w:rsid w:val="4E2B135E"/>
    <w:rsid w:val="4E3F2EE6"/>
    <w:rsid w:val="4E457068"/>
    <w:rsid w:val="4E4E4B6D"/>
    <w:rsid w:val="4E625DA3"/>
    <w:rsid w:val="4E7B029B"/>
    <w:rsid w:val="4E94139D"/>
    <w:rsid w:val="4E9C4F35"/>
    <w:rsid w:val="4ED36E10"/>
    <w:rsid w:val="4ED61833"/>
    <w:rsid w:val="4EDA18B9"/>
    <w:rsid w:val="4EEA1FB8"/>
    <w:rsid w:val="4F1214F9"/>
    <w:rsid w:val="4F37236C"/>
    <w:rsid w:val="4F400944"/>
    <w:rsid w:val="4F400F3C"/>
    <w:rsid w:val="4F573543"/>
    <w:rsid w:val="4F583EE0"/>
    <w:rsid w:val="4FA24E56"/>
    <w:rsid w:val="4FA613D6"/>
    <w:rsid w:val="4FAE4B93"/>
    <w:rsid w:val="4FB43984"/>
    <w:rsid w:val="4FB80520"/>
    <w:rsid w:val="4FCE557D"/>
    <w:rsid w:val="4FCF67B8"/>
    <w:rsid w:val="4FF754A7"/>
    <w:rsid w:val="4FFE7F33"/>
    <w:rsid w:val="500E331C"/>
    <w:rsid w:val="500F7F8E"/>
    <w:rsid w:val="5010363B"/>
    <w:rsid w:val="501802EF"/>
    <w:rsid w:val="501A6EB3"/>
    <w:rsid w:val="501C4E89"/>
    <w:rsid w:val="50401C90"/>
    <w:rsid w:val="50414974"/>
    <w:rsid w:val="50520469"/>
    <w:rsid w:val="50705EA7"/>
    <w:rsid w:val="508A0BD0"/>
    <w:rsid w:val="508E4B33"/>
    <w:rsid w:val="50930D79"/>
    <w:rsid w:val="50DD0EBD"/>
    <w:rsid w:val="50DD3BA3"/>
    <w:rsid w:val="50E61CAB"/>
    <w:rsid w:val="50EA6DB9"/>
    <w:rsid w:val="50EE7DC2"/>
    <w:rsid w:val="50F11EF6"/>
    <w:rsid w:val="51373825"/>
    <w:rsid w:val="514136A1"/>
    <w:rsid w:val="5144296E"/>
    <w:rsid w:val="514A20B0"/>
    <w:rsid w:val="515463AA"/>
    <w:rsid w:val="517D1FD1"/>
    <w:rsid w:val="51820F0A"/>
    <w:rsid w:val="51B00924"/>
    <w:rsid w:val="51BF1CEA"/>
    <w:rsid w:val="51C55B60"/>
    <w:rsid w:val="51C720FB"/>
    <w:rsid w:val="51D2101C"/>
    <w:rsid w:val="51E441B2"/>
    <w:rsid w:val="51E878B5"/>
    <w:rsid w:val="51EE3F4A"/>
    <w:rsid w:val="51F8599D"/>
    <w:rsid w:val="52144845"/>
    <w:rsid w:val="522B4481"/>
    <w:rsid w:val="523F3431"/>
    <w:rsid w:val="52433E33"/>
    <w:rsid w:val="52461D9B"/>
    <w:rsid w:val="52556F68"/>
    <w:rsid w:val="526131D0"/>
    <w:rsid w:val="527A0BC1"/>
    <w:rsid w:val="528E5F94"/>
    <w:rsid w:val="52B73817"/>
    <w:rsid w:val="52BB22D8"/>
    <w:rsid w:val="52C8137C"/>
    <w:rsid w:val="52EF6909"/>
    <w:rsid w:val="53014F84"/>
    <w:rsid w:val="53081FE2"/>
    <w:rsid w:val="530C50E2"/>
    <w:rsid w:val="531C36DA"/>
    <w:rsid w:val="53757657"/>
    <w:rsid w:val="53836E13"/>
    <w:rsid w:val="5399393C"/>
    <w:rsid w:val="53BC34C4"/>
    <w:rsid w:val="53BD3DEE"/>
    <w:rsid w:val="53CE29B7"/>
    <w:rsid w:val="541A5C08"/>
    <w:rsid w:val="5423339D"/>
    <w:rsid w:val="54451376"/>
    <w:rsid w:val="545B0024"/>
    <w:rsid w:val="54623CCF"/>
    <w:rsid w:val="54783F91"/>
    <w:rsid w:val="547A3C79"/>
    <w:rsid w:val="54A167F4"/>
    <w:rsid w:val="54C52C01"/>
    <w:rsid w:val="54DE257B"/>
    <w:rsid w:val="551B052F"/>
    <w:rsid w:val="551F503D"/>
    <w:rsid w:val="552E7B6C"/>
    <w:rsid w:val="55356F21"/>
    <w:rsid w:val="553B1566"/>
    <w:rsid w:val="553D5A1E"/>
    <w:rsid w:val="554E66B4"/>
    <w:rsid w:val="55571B27"/>
    <w:rsid w:val="555E7D76"/>
    <w:rsid w:val="55623019"/>
    <w:rsid w:val="55923320"/>
    <w:rsid w:val="55935C72"/>
    <w:rsid w:val="559508F1"/>
    <w:rsid w:val="55A0704C"/>
    <w:rsid w:val="55CD2AA4"/>
    <w:rsid w:val="55CD5B20"/>
    <w:rsid w:val="55DD38ED"/>
    <w:rsid w:val="55DF75BD"/>
    <w:rsid w:val="55E33C19"/>
    <w:rsid w:val="55E3492A"/>
    <w:rsid w:val="55E63D84"/>
    <w:rsid w:val="55FB5288"/>
    <w:rsid w:val="560F5295"/>
    <w:rsid w:val="56536DD0"/>
    <w:rsid w:val="56A16CF1"/>
    <w:rsid w:val="56C569E8"/>
    <w:rsid w:val="56EA1F97"/>
    <w:rsid w:val="56FE7B3D"/>
    <w:rsid w:val="570010E5"/>
    <w:rsid w:val="57115A76"/>
    <w:rsid w:val="57356CE5"/>
    <w:rsid w:val="57400691"/>
    <w:rsid w:val="57477A7D"/>
    <w:rsid w:val="574C5991"/>
    <w:rsid w:val="575E0275"/>
    <w:rsid w:val="57685E63"/>
    <w:rsid w:val="576E359C"/>
    <w:rsid w:val="57761A73"/>
    <w:rsid w:val="57803A91"/>
    <w:rsid w:val="578F63E0"/>
    <w:rsid w:val="57974CC5"/>
    <w:rsid w:val="57AA5D1A"/>
    <w:rsid w:val="57B717AF"/>
    <w:rsid w:val="57C06BFC"/>
    <w:rsid w:val="57C43D1E"/>
    <w:rsid w:val="57D0016E"/>
    <w:rsid w:val="57D46CDD"/>
    <w:rsid w:val="57DD461C"/>
    <w:rsid w:val="57DE15F7"/>
    <w:rsid w:val="57F052A5"/>
    <w:rsid w:val="57F56DA8"/>
    <w:rsid w:val="580F5DBC"/>
    <w:rsid w:val="58372026"/>
    <w:rsid w:val="584809DA"/>
    <w:rsid w:val="587316C8"/>
    <w:rsid w:val="587F62C3"/>
    <w:rsid w:val="588A1881"/>
    <w:rsid w:val="588C1B3F"/>
    <w:rsid w:val="588C3DE2"/>
    <w:rsid w:val="58952B75"/>
    <w:rsid w:val="589923E8"/>
    <w:rsid w:val="58D3199A"/>
    <w:rsid w:val="58DA5821"/>
    <w:rsid w:val="58E146E6"/>
    <w:rsid w:val="59043E08"/>
    <w:rsid w:val="59154BEF"/>
    <w:rsid w:val="5934326C"/>
    <w:rsid w:val="59471B28"/>
    <w:rsid w:val="59763E82"/>
    <w:rsid w:val="597F5245"/>
    <w:rsid w:val="59835FFD"/>
    <w:rsid w:val="598A3666"/>
    <w:rsid w:val="59A3232E"/>
    <w:rsid w:val="59A63822"/>
    <w:rsid w:val="59B8355B"/>
    <w:rsid w:val="59C02DAD"/>
    <w:rsid w:val="59FE08FA"/>
    <w:rsid w:val="5A257E94"/>
    <w:rsid w:val="5A2A02BF"/>
    <w:rsid w:val="5A5106AE"/>
    <w:rsid w:val="5A60741A"/>
    <w:rsid w:val="5A7A608F"/>
    <w:rsid w:val="5A976E36"/>
    <w:rsid w:val="5A9D694A"/>
    <w:rsid w:val="5AA2358A"/>
    <w:rsid w:val="5AA24080"/>
    <w:rsid w:val="5AA47FD9"/>
    <w:rsid w:val="5AAD1EF8"/>
    <w:rsid w:val="5AAE67B8"/>
    <w:rsid w:val="5ACF7403"/>
    <w:rsid w:val="5AFF1D9A"/>
    <w:rsid w:val="5B060C94"/>
    <w:rsid w:val="5B365C08"/>
    <w:rsid w:val="5B46719F"/>
    <w:rsid w:val="5B5D49C6"/>
    <w:rsid w:val="5B5F167B"/>
    <w:rsid w:val="5B60313C"/>
    <w:rsid w:val="5B705B09"/>
    <w:rsid w:val="5B871DD5"/>
    <w:rsid w:val="5B90598C"/>
    <w:rsid w:val="5B9331F3"/>
    <w:rsid w:val="5B983712"/>
    <w:rsid w:val="5B997CCC"/>
    <w:rsid w:val="5B9D7438"/>
    <w:rsid w:val="5BA42A14"/>
    <w:rsid w:val="5BC52ADE"/>
    <w:rsid w:val="5BD46C5A"/>
    <w:rsid w:val="5BF93AA2"/>
    <w:rsid w:val="5C1178F0"/>
    <w:rsid w:val="5C366B63"/>
    <w:rsid w:val="5C537452"/>
    <w:rsid w:val="5C60141A"/>
    <w:rsid w:val="5C691962"/>
    <w:rsid w:val="5C8D4642"/>
    <w:rsid w:val="5CA70BEA"/>
    <w:rsid w:val="5CFA70E0"/>
    <w:rsid w:val="5CFF3634"/>
    <w:rsid w:val="5D020252"/>
    <w:rsid w:val="5D0B0214"/>
    <w:rsid w:val="5D1A0A42"/>
    <w:rsid w:val="5D282771"/>
    <w:rsid w:val="5D3A4C89"/>
    <w:rsid w:val="5D42151C"/>
    <w:rsid w:val="5D4F1710"/>
    <w:rsid w:val="5D5D43F4"/>
    <w:rsid w:val="5D71045F"/>
    <w:rsid w:val="5D9A4060"/>
    <w:rsid w:val="5DAB19D1"/>
    <w:rsid w:val="5DBE340A"/>
    <w:rsid w:val="5DD263B9"/>
    <w:rsid w:val="5DE41D76"/>
    <w:rsid w:val="5DE555FC"/>
    <w:rsid w:val="5DF27C61"/>
    <w:rsid w:val="5E4A015A"/>
    <w:rsid w:val="5E617327"/>
    <w:rsid w:val="5E772D56"/>
    <w:rsid w:val="5E843AB7"/>
    <w:rsid w:val="5E9A1FB9"/>
    <w:rsid w:val="5EB11CC9"/>
    <w:rsid w:val="5EB7165F"/>
    <w:rsid w:val="5ECB647C"/>
    <w:rsid w:val="5EDA2E6C"/>
    <w:rsid w:val="5EDF49B6"/>
    <w:rsid w:val="5EE659E4"/>
    <w:rsid w:val="5EF029BA"/>
    <w:rsid w:val="5EF2401E"/>
    <w:rsid w:val="5EF3152F"/>
    <w:rsid w:val="5EF37A12"/>
    <w:rsid w:val="5F0223ED"/>
    <w:rsid w:val="5F19063B"/>
    <w:rsid w:val="5F2A58BF"/>
    <w:rsid w:val="5F2C1A51"/>
    <w:rsid w:val="5F2D2E3D"/>
    <w:rsid w:val="5F3F28CF"/>
    <w:rsid w:val="5F4B64EF"/>
    <w:rsid w:val="5F4D6034"/>
    <w:rsid w:val="5F5A15AE"/>
    <w:rsid w:val="5F903222"/>
    <w:rsid w:val="5FBE3FE5"/>
    <w:rsid w:val="5FC03792"/>
    <w:rsid w:val="5FC939D5"/>
    <w:rsid w:val="5FD20C9F"/>
    <w:rsid w:val="5FDA399F"/>
    <w:rsid w:val="5FF22D36"/>
    <w:rsid w:val="5FFA79ED"/>
    <w:rsid w:val="60075E39"/>
    <w:rsid w:val="60084460"/>
    <w:rsid w:val="600D0AF4"/>
    <w:rsid w:val="60273573"/>
    <w:rsid w:val="60276DC2"/>
    <w:rsid w:val="602A54A3"/>
    <w:rsid w:val="60315C67"/>
    <w:rsid w:val="60370997"/>
    <w:rsid w:val="604D2EC1"/>
    <w:rsid w:val="604F40FC"/>
    <w:rsid w:val="605A259A"/>
    <w:rsid w:val="6060154E"/>
    <w:rsid w:val="606D0EF6"/>
    <w:rsid w:val="60B07C9E"/>
    <w:rsid w:val="60D06270"/>
    <w:rsid w:val="60EA7F29"/>
    <w:rsid w:val="61013040"/>
    <w:rsid w:val="611128E5"/>
    <w:rsid w:val="611A2DA3"/>
    <w:rsid w:val="611C2FBF"/>
    <w:rsid w:val="611C35B8"/>
    <w:rsid w:val="61315EF6"/>
    <w:rsid w:val="613A0A49"/>
    <w:rsid w:val="614E56CB"/>
    <w:rsid w:val="6153717E"/>
    <w:rsid w:val="615440FF"/>
    <w:rsid w:val="616E368F"/>
    <w:rsid w:val="6184566A"/>
    <w:rsid w:val="619012C2"/>
    <w:rsid w:val="619D5782"/>
    <w:rsid w:val="619F599E"/>
    <w:rsid w:val="61AE7556"/>
    <w:rsid w:val="61BC02FE"/>
    <w:rsid w:val="61BE5E24"/>
    <w:rsid w:val="61D41854"/>
    <w:rsid w:val="61E3363C"/>
    <w:rsid w:val="62282B27"/>
    <w:rsid w:val="623743B3"/>
    <w:rsid w:val="623E7108"/>
    <w:rsid w:val="625A6442"/>
    <w:rsid w:val="626A1CE1"/>
    <w:rsid w:val="626A5FAC"/>
    <w:rsid w:val="626C134E"/>
    <w:rsid w:val="62854B94"/>
    <w:rsid w:val="629B22CB"/>
    <w:rsid w:val="62A3229B"/>
    <w:rsid w:val="62A45588"/>
    <w:rsid w:val="62A57C35"/>
    <w:rsid w:val="62B952CA"/>
    <w:rsid w:val="62E07553"/>
    <w:rsid w:val="630737FB"/>
    <w:rsid w:val="63081C9E"/>
    <w:rsid w:val="63384471"/>
    <w:rsid w:val="63421845"/>
    <w:rsid w:val="634A387E"/>
    <w:rsid w:val="634C56B2"/>
    <w:rsid w:val="63540FD1"/>
    <w:rsid w:val="6361478E"/>
    <w:rsid w:val="636E52EB"/>
    <w:rsid w:val="637013A0"/>
    <w:rsid w:val="638B4892"/>
    <w:rsid w:val="639279AF"/>
    <w:rsid w:val="63944825"/>
    <w:rsid w:val="63974B7F"/>
    <w:rsid w:val="63D762DC"/>
    <w:rsid w:val="63EC2A57"/>
    <w:rsid w:val="63FE5C95"/>
    <w:rsid w:val="640E22EE"/>
    <w:rsid w:val="641222ED"/>
    <w:rsid w:val="64144421"/>
    <w:rsid w:val="64156B80"/>
    <w:rsid w:val="642B5582"/>
    <w:rsid w:val="642F3826"/>
    <w:rsid w:val="643B040A"/>
    <w:rsid w:val="645D1336"/>
    <w:rsid w:val="64643953"/>
    <w:rsid w:val="649122E0"/>
    <w:rsid w:val="6491381F"/>
    <w:rsid w:val="64AC465A"/>
    <w:rsid w:val="64B77EFF"/>
    <w:rsid w:val="64BB209D"/>
    <w:rsid w:val="64EE6A20"/>
    <w:rsid w:val="64FB2F8F"/>
    <w:rsid w:val="65077676"/>
    <w:rsid w:val="65150413"/>
    <w:rsid w:val="651722E7"/>
    <w:rsid w:val="65286D28"/>
    <w:rsid w:val="65294FC1"/>
    <w:rsid w:val="652C7357"/>
    <w:rsid w:val="65346E5E"/>
    <w:rsid w:val="65347231"/>
    <w:rsid w:val="65740427"/>
    <w:rsid w:val="6577651D"/>
    <w:rsid w:val="658C66C4"/>
    <w:rsid w:val="65A05658"/>
    <w:rsid w:val="65A672FB"/>
    <w:rsid w:val="65AC2EFD"/>
    <w:rsid w:val="65B46375"/>
    <w:rsid w:val="65D37A5B"/>
    <w:rsid w:val="65D75707"/>
    <w:rsid w:val="65F4511D"/>
    <w:rsid w:val="65F47DC0"/>
    <w:rsid w:val="65FF7596"/>
    <w:rsid w:val="66096B05"/>
    <w:rsid w:val="6627721E"/>
    <w:rsid w:val="66537DD0"/>
    <w:rsid w:val="66694F01"/>
    <w:rsid w:val="66753E2C"/>
    <w:rsid w:val="6687460E"/>
    <w:rsid w:val="66A146AB"/>
    <w:rsid w:val="66A34F7A"/>
    <w:rsid w:val="66A43DA7"/>
    <w:rsid w:val="66AE0D1C"/>
    <w:rsid w:val="66B56271"/>
    <w:rsid w:val="66C32061"/>
    <w:rsid w:val="66CE247E"/>
    <w:rsid w:val="66D1553B"/>
    <w:rsid w:val="66D678E5"/>
    <w:rsid w:val="66E23A48"/>
    <w:rsid w:val="66EF31C1"/>
    <w:rsid w:val="66F123D1"/>
    <w:rsid w:val="66F16A47"/>
    <w:rsid w:val="66F203EF"/>
    <w:rsid w:val="671A0D2D"/>
    <w:rsid w:val="67200F9C"/>
    <w:rsid w:val="672252C1"/>
    <w:rsid w:val="67340A1D"/>
    <w:rsid w:val="674A4FC0"/>
    <w:rsid w:val="674D101A"/>
    <w:rsid w:val="675249FA"/>
    <w:rsid w:val="6765322D"/>
    <w:rsid w:val="67683CFC"/>
    <w:rsid w:val="67727647"/>
    <w:rsid w:val="67B406DA"/>
    <w:rsid w:val="67C75EAB"/>
    <w:rsid w:val="67D13F82"/>
    <w:rsid w:val="67D47556"/>
    <w:rsid w:val="67E83BD3"/>
    <w:rsid w:val="67FE0A51"/>
    <w:rsid w:val="68247EB9"/>
    <w:rsid w:val="683021EA"/>
    <w:rsid w:val="6831292C"/>
    <w:rsid w:val="683A5F07"/>
    <w:rsid w:val="683D4EA1"/>
    <w:rsid w:val="68482B4B"/>
    <w:rsid w:val="6857517B"/>
    <w:rsid w:val="685F2B0C"/>
    <w:rsid w:val="68615AEE"/>
    <w:rsid w:val="686465B8"/>
    <w:rsid w:val="686E2F1C"/>
    <w:rsid w:val="686E4CA0"/>
    <w:rsid w:val="686F3D4E"/>
    <w:rsid w:val="68732A5A"/>
    <w:rsid w:val="68784476"/>
    <w:rsid w:val="6892121B"/>
    <w:rsid w:val="689817CA"/>
    <w:rsid w:val="689E473A"/>
    <w:rsid w:val="68A772BD"/>
    <w:rsid w:val="68AD32C0"/>
    <w:rsid w:val="68B055E0"/>
    <w:rsid w:val="68B32BF4"/>
    <w:rsid w:val="68B603BF"/>
    <w:rsid w:val="68C163CF"/>
    <w:rsid w:val="68F77559"/>
    <w:rsid w:val="693053C2"/>
    <w:rsid w:val="694D36AA"/>
    <w:rsid w:val="69577852"/>
    <w:rsid w:val="697A46A8"/>
    <w:rsid w:val="69AA61FA"/>
    <w:rsid w:val="69B022B6"/>
    <w:rsid w:val="69B72806"/>
    <w:rsid w:val="69B83AE8"/>
    <w:rsid w:val="69C21FC2"/>
    <w:rsid w:val="69D05774"/>
    <w:rsid w:val="69DD68EF"/>
    <w:rsid w:val="69F431E5"/>
    <w:rsid w:val="6A0B12F9"/>
    <w:rsid w:val="6A387A83"/>
    <w:rsid w:val="6A4E3481"/>
    <w:rsid w:val="6A6F1A73"/>
    <w:rsid w:val="6A90776D"/>
    <w:rsid w:val="6A95793E"/>
    <w:rsid w:val="6AB0358F"/>
    <w:rsid w:val="6AB04778"/>
    <w:rsid w:val="6AC81DFB"/>
    <w:rsid w:val="6ACC4B2B"/>
    <w:rsid w:val="6AD5470C"/>
    <w:rsid w:val="6AEF34F2"/>
    <w:rsid w:val="6B156F01"/>
    <w:rsid w:val="6B1823F4"/>
    <w:rsid w:val="6B302155"/>
    <w:rsid w:val="6B5061B8"/>
    <w:rsid w:val="6B5541CC"/>
    <w:rsid w:val="6B594757"/>
    <w:rsid w:val="6B5B0B88"/>
    <w:rsid w:val="6B794694"/>
    <w:rsid w:val="6B7F4ABE"/>
    <w:rsid w:val="6B813110"/>
    <w:rsid w:val="6B8A4FC9"/>
    <w:rsid w:val="6BB10ECA"/>
    <w:rsid w:val="6BB80CD3"/>
    <w:rsid w:val="6BD97443"/>
    <w:rsid w:val="6BE154D6"/>
    <w:rsid w:val="6BFA34BF"/>
    <w:rsid w:val="6C1E27AA"/>
    <w:rsid w:val="6C253A83"/>
    <w:rsid w:val="6C282E9B"/>
    <w:rsid w:val="6C315445"/>
    <w:rsid w:val="6C4C1DDE"/>
    <w:rsid w:val="6C60775B"/>
    <w:rsid w:val="6C787CBB"/>
    <w:rsid w:val="6C861C34"/>
    <w:rsid w:val="6C8A4E5F"/>
    <w:rsid w:val="6C8C5CC8"/>
    <w:rsid w:val="6C9165B6"/>
    <w:rsid w:val="6CA87474"/>
    <w:rsid w:val="6CAE0CBE"/>
    <w:rsid w:val="6CBA4949"/>
    <w:rsid w:val="6D0258C6"/>
    <w:rsid w:val="6D1075E9"/>
    <w:rsid w:val="6D2A0E9A"/>
    <w:rsid w:val="6D2F4343"/>
    <w:rsid w:val="6D353D8C"/>
    <w:rsid w:val="6D4E6285"/>
    <w:rsid w:val="6D5C18AC"/>
    <w:rsid w:val="6D6B1613"/>
    <w:rsid w:val="6D747CDF"/>
    <w:rsid w:val="6D886D51"/>
    <w:rsid w:val="6DA03105"/>
    <w:rsid w:val="6DCC4C0D"/>
    <w:rsid w:val="6DEA0A67"/>
    <w:rsid w:val="6DEC6437"/>
    <w:rsid w:val="6DFC561D"/>
    <w:rsid w:val="6E0F76B0"/>
    <w:rsid w:val="6E1D456F"/>
    <w:rsid w:val="6E382FA7"/>
    <w:rsid w:val="6E395E9E"/>
    <w:rsid w:val="6E4341AC"/>
    <w:rsid w:val="6E5126B4"/>
    <w:rsid w:val="6E567C0C"/>
    <w:rsid w:val="6E5D6868"/>
    <w:rsid w:val="6E683231"/>
    <w:rsid w:val="6E6E0BD2"/>
    <w:rsid w:val="6E7A7577"/>
    <w:rsid w:val="6E7C1EB5"/>
    <w:rsid w:val="6EB664D0"/>
    <w:rsid w:val="6EC23833"/>
    <w:rsid w:val="6ED36BB1"/>
    <w:rsid w:val="6EE110A6"/>
    <w:rsid w:val="6EF03BAE"/>
    <w:rsid w:val="6F153548"/>
    <w:rsid w:val="6F155D21"/>
    <w:rsid w:val="6F1E3244"/>
    <w:rsid w:val="6F286746"/>
    <w:rsid w:val="6F2B2506"/>
    <w:rsid w:val="6F436F8F"/>
    <w:rsid w:val="6F451BBF"/>
    <w:rsid w:val="6F476E8B"/>
    <w:rsid w:val="6F634567"/>
    <w:rsid w:val="6F6B5749"/>
    <w:rsid w:val="6F8D6B1D"/>
    <w:rsid w:val="6FAE4748"/>
    <w:rsid w:val="6FD91F90"/>
    <w:rsid w:val="6FE31AA8"/>
    <w:rsid w:val="70045D42"/>
    <w:rsid w:val="700A0D6E"/>
    <w:rsid w:val="704D2ABA"/>
    <w:rsid w:val="70542388"/>
    <w:rsid w:val="706717CB"/>
    <w:rsid w:val="707200F0"/>
    <w:rsid w:val="707663A9"/>
    <w:rsid w:val="707F274F"/>
    <w:rsid w:val="70950CE0"/>
    <w:rsid w:val="709D2458"/>
    <w:rsid w:val="709E43AB"/>
    <w:rsid w:val="70A2698B"/>
    <w:rsid w:val="70AA312E"/>
    <w:rsid w:val="70C24A2F"/>
    <w:rsid w:val="70CC0C4C"/>
    <w:rsid w:val="70D54F38"/>
    <w:rsid w:val="70E41087"/>
    <w:rsid w:val="70E65326"/>
    <w:rsid w:val="70E80F60"/>
    <w:rsid w:val="70F11D57"/>
    <w:rsid w:val="71014D29"/>
    <w:rsid w:val="710A2B65"/>
    <w:rsid w:val="71191A27"/>
    <w:rsid w:val="711F713E"/>
    <w:rsid w:val="71217371"/>
    <w:rsid w:val="712E54D4"/>
    <w:rsid w:val="71321C7C"/>
    <w:rsid w:val="714A1780"/>
    <w:rsid w:val="715D5C0A"/>
    <w:rsid w:val="716F4DEC"/>
    <w:rsid w:val="7170146E"/>
    <w:rsid w:val="71705776"/>
    <w:rsid w:val="717268C8"/>
    <w:rsid w:val="71802D0E"/>
    <w:rsid w:val="71880353"/>
    <w:rsid w:val="718F5890"/>
    <w:rsid w:val="71C16BD6"/>
    <w:rsid w:val="71C363B8"/>
    <w:rsid w:val="71D14144"/>
    <w:rsid w:val="72143089"/>
    <w:rsid w:val="72150CEA"/>
    <w:rsid w:val="721F1006"/>
    <w:rsid w:val="721F4F40"/>
    <w:rsid w:val="7227177D"/>
    <w:rsid w:val="723419F5"/>
    <w:rsid w:val="7235573F"/>
    <w:rsid w:val="723932A5"/>
    <w:rsid w:val="72477BAC"/>
    <w:rsid w:val="72513EED"/>
    <w:rsid w:val="7255330E"/>
    <w:rsid w:val="726C56B8"/>
    <w:rsid w:val="72760CB0"/>
    <w:rsid w:val="7288771C"/>
    <w:rsid w:val="729326C7"/>
    <w:rsid w:val="72A458E1"/>
    <w:rsid w:val="72B13FB1"/>
    <w:rsid w:val="72C13E7C"/>
    <w:rsid w:val="72C954F9"/>
    <w:rsid w:val="72CD388B"/>
    <w:rsid w:val="72CE592F"/>
    <w:rsid w:val="72D21B1B"/>
    <w:rsid w:val="73014E33"/>
    <w:rsid w:val="730770A2"/>
    <w:rsid w:val="73197AE0"/>
    <w:rsid w:val="73221860"/>
    <w:rsid w:val="732F2FC7"/>
    <w:rsid w:val="733A4EF6"/>
    <w:rsid w:val="733D0234"/>
    <w:rsid w:val="733D1497"/>
    <w:rsid w:val="73506AF8"/>
    <w:rsid w:val="735F4C52"/>
    <w:rsid w:val="73773239"/>
    <w:rsid w:val="739369E5"/>
    <w:rsid w:val="739D4E7F"/>
    <w:rsid w:val="73A52CA9"/>
    <w:rsid w:val="73AF07A3"/>
    <w:rsid w:val="73C82E30"/>
    <w:rsid w:val="73FA14E3"/>
    <w:rsid w:val="73FD29BB"/>
    <w:rsid w:val="740A7F35"/>
    <w:rsid w:val="740B686A"/>
    <w:rsid w:val="74193434"/>
    <w:rsid w:val="7436153F"/>
    <w:rsid w:val="744401CE"/>
    <w:rsid w:val="745819FD"/>
    <w:rsid w:val="746C366D"/>
    <w:rsid w:val="748200B4"/>
    <w:rsid w:val="749C71E6"/>
    <w:rsid w:val="74AC77E0"/>
    <w:rsid w:val="74B03CF2"/>
    <w:rsid w:val="74B23D74"/>
    <w:rsid w:val="74DA3DD2"/>
    <w:rsid w:val="74DE6D4A"/>
    <w:rsid w:val="75045F44"/>
    <w:rsid w:val="75154170"/>
    <w:rsid w:val="751F2CCD"/>
    <w:rsid w:val="75334F10"/>
    <w:rsid w:val="754A3843"/>
    <w:rsid w:val="754F6E04"/>
    <w:rsid w:val="755E6626"/>
    <w:rsid w:val="75714F21"/>
    <w:rsid w:val="75766FF4"/>
    <w:rsid w:val="75801690"/>
    <w:rsid w:val="75841DF5"/>
    <w:rsid w:val="75883FFE"/>
    <w:rsid w:val="759118EE"/>
    <w:rsid w:val="759A0BFF"/>
    <w:rsid w:val="75A60BE0"/>
    <w:rsid w:val="75A62B5C"/>
    <w:rsid w:val="75B660D9"/>
    <w:rsid w:val="75CA2B92"/>
    <w:rsid w:val="75D457BF"/>
    <w:rsid w:val="75DA056C"/>
    <w:rsid w:val="75FA2F4D"/>
    <w:rsid w:val="76177C7F"/>
    <w:rsid w:val="761E4555"/>
    <w:rsid w:val="762229CE"/>
    <w:rsid w:val="7652518B"/>
    <w:rsid w:val="765661CE"/>
    <w:rsid w:val="766B1FE7"/>
    <w:rsid w:val="767737E8"/>
    <w:rsid w:val="7687321E"/>
    <w:rsid w:val="769C5380"/>
    <w:rsid w:val="769D488D"/>
    <w:rsid w:val="76A648DB"/>
    <w:rsid w:val="76AA6FCA"/>
    <w:rsid w:val="76AD33AB"/>
    <w:rsid w:val="76AE1A33"/>
    <w:rsid w:val="76AF1821"/>
    <w:rsid w:val="76B645C9"/>
    <w:rsid w:val="76CB05E9"/>
    <w:rsid w:val="76F557EA"/>
    <w:rsid w:val="76FA0436"/>
    <w:rsid w:val="76FB601C"/>
    <w:rsid w:val="771E0B46"/>
    <w:rsid w:val="77243900"/>
    <w:rsid w:val="7745626C"/>
    <w:rsid w:val="774A218D"/>
    <w:rsid w:val="77534E7F"/>
    <w:rsid w:val="77765B6B"/>
    <w:rsid w:val="777D79D9"/>
    <w:rsid w:val="77813724"/>
    <w:rsid w:val="7788271D"/>
    <w:rsid w:val="778A3CA6"/>
    <w:rsid w:val="77926652"/>
    <w:rsid w:val="77974CF6"/>
    <w:rsid w:val="77AB127E"/>
    <w:rsid w:val="77B8759C"/>
    <w:rsid w:val="77C21B10"/>
    <w:rsid w:val="77CA7AD8"/>
    <w:rsid w:val="77F04589"/>
    <w:rsid w:val="780776F7"/>
    <w:rsid w:val="785D4AC2"/>
    <w:rsid w:val="78755AD9"/>
    <w:rsid w:val="788009B6"/>
    <w:rsid w:val="78867CFB"/>
    <w:rsid w:val="78891CDB"/>
    <w:rsid w:val="78900C03"/>
    <w:rsid w:val="7895518B"/>
    <w:rsid w:val="78AC2A23"/>
    <w:rsid w:val="78DA375A"/>
    <w:rsid w:val="78FB6861"/>
    <w:rsid w:val="790C30F7"/>
    <w:rsid w:val="79182F94"/>
    <w:rsid w:val="791E6626"/>
    <w:rsid w:val="791F15A3"/>
    <w:rsid w:val="791F1ABD"/>
    <w:rsid w:val="792A6014"/>
    <w:rsid w:val="792A77CA"/>
    <w:rsid w:val="792C1C9C"/>
    <w:rsid w:val="79534836"/>
    <w:rsid w:val="795F47C4"/>
    <w:rsid w:val="79880110"/>
    <w:rsid w:val="79894347"/>
    <w:rsid w:val="799447B2"/>
    <w:rsid w:val="79993DEC"/>
    <w:rsid w:val="79A91848"/>
    <w:rsid w:val="79B155D3"/>
    <w:rsid w:val="79BE02AE"/>
    <w:rsid w:val="79C44E91"/>
    <w:rsid w:val="79D75B18"/>
    <w:rsid w:val="79F9227E"/>
    <w:rsid w:val="7A03141B"/>
    <w:rsid w:val="7A2F5A98"/>
    <w:rsid w:val="7A340EA4"/>
    <w:rsid w:val="7A3740A0"/>
    <w:rsid w:val="7A3F5F0E"/>
    <w:rsid w:val="7A402127"/>
    <w:rsid w:val="7A431165"/>
    <w:rsid w:val="7A677819"/>
    <w:rsid w:val="7A75750A"/>
    <w:rsid w:val="7A7C3110"/>
    <w:rsid w:val="7A9E603E"/>
    <w:rsid w:val="7AA5799A"/>
    <w:rsid w:val="7AAE7A48"/>
    <w:rsid w:val="7ABF2192"/>
    <w:rsid w:val="7AF259C5"/>
    <w:rsid w:val="7B12265C"/>
    <w:rsid w:val="7B4E1237"/>
    <w:rsid w:val="7B557668"/>
    <w:rsid w:val="7B5721B8"/>
    <w:rsid w:val="7B5C6BFD"/>
    <w:rsid w:val="7B884D33"/>
    <w:rsid w:val="7BA630A7"/>
    <w:rsid w:val="7BBB6A08"/>
    <w:rsid w:val="7BCB5994"/>
    <w:rsid w:val="7BED154E"/>
    <w:rsid w:val="7BED6B05"/>
    <w:rsid w:val="7C1946E0"/>
    <w:rsid w:val="7C1A56C2"/>
    <w:rsid w:val="7C42078B"/>
    <w:rsid w:val="7C953CBE"/>
    <w:rsid w:val="7C9C6D51"/>
    <w:rsid w:val="7CA326C8"/>
    <w:rsid w:val="7CA51C63"/>
    <w:rsid w:val="7CAA5F0D"/>
    <w:rsid w:val="7CBF05CC"/>
    <w:rsid w:val="7D25417D"/>
    <w:rsid w:val="7D470375"/>
    <w:rsid w:val="7D5A124C"/>
    <w:rsid w:val="7D6B3C9C"/>
    <w:rsid w:val="7D6C7837"/>
    <w:rsid w:val="7D87483A"/>
    <w:rsid w:val="7D886B89"/>
    <w:rsid w:val="7D8A3047"/>
    <w:rsid w:val="7D92427A"/>
    <w:rsid w:val="7DA653E8"/>
    <w:rsid w:val="7DAB4450"/>
    <w:rsid w:val="7DAE4568"/>
    <w:rsid w:val="7DC3009F"/>
    <w:rsid w:val="7DC80DDA"/>
    <w:rsid w:val="7DDC30D5"/>
    <w:rsid w:val="7E0B01EB"/>
    <w:rsid w:val="7E0B16A2"/>
    <w:rsid w:val="7E12506E"/>
    <w:rsid w:val="7E1B5179"/>
    <w:rsid w:val="7E1D76FE"/>
    <w:rsid w:val="7E3610F8"/>
    <w:rsid w:val="7E402EFE"/>
    <w:rsid w:val="7E594E0B"/>
    <w:rsid w:val="7E7C766D"/>
    <w:rsid w:val="7E833262"/>
    <w:rsid w:val="7E932FC5"/>
    <w:rsid w:val="7E941F8F"/>
    <w:rsid w:val="7E9B5F2D"/>
    <w:rsid w:val="7EC62364"/>
    <w:rsid w:val="7EC860DC"/>
    <w:rsid w:val="7ECE4E91"/>
    <w:rsid w:val="7ECE6209"/>
    <w:rsid w:val="7EDB5D8D"/>
    <w:rsid w:val="7EDD4604"/>
    <w:rsid w:val="7EE051D4"/>
    <w:rsid w:val="7EE626A2"/>
    <w:rsid w:val="7F0A31ED"/>
    <w:rsid w:val="7F165CD8"/>
    <w:rsid w:val="7F243837"/>
    <w:rsid w:val="7F2B17D8"/>
    <w:rsid w:val="7F3C05D3"/>
    <w:rsid w:val="7F437894"/>
    <w:rsid w:val="7F4E60A4"/>
    <w:rsid w:val="7F676C28"/>
    <w:rsid w:val="7F710522"/>
    <w:rsid w:val="7F751E64"/>
    <w:rsid w:val="7F7A4953"/>
    <w:rsid w:val="7F806C96"/>
    <w:rsid w:val="7F90721E"/>
    <w:rsid w:val="7F990359"/>
    <w:rsid w:val="7FAC08C1"/>
    <w:rsid w:val="7FAD0277"/>
    <w:rsid w:val="7FB44E0C"/>
    <w:rsid w:val="7FCF5193"/>
    <w:rsid w:val="7FD06104"/>
    <w:rsid w:val="7FD779E8"/>
    <w:rsid w:val="7FE231CE"/>
    <w:rsid w:val="7FF0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2">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2"/>
      </w:numPr>
    </w:p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0"/>
    <w:pPr>
      <w:spacing w:line="360" w:lineRule="exact"/>
    </w:pPr>
    <w:rPr>
      <w:sz w:val="24"/>
    </w:rPr>
  </w:style>
  <w:style w:type="paragraph" w:styleId="9">
    <w:name w:val="Body Text First Indent"/>
    <w:basedOn w:val="8"/>
    <w:next w:val="8"/>
    <w:qFormat/>
    <w:uiPriority w:val="0"/>
    <w:pPr>
      <w:ind w:firstLine="200" w:firstLineChars="200"/>
    </w:pPr>
  </w:style>
  <w:style w:type="paragraph" w:styleId="10">
    <w:name w:val="Body Text Indent"/>
    <w:basedOn w:val="1"/>
    <w:next w:val="11"/>
    <w:qFormat/>
    <w:uiPriority w:val="0"/>
    <w:pPr>
      <w:spacing w:after="120"/>
      <w:ind w:left="420" w:leftChars="200"/>
    </w:pPr>
  </w:style>
  <w:style w:type="paragraph" w:customStyle="1" w:styleId="11">
    <w:name w:val="正文文本首行缩进 2"/>
    <w:basedOn w:val="10"/>
    <w:qFormat/>
    <w:uiPriority w:val="99"/>
    <w:pPr>
      <w:spacing w:line="200" w:lineRule="atLeast"/>
      <w:ind w:firstLine="420"/>
    </w:pPr>
    <w:rPr>
      <w:rFonts w:ascii="宋体" w:hAnsi="Courier New"/>
      <w:spacing w:val="-4"/>
      <w:sz w:val="18"/>
    </w:rPr>
  </w:style>
  <w:style w:type="paragraph" w:styleId="12">
    <w:name w:val="Plain Text"/>
    <w:basedOn w:val="1"/>
    <w:next w:val="13"/>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50"/>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8">
    <w:name w:val="toc 6"/>
    <w:basedOn w:val="1"/>
    <w:next w:val="1"/>
    <w:qFormat/>
    <w:uiPriority w:val="99"/>
    <w:pPr>
      <w:widowControl/>
      <w:ind w:left="1000"/>
      <w:jc w:val="left"/>
    </w:pPr>
    <w:rPr>
      <w:kern w:val="0"/>
      <w:sz w:val="18"/>
      <w:szCs w:val="20"/>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Body Text First Indent 2"/>
    <w:basedOn w:val="10"/>
    <w:next w:val="1"/>
    <w:qFormat/>
    <w:uiPriority w:val="0"/>
    <w:pPr>
      <w:ind w:firstLine="420"/>
    </w:pPr>
  </w:style>
  <w:style w:type="table" w:styleId="22">
    <w:name w:val="Table Grid"/>
    <w:basedOn w:val="21"/>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qFormat/>
    <w:uiPriority w:val="0"/>
    <w:rPr>
      <w:color w:val="800080"/>
      <w:u w:val="single"/>
    </w:rPr>
  </w:style>
  <w:style w:type="character" w:styleId="25">
    <w:name w:val="Hyperlink"/>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8">
    <w:name w:val="List Paragraph"/>
    <w:basedOn w:val="1"/>
    <w:qFormat/>
    <w:uiPriority w:val="34"/>
    <w:pPr>
      <w:ind w:firstLine="420" w:firstLineChars="200"/>
    </w:pPr>
    <w:rPr>
      <w:rFonts w:ascii="Calibri" w:hAnsi="Calibri"/>
      <w:szCs w:val="22"/>
    </w:rPr>
  </w:style>
  <w:style w:type="paragraph" w:customStyle="1" w:styleId="29">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4"/>
    <w:qFormat/>
    <w:uiPriority w:val="0"/>
    <w:rPr>
      <w:rFonts w:ascii="Times New Roman" w:hAnsi="Times New Roman" w:eastAsia="宋体" w:cs="Times New Roman"/>
      <w:sz w:val="21"/>
      <w:szCs w:val="22"/>
      <w:lang w:val="en-US" w:eastAsia="zh-CN" w:bidi="ar-SA"/>
    </w:rPr>
  </w:style>
  <w:style w:type="paragraph" w:customStyle="1" w:styleId="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3"/>
    <w:basedOn w:val="36"/>
    <w:qFormat/>
    <w:uiPriority w:val="0"/>
    <w:pPr>
      <w:widowControl/>
      <w:jc w:val="left"/>
    </w:pPr>
    <w:rPr>
      <w:rFonts w:ascii="宋体" w:hAnsi="Courier New" w:eastAsiaTheme="minorEastAsia" w:cstheme="minorBidi"/>
      <w:szCs w:val="21"/>
    </w:rPr>
  </w:style>
  <w:style w:type="paragraph" w:customStyle="1" w:styleId="38">
    <w:name w:val="纯文本_0_1"/>
    <w:basedOn w:val="1"/>
    <w:qFormat/>
    <w:uiPriority w:val="0"/>
    <w:pPr>
      <w:widowControl/>
      <w:jc w:val="left"/>
    </w:pPr>
    <w:rPr>
      <w:rFonts w:ascii="宋体" w:hAnsi="Courier New" w:eastAsiaTheme="minorEastAsia" w:cstheme="minorBidi"/>
      <w:szCs w:val="21"/>
    </w:rPr>
  </w:style>
  <w:style w:type="paragraph" w:customStyle="1" w:styleId="3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font21"/>
    <w:basedOn w:val="23"/>
    <w:qFormat/>
    <w:uiPriority w:val="0"/>
    <w:rPr>
      <w:rFonts w:hint="default" w:ascii="Arial" w:hAnsi="Arial" w:cs="Arial"/>
      <w:color w:val="000000"/>
      <w:sz w:val="20"/>
      <w:szCs w:val="20"/>
      <w:u w:val="none"/>
    </w:rPr>
  </w:style>
  <w:style w:type="character" w:customStyle="1" w:styleId="44">
    <w:name w:val="font01"/>
    <w:basedOn w:val="23"/>
    <w:qFormat/>
    <w:uiPriority w:val="0"/>
    <w:rPr>
      <w:rFonts w:hint="eastAsia" w:ascii="宋体" w:hAnsi="宋体" w:eastAsia="宋体" w:cs="宋体"/>
      <w:color w:val="000000"/>
      <w:sz w:val="20"/>
      <w:szCs w:val="20"/>
      <w:u w:val="none"/>
    </w:rPr>
  </w:style>
  <w:style w:type="paragraph" w:customStyle="1" w:styleId="45">
    <w:name w:val="纯文本1"/>
    <w:basedOn w:val="46"/>
    <w:qFormat/>
    <w:uiPriority w:val="0"/>
    <w:pPr>
      <w:widowControl/>
      <w:jc w:val="left"/>
    </w:pPr>
    <w:rPr>
      <w:rFonts w:ascii="宋体" w:hAnsi="Courier New"/>
    </w:rPr>
  </w:style>
  <w:style w:type="paragraph" w:customStyle="1" w:styleId="4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7">
    <w:name w:val="Table Paragraph"/>
    <w:basedOn w:val="1"/>
    <w:qFormat/>
    <w:uiPriority w:val="1"/>
    <w:rPr>
      <w:rFonts w:ascii="宋体" w:hAnsi="宋体" w:cs="宋体"/>
    </w:rPr>
  </w:style>
  <w:style w:type="paragraph" w:customStyle="1" w:styleId="48">
    <w:name w:val="WPSOffice手动目录 1"/>
    <w:qFormat/>
    <w:uiPriority w:val="0"/>
    <w:rPr>
      <w:rFonts w:ascii="Times New Roman" w:hAnsi="Times New Roman" w:eastAsia="宋体" w:cs="Times New Roman"/>
      <w:lang w:val="en-US" w:eastAsia="zh-CN" w:bidi="ar-SA"/>
    </w:rPr>
  </w:style>
  <w:style w:type="character" w:customStyle="1" w:styleId="49">
    <w:name w:val="标题 1 Char Char"/>
    <w:basedOn w:val="23"/>
    <w:qFormat/>
    <w:uiPriority w:val="0"/>
    <w:rPr>
      <w:rFonts w:eastAsia="宋体"/>
      <w:b/>
      <w:spacing w:val="-2"/>
      <w:sz w:val="24"/>
      <w:lang w:val="en-US" w:eastAsia="zh-CN" w:bidi="ar-SA"/>
    </w:rPr>
  </w:style>
  <w:style w:type="character" w:customStyle="1" w:styleId="50">
    <w:name w:val="批注框文本 Char"/>
    <w:basedOn w:val="23"/>
    <w:link w:val="14"/>
    <w:qFormat/>
    <w:uiPriority w:val="0"/>
    <w:rPr>
      <w:kern w:val="2"/>
      <w:sz w:val="18"/>
      <w:szCs w:val="18"/>
    </w:rPr>
  </w:style>
  <w:style w:type="paragraph" w:customStyle="1" w:styleId="51">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4.jpeg"/><Relationship Id="rId23" Type="http://schemas.openxmlformats.org/officeDocument/2006/relationships/image" Target="media/image13.png"/><Relationship Id="rId22" Type="http://schemas.openxmlformats.org/officeDocument/2006/relationships/image" Target="media/image12.jpe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30091</Words>
  <Characters>32004</Characters>
  <Lines>174</Lines>
  <Paragraphs>49</Paragraphs>
  <TotalTime>3</TotalTime>
  <ScaleCrop>false</ScaleCrop>
  <LinksUpToDate>false</LinksUpToDate>
  <CharactersWithSpaces>33864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cp:lastPrinted>2021-08-18T01:05:00Z</cp:lastPrinted>
  <dcterms:modified xsi:type="dcterms:W3CDTF">2022-11-14T02:56:20Z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61CE124B697945E591EDB8D0CC441077</vt:lpwstr>
  </property>
</Properties>
</file>