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TZCG-2022-GK</w:t>
      </w:r>
      <w:r>
        <w:rPr>
          <w:rFonts w:hint="eastAsia" w:ascii="宋体"/>
          <w:b/>
          <w:color w:val="auto"/>
          <w:kern w:val="0"/>
          <w:sz w:val="32"/>
        </w:rPr>
        <w:t>0</w:t>
      </w:r>
      <w:r>
        <w:rPr>
          <w:rFonts w:hint="eastAsia" w:ascii="宋体"/>
          <w:b/>
          <w:color w:val="auto"/>
          <w:kern w:val="0"/>
          <w:sz w:val="32"/>
          <w:lang w:val="en-US" w:eastAsia="zh-CN"/>
        </w:rPr>
        <w:t>30</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hint="eastAsia" w:ascii="宋体" w:hAnsi="Times New Roman" w:eastAsia="宋体" w:cs="Times New Roman"/>
          <w:kern w:val="0"/>
          <w:sz w:val="28"/>
        </w:rPr>
      </w:pPr>
    </w:p>
    <w:p>
      <w:pPr>
        <w:autoSpaceDE w:val="0"/>
        <w:autoSpaceDN w:val="0"/>
        <w:adjustRightInd w:val="0"/>
        <w:spacing w:line="360" w:lineRule="auto"/>
        <w:jc w:val="center"/>
        <w:rPr>
          <w:rFonts w:hint="eastAsia" w:ascii="宋体" w:hAnsi="Times New Roman" w:eastAsia="宋体" w:cs="Times New Roman"/>
          <w:kern w:val="0"/>
          <w:sz w:val="28"/>
          <w:lang w:val="en-US" w:eastAsia="zh-CN"/>
        </w:rPr>
      </w:pPr>
      <w:r>
        <w:rPr>
          <w:rFonts w:hint="eastAsia" w:ascii="宋体" w:hAnsi="Times New Roman" w:eastAsia="宋体" w:cs="Times New Roman"/>
          <w:kern w:val="0"/>
          <w:sz w:val="28"/>
        </w:rPr>
        <w:t>采购项目：</w:t>
      </w:r>
      <w:r>
        <w:rPr>
          <w:rFonts w:hint="eastAsia" w:ascii="宋体" w:hAnsi="Times New Roman" w:eastAsia="宋体" w:cs="Times New Roman"/>
          <w:kern w:val="0"/>
          <w:sz w:val="28"/>
          <w:lang w:eastAsia="zh-CN"/>
        </w:rPr>
        <w:t>多</w:t>
      </w:r>
      <w:r>
        <w:rPr>
          <w:rFonts w:hint="eastAsia" w:ascii="宋体" w:hAnsi="Times New Roman" w:eastAsia="宋体" w:cs="Times New Roman"/>
          <w:kern w:val="0"/>
          <w:sz w:val="28"/>
        </w:rPr>
        <w:t>媒体会议系统设备采购项目</w:t>
      </w:r>
    </w:p>
    <w:p>
      <w:pPr>
        <w:autoSpaceDE w:val="0"/>
        <w:autoSpaceDN w:val="0"/>
        <w:adjustRightInd w:val="0"/>
        <w:spacing w:line="360" w:lineRule="auto"/>
        <w:jc w:val="center"/>
        <w:rPr>
          <w:rFonts w:hint="eastAsia" w:ascii="宋体" w:hAnsi="Times New Roman" w:eastAsia="宋体" w:cs="Times New Roman"/>
          <w:kern w:val="0"/>
          <w:sz w:val="28"/>
        </w:rPr>
      </w:pPr>
    </w:p>
    <w:p>
      <w:pPr>
        <w:autoSpaceDE w:val="0"/>
        <w:autoSpaceDN w:val="0"/>
        <w:adjustRightInd w:val="0"/>
        <w:spacing w:line="360" w:lineRule="auto"/>
        <w:jc w:val="center"/>
        <w:rPr>
          <w:rFonts w:hint="eastAsia" w:ascii="宋体" w:hAnsi="Times New Roman" w:eastAsia="宋体" w:cs="Times New Roman"/>
          <w:kern w:val="0"/>
          <w:sz w:val="28"/>
          <w:lang w:val="en-US" w:eastAsia="zh-CN"/>
        </w:rPr>
      </w:pPr>
      <w:r>
        <w:rPr>
          <w:rFonts w:hint="eastAsia" w:ascii="宋体" w:hAnsi="Times New Roman" w:eastAsia="宋体" w:cs="Times New Roman"/>
          <w:kern w:val="0"/>
          <w:sz w:val="28"/>
        </w:rPr>
        <w:t>采 购 人：</w:t>
      </w:r>
      <w:r>
        <w:rPr>
          <w:rFonts w:hint="eastAsia" w:ascii="宋体" w:hAnsi="Times New Roman" w:eastAsia="宋体" w:cs="Times New Roman"/>
          <w:kern w:val="0"/>
          <w:sz w:val="28"/>
          <w:lang w:val="en-US" w:eastAsia="zh-CN"/>
        </w:rPr>
        <w:t xml:space="preserve"> </w:t>
      </w:r>
      <w:r>
        <w:rPr>
          <w:rFonts w:hint="eastAsia" w:ascii="宋体" w:hAnsi="Times New Roman" w:eastAsia="宋体" w:cs="Times New Roman"/>
          <w:kern w:val="0"/>
          <w:sz w:val="28"/>
        </w:rPr>
        <w:t>浙江大学台州研究院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2022年 10 月</w:t>
      </w:r>
      <w:r>
        <w:rPr>
          <w:rFonts w:hint="eastAsia" w:ascii="宋体" w:hAnsi="宋体" w:cs="宋体"/>
          <w:color w:val="FF0000"/>
          <w:kern w:val="0"/>
          <w:sz w:val="28"/>
          <w:szCs w:val="28"/>
          <w:lang w:val="en-US" w:eastAsia="zh-CN"/>
        </w:rPr>
        <w:t xml:space="preserve"> 31</w:t>
      </w:r>
      <w:r>
        <w:rPr>
          <w:rFonts w:hint="eastAsia" w:ascii="宋体" w:hAnsi="宋体" w:cs="宋体"/>
          <w:kern w:val="0"/>
          <w:sz w:val="28"/>
          <w:szCs w:val="28"/>
        </w:rPr>
        <w:t>日</w:t>
      </w:r>
    </w:p>
    <w:p>
      <w:pPr>
        <w:spacing w:line="360" w:lineRule="auto"/>
      </w:pPr>
    </w:p>
    <w:p>
      <w:pPr>
        <w:pStyle w:val="21"/>
      </w:pPr>
    </w:p>
    <w:p>
      <w:pPr>
        <w:pStyle w:val="21"/>
      </w:pPr>
    </w:p>
    <w:p>
      <w:pPr>
        <w:pStyle w:val="21"/>
      </w:pPr>
    </w:p>
    <w:p>
      <w:pPr>
        <w:pStyle w:val="21"/>
      </w:pPr>
    </w:p>
    <w:p>
      <w:pPr>
        <w:pStyle w:val="21"/>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rPr>
              <w:rFonts w:ascii="宋体" w:hAnsi="宋体"/>
              <w:kern w:val="0"/>
              <w:sz w:val="28"/>
              <w:szCs w:val="28"/>
            </w:rPr>
          </w:pPr>
          <w:bookmarkStart w:id="0" w:name="_Toc25017_WPSOffice_Type1"/>
        </w:p>
        <w:p>
          <w:pPr>
            <w:pStyle w:val="21"/>
          </w:pPr>
        </w:p>
        <w:p>
          <w:pPr>
            <w:spacing w:line="480" w:lineRule="auto"/>
            <w:jc w:val="center"/>
            <w:rPr>
              <w:rFonts w:ascii="宋体" w:hAnsi="宋体"/>
              <w:b/>
              <w:bCs/>
              <w:sz w:val="36"/>
              <w:szCs w:val="36"/>
            </w:rPr>
          </w:pPr>
          <w:r>
            <w:rPr>
              <w:rFonts w:hint="eastAsia" w:ascii="宋体" w:hAnsi="宋体"/>
              <w:b/>
              <w:bCs/>
              <w:sz w:val="36"/>
              <w:szCs w:val="36"/>
            </w:rPr>
            <w:t>目  录</w:t>
          </w:r>
        </w:p>
        <w:p>
          <w:pPr>
            <w:pStyle w:val="18"/>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5</w:t>
          </w:r>
        </w:p>
        <w:p>
          <w:pPr>
            <w:pStyle w:val="18"/>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lang w:val="en-US" w:eastAsia="zh-CN"/>
            </w:rPr>
            <w:t>3</w:t>
          </w:r>
          <w:r>
            <w:rPr>
              <w:rFonts w:hint="eastAsia" w:eastAsiaTheme="minorEastAsia" w:cstheme="minorBidi"/>
              <w:sz w:val="28"/>
              <w:szCs w:val="28"/>
            </w:rPr>
            <w:t>2</w:t>
          </w:r>
          <w:bookmarkEnd w:id="2"/>
          <w:r>
            <w:rPr>
              <w:rFonts w:hint="eastAsia" w:eastAsiaTheme="minorEastAsia" w:cstheme="minorBidi"/>
              <w:sz w:val="28"/>
              <w:szCs w:val="28"/>
            </w:rPr>
            <w:fldChar w:fldCharType="end"/>
          </w:r>
        </w:p>
        <w:p>
          <w:pPr>
            <w:pStyle w:val="18"/>
            <w:tabs>
              <w:tab w:val="right" w:leader="dot" w:pos="8620"/>
            </w:tabs>
            <w:rPr>
              <w:rFonts w:hint="eastAsia" w:eastAsiaTheme="minorEastAsia" w:cstheme="minorBidi"/>
              <w:sz w:val="28"/>
              <w:szCs w:val="28"/>
              <w:lang w:val="en-US" w:eastAsia="zh-CN"/>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r>
            <w:rPr>
              <w:rFonts w:hint="eastAsia" w:eastAsiaTheme="minorEastAsia" w:cstheme="minorBidi"/>
              <w:sz w:val="28"/>
              <w:szCs w:val="28"/>
              <w:lang w:val="en-US" w:eastAsia="zh-CN"/>
            </w:rPr>
            <w:t>4</w:t>
          </w:r>
          <w:r>
            <w:rPr>
              <w:rFonts w:hint="eastAsia" w:eastAsiaTheme="minorEastAsia" w:cstheme="minorBidi"/>
              <w:sz w:val="28"/>
              <w:szCs w:val="28"/>
            </w:rPr>
            <w:fldChar w:fldCharType="end"/>
          </w:r>
          <w:r>
            <w:rPr>
              <w:rFonts w:hint="eastAsia" w:eastAsiaTheme="minorEastAsia" w:cstheme="minorBidi"/>
              <w:sz w:val="28"/>
              <w:szCs w:val="28"/>
              <w:lang w:val="en-US" w:eastAsia="zh-CN"/>
            </w:rPr>
            <w:t>2</w:t>
          </w:r>
        </w:p>
        <w:p>
          <w:pPr>
            <w:pStyle w:val="18"/>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3" w:name="_Toc5481_WPSOffice_Level1Page"/>
          <w:r>
            <w:rPr>
              <w:rFonts w:hint="eastAsia" w:eastAsiaTheme="minorEastAsia" w:cstheme="minorBidi"/>
              <w:sz w:val="28"/>
              <w:szCs w:val="28"/>
            </w:rPr>
            <w:t>4</w:t>
          </w:r>
          <w:bookmarkEnd w:id="3"/>
          <w:r>
            <w:rPr>
              <w:rFonts w:hint="eastAsia" w:eastAsiaTheme="minorEastAsia" w:cstheme="minorBidi"/>
              <w:sz w:val="28"/>
              <w:szCs w:val="28"/>
            </w:rPr>
            <w:fldChar w:fldCharType="end"/>
          </w:r>
          <w:r>
            <w:rPr>
              <w:rFonts w:hint="eastAsia" w:eastAsiaTheme="minorEastAsia" w:cstheme="minorBidi"/>
              <w:sz w:val="28"/>
              <w:szCs w:val="28"/>
              <w:lang w:val="en-US" w:eastAsia="zh-CN"/>
            </w:rPr>
            <w:t>7</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宋体" w:hAnsi="宋体" w:cs="宋体"/>
          <w:b/>
          <w:sz w:val="36"/>
          <w:szCs w:val="36"/>
        </w:rPr>
      </w:pPr>
      <w:r>
        <w:rPr>
          <w:rFonts w:hint="eastAsia" w:asciiTheme="majorEastAsia" w:hAnsiTheme="majorEastAsia" w:eastAsiaTheme="majorEastAsia"/>
          <w:b/>
          <w:kern w:val="0"/>
          <w:sz w:val="36"/>
          <w:szCs w:val="36"/>
        </w:rPr>
        <w:br w:type="page"/>
      </w:r>
      <w:bookmarkStart w:id="4" w:name="_Toc4350_WPSOffice_Level1"/>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kern w:val="0"/>
          <w:sz w:val="36"/>
          <w:szCs w:val="36"/>
        </w:rPr>
        <w:t>第一章 投标邀请</w:t>
      </w:r>
      <w:bookmarkEnd w:id="4"/>
    </w:p>
    <w:p>
      <w:pPr>
        <w:pStyle w:val="4"/>
        <w:ind w:firstLine="480" w:firstLineChars="200"/>
        <w:rPr>
          <w:rFonts w:cs="宋体"/>
          <w:b w:val="0"/>
          <w:sz w:val="24"/>
          <w:szCs w:val="24"/>
        </w:rPr>
      </w:pPr>
      <w:bookmarkStart w:id="5" w:name="_Toc35393621"/>
      <w:bookmarkStart w:id="6" w:name="_Toc28359002"/>
      <w:bookmarkStart w:id="7" w:name="_Toc35393790"/>
      <w:bookmarkStart w:id="8" w:name="_Toc28359079"/>
      <w:bookmarkStart w:id="9" w:name="_Hlk24379207"/>
      <w:r>
        <w:rPr>
          <w:rFonts w:hint="eastAsia" w:cs="宋体"/>
          <w:b w:val="0"/>
          <w:sz w:val="24"/>
          <w:szCs w:val="24"/>
        </w:rPr>
        <w:t>台州市政府采购中心受</w:t>
      </w:r>
      <w:r>
        <w:rPr>
          <w:rFonts w:hint="eastAsia" w:ascii="宋体" w:hAnsi="宋体" w:eastAsia="宋体" w:cs="宋体"/>
          <w:b w:val="0"/>
          <w:sz w:val="24"/>
          <w:szCs w:val="24"/>
        </w:rPr>
        <w:t>浙江大学台州研究院委托，就</w:t>
      </w:r>
      <w:r>
        <w:rPr>
          <w:rFonts w:hint="eastAsia" w:ascii="宋体" w:hAnsi="宋体" w:eastAsia="宋体" w:cs="宋体"/>
          <w:b w:val="0"/>
          <w:sz w:val="24"/>
          <w:szCs w:val="24"/>
          <w:lang w:eastAsia="zh-CN"/>
        </w:rPr>
        <w:t>多</w:t>
      </w:r>
      <w:r>
        <w:rPr>
          <w:rFonts w:hint="eastAsia" w:ascii="宋体" w:hAnsi="宋体" w:eastAsia="宋体" w:cs="宋体"/>
          <w:b w:val="0"/>
          <w:sz w:val="24"/>
          <w:szCs w:val="24"/>
        </w:rPr>
        <w:t>媒体会议系统设备采购项目进行公开招标，欢迎符合资格条件的国内投标人参加投标。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pPr>
        <w:spacing w:line="360" w:lineRule="auto"/>
        <w:ind w:firstLine="480" w:firstLineChars="200"/>
        <w:rPr>
          <w:rFonts w:ascii="宋体" w:hAnsi="宋体" w:cs="宋体"/>
          <w:sz w:val="24"/>
        </w:rPr>
      </w:pPr>
      <w:r>
        <w:rPr>
          <w:rFonts w:hint="eastAsia" w:ascii="宋体" w:hAnsi="宋体" w:cs="宋体"/>
          <w:sz w:val="24"/>
        </w:rPr>
        <w:t>项目编号：TZCG-2022-GK</w:t>
      </w:r>
      <w:r>
        <w:rPr>
          <w:rFonts w:hint="eastAsia" w:ascii="宋体" w:hAnsi="宋体" w:cs="宋体"/>
          <w:color w:val="auto"/>
          <w:sz w:val="24"/>
          <w:lang w:val="en-US" w:eastAsia="zh-CN"/>
        </w:rPr>
        <w:t>030</w:t>
      </w:r>
      <w:r>
        <w:rPr>
          <w:rFonts w:hint="eastAsia" w:asciiTheme="minorEastAsia" w:hAnsiTheme="minorEastAsia" w:eastAsiaTheme="minorEastAsia" w:cstheme="minorEastAsia"/>
          <w:sz w:val="24"/>
        </w:rPr>
        <w:t>号</w:t>
      </w:r>
    </w:p>
    <w:bookmarkEnd w:id="9"/>
    <w:p>
      <w:pPr>
        <w:spacing w:line="360" w:lineRule="auto"/>
        <w:ind w:firstLine="480" w:firstLineChars="200"/>
        <w:rPr>
          <w:rFonts w:ascii="宋体" w:hAnsi="宋体" w:cs="宋体"/>
          <w:kern w:val="0"/>
          <w:sz w:val="24"/>
        </w:rPr>
      </w:pPr>
      <w:r>
        <w:rPr>
          <w:rFonts w:hint="eastAsia" w:ascii="宋体" w:hAnsi="宋体" w:cs="宋体"/>
          <w:sz w:val="24"/>
        </w:rPr>
        <w:t>项目名称：</w:t>
      </w:r>
      <w:r>
        <w:rPr>
          <w:rFonts w:hint="eastAsia"/>
        </w:rPr>
        <w:t>浙江大学台州研究院</w:t>
      </w:r>
      <w:r>
        <w:rPr>
          <w:rFonts w:hint="eastAsia"/>
          <w:lang w:eastAsia="zh-CN"/>
        </w:rPr>
        <w:t>多</w:t>
      </w:r>
      <w:r>
        <w:rPr>
          <w:rFonts w:hint="eastAsia"/>
        </w:rPr>
        <w:t>媒体会议系统设备采购项目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120"/>
        <w:gridCol w:w="795"/>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8"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120"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795"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97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3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585"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3120" w:type="dxa"/>
            <w:vAlign w:val="center"/>
          </w:tcPr>
          <w:p>
            <w:pPr>
              <w:tabs>
                <w:tab w:val="left" w:pos="8280"/>
              </w:tabs>
              <w:autoSpaceDE w:val="0"/>
              <w:autoSpaceDN w:val="0"/>
              <w:adjustRightInd w:val="0"/>
              <w:jc w:val="center"/>
              <w:rPr>
                <w:rFonts w:ascii="宋体" w:hAnsi="宋体" w:cs="宋体"/>
                <w:bCs/>
                <w:szCs w:val="21"/>
              </w:rPr>
            </w:pPr>
            <w:r>
              <w:rPr>
                <w:rFonts w:hint="eastAsia"/>
                <w:lang w:eastAsia="zh-CN"/>
              </w:rPr>
              <w:t>多</w:t>
            </w:r>
            <w:r>
              <w:rPr>
                <w:rFonts w:hint="eastAsia"/>
              </w:rPr>
              <w:t>媒体会议系统设备采购项目</w:t>
            </w:r>
          </w:p>
        </w:tc>
        <w:tc>
          <w:tcPr>
            <w:tcW w:w="795" w:type="dxa"/>
            <w:vAlign w:val="center"/>
          </w:tcPr>
          <w:p>
            <w:pPr>
              <w:tabs>
                <w:tab w:val="left" w:pos="8280"/>
              </w:tabs>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Cs/>
                <w:szCs w:val="21"/>
                <w:lang w:eastAsia="zh-CN"/>
              </w:rPr>
            </w:pPr>
            <w:r>
              <w:rPr>
                <w:rFonts w:hint="eastAsia" w:ascii="宋体" w:hAnsi="宋体" w:cs="宋体"/>
                <w:bCs/>
                <w:szCs w:val="21"/>
                <w:lang w:eastAsia="zh-CN"/>
              </w:rPr>
              <w:t>批</w:t>
            </w:r>
          </w:p>
        </w:tc>
        <w:tc>
          <w:tcPr>
            <w:tcW w:w="1303"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110</w:t>
            </w:r>
          </w:p>
        </w:tc>
        <w:tc>
          <w:tcPr>
            <w:tcW w:w="1585"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110</w:t>
            </w:r>
          </w:p>
        </w:tc>
      </w:tr>
    </w:tbl>
    <w:p>
      <w:pPr>
        <w:pStyle w:val="4"/>
        <w:ind w:right="0" w:firstLine="482" w:firstLineChars="200"/>
        <w:rPr>
          <w:rFonts w:cs="宋体"/>
          <w:bCs/>
          <w:sz w:val="24"/>
          <w:szCs w:val="24"/>
        </w:rPr>
      </w:pPr>
      <w:bookmarkStart w:id="10" w:name="_Toc28359003"/>
      <w:bookmarkStart w:id="11" w:name="_Toc28359080"/>
      <w:bookmarkStart w:id="12" w:name="_Toc35393791"/>
      <w:bookmarkStart w:id="13" w:name="_Toc35393622"/>
      <w:r>
        <w:rPr>
          <w:rFonts w:hint="eastAsia" w:cs="宋体"/>
          <w:bCs/>
          <w:sz w:val="24"/>
          <w:szCs w:val="24"/>
        </w:rPr>
        <w:t>二、投标人的资格要求</w:t>
      </w:r>
      <w:bookmarkEnd w:id="10"/>
      <w:bookmarkEnd w:id="11"/>
      <w:bookmarkEnd w:id="12"/>
      <w:bookmarkEnd w:id="13"/>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4" w:name="_Toc35393623"/>
      <w:bookmarkStart w:id="15" w:name="_Toc35393792"/>
      <w:bookmarkStart w:id="16" w:name="_Toc28359081"/>
      <w:bookmarkStart w:id="17" w:name="_Toc28359004"/>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w:t>
      </w:r>
      <w:r>
        <w:rPr>
          <w:rFonts w:hint="eastAsia" w:ascii="宋体" w:hAnsi="宋体" w:cs="宋体"/>
          <w:sz w:val="24"/>
          <w:lang w:val="en-US" w:eastAsia="zh-CN"/>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ind w:right="0" w:firstLine="482" w:firstLineChars="200"/>
        <w:rPr>
          <w:rFonts w:cs="宋体"/>
          <w:bCs/>
          <w:sz w:val="24"/>
          <w:szCs w:val="24"/>
        </w:rPr>
      </w:pPr>
      <w:r>
        <w:rPr>
          <w:rFonts w:hint="eastAsia" w:cs="宋体"/>
          <w:bCs/>
          <w:sz w:val="24"/>
          <w:szCs w:val="24"/>
        </w:rPr>
        <w:t>三、获取招标文件</w:t>
      </w:r>
      <w:bookmarkEnd w:id="14"/>
      <w:bookmarkEnd w:id="15"/>
      <w:bookmarkEnd w:id="16"/>
      <w:bookmarkEnd w:id="17"/>
    </w:p>
    <w:p>
      <w:pPr>
        <w:spacing w:line="360" w:lineRule="auto"/>
        <w:ind w:firstLine="480" w:firstLineChars="200"/>
        <w:rPr>
          <w:rFonts w:ascii="宋体" w:hAnsi="宋体" w:cs="宋体"/>
          <w:sz w:val="24"/>
        </w:rPr>
      </w:pPr>
      <w:r>
        <w:rPr>
          <w:rFonts w:hint="eastAsia" w:ascii="宋体" w:hAnsi="宋体" w:cs="宋体"/>
          <w:sz w:val="24"/>
        </w:rPr>
        <w:t>（一）时间：</w:t>
      </w:r>
      <w:r>
        <w:rPr>
          <w:rFonts w:hint="eastAsia" w:ascii="宋体" w:hAnsi="宋体" w:cs="宋体"/>
          <w:color w:val="FF0000"/>
          <w:sz w:val="24"/>
          <w:u w:val="single"/>
        </w:rPr>
        <w:t>2022年</w:t>
      </w:r>
      <w:r>
        <w:rPr>
          <w:rFonts w:hint="eastAsia" w:ascii="宋体" w:hAnsi="宋体" w:cs="宋体"/>
          <w:color w:val="FF0000"/>
          <w:sz w:val="24"/>
          <w:u w:val="single"/>
          <w:lang w:val="en-US" w:eastAsia="zh-CN"/>
        </w:rPr>
        <w:t>11</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color w:val="FF0000"/>
          <w:sz w:val="24"/>
        </w:rPr>
        <w:t>至</w:t>
      </w:r>
      <w:r>
        <w:rPr>
          <w:rFonts w:hint="eastAsia" w:ascii="宋体" w:hAnsi="宋体" w:cs="宋体"/>
          <w:color w:val="FF0000"/>
          <w:sz w:val="24"/>
          <w:u w:val="single"/>
        </w:rPr>
        <w:t>2022年</w:t>
      </w:r>
      <w:r>
        <w:rPr>
          <w:rFonts w:hint="eastAsia" w:ascii="宋体" w:hAnsi="宋体" w:cs="宋体"/>
          <w:color w:val="FF0000"/>
          <w:sz w:val="24"/>
          <w:u w:val="single"/>
          <w:lang w:val="en-US" w:eastAsia="zh-CN"/>
        </w:rPr>
        <w:t>11</w:t>
      </w:r>
      <w:r>
        <w:rPr>
          <w:rFonts w:hint="eastAsia" w:ascii="宋体" w:hAnsi="宋体" w:cs="宋体"/>
          <w:color w:val="FF0000"/>
          <w:sz w:val="24"/>
          <w:u w:val="single"/>
        </w:rPr>
        <w:t>月</w:t>
      </w:r>
      <w:r>
        <w:rPr>
          <w:rFonts w:hint="eastAsia" w:ascii="宋体" w:hAnsi="宋体" w:cs="宋体"/>
          <w:color w:val="FF0000"/>
          <w:sz w:val="24"/>
          <w:u w:val="single"/>
          <w:lang w:val="en-US" w:eastAsia="zh-CN"/>
        </w:rPr>
        <w:t>7</w:t>
      </w:r>
      <w:r>
        <w:rPr>
          <w:rFonts w:hint="eastAsia" w:ascii="宋体" w:hAnsi="宋体" w:cs="宋体"/>
          <w:color w:val="FF0000"/>
          <w:sz w:val="24"/>
          <w:u w:val="single"/>
        </w:rPr>
        <w:t>日</w:t>
      </w:r>
    </w:p>
    <w:p>
      <w:pPr>
        <w:pStyle w:val="28"/>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4"/>
        <w:ind w:right="0" w:firstLine="482" w:firstLineChars="200"/>
        <w:rPr>
          <w:rFonts w:cs="宋体"/>
          <w:bCs/>
          <w:sz w:val="24"/>
          <w:szCs w:val="24"/>
        </w:rPr>
      </w:pPr>
      <w:bookmarkStart w:id="18" w:name="_Toc28359005"/>
      <w:bookmarkStart w:id="19" w:name="_Toc35393624"/>
      <w:bookmarkStart w:id="20" w:name="_Toc35393793"/>
      <w:bookmarkStart w:id="21" w:name="_Toc28359082"/>
      <w:r>
        <w:rPr>
          <w:rFonts w:hint="eastAsia" w:cs="宋体"/>
          <w:bCs/>
          <w:sz w:val="24"/>
          <w:szCs w:val="24"/>
        </w:rPr>
        <w:t>四、提交投标文件</w:t>
      </w:r>
      <w:bookmarkEnd w:id="18"/>
      <w:bookmarkEnd w:id="19"/>
      <w:bookmarkEnd w:id="20"/>
      <w:bookmarkEnd w:id="21"/>
    </w:p>
    <w:p>
      <w:pPr>
        <w:spacing w:line="360" w:lineRule="auto"/>
        <w:ind w:firstLine="480" w:firstLineChars="200"/>
        <w:rPr>
          <w:rFonts w:ascii="宋体" w:hAnsi="宋体" w:cs="宋体"/>
          <w:iCs/>
          <w:sz w:val="24"/>
          <w:u w:val="single"/>
        </w:rPr>
      </w:pPr>
      <w:bookmarkStart w:id="22" w:name="_Toc35393625"/>
      <w:bookmarkStart w:id="23" w:name="_Toc28359084"/>
      <w:bookmarkStart w:id="24" w:name="_Toc35393794"/>
      <w:bookmarkStart w:id="25" w:name="_Toc28359007"/>
      <w:r>
        <w:rPr>
          <w:rFonts w:hint="eastAsia" w:ascii="宋体" w:hAnsi="宋体" w:cs="宋体"/>
          <w:sz w:val="24"/>
        </w:rPr>
        <w:t>（一）截止时间（开标时间）：</w:t>
      </w:r>
      <w:r>
        <w:rPr>
          <w:rFonts w:hint="eastAsia" w:ascii="宋体" w:hAnsi="宋体" w:cs="宋体"/>
          <w:bCs/>
          <w:color w:val="FF0000"/>
          <w:sz w:val="24"/>
          <w:u w:val="single"/>
        </w:rPr>
        <w:t>2022年</w:t>
      </w:r>
      <w:r>
        <w:rPr>
          <w:rFonts w:hint="eastAsia" w:ascii="宋体" w:hAnsi="宋体" w:cs="宋体"/>
          <w:color w:val="FF0000"/>
          <w:sz w:val="24"/>
          <w:u w:val="single"/>
          <w:lang w:val="en-US" w:eastAsia="zh-CN"/>
        </w:rPr>
        <w:t>11</w:t>
      </w:r>
      <w:r>
        <w:rPr>
          <w:rFonts w:hint="eastAsia" w:ascii="宋体" w:hAnsi="宋体" w:cs="宋体"/>
          <w:bCs/>
          <w:color w:val="FF0000"/>
          <w:sz w:val="24"/>
          <w:u w:val="single"/>
        </w:rPr>
        <w:t>月</w:t>
      </w:r>
      <w:r>
        <w:rPr>
          <w:rFonts w:hint="eastAsia" w:ascii="宋体" w:hAnsi="宋体" w:cs="宋体"/>
          <w:color w:val="FF0000"/>
          <w:sz w:val="24"/>
          <w:u w:val="single"/>
          <w:lang w:val="en-US" w:eastAsia="zh-CN"/>
        </w:rPr>
        <w:t>23</w:t>
      </w:r>
      <w:r>
        <w:rPr>
          <w:rFonts w:hint="eastAsia" w:ascii="宋体" w:hAnsi="宋体" w:cs="宋体"/>
          <w:bCs/>
          <w:color w:val="FF0000"/>
          <w:sz w:val="24"/>
          <w:u w:val="single"/>
        </w:rPr>
        <w:t>日</w:t>
      </w:r>
      <w:r>
        <w:rPr>
          <w:rFonts w:hint="eastAsia" w:ascii="宋体" w:hAnsi="宋体" w:cs="宋体"/>
          <w:bCs/>
          <w:color w:val="FF0000"/>
          <w:sz w:val="24"/>
          <w:u w:val="single"/>
          <w:lang w:val="en-US" w:eastAsia="zh-CN"/>
        </w:rPr>
        <w:t>09</w:t>
      </w:r>
      <w:r>
        <w:rPr>
          <w:rFonts w:hint="eastAsia" w:ascii="宋体" w:hAnsi="宋体" w:cs="宋体"/>
          <w:bCs/>
          <w:color w:val="FF0000"/>
          <w:sz w:val="24"/>
          <w:u w:val="single"/>
        </w:rPr>
        <w:t>:</w:t>
      </w:r>
      <w:r>
        <w:rPr>
          <w:rFonts w:hint="eastAsia" w:ascii="宋体" w:hAnsi="宋体" w:cs="宋体"/>
          <w:bCs/>
          <w:color w:val="FF0000"/>
          <w:sz w:val="24"/>
          <w:u w:val="single"/>
          <w:lang w:val="en-US" w:eastAsia="zh-CN"/>
        </w:rPr>
        <w:t>10</w:t>
      </w:r>
      <w:r>
        <w:rPr>
          <w:rFonts w:hint="eastAsia" w:ascii="宋体" w:hAnsi="宋体" w:cs="宋体"/>
          <w:bCs/>
          <w:sz w:val="24"/>
        </w:rPr>
        <w:t>（北京时间）</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2"/>
    <w:bookmarkEnd w:id="23"/>
    <w:bookmarkEnd w:id="24"/>
    <w:bookmarkEnd w:id="25"/>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6" w:name="_Toc35393626"/>
      <w:bookmarkStart w:id="27" w:name="_Toc35393795"/>
      <w:r>
        <w:rPr>
          <w:rFonts w:hint="eastAsia" w:cs="宋体"/>
          <w:bCs/>
          <w:sz w:val="24"/>
          <w:szCs w:val="24"/>
        </w:rPr>
        <w:t>六、</w:t>
      </w:r>
      <w:bookmarkEnd w:id="26"/>
      <w:bookmarkEnd w:id="27"/>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8" w:name="_Toc35393796"/>
      <w:bookmarkStart w:id="29" w:name="_Toc28359008"/>
      <w:bookmarkStart w:id="30" w:name="_Toc28359085"/>
      <w:bookmarkStart w:id="31" w:name="_Toc35393627"/>
      <w:r>
        <w:rPr>
          <w:rFonts w:hint="eastAsia" w:cs="宋体"/>
          <w:bCs/>
          <w:sz w:val="24"/>
          <w:szCs w:val="24"/>
        </w:rPr>
        <w:t>七、联系</w:t>
      </w:r>
      <w:bookmarkEnd w:id="28"/>
      <w:bookmarkEnd w:id="29"/>
      <w:bookmarkEnd w:id="30"/>
      <w:bookmarkEnd w:id="31"/>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名 称：浙江大学台州研究院（本级）</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 址：浙江省台州市市府大道西段618号</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联系人：</w:t>
      </w:r>
      <w:bookmarkStart w:id="32" w:name="_Toc28359086"/>
      <w:bookmarkStart w:id="33" w:name="_Toc28359009"/>
      <w:r>
        <w:rPr>
          <w:rFonts w:hint="eastAsia" w:ascii="宋体" w:hAnsi="宋体" w:eastAsia="宋体" w:cs="宋体"/>
          <w:sz w:val="24"/>
          <w:lang w:eastAsia="zh-CN"/>
        </w:rPr>
        <w:t>黄老师</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联系电话：0576</w:t>
      </w:r>
      <w:r>
        <w:rPr>
          <w:rFonts w:hint="eastAsia" w:ascii="宋体" w:hAnsi="宋体" w:cs="宋体"/>
          <w:sz w:val="24"/>
          <w:lang w:val="en-US" w:eastAsia="zh-CN"/>
        </w:rPr>
        <w:t>-</w:t>
      </w:r>
      <w:r>
        <w:rPr>
          <w:rFonts w:hint="eastAsia" w:ascii="宋体" w:hAnsi="宋体" w:eastAsia="宋体" w:cs="宋体"/>
          <w:sz w:val="24"/>
        </w:rPr>
        <w:t>88190678</w:t>
      </w:r>
    </w:p>
    <w:bookmarkEnd w:id="32"/>
    <w:bookmarkEnd w:id="33"/>
    <w:p>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rPr>
        <w:t>项目联系人：</w:t>
      </w:r>
      <w:bookmarkStart w:id="34" w:name="_Toc28359087"/>
      <w:bookmarkStart w:id="35" w:name="_Toc28359010"/>
      <w:r>
        <w:rPr>
          <w:rFonts w:hint="eastAsia" w:ascii="宋体" w:hAnsi="宋体" w:cs="宋体"/>
          <w:sz w:val="24"/>
        </w:rPr>
        <w:t>陈</w:t>
      </w:r>
      <w:r>
        <w:rPr>
          <w:rFonts w:hint="eastAsia" w:ascii="宋体" w:hAnsi="宋体" w:cs="宋体"/>
          <w:sz w:val="24"/>
          <w:lang w:eastAsia="zh-CN"/>
        </w:rPr>
        <w:t>女士</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联系电话：0576-88</w:t>
      </w:r>
      <w:r>
        <w:rPr>
          <w:rFonts w:hint="eastAsia" w:ascii="宋体" w:hAnsi="宋体" w:cs="宋体"/>
          <w:sz w:val="24"/>
          <w:lang w:val="en-US" w:eastAsia="zh-CN"/>
        </w:rPr>
        <w:t>685056</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ascii="宋体" w:hAnsi="宋体" w:cs="宋体"/>
          <w:sz w:val="24"/>
        </w:rPr>
      </w:pPr>
      <w:r>
        <w:rPr>
          <w:rFonts w:hint="eastAsia" w:ascii="宋体" w:hAnsi="宋体" w:cs="宋体"/>
          <w:sz w:val="24"/>
        </w:rPr>
        <w:t>技术人员：徐女士</w:t>
      </w:r>
    </w:p>
    <w:p>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 xml:space="preserve">名 称：台州市财政局政府采购监管处         </w:t>
      </w:r>
    </w:p>
    <w:p>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pPr>
        <w:spacing w:line="360" w:lineRule="auto"/>
        <w:ind w:firstLine="480" w:firstLineChars="200"/>
        <w:jc w:val="left"/>
        <w:rPr>
          <w:rFonts w:ascii="宋体" w:hAnsi="宋体" w:cs="宋体"/>
          <w:sz w:val="24"/>
        </w:rPr>
      </w:pPr>
      <w:r>
        <w:rPr>
          <w:rFonts w:hint="eastAsia" w:ascii="宋体" w:hAnsi="宋体" w:cs="宋体"/>
          <w:sz w:val="24"/>
        </w:rPr>
        <w:t>联系人：陈女士</w:t>
      </w:r>
    </w:p>
    <w:p>
      <w:pPr>
        <w:spacing w:line="360" w:lineRule="auto"/>
        <w:ind w:firstLine="480" w:firstLineChars="200"/>
        <w:jc w:val="left"/>
        <w:rPr>
          <w:rFonts w:ascii="宋体" w:hAnsi="宋体" w:cs="宋体"/>
          <w:sz w:val="24"/>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联系电话：4008817190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rPr>
        <w:t>台州市政府采购中心</w:t>
      </w:r>
      <w:r>
        <w:rPr>
          <w:rFonts w:hint="eastAsia" w:ascii="宋体" w:hAnsi="宋体" w:cs="宋体"/>
          <w:kern w:val="0"/>
          <w:sz w:val="24"/>
        </w:rPr>
        <w:t xml:space="preserve">  </w:t>
      </w:r>
    </w:p>
    <w:p>
      <w:pPr>
        <w:widowControl/>
        <w:spacing w:line="360" w:lineRule="auto"/>
        <w:jc w:val="right"/>
        <w:rPr>
          <w:rFonts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color w:val="FF0000"/>
          <w:kern w:val="0"/>
          <w:sz w:val="24"/>
        </w:rPr>
        <w:t>2022年</w:t>
      </w:r>
      <w:r>
        <w:rPr>
          <w:rFonts w:hint="eastAsia" w:asciiTheme="minorEastAsia" w:hAnsiTheme="minorEastAsia" w:eastAsiaTheme="minorEastAsia" w:cstheme="minorEastAsia"/>
          <w:color w:val="FF0000"/>
          <w:sz w:val="24"/>
          <w:lang w:val="en-US" w:eastAsia="zh-CN"/>
        </w:rPr>
        <w:t>10</w:t>
      </w:r>
      <w:r>
        <w:rPr>
          <w:rFonts w:hint="eastAsia" w:asciiTheme="minorEastAsia" w:hAnsiTheme="minorEastAsia" w:eastAsiaTheme="minorEastAsia" w:cstheme="minorEastAsia"/>
          <w:color w:val="FF0000"/>
          <w:kern w:val="0"/>
          <w:sz w:val="24"/>
        </w:rPr>
        <w:t>月</w:t>
      </w:r>
      <w:r>
        <w:rPr>
          <w:rFonts w:hint="eastAsia" w:asciiTheme="minorEastAsia" w:hAnsiTheme="minorEastAsia" w:eastAsiaTheme="minorEastAsia" w:cstheme="minorEastAsia"/>
          <w:color w:val="FF0000"/>
          <w:kern w:val="0"/>
          <w:sz w:val="24"/>
          <w:lang w:val="en-US" w:eastAsia="zh-CN"/>
        </w:rPr>
        <w:t>31</w:t>
      </w:r>
      <w:r>
        <w:rPr>
          <w:rFonts w:hint="eastAsia" w:asciiTheme="minorEastAsia" w:hAnsiTheme="minorEastAsia" w:eastAsiaTheme="minorEastAsia" w:cstheme="minorEastAsia"/>
          <w:color w:val="FF0000"/>
          <w:kern w:val="0"/>
          <w:sz w:val="24"/>
        </w:rPr>
        <w:t>日</w:t>
      </w:r>
      <w:bookmarkEnd w:id="34"/>
      <w:bookmarkEnd w:id="35"/>
      <w:bookmarkStart w:id="36" w:name="_Toc25017_WPSOffice_Level1"/>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第二章 投标人须知</w:t>
      </w:r>
      <w:bookmarkEnd w:id="36"/>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color w:val="000000" w:themeColor="text1"/>
                <w14:textFill>
                  <w14:solidFill>
                    <w14:schemeClr w14:val="tx1"/>
                  </w14:solidFill>
                </w14:textFill>
              </w:rPr>
              <w:t>□是（具体清单见招标需求）/☑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答疑会或</w:t>
            </w:r>
          </w:p>
          <w:p>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hint="eastAsia"/>
                <w:color w:val="000000" w:themeColor="text1"/>
                <w:lang w:eastAsia="zh-CN"/>
                <w14:textFill>
                  <w14:solidFill>
                    <w14:schemeClr w14:val="tx1"/>
                  </w14:solidFill>
                </w14:textFill>
              </w:rPr>
            </w:pPr>
            <w:r>
              <w:rPr>
                <w:rFonts w:hint="eastAsia"/>
                <w:color w:val="000000" w:themeColor="text1"/>
                <w:sz w:val="24"/>
                <w:szCs w:val="24"/>
                <w14:textFill>
                  <w14:solidFill>
                    <w14:schemeClr w14:val="tx1"/>
                  </w14:solidFill>
                </w14:textFill>
              </w:rPr>
              <w:t>本项目是改造项目，报价应综合考虑现场条件及安装环境。</w:t>
            </w:r>
            <w:r>
              <w:rPr>
                <w:rFonts w:hint="eastAsia" w:asciiTheme="minorEastAsia" w:hAnsiTheme="minorEastAsia" w:eastAsiaTheme="minorEastAsia" w:cstheme="minorEastAsia"/>
                <w:color w:val="000000" w:themeColor="text1"/>
                <w:sz w:val="24"/>
                <w:szCs w:val="24"/>
                <w14:textFill>
                  <w14:solidFill>
                    <w14:schemeClr w14:val="tx1"/>
                  </w14:solidFill>
                </w14:textFill>
              </w:rPr>
              <w:t>领取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招标采购文件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后，采购人将统一组织现场勘察，各投标供应商请在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2022</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日前将公司名称、联系人、联系电话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告知，</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黄老师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方式</w:t>
            </w:r>
            <w:r>
              <w:rPr>
                <w:rFonts w:hint="eastAsia" w:ascii="宋体" w:hAnsi="宋体" w:cs="宋体"/>
                <w:color w:val="000000" w:themeColor="text1"/>
                <w:sz w:val="24"/>
                <w:szCs w:val="24"/>
                <w:lang w:val="en-US" w:eastAsia="zh-CN"/>
                <w14:textFill>
                  <w14:solidFill>
                    <w14:schemeClr w14:val="tx1"/>
                  </w14:solidFill>
                </w14:textFill>
              </w:rPr>
              <w:t>42529636@qq.com</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09:10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u w:val="single"/>
              </w:rPr>
              <w:t>09:10</w:t>
            </w:r>
            <w:r>
              <w:rPr>
                <w:rFonts w:hint="eastAsia" w:ascii="宋体" w:hAnsi="宋体" w:cs="宋体"/>
              </w:rPr>
              <w:t>至</w:t>
            </w:r>
            <w:r>
              <w:rPr>
                <w:rFonts w:hint="eastAsia" w:ascii="宋体" w:hAnsi="宋体" w:cs="宋体"/>
                <w:u w:val="single"/>
              </w:rPr>
              <w:t>09:40</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10:00</w:t>
            </w:r>
            <w:r>
              <w:rPr>
                <w:rFonts w:hint="eastAsia" w:ascii="宋体" w:hAnsi="宋体" w:cs="宋体"/>
                <w:szCs w:val="21"/>
              </w:rPr>
              <w:t>北京时间）。</w:t>
            </w:r>
          </w:p>
          <w:p>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spacing w:line="300" w:lineRule="auto"/>
              <w:ind w:firstLine="0"/>
              <w:jc w:val="center"/>
              <w:rPr>
                <w:rFonts w:ascii="宋体" w:hAnsi="宋体" w:cs="宋体"/>
                <w:szCs w:val="21"/>
              </w:rPr>
            </w:pPr>
            <w:r>
              <w:rPr>
                <w:rFonts w:hint="eastAsia" w:ascii="宋体" w:hAnsi="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spacing w:before="0" w:beforeAutospacing="0" w:after="0" w:afterAutospacing="0" w:line="300" w:lineRule="auto"/>
              <w:ind w:firstLine="420" w:firstLineChars="200"/>
              <w:jc w:val="both"/>
              <w:rPr>
                <w:rFonts w:hint="default" w:cs="宋体"/>
                <w:sz w:val="21"/>
                <w:szCs w:val="21"/>
              </w:rPr>
            </w:pPr>
            <w:r>
              <w:rPr>
                <w:rFonts w:cs="宋体"/>
                <w:sz w:val="21"/>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spacing w:line="300" w:lineRule="auto"/>
              <w:ind w:firstLine="420" w:firstLineChars="200"/>
              <w:jc w:val="both"/>
              <w:rPr>
                <w:rFonts w:ascii="宋体" w:hAnsi="宋体" w:cs="宋体"/>
                <w:kern w:val="0"/>
                <w:szCs w:val="21"/>
              </w:rPr>
            </w:pPr>
            <w:r>
              <w:rPr>
                <w:rFonts w:hint="eastAsia" w:ascii="宋体" w:hAnsi="宋体" w:cs="宋体"/>
                <w:kern w:val="0"/>
                <w:szCs w:val="21"/>
              </w:rPr>
              <w:t>本项目无样品递交要求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远程询标/远程在线演示要求</w:t>
            </w:r>
          </w:p>
          <w:p>
            <w:pPr>
              <w:spacing w:line="300" w:lineRule="auto"/>
              <w:jc w:val="center"/>
              <w:rPr>
                <w:rFonts w:ascii="宋体" w:hAnsi="宋体" w:cs="宋体"/>
                <w:kern w:val="0"/>
                <w:szCs w:val="21"/>
              </w:rPr>
            </w:pPr>
            <w:r>
              <w:rPr>
                <w:rFonts w:hint="eastAsia" w:ascii="宋体" w:hAnsi="宋体" w:cs="宋体"/>
                <w:szCs w:val="21"/>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1.评审小组可能向投标人发起远程询标，投标人需提前做好准备。</w:t>
            </w:r>
          </w:p>
          <w:p>
            <w:pPr>
              <w:spacing w:line="300" w:lineRule="auto"/>
              <w:ind w:firstLine="420" w:firstLineChars="200"/>
              <w:rPr>
                <w:rFonts w:ascii="宋体" w:hAnsi="宋体" w:cs="宋体"/>
                <w:szCs w:val="21"/>
              </w:rPr>
            </w:pPr>
            <w:r>
              <w:rPr>
                <w:rFonts w:hint="eastAsia" w:ascii="宋体" w:hAnsi="宋体" w:cs="宋体"/>
                <w:szCs w:val="21"/>
              </w:rPr>
              <w:t>2.本项目是否需要远程在线演示要求详见采购需求。</w:t>
            </w:r>
          </w:p>
          <w:p>
            <w:pPr>
              <w:spacing w:line="300" w:lineRule="auto"/>
              <w:ind w:firstLine="420" w:firstLineChars="200"/>
              <w:rPr>
                <w:rFonts w:ascii="宋体" w:hAnsi="宋体" w:cs="宋体"/>
                <w:szCs w:val="21"/>
              </w:rPr>
            </w:pPr>
            <w:r>
              <w:rPr>
                <w:rFonts w:hint="eastAsia" w:ascii="宋体" w:hAnsi="宋体" w:cs="宋体"/>
                <w:szCs w:val="21"/>
              </w:rPr>
              <w:t>3.远程询标/远程在线演示要求通过“政采云视频讲标系统”进行线上问答，投标人在接到政采云信息推送后登录政采云系统--进入开标大厅--进入本项目进行操作，单方面视频下回答评委询问。</w:t>
            </w:r>
          </w:p>
          <w:p>
            <w:pPr>
              <w:spacing w:line="300" w:lineRule="auto"/>
              <w:ind w:firstLine="420" w:firstLineChars="200"/>
              <w:rPr>
                <w:rFonts w:ascii="宋体" w:hAnsi="宋体" w:cs="宋体"/>
                <w:szCs w:val="21"/>
              </w:rPr>
            </w:pPr>
            <w:r>
              <w:rPr>
                <w:rFonts w:hint="eastAsia" w:ascii="宋体" w:hAnsi="宋体" w:cs="宋体"/>
                <w:szCs w:val="21"/>
              </w:rPr>
              <w:t>4.投标人进行远程在线演示可通过共享桌面来实现，具体操作指南在《政府采购项目电子交易管理操作指南-供应商》2.4.4项。</w:t>
            </w:r>
          </w:p>
          <w:p>
            <w:pPr>
              <w:spacing w:line="300" w:lineRule="auto"/>
              <w:ind w:firstLine="420" w:firstLineChars="200"/>
              <w:rPr>
                <w:rFonts w:ascii="宋体" w:hAnsi="宋体" w:cs="宋体"/>
                <w:kern w:val="0"/>
                <w:szCs w:val="21"/>
              </w:rPr>
            </w:pPr>
            <w:r>
              <w:rPr>
                <w:rFonts w:hint="eastAsia" w:ascii="宋体" w:hAnsi="宋体" w:cs="宋体"/>
                <w:szCs w:val="21"/>
              </w:rPr>
              <w:t>5.“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13"/>
              <w:spacing w:line="300" w:lineRule="auto"/>
              <w:ind w:firstLine="420" w:firstLineChars="200"/>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信用中国（网址：</w:t>
            </w:r>
            <w:r>
              <w:fldChar w:fldCharType="begin"/>
            </w:r>
            <w:r>
              <w:instrText xml:space="preserve"> HYPERLINK "http://www.creditchina.gov.cn" </w:instrText>
            </w:r>
            <w:r>
              <w:fldChar w:fldCharType="separate"/>
            </w:r>
            <w:r>
              <w:rPr>
                <w:rFonts w:hint="eastAsia" w:ascii="宋体" w:hAnsi="宋体" w:cs="宋体"/>
                <w:szCs w:val="21"/>
              </w:rPr>
              <w:t>http://www.creditchina.gov.cn</w:t>
            </w:r>
            <w:r>
              <w:rPr>
                <w:rFonts w:hint="eastAsia" w:ascii="宋体" w:hAnsi="宋体" w:cs="宋体"/>
                <w:szCs w:val="21"/>
              </w:rPr>
              <w:fldChar w:fldCharType="end"/>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根据《政府采购促进中小企业发展管理办法》（财库〔2020〕46号）文件的规定，本项目(□是 /</w:t>
            </w:r>
            <w:r>
              <w:rPr>
                <w:rFonts w:hint="eastAsia" w:ascii="宋体" w:hAnsi="宋体" w:cs="宋体"/>
              </w:rPr>
              <w:t>☑</w:t>
            </w:r>
            <w:r>
              <w:rPr>
                <w:rFonts w:hint="eastAsia" w:ascii="宋体" w:hAnsi="宋体" w:cs="宋体"/>
                <w:szCs w:val="21"/>
              </w:rPr>
              <w:t xml:space="preserve"> 否</w:t>
            </w:r>
            <w:r>
              <w:rPr>
                <w:rFonts w:hint="eastAsia" w:ascii="宋体" w:hAnsi="宋体" w:cs="宋体"/>
                <w:szCs w:val="21"/>
                <w:shd w:val="clear" w:color="auto" w:fill="FFFFFF"/>
              </w:rPr>
              <w:t>)</w:t>
            </w:r>
            <w:r>
              <w:rPr>
                <w:rFonts w:hint="eastAsia" w:ascii="宋体" w:hAnsi="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2.中小企业划分标准所属行业（具体根据《中小企业划型标准规定》执行）：</w:t>
            </w:r>
          </w:p>
          <w:p>
            <w:pPr>
              <w:spacing w:line="300" w:lineRule="auto"/>
              <w:ind w:firstLine="420" w:firstLineChars="200"/>
              <w:rPr>
                <w:rFonts w:ascii="宋体" w:hAnsi="宋体" w:cs="宋体"/>
                <w:szCs w:val="21"/>
              </w:rPr>
            </w:pPr>
            <w:r>
              <w:rPr>
                <w:rFonts w:hint="eastAsia" w:ascii="宋体" w:hAnsi="宋体" w:cs="宋体"/>
                <w:szCs w:val="21"/>
              </w:rPr>
              <w:t>采购标的：</w:t>
            </w:r>
            <w:r>
              <w:rPr>
                <w:rFonts w:hint="eastAsia" w:ascii="宋体" w:hAnsi="宋体" w:cs="宋体"/>
                <w:szCs w:val="21"/>
                <w:u w:val="single"/>
              </w:rPr>
              <w:t xml:space="preserve"> </w:t>
            </w:r>
            <w:r>
              <w:rPr>
                <w:rFonts w:hint="eastAsia" w:ascii="宋体" w:hAnsi="宋体" w:cs="宋体"/>
                <w:szCs w:val="21"/>
                <w:u w:val="single"/>
                <w:lang w:eastAsia="zh-CN"/>
              </w:rPr>
              <w:t>视频会议系统设备</w:t>
            </w:r>
            <w:r>
              <w:rPr>
                <w:rFonts w:hint="eastAsia" w:ascii="宋体" w:hAnsi="宋体" w:cs="宋体"/>
                <w:szCs w:val="21"/>
                <w:u w:val="single"/>
              </w:rPr>
              <w:t xml:space="preserve"> </w:t>
            </w:r>
            <w:r>
              <w:rPr>
                <w:rFonts w:hint="eastAsia" w:ascii="宋体" w:hAnsi="宋体" w:cs="宋体"/>
                <w:szCs w:val="21"/>
              </w:rPr>
              <w:t>，所属行业：</w:t>
            </w:r>
            <w:r>
              <w:rPr>
                <w:rFonts w:hint="eastAsia" w:ascii="宋体" w:hAnsi="宋体" w:cs="宋体"/>
                <w:szCs w:val="21"/>
                <w:u w:val="single"/>
              </w:rPr>
              <w:t xml:space="preserve"> 工业 </w:t>
            </w:r>
            <w:r>
              <w:rPr>
                <w:rFonts w:hint="eastAsia" w:ascii="宋体" w:hAnsi="宋体" w:cs="宋体"/>
                <w:szCs w:val="21"/>
              </w:rPr>
              <w:t>。</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14:textFill>
                  <w14:solidFill>
                    <w14:schemeClr w14:val="tx1"/>
                  </w14:solidFill>
                </w14:textFill>
              </w:rPr>
              <w:t>应符合财库</w:t>
            </w:r>
            <w:r>
              <w:rPr>
                <w:rFonts w:hint="eastAsia" w:ascii="宋体" w:hAnsi="宋体" w:cs="宋体"/>
                <w:szCs w:val="21"/>
              </w:rPr>
              <w:t>〔2017〕</w:t>
            </w:r>
            <w:r>
              <w:rPr>
                <w:rFonts w:hint="eastAsia" w:ascii="宋体" w:hAnsi="宋体" w:cs="宋体"/>
                <w:color w:val="000000" w:themeColor="text1"/>
                <w:szCs w:val="21"/>
                <w14:textFill>
                  <w14:solidFill>
                    <w14:schemeClr w14:val="tx1"/>
                  </w14:solidFill>
                </w14:textFill>
              </w:rPr>
              <w:t>141号文件规定，</w:t>
            </w:r>
            <w:r>
              <w:rPr>
                <w:rFonts w:hint="eastAsia" w:ascii="宋体" w:hAnsi="宋体" w:cs="宋体"/>
                <w:szCs w:val="21"/>
              </w:rPr>
              <w:t>视同小型、微型企业，</w:t>
            </w:r>
            <w:r>
              <w:rPr>
                <w:rFonts w:hint="eastAsia" w:ascii="宋体" w:hAnsi="宋体" w:cs="宋体"/>
                <w:color w:val="000000" w:themeColor="text1"/>
                <w:szCs w:val="21"/>
                <w14:textFill>
                  <w14:solidFill>
                    <w14:schemeClr w14:val="tx1"/>
                  </w14:solidFill>
                </w14:textFill>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14:textFill>
                  <w14:solidFill>
                    <w14:schemeClr w14:val="tx1"/>
                  </w14:solidFill>
                </w14:textFill>
              </w:rPr>
              <w:t>。</w:t>
            </w:r>
          </w:p>
          <w:p>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color w:val="111F2C"/>
                <w:szCs w:val="21"/>
                <w:shd w:val="clear" w:color="auto" w:fill="FFFFFF"/>
              </w:rPr>
            </w:pPr>
            <w:r>
              <w:rPr>
                <w:rFonts w:hint="eastAsia" w:ascii="宋体" w:hAnsi="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带“★”的条款是</w:t>
            </w:r>
            <w:r>
              <w:rPr>
                <w:rFonts w:hint="eastAsia" w:ascii="宋体" w:hAnsi="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本招标文件解释权属于采购人和采购组织机构。</w:t>
            </w:r>
          </w:p>
        </w:tc>
      </w:tr>
    </w:tbl>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pStyle w:val="21"/>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sz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9"/>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3"/>
        <w:snapToGrid w:val="0"/>
        <w:spacing w:line="360" w:lineRule="auto"/>
        <w:ind w:firstLine="482" w:firstLineChars="200"/>
        <w:rPr>
          <w:rFonts w:hAnsi="宋体" w:cs="宋体"/>
          <w:b/>
          <w:sz w:val="24"/>
        </w:rPr>
      </w:pPr>
      <w:r>
        <w:rPr>
          <w:rFonts w:hint="eastAsia" w:hAnsi="宋体" w:cs="宋体"/>
          <w:b/>
          <w:sz w:val="24"/>
        </w:rPr>
        <w:t>（七）特别说明</w:t>
      </w:r>
    </w:p>
    <w:p>
      <w:pPr>
        <w:pStyle w:val="13"/>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b/>
          <w:sz w:val="24"/>
        </w:rPr>
      </w:pPr>
      <w:r>
        <w:rPr>
          <w:rFonts w:hint="eastAsia" w:ascii="宋体" w:hAnsi="宋体" w:cs="宋体" w:eastAsiaTheme="minorEastAsia"/>
          <w:b/>
          <w:sz w:val="24"/>
        </w:rPr>
        <w:t xml:space="preserve"> </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（5）符合参与政府采购活动的资格条件并且没有税收缴纳、社会保障等方面的失信记录的承诺函；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（6）具备履行合同所必需的设备和专业技术能力的证明材料（根据项目性质提供）；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2"/>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状况，对项目现状和需求描述的全面性、准确性、针对性，项目功能设计完备、对系统各组成部分等功能进行准确的分析，对项目重点、难点的把握，解决方案及合理化建议）；</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③项目组织实施方案（包括分包方案、项目工期、确保项目供货的措施或方案、项目实施进度安排、项目实施人员及项目负责人的资质、类似经验及社保证明等）；</w:t>
      </w:r>
    </w:p>
    <w:p>
      <w:pPr>
        <w:pStyle w:val="2"/>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2"/>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2"/>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2"/>
        <w:widowControl/>
        <w:adjustRightInd w:val="0"/>
        <w:snapToGrid w:val="0"/>
        <w:spacing w:line="360" w:lineRule="auto"/>
        <w:ind w:firstLine="480" w:firstLineChars="200"/>
        <w:rPr>
          <w:sz w:val="24"/>
        </w:rPr>
      </w:pPr>
      <w:r>
        <w:rPr>
          <w:rFonts w:hint="eastAsia"/>
          <w:sz w:val="24"/>
        </w:rPr>
        <w:t>②技术需求响应表；</w:t>
      </w:r>
    </w:p>
    <w:p>
      <w:pPr>
        <w:pStyle w:val="2"/>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rPr>
        <w:t>；</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2"/>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3"/>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9"/>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3"/>
        </w:numPr>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发布中标结果公告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asciiTheme="minorEastAsia" w:hAnsiTheme="minorEastAsia" w:eastAsiaTheme="minorEastAsia"/>
          <w:kern w:val="0"/>
          <w:sz w:val="24"/>
        </w:rPr>
        <w:t>期为1个工</w:t>
      </w:r>
      <w:r>
        <w:rPr>
          <w:sz w:val="24"/>
        </w:rPr>
        <w:t>作日</w:t>
      </w:r>
      <w:r>
        <w:rPr>
          <w:rFonts w:hint="eastAsia" w:ascii="宋体" w:hAnsi="宋体"/>
          <w:kern w:val="0"/>
          <w:sz w:val="24"/>
        </w:rPr>
        <w:t>。</w:t>
      </w:r>
    </w:p>
    <w:p>
      <w:pPr>
        <w:pStyle w:val="8"/>
        <w:numPr>
          <w:ilvl w:val="0"/>
          <w:numId w:val="3"/>
        </w:numPr>
        <w:spacing w:line="360" w:lineRule="auto"/>
        <w:ind w:firstLine="482" w:firstLineChars="200"/>
        <w:jc w:val="both"/>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发放中标通知书</w:t>
      </w:r>
    </w:p>
    <w:p>
      <w:pPr>
        <w:pStyle w:val="8"/>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rPr>
      </w:pPr>
      <w:r>
        <w:t>3.中标人无故拖延、拒签合同的，将取消中标资格。</w:t>
      </w:r>
    </w:p>
    <w:p>
      <w:pPr>
        <w:pStyle w:val="19"/>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8"/>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spacing w:line="360" w:lineRule="auto"/>
        <w:jc w:val="center"/>
        <w:rPr>
          <w:rFonts w:asciiTheme="minorEastAsia" w:hAnsiTheme="minorEastAsia" w:eastAsiaTheme="minorEastAsia"/>
          <w:b/>
          <w:sz w:val="36"/>
          <w:szCs w:val="36"/>
        </w:rPr>
      </w:pPr>
      <w:bookmarkStart w:id="37" w:name="_Toc13072_WPSOffice_Level1"/>
      <w:r>
        <w:rPr>
          <w:rFonts w:hint="eastAsia" w:asciiTheme="minorEastAsia" w:hAnsiTheme="minorEastAsia" w:eastAsiaTheme="minorEastAsia"/>
          <w:b/>
          <w:sz w:val="36"/>
          <w:szCs w:val="36"/>
        </w:rPr>
        <w:t>第三章 招标需求</w:t>
      </w:r>
      <w:bookmarkEnd w:id="37"/>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2"/>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ascii="宋体" w:hAnsi="宋体" w:cs="宋体"/>
                <w:bCs/>
                <w:szCs w:val="21"/>
              </w:rPr>
            </w:pPr>
            <w:r>
              <w:rPr>
                <w:rFonts w:hint="eastAsia"/>
                <w:lang w:eastAsia="zh-CN"/>
              </w:rPr>
              <w:t>多</w:t>
            </w:r>
            <w:r>
              <w:rPr>
                <w:rFonts w:hint="eastAsia"/>
              </w:rPr>
              <w:t>媒体会议系统设备采购项目</w:t>
            </w:r>
          </w:p>
        </w:tc>
        <w:tc>
          <w:tcPr>
            <w:tcW w:w="1991"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Cs w:val="21"/>
                <w:lang w:eastAsia="zh-CN"/>
              </w:rPr>
            </w:pPr>
            <w:r>
              <w:rPr>
                <w:rFonts w:hint="eastAsia" w:ascii="宋体" w:hAnsi="宋体" w:cs="宋体"/>
                <w:bCs/>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Cs w:val="21"/>
                <w:lang w:eastAsia="zh-CN"/>
              </w:rPr>
            </w:pPr>
            <w:r>
              <w:rPr>
                <w:rFonts w:hint="eastAsia" w:ascii="宋体" w:hAnsi="宋体" w:cs="宋体"/>
                <w:bCs/>
                <w:szCs w:val="21"/>
                <w:lang w:eastAsia="zh-CN"/>
              </w:rPr>
              <w:t>批</w:t>
            </w:r>
          </w:p>
        </w:tc>
        <w:tc>
          <w:tcPr>
            <w:tcW w:w="1142"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110</w:t>
            </w:r>
          </w:p>
        </w:tc>
        <w:tc>
          <w:tcPr>
            <w:tcW w:w="1203"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110</w:t>
            </w:r>
          </w:p>
        </w:tc>
      </w:tr>
    </w:tbl>
    <w:p>
      <w:pPr>
        <w:numPr>
          <w:ilvl w:val="0"/>
          <w:numId w:val="4"/>
        </w:numPr>
        <w:tabs>
          <w:tab w:val="left" w:pos="8280"/>
        </w:tabs>
        <w:autoSpaceDE w:val="0"/>
        <w:autoSpaceDN w:val="0"/>
        <w:adjustRightIn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技术需求</w:t>
      </w:r>
    </w:p>
    <w:p>
      <w:pPr>
        <w:numPr>
          <w:ilvl w:val="0"/>
          <w:numId w:val="0"/>
        </w:numPr>
        <w:tabs>
          <w:tab w:val="left" w:pos="0"/>
        </w:tabs>
        <w:adjustRightInd w:val="0"/>
        <w:snapToGrid w:val="0"/>
        <w:spacing w:line="560" w:lineRule="exact"/>
        <w:rPr>
          <w:b/>
          <w:bCs/>
          <w:sz w:val="24"/>
          <w:highlight w:val="none"/>
        </w:rPr>
      </w:pPr>
      <w:r>
        <w:rPr>
          <w:rFonts w:hint="eastAsia"/>
          <w:b/>
          <w:bCs/>
          <w:sz w:val="24"/>
          <w:highlight w:val="none"/>
          <w:lang w:eastAsia="zh-CN"/>
        </w:rPr>
        <w:t>（一）</w:t>
      </w:r>
      <w:r>
        <w:rPr>
          <w:rFonts w:hint="eastAsia"/>
          <w:b/>
          <w:bCs/>
          <w:sz w:val="24"/>
          <w:highlight w:val="none"/>
        </w:rPr>
        <w:t>项目概述</w:t>
      </w:r>
    </w:p>
    <w:p>
      <w:pPr>
        <w:adjustRightInd w:val="0"/>
        <w:snapToGrid w:val="0"/>
        <w:spacing w:line="560" w:lineRule="exact"/>
        <w:ind w:firstLine="480" w:firstLineChars="200"/>
        <w:rPr>
          <w:rFonts w:hint="eastAsia"/>
          <w:sz w:val="24"/>
          <w:highlight w:val="none"/>
        </w:rPr>
      </w:pPr>
      <w:r>
        <w:rPr>
          <w:rFonts w:hint="eastAsia"/>
          <w:sz w:val="24"/>
          <w:highlight w:val="none"/>
        </w:rPr>
        <w:t>为满足浙江大学台州研究院会议室多媒体需求，将无线发言、扩声、中控等有机地连接，构成现代化扩声会议环境。系统由师生根据使用需求集中控制，能实现对各种设备常用功能的控制和切换操作。</w:t>
      </w:r>
    </w:p>
    <w:p>
      <w:pPr>
        <w:adjustRightInd w:val="0"/>
        <w:snapToGrid w:val="0"/>
        <w:spacing w:line="560" w:lineRule="exact"/>
        <w:ind w:firstLine="480" w:firstLineChars="200"/>
        <w:rPr>
          <w:b/>
          <w:sz w:val="24"/>
          <w:highlight w:val="none"/>
        </w:rPr>
      </w:pPr>
      <w:r>
        <w:rPr>
          <w:rFonts w:hint="eastAsia"/>
          <w:sz w:val="24"/>
          <w:highlight w:val="none"/>
        </w:rPr>
        <w:t>会议室的分布如下：</w:t>
      </w:r>
    </w:p>
    <w:p>
      <w:pPr>
        <w:adjustRightInd w:val="0"/>
        <w:snapToGrid w:val="0"/>
        <w:spacing w:line="560" w:lineRule="exact"/>
        <w:ind w:firstLine="480" w:firstLineChars="200"/>
        <w:rPr>
          <w:sz w:val="24"/>
          <w:highlight w:val="none"/>
        </w:rPr>
      </w:pPr>
      <w:r>
        <w:rPr>
          <w:rFonts w:hint="eastAsia"/>
          <w:sz w:val="24"/>
          <w:highlight w:val="none"/>
        </w:rPr>
        <w:t>1</w:t>
      </w:r>
      <w:r>
        <w:rPr>
          <w:rFonts w:hint="eastAsia"/>
          <w:sz w:val="24"/>
          <w:highlight w:val="none"/>
          <w:lang w:val="en-US" w:eastAsia="zh-CN"/>
        </w:rPr>
        <w:t>.</w:t>
      </w:r>
      <w:r>
        <w:rPr>
          <w:rFonts w:hint="eastAsia"/>
          <w:sz w:val="24"/>
          <w:highlight w:val="none"/>
        </w:rPr>
        <w:t>五层会议室一多媒体扩声系统</w:t>
      </w:r>
    </w:p>
    <w:p>
      <w:pPr>
        <w:adjustRightInd w:val="0"/>
        <w:snapToGrid w:val="0"/>
        <w:spacing w:line="560" w:lineRule="exact"/>
        <w:ind w:firstLine="480" w:firstLineChars="200"/>
        <w:rPr>
          <w:sz w:val="24"/>
          <w:highlight w:val="none"/>
        </w:rPr>
      </w:pPr>
      <w:r>
        <w:rPr>
          <w:rFonts w:hint="eastAsia"/>
          <w:sz w:val="24"/>
          <w:highlight w:val="none"/>
        </w:rPr>
        <w:t>2</w:t>
      </w:r>
      <w:r>
        <w:rPr>
          <w:rFonts w:hint="eastAsia"/>
          <w:sz w:val="24"/>
          <w:highlight w:val="none"/>
          <w:lang w:val="en-US" w:eastAsia="zh-CN"/>
        </w:rPr>
        <w:t>.</w:t>
      </w:r>
      <w:r>
        <w:rPr>
          <w:rFonts w:hint="eastAsia"/>
          <w:sz w:val="24"/>
          <w:highlight w:val="none"/>
        </w:rPr>
        <w:t>五层会议室二多媒体扩声系统</w:t>
      </w:r>
    </w:p>
    <w:p>
      <w:pPr>
        <w:adjustRightInd w:val="0"/>
        <w:snapToGrid w:val="0"/>
        <w:spacing w:line="560" w:lineRule="exact"/>
        <w:ind w:firstLine="480" w:firstLineChars="200"/>
        <w:rPr>
          <w:sz w:val="24"/>
          <w:highlight w:val="none"/>
        </w:rPr>
      </w:pPr>
      <w:r>
        <w:rPr>
          <w:sz w:val="24"/>
          <w:highlight w:val="none"/>
        </w:rPr>
        <w:t>3</w:t>
      </w:r>
      <w:r>
        <w:rPr>
          <w:rFonts w:hint="eastAsia"/>
          <w:sz w:val="24"/>
          <w:highlight w:val="none"/>
          <w:lang w:eastAsia="zh-CN"/>
        </w:rPr>
        <w:t>.</w:t>
      </w:r>
      <w:r>
        <w:rPr>
          <w:rFonts w:hint="eastAsia"/>
          <w:sz w:val="24"/>
          <w:highlight w:val="none"/>
        </w:rPr>
        <w:t>六层会议室多媒体扩声系统</w:t>
      </w:r>
    </w:p>
    <w:p>
      <w:pPr>
        <w:adjustRightInd w:val="0"/>
        <w:snapToGrid w:val="0"/>
        <w:spacing w:line="560" w:lineRule="exact"/>
        <w:ind w:firstLine="480" w:firstLineChars="200"/>
        <w:rPr>
          <w:sz w:val="24"/>
          <w:highlight w:val="none"/>
        </w:rPr>
      </w:pPr>
      <w:r>
        <w:rPr>
          <w:rFonts w:hint="eastAsia"/>
          <w:sz w:val="24"/>
          <w:highlight w:val="none"/>
        </w:rPr>
        <w:t>主要实现的功能：</w:t>
      </w:r>
    </w:p>
    <w:p>
      <w:pPr>
        <w:adjustRightInd w:val="0"/>
        <w:snapToGrid w:val="0"/>
        <w:spacing w:line="560" w:lineRule="exact"/>
        <w:ind w:firstLine="480" w:firstLineChars="200"/>
        <w:rPr>
          <w:sz w:val="24"/>
          <w:highlight w:val="none"/>
        </w:rPr>
      </w:pPr>
      <w:r>
        <w:rPr>
          <w:rFonts w:hint="eastAsia"/>
          <w:sz w:val="24"/>
          <w:highlight w:val="none"/>
          <w:lang w:val="en-US" w:eastAsia="zh-CN"/>
        </w:rPr>
        <w:t>1.</w:t>
      </w:r>
      <w:r>
        <w:rPr>
          <w:rFonts w:hint="eastAsia"/>
          <w:sz w:val="24"/>
          <w:highlight w:val="none"/>
        </w:rPr>
        <w:t>满足会议类扩声系统的需要；</w:t>
      </w:r>
    </w:p>
    <w:p>
      <w:pPr>
        <w:adjustRightInd w:val="0"/>
        <w:snapToGrid w:val="0"/>
        <w:spacing w:line="560" w:lineRule="exact"/>
        <w:ind w:firstLine="480" w:firstLineChars="200"/>
        <w:rPr>
          <w:sz w:val="24"/>
          <w:highlight w:val="none"/>
        </w:rPr>
      </w:pPr>
      <w:r>
        <w:rPr>
          <w:rFonts w:hint="eastAsia"/>
          <w:sz w:val="24"/>
          <w:highlight w:val="none"/>
          <w:lang w:val="en-US" w:eastAsia="zh-CN"/>
        </w:rPr>
        <w:t>2.</w:t>
      </w:r>
      <w:r>
        <w:rPr>
          <w:rFonts w:hint="eastAsia"/>
          <w:sz w:val="24"/>
          <w:highlight w:val="none"/>
        </w:rPr>
        <w:t>满足会议发言的需要；</w:t>
      </w:r>
    </w:p>
    <w:p>
      <w:pPr>
        <w:adjustRightInd w:val="0"/>
        <w:snapToGrid w:val="0"/>
        <w:spacing w:line="560" w:lineRule="exact"/>
        <w:ind w:firstLine="480" w:firstLineChars="200"/>
        <w:rPr>
          <w:sz w:val="24"/>
          <w:highlight w:val="none"/>
        </w:rPr>
      </w:pPr>
      <w:r>
        <w:rPr>
          <w:rFonts w:hint="eastAsia"/>
          <w:sz w:val="24"/>
          <w:highlight w:val="none"/>
          <w:lang w:val="en-US" w:eastAsia="zh-CN"/>
        </w:rPr>
        <w:t>3.</w:t>
      </w:r>
      <w:r>
        <w:rPr>
          <w:rFonts w:hint="eastAsia"/>
          <w:sz w:val="24"/>
          <w:highlight w:val="none"/>
        </w:rPr>
        <w:t>满足集中控制的需要；</w:t>
      </w:r>
    </w:p>
    <w:p>
      <w:pPr>
        <w:numPr>
          <w:ilvl w:val="0"/>
          <w:numId w:val="0"/>
        </w:numPr>
        <w:tabs>
          <w:tab w:val="left" w:pos="0"/>
        </w:tabs>
        <w:adjustRightInd w:val="0"/>
        <w:snapToGrid w:val="0"/>
        <w:spacing w:line="560" w:lineRule="exact"/>
        <w:rPr>
          <w:rFonts w:hint="eastAsia"/>
          <w:b/>
          <w:bCs/>
          <w:sz w:val="24"/>
          <w:highlight w:val="none"/>
        </w:rPr>
      </w:pPr>
      <w:r>
        <w:rPr>
          <w:rFonts w:hint="eastAsia"/>
          <w:b/>
          <w:bCs/>
          <w:sz w:val="24"/>
          <w:highlight w:val="none"/>
          <w:lang w:eastAsia="zh-CN"/>
        </w:rPr>
        <w:t>（二）</w:t>
      </w:r>
      <w:r>
        <w:rPr>
          <w:rFonts w:hint="eastAsia"/>
          <w:b/>
          <w:bCs/>
          <w:sz w:val="24"/>
          <w:highlight w:val="none"/>
        </w:rPr>
        <w:t>五层会议室一多媒体系统技术功能要求</w:t>
      </w:r>
    </w:p>
    <w:p>
      <w:pPr>
        <w:tabs>
          <w:tab w:val="left" w:pos="0"/>
        </w:tabs>
        <w:adjustRightInd w:val="0"/>
        <w:snapToGrid w:val="0"/>
        <w:spacing w:line="560" w:lineRule="exact"/>
        <w:ind w:firstLine="482" w:firstLineChars="200"/>
        <w:rPr>
          <w:rFonts w:hint="eastAsia"/>
          <w:sz w:val="24"/>
          <w:highlight w:val="none"/>
        </w:rPr>
      </w:pPr>
      <w:r>
        <w:rPr>
          <w:rFonts w:hint="eastAsia"/>
          <w:b/>
          <w:bCs/>
          <w:sz w:val="24"/>
          <w:highlight w:val="none"/>
        </w:rPr>
        <w:t>音箱、功放部分：</w:t>
      </w:r>
      <w:r>
        <w:rPr>
          <w:rFonts w:hint="eastAsia"/>
          <w:sz w:val="24"/>
          <w:highlight w:val="none"/>
        </w:rPr>
        <w:t>设计配置2只16*3″声柱扬声器，具有良好指向性控制及完美的清晰度，垂直式安装，与建筑一体化，安装更为美观；同时配置2只吸顶补声音箱，解决后场声压级不足、听不清楚等问题，功放按照音响的功率匹配设置。</w:t>
      </w:r>
    </w:p>
    <w:p>
      <w:pPr>
        <w:tabs>
          <w:tab w:val="left" w:pos="0"/>
        </w:tabs>
        <w:adjustRightInd w:val="0"/>
        <w:snapToGrid w:val="0"/>
        <w:spacing w:line="560" w:lineRule="exact"/>
        <w:ind w:firstLine="482" w:firstLineChars="200"/>
        <w:rPr>
          <w:rFonts w:hint="eastAsia"/>
          <w:sz w:val="24"/>
          <w:highlight w:val="none"/>
        </w:rPr>
      </w:pPr>
      <w:r>
        <w:rPr>
          <w:rFonts w:hint="eastAsia"/>
          <w:b/>
          <w:bCs/>
          <w:sz w:val="24"/>
          <w:highlight w:val="none"/>
        </w:rPr>
        <w:t>音频处理部分：</w:t>
      </w:r>
      <w:r>
        <w:rPr>
          <w:rFonts w:hint="eastAsia"/>
          <w:sz w:val="24"/>
          <w:highlight w:val="none"/>
        </w:rPr>
        <w:t>配置1台8进8出的音频处理矩阵，音频处理矩阵为扩声系统的处理和控制核心，主要对音频信号进行处理和集中管理，所有音源信号都接入音频汇聚控制中心，对输入信号进行均衡、分频、压限、延时等专业DSP处理后经功放输出。音频汇聚控制中心可以预存多个预设，可事先设置好各种会议模式，使用时通过控制面板进行一键切换，无需重新设置。</w:t>
      </w:r>
    </w:p>
    <w:p>
      <w:pPr>
        <w:adjustRightInd w:val="0"/>
        <w:snapToGrid w:val="0"/>
        <w:spacing w:line="560" w:lineRule="exact"/>
        <w:ind w:firstLine="482" w:firstLineChars="200"/>
        <w:rPr>
          <w:rFonts w:hint="eastAsia"/>
          <w:sz w:val="24"/>
          <w:highlight w:val="none"/>
        </w:rPr>
      </w:pPr>
      <w:r>
        <w:rPr>
          <w:rFonts w:hint="eastAsia"/>
          <w:b/>
          <w:bCs/>
          <w:sz w:val="24"/>
          <w:highlight w:val="none"/>
        </w:rPr>
        <w:t>音源部分：</w:t>
      </w:r>
      <w:r>
        <w:rPr>
          <w:rFonts w:hint="eastAsia"/>
          <w:sz w:val="24"/>
          <w:highlight w:val="none"/>
        </w:rPr>
        <w:t>本项目装修工程已完成，设计原则上考虑尽量少布线，因此音源部分均采用无线的方式。配置1套双手持无线话筒，满足老师教学（活动）需要，要求话筒为手持。配置1套无线数字会议发言系统，</w:t>
      </w:r>
      <w:r>
        <w:rPr>
          <w:sz w:val="24"/>
          <w:highlight w:val="none"/>
        </w:rPr>
        <w:t>1</w:t>
      </w:r>
      <w:r>
        <w:rPr>
          <w:rFonts w:hint="eastAsia"/>
          <w:sz w:val="24"/>
          <w:highlight w:val="none"/>
        </w:rPr>
        <w:t>只无线会议主席话筒，9只无线会议代表话筒，满足会议发言需求。</w:t>
      </w:r>
    </w:p>
    <w:p>
      <w:pPr>
        <w:adjustRightInd w:val="0"/>
        <w:snapToGrid w:val="0"/>
        <w:spacing w:line="560" w:lineRule="exact"/>
        <w:ind w:firstLine="482" w:firstLineChars="200"/>
        <w:rPr>
          <w:sz w:val="24"/>
          <w:highlight w:val="none"/>
        </w:rPr>
      </w:pPr>
      <w:r>
        <w:rPr>
          <w:rFonts w:hint="eastAsia"/>
          <w:b/>
          <w:bCs/>
          <w:sz w:val="24"/>
          <w:highlight w:val="none"/>
        </w:rPr>
        <w:t>视频部分：</w:t>
      </w:r>
      <w:r>
        <w:rPr>
          <w:rFonts w:hint="eastAsia"/>
          <w:sz w:val="24"/>
          <w:highlight w:val="none"/>
        </w:rPr>
        <w:t>配置1台具有DLP显示技术，3840×2160高清分辨率，采用激光光源，大于等于6200流明亮度的超短焦投影机，同时配置180寸电动投影幕布和无线投屏设备采用免驱方式，视频部分设备需要由智能控制系统进行集中控制。</w:t>
      </w:r>
    </w:p>
    <w:p>
      <w:pPr>
        <w:tabs>
          <w:tab w:val="left" w:pos="0"/>
        </w:tabs>
        <w:adjustRightInd w:val="0"/>
        <w:snapToGrid w:val="0"/>
        <w:spacing w:line="560" w:lineRule="exact"/>
        <w:ind w:firstLine="482" w:firstLineChars="200"/>
        <w:rPr>
          <w:rFonts w:hint="eastAsia"/>
          <w:sz w:val="24"/>
          <w:highlight w:val="none"/>
        </w:rPr>
      </w:pPr>
      <w:r>
        <w:rPr>
          <w:rFonts w:hint="eastAsia"/>
          <w:b/>
          <w:bCs/>
          <w:sz w:val="24"/>
          <w:highlight w:val="none"/>
        </w:rPr>
        <w:t>带反馈功能的智能控制部分：</w:t>
      </w:r>
      <w:r>
        <w:rPr>
          <w:rFonts w:hint="eastAsia"/>
          <w:sz w:val="24"/>
          <w:highlight w:val="none"/>
        </w:rPr>
        <w:t>为便于师生日常使用操作会议系统。会议室配置了一套集中控制系统，集中控制系统可将会议室常用使用习惯归类编程，实现通过控制面板一键开启会议等。控制内容包括：开启或关闭系统电源、调节系统音量、投影机、投影幕及会议触摸一体机控制等。减少人员管理成本，避免误操作故障，提高人员管理效率，同时还预留智能控制的数据接口</w:t>
      </w:r>
      <w:r>
        <w:rPr>
          <w:rFonts w:hint="eastAsia"/>
          <w:sz w:val="24"/>
          <w:highlight w:val="none"/>
          <w:lang w:eastAsia="zh-CN"/>
        </w:rPr>
        <w:t>（费用由中标方承担）</w:t>
      </w:r>
      <w:r>
        <w:rPr>
          <w:rFonts w:hint="eastAsia"/>
          <w:sz w:val="24"/>
          <w:highlight w:val="none"/>
        </w:rPr>
        <w:t>，方便日后接入会议预约系统，实现提前开启系统设备，和远程对其系统关闭的功能。</w:t>
      </w:r>
    </w:p>
    <w:p>
      <w:pPr>
        <w:numPr>
          <w:ilvl w:val="0"/>
          <w:numId w:val="0"/>
        </w:numPr>
        <w:tabs>
          <w:tab w:val="left" w:pos="0"/>
        </w:tabs>
        <w:adjustRightInd w:val="0"/>
        <w:snapToGrid w:val="0"/>
        <w:spacing w:line="560" w:lineRule="exact"/>
        <w:rPr>
          <w:rFonts w:hint="eastAsia"/>
          <w:b/>
          <w:bCs/>
          <w:sz w:val="24"/>
          <w:highlight w:val="none"/>
        </w:rPr>
      </w:pPr>
      <w:r>
        <w:rPr>
          <w:rFonts w:hint="eastAsia"/>
          <w:b/>
          <w:bCs/>
          <w:sz w:val="24"/>
          <w:highlight w:val="none"/>
          <w:lang w:eastAsia="zh-CN"/>
        </w:rPr>
        <w:t>（三）</w:t>
      </w:r>
      <w:r>
        <w:rPr>
          <w:rFonts w:hint="eastAsia"/>
          <w:b/>
          <w:bCs/>
          <w:sz w:val="24"/>
          <w:highlight w:val="none"/>
        </w:rPr>
        <w:t>五层会议室二多媒体系统技术功能要求</w:t>
      </w:r>
    </w:p>
    <w:p>
      <w:pPr>
        <w:tabs>
          <w:tab w:val="left" w:pos="0"/>
        </w:tabs>
        <w:adjustRightInd w:val="0"/>
        <w:snapToGrid w:val="0"/>
        <w:spacing w:line="560" w:lineRule="exact"/>
        <w:ind w:firstLine="482" w:firstLineChars="200"/>
        <w:rPr>
          <w:rFonts w:hint="eastAsia"/>
          <w:sz w:val="24"/>
          <w:highlight w:val="none"/>
        </w:rPr>
      </w:pPr>
      <w:r>
        <w:rPr>
          <w:rFonts w:hint="eastAsia"/>
          <w:b/>
          <w:bCs/>
          <w:sz w:val="24"/>
          <w:highlight w:val="none"/>
        </w:rPr>
        <w:t>音箱、功放部分：</w:t>
      </w:r>
      <w:r>
        <w:rPr>
          <w:rFonts w:hint="eastAsia"/>
          <w:sz w:val="24"/>
          <w:highlight w:val="none"/>
        </w:rPr>
        <w:t>设计配置2只8*3″声柱扬声器，具有良好指向性控制及完美的清晰度，垂直式安装，与建筑一体化，安装更为美观，功放按照音响的功率匹配设置。</w:t>
      </w:r>
    </w:p>
    <w:p>
      <w:pPr>
        <w:tabs>
          <w:tab w:val="left" w:pos="0"/>
        </w:tabs>
        <w:adjustRightInd w:val="0"/>
        <w:snapToGrid w:val="0"/>
        <w:spacing w:line="560" w:lineRule="exact"/>
        <w:ind w:firstLine="482" w:firstLineChars="200"/>
        <w:rPr>
          <w:rFonts w:hint="eastAsia"/>
          <w:sz w:val="24"/>
          <w:highlight w:val="none"/>
        </w:rPr>
      </w:pPr>
      <w:r>
        <w:rPr>
          <w:rFonts w:hint="eastAsia"/>
          <w:b/>
          <w:bCs/>
          <w:sz w:val="24"/>
          <w:highlight w:val="none"/>
        </w:rPr>
        <w:t>音频处理部分：</w:t>
      </w:r>
      <w:r>
        <w:rPr>
          <w:rFonts w:hint="eastAsia"/>
          <w:sz w:val="24"/>
          <w:highlight w:val="none"/>
        </w:rPr>
        <w:t>配置1台8进8出的音频处理矩阵，音频处理矩阵为扩声系统的处理和控制核心，主要对音频信号进行处理和集中管理，所有音源信号都接入音频汇聚控制中心，对输入信号进行均衡、分频、压限、延时等专业DSP处理后经功放输出。音频汇聚控制中心可以预存多个预设，可事先设置好各种会议模式，使用时通过控制面板进行一键切换，无需重新设置。</w:t>
      </w:r>
    </w:p>
    <w:p>
      <w:pPr>
        <w:adjustRightInd w:val="0"/>
        <w:snapToGrid w:val="0"/>
        <w:spacing w:line="560" w:lineRule="exact"/>
        <w:ind w:firstLine="482" w:firstLineChars="200"/>
        <w:rPr>
          <w:rFonts w:hint="eastAsia"/>
          <w:sz w:val="24"/>
          <w:highlight w:val="none"/>
        </w:rPr>
      </w:pPr>
      <w:r>
        <w:rPr>
          <w:rFonts w:hint="eastAsia"/>
          <w:b/>
          <w:bCs/>
          <w:sz w:val="24"/>
          <w:highlight w:val="none"/>
        </w:rPr>
        <w:t>音源部分：</w:t>
      </w:r>
      <w:r>
        <w:rPr>
          <w:rFonts w:hint="eastAsia"/>
          <w:sz w:val="24"/>
          <w:highlight w:val="none"/>
        </w:rPr>
        <w:t>本项目装修工程已完成，设计原则上考虑尽量少布线，因此音源部分均采用无线的方式。配置1套双手持无线话筒，满足老师教学（活动）需要，要求话筒为手持。配置1套无线数字会议发言系统，</w:t>
      </w:r>
      <w:r>
        <w:rPr>
          <w:sz w:val="24"/>
          <w:highlight w:val="none"/>
        </w:rPr>
        <w:t>1</w:t>
      </w:r>
      <w:r>
        <w:rPr>
          <w:rFonts w:hint="eastAsia"/>
          <w:sz w:val="24"/>
          <w:highlight w:val="none"/>
        </w:rPr>
        <w:t>只无线会议主席话筒，9只无线会议代表话筒，满足会议发言需求。</w:t>
      </w:r>
    </w:p>
    <w:p>
      <w:pPr>
        <w:tabs>
          <w:tab w:val="left" w:pos="0"/>
        </w:tabs>
        <w:adjustRightInd w:val="0"/>
        <w:snapToGrid w:val="0"/>
        <w:spacing w:line="560" w:lineRule="exact"/>
        <w:ind w:firstLine="482" w:firstLineChars="200"/>
        <w:rPr>
          <w:rFonts w:hint="eastAsia"/>
          <w:b/>
          <w:bCs/>
          <w:sz w:val="24"/>
          <w:highlight w:val="none"/>
        </w:rPr>
      </w:pPr>
      <w:r>
        <w:rPr>
          <w:rFonts w:hint="eastAsia"/>
          <w:b/>
          <w:bCs/>
          <w:sz w:val="24"/>
          <w:highlight w:val="none"/>
        </w:rPr>
        <w:t>带反馈功能的智能控制部分：</w:t>
      </w:r>
      <w:r>
        <w:rPr>
          <w:rFonts w:hint="eastAsia"/>
          <w:sz w:val="24"/>
          <w:highlight w:val="none"/>
        </w:rPr>
        <w:t>为便于师生日常使用操作会议系统。会议室配置了一套集中控制系统，集中控制系统可将会议室常用使用习惯归类编程，实现通过控制面板一键开启会议等。控制内容包括：开启或关闭系统电源、调节系统音量、投影机、投影幕及会议触摸一体机控制等。减少人员管理成本，避免误操作故障，提高人员管理效率，同时还预留智能控制的数据接口</w:t>
      </w:r>
      <w:r>
        <w:rPr>
          <w:rFonts w:hint="eastAsia"/>
          <w:sz w:val="24"/>
          <w:highlight w:val="none"/>
          <w:lang w:eastAsia="zh-CN"/>
        </w:rPr>
        <w:t>（费用由中标方承担）</w:t>
      </w:r>
      <w:r>
        <w:rPr>
          <w:rFonts w:hint="eastAsia"/>
          <w:sz w:val="24"/>
          <w:highlight w:val="none"/>
        </w:rPr>
        <w:t>，方便日后接入会议预约系统，实现提前开启系统设备，和远程对其系统关闭的功能。</w:t>
      </w:r>
    </w:p>
    <w:p>
      <w:pPr>
        <w:numPr>
          <w:ilvl w:val="0"/>
          <w:numId w:val="0"/>
        </w:numPr>
        <w:tabs>
          <w:tab w:val="left" w:pos="0"/>
        </w:tabs>
        <w:adjustRightInd w:val="0"/>
        <w:snapToGrid w:val="0"/>
        <w:spacing w:line="560" w:lineRule="exact"/>
        <w:rPr>
          <w:rFonts w:hint="eastAsia"/>
          <w:b/>
          <w:bCs/>
          <w:sz w:val="24"/>
          <w:highlight w:val="none"/>
        </w:rPr>
      </w:pPr>
      <w:r>
        <w:rPr>
          <w:rFonts w:hint="eastAsia"/>
          <w:b/>
          <w:bCs/>
          <w:sz w:val="24"/>
          <w:highlight w:val="none"/>
          <w:lang w:eastAsia="zh-CN"/>
        </w:rPr>
        <w:t>（四）</w:t>
      </w:r>
      <w:r>
        <w:rPr>
          <w:rFonts w:hint="eastAsia"/>
          <w:b/>
          <w:bCs/>
          <w:sz w:val="24"/>
          <w:highlight w:val="none"/>
        </w:rPr>
        <w:t>六层会议室多媒体扩声系统技术功能要求</w:t>
      </w:r>
    </w:p>
    <w:p>
      <w:pPr>
        <w:tabs>
          <w:tab w:val="left" w:pos="0"/>
        </w:tabs>
        <w:adjustRightInd w:val="0"/>
        <w:snapToGrid w:val="0"/>
        <w:spacing w:line="560" w:lineRule="exact"/>
        <w:ind w:firstLine="482" w:firstLineChars="200"/>
        <w:rPr>
          <w:rFonts w:hint="eastAsia"/>
          <w:sz w:val="24"/>
          <w:highlight w:val="none"/>
        </w:rPr>
      </w:pPr>
      <w:r>
        <w:rPr>
          <w:rFonts w:hint="eastAsia"/>
          <w:b/>
          <w:bCs/>
          <w:sz w:val="24"/>
          <w:highlight w:val="none"/>
        </w:rPr>
        <w:t>音箱、功放部分：</w:t>
      </w:r>
      <w:r>
        <w:rPr>
          <w:rFonts w:hint="eastAsia"/>
          <w:sz w:val="24"/>
          <w:highlight w:val="none"/>
        </w:rPr>
        <w:t>设计配置2只8*3″声柱扬声器，具有良好指向性控制及完美的清晰度，垂直式安装，与建筑一体化，安装更为美观，功放按照音响的功率匹配设置。</w:t>
      </w:r>
    </w:p>
    <w:p>
      <w:pPr>
        <w:tabs>
          <w:tab w:val="left" w:pos="0"/>
        </w:tabs>
        <w:adjustRightInd w:val="0"/>
        <w:snapToGrid w:val="0"/>
        <w:spacing w:line="560" w:lineRule="exact"/>
        <w:ind w:firstLine="482" w:firstLineChars="200"/>
        <w:rPr>
          <w:rFonts w:hint="eastAsia"/>
          <w:sz w:val="24"/>
          <w:highlight w:val="none"/>
        </w:rPr>
      </w:pPr>
      <w:r>
        <w:rPr>
          <w:rFonts w:hint="eastAsia"/>
          <w:b/>
          <w:bCs/>
          <w:sz w:val="24"/>
          <w:highlight w:val="none"/>
        </w:rPr>
        <w:t>音频处理部分：</w:t>
      </w:r>
      <w:r>
        <w:rPr>
          <w:rFonts w:hint="eastAsia"/>
          <w:sz w:val="24"/>
          <w:highlight w:val="none"/>
        </w:rPr>
        <w:t>配置1台8进8出的音频处理矩阵，音频处理矩阵为扩声系统的处理和控制核心，主要对音频信号进行处理和集中管理，所有音源信号都接入音频汇聚控制中心，对输入信号进行均衡、分频、压限、延时等专业DSP处理后经功放输出。音频汇聚控制中心可以预存多个预设，可事先设置好各种会议模式，使用时通过控制面板进行一键切换，无需重新设置。</w:t>
      </w:r>
    </w:p>
    <w:p>
      <w:pPr>
        <w:adjustRightInd w:val="0"/>
        <w:snapToGrid w:val="0"/>
        <w:spacing w:line="560" w:lineRule="exact"/>
        <w:ind w:firstLine="482" w:firstLineChars="200"/>
        <w:rPr>
          <w:rFonts w:hint="eastAsia"/>
          <w:sz w:val="24"/>
          <w:highlight w:val="none"/>
        </w:rPr>
      </w:pPr>
      <w:r>
        <w:rPr>
          <w:rFonts w:hint="eastAsia"/>
          <w:b/>
          <w:bCs/>
          <w:sz w:val="24"/>
          <w:highlight w:val="none"/>
        </w:rPr>
        <w:t>音源部分：</w:t>
      </w:r>
      <w:r>
        <w:rPr>
          <w:rFonts w:hint="eastAsia"/>
          <w:sz w:val="24"/>
          <w:highlight w:val="none"/>
        </w:rPr>
        <w:t>本项目装修工程已完成，设计原则上考虑尽量少布线，因此音源部分均采用无线的方式。配置1套双手持无线话筒，满足老师教学（活动）需要，要求话筒为手持。配置1套无线数字会议发言系统，</w:t>
      </w:r>
      <w:r>
        <w:rPr>
          <w:sz w:val="24"/>
          <w:highlight w:val="none"/>
        </w:rPr>
        <w:t>1</w:t>
      </w:r>
      <w:r>
        <w:rPr>
          <w:rFonts w:hint="eastAsia"/>
          <w:sz w:val="24"/>
          <w:highlight w:val="none"/>
        </w:rPr>
        <w:t>只无线会议主席话筒，9只无线会议代表话筒，满足会议发言需求。</w:t>
      </w:r>
    </w:p>
    <w:p>
      <w:pPr>
        <w:adjustRightInd w:val="0"/>
        <w:snapToGrid w:val="0"/>
        <w:spacing w:line="560" w:lineRule="exact"/>
        <w:ind w:firstLine="482" w:firstLineChars="200"/>
        <w:rPr>
          <w:sz w:val="24"/>
          <w:highlight w:val="none"/>
        </w:rPr>
      </w:pPr>
      <w:r>
        <w:rPr>
          <w:rFonts w:hint="eastAsia"/>
          <w:b/>
          <w:bCs/>
          <w:sz w:val="24"/>
          <w:highlight w:val="none"/>
        </w:rPr>
        <w:t>视频部分：</w:t>
      </w:r>
      <w:r>
        <w:rPr>
          <w:rFonts w:hint="eastAsia"/>
          <w:sz w:val="24"/>
          <w:highlight w:val="none"/>
        </w:rPr>
        <w:t>配置1台具有DLP显示技术，3840×2160高清分辨率，采用激光光源，大于等于6200流明亮度的超短焦投影机，同时配置180寸电动投影幕布和无线投屏设备采用免驱方式，视频部分设备需要由智能控制系统进行集中控制。</w:t>
      </w:r>
    </w:p>
    <w:p>
      <w:pPr>
        <w:tabs>
          <w:tab w:val="left" w:pos="0"/>
        </w:tabs>
        <w:adjustRightInd w:val="0"/>
        <w:snapToGrid w:val="0"/>
        <w:spacing w:line="560" w:lineRule="exact"/>
        <w:ind w:firstLine="482" w:firstLineChars="200"/>
        <w:rPr>
          <w:rFonts w:hint="eastAsia"/>
          <w:sz w:val="24"/>
          <w:highlight w:val="none"/>
        </w:rPr>
      </w:pPr>
      <w:r>
        <w:rPr>
          <w:rFonts w:hint="eastAsia"/>
          <w:b/>
          <w:bCs/>
          <w:sz w:val="24"/>
          <w:highlight w:val="none"/>
        </w:rPr>
        <w:t>带反馈功能的智能控制部分：</w:t>
      </w:r>
      <w:r>
        <w:rPr>
          <w:rFonts w:hint="eastAsia"/>
          <w:sz w:val="24"/>
          <w:highlight w:val="none"/>
        </w:rPr>
        <w:t>为便于师生日常使用操作会议系统。会议室配置了一套集中控制系统，集中控制系统可将会议室常用使用习惯归类编程，实现通过控制面板一键开启会议等。控制内容包括：开启或关闭系统电源、调节系统音量、投影机、投影幕及会议触摸一体机控制等。减少人员管理成本，避免误操作故障，提高人员管理效率，同时还预留智能控制的数据接口</w:t>
      </w:r>
      <w:r>
        <w:rPr>
          <w:rFonts w:hint="eastAsia"/>
          <w:sz w:val="24"/>
          <w:highlight w:val="none"/>
          <w:lang w:eastAsia="zh-CN"/>
        </w:rPr>
        <w:t>（费用由中标方承担）</w:t>
      </w:r>
      <w:r>
        <w:rPr>
          <w:rFonts w:hint="eastAsia"/>
          <w:sz w:val="24"/>
          <w:highlight w:val="none"/>
        </w:rPr>
        <w:t>，方便日后接入会议预约系统，实现提前开启系统设备，和远程对其系统关闭的功能。</w:t>
      </w:r>
    </w:p>
    <w:p>
      <w:pPr>
        <w:numPr>
          <w:ilvl w:val="0"/>
          <w:numId w:val="0"/>
        </w:numPr>
        <w:tabs>
          <w:tab w:val="left" w:pos="0"/>
        </w:tabs>
        <w:adjustRightInd w:val="0"/>
        <w:snapToGrid w:val="0"/>
        <w:spacing w:line="560" w:lineRule="exact"/>
        <w:rPr>
          <w:rFonts w:hint="eastAsia"/>
          <w:b/>
          <w:bCs/>
          <w:sz w:val="24"/>
          <w:highlight w:val="none"/>
        </w:rPr>
      </w:pPr>
      <w:r>
        <w:rPr>
          <w:rFonts w:hint="eastAsia"/>
          <w:b/>
          <w:bCs/>
          <w:sz w:val="24"/>
          <w:highlight w:val="none"/>
          <w:lang w:eastAsia="zh-CN"/>
        </w:rPr>
        <w:t>（五）</w:t>
      </w:r>
      <w:r>
        <w:rPr>
          <w:rFonts w:hint="eastAsia"/>
          <w:b/>
          <w:bCs/>
          <w:sz w:val="24"/>
          <w:highlight w:val="none"/>
        </w:rPr>
        <w:t>会议室机房布置技术功能要求</w:t>
      </w:r>
    </w:p>
    <w:p>
      <w:pPr>
        <w:tabs>
          <w:tab w:val="left" w:pos="0"/>
        </w:tabs>
        <w:adjustRightInd w:val="0"/>
        <w:snapToGrid w:val="0"/>
        <w:spacing w:line="560" w:lineRule="exact"/>
        <w:ind w:firstLine="480" w:firstLineChars="200"/>
        <w:rPr>
          <w:rFonts w:hint="eastAsia"/>
          <w:sz w:val="24"/>
          <w:highlight w:val="none"/>
        </w:rPr>
      </w:pPr>
      <w:r>
        <w:rPr>
          <w:rFonts w:hint="eastAsia"/>
          <w:sz w:val="24"/>
          <w:highlight w:val="none"/>
        </w:rPr>
        <w:t>本设计每个会议不单独设置机柜，设备的操作都通过智能控制系统进行，从而保证会场整洁性，其会议系统管理设备都布置在研究院网络机房或弱电间内。</w:t>
      </w:r>
    </w:p>
    <w:p>
      <w:pPr>
        <w:numPr>
          <w:ilvl w:val="0"/>
          <w:numId w:val="0"/>
        </w:numPr>
        <w:tabs>
          <w:tab w:val="left" w:pos="0"/>
        </w:tabs>
        <w:adjustRightInd w:val="0"/>
        <w:snapToGrid w:val="0"/>
        <w:spacing w:line="560" w:lineRule="exact"/>
        <w:rPr>
          <w:rFonts w:hint="eastAsia"/>
          <w:b/>
          <w:bCs/>
          <w:sz w:val="24"/>
          <w:highlight w:val="none"/>
        </w:rPr>
      </w:pPr>
      <w:r>
        <w:rPr>
          <w:rFonts w:hint="eastAsia"/>
          <w:b/>
          <w:bCs/>
          <w:sz w:val="24"/>
          <w:highlight w:val="none"/>
          <w:lang w:eastAsia="zh-CN"/>
        </w:rPr>
        <w:t>（六）</w:t>
      </w:r>
      <w:r>
        <w:rPr>
          <w:rFonts w:hint="eastAsia"/>
          <w:b/>
          <w:bCs/>
          <w:sz w:val="24"/>
          <w:highlight w:val="none"/>
        </w:rPr>
        <w:t>智能控制系统功能</w:t>
      </w:r>
      <w:r>
        <w:rPr>
          <w:rFonts w:hint="eastAsia" w:asciiTheme="minorEastAsia" w:hAnsiTheme="minorEastAsia" w:eastAsiaTheme="minorEastAsia"/>
          <w:b/>
          <w:color w:val="000000" w:themeColor="text1"/>
          <w:sz w:val="24"/>
          <w:lang w:val="en-US" w:eastAsia="zh-CN"/>
          <w14:textFill>
            <w14:solidFill>
              <w14:schemeClr w14:val="tx1"/>
            </w14:solidFill>
          </w14:textFill>
        </w:rPr>
        <w:t>视频</w:t>
      </w:r>
      <w:r>
        <w:rPr>
          <w:rFonts w:hint="eastAsia"/>
          <w:b/>
          <w:bCs/>
          <w:sz w:val="24"/>
          <w:highlight w:val="none"/>
        </w:rPr>
        <w:t>演示要求</w:t>
      </w:r>
    </w:p>
    <w:p>
      <w:pPr>
        <w:spacing w:line="360" w:lineRule="auto"/>
        <w:ind w:firstLine="480" w:firstLineChars="200"/>
        <w:rPr>
          <w:rFonts w:hint="eastAsia"/>
          <w:sz w:val="24"/>
          <w:highlight w:val="none"/>
        </w:rPr>
      </w:pPr>
      <w:r>
        <w:rPr>
          <w:rFonts w:hint="eastAsia"/>
          <w:sz w:val="24"/>
          <w:highlight w:val="none"/>
        </w:rPr>
        <w:t>为了保证本项目实施功能的完整性，投标人应</w:t>
      </w:r>
      <w:r>
        <w:rPr>
          <w:rFonts w:hint="eastAsia"/>
          <w:sz w:val="24"/>
          <w:highlight w:val="none"/>
          <w:lang w:val="en-US" w:eastAsia="zh-CN"/>
        </w:rPr>
        <w:t>提前录制</w:t>
      </w:r>
      <w:r>
        <w:rPr>
          <w:rFonts w:hint="eastAsia"/>
          <w:sz w:val="24"/>
          <w:highlight w:val="none"/>
        </w:rPr>
        <w:t>功能演示视频，每个投标人演示</w:t>
      </w:r>
      <w:r>
        <w:rPr>
          <w:rFonts w:hint="eastAsia"/>
          <w:sz w:val="24"/>
          <w:highlight w:val="none"/>
          <w:lang w:eastAsia="zh-CN"/>
        </w:rPr>
        <w:t>总</w:t>
      </w:r>
      <w:r>
        <w:rPr>
          <w:rFonts w:hint="eastAsia"/>
          <w:sz w:val="24"/>
          <w:highlight w:val="none"/>
        </w:rPr>
        <w:t>时</w:t>
      </w:r>
      <w:r>
        <w:rPr>
          <w:rFonts w:hint="eastAsia"/>
          <w:sz w:val="24"/>
          <w:highlight w:val="none"/>
          <w:lang w:eastAsia="zh-CN"/>
        </w:rPr>
        <w:t>长</w:t>
      </w:r>
      <w:r>
        <w:rPr>
          <w:rFonts w:hint="eastAsia"/>
          <w:sz w:val="24"/>
          <w:highlight w:val="none"/>
        </w:rPr>
        <w:t>为</w:t>
      </w:r>
      <w:r>
        <w:rPr>
          <w:rFonts w:hint="eastAsia"/>
          <w:sz w:val="24"/>
          <w:highlight w:val="none"/>
          <w:lang w:val="en-US" w:eastAsia="zh-CN"/>
        </w:rPr>
        <w:t>10</w:t>
      </w:r>
      <w:r>
        <w:rPr>
          <w:rFonts w:hint="eastAsia"/>
          <w:sz w:val="24"/>
          <w:highlight w:val="none"/>
        </w:rPr>
        <w:t>分钟</w:t>
      </w:r>
      <w:r>
        <w:rPr>
          <w:rFonts w:hint="eastAsia"/>
          <w:sz w:val="24"/>
          <w:highlight w:val="none"/>
          <w:lang w:eastAsia="zh-CN"/>
        </w:rPr>
        <w:t>视频</w:t>
      </w:r>
      <w:r>
        <w:rPr>
          <w:rFonts w:hint="eastAsia"/>
          <w:sz w:val="24"/>
          <w:highlight w:val="none"/>
          <w:lang w:val="en-US" w:eastAsia="zh-CN"/>
        </w:rPr>
        <w:t>，并</w:t>
      </w:r>
      <w:r>
        <w:rPr>
          <w:rFonts w:hint="eastAsia"/>
          <w:sz w:val="24"/>
          <w:highlight w:val="none"/>
        </w:rPr>
        <w:t>提前做好演示准备（包括演示设备</w:t>
      </w:r>
      <w:r>
        <w:rPr>
          <w:rFonts w:hint="eastAsia"/>
          <w:sz w:val="24"/>
          <w:highlight w:val="none"/>
          <w:lang w:val="en-US" w:eastAsia="zh-CN"/>
        </w:rPr>
        <w:t>)</w:t>
      </w:r>
      <w:r>
        <w:rPr>
          <w:rFonts w:hint="eastAsia"/>
          <w:sz w:val="24"/>
          <w:highlight w:val="none"/>
        </w:rPr>
        <w:t>。实现的功能要求如下：</w:t>
      </w:r>
    </w:p>
    <w:p>
      <w:pPr>
        <w:spacing w:line="360" w:lineRule="auto"/>
        <w:ind w:firstLine="480" w:firstLineChars="200"/>
        <w:rPr>
          <w:rFonts w:hint="eastAsia"/>
          <w:sz w:val="24"/>
          <w:highlight w:val="none"/>
        </w:rPr>
      </w:pPr>
      <w:r>
        <w:rPr>
          <w:rFonts w:hint="eastAsia"/>
          <w:sz w:val="24"/>
          <w:highlight w:val="none"/>
          <w:lang w:val="en-US" w:eastAsia="zh-CN"/>
        </w:rPr>
        <w:t>1.</w:t>
      </w:r>
      <w:r>
        <w:rPr>
          <w:rFonts w:hint="eastAsia"/>
          <w:sz w:val="24"/>
          <w:highlight w:val="none"/>
        </w:rPr>
        <w:t>可通过界面式控制面板对其时序电源管理器的每个通道进行开关、通道开关延时时间和一键控制顺序开关功能，并且时序电源器面板操作与界面式控制面板上每个通道的状态一致。</w:t>
      </w:r>
    </w:p>
    <w:p>
      <w:pPr>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eastAsia="zh-CN"/>
        </w:rPr>
        <w:t>.</w:t>
      </w:r>
      <w:r>
        <w:rPr>
          <w:rFonts w:hint="eastAsia"/>
          <w:sz w:val="24"/>
          <w:highlight w:val="none"/>
        </w:rPr>
        <w:t>界面式控制面板在操作时，需要输入相应的密码才能进入控制界面，从而解决非管理人员非法操作。</w:t>
      </w:r>
    </w:p>
    <w:p>
      <w:pPr>
        <w:spacing w:line="360" w:lineRule="auto"/>
        <w:ind w:firstLine="480" w:firstLineChars="200"/>
        <w:rPr>
          <w:rFonts w:hint="eastAsia"/>
          <w:sz w:val="24"/>
          <w:highlight w:val="none"/>
        </w:rPr>
      </w:pPr>
      <w:r>
        <w:rPr>
          <w:rFonts w:hint="eastAsia"/>
          <w:sz w:val="24"/>
          <w:highlight w:val="none"/>
        </w:rPr>
        <w:t>3</w:t>
      </w:r>
      <w:r>
        <w:rPr>
          <w:rFonts w:hint="eastAsia"/>
          <w:sz w:val="24"/>
          <w:highlight w:val="none"/>
          <w:lang w:eastAsia="zh-CN"/>
        </w:rPr>
        <w:t>.</w:t>
      </w:r>
      <w:r>
        <w:rPr>
          <w:rFonts w:hint="eastAsia"/>
          <w:sz w:val="24"/>
          <w:highlight w:val="none"/>
        </w:rPr>
        <w:t>可通过界面式控制面板对数字音频处理器每个输入输出通道进行MUTE、音量控制（音量数值，以dB为单位）和场景调用功能，需要与数字音频处理器设置软件的相应数值或状态一致。</w:t>
      </w:r>
    </w:p>
    <w:p>
      <w:pPr>
        <w:spacing w:line="360" w:lineRule="auto"/>
        <w:ind w:firstLine="480" w:firstLineChars="200"/>
        <w:rPr>
          <w:rFonts w:hint="eastAsia"/>
          <w:sz w:val="24"/>
          <w:highlight w:val="none"/>
        </w:rPr>
      </w:pPr>
      <w:r>
        <w:rPr>
          <w:rFonts w:hint="eastAsia"/>
          <w:sz w:val="24"/>
          <w:highlight w:val="none"/>
        </w:rPr>
        <w:t>4</w:t>
      </w:r>
      <w:r>
        <w:rPr>
          <w:rFonts w:hint="eastAsia"/>
          <w:sz w:val="24"/>
          <w:highlight w:val="none"/>
          <w:lang w:eastAsia="zh-CN"/>
        </w:rPr>
        <w:t>.</w:t>
      </w:r>
      <w:r>
        <w:rPr>
          <w:rFonts w:hint="eastAsia"/>
          <w:sz w:val="24"/>
          <w:highlight w:val="none"/>
        </w:rPr>
        <w:t>可通过界面式控制面板对投影机及电动投影幕的远程控制指令和设备运行状态数据采集。</w:t>
      </w:r>
    </w:p>
    <w:p>
      <w:pPr>
        <w:spacing w:line="360" w:lineRule="auto"/>
        <w:ind w:firstLine="480" w:firstLineChars="200"/>
        <w:rPr>
          <w:rFonts w:hint="eastAsia" w:asciiTheme="minorEastAsia" w:hAnsiTheme="minorEastAsia" w:eastAsiaTheme="minorEastAsia"/>
          <w:b w:val="0"/>
          <w:bCs/>
          <w:color w:val="auto"/>
          <w:sz w:val="24"/>
        </w:rPr>
      </w:pPr>
      <w:r>
        <w:rPr>
          <w:rFonts w:hint="eastAsia" w:asciiTheme="minorEastAsia" w:hAnsiTheme="minorEastAsia" w:eastAsiaTheme="minorEastAsia"/>
          <w:b w:val="0"/>
          <w:bCs/>
          <w:color w:val="auto"/>
          <w:sz w:val="24"/>
          <w:lang w:val="en-US" w:eastAsia="zh-CN"/>
        </w:rPr>
        <w:t>5</w:t>
      </w:r>
      <w:r>
        <w:rPr>
          <w:rFonts w:hint="eastAsia" w:asciiTheme="minorEastAsia" w:hAnsiTheme="minorEastAsia" w:eastAsiaTheme="minorEastAsia"/>
          <w:b w:val="0"/>
          <w:bCs/>
          <w:color w:val="auto"/>
          <w:sz w:val="24"/>
        </w:rPr>
        <w:t>.投标人将按照</w:t>
      </w:r>
      <w:r>
        <w:rPr>
          <w:rFonts w:hint="eastAsia" w:asciiTheme="minorEastAsia" w:hAnsiTheme="minorEastAsia" w:eastAsiaTheme="minorEastAsia"/>
          <w:b w:val="0"/>
          <w:bCs/>
          <w:color w:val="auto"/>
          <w:sz w:val="24"/>
          <w:lang w:val="en-US" w:eastAsia="zh-CN"/>
        </w:rPr>
        <w:t>评标</w:t>
      </w:r>
      <w:r>
        <w:rPr>
          <w:rFonts w:hint="eastAsia" w:asciiTheme="minorEastAsia" w:hAnsiTheme="minorEastAsia" w:eastAsiaTheme="minorEastAsia"/>
          <w:b w:val="0"/>
          <w:bCs/>
          <w:color w:val="auto"/>
          <w:sz w:val="24"/>
        </w:rPr>
        <w:t>委员会确定的顺序进行</w:t>
      </w:r>
      <w:r>
        <w:rPr>
          <w:rFonts w:hint="eastAsia" w:asciiTheme="minorEastAsia" w:hAnsiTheme="minorEastAsia" w:eastAsiaTheme="minorEastAsia"/>
          <w:b w:val="0"/>
          <w:bCs/>
          <w:color w:val="auto"/>
          <w:sz w:val="24"/>
          <w:lang w:val="en-US" w:eastAsia="zh-CN"/>
        </w:rPr>
        <w:t>视频</w:t>
      </w:r>
      <w:r>
        <w:rPr>
          <w:rFonts w:hint="eastAsia" w:asciiTheme="minorEastAsia" w:hAnsiTheme="minorEastAsia" w:eastAsiaTheme="minorEastAsia"/>
          <w:b w:val="0"/>
          <w:bCs/>
          <w:color w:val="auto"/>
          <w:sz w:val="24"/>
        </w:rPr>
        <w:t>演示。评标过程中，投标人应进入开标大厅等待远程在线演示邀请，并保持联络畅通。</w:t>
      </w:r>
    </w:p>
    <w:p>
      <w:pPr>
        <w:spacing w:line="360" w:lineRule="auto"/>
        <w:ind w:firstLine="480" w:firstLineChars="200"/>
        <w:rPr>
          <w:color w:val="auto"/>
        </w:rPr>
      </w:pPr>
      <w:r>
        <w:rPr>
          <w:rFonts w:hint="eastAsia" w:asciiTheme="minorEastAsia" w:hAnsiTheme="minorEastAsia" w:eastAsiaTheme="minorEastAsia"/>
          <w:b w:val="0"/>
          <w:bCs/>
          <w:color w:val="auto"/>
          <w:sz w:val="24"/>
          <w:lang w:val="en-US" w:eastAsia="zh-CN"/>
        </w:rPr>
        <w:t>6</w:t>
      </w:r>
      <w:r>
        <w:rPr>
          <w:rFonts w:hint="eastAsia" w:asciiTheme="minorEastAsia" w:hAnsiTheme="minorEastAsia" w:eastAsiaTheme="minorEastAsia"/>
          <w:b w:val="0"/>
          <w:bCs/>
          <w:color w:val="auto"/>
          <w:sz w:val="24"/>
        </w:rPr>
        <w:t>.投标人在接到演示邀请后，</w:t>
      </w:r>
      <w:r>
        <w:rPr>
          <w:rFonts w:hint="eastAsia" w:asciiTheme="minorEastAsia" w:hAnsiTheme="minorEastAsia" w:eastAsiaTheme="minorEastAsia"/>
          <w:b w:val="0"/>
          <w:bCs/>
          <w:color w:val="auto"/>
          <w:sz w:val="24"/>
          <w:lang w:val="en-US" w:eastAsia="zh-CN"/>
        </w:rPr>
        <w:t>通过共享桌面等方式播放视频进行演示</w:t>
      </w:r>
      <w:r>
        <w:rPr>
          <w:rFonts w:hint="eastAsia" w:asciiTheme="minorEastAsia" w:hAnsiTheme="minorEastAsia" w:eastAsiaTheme="minorEastAsia"/>
          <w:b w:val="0"/>
          <w:bCs/>
          <w:color w:val="auto"/>
          <w:sz w:val="24"/>
        </w:rPr>
        <w:t>，评标委员会根据</w:t>
      </w:r>
      <w:r>
        <w:rPr>
          <w:rFonts w:hint="eastAsia" w:asciiTheme="minorEastAsia" w:hAnsiTheme="minorEastAsia" w:eastAsiaTheme="minorEastAsia"/>
          <w:b w:val="0"/>
          <w:bCs/>
          <w:color w:val="auto"/>
          <w:sz w:val="24"/>
          <w:lang w:val="en-US" w:eastAsia="zh-CN"/>
        </w:rPr>
        <w:t>视频</w:t>
      </w:r>
      <w:r>
        <w:rPr>
          <w:rFonts w:hint="eastAsia" w:asciiTheme="minorEastAsia" w:hAnsiTheme="minorEastAsia" w:eastAsiaTheme="minorEastAsia"/>
          <w:b w:val="0"/>
          <w:bCs/>
          <w:color w:val="auto"/>
          <w:sz w:val="24"/>
        </w:rPr>
        <w:t>演示内容进行评分。</w:t>
      </w:r>
    </w:p>
    <w:tbl>
      <w:tblPr>
        <w:tblStyle w:val="22"/>
        <w:tblpPr w:leftFromText="180" w:rightFromText="180" w:vertAnchor="text" w:horzAnchor="page" w:tblpX="1624" w:tblpY="610"/>
        <w:tblOverlap w:val="never"/>
        <w:tblW w:w="0" w:type="auto"/>
        <w:tblInd w:w="0" w:type="dxa"/>
        <w:tblLayout w:type="fixed"/>
        <w:tblCellMar>
          <w:top w:w="0" w:type="dxa"/>
          <w:left w:w="108" w:type="dxa"/>
          <w:bottom w:w="0" w:type="dxa"/>
          <w:right w:w="108" w:type="dxa"/>
        </w:tblCellMar>
      </w:tblPr>
      <w:tblGrid>
        <w:gridCol w:w="732"/>
        <w:gridCol w:w="2136"/>
        <w:gridCol w:w="1080"/>
        <w:gridCol w:w="1080"/>
        <w:gridCol w:w="1413"/>
        <w:gridCol w:w="951"/>
        <w:gridCol w:w="1539"/>
      </w:tblGrid>
      <w:tr>
        <w:tblPrEx>
          <w:tblCellMar>
            <w:top w:w="0" w:type="dxa"/>
            <w:left w:w="108" w:type="dxa"/>
            <w:bottom w:w="0" w:type="dxa"/>
            <w:right w:w="108" w:type="dxa"/>
          </w:tblCellMar>
        </w:tblPrEx>
        <w:trPr>
          <w:trHeight w:val="408" w:hRule="atLeast"/>
        </w:trPr>
        <w:tc>
          <w:tcPr>
            <w:tcW w:w="893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采购内容一览表</w:t>
            </w:r>
          </w:p>
        </w:tc>
      </w:tr>
      <w:tr>
        <w:tblPrEx>
          <w:tblCellMar>
            <w:top w:w="0" w:type="dxa"/>
            <w:left w:w="108" w:type="dxa"/>
            <w:bottom w:w="0" w:type="dxa"/>
            <w:right w:w="108" w:type="dxa"/>
          </w:tblCellMar>
        </w:tblPrEx>
        <w:trPr>
          <w:trHeight w:val="156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采购内容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是否为核心产品，若不填则以所占金额比重衡量</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是否为主要产品</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是否进口（进口的需提供进口批文）</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主音箱1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主音箱2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补声音箱（吸顶）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音响支架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主音箱1功放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主音箱2功放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补声音箱功放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音频处理器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有线界面式控制面板（包括软件编程）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音频控制网关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控制网关主机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时序电源控制网关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时序电源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数字会议主机（附嵌入式软件）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无线会议主席话筒（附嵌入式软件）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无线会议代表话筒（附嵌入式软件）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无线AP（附嵌入式软件）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充电箱</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充电电池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双手持无线话筒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21</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交换机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POE交换机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23</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Dante适配器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一体化恒温机柜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25</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投影机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26</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投影机支架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电动投影幕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无线投屏器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投影机及电动投影幕控制网关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是</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网线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米</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31</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音箱线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米</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音箱线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米</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r>
        <w:tblPrEx>
          <w:tblCellMar>
            <w:top w:w="0" w:type="dxa"/>
            <w:left w:w="108" w:type="dxa"/>
            <w:bottom w:w="0" w:type="dxa"/>
            <w:right w:w="108" w:type="dxa"/>
          </w:tblCellMar>
        </w:tblPrEx>
        <w:trPr>
          <w:trHeight w:val="31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33</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辅材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否</w:t>
            </w:r>
          </w:p>
        </w:tc>
      </w:tr>
    </w:tbl>
    <w:p>
      <w:pPr>
        <w:spacing w:line="360" w:lineRule="auto"/>
        <w:ind w:firstLine="562" w:firstLineChars="200"/>
        <w:rPr>
          <w:rFonts w:hint="eastAsia" w:ascii="宋体" w:hAnsi="宋体" w:cs="宋体"/>
          <w:b/>
          <w:bCs/>
          <w:color w:val="000000"/>
          <w:sz w:val="28"/>
          <w:szCs w:val="28"/>
          <w:lang w:eastAsia="zh-CN"/>
        </w:rPr>
      </w:pPr>
    </w:p>
    <w:p>
      <w:pPr>
        <w:spacing w:line="360" w:lineRule="auto"/>
        <w:ind w:firstLine="562" w:firstLineChars="200"/>
        <w:jc w:val="center"/>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采购清单及性能参数指标</w:t>
      </w:r>
    </w:p>
    <w:tbl>
      <w:tblPr>
        <w:tblStyle w:val="22"/>
        <w:tblpPr w:leftFromText="180" w:rightFromText="180" w:vertAnchor="text" w:horzAnchor="page" w:tblpX="1545" w:tblpY="524"/>
        <w:tblOverlap w:val="never"/>
        <w:tblW w:w="0" w:type="auto"/>
        <w:tblInd w:w="0" w:type="dxa"/>
        <w:tblLayout w:type="fixed"/>
        <w:tblCellMar>
          <w:top w:w="0" w:type="dxa"/>
          <w:left w:w="108" w:type="dxa"/>
          <w:bottom w:w="0" w:type="dxa"/>
          <w:right w:w="108" w:type="dxa"/>
        </w:tblCellMar>
      </w:tblPr>
      <w:tblGrid>
        <w:gridCol w:w="921"/>
        <w:gridCol w:w="486"/>
        <w:gridCol w:w="477"/>
        <w:gridCol w:w="811"/>
        <w:gridCol w:w="840"/>
        <w:gridCol w:w="5520"/>
      </w:tblGrid>
      <w:tr>
        <w:tblPrEx>
          <w:tblCellMar>
            <w:top w:w="0" w:type="dxa"/>
            <w:left w:w="108" w:type="dxa"/>
            <w:bottom w:w="0" w:type="dxa"/>
            <w:right w:w="108" w:type="dxa"/>
          </w:tblCellMar>
        </w:tblPrEx>
        <w:trPr>
          <w:trHeight w:val="1872"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货物名称</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主要性能参数指标★/实质性参数指标▲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指标项</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指标要求</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主音箱1</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类型：一体化铝合金全频声柱音箱；</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系统组成：喇叭单元不小于3″、数量不少于16个；</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额定功率≥480W、峰值功率≥1920W；（投标时提供具备 “CNAS”或“CMA”认证资格检测机构出具的检验报告证明此项参数）；</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灵敏度≥98dB，最大声压级≥130dB；（投标时提供具备 “CNAS”或“CMA”认证资格检测机构出具的检验报告证明此项参数）；</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频响范围：不劣于80Hz-20kHz（－10 dB），120Hz-20kHz（±3 dB）；</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额定阻抗：8Ω；</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投射角度：水平不小于90°、垂直不大于15°；</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为保证产品参数的准确性以及一致性，制造厂商音箱参数的测试需要在标准的消声室进行，提供消声室相关介绍文件及计量单位对消声室的检测报告</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主音箱2</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类型：一体化铝合金全频声柱音箱；</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系统组成：喇叭单元不小于3″、数量不少于8个；</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功率：额定≥240W、峰值960W；（投标时提供具备 “CNAS”或“CMA”认证资格检测机构出具的检验报告证明此项参数；</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灵敏度（1W@1m）：≥95dB，最大声压级（PEAK）：≥124dB；（投标时提供具备 “CNAS”或“CMA”认证资格检测机构出具的检验报告证明此项参数；</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频率响应：不劣于80Hz-20kHz(－10 dB)，120Hz-20kHz(±3 dB)；</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额定阻抗：4Ω；</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投射角度：水平不小于90°、垂直不大于25°；</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为保证产品参数的准确性以及一致性，制造厂商音箱参数的测试需要在标准的消声室进行，提供消声室相关介绍文件及计量单位对消声室的检测报告</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补声音箱（吸顶）</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系统组成：</w:t>
            </w:r>
            <w:r>
              <w:rPr>
                <w:rFonts w:hint="eastAsia" w:ascii="宋体" w:hAnsi="宋体" w:cs="宋体"/>
                <w:color w:val="000000"/>
                <w:kern w:val="0"/>
                <w:sz w:val="24"/>
                <w:szCs w:val="24"/>
                <w:lang w:val="en-US" w:eastAsia="zh-CN" w:bidi="ar"/>
              </w:rPr>
              <w:t>不低于</w:t>
            </w:r>
            <w:r>
              <w:rPr>
                <w:rFonts w:hint="eastAsia" w:ascii="宋体" w:hAnsi="宋体" w:cs="宋体"/>
                <w:color w:val="000000"/>
                <w:kern w:val="0"/>
                <w:sz w:val="24"/>
                <w:szCs w:val="24"/>
                <w:lang w:bidi="ar"/>
              </w:rPr>
              <w:t>LF6.5"×1,HF1"×1全频</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频响范围：≥40Hz-22kHz(－10 dB)</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功率：≥60W AES，≥240W PEAK</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灵敏度（1W@1m）： ≥90dB</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最大声压级（PEAK）： ≥114dB</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额定阻抗： 8Ω</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音响支架</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配套</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主音箱1功放</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功放类型：D类</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立体声功率：≥800W×2（8Ω）、≥1200W×2（4Ω）；（投标时提供具备 “CNAS”或“CMA”认证资格检测机构出具的检验报告证明此项参数）；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桥接功率：≥1600W（16Ω）、≥2400W（8Ω）；</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输入灵敏度（额定输出功率，1kHz）：1Vrms，0.7Vrms可选择；</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总谐波失真加噪声：≤0.05%，阻尼系数：&gt;1000，信噪：≥105dB；（投标时提供具备 “CNAS”或“CMA”认证资格检测机构出具的检验报告证明此项参数）；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保护：过热压限、过载保护、输出直流保护；</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主音箱2功放</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功放类型：D类</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立体声功率：≥300W×2（8Ω）、≥400W×2（4Ω）；（投标时提供具备 “CNAS”或“CMA”认证资格检测机构出具的检验报告证明此项参数）；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桥接功率：≥600W（16Ω）、≥800W（8Ω）；</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输入灵敏度（额定输出功率，1kHz）：1Vrms，0.7Vrms可选择；</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总谐波失真加噪声：≤0.05%，阻尼系数：&gt;200，信噪：≥100dB；（投标时提供具备 “CNAS”或“CMA”认证资格检测机构出具的检验报告证明此项参数）；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保护：过热压限、过载保护、输出直流保护；</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补声音箱功放</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功放类型：D类</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立体声功率：≥150W×2（8Ω）、≥200W×2（4Ω）；</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桥接功率：≥300W（16Ω）、≥400W（8Ω）；</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输入灵敏度（额定输出功率，1kHz）：1Vrms，0.7Vrms可选择；</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总谐波失真加噪声：≤0.05%，阻尼系数：&gt;200，信噪：≥100dB；（投标时提供具备 “CNAS”或“CMA”认证资格检测机构出具的检验报告证明此项参数）；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保护：过热压限、过载保护、输出直流保护；</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音频处理器</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8路平衡式话筒/线路输入，8路平衡时输出；</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支持Dante数字音频传输与控制；</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面板上支持多种音频格式的播放，可扩展USB多媒体存储录制功能；</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支持PC、中控平台、触摸面板等方式进行多重控制；</w:t>
            </w:r>
          </w:p>
        </w:tc>
      </w:tr>
      <w:tr>
        <w:tblPrEx>
          <w:tblCellMar>
            <w:top w:w="0" w:type="dxa"/>
            <w:left w:w="108" w:type="dxa"/>
            <w:bottom w:w="0" w:type="dxa"/>
            <w:right w:w="108" w:type="dxa"/>
          </w:tblCellMar>
        </w:tblPrEx>
        <w:trPr>
          <w:trHeight w:val="297"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内置信号发生器、自动混音（AM）、自动增益控制（AGC）、反馈消除（AFC）、回声消除（AEC）、噪声消除（ANC）等主要算法；</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输入每通道：前级放大、信号发生器、扩展器、压缩器、5段参量均衡；</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输出每通道：8段参量均衡、延时器、分频器、限幅器；</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内置图形可视化反馈抑制功能界面，让反馈抑制体现得更加清晰明了；</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全功能矩阵混音功能，内置专利性分量式矩阵调节功能；</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内置自动摄像跟踪功能，轻松实现视频会议；</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支持场景预设功能，断电自动保护记忆功能；</w:t>
            </w:r>
          </w:p>
        </w:tc>
      </w:tr>
      <w:tr>
        <w:tblPrEx>
          <w:tblCellMar>
            <w:top w:w="0" w:type="dxa"/>
            <w:left w:w="108" w:type="dxa"/>
            <w:bottom w:w="0" w:type="dxa"/>
            <w:right w:w="108" w:type="dxa"/>
          </w:tblCellMar>
        </w:tblPrEx>
        <w:trPr>
          <w:trHeight w:val="1080"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FF0000"/>
                <w:kern w:val="0"/>
                <w:sz w:val="24"/>
                <w:szCs w:val="24"/>
                <w:lang w:bidi="ar"/>
              </w:rPr>
              <w:t>具有</w:t>
            </w:r>
            <w:r>
              <w:rPr>
                <w:rFonts w:hint="eastAsia" w:ascii="宋体" w:hAnsi="宋体" w:cs="宋体"/>
                <w:color w:val="FF0000"/>
                <w:kern w:val="0"/>
                <w:sz w:val="24"/>
                <w:szCs w:val="24"/>
                <w:lang w:val="en-US" w:eastAsia="zh-CN" w:bidi="ar"/>
              </w:rPr>
              <w:t>15</w:t>
            </w:r>
            <w:r>
              <w:rPr>
                <w:rFonts w:hint="eastAsia" w:ascii="宋体" w:hAnsi="宋体" w:cs="宋体"/>
                <w:color w:val="FF0000"/>
                <w:kern w:val="0"/>
                <w:sz w:val="24"/>
                <w:szCs w:val="24"/>
                <w:lang w:bidi="ar"/>
              </w:rPr>
              <w:t>种专业音频处理模块，</w:t>
            </w:r>
            <w:r>
              <w:rPr>
                <w:rFonts w:hint="eastAsia" w:ascii="宋体" w:hAnsi="宋体" w:cs="宋体"/>
                <w:color w:val="000000"/>
                <w:kern w:val="0"/>
                <w:sz w:val="24"/>
                <w:szCs w:val="24"/>
                <w:lang w:bidi="ar"/>
              </w:rPr>
              <w:t>比如：5段全参量均衡器，8段图示均衡器，高精准得压缩及限幅器，高灵敏度的扩展及自动增益，分频器，自动混音器，延时器，矩阵混音器，分量矩阵调节器，噪声门限，静音模块，信号发生器和信号指示电平表等；</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内置中控代码生成器，无需自行套用公式编辑代码；</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设备提供了通用可编程i/o端口，并设置消防联动等功能；</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RS-485双向串行控制接口，可控制外部其它设备如：视频矩阵、摄像机等RS-485设备，或接收第三方RS-485控制；</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每个输入通道提供+48V 直流7mA幻象电源；</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可通过USB、WIFI、TCP/IP接口和控制设备连接；</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支持8路逻辑输入，4路电压输出控制的GPIO控制接口；</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19</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管理系统软件具有国家版权局颁发的计算机软件著作权登记证；</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有线界面式控制面板（包括软件编程）</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尺寸 ≥7.0 寸</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分辨率 ≥1024*600</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存储空间 ≥1Gbit</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核心处理器： ≥800MHz 32 位双核处理器</w:t>
            </w:r>
          </w:p>
        </w:tc>
      </w:tr>
      <w:tr>
        <w:tblPrEx>
          <w:tblCellMar>
            <w:top w:w="0" w:type="dxa"/>
            <w:left w:w="108" w:type="dxa"/>
            <w:bottom w:w="0" w:type="dxa"/>
            <w:right w:w="108" w:type="dxa"/>
          </w:tblCellMar>
        </w:tblPrEx>
        <w:trPr>
          <w:trHeight w:val="28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协议类型：上位机可配置运行 MODBUS RTU、XGUS 协议</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屏内部可运行用户编写的逻辑、协议和算法功能</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显示界面可以自定义编辑，可实现图片、进度条、按钮、时间等控件功能。</w:t>
            </w:r>
          </w:p>
        </w:tc>
      </w:tr>
      <w:tr>
        <w:tblPrEx>
          <w:tblCellMar>
            <w:top w:w="0" w:type="dxa"/>
            <w:left w:w="108" w:type="dxa"/>
            <w:bottom w:w="0" w:type="dxa"/>
            <w:right w:w="108" w:type="dxa"/>
          </w:tblCellMar>
        </w:tblPrEx>
        <w:trPr>
          <w:trHeight w:val="221"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通讯方式：RS485通讯波特率，1200～115200bps；</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9</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实时时钟(RTC)：支持倒计时、定时器、年月日等时间显示</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音频控制网关</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不低于</w:t>
            </w:r>
            <w:r>
              <w:rPr>
                <w:rFonts w:hint="eastAsia" w:ascii="宋体" w:hAnsi="宋体" w:cs="宋体"/>
                <w:color w:val="000000"/>
                <w:kern w:val="0"/>
                <w:sz w:val="24"/>
                <w:szCs w:val="24"/>
                <w:lang w:bidi="ar"/>
              </w:rPr>
              <w:t>32位高性能CPU，32M SDRAM，用户可用内存达30M字节。</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支持远程网络升级，扩展性强，支持物联网功能及自定义编程（编写下级设备驱动程序及上级网关接口程序）；</w:t>
            </w:r>
          </w:p>
        </w:tc>
      </w:tr>
      <w:tr>
        <w:tblPrEx>
          <w:tblCellMar>
            <w:top w:w="0" w:type="dxa"/>
            <w:left w:w="108" w:type="dxa"/>
            <w:bottom w:w="0" w:type="dxa"/>
            <w:right w:w="108" w:type="dxa"/>
          </w:tblCellMar>
        </w:tblPrEx>
        <w:trPr>
          <w:trHeight w:val="129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路RS-RS485串口，可以收发RS232、RS485格式数据；其中1、2口为RS232/RS485两用设计（切换使用），第3口固定为RS485口。三线制RS232串口，采用工业级MAX202E芯片，具备ESD15KV及600W浪涌保护；增强型RS485串口，每端口最多可连接64个下位机。采用工业级RS485芯片，具备ESD15KV及600W浪涌保护。各个端口可单独设置参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最多同时运行6个多任务处理能力的虚拟机。</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1个10/100Mbps以太网接口。支持TCP\IP、UDP、DHCP协议。网口最多同时支持100个TCP/IP连接（Modbus TCP或RTU协议）。每个串口均可支持Modbus RTU协议。</w:t>
            </w:r>
          </w:p>
        </w:tc>
      </w:tr>
      <w:tr>
        <w:tblPrEx>
          <w:tblCellMar>
            <w:top w:w="0" w:type="dxa"/>
            <w:left w:w="108" w:type="dxa"/>
            <w:bottom w:w="0" w:type="dxa"/>
            <w:right w:w="108" w:type="dxa"/>
          </w:tblCellMar>
        </w:tblPrEx>
        <w:trPr>
          <w:trHeight w:val="1080"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可实现远程发送和接收数字音频处理器的控制指令和设备当前运行数据（如数字音频处理器每个输入输出通道进行 MUTE、音量控制（音量数值，以 dB 为单位）和场景调用功能等）。可根据不同数字音频处理器设备进行个性化编程，通过网口与上级控制网关主机进行数据对接。</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控制网关主机</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不低于</w:t>
            </w:r>
            <w:r>
              <w:rPr>
                <w:rFonts w:hint="eastAsia" w:ascii="宋体" w:hAnsi="宋体" w:cs="宋体"/>
                <w:color w:val="000000"/>
                <w:kern w:val="0"/>
                <w:sz w:val="24"/>
                <w:szCs w:val="24"/>
                <w:lang w:bidi="ar"/>
              </w:rPr>
              <w:t>32位高性能CPU，32M SDRAM，用户可用内存达30M字节。</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支持远程网络升级，扩展性强，支持物联网功能及自定义编程（编写下级设备驱动程序及上级网关接口程序）；</w:t>
            </w:r>
          </w:p>
        </w:tc>
      </w:tr>
      <w:tr>
        <w:tblPrEx>
          <w:tblCellMar>
            <w:top w:w="0" w:type="dxa"/>
            <w:left w:w="108" w:type="dxa"/>
            <w:bottom w:w="0" w:type="dxa"/>
            <w:right w:w="108" w:type="dxa"/>
          </w:tblCellMar>
        </w:tblPrEx>
        <w:trPr>
          <w:trHeight w:val="129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不少于</w:t>
            </w:r>
            <w:r>
              <w:rPr>
                <w:rFonts w:hint="eastAsia" w:ascii="宋体" w:hAnsi="宋体" w:cs="宋体"/>
                <w:color w:val="000000"/>
                <w:kern w:val="0"/>
                <w:sz w:val="24"/>
                <w:szCs w:val="24"/>
                <w:lang w:bidi="ar"/>
              </w:rPr>
              <w:t>3路RS-RS485串口，可以收发RS232、RS485格式数据；其中1、2口为RS232/RS485两用设计（切换使用），第3口固定为RS485口。三线制RS232串口，采用工业级MAX202E芯片，具备ESD15KV及600W浪涌保护；增强型RS485串口，每端口最多可连接64个下位机。采用工业级RS485芯片，具备ESD15KV及600W浪涌保护。各个端口可单独设置参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不低于</w:t>
            </w:r>
            <w:r>
              <w:rPr>
                <w:rFonts w:hint="eastAsia" w:ascii="宋体" w:hAnsi="宋体" w:cs="宋体"/>
                <w:color w:val="000000"/>
                <w:kern w:val="0"/>
                <w:sz w:val="24"/>
                <w:szCs w:val="24"/>
                <w:lang w:bidi="ar"/>
              </w:rPr>
              <w:t>1路DC 12V 1A辅助电源；</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最多同时运行6个多任务处理能力的虚拟机。</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1个10/100Mbps以太网接口。支持TCP\IP、UDP、DHCP协议。网口最多同时支持100个TCP/IP连接（Modbus TCP或RTU协议）。每个串口均可支持Modbus RTU协议。</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时序电源控制网关</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不低于</w:t>
            </w:r>
            <w:r>
              <w:rPr>
                <w:rFonts w:hint="eastAsia" w:ascii="宋体" w:hAnsi="宋体" w:cs="宋体"/>
                <w:color w:val="000000"/>
                <w:kern w:val="0"/>
                <w:sz w:val="24"/>
                <w:szCs w:val="24"/>
                <w:lang w:bidi="ar"/>
              </w:rPr>
              <w:t>32位高性能CPU，32M SDRAM，用户可用内存达30M字节。</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支持远程网络升级，扩展性强，支持物联网功能及自定义编程（编写下级设备驱动程序及上级网关接口程序）；</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不少于</w:t>
            </w:r>
            <w:r>
              <w:rPr>
                <w:rFonts w:hint="eastAsia" w:ascii="宋体" w:hAnsi="宋体" w:cs="宋体"/>
                <w:color w:val="000000"/>
                <w:kern w:val="0"/>
                <w:sz w:val="24"/>
                <w:szCs w:val="24"/>
                <w:lang w:bidi="ar"/>
              </w:rPr>
              <w:t>2路三线制RS232串口，采用工业级MAX202E芯片，具备ESD15KV及600W浪涌保护；各个端口可单独设置参数。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最多同时运行6个多任务处理能力的虚拟机。</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1个10/100Mbps以太网接口。支持TCP\IP、UDP、DHCP协议。网口最多同时支持100个TCP/IP连接（Modbus TCP或RTU协议）。每个串口均可支持Modbus RTU协议。</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可实现远程开关每路电源功能，对时序电源器设备延时和开关状态数据采集和修改,可根据不同时序电源进行个性化编程，通过网口与上级控制网关主机进行数据对接。</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时序电源</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带电脑中控功能，</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可控件电源：≥8路（可手动控制）+2路辅助通道</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状态显示：电压、电流；</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单路额定输出电流≥30A；</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单路额定输出功率：≥6000W；</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额定总输出功率：≥12000W；</w:t>
            </w:r>
          </w:p>
        </w:tc>
      </w:tr>
      <w:tr>
        <w:tblPrEx>
          <w:tblCellMar>
            <w:top w:w="0" w:type="dxa"/>
            <w:left w:w="108" w:type="dxa"/>
            <w:bottom w:w="0" w:type="dxa"/>
            <w:right w:w="108" w:type="dxa"/>
          </w:tblCellMar>
        </w:tblPrEx>
        <w:trPr>
          <w:trHeight w:val="432"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数字会议主机（附嵌入式软件）</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黑色钢化玻璃面板设计，带有导航式旋钮，采用OLED屏显示系统状态信息，并提供中文/英文等多种语言菜单      </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内置实时时钟、万年历功能，可以在会议服务器、会议终端上显示当前时间；   </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采用无线和有线兼容技术，会议服务器可对混合接入的有线/无线会议终端做综合管理(提供具备 “CNAS”认证资格检测机构出具的检测报告证明此项功能)     </w:t>
            </w:r>
          </w:p>
        </w:tc>
      </w:tr>
      <w:tr>
        <w:tblPrEx>
          <w:tblCellMar>
            <w:top w:w="0" w:type="dxa"/>
            <w:left w:w="108" w:type="dxa"/>
            <w:bottom w:w="0" w:type="dxa"/>
            <w:right w:w="108" w:type="dxa"/>
          </w:tblCellMar>
        </w:tblPrEx>
        <w:trPr>
          <w:trHeight w:val="1080"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提供4路有线会议终端接口，支持环形手拉手、星型、混合型三种连接方式，一台分机的故障不会影响到系统中其他分机的工作，分机间出现一处连线故障也不会影响到系统工作；(提供具备 “CNAS”认证资格检测机构出具的检测报告证明此项功能)   </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采用WiFi无线通信技术，符合IEEE 802.11n网络标准，采用128位AES加密技术，支持WEP/WPA/WPA2无线安全技术， 避免窃听和恶意干扰；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可独立调节会议终端的音频和灵敏度；     </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发言功能：限制发言模式（Auto）、先进先出模式（FIFO）、批准发言模式（Operator）、按下发言（PTT）；      </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批准发言模式：批准发言模式下，代表终端通过终端发言键发出发言请求，等待主席终端批准后才能发言，主席终端不必等待批准即可发言；</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支持USB自动录音功能，前面板插入U盘后可自动/手动录制系统音频，并实时显示当前录音状态  </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10、 配合全数字翻译终端，可以实现同声传译功能，同传通道的音频频响可达20Hz～20KHz   </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11、 配合智能语音识别系统，可以实现语音转录功能    </w:t>
            </w:r>
          </w:p>
        </w:tc>
      </w:tr>
      <w:tr>
        <w:tblPrEx>
          <w:tblCellMar>
            <w:top w:w="0" w:type="dxa"/>
            <w:left w:w="108" w:type="dxa"/>
            <w:bottom w:w="0" w:type="dxa"/>
            <w:right w:w="108" w:type="dxa"/>
          </w:tblCellMar>
        </w:tblPrEx>
        <w:trPr>
          <w:trHeight w:val="1080"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支持4通道音频分组输出，会议服务器可作为独立的会议系统使用，也可以组成一个大型的会议系统使用，可实现多种方式的会议室合并/拆分；(提供具备 “CNAS”认证资格检测机构出具的检测报告证明此项功能)  </w:t>
            </w:r>
          </w:p>
        </w:tc>
      </w:tr>
      <w:tr>
        <w:tblPrEx>
          <w:tblCellMar>
            <w:top w:w="0" w:type="dxa"/>
            <w:left w:w="108" w:type="dxa"/>
            <w:bottom w:w="0" w:type="dxa"/>
            <w:right w:w="108" w:type="dxa"/>
          </w:tblCellMar>
        </w:tblPrEx>
        <w:trPr>
          <w:trHeight w:val="1080"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 将一台会议服务器设置为备份模式并连接到系统中，如当前服务器出现意外时，备份服务器可自动托管，保证会议无间断顺利进行；(提供具备 “CNAS”认证资格检测机构出具的检测报告证明此项功能)</w:t>
            </w:r>
          </w:p>
        </w:tc>
      </w:tr>
      <w:tr>
        <w:tblPrEx>
          <w:tblCellMar>
            <w:top w:w="0" w:type="dxa"/>
            <w:left w:w="108" w:type="dxa"/>
            <w:bottom w:w="0" w:type="dxa"/>
            <w:right w:w="108" w:type="dxa"/>
          </w:tblCellMar>
        </w:tblPrEx>
        <w:trPr>
          <w:trHeight w:val="1080"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具有红外移动摄像跟踪功能，搭配红外自动跟踪摄像机，可实现无线会议终端的智能跟踪定位。终端可在红外检测范围内自由移动，无需重新设置预置位即可实时跟踪(提供具备 “CNAS”认证资格检测机构出具的检测报告证明此项功能)</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可进行会议报到、投票表决，并支持多种表决形式，支持与无纸化会议系统融合使用</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无线会议主席话筒（附嵌入式软件）</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支持48KHz采样频率，音频频响：20Hz～20KHz，信噪比：≥96dB，内置2W/8Ω扬声器；</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内置高速DSP数字音频处理器，可滤除声音中无效的低频成分，避免低频冲击声，提升声音的清晰度，并可独立或统一地调节各终端的音频和灵敏度；</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 xml:space="preserve">4.3寸触摸屏可显示时钟、话筒状态、电池电量，有中/英语言选择，可对终端的对比度、音量、网络设置、语言等功能进行设置（提供具备 “CNAS”认证资格检测机构出具的检测报告证明此项功能）                                                                                                                                </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智能电源管理机制，具有电量检测、低电压警示、节能管理、自动关机保护功能，终端连续十分钟无信号自动关机保护；</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支持2.4G/5.2G/5.8G三个通信频段可选，通过选择干净的无线通道，确保无线连接的可靠性；</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标配心型指向性驻极体麦克风，双软管鹅颈咪杆，带指示灯圈，长度410mm/310mm/510mm可选；</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具有服务呼叫功能，通过点击触屏的茶水、纸、笔、帮助等图标，向服务后台请求服务；</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主席终端可以自由开启，可以关闭正在发言的代表终端；</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无线会议代表话筒（附嵌入式软件）</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27</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支持48KHz采样频率，音频频响：20Hz～20KHz，信噪比：≥96dB，内置2W/8Ω扬声器；</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内置高速DSP数字音频处理器，可滤除声音中无效的低频成分，避免低频冲击声，提升声音的清晰度，并可独立或统一地调节各终端的音频和灵敏度；</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4.3寸电容屏触摸操作可显示UI界面、会议信息、话筒状态、电池电量，有中/英语言选择；</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智能电源管理机制，具有电量检测、低电压警示、节能管理、自动关机保护功能，终端连续十分钟无信号自动关机保护；</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支持2.4G/5.2G/5.8G三个通信频段可选，通过选择干净的无线通道，确保无线连接的可靠性；</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标配心型指向性驻极体麦克风，双软管鹅颈咪杆，带指示灯圈，长度410mm/310mm/510mm可选；</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具有服务呼叫功能，通过点击触屏的茶水、纸、笔、帮助等图标，向服务后台请求服务；</w:t>
            </w:r>
          </w:p>
        </w:tc>
      </w:tr>
      <w:tr>
        <w:tblPrEx>
          <w:tblCellMar>
            <w:top w:w="0" w:type="dxa"/>
            <w:left w:w="108" w:type="dxa"/>
            <w:bottom w:w="0" w:type="dxa"/>
            <w:right w:w="108" w:type="dxa"/>
          </w:tblCellMar>
        </w:tblPrEx>
        <w:trPr>
          <w:trHeight w:val="432"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无线AP（附嵌入式软件）</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采用WiFi无线通讯技术，符合符合IEEE 802.11b/g/n、IEEE 802.11a/n/网络标准；</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无线传输速率可达1300Mbps，支持MU-MIMO技术，解决人员密集场所带来的网络传输压力；</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采用128位AES加密技术，支持WEP/WPA/WPA2无线安全技术，确保会议的私密性，避免窃听和恶意干扰；</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支持2.4G/5.2G/5.8G三个通信频段可选，通过选择干净的无线通道，确保无线连接的可靠性（提供具备 “CNAS”认证资格检测机构出具的检测报告证明此项功能）；</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最大支持128个无线AP连接管理，实现更大的无线覆盖范围，终端可无缝漫游（提供具备 “CNAS”认证资格检测机构出具的检测报告证明此项功能）；</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支持SSID无线网络设置，确保同一环境内多套系统同时使用互不干扰（提供具备 “CNAS”认证资格检测机构出具的检测报告证明此项功能）；</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内置高增益天线，具有功率调整功能，可根据现场情况调整发射功率，确保通信稳定；</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内置频谱导航功能，系统自动引导终端优先接入最佳适用频段；</w:t>
            </w:r>
          </w:p>
        </w:tc>
      </w:tr>
      <w:tr>
        <w:tblPrEx>
          <w:tblCellMar>
            <w:top w:w="0" w:type="dxa"/>
            <w:left w:w="108" w:type="dxa"/>
            <w:bottom w:w="0" w:type="dxa"/>
            <w:right w:w="108" w:type="dxa"/>
          </w:tblCellMar>
        </w:tblPrEx>
        <w:trPr>
          <w:trHeight w:val="432"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充电箱</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智能充电管理，确保充电过程更安全可靠，同时能实时管理电池电量及充电电流，延长电池寿命；</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充电电路采用独立模块化设计，具有电池自动检测功能，不插入电池时，充电模块不工作；</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最多可同时为10块电池充电，充电时间为6小时；</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红色/绿色LED灯指示充电状态</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充电电池</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容量：3000mAh</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额定电压：11.1V</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充电电压：12.6V±0.03V</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执行标准：GB/T 18287-2000</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双手持无线话筒</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接收机</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载波频率：UHF640~690MHz</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频率宽度：50MHz</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信道：200CH（以250KHz步进）</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操作方式：手动调整</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灵敏度：在偏移度等于25KHz，输入–95dBm时，S/N＞80dB</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最大偏移度：±48KHz</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手持话筒</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管身材质：全铝金属管体</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换能类型：动圈</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频率调整：自动追锁接收机工作频道/手动调节</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输出功率：15mW</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交换机</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24口千兆交换机</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POE交换机</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8口POE千兆交换机</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Dante适配器</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Dante AVIO 输入2通道</w:t>
            </w:r>
          </w:p>
        </w:tc>
      </w:tr>
      <w:tr>
        <w:tblPrEx>
          <w:tblCellMar>
            <w:top w:w="0" w:type="dxa"/>
            <w:left w:w="108" w:type="dxa"/>
            <w:bottom w:w="0" w:type="dxa"/>
            <w:right w:w="108" w:type="dxa"/>
          </w:tblCellMar>
        </w:tblPrEx>
        <w:trPr>
          <w:trHeight w:val="432"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一体化恒温机柜</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750mm*750mm*1600mm，含1500W空调</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投影机</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芯片：DLP显示技术，芯片尺寸0.47英寸</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分辨率：≥3840×2160</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光源：ALPD激光光源，光源寿命≥20000小时</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亮度：≥6200ANSI流明</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对比度：100,000:1</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亮度均匀性：90%</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镜头：标准镜头1.0-1.6:1，支持0.7-0.9：1，1.54-2.48：1两款可选电动镜头</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镜头位移：垂直±100%，水平±40%</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信号接口：HDMI×2, HDBaseT×1, SPDIF×1</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控制接口：LAN(RJ45)×1；RS232(DB9)×1；USB×1；3D SYNC×2(in/out)；3D IR OUT×1</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色域：≥REC.709</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内置安卓系统，具备2G+16G内存，支持单机演示</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支持Wi-Fi功能</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功耗：功耗≤500W，待机功耗≤0.5W</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3D：支持DLPlink 3D、红外3D、帧序列3D，支持多台投影机3D同步</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多光源备份，光机光源IP5X密封防尘，无需过滤网</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生产厂商需有国内自主激光光源技术,拥有自主知识产权及核心技术。</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投影产品必须通过国家CCC认证</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投影机支架</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超短焦投影机配套</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电动投影幕</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只</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180寸，16:9</w:t>
            </w:r>
          </w:p>
        </w:tc>
      </w:tr>
      <w:tr>
        <w:tblPrEx>
          <w:tblCellMar>
            <w:top w:w="0" w:type="dxa"/>
            <w:left w:w="108" w:type="dxa"/>
            <w:bottom w:w="0" w:type="dxa"/>
            <w:right w:w="108" w:type="dxa"/>
          </w:tblCellMar>
        </w:tblPrEx>
        <w:trPr>
          <w:trHeight w:val="432"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无线投屏器</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搭配USB/Type-C/HDMI三种不同接口发射器使用，支持Windows、macOS系统及苹果、安卓手机</w:t>
            </w:r>
          </w:p>
        </w:tc>
      </w:tr>
      <w:tr>
        <w:tblPrEx>
          <w:tblCellMar>
            <w:top w:w="0" w:type="dxa"/>
            <w:left w:w="108" w:type="dxa"/>
            <w:bottom w:w="0" w:type="dxa"/>
            <w:right w:w="108" w:type="dxa"/>
          </w:tblCellMar>
        </w:tblPrEx>
        <w:trPr>
          <w:trHeight w:val="216" w:hRule="atLeast"/>
        </w:trPr>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投影机及电动投影幕控制网关</w:t>
            </w:r>
          </w:p>
        </w:tc>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不低于</w:t>
            </w:r>
            <w:r>
              <w:rPr>
                <w:rFonts w:hint="eastAsia" w:ascii="宋体" w:hAnsi="宋体" w:cs="宋体"/>
                <w:color w:val="000000"/>
                <w:kern w:val="0"/>
                <w:sz w:val="24"/>
                <w:szCs w:val="24"/>
                <w:lang w:bidi="ar"/>
              </w:rPr>
              <w:t>32位高性能CPU，32M SDRAM，用户可用内存达30M字节。</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支持远程网络升级，扩展性强，支持物联网功能及自定义编程（编写下级设备驱动程序及上级网关接口程序）；</w:t>
            </w:r>
          </w:p>
        </w:tc>
      </w:tr>
      <w:tr>
        <w:tblPrEx>
          <w:tblCellMar>
            <w:top w:w="0" w:type="dxa"/>
            <w:left w:w="108" w:type="dxa"/>
            <w:bottom w:w="0" w:type="dxa"/>
            <w:right w:w="108" w:type="dxa"/>
          </w:tblCellMar>
        </w:tblPrEx>
        <w:trPr>
          <w:trHeight w:val="432"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不少于</w:t>
            </w:r>
            <w:r>
              <w:rPr>
                <w:rFonts w:hint="eastAsia" w:ascii="宋体" w:hAnsi="宋体" w:cs="宋体"/>
                <w:color w:val="000000"/>
                <w:kern w:val="0"/>
                <w:sz w:val="24"/>
                <w:szCs w:val="24"/>
                <w:lang w:bidi="ar"/>
              </w:rPr>
              <w:t>2路三线制RS232串口，采用工业级MAX202E芯片，具备ESD15KV及600W浪涌保护；各个端口可单独设置参数。</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配备220V 5A投影幕升降驱动模块，带保护电路；</w:t>
            </w:r>
          </w:p>
        </w:tc>
      </w:tr>
      <w:tr>
        <w:tblPrEx>
          <w:tblCellMar>
            <w:top w:w="0" w:type="dxa"/>
            <w:left w:w="108" w:type="dxa"/>
            <w:bottom w:w="0" w:type="dxa"/>
            <w:right w:w="108" w:type="dxa"/>
          </w:tblCellMar>
        </w:tblPrEx>
        <w:trPr>
          <w:trHeight w:val="216"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最多同时运行6个多任务处理能力的虚拟机。</w:t>
            </w:r>
          </w:p>
        </w:tc>
      </w:tr>
      <w:tr>
        <w:tblPrEx>
          <w:tblCellMar>
            <w:top w:w="0" w:type="dxa"/>
            <w:left w:w="108" w:type="dxa"/>
            <w:bottom w:w="0" w:type="dxa"/>
            <w:right w:w="108" w:type="dxa"/>
          </w:tblCellMar>
        </w:tblPrEx>
        <w:trPr>
          <w:trHeight w:val="648"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1个10/100Mbps以太网接口。支持TCP\IP、UDP、DHCP协议。网口最多同时支持100个TCP/IP连接（Modbus TCP或RTU协议）。每个串口均可支持Modbus RTU协议</w:t>
            </w:r>
          </w:p>
        </w:tc>
      </w:tr>
      <w:tr>
        <w:tblPrEx>
          <w:tblCellMar>
            <w:top w:w="0" w:type="dxa"/>
            <w:left w:w="108" w:type="dxa"/>
            <w:bottom w:w="0" w:type="dxa"/>
            <w:right w:w="108" w:type="dxa"/>
          </w:tblCellMar>
        </w:tblPrEx>
        <w:trPr>
          <w:trHeight w:val="864" w:hRule="atLeast"/>
        </w:trPr>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可实现远程开关功能，对投影机内部数据采集，及电动投影幕的远程控制指令和状态收集，可根据不同投影机及电动投影幕设备进行个性化编程，通过网口与上级控制网关主机进行数据对接。</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网线</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600</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米</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CAT6</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音箱线</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900</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米</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带护套音箱线（2芯）2*2.5</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音箱线</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300</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米</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带护套音箱线（2芯）2*1.5</w:t>
            </w:r>
          </w:p>
        </w:tc>
      </w:tr>
      <w:tr>
        <w:tblPrEx>
          <w:tblCellMar>
            <w:top w:w="0" w:type="dxa"/>
            <w:left w:w="108" w:type="dxa"/>
            <w:bottom w:w="0" w:type="dxa"/>
            <w:right w:w="108" w:type="dxa"/>
          </w:tblCellMar>
        </w:tblPrEx>
        <w:trPr>
          <w:trHeight w:val="216"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辅材</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管材辅材接插件等</w:t>
            </w:r>
          </w:p>
        </w:tc>
      </w:tr>
    </w:tbl>
    <w:p>
      <w:pPr>
        <w:widowControl/>
        <w:shd w:val="clear" w:color="auto" w:fill="FFFFFF"/>
        <w:spacing w:line="360" w:lineRule="auto"/>
        <w:rPr>
          <w:rFonts w:hint="eastAsia"/>
          <w:b/>
          <w:sz w:val="24"/>
        </w:rPr>
      </w:pPr>
    </w:p>
    <w:p>
      <w:pPr>
        <w:widowControl/>
        <w:shd w:val="clear" w:color="auto" w:fill="FFFFFF"/>
        <w:spacing w:line="360" w:lineRule="auto"/>
        <w:rPr>
          <w:rFonts w:hint="eastAsia"/>
          <w:b/>
          <w:sz w:val="24"/>
        </w:rPr>
      </w:pPr>
      <w:r>
        <w:rPr>
          <w:rFonts w:hint="eastAsia"/>
          <w:b/>
          <w:sz w:val="24"/>
        </w:rPr>
        <w:t>注：1</w:t>
      </w:r>
      <w:r>
        <w:rPr>
          <w:rFonts w:hint="eastAsia"/>
          <w:b/>
          <w:sz w:val="24"/>
          <w:lang w:val="en-US" w:eastAsia="zh-CN"/>
        </w:rPr>
        <w:t>.</w:t>
      </w:r>
      <w:r>
        <w:rPr>
          <w:rFonts w:hint="eastAsia"/>
          <w:b/>
          <w:sz w:val="24"/>
        </w:rPr>
        <w:t>投标人须提供标明所投产品技术参数（指标）的技术支持资料（公开发布的）或证明文件（检测报告</w:t>
      </w:r>
      <w:r>
        <w:rPr>
          <w:rFonts w:hint="eastAsia"/>
          <w:b/>
          <w:sz w:val="24"/>
          <w:lang w:val="en-US" w:eastAsia="zh-CN"/>
        </w:rPr>
        <w:t>或厂家提供参数</w:t>
      </w:r>
      <w:r>
        <w:rPr>
          <w:rFonts w:hint="eastAsia"/>
          <w:b/>
          <w:sz w:val="24"/>
        </w:rPr>
        <w:t>文件等），否则评标委员会无法核实技术参数（指标）的真实性，将作出不利于投标人的技术评审，其后果将由投标人自行承担。</w:t>
      </w:r>
    </w:p>
    <w:p>
      <w:pPr>
        <w:widowControl/>
        <w:shd w:val="clear" w:color="auto" w:fill="FFFFFF"/>
        <w:spacing w:line="360" w:lineRule="auto"/>
        <w:rPr>
          <w:rFonts w:hint="eastAsia"/>
          <w:b/>
          <w:sz w:val="24"/>
        </w:rPr>
      </w:pPr>
      <w:r>
        <w:rPr>
          <w:rFonts w:hint="eastAsia"/>
          <w:b/>
          <w:sz w:val="24"/>
        </w:rPr>
        <w:t>2</w:t>
      </w:r>
      <w:r>
        <w:rPr>
          <w:rFonts w:hint="eastAsia"/>
          <w:b/>
          <w:sz w:val="24"/>
          <w:lang w:eastAsia="zh-CN"/>
        </w:rPr>
        <w:t>.</w:t>
      </w:r>
      <w:r>
        <w:rPr>
          <w:rFonts w:hint="eastAsia"/>
          <w:b/>
          <w:sz w:val="24"/>
        </w:rPr>
        <w:t>本章内容中标注“★”的条款为重要技术指标（条款、参数），非投标无效条款。</w:t>
      </w:r>
    </w:p>
    <w:p>
      <w:pPr>
        <w:spacing w:line="360" w:lineRule="auto"/>
        <w:rPr>
          <w:rFonts w:hint="eastAsia"/>
          <w:bCs/>
          <w:sz w:val="24"/>
        </w:rPr>
      </w:pP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lang w:eastAsia="zh-CN"/>
          <w14:textFill>
            <w14:solidFill>
              <w14:schemeClr w14:val="tx1"/>
            </w14:solidFill>
          </w14:textFill>
        </w:rPr>
        <w:t>（七）</w:t>
      </w:r>
      <w:r>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t>项目验收标准</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t>验收依据：</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t>1.1合同、招标文件、投标文件；</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t>1.2供应商提供的技术规格(满足项目系统功能要求)、经采购人认可的合同货物的有效检验文件；</w:t>
      </w:r>
    </w:p>
    <w:p>
      <w:pP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shd w:val="clear" w:color="auto" w:fill="FFFFFF"/>
          <w14:textFill>
            <w14:solidFill>
              <w14:schemeClr w14:val="tx1"/>
            </w14:solidFill>
          </w14:textFill>
        </w:rPr>
        <w:t>供应商投标文件中提供的经采购人认可的合同货物的验收标准（符合中国有关的国家、地方、行业标准）和检测办法及相应检测手段。</w:t>
      </w:r>
    </w:p>
    <w:p>
      <w:pPr>
        <w:spacing w:line="360" w:lineRule="auto"/>
        <w:ind w:firstLine="480" w:firstLineChars="200"/>
        <w:rPr>
          <w:rFonts w:hint="eastAsia"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2.供应商应派人员在所供货物到采购人处时进行到货验收，有需要时能联系产品制造商到场共同验收，若发现任何损坏及质量问题，供应商负责妥善处理直至采购人满意，由此产生的费用由供应商承担。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hint="eastAsia"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3.验收合格的条件：</w:t>
      </w:r>
    </w:p>
    <w:p>
      <w:pPr>
        <w:spacing w:line="360" w:lineRule="auto"/>
        <w:ind w:firstLine="480" w:firstLineChars="200"/>
        <w:rPr>
          <w:rFonts w:hint="eastAsia"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3.1所供货物符合产品标准和及合同的要求；</w:t>
      </w:r>
    </w:p>
    <w:p>
      <w:pPr>
        <w:spacing w:line="360" w:lineRule="auto"/>
        <w:ind w:firstLine="480" w:firstLineChars="200"/>
        <w:rPr>
          <w:rFonts w:hint="eastAsia"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3.2在进行测试和验收过程中发现的问题已被解决并得到采购人的认可；</w:t>
      </w:r>
    </w:p>
    <w:p>
      <w:pPr>
        <w:spacing w:line="360" w:lineRule="auto"/>
        <w:ind w:firstLine="480" w:firstLineChars="200"/>
        <w:rPr>
          <w:rFonts w:hint="eastAsia"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3.3合同中规定的所有货物和材料均已交付；</w:t>
      </w:r>
    </w:p>
    <w:p>
      <w:pPr>
        <w:spacing w:line="360" w:lineRule="auto"/>
        <w:ind w:firstLine="480" w:firstLineChars="200"/>
        <w:rPr>
          <w:rFonts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3.4项目系统功能必须满足招标文件技术功能要求，若不满足不予验收通过，对其不符合项在交付时间内进行整改，无法完成的按违约处理。</w:t>
      </w:r>
    </w:p>
    <w:p>
      <w:pPr>
        <w:spacing w:line="360" w:lineRule="auto"/>
        <w:ind w:firstLine="480" w:firstLineChars="200"/>
        <w:rPr>
          <w:rFonts w:hint="eastAsia"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3.5所供货物已通过使用单位组织的验收；</w:t>
      </w:r>
    </w:p>
    <w:p>
      <w:pPr>
        <w:spacing w:line="360" w:lineRule="auto"/>
        <w:ind w:firstLine="480" w:firstLineChars="200"/>
        <w:rPr>
          <w:rFonts w:hint="eastAsia" w:ascii="宋体" w:hAnsi="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3.6所有相关的技术文件及资料均已提交并得到接受。</w:t>
      </w:r>
    </w:p>
    <w:p>
      <w:pPr>
        <w:numPr>
          <w:ilvl w:val="0"/>
          <w:numId w:val="0"/>
        </w:numPr>
        <w:spacing w:line="360" w:lineRule="auto"/>
        <w:rPr>
          <w:rFonts w:hint="eastAsia" w:ascii="宋体" w:hAnsi="宋体" w:cs="宋体"/>
          <w:color w:val="000000" w:themeColor="text1"/>
          <w:kern w:val="0"/>
          <w:sz w:val="24"/>
          <w:szCs w:val="24"/>
          <w:shd w:val="clear" w:color="auto" w:fill="FFFFFF"/>
          <w14:textFill>
            <w14:solidFill>
              <w14:schemeClr w14:val="tx1"/>
            </w14:solidFill>
          </w14:textFill>
        </w:rPr>
      </w:pPr>
      <w:r>
        <w:rPr>
          <w:rFonts w:hint="eastAsia" w:ascii="宋体" w:hAnsi="宋体" w:cs="宋体"/>
          <w:color w:val="000000" w:themeColor="text1"/>
          <w:kern w:val="0"/>
          <w:sz w:val="24"/>
          <w:szCs w:val="24"/>
          <w:shd w:val="clear" w:color="auto" w:fill="FFFFFF"/>
          <w:lang w:eastAsia="zh-CN"/>
          <w14:textFill>
            <w14:solidFill>
              <w14:schemeClr w14:val="tx1"/>
            </w14:solidFill>
          </w14:textFill>
        </w:rPr>
        <w:t>（八）</w:t>
      </w:r>
      <w:r>
        <w:rPr>
          <w:rFonts w:hint="eastAsia" w:ascii="宋体" w:hAnsi="宋体" w:cs="宋体"/>
          <w:color w:val="000000" w:themeColor="text1"/>
          <w:kern w:val="0"/>
          <w:sz w:val="24"/>
          <w:szCs w:val="24"/>
          <w:shd w:val="clear" w:color="auto" w:fill="FFFFFF"/>
          <w14:textFill>
            <w14:solidFill>
              <w14:schemeClr w14:val="tx1"/>
            </w14:solidFill>
          </w14:textFill>
        </w:rPr>
        <w:t>风险及处理要求</w:t>
      </w:r>
    </w:p>
    <w:p>
      <w:pPr>
        <w:spacing w:line="360" w:lineRule="auto"/>
        <w:ind w:firstLine="480" w:firstLineChars="200"/>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采购人可以根据采购项目实际情况，对风险发生的环节、可能性、影响程度和管控责任提出有针对性的处置措施和替代方案。</w:t>
      </w:r>
    </w:p>
    <w:p>
      <w:pPr>
        <w:numPr>
          <w:ilvl w:val="0"/>
          <w:numId w:val="0"/>
        </w:numPr>
        <w:spacing w:line="360" w:lineRule="auto"/>
        <w:rPr>
          <w:rFonts w:hint="eastAsia" w:ascii="宋体" w:hAnsi="宋体" w:cs="宋体"/>
          <w:bCs/>
          <w:sz w:val="24"/>
          <w:szCs w:val="24"/>
        </w:rPr>
      </w:pPr>
      <w:r>
        <w:rPr>
          <w:rFonts w:hint="eastAsia" w:ascii="宋体" w:hAnsi="宋体" w:cs="宋体"/>
          <w:sz w:val="24"/>
          <w:szCs w:val="24"/>
          <w:lang w:eastAsia="zh-CN"/>
        </w:rPr>
        <w:t>（九）</w:t>
      </w:r>
      <w:r>
        <w:rPr>
          <w:rFonts w:hint="eastAsia" w:ascii="宋体" w:hAnsi="宋体" w:cs="宋体"/>
          <w:sz w:val="24"/>
          <w:szCs w:val="24"/>
        </w:rPr>
        <w:t>项目售后服务标准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71"/>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4" w:type="dxa"/>
            <w:noWrap w:val="0"/>
            <w:vAlign w:val="center"/>
          </w:tcPr>
          <w:p>
            <w:pPr>
              <w:adjustRightInd w:val="0"/>
              <w:snapToGrid w:val="0"/>
              <w:spacing w:line="288" w:lineRule="auto"/>
              <w:jc w:val="center"/>
              <w:rPr>
                <w:rFonts w:hint="eastAsia" w:ascii="宋体" w:hAnsi="宋体" w:cs="宋体"/>
                <w:sz w:val="24"/>
                <w:szCs w:val="24"/>
              </w:rPr>
            </w:pPr>
            <w:r>
              <w:rPr>
                <w:rFonts w:hint="eastAsia" w:ascii="宋体" w:hAnsi="宋体" w:cs="宋体"/>
                <w:sz w:val="24"/>
                <w:szCs w:val="24"/>
              </w:rPr>
              <w:t>序号</w:t>
            </w:r>
          </w:p>
        </w:tc>
        <w:tc>
          <w:tcPr>
            <w:tcW w:w="2271" w:type="dxa"/>
            <w:noWrap w:val="0"/>
            <w:vAlign w:val="center"/>
          </w:tcPr>
          <w:p>
            <w:pPr>
              <w:adjustRightInd w:val="0"/>
              <w:snapToGrid w:val="0"/>
              <w:spacing w:line="288" w:lineRule="auto"/>
              <w:jc w:val="center"/>
              <w:rPr>
                <w:rFonts w:hint="eastAsia" w:ascii="宋体" w:hAnsi="宋体" w:cs="宋体"/>
                <w:sz w:val="24"/>
                <w:szCs w:val="24"/>
              </w:rPr>
            </w:pPr>
            <w:r>
              <w:rPr>
                <w:rFonts w:hint="eastAsia" w:ascii="宋体" w:hAnsi="宋体" w:cs="宋体"/>
                <w:sz w:val="24"/>
                <w:szCs w:val="24"/>
              </w:rPr>
              <w:t>服务要求内容</w:t>
            </w:r>
          </w:p>
        </w:tc>
        <w:tc>
          <w:tcPr>
            <w:tcW w:w="5900" w:type="dxa"/>
            <w:noWrap w:val="0"/>
            <w:vAlign w:val="center"/>
          </w:tcPr>
          <w:p>
            <w:pPr>
              <w:adjustRightInd w:val="0"/>
              <w:snapToGrid w:val="0"/>
              <w:spacing w:line="288" w:lineRule="auto"/>
              <w:jc w:val="center"/>
              <w:rPr>
                <w:rFonts w:hint="eastAsia" w:ascii="宋体" w:hAnsi="宋体" w:cs="宋体"/>
                <w:sz w:val="24"/>
                <w:szCs w:val="24"/>
              </w:rPr>
            </w:pPr>
            <w:r>
              <w:rPr>
                <w:rFonts w:hint="eastAsia" w:ascii="宋体" w:hAnsi="宋体" w:cs="宋体"/>
                <w:sz w:val="24"/>
                <w:szCs w:val="24"/>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1</w:t>
            </w:r>
          </w:p>
        </w:tc>
        <w:tc>
          <w:tcPr>
            <w:tcW w:w="2271" w:type="dxa"/>
            <w:noWrap w:val="0"/>
            <w:vAlign w:val="center"/>
          </w:tcPr>
          <w:p>
            <w:pPr>
              <w:adjustRightInd w:val="0"/>
              <w:snapToGrid w:val="0"/>
              <w:spacing w:line="288"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投影机、音箱、功放、数字会议系统、控制网关主机及设备网关的原厂售后服务承诺函和符合招标参数的产品技术参数</w:t>
            </w:r>
            <w:r>
              <w:rPr>
                <w:rFonts w:hint="eastAsia" w:ascii="宋体" w:hAnsi="宋体" w:cs="宋体"/>
                <w:color w:val="auto"/>
                <w:sz w:val="24"/>
                <w:szCs w:val="24"/>
                <w:highlight w:val="none"/>
                <w:lang w:val="en-US" w:eastAsia="zh-CN"/>
              </w:rPr>
              <w:t>资料</w:t>
            </w:r>
          </w:p>
        </w:tc>
        <w:tc>
          <w:tcPr>
            <w:tcW w:w="5900" w:type="dxa"/>
            <w:noWrap w:val="0"/>
            <w:vAlign w:val="center"/>
          </w:tcPr>
          <w:p>
            <w:pPr>
              <w:adjustRightInd w:val="0"/>
              <w:snapToGrid w:val="0"/>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中标后签订合同前提供（厂家盖鲜章）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2</w:t>
            </w:r>
          </w:p>
        </w:tc>
        <w:tc>
          <w:tcPr>
            <w:tcW w:w="2271" w:type="dxa"/>
            <w:noWrap w:val="0"/>
            <w:vAlign w:val="center"/>
          </w:tcPr>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驻场人员要求</w:t>
            </w:r>
          </w:p>
        </w:tc>
        <w:tc>
          <w:tcPr>
            <w:tcW w:w="5900" w:type="dxa"/>
            <w:noWrap w:val="0"/>
            <w:vAlign w:val="center"/>
          </w:tcPr>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34" w:type="dxa"/>
            <w:noWrap w:val="0"/>
            <w:vAlign w:val="center"/>
          </w:tcPr>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3</w:t>
            </w:r>
          </w:p>
        </w:tc>
        <w:tc>
          <w:tcPr>
            <w:tcW w:w="2271" w:type="dxa"/>
            <w:noWrap w:val="0"/>
            <w:vAlign w:val="center"/>
          </w:tcPr>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售后服务标准</w:t>
            </w:r>
          </w:p>
        </w:tc>
        <w:tc>
          <w:tcPr>
            <w:tcW w:w="5900" w:type="dxa"/>
            <w:noWrap w:val="0"/>
            <w:vAlign w:val="center"/>
          </w:tcPr>
          <w:p>
            <w:pPr>
              <w:adjustRightInd w:val="0"/>
              <w:snapToGrid w:val="0"/>
              <w:spacing w:line="288" w:lineRule="auto"/>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.在质保期内，供应商应对货物出现的质量及安全问题负责处理解决并承担一切费用。</w:t>
            </w:r>
          </w:p>
          <w:p>
            <w:pPr>
              <w:adjustRightInd w:val="0"/>
              <w:snapToGrid w:val="0"/>
              <w:spacing w:line="288" w:lineRule="auto"/>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质保期内出现无法排除的故障，供应商需无条件更换同型号产品。</w:t>
            </w:r>
          </w:p>
          <w:p>
            <w:pPr>
              <w:adjustRightInd w:val="0"/>
              <w:snapToGrid w:val="0"/>
              <w:spacing w:line="288" w:lineRule="auto"/>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质保期满后，供应商继续为采购人服务，仅收取零配件成本费。</w:t>
            </w:r>
          </w:p>
          <w:p>
            <w:pPr>
              <w:adjustRightInd w:val="0"/>
              <w:snapToGrid w:val="0"/>
              <w:spacing w:line="288" w:lineRule="auto"/>
              <w:rPr>
                <w:rFonts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因人为因素出现的故障不在免费保修范围内。</w:t>
            </w:r>
          </w:p>
          <w:p>
            <w:pPr>
              <w:adjustRightInd w:val="0"/>
              <w:snapToGrid w:val="0"/>
              <w:spacing w:line="288" w:lineRule="auto"/>
              <w:rPr>
                <w:rFonts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.如在使用过程中发生质量问题，供应商维修响应时间：</w:t>
            </w:r>
            <w:r>
              <w:rPr>
                <w:rFonts w:hint="eastAsia" w:ascii="宋体" w:hAnsi="宋体" w:cs="宋体"/>
                <w:sz w:val="24"/>
                <w:szCs w:val="24"/>
                <w:highlight w:val="none"/>
                <w:lang w:val="en-US" w:eastAsia="zh-CN"/>
              </w:rPr>
              <w:t>1</w:t>
            </w:r>
            <w:r>
              <w:rPr>
                <w:rFonts w:hint="eastAsia" w:ascii="宋体" w:hAnsi="宋体" w:cs="宋体"/>
                <w:sz w:val="24"/>
                <w:szCs w:val="24"/>
                <w:highlight w:val="none"/>
              </w:rPr>
              <w:t>小时以内；电话技术支持时间：</w:t>
            </w:r>
            <w:r>
              <w:rPr>
                <w:rFonts w:ascii="宋体" w:hAnsi="宋体" w:cs="宋体"/>
                <w:sz w:val="24"/>
                <w:szCs w:val="24"/>
                <w:highlight w:val="none"/>
              </w:rPr>
              <w:t xml:space="preserve">1 </w:t>
            </w:r>
            <w:r>
              <w:rPr>
                <w:rFonts w:hint="eastAsia" w:ascii="宋体" w:hAnsi="宋体" w:cs="宋体"/>
                <w:sz w:val="24"/>
                <w:szCs w:val="24"/>
                <w:highlight w:val="none"/>
              </w:rPr>
              <w:t>小时以内；</w:t>
            </w:r>
          </w:p>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若需上门维修，则在：</w:t>
            </w:r>
            <w:r>
              <w:rPr>
                <w:rFonts w:ascii="宋体" w:hAnsi="宋体" w:cs="宋体"/>
                <w:sz w:val="24"/>
                <w:szCs w:val="24"/>
                <w:highlight w:val="none"/>
              </w:rPr>
              <w:t xml:space="preserve">24 </w:t>
            </w:r>
            <w:r>
              <w:rPr>
                <w:rFonts w:hint="eastAsia" w:ascii="宋体" w:hAnsi="宋体" w:cs="宋体"/>
                <w:sz w:val="24"/>
                <w:szCs w:val="24"/>
                <w:highlight w:val="none"/>
              </w:rPr>
              <w:t>小时内到达现场并进行维修。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34" w:type="dxa"/>
            <w:noWrap w:val="0"/>
            <w:vAlign w:val="center"/>
          </w:tcPr>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4</w:t>
            </w:r>
          </w:p>
        </w:tc>
        <w:tc>
          <w:tcPr>
            <w:tcW w:w="2271" w:type="dxa"/>
            <w:noWrap w:val="0"/>
            <w:vAlign w:val="center"/>
          </w:tcPr>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培训</w:t>
            </w:r>
          </w:p>
        </w:tc>
        <w:tc>
          <w:tcPr>
            <w:tcW w:w="5900" w:type="dxa"/>
            <w:noWrap w:val="0"/>
            <w:vAlign w:val="center"/>
          </w:tcPr>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供应商应对采购人的操作人员、维修人员免费进行培训；</w:t>
            </w:r>
          </w:p>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供应商应提供相应的培训计划；</w:t>
            </w:r>
          </w:p>
          <w:p>
            <w:pPr>
              <w:adjustRightInd w:val="0"/>
              <w:snapToGrid w:val="0"/>
              <w:spacing w:line="288" w:lineRule="auto"/>
              <w:rPr>
                <w:rFonts w:hint="eastAsia" w:ascii="宋体" w:hAnsi="宋体" w:cs="宋体"/>
                <w:sz w:val="24"/>
                <w:szCs w:val="24"/>
                <w:highlight w:val="none"/>
              </w:rPr>
            </w:pPr>
            <w:r>
              <w:rPr>
                <w:rFonts w:hint="eastAsia" w:ascii="宋体" w:hAnsi="宋体" w:cs="宋体"/>
                <w:sz w:val="24"/>
                <w:szCs w:val="24"/>
                <w:highlight w:val="none"/>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adjustRightInd w:val="0"/>
              <w:snapToGrid w:val="0"/>
              <w:spacing w:line="288"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2271" w:type="dxa"/>
            <w:noWrap w:val="0"/>
            <w:vAlign w:val="center"/>
          </w:tcPr>
          <w:p>
            <w:pPr>
              <w:adjustRightInd w:val="0"/>
              <w:snapToGrid w:val="0"/>
              <w:spacing w:line="288"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5900" w:type="dxa"/>
            <w:noWrap w:val="0"/>
            <w:vAlign w:val="center"/>
          </w:tcPr>
          <w:p>
            <w:pPr>
              <w:adjustRightInd w:val="0"/>
              <w:snapToGrid w:val="0"/>
              <w:spacing w:line="288"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中标后签订合同前提供智能控制网关主机产品的对外通讯协议接口文件，以便于后期实施的会议预约功能实现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（接口</w:t>
            </w:r>
            <w:r>
              <w:rPr>
                <w:rFonts w:hint="eastAsia" w:ascii="宋体" w:hAnsi="宋体" w:cs="宋体"/>
                <w:color w:val="000000" w:themeColor="text1"/>
                <w:sz w:val="24"/>
                <w:szCs w:val="24"/>
                <w:highlight w:val="none"/>
                <w:lang w:eastAsia="zh-CN"/>
                <w14:textFill>
                  <w14:solidFill>
                    <w14:schemeClr w14:val="tx1"/>
                  </w14:solidFill>
                </w14:textFill>
              </w:rPr>
              <w:t>费用由中标方承担）</w:t>
            </w:r>
          </w:p>
        </w:tc>
      </w:tr>
    </w:tbl>
    <w:p>
      <w:pPr>
        <w:spacing w:line="360" w:lineRule="auto"/>
        <w:jc w:val="left"/>
        <w:rPr>
          <w:color w:val="000000" w:themeColor="text1"/>
          <w:sz w:val="24"/>
          <w:szCs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3"/>
        <w:snapToGrid w:val="0"/>
        <w:spacing w:line="360" w:lineRule="auto"/>
        <w:ind w:firstLine="482"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hint="eastAsia" w:asciiTheme="minorEastAsia" w:hAnsiTheme="minorEastAsia" w:eastAsiaTheme="minorEastAsia"/>
          <w:b/>
          <w:bCs w:val="0"/>
          <w:color w:val="000000" w:themeColor="text1"/>
          <w:sz w:val="24"/>
          <w14:textFill>
            <w14:solidFill>
              <w14:schemeClr w14:val="tx1"/>
            </w14:solidFill>
          </w14:textFill>
        </w:rPr>
        <w:t>质保期</w:t>
      </w:r>
      <w:r>
        <w:rPr>
          <w:rFonts w:hint="eastAsia" w:ascii="宋体" w:hAnsi="宋体" w:cs="宋体"/>
          <w:b/>
          <w:bCs w:val="0"/>
          <w:color w:val="000000" w:themeColor="text1"/>
          <w:sz w:val="24"/>
          <w:szCs w:val="24"/>
          <w:highlight w:val="none"/>
          <w14:textFill>
            <w14:solidFill>
              <w14:schemeClr w14:val="tx1"/>
            </w14:solidFill>
          </w14:textFill>
        </w:rPr>
        <w:t>/维保期</w:t>
      </w:r>
      <w:r>
        <w:rPr>
          <w:rFonts w:hint="eastAsia" w:ascii="宋体" w:hAnsi="宋体" w:cs="宋体"/>
          <w:b/>
          <w:bCs w:val="0"/>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至少_</w:t>
      </w:r>
      <w:r>
        <w:rPr>
          <w:rFonts w:hint="eastAsia" w:ascii="宋体" w:hAnsi="宋体" w:cs="宋体"/>
          <w:color w:val="000000" w:themeColor="text1"/>
          <w:sz w:val="24"/>
          <w:szCs w:val="24"/>
          <w:highlight w:val="none"/>
          <w:u w:val="singl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_年（产品技术需求栏中有特别注明的除外）</w:t>
      </w:r>
    </w:p>
    <w:p>
      <w:pPr>
        <w:pStyle w:val="13"/>
        <w:snapToGrid w:val="0"/>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（二）交货时间及地点：</w:t>
      </w:r>
    </w:p>
    <w:p>
      <w:pPr>
        <w:pStyle w:val="13"/>
        <w:snapToGrid w:val="0"/>
        <w:spacing w:line="360" w:lineRule="auto"/>
        <w:ind w:firstLine="482"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lang w:val="en-US" w:eastAsia="zh-CN"/>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项目工期：</w:t>
      </w:r>
      <w:r>
        <w:rPr>
          <w:rFonts w:hint="eastAsia" w:asciiTheme="minorEastAsia" w:hAnsiTheme="minorEastAsia" w:eastAsiaTheme="minorEastAsia"/>
          <w:b w:val="0"/>
          <w:bCs/>
          <w:color w:val="000000" w:themeColor="text1"/>
          <w:sz w:val="24"/>
          <w14:textFill>
            <w14:solidFill>
              <w14:schemeClr w14:val="tx1"/>
            </w14:solidFill>
          </w14:textFill>
        </w:rPr>
        <w:t>自签订合同之日起</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25</w:t>
      </w:r>
      <w:r>
        <w:rPr>
          <w:rFonts w:hint="eastAsia" w:asciiTheme="minorEastAsia" w:hAnsiTheme="minorEastAsia" w:eastAsiaTheme="minorEastAsia"/>
          <w:b w:val="0"/>
          <w:bCs/>
          <w:color w:val="000000" w:themeColor="text1"/>
          <w:sz w:val="24"/>
          <w14:textFill>
            <w14:solidFill>
              <w14:schemeClr w14:val="tx1"/>
            </w14:solidFill>
          </w14:textFill>
        </w:rPr>
        <w:t>个工作日内供货、安装调试完毕。</w:t>
      </w:r>
    </w:p>
    <w:p>
      <w:pPr>
        <w:pStyle w:val="13"/>
        <w:snapToGrid w:val="0"/>
        <w:spacing w:line="360" w:lineRule="auto"/>
        <w:ind w:firstLine="482" w:firstLineChars="200"/>
        <w:rPr>
          <w:rFonts w:hint="eastAsia" w:eastAsia="宋体" w:asciiTheme="minorEastAsia" w:hAnsi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2.交货地点：</w:t>
      </w:r>
      <w:r>
        <w:rPr>
          <w:rFonts w:hint="eastAsia"/>
          <w:color w:val="000000" w:themeColor="text1"/>
          <w:sz w:val="24"/>
          <w:szCs w:val="24"/>
          <w14:textFill>
            <w14:solidFill>
              <w14:schemeClr w14:val="tx1"/>
            </w14:solidFill>
          </w14:textFill>
        </w:rPr>
        <w:t>浙江大学台州研究院</w:t>
      </w:r>
      <w:r>
        <w:rPr>
          <w:rFonts w:hint="eastAsia"/>
          <w:color w:val="000000" w:themeColor="text1"/>
          <w:sz w:val="24"/>
          <w:szCs w:val="24"/>
          <w:lang w:eastAsia="zh-CN"/>
          <w14:textFill>
            <w14:solidFill>
              <w14:schemeClr w14:val="tx1"/>
            </w14:solidFill>
          </w14:textFill>
        </w:rPr>
        <w:t>。</w:t>
      </w:r>
    </w:p>
    <w:p>
      <w:pPr>
        <w:pStyle w:val="13"/>
        <w:snapToGrid w:val="0"/>
        <w:spacing w:line="360" w:lineRule="auto"/>
        <w:ind w:firstLine="482"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（三）付款条件：</w:t>
      </w:r>
      <w:r>
        <w:rPr>
          <w:rFonts w:hint="eastAsia" w:asciiTheme="minorEastAsia" w:hAnsiTheme="minorEastAsia" w:eastAsiaTheme="minorEastAsia"/>
          <w:b w:val="0"/>
          <w:bCs/>
          <w:color w:val="000000" w:themeColor="text1"/>
          <w:sz w:val="24"/>
          <w14:textFill>
            <w14:solidFill>
              <w14:schemeClr w14:val="tx1"/>
            </w14:solidFill>
          </w14:textFill>
        </w:rPr>
        <w:t>合同签订后5天内预付合同款项的</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40</w:t>
      </w:r>
      <w:r>
        <w:rPr>
          <w:rFonts w:hint="eastAsia" w:asciiTheme="minorEastAsia" w:hAnsiTheme="minorEastAsia" w:eastAsiaTheme="minorEastAsia"/>
          <w:b w:val="0"/>
          <w:bCs/>
          <w:color w:val="000000" w:themeColor="text1"/>
          <w:sz w:val="24"/>
          <w14:textFill>
            <w14:solidFill>
              <w14:schemeClr w14:val="tx1"/>
            </w14:solidFill>
          </w14:textFill>
        </w:rPr>
        <w:t>％，验收合格后</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10天内</w:t>
      </w:r>
      <w:r>
        <w:rPr>
          <w:rFonts w:hint="eastAsia" w:asciiTheme="minorEastAsia" w:hAnsiTheme="minorEastAsia" w:eastAsiaTheme="minorEastAsia"/>
          <w:b w:val="0"/>
          <w:bCs/>
          <w:color w:val="000000" w:themeColor="text1"/>
          <w:sz w:val="24"/>
          <w14:textFill>
            <w14:solidFill>
              <w14:schemeClr w14:val="tx1"/>
            </w14:solidFill>
          </w14:textFill>
        </w:rPr>
        <w:t>支付合同款项的</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60</w:t>
      </w:r>
      <w:r>
        <w:rPr>
          <w:rFonts w:hint="eastAsia" w:asciiTheme="minorEastAsia" w:hAnsiTheme="minorEastAsia" w:eastAsiaTheme="minorEastAsia"/>
          <w:b w:val="0"/>
          <w:bCs/>
          <w:color w:val="000000" w:themeColor="text1"/>
          <w:sz w:val="24"/>
          <w14:textFill>
            <w14:solidFill>
              <w14:schemeClr w14:val="tx1"/>
            </w14:solidFill>
          </w14:textFill>
        </w:rPr>
        <w:t>％。</w:t>
      </w:r>
    </w:p>
    <w:p>
      <w:pPr>
        <w:pStyle w:val="13"/>
        <w:snapToGrid w:val="0"/>
        <w:spacing w:line="360" w:lineRule="auto"/>
        <w:ind w:firstLine="482" w:firstLineChars="200"/>
        <w:rPr>
          <w:rFonts w:hint="eastAsia" w:asciiTheme="minorEastAsia" w:hAnsiTheme="minorEastAsia" w:eastAsiaTheme="minorEastAsia"/>
          <w:b w:val="0"/>
          <w:bCs/>
          <w:color w:val="000000" w:themeColor="text1"/>
          <w:sz w:val="24"/>
          <w:lang w:eastAsia="zh-CN"/>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（四）</w:t>
      </w:r>
      <w:r>
        <w:rPr>
          <w:rFonts w:hint="eastAsia" w:asciiTheme="minorEastAsia" w:hAnsiTheme="minorEastAsia" w:eastAsiaTheme="minorEastAsia"/>
          <w:b/>
          <w:color w:val="000000" w:themeColor="text1"/>
          <w:sz w:val="24"/>
          <w14:textFill>
            <w14:solidFill>
              <w14:schemeClr w14:val="tx1"/>
            </w14:solidFill>
          </w14:textFill>
        </w:rPr>
        <w:t>履约保证金</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val="0"/>
          <w:bCs/>
          <w:color w:val="000000" w:themeColor="text1"/>
          <w:sz w:val="24"/>
          <w14:textFill>
            <w14:solidFill>
              <w14:schemeClr w14:val="tx1"/>
            </w14:solidFill>
          </w14:textFill>
        </w:rPr>
        <w:t>合同金额的1%；允许保函形式提交</w:t>
      </w:r>
      <w:r>
        <w:rPr>
          <w:rFonts w:hint="eastAsia" w:asciiTheme="minorEastAsia" w:hAnsiTheme="minorEastAsia" w:eastAsiaTheme="minorEastAsia"/>
          <w:b w:val="0"/>
          <w:bCs/>
          <w:color w:val="000000" w:themeColor="text1"/>
          <w:sz w:val="24"/>
          <w:lang w:eastAsia="zh-CN"/>
          <w14:textFill>
            <w14:solidFill>
              <w14:schemeClr w14:val="tx1"/>
            </w14:solidFill>
          </w14:textFill>
        </w:rPr>
        <w:t>。</w:t>
      </w:r>
    </w:p>
    <w:p>
      <w:pPr>
        <w:pStyle w:val="13"/>
        <w:snapToGrid w:val="0"/>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pStyle w:val="13"/>
        <w:snapToGrid w:val="0"/>
        <w:spacing w:line="360" w:lineRule="auto"/>
        <w:ind w:firstLine="482" w:firstLineChars="200"/>
        <w:rPr>
          <w:rFonts w:cs="Times New Roman" w:asciiTheme="minorEastAsia" w:hAnsiTheme="minorEastAsia" w:eastAsiaTheme="minorEastAsia"/>
          <w:b/>
          <w:sz w:val="36"/>
          <w:szCs w:val="36"/>
        </w:rPr>
      </w:pPr>
      <w:r>
        <w:rPr>
          <w:rFonts w:hint="eastAsia" w:asciiTheme="minorEastAsia" w:hAnsiTheme="minorEastAsia" w:eastAsiaTheme="minorEastAsia"/>
          <w:b/>
          <w:color w:val="000000" w:themeColor="text1"/>
          <w:sz w:val="24"/>
          <w14:textFill>
            <w14:solidFill>
              <w14:schemeClr w14:val="tx1"/>
            </w14:solidFill>
          </w14:textFill>
        </w:rPr>
        <w:cr/>
      </w:r>
      <w:bookmarkStart w:id="38" w:name="_Toc31173_WPSOffice_Level1"/>
      <w:r>
        <w:rPr>
          <w:rFonts w:hint="eastAsia" w:cs="Times New Roman" w:asciiTheme="minorEastAsia" w:hAnsiTheme="minorEastAsia" w:eastAsiaTheme="minorEastAsia"/>
          <w:b/>
          <w:sz w:val="36"/>
          <w:szCs w:val="36"/>
        </w:rPr>
        <w:br w:type="page"/>
      </w:r>
    </w:p>
    <w:p>
      <w:pPr>
        <w:pStyle w:val="13"/>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8"/>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8"/>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lang w:val="en-US" w:eastAsia="zh-CN"/>
        </w:rPr>
        <w:t>8</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pPr>
        <w:pStyle w:val="2"/>
        <w:spacing w:line="360" w:lineRule="auto"/>
        <w:ind w:firstLine="480" w:firstLineChars="200"/>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2"/>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五</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见附件16</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16</w:t>
      </w:r>
      <w:r>
        <w:rPr>
          <w:rFonts w:hint="eastAsia" w:ascii="宋体"/>
          <w:sz w:val="24"/>
          <w:lang w:val="zh-CN"/>
        </w:rPr>
        <w:t>），视同小型、微型企业，享受小微企业政府采购优惠政策。</w:t>
      </w:r>
    </w:p>
    <w:p>
      <w:pPr>
        <w:pStyle w:val="8"/>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8"/>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3"/>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8"/>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按投标文件格式填报设备及专业技术能力情况（根据附件4《投标人基本情况表》和附件5《项目实施人员一览表》填报）。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r>
              <w:rPr>
                <w:rFonts w:hint="eastAsia" w:ascii="宋体" w:hAnsi="宋体"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bl>
    <w:p>
      <w:pPr>
        <w:pStyle w:val="8"/>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8"/>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2"/>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投标文件未含有采购人不可接受的附加条件。</w:t>
            </w:r>
          </w:p>
        </w:tc>
      </w:tr>
    </w:tbl>
    <w:p>
      <w:pPr>
        <w:pStyle w:val="8"/>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1 </w:t>
      </w:r>
      <w:r>
        <w:rPr>
          <w:rFonts w:hint="eastAsia" w:asciiTheme="minorEastAsia" w:hAnsiTheme="minorEastAsia" w:eastAsiaTheme="minorEastAsia"/>
          <w:kern w:val="0"/>
          <w:sz w:val="24"/>
        </w:rPr>
        <w:t>标项项目评标方法为综合评分法，总计100分，评标按以下标准及要求进行：</w:t>
      </w:r>
    </w:p>
    <w:p>
      <w:pPr>
        <w:autoSpaceDE w:val="0"/>
        <w:autoSpaceDN w:val="0"/>
        <w:adjustRightInd w:val="0"/>
        <w:spacing w:line="360" w:lineRule="auto"/>
        <w:ind w:firstLine="482" w:firstLineChars="200"/>
        <w:rPr>
          <w:rFonts w:hint="eastAsia"/>
        </w:rPr>
      </w:pPr>
      <w:r>
        <w:rPr>
          <w:rFonts w:hint="eastAsia" w:ascii="宋体"/>
          <w:b/>
          <w:bCs/>
          <w:sz w:val="24"/>
        </w:rPr>
        <w:t>1.评分标准</w:t>
      </w:r>
    </w:p>
    <w:tbl>
      <w:tblPr>
        <w:tblStyle w:val="22"/>
        <w:tblpPr w:leftFromText="180" w:rightFromText="180" w:vertAnchor="text" w:horzAnchor="page" w:tblpX="1475" w:tblpY="199"/>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710"/>
        <w:gridCol w:w="715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28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评分</w:t>
            </w:r>
            <w:r>
              <w:rPr>
                <w:rFonts w:hint="eastAsia" w:ascii="宋体" w:hAnsi="宋体" w:eastAsia="宋体" w:cs="宋体"/>
                <w:b/>
                <w:color w:val="000000" w:themeColor="text1"/>
                <w:szCs w:val="21"/>
                <w:lang w:eastAsia="zh-CN"/>
                <w14:textFill>
                  <w14:solidFill>
                    <w14:schemeClr w14:val="tx1"/>
                  </w14:solidFill>
                </w14:textFill>
              </w:rPr>
              <w:t>项目</w:t>
            </w:r>
          </w:p>
        </w:tc>
        <w:tc>
          <w:tcPr>
            <w:tcW w:w="7865" w:type="dxa"/>
            <w:gridSpan w:val="2"/>
            <w:tcBorders>
              <w:top w:val="single" w:color="auto" w:sz="4" w:space="0"/>
              <w:left w:val="single" w:color="auto" w:sz="4" w:space="0"/>
              <w:right w:val="single" w:color="auto" w:sz="4" w:space="0"/>
            </w:tcBorders>
            <w:shd w:val="clear" w:color="auto" w:fill="BEBEBE" w:themeFill="background1" w:themeFillShade="BF"/>
            <w:vAlign w:val="center"/>
          </w:tcPr>
          <w:p>
            <w:pPr>
              <w:spacing w:line="240" w:lineRule="auto"/>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评</w:t>
            </w:r>
            <w:r>
              <w:rPr>
                <w:rFonts w:hint="eastAsia" w:ascii="宋体" w:hAnsi="宋体" w:eastAsia="宋体" w:cs="宋体"/>
                <w:b/>
                <w:color w:val="000000" w:themeColor="text1"/>
                <w:szCs w:val="21"/>
                <w:lang w:eastAsia="zh-CN"/>
                <w14:textFill>
                  <w14:solidFill>
                    <w14:schemeClr w14:val="tx1"/>
                  </w14:solidFill>
                </w14:textFill>
              </w:rPr>
              <w:t>分细则</w:t>
            </w:r>
          </w:p>
        </w:tc>
        <w:tc>
          <w:tcPr>
            <w:tcW w:w="43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jc w:val="center"/>
              <w:rPr>
                <w:rFonts w:ascii="宋体" w:hAnsi="宋体" w:eastAsia="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0" w:type="dxa"/>
            <w:vMerge w:val="restart"/>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技术性能</w:t>
            </w:r>
          </w:p>
          <w:p>
            <w:pPr>
              <w:pStyle w:val="2"/>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49</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分</w:t>
            </w:r>
          </w:p>
        </w:tc>
        <w:tc>
          <w:tcPr>
            <w:tcW w:w="710" w:type="dxa"/>
            <w:vMerge w:val="restart"/>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sz w:val="21"/>
                <w:szCs w:val="21"/>
              </w:rPr>
              <w:t>综合性能</w:t>
            </w: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根据所投产品的整体性能的稳定性、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适配性及兼容性</w:t>
            </w:r>
            <w:r>
              <w:rPr>
                <w:rFonts w:hint="eastAsia" w:asciiTheme="minorEastAsia" w:hAnsiTheme="minorEastAsia" w:eastAsiaTheme="minorEastAsia" w:cstheme="minorEastAsia"/>
                <w:color w:val="000000" w:themeColor="text1"/>
                <w:sz w:val="21"/>
                <w:szCs w:val="21"/>
                <w14:textFill>
                  <w14:solidFill>
                    <w14:schemeClr w14:val="tx1"/>
                  </w14:solidFill>
                </w14:textFill>
              </w:rPr>
              <w:t>，质量的可靠性，进行综合评分：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①整体性能指标明显优于招标需求、</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兼容性，</w:t>
            </w:r>
            <w:r>
              <w:rPr>
                <w:rFonts w:hint="eastAsia" w:asciiTheme="minorEastAsia" w:hAnsiTheme="minorEastAsia" w:eastAsiaTheme="minorEastAsia" w:cstheme="minorEastAsia"/>
                <w:color w:val="000000" w:themeColor="text1"/>
                <w:sz w:val="21"/>
                <w:szCs w:val="21"/>
                <w14:textFill>
                  <w14:solidFill>
                    <w14:schemeClr w14:val="tx1"/>
                  </w14:solidFill>
                </w14:textFill>
              </w:rPr>
              <w:t>质量可靠</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佳得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3-2.1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②整体性能指标与招标需求基本一致的，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兼容性</w:t>
            </w:r>
            <w:r>
              <w:rPr>
                <w:rFonts w:hint="eastAsia" w:asciiTheme="minorEastAsia" w:hAnsiTheme="minorEastAsia" w:eastAsiaTheme="minorEastAsia" w:cstheme="minorEastAsia"/>
                <w:color w:val="000000" w:themeColor="text1"/>
                <w:sz w:val="21"/>
                <w:szCs w:val="21"/>
                <w14:textFill>
                  <w14:solidFill>
                    <w14:schemeClr w14:val="tx1"/>
                  </w14:solidFill>
                </w14:textFill>
              </w:rPr>
              <w:t>且质量</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一般</w:t>
            </w:r>
            <w:r>
              <w:rPr>
                <w:rFonts w:hint="eastAsia" w:asciiTheme="minorEastAsia" w:hAnsiTheme="minorEastAsia" w:eastAsiaTheme="minorEastAsia" w:cstheme="minorEastAsia"/>
                <w:color w:val="000000" w:themeColor="text1"/>
                <w:sz w:val="21"/>
                <w:szCs w:val="21"/>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③整体性能基本满足，但产品存在质量隐患或者存在升级淘汰、更新替代风险的，得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④整体性能较差，产品存在明显缺陷的不得分。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trPr>
        <w:tc>
          <w:tcPr>
            <w:tcW w:w="128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根据所投产品的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基本功能、</w:t>
            </w:r>
            <w:r>
              <w:rPr>
                <w:rFonts w:hint="eastAsia" w:asciiTheme="minorEastAsia" w:hAnsiTheme="minorEastAsia" w:eastAsiaTheme="minorEastAsia" w:cstheme="minorEastAsia"/>
                <w:color w:val="000000" w:themeColor="text1"/>
                <w:sz w:val="21"/>
                <w:szCs w:val="21"/>
                <w14:textFill>
                  <w14:solidFill>
                    <w14:schemeClr w14:val="tx1"/>
                  </w14:solidFill>
                </w14:textFill>
              </w:rPr>
              <w:t>技术</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指标的配置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与需求的吻合程度和</w:t>
            </w:r>
            <w:r>
              <w:rPr>
                <w:rFonts w:hint="eastAsia" w:asciiTheme="minorEastAsia" w:hAnsiTheme="minorEastAsia" w:eastAsiaTheme="minorEastAsia" w:cstheme="minorEastAsia"/>
                <w:color w:val="000000" w:themeColor="text1"/>
                <w:sz w:val="21"/>
                <w:szCs w:val="21"/>
                <w14:textFill>
                  <w14:solidFill>
                    <w14:schemeClr w14:val="tx1"/>
                  </w14:solidFill>
                </w14:textFill>
              </w:rPr>
              <w:t>偏离情况进行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评分</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8"/>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①完全满足或高于招标文件要求的，得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8"/>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②重要性能指标（★）每有一项负偏离或未响应的扣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分，其他性能指标每有一项负偏离或未响应的扣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8"/>
              <w:spacing w:line="240" w:lineRule="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注：①本评分项评分扣完为止；</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②技术参数中要求提供证明材料而未提供的，视为负偏离；</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技术方案</w:t>
            </w:r>
          </w:p>
        </w:tc>
        <w:tc>
          <w:tcPr>
            <w:tcW w:w="715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根据投标人对本项目的理解，对需求及应用的了解程度，</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制定出</w:t>
            </w:r>
            <w:r>
              <w:rPr>
                <w:rFonts w:hint="eastAsia" w:asciiTheme="minorEastAsia" w:hAnsiTheme="minorEastAsia" w:eastAsiaTheme="minorEastAsia" w:cstheme="minorEastAsia"/>
                <w:color w:val="000000" w:themeColor="text1"/>
                <w:sz w:val="21"/>
                <w:szCs w:val="21"/>
                <w14:textFill>
                  <w14:solidFill>
                    <w14:schemeClr w14:val="tx1"/>
                  </w14:solidFill>
                </w14:textFill>
              </w:rPr>
              <w:t>会议室多媒体系统技术方案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包括详细计算及系统图纸</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并</w:t>
            </w:r>
            <w:r>
              <w:rPr>
                <w:rFonts w:hint="eastAsia" w:asciiTheme="minorEastAsia" w:hAnsiTheme="minorEastAsia" w:eastAsiaTheme="minorEastAsia" w:cstheme="minorEastAsia"/>
                <w:color w:val="000000" w:themeColor="text1"/>
                <w:sz w:val="21"/>
                <w:szCs w:val="21"/>
                <w14:textFill>
                  <w14:solidFill>
                    <w14:schemeClr w14:val="tx1"/>
                  </w14:solidFill>
                </w14:textFill>
              </w:rPr>
              <w:t>详细说明系统及各组件品牌及型号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针对本项目出具的技术方案的可操作性、部署等方面综合评分：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①对本项目需求理解透彻、</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认识深刻，重点难点分析非常准确透彻清晰，</w:t>
            </w:r>
            <w:r>
              <w:rPr>
                <w:rFonts w:hint="eastAsia" w:asciiTheme="minorEastAsia" w:hAnsiTheme="minorEastAsia" w:eastAsiaTheme="minorEastAsia" w:cstheme="minorEastAsia"/>
                <w:color w:val="000000" w:themeColor="text1"/>
                <w:sz w:val="21"/>
                <w:szCs w:val="21"/>
                <w14:textFill>
                  <w14:solidFill>
                    <w14:schemeClr w14:val="tx1"/>
                  </w14:solidFill>
                </w14:textFill>
              </w:rPr>
              <w:t>出具的技术方案可操作性强、部署简便的，得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4-2.1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②对本项目需求理解较清晰、</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认识较深刻，重点难点分析基本准确，</w:t>
            </w:r>
            <w:r>
              <w:rPr>
                <w:rFonts w:hint="eastAsia" w:asciiTheme="minorEastAsia" w:hAnsiTheme="minorEastAsia" w:eastAsiaTheme="minorEastAsia" w:cstheme="minorEastAsia"/>
                <w:color w:val="000000" w:themeColor="text1"/>
                <w:sz w:val="21"/>
                <w:szCs w:val="21"/>
                <w14:textFill>
                  <w14:solidFill>
                    <w14:schemeClr w14:val="tx1"/>
                  </w14:solidFill>
                </w14:textFill>
              </w:rPr>
              <w:t>出具的技术方案可操作的，得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③对本项目</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需求认识偏弱、</w:t>
            </w:r>
            <w:r>
              <w:rPr>
                <w:rFonts w:hint="eastAsia" w:asciiTheme="minorEastAsia" w:hAnsiTheme="minorEastAsia" w:eastAsiaTheme="minorEastAsia" w:cstheme="minorEastAsia"/>
                <w:color w:val="000000" w:themeColor="text1"/>
                <w:sz w:val="21"/>
                <w:szCs w:val="21"/>
                <w14:textFill>
                  <w14:solidFill>
                    <w14:schemeClr w14:val="tx1"/>
                  </w14:solidFill>
                </w14:textFill>
              </w:rPr>
              <w:t>理解简略，出具的方案较难实施的，得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1-0.6</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10"/>
              <w:spacing w:line="240" w:lineRule="auto"/>
              <w:ind w:left="0" w:leftChars="0" w:firstLine="0" w:firstLine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④对项目理解混乱，方案合理性较差的得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0.5-0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提供预留智能控制的数据接口说明，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针对接口说明后续的可操作性，便捷性进行综合评分：</w:t>
            </w:r>
          </w:p>
          <w:p>
            <w:pPr>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①方案详实、操作性</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便捷性</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强的得</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p>
            <w:pPr>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②方案合理、操作性</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便捷性</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一般的得</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1.3-0.7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p>
            <w:pPr>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③方案粗糙、操作性</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便捷性</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差的得</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0.6-0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④未提供方案不得分。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环保产品</w:t>
            </w: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根据所投产品列入国家环保产品目录的，每提供一款得0.5分，最多得1分。（需提供的有效环保认证证书及相关证明材料，否则不给分）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实施</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验收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方案</w:t>
            </w: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根据本项目特点制定的实施组织方案（包括质量保证措施、进度计划保证措施、环境保证措施等）的科学性、合理性</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可操作性等</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进行综合打分：</w:t>
            </w:r>
          </w:p>
          <w:p>
            <w:pPr>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①方案详实、内容完整、计划安排周密，操作性强的得</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p>
            <w:pPr>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②方案合理、内容常规、计划安排较周密，操作性一般的得</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1.3-0.7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p>
            <w:pPr>
              <w:spacing w:line="24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③方案粗糙、内容有缺漏、计划安排不够周密，操作性差的得</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0.6-0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p>
            <w:pPr>
              <w:pStyle w:val="12"/>
              <w:spacing w:line="240" w:lineRule="auto"/>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④未提供方案不得分。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根据投标人提出的项目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验收</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方案，包括设备供货、验货、安装调试、系统对接、试运行、测试、调优等内容进行综合评分：</w:t>
            </w:r>
          </w:p>
          <w:p>
            <w:pPr>
              <w:pStyle w:val="8"/>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①承诺早于招标文件要求时间完成供货，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验收、</w:t>
            </w:r>
            <w:r>
              <w:rPr>
                <w:rFonts w:hint="eastAsia" w:asciiTheme="minorEastAsia" w:hAnsiTheme="minorEastAsia" w:eastAsiaTheme="minorEastAsia" w:cstheme="minorEastAsia"/>
                <w:color w:val="000000" w:themeColor="text1"/>
                <w:sz w:val="21"/>
                <w:szCs w:val="21"/>
                <w14:textFill>
                  <w14:solidFill>
                    <w14:schemeClr w14:val="tx1"/>
                  </w14:solidFill>
                </w14:textFill>
              </w:rPr>
              <w:t>供货方案内容合理、具体、全面、可操作性强的得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8"/>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验收、</w:t>
            </w:r>
            <w:r>
              <w:rPr>
                <w:rFonts w:hint="eastAsia" w:asciiTheme="minorEastAsia" w:hAnsiTheme="minorEastAsia" w:eastAsiaTheme="minorEastAsia" w:cstheme="minorEastAsia"/>
                <w:color w:val="000000" w:themeColor="text1"/>
                <w:sz w:val="21"/>
                <w:szCs w:val="21"/>
                <w14:textFill>
                  <w14:solidFill>
                    <w14:schemeClr w14:val="tx1"/>
                  </w14:solidFill>
                </w14:textFill>
              </w:rPr>
              <w:t>供货方案基本合理但存在一定缺陷的，得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1.4-0.7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12"/>
              <w:spacing w:line="240" w:lineRule="auto"/>
              <w:ind w:left="0" w:leftChars="0" w:firstLine="0" w:firstLineChars="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验收、</w:t>
            </w:r>
            <w:r>
              <w:rPr>
                <w:rFonts w:hint="eastAsia" w:asciiTheme="minorEastAsia" w:hAnsiTheme="minorEastAsia" w:eastAsiaTheme="minorEastAsia" w:cstheme="minorEastAsia"/>
                <w:color w:val="000000" w:themeColor="text1"/>
                <w:sz w:val="21"/>
                <w:szCs w:val="21"/>
                <w14:textFill>
                  <w14:solidFill>
                    <w14:schemeClr w14:val="tx1"/>
                  </w14:solidFill>
                </w14:textFill>
              </w:rPr>
              <w:t>供货方案合理性欠佳的，得0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restart"/>
            <w:tcBorders>
              <w:left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sz w:val="21"/>
                <w:szCs w:val="21"/>
              </w:rPr>
              <w:t>项目团队配置</w:t>
            </w:r>
          </w:p>
        </w:tc>
        <w:tc>
          <w:tcPr>
            <w:tcW w:w="7155" w:type="dxa"/>
            <w:tcBorders>
              <w:top w:val="single" w:color="auto" w:sz="4" w:space="0"/>
              <w:left w:val="single" w:color="auto" w:sz="4" w:space="0"/>
              <w:right w:val="single" w:color="auto" w:sz="4" w:space="0"/>
            </w:tcBorders>
            <w:vAlign w:val="center"/>
          </w:tcPr>
          <w:p>
            <w:pPr>
              <w:tabs>
                <w:tab w:val="left" w:pos="807"/>
              </w:tabs>
              <w:spacing w:line="240" w:lineRule="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承诺配备1名项目负责人，负责与采购人对接，对接处理技术及其他售后问题，以保证采购人的正常使用。</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①具有工程师（或以上）职称得1分（以提供证书</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扫描</w:t>
            </w:r>
            <w:r>
              <w:rPr>
                <w:rFonts w:hint="eastAsia" w:asciiTheme="minorEastAsia" w:hAnsiTheme="minorEastAsia" w:eastAsiaTheme="minorEastAsia" w:cstheme="minorEastAsia"/>
                <w:color w:val="000000" w:themeColor="text1"/>
                <w:sz w:val="21"/>
                <w:szCs w:val="21"/>
                <w14:textFill>
                  <w14:solidFill>
                    <w14:schemeClr w14:val="tx1"/>
                  </w14:solidFill>
                </w14:textFill>
              </w:rPr>
              <w:t>件为准）；②2019年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日起至今，拟派项目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1"/>
                <w:szCs w:val="21"/>
                <w14:textFill>
                  <w14:solidFill>
                    <w14:schemeClr w14:val="tx1"/>
                  </w14:solidFill>
                </w14:textFill>
              </w:rPr>
              <w:t>以项目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1"/>
                <w:szCs w:val="21"/>
                <w14:textFill>
                  <w14:solidFill>
                    <w14:schemeClr w14:val="tx1"/>
                  </w14:solidFill>
                </w14:textFill>
              </w:rPr>
              <w:t>身份完成过类似项目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工作经验</w:t>
            </w:r>
            <w:r>
              <w:rPr>
                <w:rFonts w:hint="eastAsia" w:asciiTheme="minorEastAsia" w:hAnsiTheme="minorEastAsia" w:eastAsiaTheme="minorEastAsia" w:cstheme="minorEastAsia"/>
                <w:color w:val="000000" w:themeColor="text1"/>
                <w:sz w:val="21"/>
                <w:szCs w:val="21"/>
                <w14:textFill>
                  <w14:solidFill>
                    <w14:schemeClr w14:val="tx1"/>
                  </w14:solidFill>
                </w14:textFill>
              </w:rPr>
              <w:t>，每提供1例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得1分，最高得2分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21"/>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须提供投标人为其缴纳的近三个月社保证明、资质证书</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工作经验（提供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相关的任职证明文件）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2、以上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所有的</w:t>
            </w:r>
            <w:r>
              <w:rPr>
                <w:rFonts w:hint="eastAsia" w:asciiTheme="minorEastAsia" w:hAnsiTheme="minorEastAsia" w:eastAsiaTheme="minorEastAsia" w:cstheme="minorEastAsia"/>
                <w:color w:val="000000" w:themeColor="text1"/>
                <w:sz w:val="21"/>
                <w:szCs w:val="21"/>
                <w14:textFill>
                  <w14:solidFill>
                    <w14:schemeClr w14:val="tx1"/>
                  </w14:solidFill>
                </w14:textFill>
              </w:rPr>
              <w:t>证明材料</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须扫描件</w:t>
            </w:r>
            <w:r>
              <w:rPr>
                <w:rFonts w:hint="eastAsia" w:asciiTheme="minorEastAsia" w:hAnsiTheme="minorEastAsia" w:eastAsiaTheme="minorEastAsia" w:cstheme="minorEastAsia"/>
                <w:color w:val="000000" w:themeColor="text1"/>
                <w:sz w:val="21"/>
                <w:szCs w:val="21"/>
                <w14:textFill>
                  <w14:solidFill>
                    <w14:schemeClr w14:val="tx1"/>
                  </w14:solidFill>
                </w14:textFill>
              </w:rPr>
              <w:t>加盖电子印章，未提供不得分。</w:t>
            </w:r>
          </w:p>
        </w:tc>
        <w:tc>
          <w:tcPr>
            <w:tcW w:w="435" w:type="dxa"/>
            <w:tcBorders>
              <w:top w:val="single" w:color="auto" w:sz="4" w:space="0"/>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55" w:type="dxa"/>
            <w:tcBorders>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根据投标人提供的售后服务人员配置、资质能力、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团队</w:t>
            </w:r>
            <w:r>
              <w:rPr>
                <w:rFonts w:hint="eastAsia" w:asciiTheme="minorEastAsia" w:hAnsiTheme="minorEastAsia" w:eastAsiaTheme="minorEastAsia" w:cstheme="minorEastAsia"/>
                <w:color w:val="000000" w:themeColor="text1"/>
                <w:sz w:val="21"/>
                <w:szCs w:val="21"/>
                <w14:textFill>
                  <w14:solidFill>
                    <w14:schemeClr w14:val="tx1"/>
                  </w14:solidFill>
                </w14:textFill>
              </w:rPr>
              <w:t>经验等内容进行综合评分。</w:t>
            </w:r>
          </w:p>
          <w:p>
            <w:pPr>
              <w:widowControl/>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①售后服务人员配置全面、资质能力强、团队的经验丰富的得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3-2.1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widowControl/>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②售后服务人员配置较全面、资质能力较强、团队的经验较丰富得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widowControl/>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③售后服务人员配置简单、资质能力一般、团队的经验一般的得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2"/>
              <w:spacing w:line="240" w:lineRule="auto"/>
              <w:ind w:firstLine="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④未提及此项的不得分。</w:t>
            </w:r>
          </w:p>
          <w:p>
            <w:pPr>
              <w:pStyle w:val="21"/>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注：售后服务人员须提供投标人为其缴纳的近三个月社保证明、学历证明、工作经验、资质证书</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提供调音师、灯光、音响技术员或项目经理等职称证书）等证明材料</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扫描件</w:t>
            </w:r>
            <w:r>
              <w:rPr>
                <w:rFonts w:hint="eastAsia" w:asciiTheme="minorEastAsia" w:hAnsiTheme="minorEastAsia" w:eastAsiaTheme="minorEastAsia" w:cstheme="minorEastAsia"/>
                <w:color w:val="000000" w:themeColor="text1"/>
                <w:sz w:val="21"/>
                <w:szCs w:val="21"/>
                <w14:textFill>
                  <w14:solidFill>
                    <w14:schemeClr w14:val="tx1"/>
                  </w14:solidFill>
                </w14:textFill>
              </w:rPr>
              <w:t>加盖电子印章，未提供不得分。</w:t>
            </w:r>
          </w:p>
        </w:tc>
        <w:tc>
          <w:tcPr>
            <w:tcW w:w="435" w:type="dxa"/>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restart"/>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视频</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演示</w:t>
            </w: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投标人应提前录制符合本项目需求的10分钟</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演示</w:t>
            </w:r>
            <w:r>
              <w:rPr>
                <w:rFonts w:hint="eastAsia" w:asciiTheme="minorEastAsia" w:hAnsiTheme="minorEastAsia" w:eastAsiaTheme="minorEastAsia" w:cstheme="minorEastAsia"/>
                <w:color w:val="000000" w:themeColor="text1"/>
                <w:sz w:val="21"/>
                <w:szCs w:val="21"/>
                <w14:textFill>
                  <w14:solidFill>
                    <w14:schemeClr w14:val="tx1"/>
                  </w14:solidFill>
                </w14:textFill>
              </w:rPr>
              <w:t>视频，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并在评标过程中通过政采云平台的</w:t>
            </w:r>
            <w:r>
              <w:rPr>
                <w:rFonts w:hint="eastAsia" w:asciiTheme="minorEastAsia" w:hAnsiTheme="minorEastAsia" w:eastAsiaTheme="minorEastAsia" w:cstheme="minorEastAsia"/>
                <w:color w:val="000000" w:themeColor="text1"/>
                <w:sz w:val="21"/>
                <w:szCs w:val="21"/>
                <w14:textFill>
                  <w14:solidFill>
                    <w14:schemeClr w14:val="tx1"/>
                  </w14:solidFill>
                </w14:textFill>
              </w:rPr>
              <w:t>“政采云视频讲标系统”</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进行视频演示。</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根据视频中投标人对智能控制系统的功能性演示内容等进行综合评分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，以下三项操作演示功能，</w:t>
            </w:r>
            <w:r>
              <w:rPr>
                <w:rFonts w:hint="eastAsia" w:asciiTheme="minorEastAsia" w:hAnsiTheme="minorEastAsia" w:eastAsiaTheme="minorEastAsia" w:cstheme="minorEastAsia"/>
                <w:color w:val="000000" w:themeColor="text1"/>
                <w:sz w:val="21"/>
                <w:szCs w:val="21"/>
                <w14:textFill>
                  <w14:solidFill>
                    <w14:schemeClr w14:val="tx1"/>
                  </w14:solidFill>
                </w14:textFill>
              </w:rPr>
              <w:t>每个投标人演示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总</w:t>
            </w:r>
            <w:r>
              <w:rPr>
                <w:rFonts w:hint="eastAsia" w:asciiTheme="minorEastAsia" w:hAnsiTheme="minorEastAsia" w:eastAsiaTheme="minorEastAsia" w:cstheme="minorEastAsia"/>
                <w:color w:val="000000" w:themeColor="text1"/>
                <w:sz w:val="21"/>
                <w:szCs w:val="21"/>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长</w:t>
            </w:r>
            <w:r>
              <w:rPr>
                <w:rFonts w:hint="eastAsia" w:asciiTheme="minorEastAsia" w:hAnsiTheme="minorEastAsia" w:eastAsiaTheme="minorEastAsia" w:cstheme="minorEastAsia"/>
                <w:color w:val="000000" w:themeColor="text1"/>
                <w:sz w:val="21"/>
                <w:szCs w:val="21"/>
                <w14:textFill>
                  <w14:solidFill>
                    <w14:schemeClr w14:val="tx1"/>
                  </w14:solidFill>
                </w14:textFill>
              </w:rPr>
              <w:t>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视频</w:t>
            </w:r>
            <w:r>
              <w:rPr>
                <w:rFonts w:hint="eastAsia" w:asciiTheme="minorEastAsia" w:hAnsiTheme="minorEastAsia" w:eastAsiaTheme="minorEastAsia" w:cstheme="minorEastAsia"/>
                <w:color w:val="000000" w:themeColor="text1"/>
                <w:sz w:val="21"/>
                <w:szCs w:val="21"/>
                <w14:textFill>
                  <w14:solidFill>
                    <w14:schemeClr w14:val="tx1"/>
                  </w14:solidFill>
                </w14:textFill>
              </w:rPr>
              <w:t>演示内容如下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spacing w:line="240" w:lineRule="auto"/>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对时序电源管理器的操作功能要求：</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可通过界面式控制面板对其时序电源管理器的每个通道进行通道开关延时时间设置功能；</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实现的功能完整，且易用性、实用性强，实现方法先进的，得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实现的功能完整，但易用性、实用性一般，实现方法不够先进的，得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1.3-0.7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实现的功能不完整的，得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0.6-0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实现的功能完全未实现的，此条不得分。</w:t>
            </w:r>
          </w:p>
        </w:tc>
        <w:tc>
          <w:tcPr>
            <w:tcW w:w="43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可通过界面式控制面板对其时序电源管理器的每个通道进行开关和一键控制顺序开关远程控制功能；</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实现的功能完整，且易用性、实用性强，实现方法先进的，得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实现的功能完整，但易用性、实用性一般，实现方法不够先进的，得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1.3-0.7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实现的功能不完整的，得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0.6-0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实现的功能完全未实现的，此条不得分。</w:t>
            </w:r>
          </w:p>
        </w:tc>
        <w:tc>
          <w:tcPr>
            <w:tcW w:w="435"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pStyle w:val="8"/>
              <w:numPr>
                <w:ilvl w:val="0"/>
                <w:numId w:val="5"/>
              </w:numPr>
              <w:spacing w:line="240" w:lineRule="auto"/>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对时序电源器前面板的手动操作的动作及状态可以实时反馈至界面式控制面板上每个通道的状态；</w:t>
            </w:r>
          </w:p>
          <w:p>
            <w:pPr>
              <w:pStyle w:val="8"/>
              <w:numPr>
                <w:ilvl w:val="0"/>
                <w:numId w:val="0"/>
              </w:numPr>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①需求实现的功能完整，且易用性、实用性强，实现方法先进的，得2-1.4分；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②需求实现的功能完整，但易用性、实用性一般，实现方法不够先进的，得1.3-0.7分；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③需求实现的功能不完整的，得0.6-0分；</w:t>
            </w:r>
          </w:p>
          <w:p>
            <w:pPr>
              <w:pStyle w:val="12"/>
              <w:numPr>
                <w:ilvl w:val="0"/>
                <w:numId w:val="0"/>
              </w:num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④需求实现的功能完全未实现的，此条不得分。</w:t>
            </w:r>
          </w:p>
        </w:tc>
        <w:tc>
          <w:tcPr>
            <w:tcW w:w="435"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pStyle w:val="12"/>
              <w:numPr>
                <w:ilvl w:val="0"/>
                <w:numId w:val="0"/>
              </w:numPr>
              <w:ind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ascii="宋体" w:hAnsi="宋体" w:eastAsia="宋体" w:cs="宋体"/>
                <w:b/>
                <w:bCs/>
                <w:sz w:val="24"/>
                <w:szCs w:val="24"/>
              </w:rPr>
              <w:t>2</w:t>
            </w:r>
            <w:r>
              <w:rPr>
                <w:rFonts w:hint="eastAsia" w:ascii="宋体" w:hAnsi="宋体" w:cs="宋体"/>
                <w:b/>
                <w:bCs/>
                <w:sz w:val="24"/>
                <w:szCs w:val="24"/>
                <w:lang w:val="en-US" w:eastAsia="zh-CN"/>
              </w:rPr>
              <w:t>.</w:t>
            </w:r>
            <w:r>
              <w:rPr>
                <w:rFonts w:ascii="宋体" w:hAnsi="宋体" w:eastAsia="宋体" w:cs="宋体"/>
                <w:b/>
                <w:bCs/>
                <w:sz w:val="24"/>
                <w:szCs w:val="24"/>
              </w:rPr>
              <w:t>界面式控制面板在操作时，需要输入相应的密码才能进入控制界面，从而解决非管理人员非法操作；</w:t>
            </w:r>
            <w:r>
              <w:rPr>
                <w:rFonts w:ascii="宋体" w:hAnsi="宋体" w:eastAsia="宋体" w:cs="宋体"/>
                <w:sz w:val="24"/>
                <w:szCs w:val="24"/>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①需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实现的功能完整，且易用性、实用性强，实现方法先进的，得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8"/>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实现的功能完整，但易用性、实用性一般，实现方法不够先进的，得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0.6-0.3</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8"/>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实现的功能不完整的，得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12"/>
              <w:spacing w:line="240" w:lineRule="auto"/>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求</w:t>
            </w:r>
            <w:r>
              <w:rPr>
                <w:rFonts w:hint="eastAsia" w:asciiTheme="minorEastAsia" w:hAnsiTheme="minorEastAsia" w:eastAsiaTheme="minorEastAsia" w:cstheme="minorEastAsia"/>
                <w:color w:val="000000" w:themeColor="text1"/>
                <w:sz w:val="21"/>
                <w:szCs w:val="21"/>
                <w14:textFill>
                  <w14:solidFill>
                    <w14:schemeClr w14:val="tx1"/>
                  </w14:solidFill>
                </w14:textFill>
              </w:rPr>
              <w:t>实现的功能完全未实现的，此条不得分。</w:t>
            </w:r>
          </w:p>
        </w:tc>
        <w:tc>
          <w:tcPr>
            <w:tcW w:w="435" w:type="dxa"/>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280"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ascii="宋体" w:hAnsi="宋体" w:eastAsia="宋体" w:cs="宋体"/>
                <w:b/>
                <w:bCs/>
                <w:sz w:val="24"/>
                <w:szCs w:val="24"/>
              </w:rPr>
            </w:pPr>
            <w:r>
              <w:rPr>
                <w:rFonts w:hint="eastAsia" w:ascii="宋体" w:hAnsi="宋体" w:cs="宋体"/>
                <w:b/>
                <w:bCs/>
                <w:sz w:val="24"/>
                <w:szCs w:val="24"/>
                <w:lang w:val="en-US" w:eastAsia="zh-CN"/>
              </w:rPr>
              <w:t>3.</w:t>
            </w:r>
            <w:r>
              <w:rPr>
                <w:rFonts w:ascii="宋体" w:hAnsi="宋体" w:eastAsia="宋体" w:cs="宋体"/>
                <w:b/>
                <w:bCs/>
                <w:sz w:val="24"/>
                <w:szCs w:val="24"/>
              </w:rPr>
              <w:t>对数字音频处理器的操作功能要求：</w:t>
            </w:r>
            <w:r>
              <w:rPr>
                <w:rFonts w:ascii="宋体" w:hAnsi="宋体" w:eastAsia="宋体" w:cs="宋体"/>
                <w:b/>
                <w:bCs/>
                <w:sz w:val="24"/>
                <w:szCs w:val="24"/>
              </w:rPr>
              <w:br w:type="textWrapping"/>
            </w:r>
            <w:r>
              <w:rPr>
                <w:rFonts w:hint="eastAsia" w:ascii="宋体" w:hAnsi="宋体" w:cs="宋体"/>
                <w:b/>
                <w:bCs/>
                <w:sz w:val="24"/>
                <w:szCs w:val="24"/>
                <w:lang w:val="en-US" w:eastAsia="zh-CN"/>
              </w:rPr>
              <w:t>1）</w:t>
            </w:r>
            <w:r>
              <w:rPr>
                <w:rFonts w:ascii="宋体" w:hAnsi="宋体" w:eastAsia="宋体" w:cs="宋体"/>
                <w:b/>
                <w:bCs/>
                <w:sz w:val="24"/>
                <w:szCs w:val="24"/>
              </w:rPr>
              <w:t>可通过界面式控制面板对数字音频处理器每个输入输出通道进行静音控制功能；</w:t>
            </w:r>
          </w:p>
          <w:p>
            <w:pPr>
              <w:pStyle w:val="8"/>
              <w:numPr>
                <w:ilvl w:val="0"/>
                <w:numId w:val="0"/>
              </w:numPr>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①需求实现的功能完整，且易用性、实用性强，实现方法先进的，得2-1.4分；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②需求实现的功能完整，但易用性、实用性一般，实现方法不够先进的，得1.3-0.7分；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③需求实现的功能不完整的，得0.6-0分；</w:t>
            </w:r>
          </w:p>
          <w:p>
            <w:pPr>
              <w:numPr>
                <w:ilvl w:val="0"/>
                <w:numId w:val="0"/>
              </w:num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④需求实现的功能完全未实现的，此条不得分。</w:t>
            </w:r>
          </w:p>
        </w:tc>
        <w:tc>
          <w:tcPr>
            <w:tcW w:w="435" w:type="dxa"/>
            <w:vMerge w:val="restart"/>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9" w:hRule="atLeast"/>
        </w:trPr>
        <w:tc>
          <w:tcPr>
            <w:tcW w:w="1280"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pStyle w:val="8"/>
              <w:numPr>
                <w:ilvl w:val="0"/>
                <w:numId w:val="0"/>
              </w:numPr>
              <w:spacing w:line="240" w:lineRule="auto"/>
              <w:rPr>
                <w:rFonts w:ascii="宋体" w:hAnsi="宋体" w:eastAsia="宋体" w:cs="宋体"/>
                <w:b/>
                <w:bCs/>
                <w:sz w:val="24"/>
                <w:szCs w:val="24"/>
              </w:rPr>
            </w:pPr>
            <w:r>
              <w:rPr>
                <w:rFonts w:hint="eastAsia" w:ascii="宋体" w:hAnsi="宋体" w:cs="宋体"/>
                <w:b/>
                <w:bCs/>
                <w:sz w:val="24"/>
                <w:szCs w:val="24"/>
                <w:lang w:val="en-US" w:eastAsia="zh-CN"/>
              </w:rPr>
              <w:t>2）</w:t>
            </w:r>
            <w:r>
              <w:rPr>
                <w:rFonts w:ascii="宋体" w:hAnsi="宋体" w:eastAsia="宋体" w:cs="宋体"/>
                <w:b/>
                <w:bCs/>
                <w:sz w:val="24"/>
                <w:szCs w:val="24"/>
              </w:rPr>
              <w:t>可通过界面式控制面板对数字音频处理器每个输入输出通道进行音量（音量数值，以dB为单位）控制功能；</w:t>
            </w:r>
          </w:p>
          <w:p>
            <w:pPr>
              <w:pStyle w:val="8"/>
              <w:numPr>
                <w:ilvl w:val="0"/>
                <w:numId w:val="0"/>
              </w:numPr>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①需求实现的功能完整，且易用性、实用性强，实现方法先进的，得2-1.4分；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②需求实现的功能完整，但易用性、实用性一般，实现方法不够先进的，得1.3-0.7分；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③需求实现的功能不完整的，得0.6-0分；</w:t>
            </w:r>
          </w:p>
          <w:p>
            <w:pPr>
              <w:spacing w:line="240" w:lineRule="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④需求实现的功能完全未实现的，此条不得分。</w:t>
            </w:r>
          </w:p>
        </w:tc>
        <w:tc>
          <w:tcPr>
            <w:tcW w:w="43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280"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pStyle w:val="8"/>
              <w:numPr>
                <w:ilvl w:val="0"/>
                <w:numId w:val="0"/>
              </w:numPr>
              <w:spacing w:line="240" w:lineRule="auto"/>
              <w:ind w:leftChars="0"/>
              <w:rPr>
                <w:rFonts w:ascii="宋体" w:hAnsi="宋体" w:eastAsia="宋体" w:cs="宋体"/>
                <w:b/>
                <w:bCs/>
                <w:sz w:val="24"/>
                <w:szCs w:val="24"/>
              </w:rPr>
            </w:pPr>
            <w:r>
              <w:rPr>
                <w:rFonts w:hint="eastAsia" w:ascii="宋体" w:hAnsi="宋体" w:cs="宋体"/>
                <w:b/>
                <w:bCs/>
                <w:sz w:val="24"/>
                <w:szCs w:val="24"/>
                <w:lang w:val="en-US" w:eastAsia="zh-CN"/>
              </w:rPr>
              <w:t>3）</w:t>
            </w:r>
            <w:r>
              <w:rPr>
                <w:rFonts w:ascii="宋体" w:hAnsi="宋体" w:eastAsia="宋体" w:cs="宋体"/>
                <w:b/>
                <w:bCs/>
                <w:sz w:val="24"/>
                <w:szCs w:val="24"/>
              </w:rPr>
              <w:t>可通过界面式控制面板对数字音频处理器每个输入输出通道进行场景调用功能；</w:t>
            </w:r>
          </w:p>
          <w:p>
            <w:pPr>
              <w:pStyle w:val="8"/>
              <w:numPr>
                <w:ilvl w:val="0"/>
                <w:numId w:val="0"/>
              </w:numPr>
              <w:spacing w:line="240" w:lineRule="auto"/>
              <w:ind w:leftChars="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①需求实现的功能完整，且易用性、实用性强，实现方法先进的，得2-1.4分；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②需求实现的功能完整，但易用性、实用性一般，实现方法不够先进的，得1.3-0.7分；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③需求实现的功能不完整的，得0.6-0分；</w:t>
            </w:r>
          </w:p>
          <w:p>
            <w:pPr>
              <w:spacing w:line="240" w:lineRule="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④需求实现的功能完全未实现的，此条不得分。</w:t>
            </w:r>
          </w:p>
        </w:tc>
        <w:tc>
          <w:tcPr>
            <w:tcW w:w="43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1280"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pStyle w:val="12"/>
              <w:numPr>
                <w:ilvl w:val="0"/>
                <w:numId w:val="0"/>
              </w:numPr>
              <w:ind w:leftChars="0"/>
              <w:rPr>
                <w:rFonts w:hint="eastAsia"/>
                <w:b/>
                <w:bCs/>
                <w:color w:val="auto"/>
                <w:szCs w:val="21"/>
                <w:highlight w:val="none"/>
                <w:lang w:val="en-US" w:eastAsia="zh-CN"/>
              </w:rPr>
            </w:pPr>
            <w:r>
              <w:rPr>
                <w:rFonts w:hint="eastAsia" w:ascii="宋体" w:hAnsi="宋体" w:cs="宋体"/>
                <w:b/>
                <w:bCs/>
                <w:sz w:val="24"/>
                <w:szCs w:val="24"/>
                <w:lang w:val="en-US" w:eastAsia="zh-CN"/>
              </w:rPr>
              <w:t>4）</w:t>
            </w:r>
            <w:r>
              <w:rPr>
                <w:rFonts w:ascii="宋体" w:hAnsi="宋体" w:eastAsia="宋体" w:cs="宋体"/>
                <w:b/>
                <w:bCs/>
                <w:sz w:val="24"/>
                <w:szCs w:val="24"/>
              </w:rPr>
              <w:t>通过数字音频处理器设置软件对其数字音频处理器进行静音（MUTE）、音量控制（音量数值，以dB为单位）和场景调用操作时，则需要实时反馈至界面式控制面板上每个通道的状态；</w:t>
            </w:r>
          </w:p>
          <w:p>
            <w:pPr>
              <w:pStyle w:val="8"/>
              <w:numPr>
                <w:ilvl w:val="0"/>
                <w:numId w:val="0"/>
              </w:numPr>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①需求实现的功能完整，且易用性、实用性强，实现方法先进的，得2-1.4分；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②需求实现的功能完整，但易用性、实用性一般，实现方法不够先进的，得1.3-0.7分；</w:t>
            </w:r>
          </w:p>
          <w:p>
            <w:pPr>
              <w:pStyle w:val="8"/>
              <w:spacing w:line="24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③需求实现的功能不完整的，得0.6-0分；</w:t>
            </w:r>
          </w:p>
          <w:p>
            <w:pPr>
              <w:spacing w:line="240" w:lineRule="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④需求实现的功能完全未实现的，此条不得分。</w:t>
            </w:r>
          </w:p>
        </w:tc>
        <w:tc>
          <w:tcPr>
            <w:tcW w:w="43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280" w:type="dxa"/>
            <w:vMerge w:val="restart"/>
            <w:tcBorders>
              <w:top w:val="single" w:color="auto" w:sz="4" w:space="0"/>
              <w:left w:val="single" w:color="auto" w:sz="4" w:space="0"/>
              <w:right w:val="single" w:color="auto" w:sz="4" w:space="0"/>
            </w:tcBorders>
            <w:vAlign w:val="center"/>
          </w:tcPr>
          <w:p>
            <w:pPr>
              <w:pStyle w:val="2"/>
              <w:spacing w:line="240" w:lineRule="auto"/>
              <w:ind w:firstLine="0"/>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实力信誉及业绩</w:t>
            </w:r>
          </w:p>
          <w:p>
            <w:pPr>
              <w:pStyle w:val="2"/>
              <w:spacing w:line="240" w:lineRule="auto"/>
              <w:ind w:firstLine="0"/>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分</w:t>
            </w:r>
          </w:p>
        </w:tc>
        <w:tc>
          <w:tcPr>
            <w:tcW w:w="710"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资质</w:t>
            </w:r>
          </w:p>
        </w:tc>
        <w:tc>
          <w:tcPr>
            <w:tcW w:w="7155" w:type="dxa"/>
            <w:tcBorders>
              <w:top w:val="single" w:color="auto" w:sz="4" w:space="0"/>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14:textFill>
                  <w14:solidFill>
                    <w14:schemeClr w14:val="tx1"/>
                  </w14:solidFill>
                </w14:textFill>
              </w:rPr>
              <w:t>投标人具有电子与智能化工程专业承包一级资质，得1分；二级资质，得0.5分；</w:t>
            </w:r>
          </w:p>
          <w:p>
            <w:pPr>
              <w:spacing w:line="240" w:lineRule="auto"/>
              <w:rPr>
                <w:rFonts w:hint="eastAsia" w:asciiTheme="minorEastAsia" w:hAnsiTheme="minorEastAsia" w:eastAsiaTheme="minorEastAsia" w:cs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14:textFill>
                  <w14:solidFill>
                    <w14:schemeClr w14:val="tx1"/>
                  </w14:solidFill>
                </w14:textFill>
              </w:rPr>
              <w:t>建筑机电安装工程专业承包二级及以上资质，得1分；三级资质，得0.5分；</w:t>
            </w:r>
          </w:p>
          <w:p>
            <w:pPr>
              <w:pStyle w:val="30"/>
              <w:widowControl w:val="0"/>
              <w:spacing w:line="240" w:lineRule="auto"/>
              <w:jc w:val="both"/>
              <w:rPr>
                <w:rFonts w:hint="eastAsia" w:asciiTheme="minorEastAsia" w:hAnsiTheme="minorEastAsia" w:eastAsiaTheme="minorEastAsia" w:cstheme="minorEastAsia"/>
                <w:b/>
                <w:bCs/>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14:textFill>
                  <w14:solidFill>
                    <w14:schemeClr w14:val="tx1"/>
                  </w14:solidFill>
                </w14:textFill>
              </w:rPr>
              <w:t>建筑智能化系统设计专项甲级，得1分；乙级资质，得0.5分；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28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pStyle w:val="30"/>
              <w:widowControl w:val="0"/>
              <w:spacing w:line="24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投标人具有ISO9001质量管理体系认证证书，且在有效期内的，得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30"/>
              <w:widowControl w:val="0"/>
              <w:spacing w:line="24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投标人具有ISO14001环境管理体系认证证书，且在有效期内的，得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30"/>
              <w:widowControl w:val="0"/>
              <w:spacing w:line="24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投标人具有ISO45001职业健康安全管理体系认证证书，且在有效期内的，得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30"/>
              <w:widowControl w:val="0"/>
              <w:spacing w:line="24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投标人具有ISO27001信息安全管理体系认证证书，且在有效期内的，得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30"/>
              <w:widowControl w:val="0"/>
              <w:spacing w:line="240" w:lineRule="auto"/>
              <w:jc w:val="both"/>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（以上认证证书范围包括音响扩声和音视频系统，以提供证书</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扫描</w:t>
            </w:r>
            <w:r>
              <w:rPr>
                <w:rFonts w:hint="eastAsia" w:asciiTheme="minorEastAsia" w:hAnsiTheme="minorEastAsia" w:eastAsiaTheme="minorEastAsia" w:cstheme="minorEastAsia"/>
                <w:color w:val="000000" w:themeColor="text1"/>
                <w:sz w:val="21"/>
                <w:szCs w:val="21"/>
                <w14:textFill>
                  <w14:solidFill>
                    <w14:schemeClr w14:val="tx1"/>
                  </w14:solidFill>
                </w14:textFill>
              </w:rPr>
              <w:t>件为准）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280"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项目业绩</w:t>
            </w:r>
          </w:p>
        </w:tc>
        <w:tc>
          <w:tcPr>
            <w:tcW w:w="7155" w:type="dxa"/>
            <w:tcBorders>
              <w:top w:val="single" w:color="auto" w:sz="4" w:space="0"/>
              <w:left w:val="single" w:color="auto" w:sz="4" w:space="0"/>
              <w:bottom w:val="single" w:color="auto" w:sz="4" w:space="0"/>
              <w:right w:val="single" w:color="auto" w:sz="4" w:space="0"/>
            </w:tcBorders>
            <w:vAlign w:val="center"/>
          </w:tcPr>
          <w:p>
            <w:pPr>
              <w:pStyle w:val="21"/>
              <w:spacing w:line="240" w:lineRule="auto"/>
              <w:ind w:left="0" w:leftChars="0" w:firstLine="0" w:firstLineChars="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自2019年10月以来（以合同签订时间为准），投标人承担类似项目实施的经验情况。依照投标人提供的合同案例及</w:t>
            </w:r>
            <w:r>
              <w:rPr>
                <w:rFonts w:hint="eastAsia" w:asciiTheme="minorEastAsia" w:hAnsiTheme="minorEastAsia" w:eastAsiaTheme="minorEastAsia" w:cstheme="minorEastAsia"/>
                <w:color w:val="000000" w:themeColor="text1"/>
                <w:sz w:val="21"/>
                <w:szCs w:val="21"/>
                <w14:textFill>
                  <w14:solidFill>
                    <w14:schemeClr w14:val="tx1"/>
                  </w14:solidFill>
                </w14:textFill>
              </w:rPr>
              <w:t>验收报告</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证明，每个项目都需提供合同扫描件、</w:t>
            </w:r>
            <w:r>
              <w:rPr>
                <w:rFonts w:hint="eastAsia" w:asciiTheme="minorEastAsia" w:hAnsiTheme="minorEastAsia" w:eastAsiaTheme="minorEastAsia" w:cstheme="minorEastAsia"/>
                <w:color w:val="000000" w:themeColor="text1"/>
                <w:sz w:val="21"/>
                <w:szCs w:val="21"/>
                <w14:textFill>
                  <w14:solidFill>
                    <w14:schemeClr w14:val="tx1"/>
                  </w14:solidFill>
                </w14:textFill>
              </w:rPr>
              <w:t>验收报告</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原件扫描件，每提供一个项目得1分，最高得3分。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0" w:type="dxa"/>
            <w:vMerge w:val="restart"/>
            <w:tcBorders>
              <w:top w:val="single" w:color="auto" w:sz="4" w:space="0"/>
              <w:left w:val="single" w:color="auto" w:sz="4" w:space="0"/>
              <w:right w:val="single" w:color="auto" w:sz="4" w:space="0"/>
            </w:tcBorders>
            <w:vAlign w:val="center"/>
          </w:tcPr>
          <w:p>
            <w:pPr>
              <w:pStyle w:val="2"/>
              <w:spacing w:line="240" w:lineRule="auto"/>
              <w:ind w:firstLine="0"/>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售后服务</w:t>
            </w:r>
          </w:p>
          <w:p>
            <w:pPr>
              <w:pStyle w:val="2"/>
              <w:spacing w:line="240" w:lineRule="auto"/>
              <w:ind w:firstLine="0"/>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承诺</w:t>
            </w:r>
          </w:p>
          <w:p>
            <w:pPr>
              <w:pStyle w:val="2"/>
              <w:spacing w:line="240" w:lineRule="auto"/>
              <w:ind w:firstLine="0"/>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13</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服务方案</w:t>
            </w: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在满足</w:t>
            </w:r>
            <w:r>
              <w:rPr>
                <w:rFonts w:hint="eastAsia" w:asciiTheme="minorEastAsia" w:hAnsiTheme="minorEastAsia" w:eastAsiaTheme="minorEastAsia" w:cstheme="minorEastAsia"/>
                <w:b w:val="0"/>
                <w:bCs w:val="0"/>
                <w:color w:val="000000" w:themeColor="text1"/>
                <w:kern w:val="0"/>
                <w:sz w:val="21"/>
                <w:szCs w:val="21"/>
                <w:lang w:eastAsia="zh-CN"/>
                <w14:textFill>
                  <w14:solidFill>
                    <w14:schemeClr w14:val="tx1"/>
                  </w14:solidFill>
                </w14:textFill>
              </w:rPr>
              <w:t>采购文件</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要求的免费服务期满后（或在满足</w:t>
            </w:r>
            <w:r>
              <w:rPr>
                <w:rFonts w:hint="eastAsia" w:asciiTheme="minorEastAsia" w:hAnsiTheme="minorEastAsia" w:eastAsiaTheme="minorEastAsia" w:cstheme="minorEastAsia"/>
                <w:b w:val="0"/>
                <w:bCs w:val="0"/>
                <w:color w:val="000000" w:themeColor="text1"/>
                <w:kern w:val="0"/>
                <w:sz w:val="21"/>
                <w:szCs w:val="21"/>
                <w:lang w:eastAsia="zh-CN"/>
                <w14:textFill>
                  <w14:solidFill>
                    <w14:schemeClr w14:val="tx1"/>
                  </w14:solidFill>
                </w14:textFill>
              </w:rPr>
              <w:t>采购文件</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原质保要求的基础上），承诺免费增加</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年，得</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分，最多</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28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tabs>
                <w:tab w:val="left" w:pos="807"/>
              </w:tabs>
              <w:spacing w:line="240" w:lineRule="auto"/>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根据投标人售后响应服务方案合理且能满足</w:t>
            </w:r>
            <w:r>
              <w:rPr>
                <w:rFonts w:hint="eastAsia" w:asciiTheme="minorEastAsia" w:hAnsiTheme="minorEastAsia" w:eastAsiaTheme="minorEastAsia" w:cstheme="minorEastAsia"/>
                <w:b w:val="0"/>
                <w:bCs w:val="0"/>
                <w:color w:val="000000" w:themeColor="text1"/>
                <w:kern w:val="2"/>
                <w:sz w:val="21"/>
                <w:szCs w:val="21"/>
                <w:lang w:val="zh-CN" w:eastAsia="zh-CN" w:bidi="ar-SA"/>
                <w14:textFill>
                  <w14:solidFill>
                    <w14:schemeClr w14:val="tx1"/>
                  </w14:solidFill>
                </w14:textFill>
              </w:rPr>
              <w:t>采购人需求的</w:t>
            </w: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，①能提供7×24小时的电话响应售后服务。②出现一般性故障，接到维修通知后，在1个小时内电话响应，在24小时内到达现场修复。每满足一项得</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0.5</w:t>
            </w: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分，不满足不得分</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，最高得</w:t>
            </w:r>
            <w:r>
              <w:rPr>
                <w:rFonts w:hint="eastAsia" w:asciiTheme="minorEastAsia" w:hAnsiTheme="minorEastAsia" w:eastAsiaTheme="minorEastAsia" w:cstheme="minorEastAsia"/>
                <w:b w:val="0"/>
                <w:bCs w:val="0"/>
                <w:color w:val="000000" w:themeColor="text1"/>
                <w:spacing w:val="-2"/>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分</w:t>
            </w: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28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tabs>
                <w:tab w:val="left" w:pos="807"/>
              </w:tabs>
              <w:spacing w:line="240" w:lineRule="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承诺如因产品本身问题在24小时之内仍不能排除的故障，承诺提供与原货物相同或不低于原货物性能的备用产品，以保证采购人的正常使用的，满足得</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分，不满足不得分。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8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pStyle w:val="21"/>
              <w:numPr>
                <w:ilvl w:val="0"/>
                <w:numId w:val="6"/>
              </w:numPr>
              <w:spacing w:line="240" w:lineRule="auto"/>
              <w:ind w:left="0" w:leftChars="0" w:firstLine="0" w:firstLineChars="0"/>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1"/>
                <w:szCs w:val="21"/>
                <w14:textFill>
                  <w14:solidFill>
                    <w14:schemeClr w14:val="tx1"/>
                  </w14:solidFill>
                </w14:textFill>
              </w:rPr>
              <w:t>售后服务体系五星认证证书，得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128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p>
        </w:tc>
        <w:tc>
          <w:tcPr>
            <w:tcW w:w="7155" w:type="dxa"/>
            <w:tcBorders>
              <w:top w:val="single" w:color="auto" w:sz="4" w:space="0"/>
              <w:left w:val="single" w:color="auto" w:sz="4" w:space="0"/>
              <w:bottom w:val="single" w:color="auto" w:sz="4" w:space="0"/>
              <w:right w:val="single" w:color="auto" w:sz="4" w:space="0"/>
            </w:tcBorders>
            <w:vAlign w:val="center"/>
          </w:tcPr>
          <w:p>
            <w:pPr>
              <w:pStyle w:val="21"/>
              <w:numPr>
                <w:ilvl w:val="0"/>
                <w:numId w:val="0"/>
              </w:numPr>
              <w:spacing w:line="240" w:lineRule="auto"/>
              <w:ind w:left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根据投标人提供的保修期内售后服务方案，包括售后服务方案保障方案、常见问题方法的处理、售后服务人员配置等内容进行综合评分：</w:t>
            </w:r>
          </w:p>
          <w:p>
            <w:pPr>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①服务方案措施明确、可行性强，对常见问题考虑周到，并能提出切实有效处理办法，售后服务人员配置充足的，得3-2.1分；</w:t>
            </w:r>
          </w:p>
          <w:p>
            <w:pPr>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②服务方案措施较明确，对常见问题考虑较周到，并能提出切实有效处理办法，售后服务人员配置一般的，得2-1.1分；</w:t>
            </w:r>
          </w:p>
          <w:p>
            <w:pPr>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③服务方案措施不够明确，服务承诺片面，对常见问题考虑不够周到或未分析常见问题的，售后服务人员配置不足或无具体服务人员的，得1-0.1分；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④未提及此项的不得分。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28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培训方案</w:t>
            </w:r>
          </w:p>
        </w:tc>
        <w:tc>
          <w:tcPr>
            <w:tcW w:w="715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投标人应提供完整、可行的培训计划和培训实施方案，明确具体培训与实施计划（含对相关的系统维护管理人员、业务管理人员和业务经办人员等的培训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以及</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培训的师资力量</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）。根据投标人提出的培训方案进行综合评分：</w:t>
            </w:r>
          </w:p>
          <w:p>
            <w:pPr>
              <w:widowControl/>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1.培训方案合理、详细、完备，培训计划及安排详细、可落地的，得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widowControl/>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2.培训方案相对合理，培训计划及安排较为详细、可落地的，得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1.3-0.7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3.培训方案不合理或培训计划及安排不可行的，得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0.6-0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21"/>
              <w:spacing w:line="240" w:lineRule="auto"/>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4.未提及此项的不得分。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应急方案</w:t>
            </w: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根据</w:t>
            </w:r>
            <w:r>
              <w:rPr>
                <w:rFonts w:hint="eastAsia" w:asciiTheme="minorEastAsia" w:hAnsiTheme="minorEastAsia" w:eastAsiaTheme="minorEastAsia" w:cstheme="minorEastAsia"/>
                <w:b w:val="0"/>
                <w:bCs w:val="0"/>
                <w:color w:val="000000" w:themeColor="text1"/>
                <w:kern w:val="0"/>
                <w:sz w:val="21"/>
                <w:szCs w:val="21"/>
                <w:lang w:eastAsia="zh-CN"/>
                <w14:textFill>
                  <w14:solidFill>
                    <w14:schemeClr w14:val="tx1"/>
                  </w14:solidFill>
                </w14:textFill>
              </w:rPr>
              <w:t>投标人的应急方案</w:t>
            </w:r>
            <w:r>
              <w:rPr>
                <w:rFonts w:hint="eastAsia" w:asciiTheme="minorEastAsia" w:hAnsiTheme="minorEastAsia" w:eastAsiaTheme="minorEastAsia" w:cstheme="minorEastAsia"/>
                <w:b w:val="0"/>
                <w:bCs w:val="0"/>
                <w:color w:val="000000" w:themeColor="text1"/>
                <w:kern w:val="0"/>
                <w:sz w:val="21"/>
                <w:szCs w:val="21"/>
                <w:lang w:val="zh-CN" w:eastAsia="zh-CN"/>
                <w14:textFill>
                  <w14:solidFill>
                    <w14:schemeClr w14:val="tx1"/>
                  </w14:solidFill>
                </w14:textFill>
              </w:rPr>
              <w:t>①是否建立服务保障应急预案，方案对可能遇到的问题及其应对措施的考虑情况。</w:t>
            </w:r>
            <w:r>
              <w:rPr>
                <w:rFonts w:hint="eastAsia" w:asciiTheme="minorEastAsia" w:hAnsiTheme="minorEastAsia" w:eastAsiaTheme="minorEastAsia" w:cstheme="minorEastAsia"/>
                <w:b w:val="0"/>
                <w:bCs w:val="0"/>
                <w:color w:val="000000" w:themeColor="text1"/>
                <w:kern w:val="0"/>
                <w:sz w:val="21"/>
                <w:szCs w:val="21"/>
                <w:lang w:eastAsia="zh-CN"/>
                <w14:textFill>
                  <w14:solidFill>
                    <w14:schemeClr w14:val="tx1"/>
                  </w14:solidFill>
                </w14:textFill>
              </w:rPr>
              <w:t>②</w:t>
            </w:r>
            <w:r>
              <w:rPr>
                <w:rFonts w:hint="eastAsia" w:asciiTheme="minorEastAsia" w:hAnsiTheme="minorEastAsia" w:eastAsiaTheme="minorEastAsia" w:cstheme="minorEastAsia"/>
                <w:b w:val="0"/>
                <w:bCs w:val="0"/>
                <w:color w:val="000000" w:themeColor="text1"/>
                <w:kern w:val="0"/>
                <w:sz w:val="21"/>
                <w:szCs w:val="21"/>
                <w:lang w:val="zh-CN" w:eastAsia="zh-CN"/>
                <w14:textFill>
                  <w14:solidFill>
                    <w14:schemeClr w14:val="tx1"/>
                  </w14:solidFill>
                </w14:textFill>
              </w:rPr>
              <w:t>在服务期间巡检、故障处理的组织和联系机制的情况。</w:t>
            </w:r>
            <w:bookmarkStart w:id="122" w:name="_GoBack"/>
            <w:r>
              <w:rPr>
                <w:rFonts w:hint="eastAsia" w:asciiTheme="minorEastAsia" w:hAnsiTheme="minorEastAsia" w:eastAsiaTheme="minorEastAsia" w:cstheme="minorEastAsia"/>
                <w:b w:val="0"/>
                <w:bCs w:val="0"/>
                <w:color w:val="000000" w:themeColor="text1"/>
                <w:kern w:val="0"/>
                <w:sz w:val="21"/>
                <w:szCs w:val="21"/>
                <w:lang w:val="zh-CN" w:eastAsia="zh-CN"/>
                <w14:textFill>
                  <w14:solidFill>
                    <w14:schemeClr w14:val="tx1"/>
                  </w14:solidFill>
                </w14:textFill>
              </w:rPr>
              <w:t>须提供各项应对方案，每提供一项得</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0.5</w:t>
            </w:r>
            <w:r>
              <w:rPr>
                <w:rFonts w:hint="eastAsia" w:asciiTheme="minorEastAsia" w:hAnsiTheme="minorEastAsia" w:eastAsiaTheme="minorEastAsia" w:cstheme="minorEastAsia"/>
                <w:b w:val="0"/>
                <w:bCs w:val="0"/>
                <w:color w:val="000000" w:themeColor="text1"/>
                <w:kern w:val="0"/>
                <w:sz w:val="21"/>
                <w:szCs w:val="21"/>
                <w:lang w:val="zh-CN" w:eastAsia="zh-CN"/>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未提及此项的不得分</w:t>
            </w:r>
            <w:r>
              <w:rPr>
                <w:rFonts w:hint="eastAsia" w:asciiTheme="minorEastAsia" w:hAnsiTheme="minorEastAsia" w:eastAsiaTheme="minorEastAsia" w:cstheme="minorEastAsia"/>
                <w:b w:val="0"/>
                <w:bCs w:val="0"/>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lang w:val="zh-CN" w:eastAsia="zh-CN"/>
                <w14:textFill>
                  <w14:solidFill>
                    <w14:schemeClr w14:val="tx1"/>
                  </w14:solidFill>
                </w14:textFill>
              </w:rPr>
              <w:t>最高得</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0"/>
                <w:sz w:val="21"/>
                <w:szCs w:val="21"/>
                <w:lang w:val="zh-CN" w:eastAsia="zh-CN"/>
                <w14:textFill>
                  <w14:solidFill>
                    <w14:schemeClr w14:val="tx1"/>
                  </w14:solidFill>
                </w14:textFill>
              </w:rPr>
              <w:t>分</w:t>
            </w:r>
            <w:r>
              <w:rPr>
                <w:rFonts w:hint="eastAsia" w:asciiTheme="minorEastAsia" w:hAnsiTheme="minorEastAsia" w:eastAsiaTheme="minorEastAsia" w:cstheme="minorEastAsia"/>
                <w:b w:val="0"/>
                <w:bCs w:val="0"/>
                <w:color w:val="000000" w:themeColor="text1"/>
                <w:kern w:val="0"/>
                <w:sz w:val="21"/>
                <w:szCs w:val="21"/>
                <w:lang w:eastAsia="zh-CN"/>
                <w14:textFill>
                  <w14:solidFill>
                    <w14:schemeClr w14:val="tx1"/>
                  </w14:solidFill>
                </w14:textFill>
              </w:rPr>
              <w:t>。</w:t>
            </w:r>
            <w:bookmarkEnd w:id="122"/>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0"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备品备件与维修成本</w:t>
            </w:r>
          </w:p>
        </w:tc>
        <w:tc>
          <w:tcPr>
            <w:tcW w:w="715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投标人应在投标文件中提供备品备件清单，以及易损件、保养件、覆盖件、配件、维修项目的价格清单，根据提供的备品备件清单、维修成本等方面综合评分：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①备品备件数量充足、类型覆盖广，维修成本合理的，得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②备品备件数量较充足、类型覆盖较广，维修成本较合理的，得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1.3-0.7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③备品备件数量不足，维修成本不够合理的，得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0.6-0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pStyle w:val="21"/>
              <w:spacing w:line="240" w:lineRule="auto"/>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④未提供备品备件清单、价格清单的不得分。</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Theme="minorEastAsia" w:hAnsiTheme="minorEastAsia" w:eastAsiaTheme="minorEastAsia" w:cstheme="minorEastAsia"/>
                <w:b/>
                <w:bCs/>
                <w:color w:val="FF0000"/>
                <w:sz w:val="21"/>
                <w:szCs w:val="21"/>
                <w:lang w:eastAsia="zh-CN"/>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价格</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分</w:t>
            </w:r>
          </w:p>
        </w:tc>
        <w:tc>
          <w:tcPr>
            <w:tcW w:w="786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以合格投标人有效投标总报价中的最低价为基准价，基准价为30分。投标报价得分＝（评标基准价/投标报价）×</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100</w:t>
            </w:r>
            <w:r>
              <w:rPr>
                <w:rFonts w:hint="eastAsia" w:asciiTheme="minorEastAsia" w:hAnsiTheme="minorEastAsia" w:eastAsiaTheme="minorEastAsia" w:cstheme="minorEastAsia"/>
                <w:color w:val="000000" w:themeColor="text1"/>
                <w:sz w:val="21"/>
                <w:szCs w:val="21"/>
                <w14:textFill>
                  <w14:solidFill>
                    <w14:schemeClr w14:val="tx1"/>
                  </w14:solidFill>
                </w14:textFill>
              </w:rPr>
              <w:t>（小数点后保留2位小数）。注：符合本章第七点政府采购政策的，根据对应情形，对报价给予</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20%</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或</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6%</w:t>
            </w:r>
            <w:r>
              <w:rPr>
                <w:rFonts w:hint="eastAsia" w:asciiTheme="minorEastAsia" w:hAnsiTheme="minorEastAsia" w:eastAsiaTheme="minorEastAsia" w:cstheme="minorEastAsia"/>
                <w:color w:val="000000" w:themeColor="text1"/>
                <w:sz w:val="21"/>
                <w:szCs w:val="21"/>
                <w14:textFill>
                  <w14:solidFill>
                    <w14:schemeClr w14:val="tx1"/>
                  </w14:solidFill>
                </w14:textFill>
              </w:rPr>
              <w:t>的价格扣除，用扣除后的价格参与评审。</w:t>
            </w:r>
          </w:p>
        </w:tc>
        <w:tc>
          <w:tcPr>
            <w:tcW w:w="4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30</w:t>
            </w:r>
          </w:p>
        </w:tc>
      </w:tr>
    </w:tbl>
    <w:p>
      <w:pPr>
        <w:spacing w:line="240" w:lineRule="auto"/>
        <w:rPr>
          <w:rFonts w:hint="eastAsia" w:asciiTheme="minorEastAsia" w:hAnsiTheme="minorEastAsia" w:eastAsiaTheme="minorEastAsia" w:cstheme="minorEastAsia"/>
          <w:sz w:val="21"/>
          <w:szCs w:val="21"/>
        </w:rPr>
      </w:pPr>
    </w:p>
    <w:p>
      <w:pPr>
        <w:pStyle w:val="13"/>
        <w:snapToGrid w:val="0"/>
        <w:outlineLvl w:val="0"/>
        <w:rPr>
          <w:rFonts w:hint="eastAsia" w:hAnsi="宋体" w:cs="宋体"/>
          <w:b/>
          <w:color w:val="auto"/>
          <w:sz w:val="21"/>
          <w:szCs w:val="21"/>
        </w:rPr>
      </w:pPr>
      <w:r>
        <w:rPr>
          <w:rFonts w:hint="eastAsia" w:hAnsi="宋体" w:cs="宋体"/>
          <w:b/>
          <w:color w:val="auto"/>
          <w:sz w:val="21"/>
          <w:szCs w:val="21"/>
        </w:rPr>
        <w:t>注：</w:t>
      </w:r>
      <w:r>
        <w:rPr>
          <w:rFonts w:hint="eastAsia" w:ascii="Times New Roman" w:hAnsi="Times New Roman" w:eastAsia="宋体" w:cs="Times New Roman"/>
          <w:color w:val="auto"/>
          <w:sz w:val="21"/>
          <w:szCs w:val="21"/>
          <w:lang w:val="zh-CN" w:eastAsia="zh-CN"/>
        </w:rPr>
        <w:t>①</w:t>
      </w:r>
      <w:r>
        <w:rPr>
          <w:rFonts w:hint="eastAsia" w:hAnsi="宋体" w:cs="宋体"/>
          <w:b/>
          <w:color w:val="auto"/>
          <w:sz w:val="21"/>
          <w:szCs w:val="21"/>
        </w:rPr>
        <w:t>合同、证书、报告及其他相关证明材料，将原件扫描上传至电子投标文件，并加盖电子印章。</w:t>
      </w:r>
    </w:p>
    <w:p>
      <w:pPr>
        <w:pStyle w:val="28"/>
        <w:ind w:firstLine="420" w:firstLineChars="200"/>
        <w:rPr>
          <w:sz w:val="21"/>
          <w:szCs w:val="21"/>
        </w:rPr>
      </w:pPr>
      <w:r>
        <w:rPr>
          <w:rFonts w:hint="eastAsia" w:ascii="Times New Roman" w:hAnsi="Times New Roman" w:eastAsia="宋体" w:cs="Times New Roman"/>
          <w:color w:val="auto"/>
          <w:sz w:val="21"/>
          <w:szCs w:val="21"/>
          <w:lang w:val="en-US" w:eastAsia="zh-CN"/>
        </w:rPr>
        <w:t>②</w:t>
      </w:r>
      <w:r>
        <w:rPr>
          <w:rFonts w:hint="eastAsia" w:hAnsi="宋体" w:cs="宋体"/>
          <w:b/>
          <w:color w:val="auto"/>
          <w:sz w:val="21"/>
          <w:szCs w:val="21"/>
          <w:lang w:eastAsia="zh-CN"/>
        </w:rPr>
        <w:t>原件备查，采购机构在项目评审直至合同签订、履约期间，有权要求投标人出具投标文件中的合同</w:t>
      </w:r>
      <w:r>
        <w:rPr>
          <w:rFonts w:hint="eastAsia" w:hAnsi="宋体" w:cs="宋体"/>
          <w:b/>
          <w:color w:val="auto"/>
          <w:sz w:val="21"/>
          <w:szCs w:val="21"/>
        </w:rPr>
        <w:t>、证书、报告及其他相关证明材料</w:t>
      </w:r>
      <w:r>
        <w:rPr>
          <w:rFonts w:hint="eastAsia" w:hAnsi="宋体" w:cs="宋体"/>
          <w:b/>
          <w:color w:val="auto"/>
          <w:sz w:val="21"/>
          <w:szCs w:val="21"/>
          <w:lang w:eastAsia="zh-CN"/>
        </w:rPr>
        <w:t>，予以确认其的真实性和有效性，如出现与事实不符等情况，将根据有关规定以“提供虚假材料谋取中标（成交）”予以处理。</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bookmarkStart w:id="39" w:name="_Toc27944_WPSOffice_Level1"/>
    </w:p>
    <w:p>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9"/>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3"/>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3"/>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3"/>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13"/>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3"/>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3"/>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3"/>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3"/>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3"/>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3"/>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3"/>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cs="宋体"/>
        </w:rPr>
        <w:t>《</w:t>
      </w:r>
      <w:r>
        <w:rPr>
          <w:rFonts w:hint="eastAsia" w:ascii="宋体" w:hAnsi="宋体" w:cs="宋体"/>
          <w:color w:val="111F2C"/>
          <w:szCs w:val="21"/>
          <w:shd w:val="clear" w:color="auto" w:fill="FFFFFF"/>
        </w:rPr>
        <w:t>中华人民共和国民法典</w:t>
      </w:r>
      <w:r>
        <w:rPr>
          <w:rFonts w:hint="eastAsia" w:ascii="宋体" w:hAnsi="宋体" w:cs="宋体"/>
        </w:rPr>
        <w:t>》有关</w:t>
      </w:r>
      <w:r>
        <w:rPr>
          <w:rFonts w:asciiTheme="minorEastAsia" w:hAnsiTheme="minorEastAsia" w:eastAsiaTheme="minorEastAsia"/>
        </w:rPr>
        <w:t>条文执行。</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asciiTheme="minorEastAsia" w:hAnsiTheme="minorEastAsia" w:eastAsiaTheme="minorEastAsia"/>
          <w:b/>
          <w:sz w:val="36"/>
          <w:szCs w:val="36"/>
        </w:rPr>
      </w:pPr>
      <w:bookmarkStart w:id="40"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0"/>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1" w:name="_Toc19093_WPSOffice_Level1"/>
      <w:bookmarkStart w:id="42" w:name="_Toc32372_WPSOffice_Level1"/>
      <w:bookmarkStart w:id="43" w:name="_Toc4956_WPSOffice_Level1"/>
      <w:r>
        <w:rPr>
          <w:rFonts w:hint="eastAsia"/>
          <w:sz w:val="52"/>
          <w:szCs w:val="52"/>
        </w:rPr>
        <w:t>项目名称</w:t>
      </w:r>
      <w:bookmarkEnd w:id="41"/>
      <w:bookmarkEnd w:id="42"/>
      <w:bookmarkEnd w:id="43"/>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1"/>
      </w:pPr>
    </w:p>
    <w:p>
      <w:pPr>
        <w:spacing w:line="360" w:lineRule="auto"/>
        <w:jc w:val="center"/>
        <w:rPr>
          <w:b/>
          <w:bCs/>
          <w:sz w:val="36"/>
          <w:szCs w:val="36"/>
        </w:rPr>
      </w:pPr>
      <w:r>
        <w:rPr>
          <w:rFonts w:hint="eastAsia"/>
          <w:b/>
          <w:bCs/>
          <w:sz w:val="36"/>
          <w:szCs w:val="36"/>
        </w:rPr>
        <w:t>资格证明文件目录</w:t>
      </w:r>
    </w:p>
    <w:p>
      <w:pPr>
        <w:pStyle w:val="2"/>
      </w:pPr>
    </w:p>
    <w:p/>
    <w:p>
      <w:pPr>
        <w:numPr>
          <w:ilvl w:val="0"/>
          <w:numId w:val="7"/>
        </w:numPr>
        <w:spacing w:line="360" w:lineRule="auto"/>
        <w:ind w:hanging="5"/>
        <w:rPr>
          <w:sz w:val="28"/>
          <w:szCs w:val="36"/>
        </w:rPr>
      </w:pPr>
      <w:bookmarkStart w:id="44" w:name="_Toc12587_WPSOffice_Level1"/>
      <w:bookmarkStart w:id="45" w:name="_Toc27049_WPSOffice_Level1"/>
      <w:r>
        <w:rPr>
          <w:rFonts w:hint="eastAsia"/>
          <w:sz w:val="28"/>
          <w:szCs w:val="36"/>
        </w:rPr>
        <w:t>投标声明书（附件1）</w:t>
      </w:r>
      <w:bookmarkEnd w:id="44"/>
      <w:bookmarkEnd w:id="45"/>
    </w:p>
    <w:p>
      <w:pPr>
        <w:numPr>
          <w:ilvl w:val="0"/>
          <w:numId w:val="7"/>
        </w:numPr>
        <w:spacing w:line="360" w:lineRule="auto"/>
        <w:ind w:hanging="5"/>
        <w:rPr>
          <w:sz w:val="28"/>
          <w:szCs w:val="36"/>
        </w:rPr>
      </w:pPr>
      <w:bookmarkStart w:id="46" w:name="_Toc25574_WPSOffice_Level1"/>
      <w:bookmarkStart w:id="47" w:name="_Toc28306_WPSOffice_Level1"/>
      <w:bookmarkStart w:id="48" w:name="_Toc29616_WPSOffice_Level1"/>
      <w:bookmarkStart w:id="49" w:name="_Toc32100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46"/>
      <w:bookmarkEnd w:id="47"/>
    </w:p>
    <w:p>
      <w:pPr>
        <w:numPr>
          <w:ilvl w:val="0"/>
          <w:numId w:val="7"/>
        </w:numPr>
        <w:spacing w:line="360" w:lineRule="auto"/>
        <w:ind w:hanging="5"/>
        <w:rPr>
          <w:sz w:val="28"/>
          <w:szCs w:val="36"/>
        </w:rPr>
      </w:pPr>
      <w:r>
        <w:rPr>
          <w:rFonts w:hint="eastAsia"/>
          <w:sz w:val="28"/>
          <w:szCs w:val="36"/>
        </w:rPr>
        <w:t>联合体共同投标协议书（以联合体形式投标时需提供）（附件3）</w:t>
      </w:r>
    </w:p>
    <w:p>
      <w:pPr>
        <w:numPr>
          <w:ilvl w:val="0"/>
          <w:numId w:val="7"/>
        </w:numPr>
        <w:spacing w:line="360" w:lineRule="auto"/>
        <w:ind w:hanging="5"/>
        <w:rPr>
          <w:sz w:val="28"/>
          <w:szCs w:val="36"/>
        </w:rPr>
      </w:pPr>
      <w:r>
        <w:rPr>
          <w:rFonts w:hint="eastAsia"/>
          <w:sz w:val="28"/>
          <w:szCs w:val="36"/>
        </w:rPr>
        <w:t>法人或者其他组织的营业执照等证明文件、自然人的身份证明</w:t>
      </w:r>
      <w:bookmarkEnd w:id="48"/>
      <w:bookmarkEnd w:id="49"/>
    </w:p>
    <w:p>
      <w:pPr>
        <w:numPr>
          <w:ilvl w:val="0"/>
          <w:numId w:val="7"/>
        </w:numPr>
        <w:spacing w:line="360" w:lineRule="auto"/>
        <w:ind w:hanging="5"/>
        <w:rPr>
          <w:sz w:val="28"/>
          <w:szCs w:val="36"/>
        </w:rPr>
      </w:pPr>
      <w:bookmarkStart w:id="50" w:name="_Toc2696_WPSOffice_Level1"/>
      <w:bookmarkStart w:id="51" w:name="_Toc30751_WPSOffice_Level1"/>
      <w:r>
        <w:rPr>
          <w:rFonts w:hint="eastAsia"/>
          <w:sz w:val="28"/>
          <w:szCs w:val="36"/>
        </w:rPr>
        <w:t>符合参与政府采购活动的资格条件并且没有税收缴纳、社会保障等方面的失信记录的承诺函</w:t>
      </w:r>
    </w:p>
    <w:p>
      <w:pPr>
        <w:numPr>
          <w:ilvl w:val="0"/>
          <w:numId w:val="7"/>
        </w:numPr>
        <w:spacing w:line="360" w:lineRule="auto"/>
        <w:ind w:hanging="5"/>
        <w:rPr>
          <w:sz w:val="28"/>
          <w:szCs w:val="36"/>
        </w:rPr>
      </w:pPr>
      <w:r>
        <w:rPr>
          <w:rFonts w:hint="eastAsia"/>
          <w:sz w:val="28"/>
          <w:szCs w:val="36"/>
        </w:rPr>
        <w:t>具备履行合同所必需的设备和专业技术能力的证明材料</w:t>
      </w:r>
      <w:bookmarkEnd w:id="50"/>
      <w:bookmarkEnd w:id="51"/>
    </w:p>
    <w:p>
      <w:pPr>
        <w:numPr>
          <w:ilvl w:val="0"/>
          <w:numId w:val="7"/>
        </w:numPr>
        <w:spacing w:line="360" w:lineRule="auto"/>
        <w:ind w:hanging="5"/>
        <w:rPr>
          <w:sz w:val="28"/>
          <w:szCs w:val="36"/>
        </w:rPr>
      </w:pPr>
      <w:bookmarkStart w:id="52" w:name="_Toc14150_WPSOffice_Level1"/>
      <w:bookmarkStart w:id="53" w:name="_Toc4587_WPSOffice_Level1"/>
      <w:r>
        <w:rPr>
          <w:rFonts w:hint="eastAsia"/>
          <w:sz w:val="28"/>
          <w:szCs w:val="36"/>
        </w:rPr>
        <w:t>本项目要求的特定资质证书</w:t>
      </w:r>
      <w:bookmarkEnd w:id="52"/>
      <w:bookmarkEnd w:id="53"/>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4" w:name="_Toc30723_WPSOffice_Level1"/>
      <w:bookmarkStart w:id="55" w:name="_Toc31708_WPSOffice_Level1"/>
      <w:r>
        <w:rPr>
          <w:rFonts w:hint="eastAsia" w:ascii="宋体" w:hAnsi="宋体"/>
          <w:b/>
          <w:kern w:val="0"/>
          <w:sz w:val="32"/>
          <w:szCs w:val="32"/>
          <w:lang w:val="zh-CN"/>
        </w:rPr>
        <w:t>投标声明书</w:t>
      </w:r>
      <w:bookmarkEnd w:id="54"/>
      <w:bookmarkEnd w:id="55"/>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8"/>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8"/>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8"/>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8"/>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bookmarkStart w:id="56" w:name="_Toc24373_WPSOffice_Level1"/>
      <w:bookmarkStart w:id="57" w:name="_Toc6870_WPSOffice_Level1"/>
      <w:r>
        <w:rPr>
          <w:b/>
          <w:sz w:val="32"/>
          <w:szCs w:val="32"/>
        </w:rPr>
        <w:t>授权</w:t>
      </w:r>
      <w:r>
        <w:rPr>
          <w:rFonts w:hint="eastAsia"/>
          <w:b/>
          <w:sz w:val="32"/>
          <w:szCs w:val="32"/>
        </w:rPr>
        <w:t>委托</w:t>
      </w:r>
      <w:r>
        <w:rPr>
          <w:b/>
          <w:sz w:val="32"/>
          <w:szCs w:val="32"/>
        </w:rPr>
        <w:t>书</w:t>
      </w:r>
      <w:bookmarkEnd w:id="56"/>
      <w:bookmarkEnd w:id="57"/>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sz w:val="24"/>
        </w:rPr>
      </w:pPr>
      <w:r>
        <w:rPr>
          <w:rFonts w:hint="eastAsia" w:ascii="宋体"/>
          <w:sz w:val="24"/>
        </w:rPr>
        <w:br w:type="page"/>
      </w:r>
    </w:p>
    <w:p>
      <w:pPr>
        <w:adjustRightInd w:val="0"/>
        <w:snapToGrid w:val="0"/>
        <w:spacing w:line="360" w:lineRule="auto"/>
        <w:ind w:right="480"/>
        <w:rPr>
          <w:rFonts w:ascii="宋体" w:hAnsi="宋体" w:cs="宋体"/>
          <w:b/>
          <w:bCs/>
          <w:sz w:val="32"/>
          <w:szCs w:val="32"/>
        </w:rPr>
      </w:pP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120"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3"/>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2"/>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2"/>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footerReference r:id="rId3" w:type="default"/>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9"/>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9"/>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9"/>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9"/>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9"/>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9"/>
        </w:numPr>
        <w:snapToGrid w:val="0"/>
        <w:spacing w:line="360" w:lineRule="auto"/>
        <w:ind w:firstLine="576"/>
        <w:rPr>
          <w:kern w:val="0"/>
          <w:sz w:val="24"/>
        </w:rPr>
      </w:pPr>
      <w:r>
        <w:rPr>
          <w:rFonts w:hint="eastAsia"/>
          <w:kern w:val="0"/>
          <w:sz w:val="24"/>
        </w:rPr>
        <w:t>各方具体的的责任、权利、义务，在中标后经各方协商后报采购人同意后在合同中明确。</w:t>
      </w:r>
    </w:p>
    <w:p>
      <w:pPr>
        <w:numPr>
          <w:ilvl w:val="0"/>
          <w:numId w:val="9"/>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9"/>
        </w:numPr>
        <w:snapToGrid w:val="0"/>
        <w:spacing w:line="360" w:lineRule="auto"/>
        <w:ind w:firstLine="576"/>
        <w:rPr>
          <w:kern w:val="0"/>
          <w:sz w:val="24"/>
          <w:lang w:val="zh-CN"/>
        </w:rPr>
      </w:pPr>
      <w:r>
        <w:rPr>
          <w:rFonts w:hint="eastAsia"/>
          <w:kern w:val="0"/>
          <w:sz w:val="24"/>
        </w:rPr>
        <w:t>未中标，本协议自动废止。</w:t>
      </w:r>
    </w:p>
    <w:p>
      <w:pPr>
        <w:pStyle w:val="2"/>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kern w:val="0"/>
          <w:sz w:val="24"/>
        </w:rPr>
        <w:t>（注：联合体各方成员应在本协议上共同盖章，不得分别签署协议书）</w:t>
      </w:r>
    </w:p>
    <w:p>
      <w:pPr>
        <w:rPr>
          <w:rFonts w:ascii="宋体" w:hAnsi="宋体"/>
          <w:b/>
          <w:sz w:val="28"/>
        </w:rPr>
      </w:pPr>
    </w:p>
    <w:p>
      <w:pPr>
        <w:jc w:val="center"/>
        <w:rPr>
          <w:sz w:val="52"/>
          <w:szCs w:val="52"/>
        </w:rPr>
      </w:pPr>
      <w:bookmarkStart w:id="58" w:name="_Toc16825_WPSOffice_Level1"/>
      <w:bookmarkStart w:id="59" w:name="_Toc12331_WPSOffice_Level1"/>
      <w:bookmarkStart w:id="60" w:name="_Toc26389_WPSOffice_Level1"/>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58"/>
      <w:bookmarkEnd w:id="59"/>
      <w:bookmarkEnd w:id="60"/>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1"/>
      </w:pP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1"/>
      </w:pPr>
    </w:p>
    <w:p>
      <w:pPr>
        <w:spacing w:line="360" w:lineRule="auto"/>
        <w:jc w:val="center"/>
        <w:rPr>
          <w:sz w:val="28"/>
          <w:szCs w:val="28"/>
        </w:rPr>
      </w:pPr>
      <w:bookmarkStart w:id="61" w:name="_Toc11308_WPSOffice_Level1"/>
      <w:bookmarkStart w:id="62" w:name="_Toc5889_WPSOffice_Level1"/>
      <w:r>
        <w:rPr>
          <w:rFonts w:hint="eastAsia"/>
          <w:b/>
          <w:bCs/>
          <w:sz w:val="36"/>
          <w:szCs w:val="36"/>
          <w:lang w:val="zh-CN"/>
        </w:rPr>
        <w:t>商务与技术文件目录</w:t>
      </w:r>
      <w:bookmarkEnd w:id="61"/>
      <w:bookmarkEnd w:id="62"/>
    </w:p>
    <w:p>
      <w:pPr>
        <w:spacing w:line="360" w:lineRule="auto"/>
        <w:ind w:firstLine="562" w:firstLineChars="200"/>
        <w:rPr>
          <w:b/>
          <w:bCs/>
          <w:sz w:val="28"/>
          <w:szCs w:val="28"/>
        </w:rPr>
      </w:pPr>
      <w:bookmarkStart w:id="63" w:name="_Toc21250_WPSOffice_Level1"/>
      <w:bookmarkStart w:id="64" w:name="_Toc20529_WPSOffice_Level1"/>
      <w:r>
        <w:rPr>
          <w:rFonts w:hint="eastAsia"/>
          <w:b/>
          <w:bCs/>
          <w:sz w:val="28"/>
          <w:szCs w:val="28"/>
        </w:rPr>
        <w:t>第一部分  技术方案描述部分</w:t>
      </w:r>
      <w:bookmarkEnd w:id="63"/>
      <w:bookmarkEnd w:id="64"/>
    </w:p>
    <w:p>
      <w:pPr>
        <w:numPr>
          <w:ilvl w:val="0"/>
          <w:numId w:val="10"/>
        </w:numPr>
        <w:spacing w:line="360" w:lineRule="auto"/>
        <w:ind w:left="405" w:firstLine="15"/>
        <w:rPr>
          <w:sz w:val="28"/>
          <w:szCs w:val="28"/>
        </w:rPr>
      </w:pPr>
      <w:r>
        <w:rPr>
          <w:rFonts w:hint="eastAsia"/>
          <w:sz w:val="28"/>
          <w:szCs w:val="28"/>
        </w:rPr>
        <w:t>投标人情况介绍（附件4）</w:t>
      </w:r>
    </w:p>
    <w:p>
      <w:pPr>
        <w:numPr>
          <w:ilvl w:val="0"/>
          <w:numId w:val="10"/>
        </w:numPr>
        <w:spacing w:line="360" w:lineRule="auto"/>
        <w:ind w:left="405" w:firstLine="15"/>
        <w:rPr>
          <w:sz w:val="28"/>
          <w:szCs w:val="28"/>
        </w:rPr>
      </w:pPr>
      <w:r>
        <w:rPr>
          <w:rFonts w:hint="eastAsia"/>
          <w:sz w:val="28"/>
          <w:szCs w:val="28"/>
        </w:rPr>
        <w:t>项目需求的理解与分析</w:t>
      </w:r>
    </w:p>
    <w:p>
      <w:pPr>
        <w:numPr>
          <w:ilvl w:val="0"/>
          <w:numId w:val="10"/>
        </w:numPr>
        <w:spacing w:line="360" w:lineRule="auto"/>
        <w:ind w:left="405" w:firstLine="15"/>
        <w:rPr>
          <w:sz w:val="28"/>
          <w:szCs w:val="28"/>
        </w:rPr>
      </w:pPr>
      <w:r>
        <w:rPr>
          <w:rFonts w:hint="eastAsia"/>
          <w:sz w:val="28"/>
          <w:szCs w:val="28"/>
        </w:rPr>
        <w:t>项目组织实施方案（可视情选用附件5、附件6）</w:t>
      </w:r>
    </w:p>
    <w:p>
      <w:pPr>
        <w:numPr>
          <w:ilvl w:val="0"/>
          <w:numId w:val="10"/>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5" w:name="_Toc6008_WPSOffice_Level1"/>
      <w:bookmarkStart w:id="66" w:name="_Toc12004_WPSOffice_Level1"/>
      <w:r>
        <w:rPr>
          <w:rFonts w:hint="eastAsia"/>
          <w:b/>
          <w:bCs/>
          <w:sz w:val="28"/>
          <w:szCs w:val="28"/>
        </w:rPr>
        <w:t>第二部分  投标产品描述部分</w:t>
      </w:r>
      <w:bookmarkEnd w:id="65"/>
      <w:bookmarkEnd w:id="66"/>
    </w:p>
    <w:p>
      <w:pPr>
        <w:numPr>
          <w:ilvl w:val="0"/>
          <w:numId w:val="11"/>
        </w:numPr>
        <w:spacing w:line="360" w:lineRule="auto"/>
        <w:ind w:hanging="5"/>
        <w:rPr>
          <w:sz w:val="28"/>
          <w:szCs w:val="28"/>
        </w:rPr>
      </w:pPr>
      <w:r>
        <w:rPr>
          <w:rFonts w:hint="eastAsia"/>
          <w:sz w:val="28"/>
          <w:szCs w:val="28"/>
        </w:rPr>
        <w:t>投标产品描述及相关资料（可视情选用附件7）</w:t>
      </w:r>
    </w:p>
    <w:p>
      <w:pPr>
        <w:numPr>
          <w:ilvl w:val="0"/>
          <w:numId w:val="11"/>
        </w:numPr>
        <w:spacing w:line="360" w:lineRule="auto"/>
        <w:ind w:hanging="5"/>
        <w:rPr>
          <w:sz w:val="28"/>
          <w:szCs w:val="28"/>
        </w:rPr>
      </w:pPr>
      <w:r>
        <w:rPr>
          <w:rFonts w:hint="eastAsia"/>
          <w:sz w:val="28"/>
          <w:szCs w:val="28"/>
        </w:rPr>
        <w:t>技术需求响应表（附件8）</w:t>
      </w:r>
    </w:p>
    <w:p>
      <w:pPr>
        <w:numPr>
          <w:ilvl w:val="0"/>
          <w:numId w:val="11"/>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7" w:name="_Toc20986_WPSOffice_Level1"/>
      <w:bookmarkStart w:id="68" w:name="_Toc30029_WPSOffice_Level1"/>
      <w:r>
        <w:rPr>
          <w:rFonts w:hint="eastAsia"/>
          <w:b/>
          <w:bCs/>
          <w:sz w:val="28"/>
          <w:szCs w:val="28"/>
        </w:rPr>
        <w:t>第三部分  商务及其他部分</w:t>
      </w:r>
      <w:bookmarkEnd w:id="67"/>
      <w:bookmarkEnd w:id="68"/>
    </w:p>
    <w:p>
      <w:pPr>
        <w:numPr>
          <w:ilvl w:val="0"/>
          <w:numId w:val="12"/>
        </w:numPr>
        <w:spacing w:line="360" w:lineRule="auto"/>
        <w:ind w:hanging="5"/>
        <w:rPr>
          <w:sz w:val="28"/>
          <w:szCs w:val="28"/>
        </w:rPr>
      </w:pPr>
      <w:r>
        <w:rPr>
          <w:rFonts w:hint="eastAsia"/>
          <w:sz w:val="28"/>
          <w:szCs w:val="28"/>
        </w:rPr>
        <w:t>证书一览表（附件9）</w:t>
      </w:r>
    </w:p>
    <w:p>
      <w:pPr>
        <w:numPr>
          <w:ilvl w:val="0"/>
          <w:numId w:val="12"/>
        </w:numPr>
        <w:spacing w:line="360" w:lineRule="auto"/>
        <w:ind w:hanging="5"/>
        <w:rPr>
          <w:sz w:val="28"/>
          <w:szCs w:val="28"/>
        </w:rPr>
      </w:pPr>
      <w:r>
        <w:rPr>
          <w:rFonts w:hint="eastAsia"/>
          <w:sz w:val="28"/>
          <w:szCs w:val="28"/>
        </w:rPr>
        <w:t>近三年来类似项目的成功案例（附件10）</w:t>
      </w:r>
    </w:p>
    <w:p>
      <w:pPr>
        <w:numPr>
          <w:ilvl w:val="0"/>
          <w:numId w:val="12"/>
        </w:numPr>
        <w:spacing w:line="360" w:lineRule="auto"/>
        <w:ind w:hanging="5"/>
        <w:rPr>
          <w:sz w:val="28"/>
          <w:szCs w:val="28"/>
        </w:rPr>
      </w:pPr>
      <w:r>
        <w:rPr>
          <w:rFonts w:hint="eastAsia"/>
          <w:sz w:val="28"/>
          <w:szCs w:val="28"/>
        </w:rPr>
        <w:t>售后服务描述及承诺（可视情选用附件11，附件12）</w:t>
      </w:r>
    </w:p>
    <w:p>
      <w:pPr>
        <w:numPr>
          <w:ilvl w:val="0"/>
          <w:numId w:val="12"/>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2"/>
        </w:numPr>
        <w:spacing w:line="360" w:lineRule="auto"/>
        <w:ind w:hanging="5"/>
        <w:rPr>
          <w:sz w:val="28"/>
          <w:szCs w:val="28"/>
        </w:rPr>
      </w:pPr>
      <w:r>
        <w:rPr>
          <w:rFonts w:hint="eastAsia"/>
          <w:sz w:val="28"/>
          <w:szCs w:val="28"/>
        </w:rPr>
        <w:t>主要货物用材响应表（类似家具类货物采用，附件13）</w:t>
      </w:r>
    </w:p>
    <w:p>
      <w:pPr>
        <w:pStyle w:val="32"/>
        <w:spacing w:before="0" w:beforeAutospacing="0" w:after="0" w:afterAutospacing="0" w:line="360" w:lineRule="auto"/>
        <w:ind w:firstLine="482" w:firstLineChars="200"/>
        <w:jc w:val="both"/>
        <w:rPr>
          <w:b/>
        </w:rPr>
      </w:pPr>
    </w:p>
    <w:p>
      <w:pPr>
        <w:pStyle w:val="32"/>
        <w:spacing w:before="0" w:beforeAutospacing="0" w:after="0" w:afterAutospacing="0" w:line="360" w:lineRule="auto"/>
        <w:rPr>
          <w:b/>
          <w:sz w:val="28"/>
        </w:rPr>
      </w:pPr>
    </w:p>
    <w:p>
      <w:pPr>
        <w:rPr>
          <w:b/>
          <w:sz w:val="28"/>
        </w:rPr>
      </w:pPr>
      <w:r>
        <w:rPr>
          <w:b/>
          <w:sz w:val="28"/>
        </w:rPr>
        <w:br w:type="page"/>
      </w:r>
    </w:p>
    <w:p>
      <w:pPr>
        <w:pStyle w:val="32"/>
        <w:spacing w:before="0" w:beforeAutospacing="0" w:after="0" w:afterAutospacing="0" w:line="360" w:lineRule="auto"/>
        <w:rPr>
          <w:b/>
          <w:sz w:val="28"/>
        </w:rPr>
      </w:pPr>
      <w:r>
        <w:rPr>
          <w:rFonts w:hint="eastAsia"/>
          <w:b/>
          <w:sz w:val="28"/>
        </w:rPr>
        <w:t>附件4</w:t>
      </w:r>
    </w:p>
    <w:p>
      <w:pPr>
        <w:pStyle w:val="32"/>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9" w:name="_Toc14261_WPSOffice_Level1"/>
      <w:bookmarkStart w:id="70" w:name="_Toc13307_WPSOffice_Level1"/>
      <w:r>
        <w:rPr>
          <w:rFonts w:hint="eastAsia"/>
          <w:b/>
          <w:sz w:val="32"/>
          <w:szCs w:val="32"/>
        </w:rPr>
        <w:t>投标</w:t>
      </w:r>
      <w:r>
        <w:rPr>
          <w:rFonts w:hint="eastAsia"/>
          <w:b/>
          <w:bCs/>
          <w:sz w:val="32"/>
          <w:szCs w:val="32"/>
        </w:rPr>
        <w:t>人基本情况表</w:t>
      </w:r>
      <w:bookmarkEnd w:id="69"/>
      <w:bookmarkEnd w:id="70"/>
    </w:p>
    <w:tbl>
      <w:tblPr>
        <w:tblStyle w:val="22"/>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2"/>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bl>
    <w:p>
      <w:pPr>
        <w:pStyle w:val="32"/>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2"/>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附件5</w:t>
      </w:r>
    </w:p>
    <w:p>
      <w:pPr>
        <w:snapToGrid w:val="0"/>
        <w:spacing w:before="120" w:beforeLines="50" w:after="50" w:line="360" w:lineRule="auto"/>
        <w:jc w:val="center"/>
        <w:rPr>
          <w:rFonts w:ascii="宋体" w:hAnsi="宋体"/>
          <w:b/>
          <w:sz w:val="36"/>
          <w:szCs w:val="36"/>
        </w:rPr>
      </w:pPr>
      <w:bookmarkStart w:id="71" w:name="_Toc23671_WPSOffice_Level1"/>
      <w:bookmarkStart w:id="72" w:name="_Toc20569_WPSOffice_Level1"/>
      <w:r>
        <w:rPr>
          <w:rFonts w:hint="eastAsia" w:ascii="宋体" w:hAnsi="宋体"/>
          <w:b/>
          <w:sz w:val="32"/>
          <w:szCs w:val="32"/>
        </w:rPr>
        <w:t>项目实施人员一览表</w:t>
      </w:r>
      <w:bookmarkEnd w:id="71"/>
      <w:bookmarkEnd w:id="72"/>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附件6</w:t>
      </w:r>
    </w:p>
    <w:p>
      <w:pPr>
        <w:spacing w:before="120" w:beforeLines="50" w:after="120" w:afterLines="50" w:line="360" w:lineRule="auto"/>
        <w:ind w:right="-10"/>
        <w:jc w:val="center"/>
        <w:rPr>
          <w:rFonts w:ascii="宋体" w:hAnsi="宋体"/>
          <w:b/>
          <w:bCs/>
          <w:sz w:val="32"/>
          <w:szCs w:val="32"/>
        </w:rPr>
      </w:pPr>
      <w:bookmarkStart w:id="73" w:name="_Toc23055_WPSOffice_Level1"/>
      <w:bookmarkStart w:id="74" w:name="_Toc12710_WPSOffice_Level1"/>
      <w:r>
        <w:rPr>
          <w:rFonts w:hint="eastAsia" w:ascii="宋体" w:hAnsi="宋体"/>
          <w:b/>
          <w:bCs/>
          <w:sz w:val="32"/>
          <w:szCs w:val="32"/>
        </w:rPr>
        <w:t>项目负责人资格情况表</w:t>
      </w:r>
      <w:bookmarkEnd w:id="73"/>
      <w:bookmarkEnd w:id="74"/>
    </w:p>
    <w:tbl>
      <w:tblPr>
        <w:tblStyle w:val="2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附件7</w:t>
      </w:r>
    </w:p>
    <w:p>
      <w:pPr>
        <w:spacing w:line="360" w:lineRule="auto"/>
        <w:ind w:left="-2"/>
        <w:jc w:val="center"/>
        <w:rPr>
          <w:rFonts w:ascii="宋体" w:hAnsi="宋体"/>
          <w:sz w:val="24"/>
        </w:rPr>
      </w:pPr>
      <w:bookmarkStart w:id="75" w:name="_Toc32718_WPSOffice_Level1"/>
      <w:bookmarkStart w:id="76" w:name="_Toc3591_WPSOffice_Level1"/>
      <w:r>
        <w:rPr>
          <w:rFonts w:hint="eastAsia" w:ascii="宋体" w:hAnsi="宋体"/>
          <w:b/>
          <w:sz w:val="32"/>
          <w:szCs w:val="32"/>
        </w:rPr>
        <w:t>供货</w:t>
      </w:r>
      <w:r>
        <w:rPr>
          <w:rFonts w:ascii="宋体" w:hAnsi="宋体"/>
          <w:b/>
          <w:sz w:val="32"/>
          <w:szCs w:val="32"/>
        </w:rPr>
        <w:t>清单</w:t>
      </w:r>
      <w:bookmarkEnd w:id="75"/>
      <w:bookmarkEnd w:id="76"/>
    </w:p>
    <w:tbl>
      <w:tblPr>
        <w:tblStyle w:val="22"/>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3"/>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3"/>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sz w:val="32"/>
          <w:szCs w:val="32"/>
        </w:rPr>
      </w:pPr>
      <w:bookmarkStart w:id="77" w:name="_Toc26601_WPSOffice_Level1"/>
      <w:bookmarkStart w:id="78"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7"/>
      <w:bookmarkEnd w:id="78"/>
    </w:p>
    <w:tbl>
      <w:tblPr>
        <w:tblStyle w:val="22"/>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4"/>
        <w:tabs>
          <w:tab w:val="left" w:pos="360"/>
        </w:tabs>
        <w:spacing w:line="360" w:lineRule="auto"/>
        <w:jc w:val="both"/>
        <w:rPr>
          <w:rFonts w:ascii="宋体"/>
          <w:b/>
          <w:szCs w:val="21"/>
        </w:rPr>
      </w:pPr>
      <w:r>
        <w:rPr>
          <w:rFonts w:hint="eastAsia" w:ascii="宋体"/>
          <w:b/>
          <w:szCs w:val="21"/>
        </w:rPr>
        <w:t>要求：</w:t>
      </w:r>
    </w:p>
    <w:p>
      <w:pPr>
        <w:pStyle w:val="34"/>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4"/>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4"/>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5"/>
        <w:spacing w:line="360" w:lineRule="auto"/>
        <w:jc w:val="left"/>
        <w:rPr>
          <w:rFonts w:ascii="宋体" w:hAnsi="宋体"/>
          <w:b/>
          <w:sz w:val="28"/>
        </w:rPr>
      </w:pPr>
      <w:r>
        <w:rPr>
          <w:rFonts w:hint="eastAsia" w:ascii="宋体" w:hAnsi="宋体"/>
          <w:b/>
          <w:sz w:val="28"/>
        </w:rPr>
        <w:t>附件9</w:t>
      </w:r>
    </w:p>
    <w:p>
      <w:pPr>
        <w:pStyle w:val="36"/>
        <w:spacing w:line="360" w:lineRule="auto"/>
        <w:jc w:val="center"/>
        <w:rPr>
          <w:rFonts w:ascii="宋体" w:hAnsi="宋体"/>
          <w:b/>
          <w:sz w:val="32"/>
          <w:szCs w:val="32"/>
        </w:rPr>
      </w:pPr>
      <w:bookmarkStart w:id="79" w:name="_Toc11030_WPSOffice_Level1"/>
      <w:bookmarkStart w:id="80" w:name="_Toc17604_WPSOffice_Level1"/>
      <w:r>
        <w:rPr>
          <w:rFonts w:hint="eastAsia" w:ascii="宋体" w:hAnsi="宋体"/>
          <w:b/>
          <w:sz w:val="32"/>
          <w:szCs w:val="32"/>
        </w:rPr>
        <w:t>证书一览表</w:t>
      </w:r>
      <w:bookmarkEnd w:id="79"/>
      <w:bookmarkEnd w:id="80"/>
    </w:p>
    <w:tbl>
      <w:tblPr>
        <w:tblStyle w:val="22"/>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附件10</w:t>
      </w:r>
    </w:p>
    <w:p>
      <w:pPr>
        <w:pStyle w:val="35"/>
        <w:spacing w:line="360" w:lineRule="auto"/>
        <w:jc w:val="center"/>
        <w:rPr>
          <w:rFonts w:ascii="仿宋_GB2312" w:eastAsia="仿宋_GB2312"/>
          <w:b/>
          <w:sz w:val="28"/>
          <w:szCs w:val="28"/>
        </w:rPr>
      </w:pPr>
      <w:bookmarkStart w:id="81" w:name="_Toc7134_WPSOffice_Level1"/>
      <w:bookmarkStart w:id="82" w:name="_Toc19231_WPSOffice_Level1"/>
      <w:r>
        <w:rPr>
          <w:rFonts w:hint="eastAsia" w:ascii="宋体" w:hAnsi="宋体"/>
          <w:b/>
          <w:sz w:val="32"/>
          <w:szCs w:val="32"/>
        </w:rPr>
        <w:t>投标人类似项目实施情况一览表</w:t>
      </w:r>
      <w:bookmarkEnd w:id="81"/>
      <w:bookmarkEnd w:id="82"/>
    </w:p>
    <w:tbl>
      <w:tblPr>
        <w:tblStyle w:val="22"/>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6"/>
        <w:tabs>
          <w:tab w:val="left" w:pos="1050"/>
        </w:tabs>
        <w:spacing w:line="360" w:lineRule="auto"/>
        <w:rPr>
          <w:rFonts w:ascii="仿宋_GB2312" w:hAnsi="宋体"/>
          <w:sz w:val="24"/>
        </w:rPr>
      </w:pPr>
      <w:r>
        <w:rPr>
          <w:rFonts w:hint="eastAsia" w:ascii="宋体" w:hAnsi="宋体"/>
          <w:b/>
          <w:sz w:val="28"/>
        </w:rPr>
        <w:t>附件11</w:t>
      </w:r>
    </w:p>
    <w:p>
      <w:pPr>
        <w:spacing w:line="360" w:lineRule="auto"/>
        <w:ind w:hanging="9"/>
        <w:jc w:val="center"/>
        <w:rPr>
          <w:rFonts w:ascii="宋体" w:hAnsi="宋体"/>
          <w:b/>
          <w:sz w:val="18"/>
          <w:szCs w:val="18"/>
        </w:rPr>
      </w:pPr>
      <w:bookmarkStart w:id="83" w:name="_Toc3068_WPSOffice_Level1"/>
      <w:bookmarkStart w:id="84" w:name="_Toc21582_WPSOffice_Level1"/>
      <w:r>
        <w:rPr>
          <w:rFonts w:hint="eastAsia" w:ascii="宋体" w:hAnsi="宋体"/>
          <w:b/>
          <w:sz w:val="32"/>
          <w:szCs w:val="32"/>
        </w:rPr>
        <w:t>商务需求响应表</w:t>
      </w:r>
      <w:bookmarkEnd w:id="83"/>
      <w:bookmarkEnd w:id="84"/>
    </w:p>
    <w:tbl>
      <w:tblPr>
        <w:tblStyle w:val="22"/>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交货和服务</w:t>
            </w:r>
          </w:p>
          <w:p>
            <w:pPr>
              <w:snapToGrid w:val="0"/>
              <w:rPr>
                <w:rFonts w:ascii="宋体" w:hAnsi="宋体" w:cs="Arial"/>
                <w:bCs/>
                <w:szCs w:val="21"/>
              </w:rPr>
            </w:pPr>
            <w:r>
              <w:rPr>
                <w:rFonts w:hint="eastAsia" w:ascii="宋体" w:hAnsi="宋体" w:cs="Arial"/>
                <w:bCs/>
                <w:szCs w:val="21"/>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附件12</w:t>
      </w:r>
      <w:r>
        <w:rPr>
          <w:rFonts w:ascii="宋体" w:hAnsi="宋体"/>
          <w:b/>
          <w:sz w:val="28"/>
        </w:rPr>
        <w:tab/>
      </w:r>
    </w:p>
    <w:p>
      <w:pPr>
        <w:spacing w:line="360" w:lineRule="auto"/>
        <w:jc w:val="center"/>
        <w:rPr>
          <w:rFonts w:ascii="宋体" w:hAnsi="宋体"/>
          <w:b/>
          <w:sz w:val="24"/>
        </w:rPr>
      </w:pPr>
      <w:bookmarkStart w:id="85" w:name="_Toc29652_WPSOffice_Level1"/>
      <w:bookmarkStart w:id="86" w:name="_Toc3463_WPSOffice_Level1"/>
      <w:r>
        <w:rPr>
          <w:rFonts w:hint="eastAsia" w:ascii="宋体" w:hAnsi="宋体"/>
          <w:b/>
          <w:sz w:val="32"/>
          <w:szCs w:val="32"/>
        </w:rPr>
        <w:t>售后服务情况表</w:t>
      </w:r>
      <w:bookmarkEnd w:id="85"/>
      <w:bookmarkEnd w:id="86"/>
    </w:p>
    <w:tbl>
      <w:tblPr>
        <w:tblStyle w:val="22"/>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7"/>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7"/>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7"/>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7"/>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Cs w:val="21"/>
              </w:rPr>
            </w:pPr>
          </w:p>
          <w:p>
            <w:pPr>
              <w:pStyle w:val="37"/>
              <w:widowControl/>
              <w:spacing w:line="360" w:lineRule="auto"/>
              <w:jc w:val="left"/>
              <w:rPr>
                <w:rFonts w:ascii="宋体" w:hAnsi="宋体" w:cs="Arial"/>
                <w:bCs/>
                <w:szCs w:val="21"/>
              </w:rPr>
            </w:pPr>
          </w:p>
          <w:p>
            <w:pPr>
              <w:pStyle w:val="37"/>
              <w:spacing w:line="360" w:lineRule="auto"/>
              <w:rPr>
                <w:rFonts w:ascii="宋体" w:hAnsi="宋体" w:cs="Arial"/>
                <w:bCs/>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Cs w:val="21"/>
              </w:rPr>
            </w:pPr>
          </w:p>
          <w:p>
            <w:pPr>
              <w:pStyle w:val="37"/>
              <w:widowControl/>
              <w:spacing w:line="360" w:lineRule="auto"/>
              <w:jc w:val="left"/>
              <w:rPr>
                <w:rFonts w:ascii="宋体" w:hAnsi="宋体" w:cs="Arial"/>
                <w:bCs/>
                <w:szCs w:val="21"/>
              </w:rPr>
            </w:pPr>
          </w:p>
          <w:p>
            <w:pPr>
              <w:pStyle w:val="3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pStyle w:val="2"/>
        <w:ind w:firstLine="0"/>
        <w:rPr>
          <w:rFonts w:ascii="宋体" w:hAnsi="宋体"/>
          <w:sz w:val="24"/>
          <w:u w:val="single"/>
        </w:rPr>
      </w:pPr>
    </w:p>
    <w:p>
      <w:pPr>
        <w:pStyle w:val="2"/>
        <w:ind w:firstLine="0"/>
        <w:rPr>
          <w:rFonts w:ascii="宋体" w:hAnsi="宋体"/>
          <w:sz w:val="24"/>
          <w:u w:val="single"/>
        </w:rPr>
      </w:pPr>
    </w:p>
    <w:p>
      <w:pPr>
        <w:pStyle w:val="2"/>
        <w:ind w:firstLine="0"/>
        <w:rPr>
          <w:rFonts w:ascii="宋体" w:hAnsi="宋体"/>
          <w:sz w:val="24"/>
          <w:u w:val="single"/>
        </w:rPr>
      </w:pPr>
    </w:p>
    <w:p>
      <w:pPr>
        <w:pStyle w:val="38"/>
        <w:spacing w:line="360" w:lineRule="auto"/>
        <w:rPr>
          <w:rFonts w:hAnsi="宋体"/>
          <w:b/>
          <w:sz w:val="28"/>
          <w:szCs w:val="28"/>
        </w:rPr>
      </w:pPr>
      <w:r>
        <w:rPr>
          <w:rFonts w:hint="eastAsia" w:hAnsi="宋体"/>
          <w:b/>
          <w:sz w:val="28"/>
          <w:szCs w:val="28"/>
        </w:rPr>
        <w:t>附件13</w:t>
      </w:r>
    </w:p>
    <w:p>
      <w:pPr>
        <w:pStyle w:val="38"/>
        <w:spacing w:line="360" w:lineRule="auto"/>
        <w:jc w:val="center"/>
        <w:rPr>
          <w:rFonts w:hAnsi="宋体"/>
          <w:b/>
          <w:sz w:val="32"/>
          <w:szCs w:val="32"/>
          <w:lang w:val="en-GB"/>
        </w:rPr>
      </w:pPr>
      <w:bookmarkStart w:id="87" w:name="_Toc15536_WPSOffice_Level1"/>
      <w:bookmarkStart w:id="88" w:name="_Toc16175_WPSOffice_Level1"/>
      <w:r>
        <w:rPr>
          <w:rFonts w:hint="eastAsia" w:hAnsi="宋体"/>
          <w:b/>
          <w:sz w:val="32"/>
          <w:szCs w:val="32"/>
        </w:rPr>
        <w:t>主要货物用材响应表(类似家具类货物采用)</w:t>
      </w:r>
      <w:bookmarkEnd w:id="87"/>
      <w:bookmarkEnd w:id="88"/>
    </w:p>
    <w:tbl>
      <w:tblPr>
        <w:tblStyle w:val="22"/>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7"/>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7"/>
        <w:spacing w:line="360" w:lineRule="auto"/>
        <w:ind w:firstLine="480" w:firstLineChars="200"/>
        <w:rPr>
          <w:rFonts w:ascii="仿宋_GB2312" w:eastAsia="仿宋_GB2312"/>
          <w:sz w:val="24"/>
        </w:rPr>
      </w:pPr>
    </w:p>
    <w:p>
      <w:pPr>
        <w:pStyle w:val="37"/>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sz w:val="52"/>
          <w:szCs w:val="52"/>
        </w:rPr>
      </w:pPr>
      <w:bookmarkStart w:id="89" w:name="_Toc30468_WPSOffice_Level1"/>
      <w:bookmarkStart w:id="90" w:name="_Toc21322_WPSOffice_Level1"/>
      <w:bookmarkStart w:id="91" w:name="_Toc4615_WPSOffice_Level1"/>
    </w:p>
    <w:p>
      <w:pPr>
        <w:pStyle w:val="21"/>
      </w:pPr>
    </w:p>
    <w:p>
      <w:pPr>
        <w:jc w:val="center"/>
        <w:rPr>
          <w:sz w:val="52"/>
          <w:szCs w:val="52"/>
        </w:rPr>
      </w:pPr>
    </w:p>
    <w:p>
      <w:pPr>
        <w:jc w:val="center"/>
        <w:rPr>
          <w:sz w:val="52"/>
          <w:szCs w:val="52"/>
        </w:rPr>
      </w:pPr>
      <w:r>
        <w:rPr>
          <w:rFonts w:hint="eastAsia"/>
          <w:sz w:val="52"/>
          <w:szCs w:val="52"/>
        </w:rPr>
        <w:t>项目名称</w:t>
      </w:r>
      <w:bookmarkEnd w:id="89"/>
      <w:bookmarkEnd w:id="90"/>
      <w:bookmarkEnd w:id="91"/>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92" w:name="_Toc9453_WPSOffice_Level1"/>
      <w:bookmarkStart w:id="93" w:name="_Toc8885_WPSOffice_Level1"/>
      <w:r>
        <w:rPr>
          <w:rFonts w:hint="eastAsia"/>
          <w:sz w:val="84"/>
          <w:szCs w:val="84"/>
        </w:rPr>
        <w:t>报</w:t>
      </w:r>
      <w:bookmarkEnd w:id="92"/>
      <w:bookmarkEnd w:id="93"/>
    </w:p>
    <w:p>
      <w:pPr>
        <w:jc w:val="center"/>
        <w:rPr>
          <w:sz w:val="84"/>
          <w:szCs w:val="84"/>
        </w:rPr>
      </w:pPr>
      <w:bookmarkStart w:id="94" w:name="_Toc10910_WPSOffice_Level1"/>
      <w:bookmarkStart w:id="95" w:name="_Toc7485_WPSOffice_Level1"/>
      <w:r>
        <w:rPr>
          <w:rFonts w:hint="eastAsia"/>
          <w:sz w:val="84"/>
          <w:szCs w:val="84"/>
        </w:rPr>
        <w:t>价</w:t>
      </w:r>
      <w:bookmarkEnd w:id="94"/>
      <w:bookmarkEnd w:id="95"/>
    </w:p>
    <w:p>
      <w:pPr>
        <w:jc w:val="center"/>
        <w:rPr>
          <w:sz w:val="84"/>
          <w:szCs w:val="84"/>
        </w:rPr>
      </w:pPr>
      <w:bookmarkStart w:id="96" w:name="_Toc14572_WPSOffice_Level1"/>
      <w:bookmarkStart w:id="97" w:name="_Toc3932_WPSOffice_Level1"/>
      <w:r>
        <w:rPr>
          <w:rFonts w:hint="eastAsia"/>
          <w:sz w:val="84"/>
          <w:szCs w:val="84"/>
        </w:rPr>
        <w:t>文</w:t>
      </w:r>
      <w:bookmarkEnd w:id="96"/>
      <w:bookmarkEnd w:id="97"/>
    </w:p>
    <w:p>
      <w:pPr>
        <w:jc w:val="center"/>
        <w:rPr>
          <w:sz w:val="84"/>
          <w:szCs w:val="84"/>
        </w:rPr>
      </w:pPr>
      <w:bookmarkStart w:id="98" w:name="_Toc16973_WPSOffice_Level1"/>
      <w:bookmarkStart w:id="99" w:name="_Toc7562_WPSOffice_Level1"/>
      <w:r>
        <w:rPr>
          <w:rFonts w:hint="eastAsia"/>
          <w:sz w:val="84"/>
          <w:szCs w:val="84"/>
        </w:rPr>
        <w:t>件</w:t>
      </w:r>
      <w:bookmarkEnd w:id="98"/>
      <w:bookmarkEnd w:id="99"/>
    </w:p>
    <w:p>
      <w:pPr>
        <w:spacing w:line="360" w:lineRule="auto"/>
        <w:ind w:right="532"/>
        <w:rPr>
          <w:rFonts w:ascii="宋体" w:hAnsi="宋体"/>
          <w:sz w:val="36"/>
          <w:szCs w:val="36"/>
        </w:rPr>
      </w:pPr>
    </w:p>
    <w:p>
      <w:pPr>
        <w:pStyle w:val="21"/>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0" w:name="_Toc4603_WPSOffice_Level1"/>
      <w:bookmarkStart w:id="101" w:name="_Toc26700_WPSOffice_Level1"/>
      <w:r>
        <w:rPr>
          <w:rFonts w:hint="eastAsia" w:ascii="宋体" w:hAnsi="宋体"/>
          <w:sz w:val="36"/>
          <w:szCs w:val="36"/>
        </w:rPr>
        <w:t>投标人全称（公章）：</w:t>
      </w:r>
      <w:bookmarkEnd w:id="100"/>
      <w:bookmarkEnd w:id="101"/>
    </w:p>
    <w:p>
      <w:pPr>
        <w:spacing w:line="360" w:lineRule="auto"/>
        <w:ind w:right="-108" w:firstLine="720" w:firstLineChars="200"/>
        <w:rPr>
          <w:rFonts w:ascii="宋体" w:hAnsi="宋体"/>
          <w:sz w:val="36"/>
          <w:szCs w:val="36"/>
        </w:rPr>
      </w:pPr>
      <w:bookmarkStart w:id="102" w:name="_Toc32593_WPSOffice_Level1"/>
      <w:bookmarkStart w:id="103" w:name="_Toc1391_WPSOffice_Level1"/>
      <w:r>
        <w:rPr>
          <w:rFonts w:hint="eastAsia" w:ascii="宋体" w:hAnsi="宋体"/>
          <w:sz w:val="36"/>
          <w:szCs w:val="36"/>
        </w:rPr>
        <w:t>地    址：</w:t>
      </w:r>
      <w:bookmarkEnd w:id="102"/>
      <w:bookmarkEnd w:id="103"/>
    </w:p>
    <w:p>
      <w:pPr>
        <w:spacing w:line="360" w:lineRule="auto"/>
        <w:ind w:right="-108" w:firstLine="720" w:firstLineChars="200"/>
        <w:rPr>
          <w:rFonts w:ascii="宋体" w:hAnsi="宋体"/>
          <w:sz w:val="36"/>
          <w:szCs w:val="36"/>
        </w:rPr>
      </w:pPr>
      <w:bookmarkStart w:id="104" w:name="_Toc3791_WPSOffice_Level1"/>
      <w:bookmarkStart w:id="105" w:name="_Toc20938_WPSOffice_Level1"/>
      <w:r>
        <w:rPr>
          <w:rFonts w:hint="eastAsia" w:ascii="宋体" w:hAnsi="宋体"/>
          <w:sz w:val="36"/>
          <w:szCs w:val="36"/>
        </w:rPr>
        <w:t>时    间：</w:t>
      </w:r>
      <w:bookmarkEnd w:id="104"/>
      <w:bookmarkEnd w:id="105"/>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2"/>
        <w:ind w:firstLine="0"/>
        <w:rPr>
          <w:rFonts w:ascii="仿宋_GB2312" w:hAnsi="宋体" w:eastAsia="仿宋_GB2312"/>
          <w:b/>
          <w:sz w:val="36"/>
          <w:szCs w:val="36"/>
        </w:rPr>
      </w:pPr>
    </w:p>
    <w:p>
      <w:pPr>
        <w:pStyle w:val="2"/>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106" w:name="_Toc29537_WPSOffice_Level1"/>
      <w:bookmarkStart w:id="107" w:name="_Toc19972_WPSOffice_Level1"/>
      <w:r>
        <w:rPr>
          <w:rFonts w:hint="eastAsia" w:ascii="宋体" w:hAnsi="宋体"/>
          <w:b/>
          <w:bCs/>
          <w:sz w:val="36"/>
          <w:szCs w:val="36"/>
        </w:rPr>
        <w:t>报价文件目录</w:t>
      </w:r>
      <w:bookmarkEnd w:id="106"/>
      <w:bookmarkEnd w:id="107"/>
    </w:p>
    <w:p>
      <w:pPr>
        <w:pStyle w:val="21"/>
      </w:pPr>
    </w:p>
    <w:p>
      <w:pPr>
        <w:spacing w:line="360" w:lineRule="auto"/>
        <w:ind w:firstLine="480" w:firstLineChars="200"/>
        <w:rPr>
          <w:sz w:val="24"/>
        </w:rPr>
      </w:pPr>
    </w:p>
    <w:p>
      <w:pPr>
        <w:numPr>
          <w:ilvl w:val="0"/>
          <w:numId w:val="14"/>
        </w:numPr>
        <w:spacing w:line="360" w:lineRule="auto"/>
        <w:rPr>
          <w:rFonts w:asciiTheme="minorEastAsia" w:hAnsiTheme="minorEastAsia" w:eastAsiaTheme="minorEastAsia" w:cstheme="minorEastAsia"/>
          <w:sz w:val="28"/>
          <w:szCs w:val="28"/>
        </w:rPr>
      </w:pPr>
      <w:bookmarkStart w:id="108" w:name="_Toc6778_WPSOffice_Level1"/>
      <w:bookmarkStart w:id="109" w:name="_Toc29988_WPSOffice_Level1"/>
      <w:r>
        <w:rPr>
          <w:rFonts w:hint="eastAsia" w:asciiTheme="minorEastAsia" w:hAnsiTheme="minorEastAsia" w:eastAsiaTheme="minorEastAsia" w:cstheme="minorEastAsia"/>
          <w:sz w:val="28"/>
          <w:szCs w:val="28"/>
        </w:rPr>
        <w:t>开标一览表（附件14）</w:t>
      </w:r>
      <w:bookmarkEnd w:id="108"/>
      <w:bookmarkEnd w:id="109"/>
    </w:p>
    <w:p>
      <w:pPr>
        <w:numPr>
          <w:ilvl w:val="0"/>
          <w:numId w:val="14"/>
        </w:numPr>
        <w:spacing w:line="360" w:lineRule="auto"/>
        <w:rPr>
          <w:rFonts w:asciiTheme="minorEastAsia" w:hAnsiTheme="minorEastAsia" w:eastAsiaTheme="minorEastAsia" w:cstheme="minorEastAsia"/>
          <w:sz w:val="28"/>
          <w:szCs w:val="28"/>
        </w:rPr>
      </w:pPr>
      <w:bookmarkStart w:id="110" w:name="_Toc11601_WPSOffice_Level1"/>
      <w:bookmarkStart w:id="111" w:name="_Toc15601_WPSOffice_Level1"/>
      <w:r>
        <w:rPr>
          <w:rFonts w:hint="eastAsia" w:asciiTheme="minorEastAsia" w:hAnsiTheme="minorEastAsia" w:eastAsiaTheme="minorEastAsia" w:cstheme="minorEastAsia"/>
          <w:sz w:val="28"/>
          <w:szCs w:val="28"/>
        </w:rPr>
        <w:t>报价明细表（附件15）</w:t>
      </w:r>
      <w:bookmarkEnd w:id="110"/>
      <w:bookmarkEnd w:id="111"/>
    </w:p>
    <w:p>
      <w:pPr>
        <w:numPr>
          <w:ilvl w:val="0"/>
          <w:numId w:val="14"/>
        </w:numPr>
        <w:spacing w:line="360" w:lineRule="auto"/>
        <w:rPr>
          <w:rFonts w:asciiTheme="minorEastAsia" w:hAnsiTheme="minorEastAsia" w:eastAsiaTheme="minorEastAsia" w:cstheme="minorEastAsia"/>
          <w:sz w:val="28"/>
          <w:szCs w:val="28"/>
        </w:rPr>
      </w:pPr>
      <w:bookmarkStart w:id="112" w:name="_Toc17543_WPSOffice_Level1"/>
      <w:bookmarkStart w:id="113"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（附件16）</w:t>
      </w:r>
      <w:bookmarkEnd w:id="112"/>
      <w:bookmarkEnd w:id="113"/>
    </w:p>
    <w:p>
      <w:pPr>
        <w:numPr>
          <w:ilvl w:val="0"/>
          <w:numId w:val="1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14" w:name="_Toc30363_WPSOffice_Level1"/>
      <w:bookmarkStart w:id="115" w:name="_Toc16144_WPSOffice_Level1"/>
      <w:r>
        <w:rPr>
          <w:rFonts w:hint="eastAsia" w:ascii="宋体" w:hAnsi="宋体"/>
          <w:b/>
          <w:sz w:val="32"/>
          <w:szCs w:val="32"/>
        </w:rPr>
        <w:t>开标一览表</w:t>
      </w:r>
      <w:bookmarkEnd w:id="114"/>
      <w:bookmarkEnd w:id="115"/>
    </w:p>
    <w:p>
      <w:pPr>
        <w:pStyle w:val="21"/>
      </w:pPr>
    </w:p>
    <w:p>
      <w:pPr>
        <w:pStyle w:val="13"/>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cs="宋体"/>
          <w:sz w:val="24"/>
        </w:rPr>
      </w:pPr>
      <w:r>
        <w:rPr>
          <w:rFonts w:hint="eastAsia" w:ascii="宋体" w:hAnsi="宋体"/>
          <w:b/>
          <w:szCs w:val="21"/>
        </w:rPr>
        <w:t>填报要求：</w:t>
      </w:r>
      <w:r>
        <w:rPr>
          <w:rFonts w:hint="eastAsia" w:ascii="宋体" w:hAnsi="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sz w:val="24"/>
        </w:rPr>
      </w:pPr>
      <w:bookmarkStart w:id="116" w:name="_Toc8975_WPSOffice_Level1"/>
      <w:bookmarkStart w:id="117" w:name="_Toc22412_WPSOffice_Level1"/>
      <w:r>
        <w:rPr>
          <w:rFonts w:hint="eastAsia" w:ascii="宋体" w:hAnsi="宋体"/>
          <w:b/>
          <w:sz w:val="32"/>
          <w:szCs w:val="32"/>
        </w:rPr>
        <w:t>报价明细表</w:t>
      </w:r>
      <w:bookmarkEnd w:id="116"/>
      <w:bookmarkEnd w:id="117"/>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1"/>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120" w:beforeLines="50" w:after="50" w:line="360" w:lineRule="auto"/>
        <w:rPr>
          <w:rFonts w:ascii="宋体" w:hAnsi="宋体"/>
          <w:b/>
          <w:sz w:val="28"/>
          <w:szCs w:val="28"/>
        </w:rPr>
      </w:pPr>
      <w:r>
        <w:rPr>
          <w:rFonts w:hint="eastAsia" w:ascii="宋体" w:hAnsi="宋体"/>
          <w:b/>
          <w:sz w:val="28"/>
        </w:rPr>
        <w:t>附件16</w:t>
      </w:r>
    </w:p>
    <w:p>
      <w:pPr>
        <w:pStyle w:val="2"/>
        <w:spacing w:line="360" w:lineRule="auto"/>
        <w:ind w:firstLine="0"/>
        <w:jc w:val="center"/>
        <w:rPr>
          <w:rFonts w:ascii="宋体" w:hAnsi="宋体" w:cs="宋体"/>
          <w:b/>
          <w:sz w:val="32"/>
          <w:szCs w:val="32"/>
        </w:rPr>
      </w:pPr>
      <w:bookmarkStart w:id="118" w:name="_Toc29357_WPSOffice_Level1"/>
      <w:bookmarkStart w:id="119" w:name="_Toc12654_WPSOffice_Level1"/>
      <w:r>
        <w:rPr>
          <w:rFonts w:hint="eastAsia" w:ascii="宋体" w:hAnsi="宋体" w:cs="宋体"/>
          <w:b/>
          <w:sz w:val="32"/>
          <w:szCs w:val="32"/>
        </w:rPr>
        <w:t>中小企业声明函（货物）</w:t>
      </w:r>
      <w:bookmarkEnd w:id="118"/>
      <w:bookmarkEnd w:id="119"/>
    </w:p>
    <w:p>
      <w:pPr>
        <w:pStyle w:val="2"/>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5" w:type="first"/>
          <w:footerReference r:id="rId7" w:type="first"/>
          <w:headerReference r:id="rId4" w:type="default"/>
          <w:footerReference r:id="rId6"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3"/>
        <w:spacing w:line="360" w:lineRule="auto"/>
        <w:jc w:val="center"/>
        <w:outlineLvl w:val="1"/>
        <w:rPr>
          <w:rFonts w:hAnsi="宋体" w:cs="宋体"/>
          <w:b/>
          <w:sz w:val="32"/>
          <w:szCs w:val="32"/>
          <w:lang w:val="en-GB"/>
        </w:rPr>
      </w:pPr>
      <w:bookmarkStart w:id="120" w:name="_Toc17646_WPSOffice_Level1"/>
      <w:bookmarkStart w:id="121" w:name="_Toc27483_WPSOffice_Level1"/>
      <w:r>
        <w:rPr>
          <w:rFonts w:hint="eastAsia" w:hAnsi="宋体" w:cs="宋体"/>
          <w:b/>
          <w:sz w:val="32"/>
          <w:szCs w:val="32"/>
          <w:lang w:val="en-GB"/>
        </w:rPr>
        <w:t>残疾人福利性单位声明函</w:t>
      </w:r>
      <w:bookmarkEnd w:id="120"/>
      <w:bookmarkEnd w:id="121"/>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2"/>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2"/>
        <w:spacing w:line="360" w:lineRule="auto"/>
      </w:pPr>
    </w:p>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170625"/>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政府采购文件公开招标货物类示范文本（试行）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E256D0B7"/>
    <w:multiLevelType w:val="singleLevel"/>
    <w:tmpl w:val="E256D0B7"/>
    <w:lvl w:ilvl="0" w:tentative="0">
      <w:start w:val="1"/>
      <w:numFmt w:val="decimal"/>
      <w:lvlText w:val="%1."/>
      <w:lvlJc w:val="left"/>
      <w:pPr>
        <w:tabs>
          <w:tab w:val="left" w:pos="312"/>
        </w:tabs>
      </w:pPr>
    </w:lvl>
  </w:abstractNum>
  <w:abstractNum w:abstractNumId="6">
    <w:nsid w:val="FF4D4BA8"/>
    <w:multiLevelType w:val="singleLevel"/>
    <w:tmpl w:val="FF4D4BA8"/>
    <w:lvl w:ilvl="0" w:tentative="0">
      <w:start w:val="1"/>
      <w:numFmt w:val="decimal"/>
      <w:lvlText w:val="%1."/>
      <w:lvlJc w:val="left"/>
      <w:pPr>
        <w:ind w:left="425" w:hanging="425"/>
      </w:pPr>
      <w:rPr>
        <w:rFonts w:hint="default"/>
      </w:rPr>
    </w:lvl>
  </w:abstractNum>
  <w:abstractNum w:abstractNumId="7">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8">
    <w:nsid w:val="1D689EF5"/>
    <w:multiLevelType w:val="singleLevel"/>
    <w:tmpl w:val="1D689EF5"/>
    <w:lvl w:ilvl="0" w:tentative="0">
      <w:start w:val="2"/>
      <w:numFmt w:val="chineseCounting"/>
      <w:suff w:val="nothing"/>
      <w:lvlText w:val="%1、"/>
      <w:lvlJc w:val="left"/>
      <w:rPr>
        <w:rFonts w:hint="eastAsia"/>
      </w:rPr>
    </w:lvl>
  </w:abstractNum>
  <w:abstractNum w:abstractNumId="9">
    <w:nsid w:val="289F1F1C"/>
    <w:multiLevelType w:val="singleLevel"/>
    <w:tmpl w:val="289F1F1C"/>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7488A27B"/>
    <w:multiLevelType w:val="singleLevel"/>
    <w:tmpl w:val="7488A27B"/>
    <w:lvl w:ilvl="0" w:tentative="0">
      <w:start w:val="1"/>
      <w:numFmt w:val="decimal"/>
      <w:lvlText w:val="%1."/>
      <w:lvlJc w:val="left"/>
      <w:pPr>
        <w:ind w:left="425" w:hanging="425"/>
      </w:pPr>
      <w:rPr>
        <w:rFonts w:hint="default"/>
      </w:rPr>
    </w:lvl>
  </w:abstractNum>
  <w:abstractNum w:abstractNumId="12">
    <w:nsid w:val="7B0D6C53"/>
    <w:multiLevelType w:val="singleLevel"/>
    <w:tmpl w:val="7B0D6C53"/>
    <w:lvl w:ilvl="0" w:tentative="0">
      <w:start w:val="3"/>
      <w:numFmt w:val="decimal"/>
      <w:suff w:val="nothing"/>
      <w:lvlText w:val="%1）"/>
      <w:lvlJc w:val="left"/>
    </w:lvl>
  </w:abstractNum>
  <w:abstractNum w:abstractNumId="13">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7"/>
  </w:num>
  <w:num w:numId="3">
    <w:abstractNumId w:val="4"/>
  </w:num>
  <w:num w:numId="4">
    <w:abstractNumId w:val="8"/>
  </w:num>
  <w:num w:numId="5">
    <w:abstractNumId w:val="12"/>
  </w:num>
  <w:num w:numId="6">
    <w:abstractNumId w:val="5"/>
  </w:num>
  <w:num w:numId="7">
    <w:abstractNumId w:val="0"/>
  </w:num>
  <w:num w:numId="8">
    <w:abstractNumId w:val="13"/>
  </w:num>
  <w:num w:numId="9">
    <w:abstractNumId w:val="1"/>
  </w:num>
  <w:num w:numId="10">
    <w:abstractNumId w:val="11"/>
  </w:num>
  <w:num w:numId="11">
    <w:abstractNumId w:val="2"/>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027C1"/>
    <w:rsid w:val="0002799D"/>
    <w:rsid w:val="00037F4A"/>
    <w:rsid w:val="00064022"/>
    <w:rsid w:val="00072A3F"/>
    <w:rsid w:val="00075E15"/>
    <w:rsid w:val="000A0224"/>
    <w:rsid w:val="000B2B4A"/>
    <w:rsid w:val="000D67C7"/>
    <w:rsid w:val="000E538F"/>
    <w:rsid w:val="001136A2"/>
    <w:rsid w:val="00117ECC"/>
    <w:rsid w:val="00130E5C"/>
    <w:rsid w:val="00137240"/>
    <w:rsid w:val="001B51C8"/>
    <w:rsid w:val="001C4F91"/>
    <w:rsid w:val="001E6CF9"/>
    <w:rsid w:val="001F66F9"/>
    <w:rsid w:val="00242A20"/>
    <w:rsid w:val="00245F1F"/>
    <w:rsid w:val="00297795"/>
    <w:rsid w:val="002A4418"/>
    <w:rsid w:val="002A5947"/>
    <w:rsid w:val="002C39EE"/>
    <w:rsid w:val="00312C7C"/>
    <w:rsid w:val="00315916"/>
    <w:rsid w:val="003201FA"/>
    <w:rsid w:val="003250E1"/>
    <w:rsid w:val="00330F75"/>
    <w:rsid w:val="00376497"/>
    <w:rsid w:val="00382174"/>
    <w:rsid w:val="003C4BB8"/>
    <w:rsid w:val="003D38B1"/>
    <w:rsid w:val="003E7404"/>
    <w:rsid w:val="003F5050"/>
    <w:rsid w:val="00401AC8"/>
    <w:rsid w:val="00411964"/>
    <w:rsid w:val="00494691"/>
    <w:rsid w:val="004C0292"/>
    <w:rsid w:val="004E3D59"/>
    <w:rsid w:val="00507D6B"/>
    <w:rsid w:val="005240D4"/>
    <w:rsid w:val="005250E6"/>
    <w:rsid w:val="00530FE9"/>
    <w:rsid w:val="00565F77"/>
    <w:rsid w:val="0057698C"/>
    <w:rsid w:val="0059473C"/>
    <w:rsid w:val="00595779"/>
    <w:rsid w:val="005A610B"/>
    <w:rsid w:val="005B7FA6"/>
    <w:rsid w:val="005E38A2"/>
    <w:rsid w:val="005E5A91"/>
    <w:rsid w:val="005F41F8"/>
    <w:rsid w:val="00623A21"/>
    <w:rsid w:val="00623E15"/>
    <w:rsid w:val="00627077"/>
    <w:rsid w:val="00627D71"/>
    <w:rsid w:val="0066350B"/>
    <w:rsid w:val="00697925"/>
    <w:rsid w:val="006B74FE"/>
    <w:rsid w:val="006F24A9"/>
    <w:rsid w:val="006F679D"/>
    <w:rsid w:val="0071756A"/>
    <w:rsid w:val="0072317A"/>
    <w:rsid w:val="00732806"/>
    <w:rsid w:val="00745CDF"/>
    <w:rsid w:val="007524E7"/>
    <w:rsid w:val="0076595C"/>
    <w:rsid w:val="00765AA8"/>
    <w:rsid w:val="007950CC"/>
    <w:rsid w:val="007E352A"/>
    <w:rsid w:val="007E4962"/>
    <w:rsid w:val="008116D3"/>
    <w:rsid w:val="00824FA9"/>
    <w:rsid w:val="008E6922"/>
    <w:rsid w:val="00914D4A"/>
    <w:rsid w:val="0093255C"/>
    <w:rsid w:val="0094215D"/>
    <w:rsid w:val="00953601"/>
    <w:rsid w:val="00960352"/>
    <w:rsid w:val="0098134D"/>
    <w:rsid w:val="00987EDA"/>
    <w:rsid w:val="009B2E14"/>
    <w:rsid w:val="00A11B11"/>
    <w:rsid w:val="00A6046F"/>
    <w:rsid w:val="00A66345"/>
    <w:rsid w:val="00A678FC"/>
    <w:rsid w:val="00A773BF"/>
    <w:rsid w:val="00A921FD"/>
    <w:rsid w:val="00A92F39"/>
    <w:rsid w:val="00A97E75"/>
    <w:rsid w:val="00AA020C"/>
    <w:rsid w:val="00AB49B7"/>
    <w:rsid w:val="00AB4C06"/>
    <w:rsid w:val="00AD6AB8"/>
    <w:rsid w:val="00AD71D5"/>
    <w:rsid w:val="00B023A2"/>
    <w:rsid w:val="00B44061"/>
    <w:rsid w:val="00B54195"/>
    <w:rsid w:val="00B54E9F"/>
    <w:rsid w:val="00BD378A"/>
    <w:rsid w:val="00C4791F"/>
    <w:rsid w:val="00C86D46"/>
    <w:rsid w:val="00CA0604"/>
    <w:rsid w:val="00CE6BC3"/>
    <w:rsid w:val="00CF3329"/>
    <w:rsid w:val="00D00C48"/>
    <w:rsid w:val="00D0546E"/>
    <w:rsid w:val="00D07E9B"/>
    <w:rsid w:val="00DB1E3F"/>
    <w:rsid w:val="00DB267A"/>
    <w:rsid w:val="00DC1336"/>
    <w:rsid w:val="00E32B23"/>
    <w:rsid w:val="00E41EBA"/>
    <w:rsid w:val="00E448AC"/>
    <w:rsid w:val="00E66CDC"/>
    <w:rsid w:val="00E70F20"/>
    <w:rsid w:val="00EC04A9"/>
    <w:rsid w:val="00ED3742"/>
    <w:rsid w:val="00EF43FF"/>
    <w:rsid w:val="00F26F1C"/>
    <w:rsid w:val="00F31536"/>
    <w:rsid w:val="00F5034C"/>
    <w:rsid w:val="00F53998"/>
    <w:rsid w:val="00F818A3"/>
    <w:rsid w:val="00FB3282"/>
    <w:rsid w:val="00FF36D5"/>
    <w:rsid w:val="010742D5"/>
    <w:rsid w:val="01077B6C"/>
    <w:rsid w:val="011C2867"/>
    <w:rsid w:val="011E4134"/>
    <w:rsid w:val="012355F0"/>
    <w:rsid w:val="012B6D61"/>
    <w:rsid w:val="015C2A86"/>
    <w:rsid w:val="015F789E"/>
    <w:rsid w:val="01851778"/>
    <w:rsid w:val="01AE11E6"/>
    <w:rsid w:val="01B70CE3"/>
    <w:rsid w:val="01C54B55"/>
    <w:rsid w:val="01D10A61"/>
    <w:rsid w:val="01D61DCE"/>
    <w:rsid w:val="01F170ED"/>
    <w:rsid w:val="01F53A09"/>
    <w:rsid w:val="01F916C8"/>
    <w:rsid w:val="02040004"/>
    <w:rsid w:val="022115FB"/>
    <w:rsid w:val="02292E42"/>
    <w:rsid w:val="02375009"/>
    <w:rsid w:val="02536BAE"/>
    <w:rsid w:val="0277756A"/>
    <w:rsid w:val="0294584C"/>
    <w:rsid w:val="029A4E8A"/>
    <w:rsid w:val="02AD7B3D"/>
    <w:rsid w:val="02BD7D6C"/>
    <w:rsid w:val="02C73731"/>
    <w:rsid w:val="02E225EA"/>
    <w:rsid w:val="032A675A"/>
    <w:rsid w:val="032C58C3"/>
    <w:rsid w:val="036059A4"/>
    <w:rsid w:val="036E261F"/>
    <w:rsid w:val="037628ED"/>
    <w:rsid w:val="03804F1D"/>
    <w:rsid w:val="038D5F87"/>
    <w:rsid w:val="03996F9E"/>
    <w:rsid w:val="03A92BAF"/>
    <w:rsid w:val="03AD4EC4"/>
    <w:rsid w:val="03DC5B25"/>
    <w:rsid w:val="03F9723A"/>
    <w:rsid w:val="041155D0"/>
    <w:rsid w:val="04315D2A"/>
    <w:rsid w:val="04431C4F"/>
    <w:rsid w:val="044D523C"/>
    <w:rsid w:val="04604D98"/>
    <w:rsid w:val="046212F9"/>
    <w:rsid w:val="04663F34"/>
    <w:rsid w:val="04686D1E"/>
    <w:rsid w:val="04D70E27"/>
    <w:rsid w:val="04E746F0"/>
    <w:rsid w:val="04E87471"/>
    <w:rsid w:val="05044DF3"/>
    <w:rsid w:val="050A0D5B"/>
    <w:rsid w:val="050D23B9"/>
    <w:rsid w:val="05162537"/>
    <w:rsid w:val="051E7487"/>
    <w:rsid w:val="053F0EAC"/>
    <w:rsid w:val="053F23D3"/>
    <w:rsid w:val="056B3DBF"/>
    <w:rsid w:val="057D6BFC"/>
    <w:rsid w:val="057E41A9"/>
    <w:rsid w:val="05B01B1D"/>
    <w:rsid w:val="05BC5BB6"/>
    <w:rsid w:val="05CB2372"/>
    <w:rsid w:val="05FD1629"/>
    <w:rsid w:val="06221E50"/>
    <w:rsid w:val="0640264B"/>
    <w:rsid w:val="065F2756"/>
    <w:rsid w:val="06653309"/>
    <w:rsid w:val="06653EC4"/>
    <w:rsid w:val="067544C8"/>
    <w:rsid w:val="0699402C"/>
    <w:rsid w:val="069C64C8"/>
    <w:rsid w:val="06A0112C"/>
    <w:rsid w:val="06AD7687"/>
    <w:rsid w:val="06B864B2"/>
    <w:rsid w:val="06D372D6"/>
    <w:rsid w:val="06D64E56"/>
    <w:rsid w:val="06F061D6"/>
    <w:rsid w:val="06F53ABA"/>
    <w:rsid w:val="0703081A"/>
    <w:rsid w:val="070C5153"/>
    <w:rsid w:val="070E765D"/>
    <w:rsid w:val="07157529"/>
    <w:rsid w:val="071747A0"/>
    <w:rsid w:val="071E2C8A"/>
    <w:rsid w:val="07347410"/>
    <w:rsid w:val="07375BAD"/>
    <w:rsid w:val="07425FC3"/>
    <w:rsid w:val="074273EB"/>
    <w:rsid w:val="07463A3E"/>
    <w:rsid w:val="074E4D14"/>
    <w:rsid w:val="076F5EE1"/>
    <w:rsid w:val="079F3EE7"/>
    <w:rsid w:val="07AE41DE"/>
    <w:rsid w:val="07D85507"/>
    <w:rsid w:val="07DF5164"/>
    <w:rsid w:val="07E50580"/>
    <w:rsid w:val="07F46C10"/>
    <w:rsid w:val="07F9224F"/>
    <w:rsid w:val="07FA589D"/>
    <w:rsid w:val="082E5DF2"/>
    <w:rsid w:val="08422A5C"/>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375EC4"/>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3E6778"/>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A918FE"/>
    <w:rsid w:val="0CBE1DF9"/>
    <w:rsid w:val="0CC0545E"/>
    <w:rsid w:val="0CC9599A"/>
    <w:rsid w:val="0CCB72C6"/>
    <w:rsid w:val="0CE0341A"/>
    <w:rsid w:val="0D10283C"/>
    <w:rsid w:val="0D18022F"/>
    <w:rsid w:val="0D3F7F2E"/>
    <w:rsid w:val="0D494870"/>
    <w:rsid w:val="0D5456F5"/>
    <w:rsid w:val="0D5955C7"/>
    <w:rsid w:val="0D705EC6"/>
    <w:rsid w:val="0D7C5049"/>
    <w:rsid w:val="0D83675C"/>
    <w:rsid w:val="0D8C75B3"/>
    <w:rsid w:val="0D9E0018"/>
    <w:rsid w:val="0DAB2E51"/>
    <w:rsid w:val="0DB757B9"/>
    <w:rsid w:val="0DC07907"/>
    <w:rsid w:val="0DE7555E"/>
    <w:rsid w:val="0DF06351"/>
    <w:rsid w:val="0E0979BF"/>
    <w:rsid w:val="0E5A014C"/>
    <w:rsid w:val="0E5E4DB8"/>
    <w:rsid w:val="0E5F6E07"/>
    <w:rsid w:val="0E607B1B"/>
    <w:rsid w:val="0E6126CF"/>
    <w:rsid w:val="0E635AF2"/>
    <w:rsid w:val="0E7F77A7"/>
    <w:rsid w:val="0E8405CA"/>
    <w:rsid w:val="0E8D5133"/>
    <w:rsid w:val="0E971943"/>
    <w:rsid w:val="0E9954D9"/>
    <w:rsid w:val="0EB1236A"/>
    <w:rsid w:val="0F197C6F"/>
    <w:rsid w:val="0F270991"/>
    <w:rsid w:val="0F3E6F11"/>
    <w:rsid w:val="0F506DCD"/>
    <w:rsid w:val="0F5E388F"/>
    <w:rsid w:val="0F6F7789"/>
    <w:rsid w:val="0FB83C20"/>
    <w:rsid w:val="0FC27645"/>
    <w:rsid w:val="0FC56A57"/>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566DEC"/>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863A4E"/>
    <w:rsid w:val="12887C05"/>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AE3CA0"/>
    <w:rsid w:val="13C30E6E"/>
    <w:rsid w:val="140769BE"/>
    <w:rsid w:val="1413430F"/>
    <w:rsid w:val="141613F9"/>
    <w:rsid w:val="14203CB8"/>
    <w:rsid w:val="142D2812"/>
    <w:rsid w:val="143A0B7C"/>
    <w:rsid w:val="143C354F"/>
    <w:rsid w:val="144646A7"/>
    <w:rsid w:val="144E07B1"/>
    <w:rsid w:val="14545F32"/>
    <w:rsid w:val="14596F4E"/>
    <w:rsid w:val="146F011F"/>
    <w:rsid w:val="147632A2"/>
    <w:rsid w:val="14872049"/>
    <w:rsid w:val="148C5522"/>
    <w:rsid w:val="14936552"/>
    <w:rsid w:val="14C272D2"/>
    <w:rsid w:val="14C736D4"/>
    <w:rsid w:val="14E463A0"/>
    <w:rsid w:val="14EA3450"/>
    <w:rsid w:val="14F767B6"/>
    <w:rsid w:val="14FB222F"/>
    <w:rsid w:val="14FF79DA"/>
    <w:rsid w:val="150F0D42"/>
    <w:rsid w:val="151C2838"/>
    <w:rsid w:val="153E582F"/>
    <w:rsid w:val="159016BB"/>
    <w:rsid w:val="15E5000F"/>
    <w:rsid w:val="16031113"/>
    <w:rsid w:val="16213B9C"/>
    <w:rsid w:val="165322D8"/>
    <w:rsid w:val="16674FC6"/>
    <w:rsid w:val="16692CA6"/>
    <w:rsid w:val="16725D01"/>
    <w:rsid w:val="168F227C"/>
    <w:rsid w:val="16F45F36"/>
    <w:rsid w:val="16FC1D97"/>
    <w:rsid w:val="171F0861"/>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AA0A18"/>
    <w:rsid w:val="18DF40DC"/>
    <w:rsid w:val="18F45107"/>
    <w:rsid w:val="18F47AF6"/>
    <w:rsid w:val="190A522C"/>
    <w:rsid w:val="191A22E4"/>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5B5BFF"/>
    <w:rsid w:val="1A777345"/>
    <w:rsid w:val="1A7A4184"/>
    <w:rsid w:val="1A8D59A2"/>
    <w:rsid w:val="1A8E3BCD"/>
    <w:rsid w:val="1ACA0A0B"/>
    <w:rsid w:val="1AD15B84"/>
    <w:rsid w:val="1ADA6CD0"/>
    <w:rsid w:val="1AF47380"/>
    <w:rsid w:val="1AF81037"/>
    <w:rsid w:val="1B0C0005"/>
    <w:rsid w:val="1B251F48"/>
    <w:rsid w:val="1B3833FF"/>
    <w:rsid w:val="1B396BED"/>
    <w:rsid w:val="1B4C6CA1"/>
    <w:rsid w:val="1B52759D"/>
    <w:rsid w:val="1B612ED3"/>
    <w:rsid w:val="1B6A011C"/>
    <w:rsid w:val="1B705E15"/>
    <w:rsid w:val="1B8C6B7B"/>
    <w:rsid w:val="1B9F00ED"/>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3A0575"/>
    <w:rsid w:val="1D4105A8"/>
    <w:rsid w:val="1D487EB6"/>
    <w:rsid w:val="1D7B204C"/>
    <w:rsid w:val="1D7E0451"/>
    <w:rsid w:val="1DA8115B"/>
    <w:rsid w:val="1DB72E7F"/>
    <w:rsid w:val="1DF13E10"/>
    <w:rsid w:val="1E317170"/>
    <w:rsid w:val="1E331E3B"/>
    <w:rsid w:val="1E4914EC"/>
    <w:rsid w:val="1E561B49"/>
    <w:rsid w:val="1E5B5B74"/>
    <w:rsid w:val="1E925E44"/>
    <w:rsid w:val="1EDB21B2"/>
    <w:rsid w:val="1EE21D29"/>
    <w:rsid w:val="1EE43097"/>
    <w:rsid w:val="1F0B37C8"/>
    <w:rsid w:val="1F280F4B"/>
    <w:rsid w:val="1F3E1D5D"/>
    <w:rsid w:val="1F441C9D"/>
    <w:rsid w:val="1F4F3DC6"/>
    <w:rsid w:val="1F6E3177"/>
    <w:rsid w:val="1F6F04BA"/>
    <w:rsid w:val="1F6F7A87"/>
    <w:rsid w:val="1F7742A1"/>
    <w:rsid w:val="1F832B7E"/>
    <w:rsid w:val="1F8C15A6"/>
    <w:rsid w:val="1F986F45"/>
    <w:rsid w:val="1F9F6666"/>
    <w:rsid w:val="1FA4592C"/>
    <w:rsid w:val="1FB95300"/>
    <w:rsid w:val="1FCD6552"/>
    <w:rsid w:val="1FE07634"/>
    <w:rsid w:val="1FF829ED"/>
    <w:rsid w:val="20027E74"/>
    <w:rsid w:val="201047BC"/>
    <w:rsid w:val="2019412B"/>
    <w:rsid w:val="2024650C"/>
    <w:rsid w:val="204E5FD2"/>
    <w:rsid w:val="20703E6E"/>
    <w:rsid w:val="207A428C"/>
    <w:rsid w:val="20830D63"/>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3E4030"/>
    <w:rsid w:val="223F14FC"/>
    <w:rsid w:val="22423882"/>
    <w:rsid w:val="227334E7"/>
    <w:rsid w:val="22734646"/>
    <w:rsid w:val="22AE1EDE"/>
    <w:rsid w:val="22C23296"/>
    <w:rsid w:val="22DD6CC1"/>
    <w:rsid w:val="2307360A"/>
    <w:rsid w:val="23080E27"/>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7921D2"/>
    <w:rsid w:val="247D6479"/>
    <w:rsid w:val="247E2240"/>
    <w:rsid w:val="24D40FD8"/>
    <w:rsid w:val="24DE5C48"/>
    <w:rsid w:val="24E51E80"/>
    <w:rsid w:val="24F64777"/>
    <w:rsid w:val="24FB1C59"/>
    <w:rsid w:val="24FE0E05"/>
    <w:rsid w:val="25222143"/>
    <w:rsid w:val="253D07B7"/>
    <w:rsid w:val="25503821"/>
    <w:rsid w:val="25517809"/>
    <w:rsid w:val="256C1BBD"/>
    <w:rsid w:val="256F2571"/>
    <w:rsid w:val="2576124C"/>
    <w:rsid w:val="258130F7"/>
    <w:rsid w:val="259402E7"/>
    <w:rsid w:val="25AF3989"/>
    <w:rsid w:val="25B82D92"/>
    <w:rsid w:val="25C73339"/>
    <w:rsid w:val="25C772BF"/>
    <w:rsid w:val="25D05B49"/>
    <w:rsid w:val="25D62822"/>
    <w:rsid w:val="25F20CB5"/>
    <w:rsid w:val="25F9038D"/>
    <w:rsid w:val="25FD1357"/>
    <w:rsid w:val="260B3061"/>
    <w:rsid w:val="26205FC9"/>
    <w:rsid w:val="262931EB"/>
    <w:rsid w:val="262E591A"/>
    <w:rsid w:val="263771C4"/>
    <w:rsid w:val="26400EA4"/>
    <w:rsid w:val="265B4748"/>
    <w:rsid w:val="26622CD9"/>
    <w:rsid w:val="266372C2"/>
    <w:rsid w:val="267961DB"/>
    <w:rsid w:val="268C7D4E"/>
    <w:rsid w:val="26A60A07"/>
    <w:rsid w:val="26AF2F03"/>
    <w:rsid w:val="26B424FB"/>
    <w:rsid w:val="26BD0C20"/>
    <w:rsid w:val="26CC1B59"/>
    <w:rsid w:val="26D10ECC"/>
    <w:rsid w:val="26EF57DC"/>
    <w:rsid w:val="27083115"/>
    <w:rsid w:val="27142A2D"/>
    <w:rsid w:val="271B4881"/>
    <w:rsid w:val="27214C90"/>
    <w:rsid w:val="272414C7"/>
    <w:rsid w:val="272A2ED5"/>
    <w:rsid w:val="273E547E"/>
    <w:rsid w:val="2749750B"/>
    <w:rsid w:val="27685524"/>
    <w:rsid w:val="276959E0"/>
    <w:rsid w:val="276F555C"/>
    <w:rsid w:val="27702C8E"/>
    <w:rsid w:val="277A0619"/>
    <w:rsid w:val="27827E3D"/>
    <w:rsid w:val="279050B3"/>
    <w:rsid w:val="27A028B7"/>
    <w:rsid w:val="27AB6605"/>
    <w:rsid w:val="27B22BCA"/>
    <w:rsid w:val="27BF3604"/>
    <w:rsid w:val="27C171AB"/>
    <w:rsid w:val="27D26786"/>
    <w:rsid w:val="27EA6257"/>
    <w:rsid w:val="27FD3CE9"/>
    <w:rsid w:val="280B167D"/>
    <w:rsid w:val="2831638E"/>
    <w:rsid w:val="284F457A"/>
    <w:rsid w:val="28503B39"/>
    <w:rsid w:val="285117F8"/>
    <w:rsid w:val="288445F5"/>
    <w:rsid w:val="28883EBB"/>
    <w:rsid w:val="28885F5E"/>
    <w:rsid w:val="288A6570"/>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94062"/>
    <w:rsid w:val="29FA460F"/>
    <w:rsid w:val="2A081208"/>
    <w:rsid w:val="2A19132F"/>
    <w:rsid w:val="2A1E3A2B"/>
    <w:rsid w:val="2A2C671C"/>
    <w:rsid w:val="2A3714C4"/>
    <w:rsid w:val="2A4E1459"/>
    <w:rsid w:val="2A5E24DB"/>
    <w:rsid w:val="2A926984"/>
    <w:rsid w:val="2AA908E7"/>
    <w:rsid w:val="2AC017A8"/>
    <w:rsid w:val="2AC36155"/>
    <w:rsid w:val="2AF2488D"/>
    <w:rsid w:val="2B195446"/>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2214D"/>
    <w:rsid w:val="2D1D236A"/>
    <w:rsid w:val="2D796BC0"/>
    <w:rsid w:val="2D7A1628"/>
    <w:rsid w:val="2DAB174B"/>
    <w:rsid w:val="2DAC3053"/>
    <w:rsid w:val="2DB21AB3"/>
    <w:rsid w:val="2DC70AE2"/>
    <w:rsid w:val="2DCA6026"/>
    <w:rsid w:val="2DCD4928"/>
    <w:rsid w:val="2DE96603"/>
    <w:rsid w:val="2E096E66"/>
    <w:rsid w:val="2E114AFB"/>
    <w:rsid w:val="2E1729D6"/>
    <w:rsid w:val="2E1A0C6A"/>
    <w:rsid w:val="2E347EE6"/>
    <w:rsid w:val="2E3514B0"/>
    <w:rsid w:val="2E374A38"/>
    <w:rsid w:val="2E3A1850"/>
    <w:rsid w:val="2E3C5510"/>
    <w:rsid w:val="2E4A61BB"/>
    <w:rsid w:val="2E6305D7"/>
    <w:rsid w:val="2E690638"/>
    <w:rsid w:val="2E875B98"/>
    <w:rsid w:val="2EA37EAA"/>
    <w:rsid w:val="2EBD7031"/>
    <w:rsid w:val="2EF73B32"/>
    <w:rsid w:val="2F011E82"/>
    <w:rsid w:val="2F13037B"/>
    <w:rsid w:val="2F240791"/>
    <w:rsid w:val="2F263ABD"/>
    <w:rsid w:val="2F492921"/>
    <w:rsid w:val="2F4C7446"/>
    <w:rsid w:val="2F6858EF"/>
    <w:rsid w:val="2F6A0B1E"/>
    <w:rsid w:val="2F784161"/>
    <w:rsid w:val="2F7B48B5"/>
    <w:rsid w:val="2F853233"/>
    <w:rsid w:val="2F963509"/>
    <w:rsid w:val="2FAF333B"/>
    <w:rsid w:val="2FC27E67"/>
    <w:rsid w:val="2FCD2C96"/>
    <w:rsid w:val="2FE66FC1"/>
    <w:rsid w:val="30160CDB"/>
    <w:rsid w:val="301B2075"/>
    <w:rsid w:val="30243B4E"/>
    <w:rsid w:val="30287A71"/>
    <w:rsid w:val="3046030C"/>
    <w:rsid w:val="30613F93"/>
    <w:rsid w:val="306162D4"/>
    <w:rsid w:val="30631102"/>
    <w:rsid w:val="30635A86"/>
    <w:rsid w:val="30797BE5"/>
    <w:rsid w:val="308146B4"/>
    <w:rsid w:val="309F08DA"/>
    <w:rsid w:val="309F27BB"/>
    <w:rsid w:val="30A7381A"/>
    <w:rsid w:val="30C01081"/>
    <w:rsid w:val="30C81567"/>
    <w:rsid w:val="30CD46BC"/>
    <w:rsid w:val="30D065A7"/>
    <w:rsid w:val="31013135"/>
    <w:rsid w:val="311763B6"/>
    <w:rsid w:val="31257A15"/>
    <w:rsid w:val="31452A71"/>
    <w:rsid w:val="31527289"/>
    <w:rsid w:val="31661C67"/>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14178C"/>
    <w:rsid w:val="3562042D"/>
    <w:rsid w:val="356608C9"/>
    <w:rsid w:val="35731F9E"/>
    <w:rsid w:val="35850AE6"/>
    <w:rsid w:val="35DE1818"/>
    <w:rsid w:val="35E06871"/>
    <w:rsid w:val="36146F55"/>
    <w:rsid w:val="36787E34"/>
    <w:rsid w:val="36CD4B67"/>
    <w:rsid w:val="36D974F7"/>
    <w:rsid w:val="36E03CF2"/>
    <w:rsid w:val="36E05B33"/>
    <w:rsid w:val="36E77649"/>
    <w:rsid w:val="36FC06E4"/>
    <w:rsid w:val="37002BA5"/>
    <w:rsid w:val="37025FC2"/>
    <w:rsid w:val="372A57D1"/>
    <w:rsid w:val="373006D6"/>
    <w:rsid w:val="373215AF"/>
    <w:rsid w:val="37395AAC"/>
    <w:rsid w:val="37533A9C"/>
    <w:rsid w:val="37554C2A"/>
    <w:rsid w:val="376C2F8C"/>
    <w:rsid w:val="37733C45"/>
    <w:rsid w:val="37AD3F56"/>
    <w:rsid w:val="37EA244F"/>
    <w:rsid w:val="3801691A"/>
    <w:rsid w:val="38053C44"/>
    <w:rsid w:val="3816564C"/>
    <w:rsid w:val="382A2A0E"/>
    <w:rsid w:val="383C5D00"/>
    <w:rsid w:val="383F5E4A"/>
    <w:rsid w:val="3852648C"/>
    <w:rsid w:val="38622194"/>
    <w:rsid w:val="38684F32"/>
    <w:rsid w:val="387A7CA5"/>
    <w:rsid w:val="387E3BF1"/>
    <w:rsid w:val="38844711"/>
    <w:rsid w:val="388E0F50"/>
    <w:rsid w:val="388E2941"/>
    <w:rsid w:val="389162AC"/>
    <w:rsid w:val="38941E98"/>
    <w:rsid w:val="389425B0"/>
    <w:rsid w:val="38983F5E"/>
    <w:rsid w:val="38EC1118"/>
    <w:rsid w:val="38F96580"/>
    <w:rsid w:val="38FD1A72"/>
    <w:rsid w:val="39056352"/>
    <w:rsid w:val="392F5095"/>
    <w:rsid w:val="3938092E"/>
    <w:rsid w:val="39413193"/>
    <w:rsid w:val="39445D84"/>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9F436D"/>
    <w:rsid w:val="3AB971E4"/>
    <w:rsid w:val="3ADF78F0"/>
    <w:rsid w:val="3AE00107"/>
    <w:rsid w:val="3AE428CE"/>
    <w:rsid w:val="3B023CD3"/>
    <w:rsid w:val="3B140F58"/>
    <w:rsid w:val="3B170940"/>
    <w:rsid w:val="3B2A2C19"/>
    <w:rsid w:val="3B376B70"/>
    <w:rsid w:val="3B7A7129"/>
    <w:rsid w:val="3B7D7576"/>
    <w:rsid w:val="3B7F1E8C"/>
    <w:rsid w:val="3B85077A"/>
    <w:rsid w:val="3B890DAC"/>
    <w:rsid w:val="3BA25DBC"/>
    <w:rsid w:val="3BC76E9C"/>
    <w:rsid w:val="3BCB467A"/>
    <w:rsid w:val="3BCE2EA4"/>
    <w:rsid w:val="3BE90506"/>
    <w:rsid w:val="3BEB6832"/>
    <w:rsid w:val="3BF45DB6"/>
    <w:rsid w:val="3BFA06DC"/>
    <w:rsid w:val="3C2E5ED4"/>
    <w:rsid w:val="3C40766B"/>
    <w:rsid w:val="3C597D99"/>
    <w:rsid w:val="3C7F621D"/>
    <w:rsid w:val="3C853D0C"/>
    <w:rsid w:val="3C8B47EB"/>
    <w:rsid w:val="3CB0439D"/>
    <w:rsid w:val="3CBB6AC9"/>
    <w:rsid w:val="3CBD35C8"/>
    <w:rsid w:val="3CDF264A"/>
    <w:rsid w:val="3D1456AE"/>
    <w:rsid w:val="3D145DCC"/>
    <w:rsid w:val="3D1C0002"/>
    <w:rsid w:val="3D2962ED"/>
    <w:rsid w:val="3D2D7B94"/>
    <w:rsid w:val="3D340B81"/>
    <w:rsid w:val="3D4E706F"/>
    <w:rsid w:val="3D5F6937"/>
    <w:rsid w:val="3D67497C"/>
    <w:rsid w:val="3D8311E9"/>
    <w:rsid w:val="3D853F71"/>
    <w:rsid w:val="3D9A2417"/>
    <w:rsid w:val="3DAA319C"/>
    <w:rsid w:val="3DF319EC"/>
    <w:rsid w:val="3E036111"/>
    <w:rsid w:val="3E527A7E"/>
    <w:rsid w:val="3E5D6B5C"/>
    <w:rsid w:val="3E6B2530"/>
    <w:rsid w:val="3E7E4756"/>
    <w:rsid w:val="3E8106B7"/>
    <w:rsid w:val="3E845265"/>
    <w:rsid w:val="3E9A3719"/>
    <w:rsid w:val="3EC06382"/>
    <w:rsid w:val="3EC254C0"/>
    <w:rsid w:val="3ED07987"/>
    <w:rsid w:val="3EED10F8"/>
    <w:rsid w:val="3EFE25BA"/>
    <w:rsid w:val="3EFE69D5"/>
    <w:rsid w:val="3F310FA6"/>
    <w:rsid w:val="3F337D20"/>
    <w:rsid w:val="3F506818"/>
    <w:rsid w:val="3F684E6E"/>
    <w:rsid w:val="3F6A3676"/>
    <w:rsid w:val="3F710A6F"/>
    <w:rsid w:val="3F7E1F67"/>
    <w:rsid w:val="3F83420A"/>
    <w:rsid w:val="3F8F7315"/>
    <w:rsid w:val="3F923A7B"/>
    <w:rsid w:val="3F9A203F"/>
    <w:rsid w:val="3FA62662"/>
    <w:rsid w:val="3FA67005"/>
    <w:rsid w:val="3FAE6184"/>
    <w:rsid w:val="3FE36C1C"/>
    <w:rsid w:val="3FE72AEA"/>
    <w:rsid w:val="3FEB19D5"/>
    <w:rsid w:val="40121F12"/>
    <w:rsid w:val="403B55F7"/>
    <w:rsid w:val="403D5505"/>
    <w:rsid w:val="404C5FC4"/>
    <w:rsid w:val="40632B44"/>
    <w:rsid w:val="408853C4"/>
    <w:rsid w:val="40910C3B"/>
    <w:rsid w:val="40D75E60"/>
    <w:rsid w:val="40F2437B"/>
    <w:rsid w:val="40FD48E0"/>
    <w:rsid w:val="40FE1BCF"/>
    <w:rsid w:val="40FE520F"/>
    <w:rsid w:val="41130A29"/>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65ECE"/>
    <w:rsid w:val="42076836"/>
    <w:rsid w:val="420F1D94"/>
    <w:rsid w:val="42154762"/>
    <w:rsid w:val="423B1FA8"/>
    <w:rsid w:val="424E4424"/>
    <w:rsid w:val="42736CB4"/>
    <w:rsid w:val="429325D1"/>
    <w:rsid w:val="429B53DF"/>
    <w:rsid w:val="429E3CF8"/>
    <w:rsid w:val="42BC7452"/>
    <w:rsid w:val="42CC2872"/>
    <w:rsid w:val="42D12138"/>
    <w:rsid w:val="42F7079D"/>
    <w:rsid w:val="430D4AC0"/>
    <w:rsid w:val="431E047F"/>
    <w:rsid w:val="431E65EF"/>
    <w:rsid w:val="43522956"/>
    <w:rsid w:val="43624EAD"/>
    <w:rsid w:val="437270F3"/>
    <w:rsid w:val="437750CA"/>
    <w:rsid w:val="438A5DE2"/>
    <w:rsid w:val="438D45B9"/>
    <w:rsid w:val="43985D00"/>
    <w:rsid w:val="43986BA3"/>
    <w:rsid w:val="43AB2F4E"/>
    <w:rsid w:val="43AC3F44"/>
    <w:rsid w:val="43B1210D"/>
    <w:rsid w:val="43C53F65"/>
    <w:rsid w:val="43D2203F"/>
    <w:rsid w:val="43DE77F3"/>
    <w:rsid w:val="43EF306C"/>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6052F0A"/>
    <w:rsid w:val="460C379B"/>
    <w:rsid w:val="462B2635"/>
    <w:rsid w:val="464A3711"/>
    <w:rsid w:val="466B4F4C"/>
    <w:rsid w:val="469246C4"/>
    <w:rsid w:val="46977D08"/>
    <w:rsid w:val="46AF3AB5"/>
    <w:rsid w:val="46E25CA4"/>
    <w:rsid w:val="46E37251"/>
    <w:rsid w:val="46F40267"/>
    <w:rsid w:val="47017932"/>
    <w:rsid w:val="47167AFB"/>
    <w:rsid w:val="47294A71"/>
    <w:rsid w:val="474C71DB"/>
    <w:rsid w:val="475662DB"/>
    <w:rsid w:val="47756FD4"/>
    <w:rsid w:val="479B7297"/>
    <w:rsid w:val="47A214C1"/>
    <w:rsid w:val="47D626EF"/>
    <w:rsid w:val="47DE0285"/>
    <w:rsid w:val="47E81AB8"/>
    <w:rsid w:val="47F3460E"/>
    <w:rsid w:val="47F77566"/>
    <w:rsid w:val="47F94BE6"/>
    <w:rsid w:val="48073570"/>
    <w:rsid w:val="4812405E"/>
    <w:rsid w:val="481A3D49"/>
    <w:rsid w:val="481C1F20"/>
    <w:rsid w:val="48220E04"/>
    <w:rsid w:val="48225672"/>
    <w:rsid w:val="482454C6"/>
    <w:rsid w:val="48297C86"/>
    <w:rsid w:val="482D47F3"/>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22E1D"/>
    <w:rsid w:val="499C6D01"/>
    <w:rsid w:val="49A3132A"/>
    <w:rsid w:val="49A50073"/>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AFD444D"/>
    <w:rsid w:val="4B12483C"/>
    <w:rsid w:val="4B281AD9"/>
    <w:rsid w:val="4B286964"/>
    <w:rsid w:val="4B2B39B2"/>
    <w:rsid w:val="4B462533"/>
    <w:rsid w:val="4B497516"/>
    <w:rsid w:val="4B5F395F"/>
    <w:rsid w:val="4B887ABD"/>
    <w:rsid w:val="4B8B30E8"/>
    <w:rsid w:val="4B927D05"/>
    <w:rsid w:val="4BA71700"/>
    <w:rsid w:val="4BC40127"/>
    <w:rsid w:val="4BCF7C38"/>
    <w:rsid w:val="4BD1718E"/>
    <w:rsid w:val="4BD95ACE"/>
    <w:rsid w:val="4C000F41"/>
    <w:rsid w:val="4C1E38AF"/>
    <w:rsid w:val="4C1F09E8"/>
    <w:rsid w:val="4C6A4F05"/>
    <w:rsid w:val="4C6B7BE3"/>
    <w:rsid w:val="4C771D65"/>
    <w:rsid w:val="4C783020"/>
    <w:rsid w:val="4C884D61"/>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9E7067"/>
    <w:rsid w:val="4DA27E03"/>
    <w:rsid w:val="4DB87F6B"/>
    <w:rsid w:val="4DE22211"/>
    <w:rsid w:val="4DF85FC0"/>
    <w:rsid w:val="4E001052"/>
    <w:rsid w:val="4E2B135E"/>
    <w:rsid w:val="4E3F2EE6"/>
    <w:rsid w:val="4E457068"/>
    <w:rsid w:val="4E4E4B6D"/>
    <w:rsid w:val="4E625DA3"/>
    <w:rsid w:val="4E640AFC"/>
    <w:rsid w:val="4E7B029B"/>
    <w:rsid w:val="4E94139D"/>
    <w:rsid w:val="4ED36E10"/>
    <w:rsid w:val="4ED61833"/>
    <w:rsid w:val="4EDA18B9"/>
    <w:rsid w:val="4EEA1FB8"/>
    <w:rsid w:val="4EFA0F67"/>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926B99"/>
    <w:rsid w:val="5098060A"/>
    <w:rsid w:val="50CB3E82"/>
    <w:rsid w:val="50DD3BA3"/>
    <w:rsid w:val="50E61CAB"/>
    <w:rsid w:val="50EE7DC2"/>
    <w:rsid w:val="514136A1"/>
    <w:rsid w:val="514A20B0"/>
    <w:rsid w:val="515463AA"/>
    <w:rsid w:val="517D1FD1"/>
    <w:rsid w:val="51820F0A"/>
    <w:rsid w:val="518965D2"/>
    <w:rsid w:val="51B00924"/>
    <w:rsid w:val="51BD4A0F"/>
    <w:rsid w:val="51BF1CEA"/>
    <w:rsid w:val="51C55B60"/>
    <w:rsid w:val="51C720FB"/>
    <w:rsid w:val="51D2101C"/>
    <w:rsid w:val="51E441B2"/>
    <w:rsid w:val="51E878B5"/>
    <w:rsid w:val="51EE3F4A"/>
    <w:rsid w:val="51F8599D"/>
    <w:rsid w:val="520C16AC"/>
    <w:rsid w:val="52144845"/>
    <w:rsid w:val="522B4481"/>
    <w:rsid w:val="523F3431"/>
    <w:rsid w:val="52433E33"/>
    <w:rsid w:val="52461D9B"/>
    <w:rsid w:val="52556F68"/>
    <w:rsid w:val="526131D0"/>
    <w:rsid w:val="527A0BC1"/>
    <w:rsid w:val="528C45CC"/>
    <w:rsid w:val="528E5F94"/>
    <w:rsid w:val="52B73817"/>
    <w:rsid w:val="52D86688"/>
    <w:rsid w:val="53014F84"/>
    <w:rsid w:val="53081FE2"/>
    <w:rsid w:val="53757657"/>
    <w:rsid w:val="53836E13"/>
    <w:rsid w:val="5399393C"/>
    <w:rsid w:val="53BC34C4"/>
    <w:rsid w:val="53CE29B7"/>
    <w:rsid w:val="5423339D"/>
    <w:rsid w:val="543238DB"/>
    <w:rsid w:val="54451376"/>
    <w:rsid w:val="545B0024"/>
    <w:rsid w:val="54623CCF"/>
    <w:rsid w:val="54783F91"/>
    <w:rsid w:val="54956730"/>
    <w:rsid w:val="54C52C01"/>
    <w:rsid w:val="54DE257B"/>
    <w:rsid w:val="54E3746E"/>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2608A7"/>
    <w:rsid w:val="5934326C"/>
    <w:rsid w:val="59471B28"/>
    <w:rsid w:val="5952704F"/>
    <w:rsid w:val="59763E82"/>
    <w:rsid w:val="597F5245"/>
    <w:rsid w:val="598A3666"/>
    <w:rsid w:val="59A3232E"/>
    <w:rsid w:val="59A63822"/>
    <w:rsid w:val="59B8355B"/>
    <w:rsid w:val="59FE08FA"/>
    <w:rsid w:val="5A184997"/>
    <w:rsid w:val="5A257E94"/>
    <w:rsid w:val="5A27191F"/>
    <w:rsid w:val="5A2A02BF"/>
    <w:rsid w:val="5A5106AE"/>
    <w:rsid w:val="5A60741A"/>
    <w:rsid w:val="5A7A608F"/>
    <w:rsid w:val="5A976E36"/>
    <w:rsid w:val="5A9D694A"/>
    <w:rsid w:val="5AA2358A"/>
    <w:rsid w:val="5AA24080"/>
    <w:rsid w:val="5AAD1EF8"/>
    <w:rsid w:val="5ACF7403"/>
    <w:rsid w:val="5B2F1A6D"/>
    <w:rsid w:val="5B365C08"/>
    <w:rsid w:val="5B46719F"/>
    <w:rsid w:val="5B5C0955"/>
    <w:rsid w:val="5B60313C"/>
    <w:rsid w:val="5B705B09"/>
    <w:rsid w:val="5B8861A0"/>
    <w:rsid w:val="5B9331F3"/>
    <w:rsid w:val="5B983712"/>
    <w:rsid w:val="5B997CCC"/>
    <w:rsid w:val="5B9D7438"/>
    <w:rsid w:val="5BA42A14"/>
    <w:rsid w:val="5BC52ADE"/>
    <w:rsid w:val="5C1E7608"/>
    <w:rsid w:val="5C5740F9"/>
    <w:rsid w:val="5C60141A"/>
    <w:rsid w:val="5C691962"/>
    <w:rsid w:val="5C8D4642"/>
    <w:rsid w:val="5CA70BEA"/>
    <w:rsid w:val="5CFA70E0"/>
    <w:rsid w:val="5CFF3634"/>
    <w:rsid w:val="5D0B0214"/>
    <w:rsid w:val="5D197216"/>
    <w:rsid w:val="5D1A0A42"/>
    <w:rsid w:val="5D282771"/>
    <w:rsid w:val="5D3A4C89"/>
    <w:rsid w:val="5D42151C"/>
    <w:rsid w:val="5D4F1710"/>
    <w:rsid w:val="5D5D43F4"/>
    <w:rsid w:val="5D71045F"/>
    <w:rsid w:val="5D794A3F"/>
    <w:rsid w:val="5D9A4060"/>
    <w:rsid w:val="5DAB19D1"/>
    <w:rsid w:val="5DBE340A"/>
    <w:rsid w:val="5DD263B9"/>
    <w:rsid w:val="5DE41D76"/>
    <w:rsid w:val="5DE555FC"/>
    <w:rsid w:val="5DE74DAC"/>
    <w:rsid w:val="5DF27C61"/>
    <w:rsid w:val="5E4A015A"/>
    <w:rsid w:val="5E617327"/>
    <w:rsid w:val="5E772D56"/>
    <w:rsid w:val="5E843AB7"/>
    <w:rsid w:val="5E9A1FB9"/>
    <w:rsid w:val="5EB11CC9"/>
    <w:rsid w:val="5EB7165F"/>
    <w:rsid w:val="5EDA2E6C"/>
    <w:rsid w:val="5EDF49B6"/>
    <w:rsid w:val="5EE659E4"/>
    <w:rsid w:val="5EED36ED"/>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15C67"/>
    <w:rsid w:val="60370997"/>
    <w:rsid w:val="604F40FC"/>
    <w:rsid w:val="605A259A"/>
    <w:rsid w:val="6060154E"/>
    <w:rsid w:val="606D0EF6"/>
    <w:rsid w:val="60B07C9E"/>
    <w:rsid w:val="60B9618D"/>
    <w:rsid w:val="60D06270"/>
    <w:rsid w:val="60EA7F29"/>
    <w:rsid w:val="61013040"/>
    <w:rsid w:val="611128E5"/>
    <w:rsid w:val="611C35B8"/>
    <w:rsid w:val="61224695"/>
    <w:rsid w:val="61315EF6"/>
    <w:rsid w:val="613A0A49"/>
    <w:rsid w:val="614122CC"/>
    <w:rsid w:val="614E56CB"/>
    <w:rsid w:val="615440FF"/>
    <w:rsid w:val="616E368F"/>
    <w:rsid w:val="6184566A"/>
    <w:rsid w:val="618943CD"/>
    <w:rsid w:val="619012C2"/>
    <w:rsid w:val="61AE7556"/>
    <w:rsid w:val="61D41854"/>
    <w:rsid w:val="61E3363C"/>
    <w:rsid w:val="62282B27"/>
    <w:rsid w:val="62352D6E"/>
    <w:rsid w:val="623743B3"/>
    <w:rsid w:val="623E7108"/>
    <w:rsid w:val="625A6442"/>
    <w:rsid w:val="626A1CE1"/>
    <w:rsid w:val="626C134E"/>
    <w:rsid w:val="628C5350"/>
    <w:rsid w:val="629B22CB"/>
    <w:rsid w:val="62A3229B"/>
    <w:rsid w:val="62A45588"/>
    <w:rsid w:val="62A57C35"/>
    <w:rsid w:val="62B952CA"/>
    <w:rsid w:val="62E07553"/>
    <w:rsid w:val="62FF66F4"/>
    <w:rsid w:val="63081C9E"/>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E92B8A"/>
    <w:rsid w:val="65F4511D"/>
    <w:rsid w:val="65F47DC0"/>
    <w:rsid w:val="65FF7596"/>
    <w:rsid w:val="66096B05"/>
    <w:rsid w:val="6627721E"/>
    <w:rsid w:val="663543FA"/>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7FF1EAE"/>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4536"/>
    <w:rsid w:val="693053C2"/>
    <w:rsid w:val="69577852"/>
    <w:rsid w:val="697A46A8"/>
    <w:rsid w:val="69AA61FA"/>
    <w:rsid w:val="69B022B6"/>
    <w:rsid w:val="69B72806"/>
    <w:rsid w:val="69B83AE8"/>
    <w:rsid w:val="69C21FC2"/>
    <w:rsid w:val="69D05774"/>
    <w:rsid w:val="69DD68EF"/>
    <w:rsid w:val="69F431E5"/>
    <w:rsid w:val="6A0B12F9"/>
    <w:rsid w:val="6A387A83"/>
    <w:rsid w:val="6A4E3481"/>
    <w:rsid w:val="6A506A00"/>
    <w:rsid w:val="6AB0358F"/>
    <w:rsid w:val="6AC805E2"/>
    <w:rsid w:val="6AC81DFB"/>
    <w:rsid w:val="6ACC4B2B"/>
    <w:rsid w:val="6AD5470C"/>
    <w:rsid w:val="6B156F01"/>
    <w:rsid w:val="6B1823F4"/>
    <w:rsid w:val="6B302155"/>
    <w:rsid w:val="6B49062F"/>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D22E1F"/>
    <w:rsid w:val="6DEA0A67"/>
    <w:rsid w:val="6DEC6437"/>
    <w:rsid w:val="6DFC561D"/>
    <w:rsid w:val="6E0F76B0"/>
    <w:rsid w:val="6E382FA7"/>
    <w:rsid w:val="6E395E9E"/>
    <w:rsid w:val="6E4341AC"/>
    <w:rsid w:val="6E4B105D"/>
    <w:rsid w:val="6E5126B4"/>
    <w:rsid w:val="6E567C0C"/>
    <w:rsid w:val="6E5D6868"/>
    <w:rsid w:val="6E683231"/>
    <w:rsid w:val="6E7C1EB5"/>
    <w:rsid w:val="6E8B38FA"/>
    <w:rsid w:val="6EB664D0"/>
    <w:rsid w:val="6ED36BB1"/>
    <w:rsid w:val="6EE110A6"/>
    <w:rsid w:val="6EF03BAE"/>
    <w:rsid w:val="6F0357BE"/>
    <w:rsid w:val="6F155D21"/>
    <w:rsid w:val="6F1E3244"/>
    <w:rsid w:val="6F286746"/>
    <w:rsid w:val="6F2B2506"/>
    <w:rsid w:val="6F436F8F"/>
    <w:rsid w:val="6F451BBF"/>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2F3"/>
    <w:rsid w:val="71191A27"/>
    <w:rsid w:val="711F713E"/>
    <w:rsid w:val="71204845"/>
    <w:rsid w:val="71217371"/>
    <w:rsid w:val="712E54D4"/>
    <w:rsid w:val="71321C7C"/>
    <w:rsid w:val="714A1780"/>
    <w:rsid w:val="71637917"/>
    <w:rsid w:val="7170146E"/>
    <w:rsid w:val="71704C61"/>
    <w:rsid w:val="71705776"/>
    <w:rsid w:val="717268C8"/>
    <w:rsid w:val="71802D0E"/>
    <w:rsid w:val="71880353"/>
    <w:rsid w:val="718F5890"/>
    <w:rsid w:val="7195741A"/>
    <w:rsid w:val="71981E73"/>
    <w:rsid w:val="71C16BD6"/>
    <w:rsid w:val="71C363B8"/>
    <w:rsid w:val="71CB358E"/>
    <w:rsid w:val="71D14144"/>
    <w:rsid w:val="720158B9"/>
    <w:rsid w:val="72143089"/>
    <w:rsid w:val="72150CEA"/>
    <w:rsid w:val="72196282"/>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833A30"/>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DB3A11"/>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E24696"/>
    <w:rsid w:val="78FB6861"/>
    <w:rsid w:val="790C30F7"/>
    <w:rsid w:val="79182F94"/>
    <w:rsid w:val="791E6626"/>
    <w:rsid w:val="791F15A3"/>
    <w:rsid w:val="791F1ABD"/>
    <w:rsid w:val="792A6014"/>
    <w:rsid w:val="792A77CA"/>
    <w:rsid w:val="792C1C9C"/>
    <w:rsid w:val="79534836"/>
    <w:rsid w:val="795F47C4"/>
    <w:rsid w:val="797A1688"/>
    <w:rsid w:val="79880110"/>
    <w:rsid w:val="79894347"/>
    <w:rsid w:val="799447B2"/>
    <w:rsid w:val="79993DEC"/>
    <w:rsid w:val="79A91848"/>
    <w:rsid w:val="79B155D3"/>
    <w:rsid w:val="79BE02AE"/>
    <w:rsid w:val="79C44E91"/>
    <w:rsid w:val="79D75B18"/>
    <w:rsid w:val="79F9227E"/>
    <w:rsid w:val="7A03141B"/>
    <w:rsid w:val="7A231596"/>
    <w:rsid w:val="7A2F5A98"/>
    <w:rsid w:val="7A312E66"/>
    <w:rsid w:val="7A340EA4"/>
    <w:rsid w:val="7A3F5F0E"/>
    <w:rsid w:val="7A402127"/>
    <w:rsid w:val="7A5D3202"/>
    <w:rsid w:val="7A6169B6"/>
    <w:rsid w:val="7A677819"/>
    <w:rsid w:val="7A75750A"/>
    <w:rsid w:val="7A7C3110"/>
    <w:rsid w:val="7A9E603E"/>
    <w:rsid w:val="7AA5799A"/>
    <w:rsid w:val="7AAE7A48"/>
    <w:rsid w:val="7AB052B6"/>
    <w:rsid w:val="7ADF4614"/>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D1C43DD"/>
    <w:rsid w:val="7D25417D"/>
    <w:rsid w:val="7D470375"/>
    <w:rsid w:val="7D5A124C"/>
    <w:rsid w:val="7D6B3C9C"/>
    <w:rsid w:val="7D6C7837"/>
    <w:rsid w:val="7D87483A"/>
    <w:rsid w:val="7D886B89"/>
    <w:rsid w:val="7D8A3047"/>
    <w:rsid w:val="7D92427A"/>
    <w:rsid w:val="7DA653E8"/>
    <w:rsid w:val="7DAB4450"/>
    <w:rsid w:val="7DAE4568"/>
    <w:rsid w:val="7DB45F95"/>
    <w:rsid w:val="7DC3009F"/>
    <w:rsid w:val="7DC80DDA"/>
    <w:rsid w:val="7DDC30D5"/>
    <w:rsid w:val="7DE11DF0"/>
    <w:rsid w:val="7E0B16A2"/>
    <w:rsid w:val="7E12506E"/>
    <w:rsid w:val="7E1B5179"/>
    <w:rsid w:val="7E3610F8"/>
    <w:rsid w:val="7E4429DB"/>
    <w:rsid w:val="7E5361D4"/>
    <w:rsid w:val="7E594E0B"/>
    <w:rsid w:val="7E7C766D"/>
    <w:rsid w:val="7E833262"/>
    <w:rsid w:val="7E932FC5"/>
    <w:rsid w:val="7E9B5F2D"/>
    <w:rsid w:val="7EA5419C"/>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5"/>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customStyle="1" w:styleId="5">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numPr>
        <w:ilvl w:val="0"/>
        <w:numId w:val="2"/>
      </w:numPr>
    </w:pPr>
  </w:style>
  <w:style w:type="paragraph" w:styleId="8">
    <w:name w:val="annotation text"/>
    <w:basedOn w:val="1"/>
    <w:link w:val="52"/>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1"/>
    <w:qFormat/>
    <w:uiPriority w:val="0"/>
    <w:pPr>
      <w:ind w:firstLine="200" w:firstLineChars="200"/>
    </w:pPr>
  </w:style>
  <w:style w:type="paragraph" w:styleId="11">
    <w:name w:val="toc 6"/>
    <w:basedOn w:val="1"/>
    <w:next w:val="1"/>
    <w:unhideWhenUsed/>
    <w:qFormat/>
    <w:uiPriority w:val="39"/>
    <w:pPr>
      <w:ind w:left="2100" w:leftChars="1000"/>
    </w:pPr>
    <w:rPr>
      <w:rFonts w:ascii="Calibri" w:hAnsi="Calibri"/>
      <w:szCs w:val="22"/>
    </w:rPr>
  </w:style>
  <w:style w:type="paragraph" w:styleId="12">
    <w:name w:val="Body Text Indent"/>
    <w:basedOn w:val="1"/>
    <w:next w:val="1"/>
    <w:qFormat/>
    <w:uiPriority w:val="0"/>
    <w:pPr>
      <w:spacing w:after="120"/>
      <w:ind w:left="420" w:leftChars="200"/>
    </w:p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1"/>
    <w:qFormat/>
    <w:uiPriority w:val="0"/>
    <w:rPr>
      <w:sz w:val="18"/>
      <w:szCs w:val="18"/>
    </w:rPr>
  </w:style>
  <w:style w:type="paragraph" w:styleId="16">
    <w:name w:val="footer"/>
    <w:basedOn w:val="1"/>
    <w:link w:val="54"/>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8"/>
    <w:next w:val="8"/>
    <w:link w:val="53"/>
    <w:qFormat/>
    <w:uiPriority w:val="0"/>
    <w:rPr>
      <w:b/>
      <w:bCs/>
    </w:rPr>
  </w:style>
  <w:style w:type="paragraph" w:styleId="21">
    <w:name w:val="Body Text First Indent 2"/>
    <w:basedOn w:val="12"/>
    <w:link w:val="55"/>
    <w:qFormat/>
    <w:uiPriority w:val="99"/>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character" w:customStyle="1" w:styleId="50">
    <w:name w:val="标题 1 Char Char"/>
    <w:basedOn w:val="24"/>
    <w:qFormat/>
    <w:uiPriority w:val="0"/>
    <w:rPr>
      <w:rFonts w:eastAsia="宋体"/>
      <w:b/>
      <w:spacing w:val="-2"/>
      <w:sz w:val="24"/>
      <w:lang w:val="en-US" w:eastAsia="zh-CN" w:bidi="ar-SA"/>
    </w:rPr>
  </w:style>
  <w:style w:type="character" w:customStyle="1" w:styleId="51">
    <w:name w:val="批注框文本 字符"/>
    <w:basedOn w:val="24"/>
    <w:link w:val="15"/>
    <w:qFormat/>
    <w:uiPriority w:val="0"/>
    <w:rPr>
      <w:kern w:val="2"/>
      <w:sz w:val="18"/>
      <w:szCs w:val="18"/>
    </w:rPr>
  </w:style>
  <w:style w:type="character" w:customStyle="1" w:styleId="52">
    <w:name w:val="批注文字 字符"/>
    <w:basedOn w:val="24"/>
    <w:link w:val="8"/>
    <w:qFormat/>
    <w:uiPriority w:val="0"/>
    <w:rPr>
      <w:kern w:val="2"/>
      <w:sz w:val="21"/>
      <w:szCs w:val="24"/>
    </w:rPr>
  </w:style>
  <w:style w:type="character" w:customStyle="1" w:styleId="53">
    <w:name w:val="批注主题 字符"/>
    <w:basedOn w:val="52"/>
    <w:link w:val="20"/>
    <w:qFormat/>
    <w:uiPriority w:val="0"/>
    <w:rPr>
      <w:b/>
      <w:bCs/>
      <w:kern w:val="2"/>
      <w:sz w:val="21"/>
      <w:szCs w:val="24"/>
    </w:rPr>
  </w:style>
  <w:style w:type="character" w:customStyle="1" w:styleId="54">
    <w:name w:val="页脚 字符"/>
    <w:basedOn w:val="24"/>
    <w:link w:val="16"/>
    <w:qFormat/>
    <w:uiPriority w:val="99"/>
    <w:rPr>
      <w:kern w:val="2"/>
      <w:sz w:val="18"/>
      <w:szCs w:val="24"/>
    </w:rPr>
  </w:style>
  <w:style w:type="character" w:customStyle="1" w:styleId="55">
    <w:name w:val="正文文本首行缩进 2 字符"/>
    <w:link w:val="21"/>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42196-FD85-4C17-866A-AFA7C4E05339}">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35538</Words>
  <Characters>38063</Characters>
  <Lines>207</Lines>
  <Paragraphs>58</Paragraphs>
  <TotalTime>1</TotalTime>
  <ScaleCrop>false</ScaleCrop>
  <LinksUpToDate>false</LinksUpToDate>
  <CharactersWithSpaces>39994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2022-10-31T05:31:24Z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40FBAA9ECBBD404CBC2EFCEA50D2B13F</vt:lpwstr>
  </property>
</Properties>
</file>