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宋体" w:eastAsia="宋体"/>
          <w:b/>
          <w:color w:val="auto"/>
          <w:kern w:val="0"/>
          <w:sz w:val="52"/>
          <w:szCs w:val="52"/>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auto"/>
          <w:kern w:val="0"/>
          <w:sz w:val="32"/>
        </w:rPr>
      </w:pPr>
      <w:r>
        <w:rPr>
          <w:rFonts w:hint="eastAsia" w:ascii="宋体"/>
          <w:b/>
          <w:color w:val="auto"/>
          <w:kern w:val="0"/>
          <w:sz w:val="32"/>
        </w:rPr>
        <w:t>TZ</w:t>
      </w:r>
      <w:r>
        <w:rPr>
          <w:rFonts w:ascii="宋体"/>
          <w:b/>
          <w:color w:val="auto"/>
          <w:kern w:val="0"/>
          <w:sz w:val="32"/>
        </w:rPr>
        <w:t>CG-</w:t>
      </w:r>
      <w:r>
        <w:rPr>
          <w:rFonts w:hint="eastAsia" w:ascii="宋体"/>
          <w:b/>
          <w:color w:val="auto"/>
          <w:kern w:val="0"/>
          <w:sz w:val="32"/>
          <w:lang w:eastAsia="zh-CN"/>
        </w:rPr>
        <w:t>2021</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004</w:t>
      </w:r>
      <w:r>
        <w:rPr>
          <w:rFonts w:hint="eastAsia" w:ascii="宋体"/>
          <w:b/>
          <w:color w:val="auto"/>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rPr>
      </w:pPr>
    </w:p>
    <w:p>
      <w:pPr>
        <w:autoSpaceDE w:val="0"/>
        <w:autoSpaceDN w:val="0"/>
        <w:adjustRightInd w:val="0"/>
        <w:spacing w:line="360" w:lineRule="auto"/>
        <w:rPr>
          <w:rFonts w:ascii="宋体"/>
          <w:b/>
          <w:color w:val="auto"/>
          <w:kern w:val="0"/>
          <w:sz w:val="52"/>
          <w:szCs w:val="52"/>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2077" w:firstLineChars="742"/>
        <w:jc w:val="left"/>
        <w:rPr>
          <w:rFonts w:hint="eastAsia" w:ascii="宋体"/>
          <w:color w:val="auto"/>
          <w:kern w:val="0"/>
          <w:sz w:val="28"/>
          <w:lang w:val="en-US" w:eastAsia="zh-CN"/>
        </w:rPr>
      </w:pPr>
      <w:r>
        <w:rPr>
          <w:rFonts w:hint="eastAsia" w:ascii="宋体"/>
          <w:color w:val="auto"/>
          <w:kern w:val="0"/>
          <w:sz w:val="28"/>
        </w:rPr>
        <w:t>采购项目：</w:t>
      </w:r>
      <w:r>
        <w:rPr>
          <w:rFonts w:hint="eastAsia" w:ascii="宋体"/>
          <w:color w:val="auto"/>
          <w:kern w:val="0"/>
          <w:sz w:val="28"/>
          <w:lang w:val="en-US" w:eastAsia="zh-CN"/>
        </w:rPr>
        <w:t xml:space="preserve"> 数据交换通道</w:t>
      </w:r>
    </w:p>
    <w:p>
      <w:pPr>
        <w:autoSpaceDE w:val="0"/>
        <w:autoSpaceDN w:val="0"/>
        <w:adjustRightInd w:val="0"/>
        <w:spacing w:line="360" w:lineRule="auto"/>
        <w:ind w:firstLine="2077" w:firstLineChars="742"/>
        <w:jc w:val="left"/>
        <w:rPr>
          <w:rFonts w:hint="eastAsia" w:ascii="宋体" w:eastAsia="宋体"/>
          <w:color w:val="auto"/>
          <w:kern w:val="0"/>
          <w:sz w:val="28"/>
          <w:lang w:val="en-US" w:eastAsia="zh-CN"/>
        </w:rPr>
      </w:pPr>
      <w:r>
        <w:rPr>
          <w:rFonts w:hint="eastAsia" w:ascii="宋体"/>
          <w:color w:val="auto"/>
          <w:kern w:val="0"/>
          <w:sz w:val="28"/>
        </w:rPr>
        <w:t>采购</w:t>
      </w:r>
      <w:r>
        <w:rPr>
          <w:rFonts w:hint="eastAsia" w:ascii="宋体"/>
          <w:color w:val="auto"/>
          <w:kern w:val="0"/>
          <w:sz w:val="28"/>
          <w:lang w:eastAsia="zh-CN"/>
        </w:rPr>
        <w:t>人</w:t>
      </w:r>
      <w:r>
        <w:rPr>
          <w:rFonts w:hint="eastAsia" w:ascii="宋体"/>
          <w:color w:val="auto"/>
          <w:kern w:val="0"/>
          <w:sz w:val="28"/>
        </w:rPr>
        <w:t>：</w:t>
      </w:r>
      <w:r>
        <w:rPr>
          <w:rFonts w:hint="eastAsia" w:ascii="宋体"/>
          <w:color w:val="auto"/>
          <w:kern w:val="0"/>
          <w:sz w:val="28"/>
          <w:lang w:eastAsia="zh-CN"/>
        </w:rPr>
        <w:t>台州市公安局</w:t>
      </w:r>
      <w:r>
        <w:rPr>
          <w:rFonts w:hint="eastAsia" w:ascii="宋体"/>
          <w:color w:val="auto"/>
          <w:kern w:val="0"/>
          <w:sz w:val="28"/>
          <w:lang w:val="en-US" w:eastAsia="zh-CN"/>
        </w:rPr>
        <w:t xml:space="preserve"> </w:t>
      </w:r>
    </w:p>
    <w:p>
      <w:pPr>
        <w:autoSpaceDE w:val="0"/>
        <w:autoSpaceDN w:val="0"/>
        <w:adjustRightInd w:val="0"/>
        <w:spacing w:line="360" w:lineRule="auto"/>
        <w:rPr>
          <w:rFonts w:ascii="宋体"/>
          <w:color w:val="auto"/>
          <w:kern w:val="0"/>
          <w:sz w:val="28"/>
        </w:rPr>
      </w:pPr>
    </w:p>
    <w:p>
      <w:pPr>
        <w:autoSpaceDE w:val="0"/>
        <w:autoSpaceDN w:val="0"/>
        <w:adjustRightInd w:val="0"/>
        <w:spacing w:line="360" w:lineRule="auto"/>
        <w:rPr>
          <w:rFonts w:ascii="宋体"/>
          <w:color w:val="auto"/>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 xml:space="preserve">  2021</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29</w:t>
      </w:r>
      <w:r>
        <w:rPr>
          <w:rFonts w:hint="eastAsia" w:ascii="宋体" w:hAnsi="宋体" w:cs="宋体"/>
          <w:color w:val="auto"/>
          <w:kern w:val="0"/>
          <w:sz w:val="28"/>
          <w:szCs w:val="28"/>
        </w:rPr>
        <w:t>日</w:t>
      </w:r>
    </w:p>
    <w:p>
      <w:pPr>
        <w:spacing w:line="360" w:lineRule="auto"/>
        <w:rPr>
          <w:color w:val="auto"/>
        </w:rPr>
      </w:pPr>
    </w:p>
    <w:p>
      <w:pPr>
        <w:pStyle w:val="29"/>
        <w:rPr>
          <w:color w:val="auto"/>
        </w:rPr>
      </w:pPr>
    </w:p>
    <w:p>
      <w:pPr>
        <w:spacing w:line="360" w:lineRule="auto"/>
        <w:rPr>
          <w:color w:val="auto"/>
        </w:rPr>
      </w:pPr>
    </w:p>
    <w:p>
      <w:pPr>
        <w:jc w:val="center"/>
        <w:rPr>
          <w:rFonts w:ascii="宋体" w:hAnsi="宋体" w:cs="Arial"/>
          <w:b/>
          <w:bCs/>
          <w:color w:val="auto"/>
          <w:sz w:val="36"/>
          <w:szCs w:val="36"/>
        </w:rPr>
      </w:pPr>
      <w:r>
        <w:rPr>
          <w:rFonts w:hint="eastAsia" w:ascii="宋体" w:hAnsi="宋体" w:cs="Arial"/>
          <w:b/>
          <w:bCs/>
          <w:color w:val="auto"/>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rPr>
      </w:pPr>
    </w:p>
    <w:p>
      <w:pPr>
        <w:spacing w:line="360" w:lineRule="auto"/>
        <w:rPr>
          <w:rFonts w:ascii="新宋体" w:hAnsi="新宋体" w:eastAsia="新宋体"/>
          <w:color w:val="auto"/>
          <w:sz w:val="28"/>
          <w:szCs w:val="28"/>
        </w:rPr>
      </w:pP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公开招标采购公告</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投标人须知</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评标办法及评分标准</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公开招标需求</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政府采购合同主要条款指引</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lang w:eastAsia="zh-CN"/>
        </w:rPr>
        <w:t>电子投标文件</w:t>
      </w:r>
      <w:r>
        <w:rPr>
          <w:rFonts w:hint="eastAsia" w:asciiTheme="minorEastAsia" w:hAnsiTheme="minorEastAsia" w:eastAsiaTheme="minorEastAsia"/>
          <w:b/>
          <w:color w:val="auto"/>
          <w:sz w:val="28"/>
          <w:szCs w:val="28"/>
        </w:rPr>
        <w:t>格式附件</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t xml:space="preserve"> 公开</w:t>
      </w:r>
      <w:r>
        <w:rPr>
          <w:rFonts w:hint="eastAsia" w:asciiTheme="majorEastAsia" w:hAnsiTheme="majorEastAsia" w:eastAsiaTheme="majorEastAsia"/>
          <w:b/>
          <w:color w:val="auto"/>
          <w:sz w:val="36"/>
          <w:szCs w:val="36"/>
        </w:rPr>
        <w:t>招标采购公告</w:t>
      </w:r>
    </w:p>
    <w:p>
      <w:pPr>
        <w:pStyle w:val="2"/>
        <w:widowControl w:val="0"/>
        <w:numPr>
          <w:ilvl w:val="0"/>
          <w:numId w:val="0"/>
        </w:numPr>
        <w:jc w:val="both"/>
      </w:pPr>
    </w:p>
    <w:p>
      <w:pPr>
        <w:pStyle w:val="3"/>
        <w:numPr>
          <w:ilvl w:val="0"/>
          <w:numId w:val="0"/>
        </w:numPr>
        <w:tabs>
          <w:tab w:val="left" w:pos="0"/>
          <w:tab w:val="left" w:pos="3165"/>
          <w:tab w:val="center" w:pos="4153"/>
        </w:tabs>
        <w:autoSpaceDE w:val="0"/>
        <w:autoSpaceDN w:val="0"/>
        <w:adjustRightInd w:val="0"/>
        <w:spacing w:before="0" w:after="0" w:line="360" w:lineRule="auto"/>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Theme="minorEastAsia" w:hAnsiTheme="minorEastAsia" w:eastAsiaTheme="minorEastAsia" w:cstheme="minorEastAsia"/>
          <w:b w:val="0"/>
          <w:sz w:val="28"/>
          <w:szCs w:val="28"/>
        </w:rPr>
      </w:pPr>
      <w:r>
        <w:rPr>
          <w:rFonts w:hint="eastAsia" w:cs="Arial" w:asciiTheme="minorEastAsia" w:hAnsiTheme="minorEastAsia" w:eastAsiaTheme="minorEastAsia"/>
          <w:color w:val="auto"/>
          <w:sz w:val="28"/>
          <w:szCs w:val="28"/>
          <w:lang w:eastAsia="zh-CN"/>
        </w:rPr>
        <w:t xml:space="preserve">台州市公安局数据交换通道项目的潜在投标人应在“浙江省政府采购网”（http:// www.zjzfcg.gov.cn）和“台州市公共资源交易中心”（ </w:t>
      </w:r>
      <w:r>
        <w:rPr>
          <w:rFonts w:hint="eastAsia" w:cs="Arial" w:asciiTheme="minorEastAsia" w:hAnsiTheme="minorEastAsia" w:eastAsiaTheme="minorEastAsia"/>
          <w:color w:val="auto"/>
          <w:sz w:val="28"/>
          <w:szCs w:val="28"/>
          <w:lang w:eastAsia="zh-CN"/>
        </w:rPr>
        <w:fldChar w:fldCharType="begin"/>
      </w:r>
      <w:r>
        <w:rPr>
          <w:rFonts w:hint="eastAsia" w:cs="Arial" w:asciiTheme="minorEastAsia" w:hAnsiTheme="minorEastAsia" w:eastAsiaTheme="minorEastAsia"/>
          <w:color w:val="auto"/>
          <w:sz w:val="28"/>
          <w:szCs w:val="28"/>
          <w:lang w:eastAsia="zh-CN"/>
        </w:rPr>
        <w:instrText xml:space="preserve"> HYPERLINK "http://www.xjztb.cn" </w:instrText>
      </w:r>
      <w:r>
        <w:rPr>
          <w:rFonts w:hint="eastAsia" w:cs="Arial" w:asciiTheme="minorEastAsia" w:hAnsiTheme="minorEastAsia" w:eastAsiaTheme="minorEastAsia"/>
          <w:color w:val="auto"/>
          <w:sz w:val="28"/>
          <w:szCs w:val="28"/>
          <w:lang w:eastAsia="zh-CN"/>
        </w:rPr>
        <w:fldChar w:fldCharType="separate"/>
      </w:r>
      <w:r>
        <w:rPr>
          <w:rFonts w:hint="eastAsia" w:cs="Arial" w:asciiTheme="minorEastAsia" w:hAnsiTheme="minorEastAsia" w:eastAsiaTheme="minorEastAsia"/>
          <w:color w:val="auto"/>
          <w:sz w:val="28"/>
          <w:szCs w:val="28"/>
          <w:lang w:eastAsia="zh-CN"/>
        </w:rPr>
        <w:t>http://www.tzztb.com</w:t>
      </w:r>
      <w:r>
        <w:rPr>
          <w:rFonts w:hint="eastAsia" w:cs="Arial" w:asciiTheme="minorEastAsia" w:hAnsiTheme="minorEastAsia" w:eastAsiaTheme="minorEastAsia"/>
          <w:color w:val="auto"/>
          <w:sz w:val="28"/>
          <w:szCs w:val="28"/>
          <w:lang w:eastAsia="zh-CN"/>
        </w:rPr>
        <w:fldChar w:fldCharType="end"/>
      </w:r>
      <w:r>
        <w:rPr>
          <w:rFonts w:hint="eastAsia" w:cs="Arial" w:asciiTheme="minorEastAsia" w:hAnsiTheme="minorEastAsia" w:eastAsiaTheme="minorEastAsia"/>
          <w:color w:val="auto"/>
          <w:sz w:val="28"/>
          <w:szCs w:val="28"/>
          <w:lang w:eastAsia="zh-CN"/>
        </w:rPr>
        <w:t>）获取招标文件，并于</w:t>
      </w:r>
      <w:r>
        <w:rPr>
          <w:rFonts w:hint="eastAsia" w:cs="Arial" w:asciiTheme="minorEastAsia" w:hAnsiTheme="minorEastAsia" w:eastAsiaTheme="minorEastAsia"/>
          <w:color w:val="auto"/>
          <w:sz w:val="28"/>
          <w:szCs w:val="28"/>
          <w:lang w:val="en-US" w:eastAsia="zh-CN"/>
        </w:rPr>
        <w:t>2021</w:t>
      </w:r>
      <w:r>
        <w:rPr>
          <w:rFonts w:hint="eastAsia" w:cs="Arial" w:asciiTheme="minorEastAsia" w:hAnsiTheme="minorEastAsia" w:eastAsiaTheme="minorEastAsia"/>
          <w:color w:val="auto"/>
          <w:sz w:val="28"/>
          <w:szCs w:val="28"/>
          <w:lang w:eastAsia="zh-CN"/>
        </w:rPr>
        <w:t>年</w:t>
      </w:r>
      <w:r>
        <w:rPr>
          <w:rFonts w:hint="eastAsia" w:cs="Arial" w:asciiTheme="minorEastAsia" w:hAnsiTheme="minorEastAsia" w:eastAsiaTheme="minorEastAsia"/>
          <w:color w:val="auto"/>
          <w:sz w:val="28"/>
          <w:szCs w:val="28"/>
          <w:lang w:val="en-US" w:eastAsia="zh-CN"/>
        </w:rPr>
        <w:t>4</w:t>
      </w:r>
      <w:r>
        <w:rPr>
          <w:rFonts w:hint="eastAsia" w:cs="Arial" w:asciiTheme="minorEastAsia" w:hAnsiTheme="minorEastAsia" w:eastAsiaTheme="minorEastAsia"/>
          <w:color w:val="auto"/>
          <w:sz w:val="28"/>
          <w:szCs w:val="28"/>
          <w:lang w:eastAsia="zh-CN"/>
        </w:rPr>
        <w:t>月</w:t>
      </w:r>
      <w:r>
        <w:rPr>
          <w:rFonts w:hint="eastAsia" w:cs="Arial" w:asciiTheme="minorEastAsia" w:hAnsiTheme="minorEastAsia" w:eastAsiaTheme="minorEastAsia"/>
          <w:color w:val="FF0000"/>
          <w:sz w:val="28"/>
          <w:szCs w:val="28"/>
          <w:lang w:eastAsia="zh-CN"/>
        </w:rPr>
        <w:t>日</w:t>
      </w:r>
      <w:r>
        <w:rPr>
          <w:rFonts w:hint="eastAsia" w:cs="Arial" w:asciiTheme="minorEastAsia" w:hAnsiTheme="minorEastAsia" w:eastAsiaTheme="minorEastAsia"/>
          <w:color w:val="auto"/>
          <w:sz w:val="28"/>
          <w:szCs w:val="28"/>
          <w:lang w:val="en-US" w:eastAsia="zh-CN"/>
        </w:rPr>
        <w:t>20</w:t>
      </w:r>
      <w:r>
        <w:rPr>
          <w:rFonts w:hint="eastAsia" w:cs="Arial" w:asciiTheme="minorEastAsia" w:hAnsiTheme="minorEastAsia" w:eastAsiaTheme="minorEastAsia"/>
          <w:color w:val="auto"/>
          <w:sz w:val="28"/>
          <w:szCs w:val="28"/>
          <w:lang w:eastAsia="zh-CN"/>
        </w:rPr>
        <w:t>点整（北京时间）前在浙江政府采购云平台递</w:t>
      </w:r>
      <w:r>
        <w:rPr>
          <w:rFonts w:hint="eastAsia"/>
          <w:sz w:val="28"/>
          <w:szCs w:val="28"/>
          <w:lang w:eastAsia="zh-CN"/>
        </w:rPr>
        <w:t>交电</w:t>
      </w:r>
      <w:r>
        <w:rPr>
          <w:rFonts w:hint="eastAsia" w:cs="Arial" w:asciiTheme="minorEastAsia" w:hAnsiTheme="minorEastAsia" w:eastAsiaTheme="minorEastAsia"/>
          <w:color w:val="auto"/>
          <w:sz w:val="28"/>
          <w:szCs w:val="28"/>
          <w:lang w:eastAsia="zh-CN"/>
        </w:rPr>
        <w:t>子投标文件。</w:t>
      </w:r>
      <w:bookmarkStart w:id="0" w:name="_Toc35393790"/>
      <w:bookmarkStart w:id="1" w:name="_Toc35393621"/>
      <w:bookmarkStart w:id="2" w:name="_Toc28359002"/>
      <w:bookmarkStart w:id="3" w:name="_Toc28359079"/>
      <w:bookmarkStart w:id="4" w:name="_Hlk24379207"/>
    </w:p>
    <w:p>
      <w:pPr>
        <w:pStyle w:val="4"/>
        <w:spacing w:line="360" w:lineRule="auto"/>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一、项目基本情况</w:t>
      </w:r>
      <w:bookmarkEnd w:id="0"/>
      <w:bookmarkEnd w:id="1"/>
      <w:bookmarkEnd w:id="2"/>
      <w:bookmarkEnd w:id="3"/>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项目编号：</w:t>
      </w:r>
      <w:r>
        <w:rPr>
          <w:rFonts w:hint="eastAsia" w:ascii="宋体"/>
          <w:b/>
          <w:color w:val="auto"/>
          <w:kern w:val="0"/>
          <w:sz w:val="32"/>
        </w:rPr>
        <w:t>TZ</w:t>
      </w:r>
      <w:r>
        <w:rPr>
          <w:rFonts w:ascii="宋体"/>
          <w:b/>
          <w:color w:val="auto"/>
          <w:kern w:val="0"/>
          <w:sz w:val="32"/>
        </w:rPr>
        <w:t>CG-</w:t>
      </w:r>
      <w:r>
        <w:rPr>
          <w:rFonts w:hint="eastAsia" w:ascii="宋体"/>
          <w:b/>
          <w:color w:val="auto"/>
          <w:kern w:val="0"/>
          <w:sz w:val="32"/>
          <w:lang w:eastAsia="zh-CN"/>
        </w:rPr>
        <w:t>2021</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004</w:t>
      </w:r>
      <w:r>
        <w:rPr>
          <w:rFonts w:hint="eastAsia" w:ascii="宋体"/>
          <w:b/>
          <w:color w:val="auto"/>
          <w:kern w:val="0"/>
          <w:sz w:val="32"/>
        </w:rPr>
        <w:t>号</w:t>
      </w:r>
    </w:p>
    <w:bookmarkEnd w:id="4"/>
    <w:p>
      <w:pPr>
        <w:spacing w:line="360" w:lineRule="auto"/>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项目名称：</w:t>
      </w:r>
      <w:r>
        <w:rPr>
          <w:rFonts w:hint="eastAsia" w:cs="Arial" w:asciiTheme="minorEastAsia" w:hAnsiTheme="minorEastAsia" w:eastAsiaTheme="minorEastAsia"/>
          <w:color w:val="auto"/>
          <w:sz w:val="28"/>
          <w:szCs w:val="28"/>
          <w:lang w:eastAsia="zh-CN"/>
        </w:rPr>
        <w:t>台州市公安局数据交换通道项目</w:t>
      </w:r>
    </w:p>
    <w:p>
      <w:pPr>
        <w:spacing w:line="360" w:lineRule="auto"/>
        <w:rPr>
          <w:rFonts w:hint="eastAsia"/>
          <w:lang w:val="en-US" w:eastAsia="zh-CN"/>
        </w:rPr>
      </w:pPr>
      <w:r>
        <w:rPr>
          <w:rFonts w:hint="eastAsia" w:asciiTheme="minorEastAsia" w:hAnsiTheme="minorEastAsia" w:eastAsiaTheme="minorEastAsia" w:cstheme="minorEastAsia"/>
          <w:b w:val="0"/>
          <w:kern w:val="2"/>
          <w:sz w:val="28"/>
          <w:szCs w:val="28"/>
          <w:lang w:val="en-US" w:eastAsia="zh-CN" w:bidi="ar-SA"/>
        </w:rPr>
        <w:t>采购需求：</w:t>
      </w:r>
    </w:p>
    <w:tbl>
      <w:tblPr>
        <w:tblStyle w:val="23"/>
        <w:tblW w:w="9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3"/>
        <w:gridCol w:w="1360"/>
        <w:gridCol w:w="1061"/>
        <w:gridCol w:w="649"/>
        <w:gridCol w:w="1346"/>
        <w:gridCol w:w="142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696"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标段号</w:t>
            </w:r>
          </w:p>
        </w:tc>
        <w:tc>
          <w:tcPr>
            <w:tcW w:w="1393" w:type="dxa"/>
            <w:vAlign w:val="center"/>
          </w:tcPr>
          <w:p>
            <w:pPr>
              <w:tabs>
                <w:tab w:val="left" w:pos="8280"/>
              </w:tabs>
              <w:autoSpaceDE w:val="0"/>
              <w:autoSpaceDN w:val="0"/>
              <w:adjustRightInd w:val="0"/>
              <w:spacing w:line="360" w:lineRule="auto"/>
              <w:ind w:right="25" w:firstLine="141" w:firstLineChars="5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项目</w:t>
            </w:r>
          </w:p>
          <w:p>
            <w:pPr>
              <w:tabs>
                <w:tab w:val="left" w:pos="8280"/>
              </w:tabs>
              <w:autoSpaceDE w:val="0"/>
              <w:autoSpaceDN w:val="0"/>
              <w:adjustRightInd w:val="0"/>
              <w:spacing w:line="360" w:lineRule="auto"/>
              <w:ind w:right="25" w:firstLine="141" w:firstLineChars="5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名称</w:t>
            </w:r>
          </w:p>
        </w:tc>
        <w:tc>
          <w:tcPr>
            <w:tcW w:w="136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rPr>
              <w:t>简要技术要求服务要求等</w:t>
            </w:r>
          </w:p>
        </w:tc>
        <w:tc>
          <w:tcPr>
            <w:tcW w:w="1061"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rPr>
              <w:t>数量</w:t>
            </w:r>
          </w:p>
        </w:tc>
        <w:tc>
          <w:tcPr>
            <w:tcW w:w="649"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单位</w:t>
            </w:r>
          </w:p>
        </w:tc>
        <w:tc>
          <w:tcPr>
            <w:tcW w:w="1346"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预算</w:t>
            </w:r>
          </w:p>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（万元）</w:t>
            </w:r>
          </w:p>
        </w:tc>
        <w:tc>
          <w:tcPr>
            <w:tcW w:w="1425"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eastAsia="zh-CN"/>
              </w:rPr>
              <w:t>最高限价</w:t>
            </w:r>
            <w:r>
              <w:rPr>
                <w:rFonts w:hint="eastAsia" w:asciiTheme="minorEastAsia" w:hAnsiTheme="minorEastAsia" w:eastAsiaTheme="minorEastAsia" w:cstheme="minorEastAsia"/>
                <w:b/>
                <w:color w:val="auto"/>
                <w:sz w:val="28"/>
                <w:szCs w:val="28"/>
              </w:rPr>
              <w:t>（万元）</w:t>
            </w:r>
          </w:p>
        </w:tc>
        <w:tc>
          <w:tcPr>
            <w:tcW w:w="1488" w:type="dxa"/>
            <w:vAlign w:val="center"/>
          </w:tcPr>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color w:val="auto"/>
                <w:sz w:val="28"/>
                <w:szCs w:val="28"/>
                <w:lang w:eastAsia="zh-CN"/>
              </w:rPr>
              <w:t>合同履行期限</w:t>
            </w:r>
          </w:p>
          <w:p>
            <w:pPr>
              <w:tabs>
                <w:tab w:val="left" w:pos="8280"/>
              </w:tabs>
              <w:autoSpaceDE w:val="0"/>
              <w:autoSpaceDN w:val="0"/>
              <w:adjustRightInd w:val="0"/>
              <w:spacing w:line="360" w:lineRule="auto"/>
              <w:ind w:right="25" w:firstLine="240"/>
              <w:jc w:val="center"/>
              <w:rPr>
                <w:rFonts w:hint="eastAsia" w:asciiTheme="minorEastAsia" w:hAnsiTheme="minorEastAsia" w:eastAsiaTheme="minorEastAsia" w:cstheme="minorEastAsia"/>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696" w:type="dxa"/>
            <w:vAlign w:val="center"/>
          </w:tcPr>
          <w:p>
            <w:pPr>
              <w:tabs>
                <w:tab w:val="left" w:pos="8280"/>
              </w:tabs>
              <w:autoSpaceDE w:val="0"/>
              <w:autoSpaceDN w:val="0"/>
              <w:adjustRightInd w:val="0"/>
              <w:spacing w:line="360" w:lineRule="auto"/>
              <w:ind w:right="25" w:firstLine="24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1</w:t>
            </w:r>
          </w:p>
        </w:tc>
        <w:tc>
          <w:tcPr>
            <w:tcW w:w="1393"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color w:val="auto"/>
                <w:sz w:val="28"/>
                <w:szCs w:val="28"/>
                <w:lang w:eastAsia="zh-CN"/>
              </w:rPr>
            </w:pPr>
            <w:r>
              <w:rPr>
                <w:rFonts w:hint="eastAsia" w:cs="Arial" w:asciiTheme="minorEastAsia" w:hAnsiTheme="minorEastAsia" w:eastAsiaTheme="minorEastAsia"/>
                <w:color w:val="auto"/>
                <w:sz w:val="28"/>
                <w:szCs w:val="28"/>
                <w:lang w:eastAsia="zh-CN"/>
              </w:rPr>
              <w:t>数据交换通道</w:t>
            </w:r>
          </w:p>
        </w:tc>
        <w:tc>
          <w:tcPr>
            <w:tcW w:w="1360" w:type="dxa"/>
            <w:vAlign w:val="center"/>
          </w:tcPr>
          <w:p>
            <w:pPr>
              <w:widowControl/>
              <w:spacing w:line="360" w:lineRule="auto"/>
              <w:jc w:val="left"/>
              <w:rPr>
                <w:rFonts w:hint="eastAsia" w:ascii="宋体" w:hAnsi="宋体" w:eastAsia="宋体"/>
                <w:b w:val="0"/>
                <w:bCs w:val="0"/>
                <w:color w:val="000000" w:themeColor="text1"/>
                <w:sz w:val="24"/>
                <w:szCs w:val="24"/>
                <w:lang w:eastAsia="zh-CN"/>
                <w14:textFill>
                  <w14:solidFill>
                    <w14:schemeClr w14:val="tx1"/>
                  </w14:solidFill>
                </w14:textFill>
              </w:rPr>
            </w:pPr>
            <w:r>
              <w:rPr>
                <w:rFonts w:hint="eastAsia" w:ascii="宋体" w:hAnsi="宋体" w:eastAsia="宋体"/>
                <w:b w:val="0"/>
                <w:bCs w:val="0"/>
                <w:color w:val="000000" w:themeColor="text1"/>
                <w:sz w:val="24"/>
                <w:szCs w:val="24"/>
                <w:lang w:eastAsia="zh-CN"/>
                <w14:textFill>
                  <w14:solidFill>
                    <w14:schemeClr w14:val="tx1"/>
                  </w14:solidFill>
                </w14:textFill>
              </w:rPr>
              <w:t>详见技术需求</w:t>
            </w:r>
          </w:p>
          <w:p>
            <w:pPr>
              <w:tabs>
                <w:tab w:val="left" w:pos="8280"/>
              </w:tabs>
              <w:autoSpaceDE w:val="0"/>
              <w:autoSpaceDN w:val="0"/>
              <w:adjustRightInd w:val="0"/>
              <w:spacing w:line="360" w:lineRule="auto"/>
              <w:ind w:right="25" w:firstLine="240"/>
              <w:jc w:val="center"/>
              <w:rPr>
                <w:rFonts w:hint="eastAsia" w:asciiTheme="minorEastAsia" w:hAnsiTheme="minorEastAsia" w:eastAsiaTheme="minorEastAsia" w:cstheme="minorEastAsia"/>
                <w:b/>
                <w:color w:val="auto"/>
                <w:sz w:val="28"/>
                <w:szCs w:val="28"/>
                <w:lang w:eastAsia="zh-CN"/>
              </w:rPr>
            </w:pPr>
          </w:p>
        </w:tc>
        <w:tc>
          <w:tcPr>
            <w:tcW w:w="1061" w:type="dxa"/>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1</w:t>
            </w:r>
          </w:p>
        </w:tc>
        <w:tc>
          <w:tcPr>
            <w:tcW w:w="649" w:type="dxa"/>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批</w:t>
            </w:r>
          </w:p>
        </w:tc>
        <w:tc>
          <w:tcPr>
            <w:tcW w:w="1346" w:type="dxa"/>
            <w:vAlign w:val="center"/>
          </w:tcPr>
          <w:p>
            <w:pPr>
              <w:tabs>
                <w:tab w:val="left" w:pos="8280"/>
              </w:tabs>
              <w:autoSpaceDE w:val="0"/>
              <w:autoSpaceDN w:val="0"/>
              <w:adjustRightInd w:val="0"/>
              <w:spacing w:line="360" w:lineRule="auto"/>
              <w:ind w:right="25" w:firstLine="24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238.5</w:t>
            </w:r>
          </w:p>
        </w:tc>
        <w:tc>
          <w:tcPr>
            <w:tcW w:w="1425" w:type="dxa"/>
            <w:vAlign w:val="center"/>
          </w:tcPr>
          <w:p>
            <w:pPr>
              <w:tabs>
                <w:tab w:val="left" w:pos="8280"/>
              </w:tabs>
              <w:autoSpaceDE w:val="0"/>
              <w:autoSpaceDN w:val="0"/>
              <w:adjustRightInd w:val="0"/>
              <w:ind w:right="25" w:rightChars="0" w:firstLine="240" w:firstLineChars="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232.5</w:t>
            </w:r>
          </w:p>
        </w:tc>
        <w:tc>
          <w:tcPr>
            <w:tcW w:w="1488" w:type="dxa"/>
            <w:vAlign w:val="center"/>
          </w:tcPr>
          <w:p>
            <w:pPr>
              <w:tabs>
                <w:tab w:val="left" w:pos="8280"/>
              </w:tabs>
              <w:autoSpaceDE w:val="0"/>
              <w:autoSpaceDN w:val="0"/>
              <w:adjustRightInd w:val="0"/>
              <w:spacing w:line="360" w:lineRule="auto"/>
              <w:ind w:right="25" w:rightChars="0"/>
              <w:jc w:val="both"/>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val="0"/>
                <w:kern w:val="2"/>
                <w:sz w:val="28"/>
                <w:szCs w:val="28"/>
                <w:lang w:val="en-US" w:eastAsia="zh-CN" w:bidi="ar-SA"/>
              </w:rPr>
              <w:t>台州市公安局指定地点</w:t>
            </w:r>
          </w:p>
        </w:tc>
      </w:tr>
    </w:tbl>
    <w:p>
      <w:pPr>
        <w:widowControl/>
        <w:tabs>
          <w:tab w:val="left" w:pos="0"/>
        </w:tabs>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本次采购产品为非进口产品。</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本项目</w:t>
      </w:r>
      <w:r>
        <w:rPr>
          <w:rFonts w:hint="eastAsia" w:asciiTheme="minorEastAsia" w:hAnsiTheme="minorEastAsia" w:eastAsiaTheme="minorEastAsia" w:cstheme="minorEastAsia"/>
          <w:sz w:val="28"/>
          <w:szCs w:val="28"/>
          <w:lang w:eastAsia="zh-CN"/>
        </w:rPr>
        <w:t>不</w:t>
      </w:r>
      <w:r>
        <w:rPr>
          <w:rFonts w:hint="eastAsia" w:asciiTheme="minorEastAsia" w:hAnsiTheme="minorEastAsia" w:eastAsiaTheme="minorEastAsia" w:cstheme="minorEastAsia"/>
          <w:sz w:val="28"/>
          <w:szCs w:val="28"/>
        </w:rPr>
        <w:t>接受联合体投标。</w:t>
      </w:r>
    </w:p>
    <w:p>
      <w:pPr>
        <w:pStyle w:val="4"/>
        <w:spacing w:line="360" w:lineRule="auto"/>
        <w:rPr>
          <w:rFonts w:hint="eastAsia" w:asciiTheme="minorEastAsia" w:hAnsiTheme="minorEastAsia" w:eastAsiaTheme="minorEastAsia" w:cstheme="minorEastAsia"/>
          <w:b w:val="0"/>
          <w:sz w:val="28"/>
          <w:szCs w:val="28"/>
        </w:rPr>
      </w:pPr>
      <w:bookmarkStart w:id="5" w:name="_Toc35393791"/>
      <w:bookmarkStart w:id="6" w:name="_Toc28359080"/>
      <w:bookmarkStart w:id="7" w:name="_Toc35393622"/>
      <w:bookmarkStart w:id="8" w:name="_Toc28359003"/>
      <w:r>
        <w:rPr>
          <w:rFonts w:hint="eastAsia" w:asciiTheme="minorEastAsia" w:hAnsiTheme="minorEastAsia" w:eastAsiaTheme="minorEastAsia" w:cstheme="minorEastAsia"/>
          <w:b w:val="0"/>
          <w:sz w:val="28"/>
          <w:szCs w:val="28"/>
        </w:rPr>
        <w:t>二、申请人的资格要求：</w:t>
      </w:r>
      <w:bookmarkEnd w:id="5"/>
      <w:bookmarkEnd w:id="6"/>
      <w:bookmarkEnd w:id="7"/>
      <w:bookmarkEnd w:id="8"/>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360" w:lineRule="auto"/>
        <w:ind w:firstLine="560" w:firstLineChars="200"/>
        <w:rPr>
          <w:rFonts w:hint="eastAsia" w:asciiTheme="minorEastAsia" w:hAnsiTheme="minorEastAsia" w:eastAsiaTheme="minorEastAsia" w:cstheme="minorEastAsia"/>
          <w:i w:val="0"/>
          <w:iCs w:val="0"/>
          <w:sz w:val="28"/>
          <w:szCs w:val="28"/>
          <w:u w:val="single"/>
        </w:rPr>
      </w:pPr>
      <w:bookmarkStart w:id="9" w:name="_Toc28359081"/>
      <w:bookmarkStart w:id="10" w:name="_Toc28359004"/>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.本项目的特定资格要求：</w:t>
      </w:r>
      <w:r>
        <w:rPr>
          <w:rFonts w:hint="eastAsia" w:asciiTheme="minorEastAsia" w:hAnsiTheme="minorEastAsia" w:eastAsiaTheme="minorEastAsia" w:cstheme="minorEastAsia"/>
          <w:sz w:val="28"/>
          <w:szCs w:val="28"/>
          <w:lang w:eastAsia="zh-CN"/>
        </w:rPr>
        <w:t>无</w:t>
      </w:r>
    </w:p>
    <w:p>
      <w:pPr>
        <w:pStyle w:val="4"/>
        <w:spacing w:line="360" w:lineRule="auto"/>
        <w:rPr>
          <w:rFonts w:hint="eastAsia" w:asciiTheme="minorEastAsia" w:hAnsiTheme="minorEastAsia" w:eastAsiaTheme="minorEastAsia" w:cstheme="minorEastAsia"/>
          <w:b w:val="0"/>
          <w:sz w:val="28"/>
          <w:szCs w:val="28"/>
        </w:rPr>
      </w:pPr>
      <w:bookmarkStart w:id="11" w:name="_Toc35393623"/>
      <w:bookmarkStart w:id="12" w:name="_Toc35393792"/>
      <w:r>
        <w:rPr>
          <w:rFonts w:hint="eastAsia" w:asciiTheme="minorEastAsia" w:hAnsiTheme="minorEastAsia" w:eastAsiaTheme="minorEastAsia" w:cstheme="minorEastAsia"/>
          <w:b w:val="0"/>
          <w:sz w:val="28"/>
          <w:szCs w:val="28"/>
        </w:rPr>
        <w:t>三、获取招标文件</w:t>
      </w:r>
      <w:bookmarkEnd w:id="9"/>
      <w:bookmarkEnd w:id="10"/>
      <w:bookmarkEnd w:id="11"/>
      <w:bookmarkEnd w:id="12"/>
    </w:p>
    <w:p>
      <w:pPr>
        <w:spacing w:line="360" w:lineRule="auto"/>
        <w:ind w:firstLine="540"/>
        <w:rPr>
          <w:rFonts w:hint="eastAsia" w:asciiTheme="minorEastAsia" w:hAnsiTheme="minorEastAsia" w:eastAsiaTheme="minorEastAsia" w:cstheme="minorEastAsia"/>
          <w:i w:val="0"/>
          <w:iCs w:val="0"/>
          <w:sz w:val="28"/>
          <w:szCs w:val="28"/>
        </w:rPr>
      </w:pPr>
      <w:r>
        <w:rPr>
          <w:rFonts w:hint="eastAsia" w:asciiTheme="minorEastAsia" w:hAnsiTheme="minorEastAsia" w:eastAsiaTheme="minorEastAsia" w:cstheme="minorEastAsia"/>
          <w:i w:val="0"/>
          <w:iCs w:val="0"/>
          <w:sz w:val="28"/>
          <w:szCs w:val="28"/>
        </w:rPr>
        <w:t>时间：</w:t>
      </w:r>
      <w:r>
        <w:rPr>
          <w:rFonts w:hint="eastAsia" w:asciiTheme="minorEastAsia" w:hAnsiTheme="minorEastAsia" w:eastAsiaTheme="minorEastAsia" w:cstheme="minorEastAsia"/>
          <w:i w:val="0"/>
          <w:iCs w:val="0"/>
          <w:sz w:val="28"/>
          <w:szCs w:val="28"/>
          <w:u w:val="single"/>
          <w:lang w:val="en-US" w:eastAsia="zh-CN"/>
        </w:rPr>
        <w:t>2021</w:t>
      </w:r>
      <w:r>
        <w:rPr>
          <w:rFonts w:hint="eastAsia" w:asciiTheme="minorEastAsia" w:hAnsiTheme="minorEastAsia" w:eastAsiaTheme="minorEastAsia" w:cstheme="minorEastAsia"/>
          <w:i w:val="0"/>
          <w:iCs w:val="0"/>
          <w:sz w:val="28"/>
          <w:szCs w:val="28"/>
          <w:u w:val="single"/>
        </w:rPr>
        <w:t>年</w:t>
      </w:r>
      <w:r>
        <w:rPr>
          <w:rFonts w:hint="eastAsia" w:asciiTheme="minorEastAsia" w:hAnsiTheme="minorEastAsia" w:eastAsiaTheme="minorEastAsia" w:cstheme="minorEastAsia"/>
          <w:i w:val="0"/>
          <w:iCs w:val="0"/>
          <w:color w:val="FF0000"/>
          <w:sz w:val="28"/>
          <w:szCs w:val="28"/>
          <w:u w:val="single"/>
          <w:lang w:val="en-US" w:eastAsia="zh-CN"/>
        </w:rPr>
        <w:t>3</w:t>
      </w:r>
      <w:r>
        <w:rPr>
          <w:rFonts w:hint="eastAsia" w:asciiTheme="minorEastAsia" w:hAnsiTheme="minorEastAsia" w:eastAsiaTheme="minorEastAsia" w:cstheme="minorEastAsia"/>
          <w:i w:val="0"/>
          <w:iCs w:val="0"/>
          <w:color w:val="FF0000"/>
          <w:sz w:val="28"/>
          <w:szCs w:val="28"/>
          <w:u w:val="single"/>
        </w:rPr>
        <w:t>月</w:t>
      </w:r>
      <w:r>
        <w:rPr>
          <w:rFonts w:hint="eastAsia" w:asciiTheme="minorEastAsia" w:hAnsiTheme="minorEastAsia" w:eastAsiaTheme="minorEastAsia" w:cstheme="minorEastAsia"/>
          <w:i w:val="0"/>
          <w:iCs w:val="0"/>
          <w:color w:val="FF0000"/>
          <w:sz w:val="28"/>
          <w:szCs w:val="28"/>
          <w:u w:val="single"/>
          <w:lang w:val="en-US" w:eastAsia="zh-CN"/>
        </w:rPr>
        <w:t>30</w:t>
      </w:r>
      <w:r>
        <w:rPr>
          <w:rFonts w:hint="eastAsia" w:asciiTheme="minorEastAsia" w:hAnsiTheme="minorEastAsia" w:eastAsiaTheme="minorEastAsia" w:cstheme="minorEastAsia"/>
          <w:i w:val="0"/>
          <w:iCs w:val="0"/>
          <w:color w:val="FF0000"/>
          <w:sz w:val="28"/>
          <w:szCs w:val="28"/>
          <w:u w:val="single"/>
        </w:rPr>
        <w:t>日</w:t>
      </w:r>
      <w:r>
        <w:rPr>
          <w:rFonts w:hint="eastAsia" w:asciiTheme="minorEastAsia" w:hAnsiTheme="minorEastAsia" w:eastAsiaTheme="minorEastAsia" w:cstheme="minorEastAsia"/>
          <w:i w:val="0"/>
          <w:iCs w:val="0"/>
          <w:sz w:val="28"/>
          <w:szCs w:val="28"/>
        </w:rPr>
        <w:t>至</w:t>
      </w:r>
      <w:r>
        <w:rPr>
          <w:rFonts w:hint="eastAsia" w:asciiTheme="minorEastAsia" w:hAnsiTheme="minorEastAsia" w:eastAsiaTheme="minorEastAsia" w:cstheme="minorEastAsia"/>
          <w:i w:val="0"/>
          <w:iCs w:val="0"/>
          <w:sz w:val="28"/>
          <w:szCs w:val="28"/>
          <w:u w:val="single"/>
          <w:lang w:val="en-US" w:eastAsia="zh-CN"/>
        </w:rPr>
        <w:t>2021</w:t>
      </w:r>
      <w:r>
        <w:rPr>
          <w:rFonts w:hint="eastAsia" w:asciiTheme="minorEastAsia" w:hAnsiTheme="minorEastAsia" w:eastAsiaTheme="minorEastAsia" w:cstheme="minorEastAsia"/>
          <w:i w:val="0"/>
          <w:iCs w:val="0"/>
          <w:sz w:val="28"/>
          <w:szCs w:val="28"/>
          <w:u w:val="single"/>
        </w:rPr>
        <w:t>年</w:t>
      </w:r>
      <w:r>
        <w:rPr>
          <w:rFonts w:hint="eastAsia" w:asciiTheme="minorEastAsia" w:hAnsiTheme="minorEastAsia" w:eastAsiaTheme="minorEastAsia" w:cstheme="minorEastAsia"/>
          <w:i w:val="0"/>
          <w:iCs w:val="0"/>
          <w:color w:val="FF0000"/>
          <w:sz w:val="28"/>
          <w:szCs w:val="28"/>
          <w:u w:val="single"/>
          <w:lang w:val="en-US" w:eastAsia="zh-CN"/>
        </w:rPr>
        <w:t>4</w:t>
      </w:r>
      <w:r>
        <w:rPr>
          <w:rFonts w:hint="eastAsia" w:asciiTheme="minorEastAsia" w:hAnsiTheme="minorEastAsia" w:eastAsiaTheme="minorEastAsia" w:cstheme="minorEastAsia"/>
          <w:i w:val="0"/>
          <w:iCs w:val="0"/>
          <w:color w:val="FF0000"/>
          <w:sz w:val="28"/>
          <w:szCs w:val="28"/>
          <w:u w:val="single"/>
        </w:rPr>
        <w:t>月</w:t>
      </w:r>
      <w:r>
        <w:rPr>
          <w:rFonts w:hint="eastAsia" w:asciiTheme="minorEastAsia" w:hAnsiTheme="minorEastAsia" w:eastAsiaTheme="minorEastAsia" w:cstheme="minorEastAsia"/>
          <w:i w:val="0"/>
          <w:iCs w:val="0"/>
          <w:color w:val="FF0000"/>
          <w:sz w:val="28"/>
          <w:szCs w:val="28"/>
          <w:u w:val="single"/>
          <w:lang w:val="en-US" w:eastAsia="zh-CN"/>
        </w:rPr>
        <w:t>6</w:t>
      </w:r>
      <w:r>
        <w:rPr>
          <w:rFonts w:hint="eastAsia" w:asciiTheme="minorEastAsia" w:hAnsiTheme="minorEastAsia" w:eastAsiaTheme="minorEastAsia" w:cstheme="minorEastAsia"/>
          <w:i w:val="0"/>
          <w:iCs w:val="0"/>
          <w:color w:val="FF0000"/>
          <w:sz w:val="28"/>
          <w:szCs w:val="28"/>
          <w:u w:val="single"/>
        </w:rPr>
        <w:t>日</w:t>
      </w:r>
      <w:r>
        <w:rPr>
          <w:rFonts w:hint="eastAsia" w:asciiTheme="minorEastAsia" w:hAnsiTheme="minorEastAsia" w:eastAsiaTheme="minorEastAsia" w:cstheme="minorEastAsia"/>
          <w:i w:val="0"/>
          <w:iCs w:val="0"/>
          <w:sz w:val="28"/>
          <w:szCs w:val="28"/>
          <w:u w:val="single"/>
        </w:rPr>
        <w:t>（提供期限自本公告发布之日起不得少于5个工作日）</w:t>
      </w:r>
    </w:p>
    <w:p>
      <w:pPr>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sz w:val="28"/>
          <w:szCs w:val="28"/>
        </w:rPr>
        <w:t>方式：</w:t>
      </w:r>
      <w:r>
        <w:rPr>
          <w:rFonts w:hint="eastAsia" w:asciiTheme="minorEastAsia" w:hAnsiTheme="minorEastAsia" w:eastAsiaTheme="minorEastAsia" w:cstheme="minorEastAsia"/>
          <w:color w:val="auto"/>
          <w:sz w:val="28"/>
          <w:szCs w:val="28"/>
          <w:lang w:eastAsia="zh-CN"/>
        </w:rPr>
        <w:t>投标人在浙江政府采购云平台（</w:t>
      </w:r>
      <w:r>
        <w:rPr>
          <w:rStyle w:val="27"/>
          <w:rFonts w:hint="eastAsia" w:asciiTheme="minorEastAsia" w:hAnsiTheme="minorEastAsia" w:eastAsiaTheme="minorEastAsia" w:cstheme="minorEastAsia"/>
          <w:bCs/>
          <w:color w:val="auto"/>
          <w:sz w:val="28"/>
          <w:szCs w:val="28"/>
        </w:rPr>
        <w:t>http://www.zcygov.cn</w:t>
      </w:r>
      <w:r>
        <w:rPr>
          <w:rStyle w:val="27"/>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color w:val="auto"/>
          <w:sz w:val="28"/>
          <w:szCs w:val="28"/>
          <w:lang w:eastAsia="zh-CN"/>
        </w:rPr>
        <w:t>进行网上报名后可</w:t>
      </w:r>
      <w:r>
        <w:rPr>
          <w:rFonts w:hint="eastAsia" w:asciiTheme="minorEastAsia" w:hAnsiTheme="minorEastAsia" w:eastAsiaTheme="minorEastAsia" w:cstheme="minorEastAsia"/>
          <w:color w:val="auto"/>
          <w:sz w:val="28"/>
          <w:szCs w:val="28"/>
        </w:rPr>
        <w:t>免费下载</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b/>
          <w:bCs/>
          <w:color w:val="auto"/>
          <w:sz w:val="28"/>
          <w:szCs w:val="28"/>
          <w:lang w:eastAsia="zh-CN"/>
        </w:rPr>
        <w:t>提示：采购机构将拒绝非报名供应商的电子投标文件。</w:t>
      </w:r>
    </w:p>
    <w:p>
      <w:pPr>
        <w:pStyle w:val="4"/>
        <w:spacing w:line="360" w:lineRule="auto"/>
        <w:rPr>
          <w:rFonts w:hint="eastAsia" w:asciiTheme="minorEastAsia" w:hAnsiTheme="minorEastAsia" w:eastAsiaTheme="minorEastAsia" w:cstheme="minorEastAsia"/>
          <w:b w:val="0"/>
          <w:sz w:val="28"/>
          <w:szCs w:val="28"/>
        </w:rPr>
      </w:pPr>
      <w:bookmarkStart w:id="13" w:name="_Toc28359082"/>
      <w:bookmarkStart w:id="14" w:name="_Toc28359005"/>
      <w:bookmarkStart w:id="15" w:name="_Toc35393624"/>
      <w:bookmarkStart w:id="16" w:name="_Toc35393793"/>
      <w:r>
        <w:rPr>
          <w:rFonts w:hint="eastAsia" w:asciiTheme="minorEastAsia" w:hAnsiTheme="minorEastAsia" w:eastAsiaTheme="minorEastAsia" w:cstheme="minorEastAsia"/>
          <w:b w:val="0"/>
          <w:sz w:val="28"/>
          <w:szCs w:val="28"/>
        </w:rPr>
        <w:t>四、提交投标文件</w:t>
      </w:r>
      <w:bookmarkEnd w:id="13"/>
      <w:bookmarkEnd w:id="14"/>
      <w:r>
        <w:rPr>
          <w:rFonts w:hint="eastAsia" w:asciiTheme="minorEastAsia" w:hAnsiTheme="minorEastAsia" w:eastAsiaTheme="minorEastAsia" w:cstheme="minorEastAsia"/>
          <w:b w:val="0"/>
          <w:sz w:val="28"/>
          <w:szCs w:val="28"/>
        </w:rPr>
        <w:t>截止时间、开标时间和地点</w:t>
      </w:r>
      <w:bookmarkEnd w:id="15"/>
      <w:bookmarkEnd w:id="16"/>
    </w:p>
    <w:p>
      <w:pPr>
        <w:spacing w:line="360" w:lineRule="auto"/>
        <w:ind w:firstLine="560" w:firstLineChars="200"/>
        <w:rPr>
          <w:rFonts w:hint="eastAsia" w:asciiTheme="minorEastAsia" w:hAnsiTheme="minorEastAsia" w:eastAsiaTheme="minorEastAsia" w:cstheme="minorEastAsia"/>
          <w:i w:val="0"/>
          <w:iCs/>
          <w:sz w:val="28"/>
          <w:szCs w:val="28"/>
          <w:u w:val="single"/>
        </w:rPr>
      </w:pP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u w:val="single"/>
          <w:lang w:val="en-US" w:eastAsia="zh-CN"/>
        </w:rPr>
        <w:t>2021</w:t>
      </w:r>
      <w:r>
        <w:rPr>
          <w:rFonts w:hint="eastAsia" w:asciiTheme="minorEastAsia" w:hAnsiTheme="minorEastAsia" w:eastAsiaTheme="minorEastAsia" w:cstheme="minorEastAsia"/>
          <w:bCs/>
          <w:sz w:val="28"/>
          <w:szCs w:val="28"/>
          <w:u w:val="single"/>
        </w:rPr>
        <w:t>年</w:t>
      </w:r>
      <w:r>
        <w:rPr>
          <w:rFonts w:hint="eastAsia" w:asciiTheme="minorEastAsia" w:hAnsiTheme="minorEastAsia" w:eastAsiaTheme="minorEastAsia" w:cstheme="minorEastAsia"/>
          <w:bCs/>
          <w:color w:val="FF0000"/>
          <w:sz w:val="28"/>
          <w:szCs w:val="28"/>
          <w:u w:val="single"/>
        </w:rPr>
        <w:t xml:space="preserve"> </w:t>
      </w:r>
      <w:r>
        <w:rPr>
          <w:rFonts w:hint="eastAsia" w:asciiTheme="minorEastAsia" w:hAnsiTheme="minorEastAsia" w:eastAsiaTheme="minorEastAsia" w:cstheme="minorEastAsia"/>
          <w:bCs/>
          <w:color w:val="FF0000"/>
          <w:sz w:val="28"/>
          <w:szCs w:val="28"/>
          <w:u w:val="single"/>
          <w:lang w:val="en-US" w:eastAsia="zh-CN"/>
        </w:rPr>
        <w:t>4</w:t>
      </w:r>
      <w:r>
        <w:rPr>
          <w:rFonts w:hint="eastAsia" w:asciiTheme="minorEastAsia" w:hAnsiTheme="minorEastAsia" w:eastAsiaTheme="minorEastAsia" w:cstheme="minorEastAsia"/>
          <w:bCs/>
          <w:color w:val="FF0000"/>
          <w:sz w:val="28"/>
          <w:szCs w:val="28"/>
          <w:u w:val="single"/>
        </w:rPr>
        <w:t>月</w:t>
      </w:r>
      <w:r>
        <w:rPr>
          <w:rFonts w:hint="eastAsia" w:asciiTheme="minorEastAsia" w:hAnsiTheme="minorEastAsia" w:eastAsiaTheme="minorEastAsia" w:cstheme="minorEastAsia"/>
          <w:bCs/>
          <w:color w:val="FF0000"/>
          <w:sz w:val="28"/>
          <w:szCs w:val="28"/>
          <w:u w:val="single"/>
          <w:lang w:val="en-US" w:eastAsia="zh-CN"/>
        </w:rPr>
        <w:t>20</w:t>
      </w:r>
      <w:r>
        <w:rPr>
          <w:rFonts w:hint="eastAsia" w:asciiTheme="minorEastAsia" w:hAnsiTheme="minorEastAsia" w:eastAsiaTheme="minorEastAsia" w:cstheme="minorEastAsia"/>
          <w:bCs/>
          <w:color w:val="FF0000"/>
          <w:sz w:val="28"/>
          <w:szCs w:val="28"/>
          <w:u w:val="single"/>
        </w:rPr>
        <w:t>日</w:t>
      </w:r>
      <w:r>
        <w:rPr>
          <w:rFonts w:hint="eastAsia" w:asciiTheme="minorEastAsia" w:hAnsiTheme="minorEastAsia" w:eastAsiaTheme="minorEastAsia" w:cstheme="minorEastAsia"/>
          <w:bCs/>
          <w:sz w:val="28"/>
          <w:szCs w:val="28"/>
          <w:u w:val="single"/>
          <w:lang w:val="en-US" w:eastAsia="zh-CN"/>
        </w:rPr>
        <w:t>9</w:t>
      </w:r>
      <w:r>
        <w:rPr>
          <w:rFonts w:hint="eastAsia" w:asciiTheme="minorEastAsia" w:hAnsiTheme="minorEastAsia" w:eastAsiaTheme="minorEastAsia" w:cstheme="minorEastAsia"/>
          <w:bCs/>
          <w:sz w:val="28"/>
          <w:szCs w:val="28"/>
          <w:u w:val="single"/>
        </w:rPr>
        <w:t>点</w:t>
      </w:r>
      <w:r>
        <w:rPr>
          <w:rFonts w:hint="eastAsia" w:asciiTheme="minorEastAsia" w:hAnsiTheme="minorEastAsia" w:eastAsiaTheme="minorEastAsia" w:cstheme="minorEastAsia"/>
          <w:bCs/>
          <w:sz w:val="28"/>
          <w:szCs w:val="28"/>
          <w:u w:val="single"/>
          <w:lang w:eastAsia="zh-CN"/>
        </w:rPr>
        <w:t>整</w:t>
      </w:r>
      <w:r>
        <w:rPr>
          <w:rFonts w:hint="eastAsia" w:asciiTheme="minorEastAsia" w:hAnsiTheme="minorEastAsia" w:eastAsiaTheme="minorEastAsia" w:cstheme="minorEastAsia"/>
          <w:bCs/>
          <w:sz w:val="28"/>
          <w:szCs w:val="28"/>
        </w:rPr>
        <w:t>（北京时间）</w:t>
      </w:r>
      <w:r>
        <w:rPr>
          <w:rFonts w:hint="eastAsia" w:asciiTheme="minorEastAsia" w:hAnsiTheme="minorEastAsia" w:eastAsiaTheme="minorEastAsia" w:cstheme="minorEastAsia"/>
          <w:i w:val="0"/>
          <w:iCs/>
          <w:sz w:val="28"/>
          <w:szCs w:val="28"/>
          <w:u w:val="single"/>
        </w:rPr>
        <w:t>（自招标文件开始发出之日起至投标人提交投标文件截止之日止，不得少于20日）</w:t>
      </w:r>
    </w:p>
    <w:p>
      <w:pPr>
        <w:pStyle w:val="2"/>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投标网址：浙江政府采购云平台（</w:t>
      </w:r>
      <w:r>
        <w:rPr>
          <w:rFonts w:hint="eastAsia" w:asciiTheme="minorEastAsia" w:hAnsiTheme="minorEastAsia" w:eastAsiaTheme="minorEastAsia" w:cstheme="minorEastAsia"/>
          <w:color w:val="auto"/>
          <w:kern w:val="2"/>
          <w:sz w:val="28"/>
          <w:szCs w:val="28"/>
          <w:lang w:val="en-US" w:eastAsia="zh-CN" w:bidi="ar-SA"/>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2"/>
          <w:sz w:val="28"/>
          <w:szCs w:val="28"/>
          <w:lang w:val="en-US" w:eastAsia="zh-CN" w:bidi="ar-SA"/>
        </w:rPr>
        <w:t>http://www.zcygov.cn）。</w:t>
      </w:r>
      <w:r>
        <w:rPr>
          <w:rFonts w:hint="eastAsia" w:asciiTheme="minorEastAsia" w:hAnsiTheme="minorEastAsia" w:eastAsiaTheme="minorEastAsia" w:cstheme="minorEastAsia"/>
          <w:color w:val="auto"/>
          <w:kern w:val="2"/>
          <w:sz w:val="28"/>
          <w:szCs w:val="28"/>
          <w:lang w:val="en-US" w:eastAsia="zh-CN" w:bidi="ar-SA"/>
        </w:rPr>
        <w:br w:type="textWrapping"/>
      </w:r>
      <w:r>
        <w:rPr>
          <w:rFonts w:hint="eastAsia" w:asciiTheme="minorEastAsia" w:hAnsiTheme="minorEastAsia" w:eastAsiaTheme="minorEastAsia" w:cstheme="minorEastAsia"/>
          <w:color w:val="auto"/>
          <w:kern w:val="2"/>
          <w:sz w:val="28"/>
          <w:szCs w:val="28"/>
          <w:lang w:val="en-US" w:eastAsia="zh-CN" w:bidi="ar-SA"/>
        </w:rPr>
        <w:t>本项目只接受电子投标文件，具体操作要求见前附表。请在开标当日09:00至09:30完成电子投标文件解密。</w:t>
      </w:r>
    </w:p>
    <w:p>
      <w:pPr>
        <w:pStyle w:val="4"/>
        <w:spacing w:line="360" w:lineRule="auto"/>
        <w:rPr>
          <w:rFonts w:hint="eastAsia" w:asciiTheme="minorEastAsia" w:hAnsiTheme="minorEastAsia" w:eastAsiaTheme="minorEastAsia" w:cstheme="minorEastAsia"/>
          <w:b w:val="0"/>
          <w:sz w:val="28"/>
          <w:szCs w:val="28"/>
        </w:rPr>
      </w:pPr>
      <w:bookmarkStart w:id="17" w:name="_Toc28359007"/>
      <w:bookmarkStart w:id="18" w:name="_Toc35393794"/>
      <w:bookmarkStart w:id="19" w:name="_Toc35393625"/>
      <w:bookmarkStart w:id="20" w:name="_Toc28359084"/>
      <w:r>
        <w:rPr>
          <w:rFonts w:hint="eastAsia" w:asciiTheme="minorEastAsia" w:hAnsiTheme="minorEastAsia" w:eastAsiaTheme="minorEastAsia" w:cstheme="minorEastAsia"/>
          <w:b w:val="0"/>
          <w:sz w:val="28"/>
          <w:szCs w:val="28"/>
        </w:rPr>
        <w:t>五、公告期限</w:t>
      </w:r>
      <w:bookmarkEnd w:id="17"/>
      <w:bookmarkEnd w:id="18"/>
      <w:bookmarkEnd w:id="19"/>
      <w:bookmarkEnd w:id="20"/>
    </w:p>
    <w:p>
      <w:pPr>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numPr>
          <w:ilvl w:val="0"/>
          <w:numId w:val="0"/>
        </w:numPr>
        <w:spacing w:line="360" w:lineRule="auto"/>
        <w:ind w:right="25" w:rightChars="0"/>
        <w:rPr>
          <w:rFonts w:hint="eastAsia" w:asciiTheme="minorEastAsia" w:hAnsiTheme="minorEastAsia" w:eastAsiaTheme="minorEastAsia" w:cstheme="minorEastAsia"/>
          <w:b w:val="0"/>
          <w:sz w:val="28"/>
          <w:szCs w:val="28"/>
        </w:rPr>
      </w:pPr>
      <w:bookmarkStart w:id="21" w:name="_Toc35393795"/>
      <w:bookmarkStart w:id="22" w:name="_Toc35393626"/>
      <w:r>
        <w:rPr>
          <w:rFonts w:hint="eastAsia" w:asciiTheme="minorEastAsia" w:hAnsiTheme="minorEastAsia" w:eastAsiaTheme="minorEastAsia" w:cstheme="minorEastAsia"/>
          <w:b w:val="0"/>
          <w:sz w:val="28"/>
          <w:szCs w:val="28"/>
          <w:lang w:eastAsia="zh-CN"/>
        </w:rPr>
        <w:t>六、</w:t>
      </w:r>
      <w:r>
        <w:rPr>
          <w:rFonts w:hint="eastAsia" w:asciiTheme="minorEastAsia" w:hAnsiTheme="minorEastAsia" w:eastAsiaTheme="minorEastAsia" w:cstheme="minorEastAsia"/>
          <w:b w:val="0"/>
          <w:sz w:val="28"/>
          <w:szCs w:val="28"/>
        </w:rPr>
        <w:t>其他补充事宜</w:t>
      </w:r>
      <w:bookmarkEnd w:id="21"/>
      <w:bookmarkEnd w:id="22"/>
    </w:p>
    <w:p>
      <w:pPr>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1、供应商认为采购文件使自己的权益受到损害的，可以自收到采购文件之日（获取截止日之后收到采购文件的，以获取截止日为准）起7个工作日内且应当在采购</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3、参与政府采购项目的注册供应商，需登录浙江省政府采购网（</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"http://www.tzztb.com/tzcms/zfcg.jhtml"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http://www.zjzfcg.gov.cn</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）进行网上报名；尚未注册的供应商应当先在浙江政府采购网上申请注册，注册后再进行网上报名。</w:t>
      </w:r>
    </w:p>
    <w:p>
      <w:pPr>
        <w:pStyle w:val="4"/>
        <w:spacing w:line="360" w:lineRule="auto"/>
        <w:rPr>
          <w:rFonts w:hint="eastAsia" w:asciiTheme="minorEastAsia" w:hAnsiTheme="minorEastAsia" w:eastAsiaTheme="minorEastAsia" w:cstheme="minorEastAsia"/>
          <w:b w:val="0"/>
          <w:sz w:val="28"/>
          <w:szCs w:val="28"/>
        </w:rPr>
      </w:pPr>
      <w:bookmarkStart w:id="23" w:name="_Toc35393796"/>
      <w:bookmarkStart w:id="24" w:name="_Toc28359008"/>
      <w:bookmarkStart w:id="25" w:name="_Toc35393627"/>
      <w:bookmarkStart w:id="26" w:name="_Toc28359085"/>
      <w:r>
        <w:rPr>
          <w:rFonts w:hint="eastAsia" w:asciiTheme="minorEastAsia" w:hAnsiTheme="minorEastAsia" w:eastAsiaTheme="minorEastAsia" w:cstheme="minorEastAsia"/>
          <w:b w:val="0"/>
          <w:sz w:val="28"/>
          <w:szCs w:val="28"/>
        </w:rPr>
        <w:t>七、对本次招标提出询问，请按以下方式联系。</w:t>
      </w:r>
      <w:bookmarkEnd w:id="23"/>
      <w:bookmarkEnd w:id="24"/>
      <w:bookmarkEnd w:id="25"/>
      <w:bookmarkEnd w:id="26"/>
    </w:p>
    <w:p>
      <w:pPr>
        <w:snapToGrid w:val="0"/>
        <w:spacing w:line="360" w:lineRule="auto"/>
        <w:rPr>
          <w:rFonts w:hint="eastAsia"/>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rPr>
        <w:t>1.采购人</w:t>
      </w:r>
      <w:r>
        <w:rPr>
          <w:rFonts w:hint="eastAsia" w:asciiTheme="minorEastAsia" w:hAnsiTheme="minorEastAsia" w:eastAsiaTheme="minorEastAsia" w:cstheme="minorEastAsia"/>
          <w:b/>
          <w:bCs/>
          <w:color w:val="auto"/>
          <w:sz w:val="28"/>
          <w:szCs w:val="28"/>
        </w:rPr>
        <w:t>（受理</w:t>
      </w:r>
      <w:r>
        <w:rPr>
          <w:rFonts w:hint="eastAsia" w:asciiTheme="minorEastAsia" w:hAnsiTheme="minorEastAsia" w:eastAsiaTheme="minorEastAsia" w:cstheme="minorEastAsia"/>
          <w:b/>
          <w:bCs/>
          <w:color w:val="auto"/>
          <w:sz w:val="28"/>
          <w:szCs w:val="28"/>
          <w:lang w:eastAsia="zh-CN"/>
        </w:rPr>
        <w:t>采购</w:t>
      </w:r>
      <w:r>
        <w:rPr>
          <w:rFonts w:hint="eastAsia" w:asciiTheme="minorEastAsia" w:hAnsiTheme="minorEastAsia" w:eastAsiaTheme="minorEastAsia" w:cstheme="minorEastAsia"/>
          <w:b/>
          <w:bCs/>
          <w:color w:val="auto"/>
          <w:sz w:val="28"/>
          <w:szCs w:val="28"/>
        </w:rPr>
        <w:t xml:space="preserve">文件相关质疑及答复） </w:t>
      </w:r>
    </w:p>
    <w:p>
      <w:pPr>
        <w:spacing w:line="360" w:lineRule="auto"/>
        <w:ind w:firstLine="720" w:firstLineChars="300"/>
        <w:jc w:val="left"/>
        <w:rPr>
          <w:rFonts w:hint="eastAsia" w:asciiTheme="minorEastAsia" w:hAnsiTheme="minorEastAsia" w:eastAsiaTheme="minorEastAsia"/>
          <w:kern w:val="0"/>
          <w:sz w:val="24"/>
          <w:szCs w:val="24"/>
          <w:lang w:eastAsia="zh-CN"/>
        </w:rPr>
      </w:pPr>
      <w:bookmarkStart w:id="27" w:name="_Toc28359086"/>
      <w:bookmarkStart w:id="28" w:name="_Toc28359009"/>
      <w:bookmarkStart w:id="29" w:name="_Toc28359010"/>
      <w:bookmarkStart w:id="30" w:name="_Toc28359087"/>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kern w:val="0"/>
          <w:sz w:val="24"/>
          <w:szCs w:val="24"/>
          <w:lang w:eastAsia="zh-CN"/>
        </w:rPr>
        <w:t>台州市公安局</w:t>
      </w:r>
    </w:p>
    <w:p>
      <w:pPr>
        <w:spacing w:line="360" w:lineRule="auto"/>
        <w:ind w:firstLine="720" w:firstLineChars="300"/>
        <w:jc w:val="left"/>
        <w:rPr>
          <w:rFonts w:hint="default" w:ascii="Arial" w:hAnsi="Arial" w:eastAsia="宋体" w:cs="Arial"/>
          <w:b w:val="0"/>
          <w:i w:val="0"/>
          <w:caps w:val="0"/>
          <w:color w:val="535353"/>
          <w:spacing w:val="0"/>
          <w:sz w:val="24"/>
          <w:szCs w:val="24"/>
          <w:shd w:val="clear" w:fill="FFFFFF"/>
          <w:lang w:val="en-US" w:eastAsia="zh-CN"/>
        </w:rPr>
      </w:pPr>
      <w:r>
        <w:rPr>
          <w:rFonts w:hint="eastAsia" w:asciiTheme="minorEastAsia" w:hAnsiTheme="minorEastAsia" w:eastAsiaTheme="minorEastAsia" w:cstheme="minorEastAsia"/>
          <w:sz w:val="24"/>
          <w:szCs w:val="24"/>
        </w:rPr>
        <w:t>地址：</w:t>
      </w:r>
      <w:r>
        <w:rPr>
          <w:rFonts w:ascii="Arial" w:hAnsi="Arial" w:eastAsia="宋体" w:cs="Arial"/>
          <w:b w:val="0"/>
          <w:i w:val="0"/>
          <w:caps w:val="0"/>
          <w:color w:val="535353"/>
          <w:spacing w:val="0"/>
          <w:sz w:val="24"/>
          <w:szCs w:val="24"/>
          <w:shd w:val="clear" w:fill="FFFFFF"/>
        </w:rPr>
        <w:t>台州市</w:t>
      </w:r>
      <w:r>
        <w:rPr>
          <w:rFonts w:hint="eastAsia" w:ascii="Arial" w:hAnsi="Arial" w:cs="Arial"/>
          <w:b w:val="0"/>
          <w:i w:val="0"/>
          <w:caps w:val="0"/>
          <w:color w:val="535353"/>
          <w:spacing w:val="0"/>
          <w:sz w:val="24"/>
          <w:szCs w:val="24"/>
          <w:shd w:val="clear" w:fill="FFFFFF"/>
          <w:lang w:eastAsia="zh-CN"/>
        </w:rPr>
        <w:t>康平路</w:t>
      </w:r>
      <w:r>
        <w:rPr>
          <w:rFonts w:hint="eastAsia" w:ascii="Arial" w:hAnsi="Arial" w:cs="Arial"/>
          <w:b w:val="0"/>
          <w:i w:val="0"/>
          <w:caps w:val="0"/>
          <w:color w:val="535353"/>
          <w:spacing w:val="0"/>
          <w:sz w:val="24"/>
          <w:szCs w:val="24"/>
          <w:shd w:val="clear" w:fill="FFFFFF"/>
          <w:lang w:val="en-US" w:eastAsia="zh-CN"/>
        </w:rPr>
        <w:t>2号</w:t>
      </w:r>
    </w:p>
    <w:p>
      <w:pPr>
        <w:spacing w:line="360" w:lineRule="auto"/>
        <w:ind w:firstLine="720" w:firstLineChars="300"/>
        <w:jc w:val="left"/>
        <w:rPr>
          <w:rFonts w:hint="eastAsia" w:cs="Arial"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叶</w:t>
      </w:r>
      <w:r>
        <w:rPr>
          <w:rFonts w:hint="eastAsia" w:ascii="Arial" w:hAnsi="Arial" w:cs="Arial"/>
          <w:color w:val="000000"/>
          <w:sz w:val="24"/>
          <w:szCs w:val="24"/>
        </w:rPr>
        <w:t>老师</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720" w:firstLineChars="300"/>
        <w:rPr>
          <w:rFonts w:hint="default"/>
          <w:lang w:val="en-US"/>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rPr>
        <w:t>：</w:t>
      </w:r>
      <w:r>
        <w:rPr>
          <w:rFonts w:hint="eastAsia" w:ascii="宋体" w:hAnsi="宋体"/>
          <w:color w:val="000000" w:themeColor="text1"/>
          <w:sz w:val="24"/>
          <w:szCs w:val="24"/>
          <w:lang w:val="en-US" w:eastAsia="zh-CN"/>
          <w14:textFill>
            <w14:solidFill>
              <w14:schemeClr w14:val="tx1"/>
            </w14:solidFill>
          </w14:textFill>
        </w:rPr>
        <w:t>13706550571</w:t>
      </w:r>
    </w:p>
    <w:bookmarkEnd w:id="27"/>
    <w:bookmarkEnd w:id="28"/>
    <w:p>
      <w:pPr>
        <w:spacing w:line="360" w:lineRule="auto"/>
        <w:ind w:firstLine="840" w:firstLineChars="300"/>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b/>
          <w:color w:val="auto"/>
          <w:sz w:val="28"/>
          <w:szCs w:val="28"/>
        </w:rPr>
        <w:t>集中采购机构</w:t>
      </w:r>
    </w:p>
    <w:p>
      <w:pPr>
        <w:spacing w:line="360" w:lineRule="auto"/>
        <w:ind w:firstLine="720" w:firstLineChars="300"/>
        <w:rPr>
          <w:rFonts w:ascii="宋体"/>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z w:val="24"/>
          <w:szCs w:val="24"/>
        </w:rPr>
        <w:t>名 称：</w:t>
      </w:r>
      <w:r>
        <w:rPr>
          <w:rFonts w:hint="eastAsia" w:ascii="Arial" w:hAnsi="Arial" w:cs="Arial"/>
          <w:b w:val="0"/>
          <w:i w:val="0"/>
          <w:caps w:val="0"/>
          <w:color w:val="000000" w:themeColor="text1"/>
          <w:spacing w:val="0"/>
          <w:sz w:val="24"/>
          <w:szCs w:val="24"/>
          <w:shd w:val="clear" w:fill="FFFFFF"/>
          <w:lang w:val="en-US" w:eastAsia="zh-CN"/>
          <w14:textFill>
            <w14:solidFill>
              <w14:schemeClr w14:val="tx1"/>
            </w14:solidFill>
          </w14:textFill>
        </w:rPr>
        <w:t>台州市政府采购中心</w:t>
      </w:r>
      <w:r>
        <w:rPr>
          <w:rFonts w:ascii="宋体"/>
          <w:color w:val="000000" w:themeColor="text1"/>
          <w:kern w:val="0"/>
          <w:sz w:val="24"/>
          <w:szCs w:val="24"/>
          <w14:textFill>
            <w14:solidFill>
              <w14:schemeClr w14:val="tx1"/>
            </w14:solidFill>
          </w14:textFill>
        </w:rPr>
        <w:t xml:space="preserve">  </w:t>
      </w:r>
    </w:p>
    <w:p>
      <w:pPr>
        <w:snapToGrid w:val="0"/>
        <w:spacing w:line="360" w:lineRule="auto"/>
        <w:ind w:firstLine="720" w:firstLineChars="3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kern w:val="0"/>
          <w:sz w:val="24"/>
          <w:szCs w:val="24"/>
          <w:lang w:eastAsia="zh-CN"/>
        </w:rPr>
        <w:t>台州市公共资源交易中心</w:t>
      </w:r>
    </w:p>
    <w:p>
      <w:pPr>
        <w:snapToGrid w:val="0"/>
        <w:spacing w:line="360" w:lineRule="auto"/>
        <w:ind w:firstLine="720" w:firstLineChars="300"/>
        <w:rPr>
          <w:rFonts w:hint="eastAsia" w:cs="Arial"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项目联系人：</w:t>
      </w:r>
      <w:r>
        <w:rPr>
          <w:rFonts w:hint="eastAsia" w:cs="Arial" w:asciiTheme="minorEastAsia" w:hAnsiTheme="minorEastAsia" w:eastAsiaTheme="minorEastAsia"/>
          <w:color w:val="000000" w:themeColor="text1"/>
          <w:sz w:val="24"/>
          <w:szCs w:val="24"/>
          <w:lang w:eastAsia="zh-CN"/>
          <w14:textFill>
            <w14:solidFill>
              <w14:schemeClr w14:val="tx1"/>
            </w14:solidFill>
          </w14:textFill>
        </w:rPr>
        <w:t>陈女士</w:t>
      </w:r>
    </w:p>
    <w:p>
      <w:pPr>
        <w:spacing w:line="360" w:lineRule="auto"/>
        <w:ind w:firstLine="720" w:firstLineChars="3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rPr>
        <w:t>：</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0576-88685056</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720" w:firstLineChars="3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窗口联系人：</w:t>
      </w:r>
      <w:r>
        <w:rPr>
          <w:rFonts w:hint="eastAsia" w:asciiTheme="minorEastAsia" w:hAnsiTheme="minorEastAsia" w:eastAsiaTheme="minorEastAsia" w:cstheme="minorEastAsia"/>
          <w:sz w:val="24"/>
          <w:szCs w:val="24"/>
          <w:lang w:eastAsia="zh-CN"/>
        </w:rPr>
        <w:t>候女士</w:t>
      </w:r>
      <w:r>
        <w:rPr>
          <w:rFonts w:hint="eastAsia" w:asciiTheme="minorEastAsia" w:hAnsiTheme="minorEastAsia" w:eastAsiaTheme="minorEastAsia" w:cstheme="minorEastAsia"/>
          <w:sz w:val="24"/>
          <w:szCs w:val="24"/>
        </w:rPr>
        <w:t>（受理供应商注册、中标结果相关质疑及答复）</w:t>
      </w:r>
    </w:p>
    <w:p>
      <w:pPr>
        <w:spacing w:line="360" w:lineRule="auto"/>
        <w:ind w:firstLine="720" w:firstLineChars="300"/>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0576-88685121</w:t>
      </w:r>
      <w:r>
        <w:rPr>
          <w:rFonts w:hint="eastAsia" w:asciiTheme="minorEastAsia" w:hAnsiTheme="minorEastAsia" w:eastAsiaTheme="minorEastAsia" w:cstheme="minorEastAsia"/>
          <w:sz w:val="24"/>
          <w:szCs w:val="24"/>
        </w:rPr>
        <w:t xml:space="preserve">  </w:t>
      </w:r>
    </w:p>
    <w:p>
      <w:pPr>
        <w:spacing w:line="360" w:lineRule="auto"/>
        <w:ind w:firstLine="840" w:firstLineChars="300"/>
        <w:rPr>
          <w:rFonts w:hint="eastAsia" w:asciiTheme="minorEastAsia" w:hAnsiTheme="minorEastAsia" w:eastAsiaTheme="minorEastAsia" w:cstheme="minorEastAsia"/>
          <w:sz w:val="28"/>
          <w:szCs w:val="28"/>
          <w:lang w:val="en-US" w:eastAsia="zh-CN"/>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台州市政府采购中心</w:t>
      </w:r>
      <w:r>
        <w:rPr>
          <w:rFonts w:hint="eastAsia" w:asciiTheme="minorEastAsia" w:hAnsiTheme="minorEastAsia" w:eastAsiaTheme="minorEastAsia" w:cstheme="minorEastAsia"/>
          <w:color w:val="auto"/>
          <w:kern w:val="0"/>
          <w:sz w:val="24"/>
          <w:szCs w:val="24"/>
        </w:rPr>
        <w:t xml:space="preserve"> </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en-US" w:eastAsia="zh-CN"/>
        </w:rPr>
        <w:t xml:space="preserve">                                                 2021</w:t>
      </w:r>
      <w:r>
        <w:rPr>
          <w:rFonts w:hint="eastAsia" w:asciiTheme="minorEastAsia" w:hAnsiTheme="minorEastAsia" w:eastAsiaTheme="minorEastAsia" w:cstheme="minorEastAsia"/>
          <w:color w:val="auto"/>
          <w:kern w:val="0"/>
          <w:sz w:val="24"/>
          <w:szCs w:val="24"/>
        </w:rPr>
        <w:t>年</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kern w:val="0"/>
          <w:sz w:val="24"/>
          <w:szCs w:val="24"/>
        </w:rPr>
        <w:t>月</w:t>
      </w:r>
      <w:r>
        <w:rPr>
          <w:rFonts w:hint="eastAsia" w:asciiTheme="minorEastAsia" w:hAnsiTheme="minorEastAsia" w:eastAsiaTheme="minorEastAsia" w:cstheme="minorEastAsia"/>
          <w:color w:val="auto"/>
          <w:sz w:val="24"/>
          <w:szCs w:val="24"/>
          <w:lang w:val="en-US" w:eastAsia="zh-CN"/>
        </w:rPr>
        <w:t>29</w:t>
      </w:r>
      <w:r>
        <w:rPr>
          <w:rFonts w:hint="eastAsia" w:asciiTheme="minorEastAsia" w:hAnsiTheme="minorEastAsia" w:eastAsiaTheme="minorEastAsia" w:cstheme="minorEastAsia"/>
          <w:color w:val="auto"/>
          <w:kern w:val="0"/>
          <w:sz w:val="24"/>
          <w:szCs w:val="24"/>
        </w:rPr>
        <w:t>日</w:t>
      </w:r>
    </w:p>
    <w:p>
      <w:pPr>
        <w:pStyle w:val="2"/>
        <w:rPr>
          <w:rFonts w:hint="default" w:eastAsiaTheme="minorEastAsia"/>
          <w:lang w:val="en-US" w:eastAsia="zh-CN"/>
        </w:rPr>
      </w:pPr>
    </w:p>
    <w:p>
      <w:pPr>
        <w:pStyle w:val="2"/>
        <w:rPr>
          <w:rFonts w:hint="default" w:eastAsiaTheme="minorEastAsia"/>
          <w:lang w:val="en-US" w:eastAsia="zh-CN"/>
        </w:rPr>
      </w:pPr>
    </w:p>
    <w:p>
      <w:pPr>
        <w:pStyle w:val="2"/>
        <w:rPr>
          <w:rFonts w:hint="default" w:eastAsiaTheme="minorEastAsia"/>
          <w:lang w:val="en-US" w:eastAsia="zh-CN"/>
        </w:rPr>
      </w:pPr>
    </w:p>
    <w:p>
      <w:pPr>
        <w:pStyle w:val="2"/>
        <w:rPr>
          <w:rFonts w:hint="default" w:eastAsiaTheme="minorEastAsia"/>
          <w:lang w:val="en-US" w:eastAsia="zh-CN"/>
        </w:rPr>
      </w:pPr>
    </w:p>
    <w:p>
      <w:pPr>
        <w:pStyle w:val="2"/>
        <w:rPr>
          <w:rFonts w:hint="default" w:eastAsiaTheme="minorEastAsia"/>
          <w:lang w:val="en-US" w:eastAsia="zh-CN"/>
        </w:rPr>
      </w:pPr>
    </w:p>
    <w:p>
      <w:pPr>
        <w:pStyle w:val="2"/>
        <w:rPr>
          <w:rFonts w:hint="default" w:eastAsiaTheme="minorEastAsia"/>
          <w:lang w:val="en-US" w:eastAsia="zh-CN"/>
        </w:rPr>
      </w:pPr>
    </w:p>
    <w:p>
      <w:pPr>
        <w:pStyle w:val="2"/>
        <w:rPr>
          <w:rFonts w:hint="default" w:eastAsiaTheme="minorEastAsia"/>
          <w:lang w:val="en-US" w:eastAsia="zh-CN"/>
        </w:rPr>
      </w:pPr>
    </w:p>
    <w:bookmarkEnd w:id="29"/>
    <w:bookmarkEnd w:id="30"/>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投标人须知</w:t>
      </w:r>
    </w:p>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前附表</w:t>
      </w:r>
    </w:p>
    <w:tbl>
      <w:tblPr>
        <w:tblStyle w:val="23"/>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供应商特定</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答疑会或</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sz w:val="24"/>
                <w:lang w:eastAsia="zh-CN"/>
              </w:rPr>
              <w:t>电子</w:t>
            </w:r>
            <w:r>
              <w:rPr>
                <w:rFonts w:hint="eastAsia" w:asciiTheme="majorEastAsia" w:hAnsiTheme="majorEastAsia" w:eastAsiaTheme="majorEastAsia" w:cstheme="majorEastAsia"/>
                <w:color w:val="auto"/>
                <w:sz w:val="24"/>
              </w:rPr>
              <w:t>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auto"/>
                <w:sz w:val="24"/>
                <w:lang w:val="en-US"/>
              </w:rPr>
            </w:pPr>
            <w:r>
              <w:rPr>
                <w:rFonts w:hint="eastAsia" w:ascii="宋体" w:hAnsi="宋体" w:cs="宋体"/>
                <w:color w:val="auto"/>
                <w:sz w:val="24"/>
                <w:lang w:eastAsia="zh-CN"/>
              </w:rPr>
              <w:t>投标</w:t>
            </w:r>
            <w:r>
              <w:rPr>
                <w:rFonts w:hint="eastAsia" w:ascii="宋体" w:hAnsi="宋体" w:eastAsia="宋体" w:cs="宋体"/>
                <w:color w:val="auto"/>
                <w:sz w:val="24"/>
                <w:lang w:eastAsia="zh-CN"/>
              </w:rPr>
              <w:t>人须</w:t>
            </w:r>
            <w:r>
              <w:rPr>
                <w:rFonts w:hint="eastAsia" w:ascii="宋体" w:hAnsi="宋体" w:eastAsia="宋体" w:cs="宋体"/>
                <w:color w:val="auto"/>
                <w:sz w:val="24"/>
                <w:szCs w:val="24"/>
              </w:rPr>
              <w:t>按照采购文件和电子交易平台的要求编制并加密</w:t>
            </w:r>
            <w:r>
              <w:rPr>
                <w:rFonts w:hint="eastAsia" w:ascii="宋体" w:hAnsi="宋体" w:eastAsia="宋体" w:cs="宋体"/>
                <w:color w:val="auto"/>
                <w:sz w:val="24"/>
                <w:szCs w:val="24"/>
                <w:lang w:eastAsia="zh-CN"/>
              </w:rPr>
              <w:t>电子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w:t>
            </w:r>
            <w:r>
              <w:rPr>
                <w:rFonts w:hint="eastAsia" w:ascii="宋体" w:hAnsi="宋体" w:eastAsia="宋体" w:cs="宋体"/>
                <w:color w:val="auto"/>
                <w:sz w:val="24"/>
              </w:rPr>
              <w:t>截止时间：北京时间</w:t>
            </w:r>
            <w:r>
              <w:rPr>
                <w:rFonts w:hint="eastAsia" w:ascii="宋体" w:hAnsi="宋体" w:cs="宋体"/>
                <w:color w:val="auto"/>
                <w:sz w:val="24"/>
                <w:lang w:eastAsia="zh-CN"/>
              </w:rPr>
              <w:t>2021</w:t>
            </w:r>
            <w:r>
              <w:rPr>
                <w:rFonts w:hint="eastAsia" w:ascii="宋体" w:hAnsi="宋体" w:cs="宋体"/>
                <w:color w:val="FF0000"/>
                <w:sz w:val="24"/>
              </w:rPr>
              <w:t>年</w:t>
            </w:r>
            <w:r>
              <w:rPr>
                <w:rFonts w:hint="eastAsia" w:ascii="宋体" w:hAnsi="宋体" w:cs="宋体"/>
                <w:color w:val="FF0000"/>
                <w:sz w:val="24"/>
                <w:lang w:val="en-US" w:eastAsia="zh-CN"/>
              </w:rPr>
              <w:t>4</w:t>
            </w:r>
            <w:r>
              <w:rPr>
                <w:rFonts w:hint="eastAsia" w:ascii="宋体" w:hAnsi="宋体" w:cs="Arial"/>
                <w:color w:val="FF0000"/>
                <w:sz w:val="24"/>
              </w:rPr>
              <w:t>月</w:t>
            </w:r>
            <w:r>
              <w:rPr>
                <w:rFonts w:hint="eastAsia" w:ascii="宋体" w:hAnsi="宋体" w:cs="Arial"/>
                <w:color w:val="FF0000"/>
                <w:sz w:val="24"/>
                <w:lang w:val="en-US" w:eastAsia="zh-CN"/>
              </w:rPr>
              <w:t>20</w:t>
            </w:r>
            <w:r>
              <w:rPr>
                <w:rFonts w:hint="eastAsia" w:ascii="宋体" w:hAnsi="宋体" w:cs="Arial"/>
                <w:color w:val="FF0000"/>
                <w:sz w:val="24"/>
              </w:rPr>
              <w:t>日</w:t>
            </w:r>
            <w:r>
              <w:rPr>
                <w:rFonts w:hint="eastAsia" w:ascii="宋体" w:hAnsi="宋体" w:cs="Arial"/>
                <w:color w:val="auto"/>
                <w:sz w:val="24"/>
              </w:rPr>
              <w:t>0</w:t>
            </w:r>
            <w:r>
              <w:rPr>
                <w:rFonts w:hint="eastAsia" w:ascii="宋体" w:hAnsi="宋体" w:cs="Arial"/>
                <w:color w:val="auto"/>
                <w:sz w:val="24"/>
                <w:lang w:val="en-US" w:eastAsia="zh-CN"/>
              </w:rPr>
              <w:t>9</w:t>
            </w:r>
            <w:r>
              <w:rPr>
                <w:rFonts w:hint="eastAsia" w:ascii="宋体" w:hAnsi="宋体" w:cs="Arial"/>
                <w:color w:val="auto"/>
                <w:sz w:val="24"/>
              </w:rPr>
              <w:t>:</w:t>
            </w:r>
            <w:r>
              <w:rPr>
                <w:rFonts w:hint="eastAsia" w:ascii="宋体" w:hAnsi="宋体" w:cs="Arial"/>
                <w:color w:val="auto"/>
                <w:sz w:val="24"/>
                <w:lang w:val="en-US" w:eastAsia="zh-CN"/>
              </w:rPr>
              <w:t>00</w:t>
            </w:r>
          </w:p>
          <w:p>
            <w:pPr>
              <w:pStyle w:val="2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投标人应当在投标截止时间前完成</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的传输递交，并可以补充、修改或者撤回电子投标文件。补充或者修改电子投标文件的，应当先行撤回原文件，补充、修改后重新传输递交。投标截止时间前未完成传输的，视为撤回电子投标文件。逾期上传的</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恕不接受。</w:t>
            </w:r>
          </w:p>
          <w:p>
            <w:pPr>
              <w:pStyle w:val="9"/>
              <w:spacing w:line="360" w:lineRule="auto"/>
              <w:rPr>
                <w:rFonts w:hint="eastAsia"/>
                <w:color w:val="auto"/>
                <w:lang w:eastAsia="zh-CN"/>
              </w:rPr>
            </w:pPr>
            <w:r>
              <w:rPr>
                <w:rFonts w:hint="eastAsia"/>
                <w:b/>
                <w:bCs/>
                <w:color w:val="auto"/>
                <w:sz w:val="24"/>
                <w:szCs w:val="24"/>
                <w:lang w:val="en-US" w:eastAsia="zh-CN"/>
              </w:rPr>
              <w:t>温馨提醒：供应商应提前上传，以便在上传时遇到技术问题，有充足的时间请教平台的技术人员。</w:t>
            </w:r>
            <w:r>
              <w:rPr>
                <w:rFonts w:hint="eastAsia"/>
                <w:color w:val="auto"/>
                <w:sz w:val="24"/>
                <w:szCs w:val="24"/>
                <w:lang w:val="en-US" w:eastAsia="zh-CN"/>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en-US" w:eastAsia="zh-CN"/>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电子投标文件在线解密时间：北京时间</w:t>
            </w:r>
            <w:r>
              <w:rPr>
                <w:rFonts w:hint="eastAsia" w:ascii="宋体" w:hAnsi="宋体" w:cs="宋体"/>
                <w:color w:val="FF0000"/>
                <w:kern w:val="2"/>
                <w:sz w:val="24"/>
                <w:szCs w:val="24"/>
                <w:lang w:val="en-US" w:eastAsia="zh-CN" w:bidi="ar-SA"/>
              </w:rPr>
              <w:t>2021</w:t>
            </w:r>
            <w:r>
              <w:rPr>
                <w:rFonts w:hint="eastAsia" w:ascii="宋体" w:hAnsi="宋体" w:eastAsia="宋体" w:cs="宋体"/>
                <w:color w:val="FF0000"/>
                <w:kern w:val="2"/>
                <w:sz w:val="24"/>
                <w:szCs w:val="24"/>
                <w:lang w:val="en-US" w:eastAsia="zh-CN" w:bidi="ar-SA"/>
              </w:rPr>
              <w:t>年</w:t>
            </w:r>
            <w:r>
              <w:rPr>
                <w:rFonts w:hint="eastAsia" w:ascii="宋体" w:hAnsi="宋体" w:cs="宋体"/>
                <w:color w:val="FF0000"/>
                <w:kern w:val="2"/>
                <w:sz w:val="24"/>
                <w:szCs w:val="24"/>
                <w:lang w:val="en-US" w:eastAsia="zh-CN" w:bidi="ar-SA"/>
              </w:rPr>
              <w:t>4</w:t>
            </w:r>
            <w:r>
              <w:rPr>
                <w:rFonts w:hint="eastAsia" w:ascii="宋体" w:hAnsi="宋体" w:eastAsia="宋体" w:cs="宋体"/>
                <w:color w:val="FF0000"/>
                <w:kern w:val="2"/>
                <w:sz w:val="24"/>
                <w:szCs w:val="24"/>
                <w:lang w:val="en-US" w:eastAsia="zh-CN" w:bidi="ar-SA"/>
              </w:rPr>
              <w:t>月</w:t>
            </w:r>
            <w:r>
              <w:rPr>
                <w:rFonts w:hint="eastAsia" w:ascii="宋体" w:hAnsi="宋体" w:cs="宋体"/>
                <w:color w:val="FF0000"/>
                <w:kern w:val="2"/>
                <w:sz w:val="24"/>
                <w:szCs w:val="24"/>
                <w:lang w:val="en-US" w:eastAsia="zh-CN" w:bidi="ar-SA"/>
              </w:rPr>
              <w:t>20</w:t>
            </w:r>
            <w:r>
              <w:rPr>
                <w:rFonts w:hint="eastAsia" w:ascii="宋体" w:hAnsi="宋体" w:eastAsia="宋体" w:cs="宋体"/>
                <w:color w:val="FF0000"/>
                <w:kern w:val="2"/>
                <w:sz w:val="24"/>
                <w:szCs w:val="24"/>
                <w:lang w:val="en-US" w:eastAsia="zh-CN" w:bidi="ar-SA"/>
              </w:rPr>
              <w:t>日</w:t>
            </w:r>
            <w:r>
              <w:rPr>
                <w:rFonts w:hint="eastAsia" w:ascii="宋体" w:hAnsi="宋体" w:eastAsia="宋体" w:cs="宋体"/>
                <w:color w:val="auto"/>
                <w:kern w:val="2"/>
                <w:sz w:val="24"/>
                <w:szCs w:val="24"/>
                <w:lang w:val="en-US" w:eastAsia="zh-CN" w:bidi="ar-SA"/>
              </w:rPr>
              <w:t>09:00至09:30；</w:t>
            </w:r>
          </w:p>
          <w:p>
            <w:pPr>
              <w:pStyle w:val="2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备份电子投标</w:t>
            </w:r>
          </w:p>
          <w:p>
            <w:pPr>
              <w:pStyle w:val="22"/>
              <w:spacing w:line="360" w:lineRule="auto"/>
              <w:ind w:left="0" w:leftChars="0" w:firstLine="0" w:firstLineChars="0"/>
              <w:jc w:val="left"/>
              <w:rPr>
                <w:rFonts w:hint="eastAsia" w:asciiTheme="majorEastAsia" w:hAnsiTheme="majorEastAsia" w:eastAsiaTheme="majorEastAsia" w:cstheme="majorEastAsia"/>
                <w:color w:val="auto"/>
                <w:sz w:val="24"/>
                <w:lang w:eastAsia="zh-CN"/>
              </w:rPr>
            </w:pPr>
            <w:r>
              <w:rPr>
                <w:rFonts w:hint="eastAsia" w:ascii="宋体" w:hAnsi="宋体" w:eastAsia="宋体" w:cs="宋体"/>
                <w:color w:val="auto"/>
                <w:kern w:val="2"/>
                <w:sz w:val="24"/>
                <w:szCs w:val="24"/>
                <w:lang w:val="en-US" w:eastAsia="zh-CN" w:bidi="ar-SA"/>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firstLineChars="0"/>
              <w:jc w:val="left"/>
              <w:rPr>
                <w:rFonts w:hint="default" w:asciiTheme="majorEastAsia" w:hAnsiTheme="majorEastAsia" w:eastAsiaTheme="majorEastAsia" w:cstheme="majorEastAsia"/>
                <w:b/>
                <w:bCs/>
                <w:color w:val="auto"/>
                <w:sz w:val="24"/>
                <w:lang w:val="en-US"/>
              </w:rPr>
            </w:pPr>
            <w:r>
              <w:rPr>
                <w:rFonts w:hint="eastAsia" w:ascii="宋体" w:hAnsi="宋体" w:eastAsia="宋体" w:cs="宋体"/>
                <w:color w:val="auto"/>
                <w:kern w:val="2"/>
                <w:sz w:val="24"/>
                <w:szCs w:val="24"/>
                <w:lang w:val="en-US" w:eastAsia="zh-CN" w:bidi="ar-SA"/>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宋体" w:hAnsi="宋体" w:eastAsia="宋体" w:cs="宋体"/>
                <w:color w:val="auto"/>
                <w:kern w:val="2"/>
                <w:sz w:val="24"/>
                <w:szCs w:val="24"/>
                <w:lang w:val="en-US" w:eastAsia="zh-CN" w:bidi="ar-SA"/>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1.使用前提：投标人自行在线解密操作失败无法按时寻求技术人员帮助解密，或者投标人寻求技术人员帮助仍无法按时完成解密；</w:t>
            </w:r>
          </w:p>
          <w:p>
            <w:pPr>
              <w:pStyle w:val="22"/>
              <w:spacing w:line="360" w:lineRule="auto"/>
              <w:ind w:left="0" w:leftChars="0" w:firstLine="0" w:firstLineChars="0"/>
              <w:jc w:val="left"/>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kern w:val="2"/>
                <w:sz w:val="24"/>
                <w:szCs w:val="24"/>
                <w:lang w:val="en-US" w:eastAsia="zh-CN" w:bidi="ar-SA"/>
              </w:rPr>
              <w:t>2.递交截止时间：</w:t>
            </w:r>
            <w:r>
              <w:rPr>
                <w:rFonts w:hint="eastAsia" w:ascii="宋体" w:hAnsi="宋体" w:cs="宋体"/>
                <w:color w:val="FF0000"/>
                <w:kern w:val="2"/>
                <w:sz w:val="24"/>
                <w:szCs w:val="24"/>
                <w:lang w:val="en-US" w:eastAsia="zh-CN" w:bidi="ar-SA"/>
              </w:rPr>
              <w:t>4</w:t>
            </w:r>
            <w:r>
              <w:rPr>
                <w:rFonts w:hint="eastAsia" w:ascii="宋体" w:hAnsi="宋体" w:eastAsia="宋体" w:cs="宋体"/>
                <w:color w:val="FF0000"/>
                <w:kern w:val="2"/>
                <w:sz w:val="24"/>
                <w:szCs w:val="24"/>
                <w:lang w:val="en-US" w:eastAsia="zh-CN" w:bidi="ar-SA"/>
              </w:rPr>
              <w:t>月</w:t>
            </w:r>
            <w:r>
              <w:rPr>
                <w:rFonts w:hint="eastAsia" w:ascii="宋体" w:hAnsi="宋体" w:cs="宋体"/>
                <w:color w:val="FF0000"/>
                <w:kern w:val="2"/>
                <w:sz w:val="24"/>
                <w:szCs w:val="24"/>
                <w:lang w:val="en-US" w:eastAsia="zh-CN" w:bidi="ar-SA"/>
              </w:rPr>
              <w:t>20</w:t>
            </w:r>
            <w:bookmarkStart w:id="43" w:name="_GoBack"/>
            <w:bookmarkEnd w:id="43"/>
            <w:r>
              <w:rPr>
                <w:rFonts w:hint="eastAsia" w:ascii="宋体" w:hAnsi="宋体" w:eastAsia="宋体" w:cs="宋体"/>
                <w:color w:val="FF0000"/>
                <w:kern w:val="2"/>
                <w:sz w:val="24"/>
                <w:szCs w:val="24"/>
                <w:lang w:val="en-US" w:eastAsia="zh-CN" w:bidi="ar-SA"/>
              </w:rPr>
              <w:t>日09:50；</w:t>
            </w:r>
          </w:p>
          <w:p>
            <w:pPr>
              <w:pStyle w:val="2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3.投递邮箱：开标当日钉钉直播群公布的指定邮箱；</w:t>
            </w:r>
          </w:p>
          <w:p>
            <w:pPr>
              <w:pStyle w:val="22"/>
              <w:spacing w:line="360" w:lineRule="auto"/>
              <w:ind w:left="0" w:leftChars="0" w:firstLine="0" w:firstLineChars="0"/>
              <w:jc w:val="left"/>
              <w:rPr>
                <w:rFonts w:hint="default" w:ascii="宋体" w:hAnsi="宋体" w:cs="宋体"/>
                <w:color w:val="auto"/>
                <w:sz w:val="24"/>
                <w:lang w:val="en-US" w:eastAsia="zh-CN"/>
              </w:rPr>
            </w:pPr>
            <w:r>
              <w:rPr>
                <w:rFonts w:hint="eastAsia" w:ascii="宋体" w:hAnsi="宋体" w:eastAsia="宋体" w:cs="宋体"/>
                <w:color w:val="auto"/>
                <w:kern w:val="2"/>
                <w:sz w:val="24"/>
                <w:szCs w:val="24"/>
                <w:lang w:val="en-US" w:eastAsia="zh-CN" w:bidi="ar-SA"/>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投标有效期为开标后90天，</w:t>
            </w:r>
            <w:r>
              <w:rPr>
                <w:rFonts w:hint="eastAsia" w:asciiTheme="majorEastAsia" w:hAnsiTheme="majorEastAsia" w:eastAsiaTheme="majorEastAsia" w:cstheme="majorEastAsia"/>
                <w:color w:val="auto"/>
                <w:kern w:val="0"/>
                <w:sz w:val="24"/>
              </w:rPr>
              <w:t>投标有效期从提交</w:t>
            </w:r>
            <w:r>
              <w:rPr>
                <w:rFonts w:hint="eastAsia" w:asciiTheme="majorEastAsia" w:hAnsiTheme="majorEastAsia" w:eastAsiaTheme="majorEastAsia" w:cstheme="majorEastAsia"/>
                <w:color w:val="auto"/>
                <w:kern w:val="0"/>
                <w:sz w:val="24"/>
                <w:lang w:eastAsia="zh-CN"/>
              </w:rPr>
              <w:t>电子投标文件</w:t>
            </w:r>
            <w:r>
              <w:rPr>
                <w:rFonts w:hint="eastAsia" w:asciiTheme="majorEastAsia" w:hAnsiTheme="majorEastAsia" w:eastAsiaTheme="majorEastAsia" w:cstheme="majorEastAsia"/>
                <w:color w:val="auto"/>
                <w:kern w:val="0"/>
                <w:sz w:val="24"/>
              </w:rPr>
              <w:t>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不见面开标直播</w:t>
            </w:r>
          </w:p>
          <w:p>
            <w:pPr>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asciiTheme="majorEastAsia" w:hAnsiTheme="majorEastAsia" w:eastAsiaTheme="majorEastAsia" w:cstheme="majorEastAsia"/>
                <w:color w:val="auto"/>
                <w:sz w:val="24"/>
              </w:rPr>
            </w:pPr>
            <w:r>
              <w:rPr>
                <w:rFonts w:hint="eastAsia" w:ascii="宋体" w:hAnsi="宋体" w:eastAsia="宋体" w:cs="宋体"/>
                <w:color w:val="auto"/>
                <w:sz w:val="24"/>
                <w:szCs w:val="24"/>
                <w:lang w:val="en-US" w:eastAsia="zh-CN"/>
              </w:rPr>
              <w:t>本项目开评标环节实行全流程电子化，采取不见面钉钉直播开标，投标人可自行下载“钉钉软件”观看。（</w:t>
            </w:r>
            <w:r>
              <w:rPr>
                <w:rFonts w:hint="eastAsia" w:ascii="宋体" w:hAnsi="宋体" w:eastAsia="宋体" w:cs="宋体"/>
                <w:color w:val="FF0000"/>
                <w:sz w:val="24"/>
                <w:szCs w:val="24"/>
                <w:lang w:val="en-US" w:eastAsia="zh-CN"/>
              </w:rPr>
              <w:t>钉钉直播群号为：</w:t>
            </w:r>
            <w:r>
              <w:rPr>
                <w:rFonts w:hint="eastAsia" w:cs="宋体"/>
                <w:color w:val="FF0000"/>
                <w:sz w:val="24"/>
                <w:szCs w:val="24"/>
                <w:lang w:val="en-US" w:eastAsia="zh-CN"/>
              </w:rPr>
              <w:t>32012577</w:t>
            </w:r>
            <w:r>
              <w:rPr>
                <w:rFonts w:hint="eastAsia" w:ascii="宋体" w:hAnsi="宋体" w:eastAsia="宋体" w:cs="宋体"/>
                <w:color w:val="FF0000"/>
                <w:sz w:val="24"/>
                <w:szCs w:val="24"/>
                <w:lang w:val="en-US" w:eastAsia="zh-CN"/>
              </w:rPr>
              <w:t>，</w:t>
            </w:r>
            <w:r>
              <w:rPr>
                <w:rFonts w:hint="eastAsia" w:ascii="宋体" w:hAnsi="宋体" w:eastAsia="宋体" w:cs="宋体"/>
                <w:color w:val="auto"/>
                <w:sz w:val="24"/>
                <w:szCs w:val="24"/>
                <w:lang w:val="en-US" w:eastAsia="zh-CN"/>
              </w:rPr>
              <w:t>投标人只能于开标当天</w:t>
            </w:r>
            <w:r>
              <w:rPr>
                <w:rFonts w:hint="eastAsia"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hAnsi="宋体" w:cs="宋体"/>
                <w:color w:val="auto"/>
                <w:sz w:val="24"/>
                <w:szCs w:val="24"/>
                <w:lang w:val="en-US" w:eastAsia="zh-CN"/>
              </w:rPr>
              <w:t>30</w:t>
            </w:r>
            <w:r>
              <w:rPr>
                <w:rFonts w:hint="eastAsia" w:ascii="宋体" w:hAnsi="宋体" w:eastAsia="宋体" w:cs="宋体"/>
                <w:color w:val="auto"/>
                <w:sz w:val="24"/>
                <w:szCs w:val="24"/>
                <w:lang w:val="en-US" w:eastAsia="zh-CN"/>
              </w:rPr>
              <w:t>以后搜索到群号，并申请进群。采购组织机构按照采购文件规定的时间通过电子交易平台组织开标、开启响应文件，所有供应商均应当准时在线参加。</w:t>
            </w:r>
            <w:r>
              <w:rPr>
                <w:rFonts w:hint="eastAsia" w:hAnsi="宋体" w:cs="宋体"/>
                <w:color w:val="FF0000"/>
                <w:sz w:val="24"/>
                <w:szCs w:val="24"/>
                <w:lang w:val="en-US" w:eastAsia="zh-CN"/>
              </w:rPr>
              <w:t>如未参加，</w:t>
            </w:r>
            <w:r>
              <w:rPr>
                <w:rFonts w:hint="eastAsia" w:ascii="宋体" w:hAnsi="宋体" w:eastAsia="宋体" w:cs="宋体"/>
                <w:bCs/>
                <w:color w:val="FF0000"/>
                <w:sz w:val="24"/>
              </w:rPr>
              <w:t>造成无法投标或投标失败等后果由供应商自行承担</w:t>
            </w:r>
            <w:r>
              <w:rPr>
                <w:rFonts w:hint="eastAsia" w:hAnsi="宋体" w:cs="宋体"/>
                <w:bCs/>
                <w:color w:val="FF0000"/>
                <w:sz w:val="24"/>
                <w:lang w:eastAsia="zh-CN"/>
              </w:rPr>
              <w:t>。</w:t>
            </w:r>
            <w:r>
              <w:rPr>
                <w:rFonts w:hint="eastAsia" w:ascii="宋体" w:hAnsi="宋体" w:eastAsia="宋体" w:cs="宋体"/>
                <w:color w:val="FF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rPr>
            </w:pPr>
            <w:r>
              <w:rPr>
                <w:rFonts w:hint="eastAsia" w:cs="Arial" w:asciiTheme="minorEastAsia" w:hAnsiTheme="minorEastAsia" w:eastAsiaTheme="minorEastAsia"/>
                <w:color w:val="auto"/>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1.本项目实行</w:t>
            </w:r>
            <w:r>
              <w:rPr>
                <w:rFonts w:hint="eastAsia" w:hAnsi="宋体" w:eastAsia="宋体" w:cs="宋体"/>
                <w:bCs/>
                <w:color w:val="auto"/>
                <w:sz w:val="24"/>
                <w:lang w:eastAsia="zh-CN"/>
              </w:rPr>
              <w:t>电子采购</w:t>
            </w:r>
            <w:r>
              <w:rPr>
                <w:rFonts w:hint="eastAsia" w:ascii="宋体" w:hAnsi="宋体" w:eastAsia="宋体" w:cs="宋体"/>
                <w:bCs/>
                <w:color w:val="auto"/>
                <w:sz w:val="24"/>
              </w:rPr>
              <w:t>，采用电子投标文件。若供应商参与投标，自行承担投标一切费用。</w:t>
            </w:r>
          </w:p>
          <w:p>
            <w:pPr>
              <w:pStyle w:val="12"/>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3.1应按照本项目招标文件和政采云平台的要求编制、加密并递交</w:t>
            </w:r>
            <w:r>
              <w:rPr>
                <w:rFonts w:hint="eastAsia" w:ascii="宋体" w:hAnsi="宋体" w:cs="宋体"/>
                <w:bCs/>
                <w:color w:val="auto"/>
                <w:sz w:val="24"/>
                <w:lang w:eastAsia="zh-CN"/>
              </w:rPr>
              <w:t>电子投标文件</w:t>
            </w:r>
            <w:r>
              <w:rPr>
                <w:rFonts w:hint="eastAsia" w:ascii="宋体" w:hAnsi="宋体" w:eastAsia="宋体" w:cs="宋体"/>
                <w:bCs/>
                <w:color w:val="auto"/>
                <w:sz w:val="24"/>
              </w:rPr>
              <w:t>。供应商在使用系统进行投标的过程中遇到涉及平台使用的任何问题，可致电政采云平台技术支持热线咨询，联系方式：400-881-7190。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color w:val="auto"/>
                <w:sz w:val="24"/>
              </w:rPr>
            </w:pPr>
            <w:r>
              <w:rPr>
                <w:rFonts w:hint="eastAsia" w:ascii="宋体" w:hAnsi="宋体" w:eastAsia="宋体" w:cs="宋体"/>
                <w:bCs/>
                <w:color w:val="auto"/>
                <w:sz w:val="24"/>
              </w:rPr>
              <w:t>3.2投标人通过“政采云”平台电子投标工具制作</w:t>
            </w:r>
            <w:r>
              <w:rPr>
                <w:rFonts w:hint="eastAsia" w:ascii="宋体" w:hAnsi="宋体" w:cs="宋体"/>
                <w:bCs/>
                <w:color w:val="auto"/>
                <w:sz w:val="24"/>
                <w:lang w:eastAsia="zh-CN"/>
              </w:rPr>
              <w:t>电子投标文件</w:t>
            </w:r>
            <w:r>
              <w:rPr>
                <w:rFonts w:hint="eastAsia" w:ascii="宋体" w:hAnsi="宋体" w:eastAsia="宋体" w:cs="宋体"/>
                <w:bCs/>
                <w:color w:val="auto"/>
                <w:sz w:val="24"/>
              </w:rPr>
              <w:t>，电子投标工具请供应商自行前往浙江省政府采购网下载并安装，（下载网址：http://www.zjzfcg.gov.cn/bidClientTemplate/2019-09-24/12975.html），</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 w:val="0"/>
                <w:bCs/>
                <w:color w:val="auto"/>
                <w:sz w:val="24"/>
              </w:rPr>
            </w:pPr>
            <w:r>
              <w:rPr>
                <w:rFonts w:cs="Arial" w:asciiTheme="minorEastAsia" w:hAnsiTheme="minorEastAsia" w:eastAsiaTheme="minorEastAsia"/>
                <w:b w:val="0"/>
                <w:bCs/>
                <w:color w:val="auto"/>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color w:val="auto"/>
                <w:sz w:val="24"/>
              </w:rPr>
            </w:pPr>
            <w:r>
              <w:rPr>
                <w:rFonts w:hint="eastAsia" w:cs="Arial" w:asciiTheme="minorEastAsia" w:hAnsiTheme="minorEastAsia" w:eastAsiaTheme="minorEastAsia"/>
                <w:color w:val="auto"/>
                <w:sz w:val="24"/>
              </w:rPr>
              <w:t>1、查询渠道：信用中国（网址：</w:t>
            </w:r>
            <w:r>
              <w:rPr>
                <w:color w:val="auto"/>
              </w:rPr>
              <w:fldChar w:fldCharType="begin"/>
            </w:r>
            <w:r>
              <w:rPr>
                <w:color w:val="auto"/>
              </w:rPr>
              <w:instrText xml:space="preserve"> HYPERLINK "http://www.creditchina.gov.cn" </w:instrText>
            </w:r>
            <w:r>
              <w:rPr>
                <w:color w:val="auto"/>
              </w:rPr>
              <w:fldChar w:fldCharType="separate"/>
            </w:r>
            <w:r>
              <w:rPr>
                <w:rFonts w:cs="Arial" w:asciiTheme="minorEastAsia" w:hAnsiTheme="minorEastAsia" w:eastAsiaTheme="minorEastAsia"/>
                <w:color w:val="auto"/>
                <w:sz w:val="24"/>
              </w:rPr>
              <w:t>http://www.creditchina.gov.cn</w:t>
            </w:r>
            <w:r>
              <w:rPr>
                <w:rFonts w:cs="Arial" w:asciiTheme="minorEastAsia" w:hAnsiTheme="minorEastAsia" w:eastAsiaTheme="minorEastAsia"/>
                <w:color w:val="auto"/>
                <w:sz w:val="24"/>
              </w:rPr>
              <w:fldChar w:fldCharType="end"/>
            </w:r>
            <w:r>
              <w:rPr>
                <w:rFonts w:hint="eastAsia" w:cs="Arial" w:asciiTheme="minorEastAsia" w:hAnsiTheme="minorEastAsia" w:eastAsiaTheme="minorEastAsia"/>
                <w:color w:val="auto"/>
                <w:sz w:val="24"/>
              </w:rPr>
              <w:t>）、中国政府采购网(网址：</w:t>
            </w:r>
            <w:r>
              <w:rPr>
                <w:rFonts w:cs="Arial" w:asciiTheme="minorEastAsia" w:hAnsiTheme="minorEastAsia" w:eastAsiaTheme="minorEastAsia"/>
                <w:color w:val="auto"/>
                <w:sz w:val="24"/>
              </w:rPr>
              <w:t>http://www.ccgp.gov.cn</w:t>
            </w:r>
            <w:r>
              <w:rPr>
                <w:rFonts w:hint="eastAsia" w:cs="Arial" w:asciiTheme="minorEastAsia" w:hAnsiTheme="minorEastAsia" w:eastAsiaTheme="minorEastAsia"/>
                <w:color w:val="auto"/>
                <w:sz w:val="24"/>
              </w:rPr>
              <w:t>）、</w:t>
            </w:r>
            <w:r>
              <w:rPr>
                <w:rFonts w:hint="eastAsia" w:ascii="宋体" w:hAnsi="宋体" w:cs="Arial"/>
                <w:color w:val="auto"/>
                <w:sz w:val="24"/>
              </w:rPr>
              <w:t>国家企业信用信息公示系统（http://www.gsxt.gov.cn/index.html）</w:t>
            </w:r>
            <w:r>
              <w:rPr>
                <w:rFonts w:hint="eastAsia" w:ascii="宋体" w:hAnsi="宋体" w:cs="Arial"/>
                <w:color w:val="auto"/>
                <w:sz w:val="24"/>
                <w:lang w:val="en-US" w:eastAsia="zh-CN"/>
              </w:rPr>
              <w:t>等</w:t>
            </w:r>
            <w:r>
              <w:rPr>
                <w:rFonts w:hint="eastAsia" w:ascii="宋体" w:hAnsi="宋体" w:cs="Arial"/>
                <w:color w:val="auto"/>
                <w:sz w:val="24"/>
              </w:rPr>
              <w:t>。</w:t>
            </w:r>
          </w:p>
          <w:p>
            <w:pPr>
              <w:snapToGrid w:val="0"/>
              <w:spacing w:line="360" w:lineRule="auto"/>
              <w:rPr>
                <w:rFonts w:cs="Arial" w:asciiTheme="minorEastAsia" w:hAnsiTheme="minorEastAsia" w:eastAsiaTheme="minorEastAsia"/>
                <w:b/>
                <w:bCs/>
                <w:color w:val="auto"/>
                <w:sz w:val="24"/>
                <w:shd w:val="clear" w:color="FFFFFF" w:fill="D9D9D9"/>
              </w:rPr>
            </w:pPr>
            <w:r>
              <w:rPr>
                <w:rFonts w:hint="eastAsia" w:cs="Arial" w:asciiTheme="minorEastAsia" w:hAnsiTheme="minorEastAsia" w:eastAsiaTheme="minorEastAsia"/>
                <w:color w:val="auto"/>
                <w:sz w:val="24"/>
              </w:rPr>
              <w:t>2、截止时点：</w:t>
            </w:r>
            <w:r>
              <w:rPr>
                <w:rFonts w:hint="eastAsia" w:cs="Arial" w:asciiTheme="minorEastAsia" w:hAnsiTheme="minorEastAsia" w:eastAsiaTheme="minorEastAsia"/>
                <w:color w:val="auto"/>
                <w:sz w:val="24"/>
                <w:lang w:val="en-US" w:eastAsia="zh-CN"/>
              </w:rPr>
              <w:t>评审结束</w:t>
            </w:r>
            <w:r>
              <w:rPr>
                <w:rFonts w:hint="eastAsia" w:cs="Arial" w:asciiTheme="minorEastAsia" w:hAnsiTheme="minorEastAsia" w:eastAsiaTheme="minorEastAsia"/>
                <w:color w:val="auto"/>
                <w:sz w:val="24"/>
              </w:rPr>
              <w:t>前。</w:t>
            </w:r>
          </w:p>
          <w:p>
            <w:pPr>
              <w:snapToGrid w:val="0"/>
              <w:spacing w:line="360" w:lineRule="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w:t>
            </w:r>
            <w:r>
              <w:rPr>
                <w:rFonts w:cs="Arial" w:asciiTheme="minorEastAsia" w:hAnsiTheme="minorEastAsia" w:eastAsiaTheme="minorEastAsia"/>
                <w:color w:val="auto"/>
                <w:sz w:val="24"/>
              </w:rPr>
              <w:t>信用信息查询记录和证据留存的具体方式</w:t>
            </w:r>
            <w:r>
              <w:rPr>
                <w:rFonts w:hint="eastAsia" w:cs="Arial" w:asciiTheme="minorEastAsia" w:hAnsiTheme="minorEastAsia" w:eastAsiaTheme="minorEastAsia"/>
                <w:color w:val="auto"/>
                <w:sz w:val="24"/>
              </w:rPr>
              <w:t>：由采购组织机构在规定查询时间内打印信用信息查询记录并归入项目档案。</w:t>
            </w:r>
          </w:p>
          <w:p>
            <w:pPr>
              <w:snapToGrid w:val="0"/>
              <w:spacing w:line="360" w:lineRule="auto"/>
              <w:rPr>
                <w:rFonts w:hint="default" w:eastAsia="宋体" w:asciiTheme="majorEastAsia" w:hAnsiTheme="majorEastAsia" w:cstheme="majorEastAsia"/>
                <w:color w:val="auto"/>
                <w:sz w:val="24"/>
                <w:szCs w:val="24"/>
                <w:lang w:val="en-US" w:eastAsia="zh-CN"/>
              </w:rPr>
            </w:pPr>
            <w:r>
              <w:rPr>
                <w:rFonts w:hint="eastAsia" w:cs="Arial" w:asciiTheme="minorEastAsia" w:hAnsiTheme="minorEastAsia" w:eastAsiaTheme="minorEastAsia"/>
                <w:color w:val="auto"/>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auto"/>
                <w:sz w:val="24"/>
              </w:rPr>
              <w:t>将被</w:t>
            </w:r>
            <w:r>
              <w:rPr>
                <w:rFonts w:hint="eastAsia" w:cs="Arial" w:asciiTheme="minorEastAsia" w:hAnsiTheme="minorEastAsia" w:eastAsiaTheme="minorEastAsia"/>
                <w:color w:val="auto"/>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11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kern w:val="0"/>
                <w:sz w:val="24"/>
                <w:lang w:val="zh-CN"/>
              </w:rPr>
            </w:pPr>
            <w:r>
              <w:rPr>
                <w:rFonts w:hint="eastAsia" w:asciiTheme="majorEastAsia" w:hAnsiTheme="majorEastAsia" w:eastAsiaTheme="majorEastAsia" w:cstheme="majorEastAsia"/>
                <w:color w:val="auto"/>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12</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default" w:eastAsia="宋体" w:asciiTheme="majorEastAsia" w:hAnsiTheme="majorEastAsia" w:cstheme="majorEastAsia"/>
                <w:color w:val="auto"/>
                <w:sz w:val="24"/>
                <w:lang w:val="en-US" w:eastAsia="zh-CN"/>
              </w:rPr>
            </w:pPr>
            <w:r>
              <w:rPr>
                <w:rFonts w:hint="eastAsia" w:cs="Arial" w:asciiTheme="minorEastAsia" w:hAnsiTheme="minorEastAsia" w:eastAsiaTheme="minorEastAsia"/>
                <w:color w:val="FF0000"/>
                <w:sz w:val="24"/>
                <w:lang w:val="en-US" w:eastAsia="zh-CN"/>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9"/>
              <w:rPr>
                <w:rFonts w:hint="eastAsia" w:asciiTheme="majorEastAsia" w:hAnsiTheme="majorEastAsia" w:eastAsiaTheme="majorEastAsia" w:cstheme="majorEastAsia"/>
                <w:color w:val="auto"/>
                <w:sz w:val="24"/>
              </w:rPr>
            </w:pPr>
            <w:r>
              <w:rPr>
                <w:sz w:val="24"/>
                <w:szCs w:val="24"/>
              </w:rPr>
              <w:t>项目初验前</w:t>
            </w:r>
            <w:r>
              <w:rPr>
                <w:rFonts w:hint="eastAsia"/>
                <w:sz w:val="24"/>
                <w:szCs w:val="24"/>
                <w:lang w:val="en-US" w:eastAsia="zh-CN"/>
              </w:rPr>
              <w:t>,</w:t>
            </w:r>
            <w:r>
              <w:rPr>
                <w:rFonts w:hint="eastAsia" w:asciiTheme="majorEastAsia" w:hAnsiTheme="majorEastAsia" w:cstheme="majorEastAsia"/>
                <w:color w:val="auto"/>
                <w:sz w:val="24"/>
                <w:szCs w:val="24"/>
                <w:lang w:val="en-US" w:eastAsia="zh-CN"/>
              </w:rPr>
              <w:t>中标人需支付合同金额的5%作为履约保证金，</w:t>
            </w:r>
            <w:r>
              <w:rPr>
                <w:rFonts w:hint="eastAsia" w:ascii="宋体" w:hAnsi="宋体" w:cs="宋体"/>
                <w:sz w:val="24"/>
                <w:szCs w:val="24"/>
                <w:lang w:eastAsia="zh-CN"/>
              </w:rPr>
              <w:t>履约保证</w:t>
            </w:r>
            <w:r>
              <w:rPr>
                <w:rFonts w:hint="eastAsia" w:ascii="宋体" w:hAnsi="宋体" w:cs="宋体"/>
                <w:sz w:val="24"/>
                <w:szCs w:val="24"/>
              </w:rPr>
              <w:t>金在质保期</w:t>
            </w:r>
            <w:r>
              <w:rPr>
                <w:rFonts w:hint="eastAsia" w:ascii="宋体" w:hAnsi="宋体" w:cs="宋体"/>
                <w:sz w:val="24"/>
                <w:szCs w:val="24"/>
                <w:lang w:eastAsia="zh-CN"/>
              </w:rPr>
              <w:t>（</w:t>
            </w:r>
            <w:r>
              <w:rPr>
                <w:rFonts w:hint="eastAsia" w:ascii="宋体" w:hAnsi="宋体" w:cs="宋体"/>
                <w:b w:val="0"/>
                <w:bCs/>
                <w:snapToGrid w:val="0"/>
                <w:kern w:val="0"/>
                <w:sz w:val="24"/>
                <w:szCs w:val="24"/>
                <w:lang w:val="en-US" w:eastAsia="zh-CN"/>
              </w:rPr>
              <w:t>项目终验通过后</w:t>
            </w:r>
            <w:r>
              <w:rPr>
                <w:rFonts w:hint="eastAsia" w:ascii="宋体" w:hAnsi="宋体" w:cs="宋体"/>
                <w:sz w:val="24"/>
                <w:szCs w:val="24"/>
                <w:lang w:eastAsia="zh-CN"/>
              </w:rPr>
              <w:t>起算</w:t>
            </w:r>
            <w:r>
              <w:rPr>
                <w:rFonts w:hint="eastAsia" w:ascii="宋体" w:hAnsi="宋体" w:cs="宋体"/>
                <w:sz w:val="24"/>
                <w:szCs w:val="24"/>
                <w:lang w:val="en-US" w:eastAsia="zh-CN"/>
              </w:rPr>
              <w:t>5年</w:t>
            </w:r>
            <w:r>
              <w:rPr>
                <w:rFonts w:hint="eastAsia" w:ascii="宋体" w:hAnsi="宋体" w:cs="宋体"/>
                <w:sz w:val="24"/>
                <w:szCs w:val="24"/>
                <w:lang w:eastAsia="zh-CN"/>
              </w:rPr>
              <w:t>）</w:t>
            </w:r>
            <w:r>
              <w:rPr>
                <w:rFonts w:hint="eastAsia" w:ascii="宋体" w:hAnsi="宋体" w:cs="宋体"/>
                <w:sz w:val="24"/>
                <w:szCs w:val="24"/>
              </w:rPr>
              <w:t>满后</w:t>
            </w:r>
            <w:r>
              <w:rPr>
                <w:rFonts w:hint="eastAsia" w:ascii="宋体" w:hAnsi="宋体" w:cs="宋体"/>
                <w:sz w:val="24"/>
                <w:szCs w:val="24"/>
                <w:lang w:val="en-US" w:eastAsia="zh-CN"/>
              </w:rPr>
              <w:t>15</w:t>
            </w:r>
            <w:r>
              <w:rPr>
                <w:rFonts w:hint="eastAsia" w:ascii="宋体" w:hAnsi="宋体" w:cs="宋体"/>
                <w:sz w:val="24"/>
                <w:szCs w:val="24"/>
              </w:rPr>
              <w:t>个工作日内</w:t>
            </w:r>
            <w:r>
              <w:rPr>
                <w:rFonts w:hint="eastAsia" w:ascii="宋体" w:hAnsi="宋体" w:cs="宋体"/>
                <w:sz w:val="24"/>
                <w:szCs w:val="24"/>
                <w:lang w:eastAsia="zh-CN"/>
              </w:rPr>
              <w:t>无息</w:t>
            </w:r>
            <w:r>
              <w:rPr>
                <w:rFonts w:hint="eastAsia" w:asciiTheme="majorEastAsia" w:hAnsiTheme="majorEastAsia" w:cstheme="majorEastAsia"/>
                <w:color w:val="auto"/>
                <w:sz w:val="24"/>
                <w:szCs w:val="24"/>
                <w:lang w:val="en-US" w:eastAsia="zh-CN"/>
              </w:rPr>
              <w:t>退还</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 w:val="24"/>
                <w:lang w:val="zh-CN"/>
              </w:rPr>
              <w:t>带“</w:t>
            </w:r>
            <w:r>
              <w:rPr>
                <w:rFonts w:hint="eastAsia" w:asciiTheme="majorEastAsia" w:hAnsiTheme="majorEastAsia" w:eastAsiaTheme="majorEastAsia" w:cstheme="majorEastAsia"/>
                <w:bCs/>
                <w:color w:val="auto"/>
                <w:sz w:val="24"/>
              </w:rPr>
              <w:t>▲”的条款是实质性条款，</w:t>
            </w:r>
            <w:r>
              <w:rPr>
                <w:rFonts w:hint="eastAsia" w:asciiTheme="majorEastAsia" w:hAnsiTheme="majorEastAsia" w:eastAsiaTheme="majorEastAsia" w:cstheme="majorEastAsia"/>
                <w:bCs/>
                <w:color w:val="auto"/>
                <w:sz w:val="24"/>
                <w:lang w:eastAsia="zh-CN"/>
              </w:rPr>
              <w:t>电子投标文件</w:t>
            </w:r>
            <w:r>
              <w:rPr>
                <w:rFonts w:hint="eastAsia" w:asciiTheme="majorEastAsia" w:hAnsiTheme="majorEastAsia" w:eastAsiaTheme="majorEastAsia" w:cstheme="majorEastAsia"/>
                <w:bCs/>
                <w:color w:val="auto"/>
                <w:sz w:val="24"/>
              </w:rPr>
              <w:t>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本招标文件解释权属于采购人和</w:t>
            </w:r>
            <w:r>
              <w:rPr>
                <w:rFonts w:hint="eastAsia" w:ascii="宋体" w:hAnsi="宋体" w:cs="Arial"/>
                <w:color w:val="auto"/>
                <w:sz w:val="24"/>
              </w:rPr>
              <w:t>台州市政府采购中心</w:t>
            </w:r>
          </w:p>
        </w:tc>
      </w:tr>
    </w:tbl>
    <w:p>
      <w:pPr>
        <w:pStyle w:val="9"/>
        <w:spacing w:line="360" w:lineRule="auto"/>
        <w:ind w:firstLine="480" w:firstLineChars="200"/>
        <w:rPr>
          <w:rFonts w:hint="eastAsia" w:ascii="宋体" w:hAnsi="宋体" w:eastAsia="宋体" w:cs="Arial"/>
          <w:color w:val="auto"/>
          <w:sz w:val="24"/>
          <w:lang w:eastAsia="zh-CN"/>
        </w:rPr>
      </w:pP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2"/>
        <w:snapToGrid w:val="0"/>
        <w:spacing w:line="360" w:lineRule="auto"/>
        <w:ind w:left="2" w:leftChars="1" w:firstLine="482" w:firstLineChars="200"/>
        <w:rPr>
          <w:rFonts w:hAnsi="宋体"/>
          <w:b/>
          <w:sz w:val="24"/>
        </w:rPr>
      </w:pPr>
      <w:r>
        <w:rPr>
          <w:rFonts w:hint="eastAsia" w:hAnsi="宋体"/>
          <w:b/>
          <w:sz w:val="24"/>
        </w:rPr>
        <w:t>（四）特别说明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1"/>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【特别提示：如在投标时有要求提供资料原件的，将原件扫描件放入投标文件。】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w:t>
      </w:r>
      <w:r>
        <w:rPr>
          <w:rFonts w:hint="eastAsia" w:asciiTheme="minorEastAsia" w:hAnsiTheme="minorEastAsia" w:eastAsiaTheme="minorEastAsia"/>
          <w:kern w:val="0"/>
          <w:sz w:val="24"/>
          <w:szCs w:val="24"/>
          <w:lang w:eastAsia="zh-CN"/>
        </w:rPr>
        <w:t>扫描件</w:t>
      </w:r>
      <w:r>
        <w:rPr>
          <w:rFonts w:hint="eastAsia" w:asciiTheme="minorEastAsia" w:hAnsiTheme="minorEastAsia" w:eastAsiaTheme="minorEastAsia"/>
          <w:kern w:val="0"/>
          <w:sz w:val="24"/>
          <w:szCs w:val="24"/>
        </w:rPr>
        <w:t>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9"/>
        <w:ind w:firstLine="480" w:firstLineChars="200"/>
        <w:rPr>
          <w:rFonts w:hint="eastAsia" w:cs="Times New Roman" w:asciiTheme="minorEastAsia" w:hAnsiTheme="minorEastAsia" w:eastAsiaTheme="minorEastAsia"/>
          <w:kern w:val="0"/>
          <w:sz w:val="24"/>
          <w:szCs w:val="24"/>
          <w:lang w:val="en-US" w:eastAsia="zh-CN" w:bidi="ar-SA"/>
        </w:rPr>
      </w:pPr>
      <w:r>
        <w:rPr>
          <w:rFonts w:hint="eastAsia" w:asciiTheme="minorEastAsia" w:hAnsiTheme="minorEastAsia" w:eastAsiaTheme="minorEastAsia"/>
          <w:kern w:val="0"/>
          <w:sz w:val="24"/>
        </w:rPr>
        <w:t>（5）</w:t>
      </w:r>
      <w:r>
        <w:rPr>
          <w:rFonts w:hint="eastAsia" w:cs="Times New Roman" w:asciiTheme="minorEastAsia" w:hAnsiTheme="minorEastAsia" w:eastAsiaTheme="minorEastAsia"/>
          <w:kern w:val="0"/>
          <w:sz w:val="24"/>
          <w:szCs w:val="24"/>
          <w:lang w:val="en-US" w:eastAsia="zh-CN" w:bidi="ar-SA"/>
        </w:rPr>
        <w:t>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7"/>
        </w:numPr>
        <w:ind w:left="210" w:leftChars="0" w:firstLineChars="0"/>
        <w:rPr>
          <w:rFonts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9"/>
        <w:spacing w:line="360" w:lineRule="auto"/>
        <w:ind w:firstLine="480" w:firstLineChars="200"/>
      </w:pPr>
      <w:r>
        <w:rPr>
          <w:rFonts w:hint="eastAsia" w:ascii="宋体" w:hAnsi="宋体"/>
          <w:sz w:val="24"/>
        </w:rPr>
        <w:t>（2）投标人应对所提供的全部资料的真实性、有效性承担法律责任，电子投标文件中盖章之处必须加盖</w:t>
      </w:r>
      <w:r>
        <w:rPr>
          <w:rFonts w:hint="eastAsia" w:ascii="宋体" w:hAnsi="宋体"/>
          <w:sz w:val="24"/>
          <w:lang w:eastAsia="zh-CN"/>
        </w:rPr>
        <w:t>电子印章</w:t>
      </w:r>
      <w:r>
        <w:rPr>
          <w:rFonts w:hint="eastAsia" w:ascii="宋体" w:hAnsi="宋体"/>
          <w:sz w:val="24"/>
        </w:rPr>
        <w:t>。</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8"/>
        </w:numPr>
        <w:snapToGrid w:val="0"/>
        <w:spacing w:line="480" w:lineRule="exact"/>
        <w:ind w:firstLine="480" w:firstLineChars="200"/>
        <w:jc w:val="left"/>
        <w:rPr>
          <w:rFonts w:ascii="宋体" w:hAnsi="宋体" w:cs="宋体"/>
          <w:sz w:val="24"/>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2"/>
        <w:snapToGrid w:val="0"/>
        <w:spacing w:line="360" w:lineRule="auto"/>
        <w:ind w:firstLine="420" w:firstLineChars="200"/>
      </w:pPr>
    </w:p>
    <w:p>
      <w:pPr>
        <w:pStyle w:val="12"/>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2"/>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2"/>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9"/>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9"/>
        <w:numPr>
          <w:ilvl w:val="0"/>
          <w:numId w:val="9"/>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9"/>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8"/>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8"/>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2"/>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8"/>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2"/>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8"/>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8"/>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10</w:t>
      </w:r>
      <w:r>
        <w:rPr>
          <w:rFonts w:asciiTheme="minorEastAsia" w:hAnsiTheme="minorEastAsia" w:eastAsiaTheme="minorEastAsia"/>
          <w:u w:val="single"/>
        </w:rPr>
        <w:t xml:space="preserve">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2"/>
        <w:rPr>
          <w:rFonts w:eastAsiaTheme="minorEastAsia"/>
        </w:rPr>
      </w:pPr>
      <w:r>
        <w:rPr>
          <w:rFonts w:hint="eastAsia" w:asciiTheme="minorEastAsia" w:hAnsiTheme="minorEastAsia" w:eastAsiaTheme="minorEastAsia"/>
          <w:kern w:val="0"/>
          <w:sz w:val="24"/>
        </w:rPr>
        <w:t>11、商务条款不响应。</w:t>
      </w:r>
    </w:p>
    <w:p>
      <w:pPr>
        <w:numPr>
          <w:ilvl w:val="0"/>
          <w:numId w:val="10"/>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8"/>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8"/>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8"/>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8"/>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2"/>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2"/>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2"/>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8"/>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9"/>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FF0000"/>
          <w:kern w:val="0"/>
          <w:sz w:val="24"/>
          <w:szCs w:val="24"/>
          <w:lang w:eastAsia="zh-CN"/>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8"/>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8"/>
        <w:spacing w:before="0" w:beforeAutospacing="0" w:after="0" w:afterAutospacing="0" w:line="360" w:lineRule="auto"/>
        <w:ind w:firstLine="420" w:firstLineChars="175"/>
        <w:jc w:val="both"/>
        <w:rPr>
          <w:rFonts w:hint="default"/>
        </w:rPr>
      </w:pPr>
      <w:r>
        <w:t>3、中标供应商无故拖延、拒签合同的,将取消中标资格。</w:t>
      </w:r>
    </w:p>
    <w:p>
      <w:pPr>
        <w:pStyle w:val="18"/>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8"/>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8"/>
        <w:spacing w:line="360" w:lineRule="auto"/>
        <w:ind w:firstLine="424" w:firstLineChars="176"/>
        <w:rPr>
          <w:rFonts w:hint="default" w:cs="仿宋_GB2312"/>
          <w:b/>
        </w:rPr>
      </w:pPr>
      <w:r>
        <w:rPr>
          <w:b/>
        </w:rPr>
        <w:t>（二）合同公告及备案</w:t>
      </w:r>
    </w:p>
    <w:p>
      <w:pPr>
        <w:pStyle w:val="11"/>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hint="eastAsia" w:ascii="宋体" w:hAnsi="宋体"/>
          <w:color w:val="auto"/>
          <w:sz w:val="24"/>
          <w:szCs w:val="24"/>
          <w:lang w:eastAsia="zh-CN"/>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color w:val="auto"/>
          <w:kern w:val="0"/>
          <w:sz w:val="24"/>
        </w:rPr>
      </w:pPr>
      <w:r>
        <w:rPr>
          <w:rFonts w:hint="eastAsia" w:asciiTheme="minorEastAsia" w:hAnsiTheme="minorEastAsia" w:eastAsiaTheme="minorEastAsia"/>
          <w:color w:val="auto"/>
          <w:kern w:val="0"/>
          <w:sz w:val="24"/>
        </w:rPr>
        <w:t>一、采购组织机构将组织评标委员会，对投标人提供的</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进行综合评审。</w:t>
      </w:r>
    </w:p>
    <w:p>
      <w:pPr>
        <w:autoSpaceDE w:val="0"/>
        <w:autoSpaceDN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二、本次招标项目的评标方法为综合评分法，总计100分。评标标准按以下6项内容及分值进行评审。</w:t>
      </w:r>
    </w:p>
    <w:tbl>
      <w:tblPr>
        <w:tblStyle w:val="23"/>
        <w:tblW w:w="4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666" w:type="dxa"/>
            <w:tcBorders>
              <w:tl2br w:val="single" w:color="auto" w:sz="4" w:space="0"/>
            </w:tcBorders>
          </w:tcPr>
          <w:p>
            <w:pPr>
              <w:autoSpaceDE w:val="0"/>
              <w:autoSpaceDN w:val="0"/>
              <w:adjustRightInd w:val="0"/>
              <w:jc w:val="left"/>
              <w:rPr>
                <w:rFonts w:ascii="宋体" w:hAnsi="宋体" w:cs="Arial"/>
                <w:color w:val="auto"/>
                <w:sz w:val="24"/>
              </w:rPr>
            </w:pPr>
            <w:r>
              <w:rPr>
                <w:rFonts w:hint="eastAsia" w:ascii="宋体" w:hAnsi="宋体" w:cs="Arial"/>
                <w:color w:val="auto"/>
                <w:sz w:val="24"/>
              </w:rPr>
              <w:t xml:space="preserve">          标段</w:t>
            </w:r>
          </w:p>
          <w:p>
            <w:pPr>
              <w:autoSpaceDE w:val="0"/>
              <w:autoSpaceDN w:val="0"/>
              <w:adjustRightInd w:val="0"/>
              <w:jc w:val="left"/>
              <w:rPr>
                <w:rFonts w:ascii="宋体" w:hAnsi="宋体" w:cs="Arial"/>
                <w:color w:val="auto"/>
                <w:sz w:val="24"/>
              </w:rPr>
            </w:pPr>
            <w:r>
              <w:rPr>
                <w:rFonts w:hint="eastAsia" w:ascii="宋体" w:hAnsi="宋体" w:cs="Arial"/>
                <w:color w:val="auto"/>
                <w:sz w:val="24"/>
              </w:rPr>
              <w:t>类别</w:t>
            </w:r>
          </w:p>
        </w:tc>
        <w:tc>
          <w:tcPr>
            <w:tcW w:w="2014" w:type="dxa"/>
            <w:vAlign w:val="center"/>
          </w:tcPr>
          <w:p>
            <w:pPr>
              <w:autoSpaceDE w:val="0"/>
              <w:autoSpaceDN w:val="0"/>
              <w:adjustRightInd w:val="0"/>
              <w:spacing w:line="480" w:lineRule="auto"/>
              <w:jc w:val="center"/>
              <w:rPr>
                <w:rFonts w:hint="eastAsia" w:ascii="宋体" w:hAnsi="宋体" w:eastAsia="宋体" w:cs="Arial"/>
                <w:color w:val="auto"/>
                <w:sz w:val="24"/>
                <w:lang w:eastAsia="zh-CN"/>
              </w:rPr>
            </w:pPr>
            <w:r>
              <w:rPr>
                <w:rFonts w:hint="eastAsia" w:ascii="宋体" w:hAnsi="宋体" w:cs="Arial"/>
                <w:color w:val="auto"/>
                <w:sz w:val="24"/>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技术评分</w:t>
            </w:r>
          </w:p>
        </w:tc>
        <w:tc>
          <w:tcPr>
            <w:tcW w:w="201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实力信誉及业绩评分</w:t>
            </w:r>
          </w:p>
        </w:tc>
        <w:tc>
          <w:tcPr>
            <w:tcW w:w="201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eastAsia="zh-CN"/>
              </w:rPr>
              <w:t>售后服务评分</w:t>
            </w:r>
          </w:p>
        </w:tc>
        <w:tc>
          <w:tcPr>
            <w:tcW w:w="201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eastAsia="zh-CN"/>
              </w:rPr>
            </w:pPr>
            <w:r>
              <w:rPr>
                <w:rFonts w:hint="eastAsia" w:ascii="宋体" w:hAnsi="宋体" w:cs="Arial"/>
                <w:color w:val="auto"/>
                <w:sz w:val="24"/>
              </w:rPr>
              <w:t>投标文件制作评分</w:t>
            </w:r>
          </w:p>
        </w:tc>
        <w:tc>
          <w:tcPr>
            <w:tcW w:w="201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rPr>
              <w:t>价格</w:t>
            </w:r>
            <w:r>
              <w:rPr>
                <w:rFonts w:hint="eastAsia" w:ascii="宋体" w:hAnsi="宋体" w:cs="Arial"/>
                <w:color w:val="auto"/>
                <w:sz w:val="24"/>
                <w:lang w:eastAsia="zh-CN"/>
              </w:rPr>
              <w:t>分</w:t>
            </w:r>
          </w:p>
        </w:tc>
        <w:tc>
          <w:tcPr>
            <w:tcW w:w="201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30</w:t>
            </w:r>
          </w:p>
        </w:tc>
      </w:tr>
    </w:tbl>
    <w:p>
      <w:pPr>
        <w:autoSpaceDE w:val="0"/>
        <w:autoSpaceDN w:val="0"/>
        <w:adjustRightInd w:val="0"/>
        <w:spacing w:line="360" w:lineRule="auto"/>
        <w:ind w:right="84" w:firstLine="472"/>
        <w:rPr>
          <w:rFonts w:ascii="宋体"/>
          <w:bCs/>
          <w:color w:val="auto"/>
          <w:sz w:val="24"/>
          <w:lang w:val="zh-CN"/>
        </w:rPr>
      </w:pPr>
      <w:r>
        <w:rPr>
          <w:rFonts w:hint="eastAsia" w:ascii="宋体"/>
          <w:bCs/>
          <w:color w:val="auto"/>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bCs/>
          <w:color w:val="auto"/>
          <w:sz w:val="24"/>
          <w:lang w:val="zh-CN"/>
        </w:rPr>
        <w:t>（二）各投标人商务与技术文件</w:t>
      </w:r>
      <w:r>
        <w:rPr>
          <w:rFonts w:hint="eastAsia" w:ascii="宋体"/>
          <w:color w:val="auto"/>
          <w:kern w:val="0"/>
          <w:sz w:val="24"/>
          <w:lang w:val="zh-CN"/>
        </w:rPr>
        <w:t>得分按照评标委员会成</w:t>
      </w:r>
      <w:r>
        <w:rPr>
          <w:rFonts w:hint="eastAsia" w:ascii="宋体"/>
          <w:bCs/>
          <w:color w:val="auto"/>
          <w:sz w:val="24"/>
          <w:lang w:val="zh-CN"/>
        </w:rPr>
        <w:t>员的独立评分结果汇总后的算术平均分计算，计算公式为：</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hAnsi="宋体"/>
          <w:color w:val="auto"/>
          <w:sz w:val="24"/>
        </w:rPr>
        <w:t>商务与技术文件得分</w:t>
      </w:r>
      <w:r>
        <w:rPr>
          <w:rFonts w:hint="eastAsia" w:ascii="宋体"/>
          <w:bCs/>
          <w:color w:val="auto"/>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bCs/>
          <w:color w:val="auto"/>
          <w:sz w:val="24"/>
          <w:lang w:val="zh-CN"/>
        </w:rPr>
        <w:t>（三）</w:t>
      </w:r>
      <w:r>
        <w:rPr>
          <w:rFonts w:hint="eastAsia" w:ascii="宋体"/>
          <w:color w:val="auto"/>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olor w:val="auto"/>
          <w:sz w:val="24"/>
          <w:u w:val="single"/>
        </w:rPr>
      </w:pPr>
      <w:r>
        <w:rPr>
          <w:rFonts w:hint="eastAsia"/>
          <w:color w:val="auto"/>
          <w:sz w:val="24"/>
          <w:u w:val="single"/>
        </w:rPr>
        <w:t>投标报价得</w:t>
      </w:r>
      <w:r>
        <w:rPr>
          <w:color w:val="auto"/>
          <w:sz w:val="24"/>
          <w:u w:val="single"/>
        </w:rPr>
        <w:t>分=(评标基准价／投</w:t>
      </w:r>
      <w:r>
        <w:rPr>
          <w:rFonts w:ascii="宋体" w:hAnsi="宋体"/>
          <w:color w:val="auto"/>
          <w:sz w:val="24"/>
          <w:u w:val="single"/>
        </w:rPr>
        <w:t>标报价)×</w:t>
      </w:r>
      <w:r>
        <w:rPr>
          <w:rFonts w:hint="eastAsia" w:ascii="宋体" w:hAnsi="宋体"/>
          <w:color w:val="auto"/>
          <w:sz w:val="24"/>
          <w:u w:val="single"/>
          <w:lang w:val="en-US" w:eastAsia="zh-CN"/>
        </w:rPr>
        <w:t>价格分</w:t>
      </w:r>
      <w:r>
        <w:rPr>
          <w:rFonts w:hint="eastAsia" w:ascii="宋体" w:hAnsi="宋体"/>
          <w:color w:val="auto"/>
          <w:sz w:val="24"/>
          <w:u w:val="single"/>
        </w:rPr>
        <w:t>%</w:t>
      </w:r>
      <w:r>
        <w:rPr>
          <w:rFonts w:ascii="宋体" w:hAnsi="宋体"/>
          <w:color w:val="auto"/>
          <w:sz w:val="24"/>
          <w:u w:val="single"/>
        </w:rPr>
        <w:t>×100</w:t>
      </w:r>
      <w:r>
        <w:rPr>
          <w:rFonts w:hint="eastAsia" w:ascii="宋体" w:hAnsi="宋体"/>
          <w:color w:val="auto"/>
          <w:sz w:val="24"/>
          <w:u w:val="single"/>
        </w:rPr>
        <w:t xml:space="preserve"> 。</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auto"/>
          <w:sz w:val="24"/>
          <w:szCs w:val="24"/>
          <w:lang w:val="zh-CN"/>
        </w:rPr>
        <w:t>小微企业投标应提供《产品适用政府采购政策情况表》（见附件）、《小微企业声明函》，如投标人提供其他小微企业制造的货物，应同时提供制造商的《小微企业声明函（制造商）》，</w:t>
      </w:r>
      <w:r>
        <w:rPr>
          <w:rFonts w:hint="eastAsia" w:ascii="宋体"/>
          <w:color w:val="auto"/>
          <w:sz w:val="24"/>
          <w:szCs w:val="24"/>
          <w:lang w:val="en-US" w:eastAsia="zh-CN"/>
        </w:rPr>
        <w:t>投标人未提供以上资料，将不能享受</w:t>
      </w:r>
      <w:r>
        <w:rPr>
          <w:rFonts w:hint="eastAsia"/>
          <w:color w:val="auto"/>
          <w:lang w:val="en-US" w:eastAsia="zh-CN"/>
        </w:rPr>
        <w:t>相应的</w:t>
      </w:r>
      <w:r>
        <w:rPr>
          <w:rFonts w:hint="eastAsia" w:ascii="宋体"/>
          <w:color w:val="auto"/>
          <w:sz w:val="24"/>
          <w:szCs w:val="24"/>
          <w:lang w:val="en-US" w:eastAsia="zh-CN"/>
        </w:rPr>
        <w:t>小微企业优惠政策。</w:t>
      </w:r>
      <w:r>
        <w:rPr>
          <w:rFonts w:hint="eastAsia" w:ascii="宋体"/>
          <w:color w:val="auto"/>
          <w:sz w:val="24"/>
          <w:szCs w:val="24"/>
          <w:lang w:val="zh-CN"/>
        </w:rPr>
        <w:t>评标委员会</w:t>
      </w:r>
      <w:r>
        <w:rPr>
          <w:rFonts w:hint="eastAsia" w:ascii="宋体"/>
          <w:color w:val="auto"/>
          <w:sz w:val="24"/>
          <w:szCs w:val="24"/>
          <w:lang w:val="en-US" w:eastAsia="zh-CN"/>
        </w:rPr>
        <w:t>依据投标人提供的资料</w:t>
      </w:r>
      <w:r>
        <w:rPr>
          <w:rFonts w:hint="eastAsia" w:ascii="宋体"/>
          <w:color w:val="auto"/>
          <w:sz w:val="24"/>
          <w:szCs w:val="24"/>
          <w:lang w:val="zh-CN"/>
        </w:rPr>
        <w:t>进行核查</w:t>
      </w:r>
      <w:r>
        <w:rPr>
          <w:rFonts w:hint="eastAsia" w:ascii="宋体"/>
          <w:color w:val="auto"/>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具体优惠：对于小型微型企业产品的价格给予</w:t>
      </w:r>
      <w:r>
        <w:rPr>
          <w:rFonts w:hint="eastAsia" w:ascii="宋体"/>
          <w:color w:val="auto"/>
          <w:sz w:val="24"/>
          <w:u w:val="single"/>
          <w:lang w:val="zh-CN"/>
        </w:rPr>
        <w:t xml:space="preserve"> </w:t>
      </w:r>
      <w:r>
        <w:rPr>
          <w:rFonts w:hint="eastAsia" w:ascii="宋体"/>
          <w:color w:val="auto"/>
          <w:sz w:val="24"/>
          <w:u w:val="single"/>
        </w:rPr>
        <w:t>6</w:t>
      </w:r>
      <w:r>
        <w:rPr>
          <w:rFonts w:hint="eastAsia" w:ascii="宋体"/>
          <w:color w:val="auto"/>
          <w:sz w:val="24"/>
          <w:u w:val="single"/>
          <w:lang w:val="zh-CN"/>
        </w:rPr>
        <w:t xml:space="preserve">  </w:t>
      </w:r>
      <w:r>
        <w:rPr>
          <w:rFonts w:hint="eastAsia" w:ascii="宋体"/>
          <w:color w:val="auto"/>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color w:val="auto"/>
          <w:sz w:val="24"/>
          <w:lang w:val="zh-CN"/>
        </w:rPr>
        <w:t>注：得分以系统计算为准，保留2位小数。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9"/>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六、本次评分具体分值细化条款如下表：</w:t>
      </w: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lang w:eastAsia="zh-CN"/>
        </w:rPr>
      </w:pPr>
    </w:p>
    <w:p>
      <w:pPr>
        <w:pStyle w:val="29"/>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评分细则：</w:t>
      </w:r>
    </w:p>
    <w:tbl>
      <w:tblPr>
        <w:tblStyle w:val="23"/>
        <w:tblW w:w="9197" w:type="dxa"/>
        <w:tblInd w:w="113" w:type="dxa"/>
        <w:tblLayout w:type="fixed"/>
        <w:tblCellMar>
          <w:top w:w="0" w:type="dxa"/>
          <w:left w:w="108" w:type="dxa"/>
          <w:bottom w:w="0" w:type="dxa"/>
          <w:right w:w="108" w:type="dxa"/>
        </w:tblCellMar>
      </w:tblPr>
      <w:tblGrid>
        <w:gridCol w:w="1127"/>
        <w:gridCol w:w="801"/>
        <w:gridCol w:w="6624"/>
        <w:gridCol w:w="645"/>
      </w:tblGrid>
      <w:tr>
        <w:tblPrEx>
          <w:tblLayout w:type="fixed"/>
          <w:tblCellMar>
            <w:top w:w="0" w:type="dxa"/>
            <w:left w:w="108" w:type="dxa"/>
            <w:bottom w:w="0" w:type="dxa"/>
            <w:right w:w="108" w:type="dxa"/>
          </w:tblCellMar>
        </w:tblPrEx>
        <w:trPr>
          <w:trHeight w:val="282"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评分</w:t>
            </w:r>
          </w:p>
          <w:p>
            <w:pPr>
              <w:widowControl/>
              <w:adjustRightInd w:val="0"/>
              <w:snapToGrid w:val="0"/>
              <w:jc w:val="center"/>
              <w:rPr>
                <w:rFonts w:ascii="宋体" w:hAnsi="宋体" w:cs="宋体"/>
                <w:b/>
                <w:bCs/>
                <w:color w:val="auto"/>
                <w:kern w:val="0"/>
                <w:sz w:val="24"/>
                <w:szCs w:val="24"/>
              </w:rPr>
            </w:pPr>
            <w:r>
              <w:rPr>
                <w:rFonts w:hint="eastAsia" w:ascii="宋体" w:hAnsi="宋体" w:cs="宋体"/>
                <w:b/>
                <w:bCs/>
                <w:color w:val="auto"/>
                <w:kern w:val="0"/>
                <w:sz w:val="24"/>
                <w:szCs w:val="24"/>
              </w:rPr>
              <w:t>项目</w:t>
            </w:r>
          </w:p>
        </w:tc>
        <w:tc>
          <w:tcPr>
            <w:tcW w:w="742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 w:val="24"/>
                <w:szCs w:val="24"/>
              </w:rPr>
            </w:pPr>
            <w:r>
              <w:rPr>
                <w:rFonts w:hint="eastAsia" w:ascii="宋体" w:hAnsi="宋体" w:cs="宋体"/>
                <w:b/>
                <w:bCs/>
                <w:color w:val="auto"/>
                <w:kern w:val="0"/>
                <w:sz w:val="24"/>
                <w:szCs w:val="24"/>
              </w:rPr>
              <w:t>评分标准</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 w:val="24"/>
                <w:szCs w:val="24"/>
              </w:rPr>
            </w:pPr>
            <w:r>
              <w:rPr>
                <w:rFonts w:hint="eastAsia" w:ascii="宋体" w:hAnsi="宋体" w:cs="宋体"/>
                <w:b/>
                <w:bCs/>
                <w:color w:val="auto"/>
                <w:kern w:val="0"/>
                <w:sz w:val="24"/>
                <w:szCs w:val="24"/>
              </w:rPr>
              <w:t>分值</w:t>
            </w:r>
          </w:p>
        </w:tc>
      </w:tr>
      <w:tr>
        <w:tblPrEx>
          <w:tblLayout w:type="fixed"/>
          <w:tblCellMar>
            <w:top w:w="0" w:type="dxa"/>
            <w:left w:w="108" w:type="dxa"/>
            <w:bottom w:w="0" w:type="dxa"/>
            <w:right w:w="108" w:type="dxa"/>
          </w:tblCellMar>
        </w:tblPrEx>
        <w:trPr>
          <w:trHeight w:val="810" w:hRule="atLeast"/>
        </w:trPr>
        <w:tc>
          <w:tcPr>
            <w:tcW w:w="11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b/>
                <w:bCs/>
                <w:color w:val="auto"/>
                <w:sz w:val="24"/>
                <w:szCs w:val="24"/>
              </w:rPr>
            </w:pPr>
            <w:r>
              <w:rPr>
                <w:rFonts w:ascii="宋体" w:hAnsi="宋体"/>
                <w:b/>
                <w:bCs/>
                <w:color w:val="auto"/>
                <w:sz w:val="24"/>
                <w:szCs w:val="24"/>
              </w:rPr>
              <w:t>技术</w:t>
            </w:r>
          </w:p>
          <w:p>
            <w:pPr>
              <w:spacing w:line="240" w:lineRule="auto"/>
              <w:ind w:firstLine="0" w:firstLineChars="0"/>
              <w:jc w:val="center"/>
              <w:rPr>
                <w:rFonts w:ascii="宋体" w:hAnsi="宋体"/>
                <w:b/>
                <w:bCs/>
                <w:color w:val="auto"/>
                <w:sz w:val="24"/>
                <w:szCs w:val="24"/>
              </w:rPr>
            </w:pPr>
            <w:r>
              <w:rPr>
                <w:rFonts w:ascii="宋体" w:hAnsi="宋体"/>
                <w:b/>
                <w:bCs/>
                <w:color w:val="auto"/>
                <w:sz w:val="24"/>
                <w:szCs w:val="24"/>
              </w:rPr>
              <w:t>性能</w:t>
            </w:r>
          </w:p>
          <w:p>
            <w:pPr>
              <w:widowControl/>
              <w:adjustRightInd w:val="0"/>
              <w:snapToGrid w:val="0"/>
              <w:spacing w:line="240" w:lineRule="auto"/>
              <w:jc w:val="center"/>
              <w:rPr>
                <w:rFonts w:ascii="宋体" w:hAnsi="宋体" w:cs="宋体"/>
                <w:color w:val="auto"/>
                <w:kern w:val="0"/>
                <w:sz w:val="24"/>
                <w:szCs w:val="24"/>
              </w:rPr>
            </w:pPr>
            <w:r>
              <w:rPr>
                <w:rFonts w:hint="eastAsia" w:ascii="宋体" w:hAnsi="宋体"/>
                <w:b/>
                <w:bCs/>
                <w:color w:val="auto"/>
                <w:sz w:val="24"/>
                <w:szCs w:val="24"/>
                <w:lang w:val="en-US" w:eastAsia="zh-CN"/>
              </w:rPr>
              <w:t>50</w:t>
            </w:r>
            <w:r>
              <w:rPr>
                <w:rFonts w:ascii="宋体" w:hAnsi="宋体"/>
                <w:b/>
                <w:bCs/>
                <w:color w:val="auto"/>
                <w:sz w:val="24"/>
                <w:szCs w:val="24"/>
              </w:rPr>
              <w:t>分</w:t>
            </w:r>
          </w:p>
        </w:tc>
        <w:tc>
          <w:tcPr>
            <w:tcW w:w="8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技术</w:t>
            </w:r>
          </w:p>
          <w:p>
            <w:pPr>
              <w:widowControl/>
              <w:spacing w:line="240" w:lineRule="auto"/>
              <w:jc w:val="left"/>
              <w:rPr>
                <w:rFonts w:ascii="宋体" w:hAnsi="宋体" w:cs="宋体"/>
                <w:bCs/>
                <w:color w:val="auto"/>
                <w:kern w:val="0"/>
                <w:sz w:val="24"/>
                <w:szCs w:val="24"/>
              </w:rPr>
            </w:pPr>
            <w:r>
              <w:rPr>
                <w:rFonts w:hint="eastAsia" w:asciiTheme="minorEastAsia" w:hAnsiTheme="minorEastAsia" w:eastAsiaTheme="minorEastAsia" w:cstheme="minorEastAsia"/>
                <w:color w:val="000000"/>
                <w:sz w:val="24"/>
                <w:szCs w:val="24"/>
              </w:rPr>
              <w:t>方案</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宋体" w:hAnsi="宋体" w:cs="宋体"/>
                <w:bCs/>
                <w:color w:val="auto"/>
                <w:kern w:val="0"/>
                <w:sz w:val="24"/>
                <w:szCs w:val="24"/>
              </w:rPr>
            </w:pPr>
            <w:r>
              <w:rPr>
                <w:rFonts w:hint="eastAsia" w:ascii="宋体" w:hAnsi="宋体" w:eastAsia="宋体"/>
                <w:sz w:val="24"/>
                <w:szCs w:val="24"/>
              </w:rPr>
              <w:t>技术方案设计合理，</w:t>
            </w:r>
            <w:r>
              <w:rPr>
                <w:rFonts w:hint="eastAsia" w:ascii="宋体" w:hAnsi="宋体"/>
                <w:sz w:val="24"/>
                <w:szCs w:val="24"/>
                <w:lang w:eastAsia="zh-CN"/>
              </w:rPr>
              <w:t>依据</w:t>
            </w:r>
            <w:r>
              <w:rPr>
                <w:rFonts w:hint="eastAsia" w:ascii="宋体" w:hAnsi="宋体" w:eastAsia="宋体"/>
                <w:sz w:val="24"/>
                <w:szCs w:val="24"/>
              </w:rPr>
              <w:t>建设需求</w:t>
            </w:r>
            <w:r>
              <w:rPr>
                <w:rFonts w:hint="eastAsia" w:ascii="宋体" w:hAnsi="宋体"/>
                <w:sz w:val="24"/>
                <w:szCs w:val="24"/>
                <w:lang w:eastAsia="zh-CN"/>
              </w:rPr>
              <w:t>，提供技术方案的</w:t>
            </w:r>
            <w:r>
              <w:rPr>
                <w:rFonts w:hint="eastAsia" w:ascii="宋体" w:hAnsi="宋体" w:eastAsia="宋体"/>
                <w:sz w:val="24"/>
                <w:szCs w:val="24"/>
              </w:rPr>
              <w:t>满足</w:t>
            </w:r>
            <w:r>
              <w:rPr>
                <w:rFonts w:hint="eastAsia" w:ascii="宋体" w:hAnsi="宋体"/>
                <w:sz w:val="24"/>
                <w:szCs w:val="24"/>
                <w:lang w:eastAsia="zh-CN"/>
              </w:rPr>
              <w:t>程度进行分档评分：</w:t>
            </w:r>
            <w:r>
              <w:rPr>
                <w:rFonts w:hint="eastAsia" w:asciiTheme="minorEastAsia" w:hAnsiTheme="minorEastAsia" w:eastAsiaTheme="minorEastAsia" w:cstheme="minorEastAsia"/>
                <w:color w:val="000000"/>
                <w:sz w:val="24"/>
                <w:szCs w:val="24"/>
                <w:lang w:eastAsia="zh-CN"/>
              </w:rPr>
              <w:t>一档</w:t>
            </w:r>
            <w:r>
              <w:rPr>
                <w:rFonts w:hint="eastAsia" w:asciiTheme="minorEastAsia" w:hAnsiTheme="minorEastAsia" w:eastAsiaTheme="minorEastAsia" w:cstheme="minorEastAsia"/>
                <w:color w:val="000000"/>
                <w:sz w:val="24"/>
                <w:szCs w:val="24"/>
                <w:lang w:val="en-US" w:eastAsia="zh-CN"/>
              </w:rPr>
              <w:t>5-3.8</w:t>
            </w:r>
            <w:r>
              <w:rPr>
                <w:rFonts w:hint="eastAsia" w:asciiTheme="minorEastAsia" w:hAnsiTheme="minorEastAsia" w:eastAsiaTheme="minorEastAsia" w:cstheme="minorEastAsia"/>
                <w:color w:val="000000"/>
                <w:sz w:val="24"/>
                <w:szCs w:val="24"/>
                <w:lang w:eastAsia="zh-CN"/>
              </w:rPr>
              <w:t>；二档</w:t>
            </w:r>
            <w:r>
              <w:rPr>
                <w:rFonts w:hint="eastAsia" w:asciiTheme="minorEastAsia" w:hAnsiTheme="minorEastAsia" w:eastAsiaTheme="minorEastAsia" w:cstheme="minorEastAsia"/>
                <w:color w:val="000000"/>
                <w:sz w:val="24"/>
                <w:szCs w:val="24"/>
                <w:lang w:val="en-US" w:eastAsia="zh-CN"/>
              </w:rPr>
              <w:t>3.7-2.5</w:t>
            </w:r>
            <w:r>
              <w:rPr>
                <w:rFonts w:hint="eastAsia" w:asciiTheme="minorEastAsia" w:hAnsiTheme="minorEastAsia" w:eastAsiaTheme="minorEastAsia" w:cstheme="minorEastAsia"/>
                <w:color w:val="000000"/>
                <w:sz w:val="24"/>
                <w:szCs w:val="24"/>
                <w:lang w:eastAsia="zh-CN"/>
              </w:rPr>
              <w:t>；三档</w:t>
            </w:r>
            <w:r>
              <w:rPr>
                <w:rFonts w:hint="eastAsia" w:asciiTheme="minorEastAsia" w:hAnsiTheme="minorEastAsia" w:eastAsiaTheme="minorEastAsia" w:cstheme="minorEastAsia"/>
                <w:color w:val="000000"/>
                <w:sz w:val="24"/>
                <w:szCs w:val="24"/>
                <w:lang w:val="en-US" w:eastAsia="zh-CN"/>
              </w:rPr>
              <w:t xml:space="preserve">2.4-1.2 </w:t>
            </w:r>
            <w:r>
              <w:rPr>
                <w:rFonts w:hint="eastAsia" w:asciiTheme="minorEastAsia" w:hAnsiTheme="minorEastAsia" w:eastAsiaTheme="minorEastAsia" w:cstheme="minorEastAsia"/>
                <w:color w:val="000000"/>
                <w:sz w:val="24"/>
                <w:szCs w:val="24"/>
                <w:lang w:eastAsia="zh-CN"/>
              </w:rPr>
              <w:t>；四档</w:t>
            </w:r>
            <w:r>
              <w:rPr>
                <w:rFonts w:hint="eastAsia" w:asciiTheme="minorEastAsia" w:hAnsiTheme="minorEastAsia" w:eastAsiaTheme="minorEastAsia" w:cstheme="minorEastAsia"/>
                <w:color w:val="000000"/>
                <w:sz w:val="24"/>
                <w:szCs w:val="24"/>
                <w:lang w:val="en-US" w:eastAsia="zh-CN"/>
              </w:rPr>
              <w:t>1.1-0。</w:t>
            </w:r>
          </w:p>
        </w:tc>
        <w:tc>
          <w:tcPr>
            <w:tcW w:w="64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p>
        </w:tc>
      </w:tr>
      <w:tr>
        <w:tblPrEx>
          <w:tblLayout w:type="fixed"/>
          <w:tblCellMar>
            <w:top w:w="0" w:type="dxa"/>
            <w:left w:w="108" w:type="dxa"/>
            <w:bottom w:w="0" w:type="dxa"/>
            <w:right w:w="108" w:type="dxa"/>
          </w:tblCellMar>
        </w:tblPrEx>
        <w:trPr>
          <w:trHeight w:val="90"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宋体" w:hAnsi="宋体" w:cs="宋体"/>
                <w:color w:val="auto"/>
                <w:kern w:val="0"/>
                <w:sz w:val="24"/>
                <w:szCs w:val="24"/>
              </w:rPr>
            </w:pP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性能</w:t>
            </w:r>
          </w:p>
          <w:p>
            <w:pPr>
              <w:spacing w:line="240" w:lineRule="auto"/>
              <w:ind w:firstLine="0" w:firstLineChars="0"/>
              <w:jc w:val="center"/>
              <w:rPr>
                <w:rFonts w:ascii="宋体" w:hAnsi="宋体" w:cs="宋体"/>
                <w:bCs/>
                <w:color w:val="auto"/>
                <w:kern w:val="0"/>
                <w:sz w:val="24"/>
                <w:szCs w:val="24"/>
              </w:rPr>
            </w:pPr>
            <w:r>
              <w:rPr>
                <w:rFonts w:hint="eastAsia" w:asciiTheme="minorEastAsia" w:hAnsiTheme="minorEastAsia" w:eastAsiaTheme="minorEastAsia" w:cstheme="minorEastAsia"/>
                <w:b w:val="0"/>
                <w:bCs w:val="0"/>
                <w:color w:val="auto"/>
                <w:sz w:val="24"/>
                <w:szCs w:val="24"/>
                <w:lang w:eastAsia="zh-CN"/>
              </w:rPr>
              <w:t>指标</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宋体" w:hAnsi="宋体" w:cs="宋体"/>
                <w:bCs/>
                <w:color w:val="auto"/>
                <w:kern w:val="0"/>
                <w:sz w:val="24"/>
                <w:szCs w:val="24"/>
              </w:rPr>
            </w:pPr>
            <w:r>
              <w:rPr>
                <w:rFonts w:hint="eastAsia" w:asciiTheme="minorEastAsia" w:hAnsiTheme="minorEastAsia" w:eastAsiaTheme="minorEastAsia" w:cstheme="minorEastAsia"/>
                <w:kern w:val="0"/>
                <w:sz w:val="24"/>
                <w:szCs w:val="24"/>
              </w:rPr>
              <w:t>根据所投设备</w:t>
            </w:r>
            <w:r>
              <w:rPr>
                <w:rFonts w:hint="eastAsia" w:asciiTheme="minorEastAsia" w:hAnsiTheme="minorEastAsia" w:eastAsiaTheme="minorEastAsia" w:cstheme="minorEastAsia"/>
                <w:color w:val="000000"/>
                <w:sz w:val="24"/>
                <w:szCs w:val="24"/>
              </w:rPr>
              <w:t>的</w:t>
            </w:r>
            <w:r>
              <w:rPr>
                <w:rFonts w:hint="eastAsia" w:asciiTheme="minorEastAsia" w:hAnsiTheme="minorEastAsia" w:eastAsiaTheme="minorEastAsia" w:cstheme="minorEastAsia"/>
                <w:bCs/>
                <w:color w:val="000000"/>
                <w:sz w:val="24"/>
                <w:szCs w:val="24"/>
              </w:rPr>
              <w:t>综合性能</w:t>
            </w:r>
            <w:r>
              <w:rPr>
                <w:rFonts w:hint="eastAsia" w:asciiTheme="minorEastAsia" w:hAnsiTheme="minorEastAsia" w:eastAsiaTheme="minorEastAsia" w:cstheme="minorEastAsia"/>
                <w:color w:val="000000"/>
                <w:sz w:val="24"/>
                <w:szCs w:val="24"/>
              </w:rPr>
              <w:t>、先进性、质量</w:t>
            </w:r>
            <w:r>
              <w:rPr>
                <w:rFonts w:hint="eastAsia" w:asciiTheme="minorEastAsia" w:hAnsiTheme="minorEastAsia" w:eastAsiaTheme="minorEastAsia" w:cstheme="minorEastAsia"/>
                <w:color w:val="000000"/>
                <w:sz w:val="24"/>
                <w:szCs w:val="24"/>
                <w:lang w:eastAsia="zh-CN"/>
              </w:rPr>
              <w:t>稳定</w:t>
            </w:r>
            <w:r>
              <w:rPr>
                <w:rFonts w:hint="eastAsia" w:asciiTheme="minorEastAsia" w:hAnsiTheme="minorEastAsia" w:eastAsiaTheme="minorEastAsia" w:cstheme="minorEastAsia"/>
                <w:color w:val="000000"/>
                <w:sz w:val="24"/>
                <w:szCs w:val="24"/>
              </w:rPr>
              <w:t>性、</w:t>
            </w:r>
            <w:r>
              <w:rPr>
                <w:rFonts w:hint="eastAsia" w:asciiTheme="minorEastAsia" w:hAnsiTheme="minorEastAsia" w:eastAsiaTheme="minorEastAsia" w:cstheme="minorEastAsia"/>
                <w:color w:val="000000"/>
                <w:sz w:val="24"/>
                <w:szCs w:val="24"/>
                <w:lang w:eastAsia="zh-CN"/>
              </w:rPr>
              <w:t>安全性</w:t>
            </w:r>
            <w:r>
              <w:rPr>
                <w:rFonts w:hint="eastAsia" w:asciiTheme="minorEastAsia" w:hAnsiTheme="minorEastAsia" w:eastAsiaTheme="minorEastAsia" w:cstheme="minorEastAsia"/>
                <w:color w:val="000000"/>
                <w:sz w:val="24"/>
                <w:szCs w:val="24"/>
              </w:rPr>
              <w:t>等综合评分</w:t>
            </w:r>
            <w:r>
              <w:rPr>
                <w:rFonts w:hint="eastAsia" w:asciiTheme="minorEastAsia" w:hAnsiTheme="minorEastAsia" w:eastAsiaTheme="minorEastAsia" w:cstheme="minorEastAsia"/>
                <w:color w:val="000000"/>
                <w:sz w:val="24"/>
                <w:szCs w:val="24"/>
                <w:lang w:eastAsia="zh-CN"/>
              </w:rPr>
              <w:t>；一档</w:t>
            </w:r>
            <w:r>
              <w:rPr>
                <w:rFonts w:hint="eastAsia" w:asciiTheme="minorEastAsia" w:hAnsiTheme="minorEastAsia" w:eastAsiaTheme="minorEastAsia" w:cstheme="minorEastAsia"/>
                <w:color w:val="000000"/>
                <w:sz w:val="24"/>
                <w:szCs w:val="24"/>
                <w:lang w:val="en-US" w:eastAsia="zh-CN"/>
              </w:rPr>
              <w:t xml:space="preserve"> 12-9.1</w:t>
            </w:r>
            <w:r>
              <w:rPr>
                <w:rFonts w:hint="eastAsia" w:asciiTheme="minorEastAsia" w:hAnsiTheme="minorEastAsia" w:eastAsiaTheme="minorEastAsia" w:cstheme="minorEastAsia"/>
                <w:color w:val="000000"/>
                <w:sz w:val="24"/>
                <w:szCs w:val="24"/>
                <w:lang w:eastAsia="zh-CN"/>
              </w:rPr>
              <w:t>；二档</w:t>
            </w:r>
            <w:r>
              <w:rPr>
                <w:rFonts w:hint="eastAsia" w:asciiTheme="minorEastAsia" w:hAnsiTheme="minorEastAsia" w:eastAsiaTheme="minorEastAsia" w:cstheme="minorEastAsia"/>
                <w:color w:val="000000"/>
                <w:sz w:val="24"/>
                <w:szCs w:val="24"/>
                <w:lang w:val="en-US" w:eastAsia="zh-CN"/>
              </w:rPr>
              <w:t xml:space="preserve"> 9-6.1</w:t>
            </w:r>
            <w:r>
              <w:rPr>
                <w:rFonts w:hint="eastAsia" w:asciiTheme="minorEastAsia" w:hAnsiTheme="minorEastAsia" w:eastAsiaTheme="minorEastAsia" w:cstheme="minorEastAsia"/>
                <w:color w:val="000000"/>
                <w:sz w:val="24"/>
                <w:szCs w:val="24"/>
                <w:lang w:eastAsia="zh-CN"/>
              </w:rPr>
              <w:t>；三档</w:t>
            </w:r>
            <w:r>
              <w:rPr>
                <w:rFonts w:hint="eastAsia" w:asciiTheme="minorEastAsia" w:hAnsiTheme="minorEastAsia" w:eastAsiaTheme="minorEastAsia" w:cstheme="minorEastAsia"/>
                <w:color w:val="000000"/>
                <w:sz w:val="24"/>
                <w:szCs w:val="24"/>
                <w:lang w:val="en-US" w:eastAsia="zh-CN"/>
              </w:rPr>
              <w:t xml:space="preserve">6-3.1 </w:t>
            </w:r>
            <w:r>
              <w:rPr>
                <w:rFonts w:hint="eastAsia" w:asciiTheme="minorEastAsia" w:hAnsiTheme="minorEastAsia" w:eastAsiaTheme="minorEastAsia" w:cstheme="minorEastAsia"/>
                <w:color w:val="000000"/>
                <w:sz w:val="24"/>
                <w:szCs w:val="24"/>
                <w:lang w:eastAsia="zh-CN"/>
              </w:rPr>
              <w:t>；第四档</w:t>
            </w:r>
            <w:r>
              <w:rPr>
                <w:rFonts w:hint="eastAsia" w:asciiTheme="minorEastAsia" w:hAnsiTheme="minorEastAsia" w:eastAsiaTheme="minorEastAsia" w:cstheme="minorEastAsia"/>
                <w:color w:val="000000"/>
                <w:sz w:val="24"/>
                <w:szCs w:val="24"/>
                <w:lang w:val="en-US" w:eastAsia="zh-CN"/>
              </w:rPr>
              <w:t>3-0。</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宋体" w:hAnsi="宋体" w:eastAsia="宋体" w:cs="宋体"/>
                <w:color w:val="auto"/>
                <w:kern w:val="2"/>
                <w:sz w:val="24"/>
                <w:szCs w:val="24"/>
                <w:lang w:val="en-US" w:eastAsia="zh-CN"/>
              </w:rPr>
            </w:pPr>
            <w:r>
              <w:rPr>
                <w:rFonts w:hint="eastAsia" w:ascii="宋体" w:hAnsi="宋体" w:cs="宋体"/>
                <w:color w:val="auto"/>
                <w:kern w:val="2"/>
                <w:sz w:val="24"/>
                <w:szCs w:val="24"/>
                <w:lang w:val="en-US" w:eastAsia="zh-CN"/>
              </w:rPr>
              <w:t>12</w:t>
            </w:r>
          </w:p>
        </w:tc>
      </w:tr>
      <w:tr>
        <w:tblPrEx>
          <w:tblLayout w:type="fixed"/>
          <w:tblCellMar>
            <w:top w:w="0" w:type="dxa"/>
            <w:left w:w="108" w:type="dxa"/>
            <w:bottom w:w="0" w:type="dxa"/>
            <w:right w:w="108" w:type="dxa"/>
          </w:tblCellMar>
        </w:tblPrEx>
        <w:trPr>
          <w:trHeight w:val="711"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宋体" w:hAnsi="宋体" w:cs="宋体"/>
                <w:color w:val="auto"/>
                <w:kern w:val="0"/>
                <w:sz w:val="24"/>
                <w:szCs w:val="24"/>
              </w:rPr>
            </w:pPr>
          </w:p>
        </w:tc>
        <w:tc>
          <w:tcPr>
            <w:tcW w:w="801" w:type="dxa"/>
            <w:vMerge w:val="continue"/>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color w:val="auto"/>
                <w:sz w:val="24"/>
                <w:szCs w:val="24"/>
              </w:rPr>
            </w:pPr>
          </w:p>
        </w:tc>
        <w:tc>
          <w:tcPr>
            <w:tcW w:w="6624" w:type="dxa"/>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rPr>
                <w:rFonts w:hint="eastAsia"/>
                <w:sz w:val="24"/>
                <w:szCs w:val="24"/>
              </w:rPr>
            </w:pPr>
            <w:r>
              <w:rPr>
                <w:rFonts w:hint="eastAsia"/>
                <w:sz w:val="24"/>
                <w:szCs w:val="24"/>
              </w:rPr>
              <w:t>投标产品的性能指标及技术参数满足程度进行评分：</w:t>
            </w:r>
          </w:p>
          <w:p>
            <w:pPr>
              <w:spacing w:line="240" w:lineRule="auto"/>
              <w:ind w:firstLine="0" w:firstLineChars="0"/>
              <w:rPr>
                <w:color w:val="auto"/>
                <w:sz w:val="24"/>
                <w:szCs w:val="24"/>
              </w:rPr>
            </w:pPr>
            <w:r>
              <w:rPr>
                <w:rFonts w:hint="eastAsia"/>
                <w:sz w:val="24"/>
                <w:szCs w:val="24"/>
              </w:rPr>
              <w:t>每项负偏离扣</w:t>
            </w:r>
            <w:r>
              <w:rPr>
                <w:rFonts w:hint="eastAsia"/>
                <w:sz w:val="24"/>
                <w:szCs w:val="24"/>
                <w:lang w:val="en-US" w:eastAsia="zh-CN"/>
              </w:rPr>
              <w:t>1</w:t>
            </w:r>
            <w:r>
              <w:rPr>
                <w:rFonts w:hint="eastAsia"/>
                <w:sz w:val="24"/>
                <w:szCs w:val="24"/>
              </w:rPr>
              <w:t>分，其中“★”系为重要参数，每项负偏离扣</w:t>
            </w:r>
            <w:r>
              <w:rPr>
                <w:rFonts w:hint="eastAsia"/>
                <w:sz w:val="24"/>
                <w:szCs w:val="24"/>
                <w:lang w:val="en-US" w:eastAsia="zh-CN"/>
              </w:rPr>
              <w:t>2</w:t>
            </w:r>
            <w:r>
              <w:rPr>
                <w:rFonts w:hint="eastAsia"/>
                <w:sz w:val="24"/>
                <w:szCs w:val="24"/>
              </w:rPr>
              <w:t>分。满分</w:t>
            </w:r>
            <w:r>
              <w:rPr>
                <w:rFonts w:hint="eastAsia"/>
                <w:sz w:val="24"/>
                <w:szCs w:val="24"/>
                <w:lang w:val="en-US" w:eastAsia="zh-CN"/>
              </w:rPr>
              <w:t>20</w:t>
            </w:r>
            <w:r>
              <w:rPr>
                <w:rFonts w:hint="eastAsia"/>
                <w:sz w:val="24"/>
                <w:szCs w:val="24"/>
              </w:rPr>
              <w:t>分，扣完为止。</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备注：</w:t>
            </w:r>
            <w:r>
              <w:rPr>
                <w:rFonts w:hint="eastAsia" w:asciiTheme="minorEastAsia" w:hAnsiTheme="minorEastAsia" w:eastAsiaTheme="minorEastAsia" w:cstheme="minorEastAsia"/>
                <w:color w:val="000000" w:themeColor="text1"/>
                <w:sz w:val="24"/>
                <w:szCs w:val="24"/>
                <w14:textFill>
                  <w14:solidFill>
                    <w14:schemeClr w14:val="tx1"/>
                  </w14:solidFill>
                </w14:textFill>
              </w:rPr>
              <w:t>标注“★”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的条款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负偏离累加至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多扣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9项（10项为无效标）。</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eastAsia="宋体"/>
                <w:color w:val="auto"/>
                <w:sz w:val="24"/>
                <w:szCs w:val="24"/>
                <w:lang w:val="en-US" w:eastAsia="zh-CN"/>
              </w:rPr>
            </w:pPr>
            <w:r>
              <w:rPr>
                <w:rFonts w:hint="eastAsia"/>
                <w:color w:val="auto"/>
                <w:sz w:val="24"/>
                <w:szCs w:val="24"/>
                <w:lang w:val="en-US" w:eastAsia="zh-CN"/>
              </w:rPr>
              <w:t>20</w:t>
            </w:r>
          </w:p>
        </w:tc>
      </w:tr>
      <w:tr>
        <w:tblPrEx>
          <w:tblLayout w:type="fixed"/>
          <w:tblCellMar>
            <w:top w:w="0" w:type="dxa"/>
            <w:left w:w="108" w:type="dxa"/>
            <w:bottom w:w="0" w:type="dxa"/>
            <w:right w:w="108" w:type="dxa"/>
          </w:tblCellMar>
        </w:tblPrEx>
        <w:trPr>
          <w:trHeight w:val="578"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宋体" w:hAnsi="宋体" w:cs="宋体"/>
                <w:color w:val="auto"/>
                <w:kern w:val="0"/>
                <w:sz w:val="24"/>
                <w:szCs w:val="24"/>
              </w:rPr>
            </w:pPr>
          </w:p>
        </w:tc>
        <w:tc>
          <w:tcPr>
            <w:tcW w:w="8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产品</w:t>
            </w:r>
          </w:p>
          <w:p>
            <w:pPr>
              <w:widowControl/>
              <w:spacing w:line="240" w:lineRule="auto"/>
              <w:jc w:val="left"/>
              <w:rPr>
                <w:rFonts w:hint="eastAsia" w:ascii="宋体" w:hAnsi="宋体" w:eastAsia="宋体"/>
                <w:color w:val="auto"/>
                <w:sz w:val="24"/>
                <w:szCs w:val="24"/>
                <w:lang w:eastAsia="zh-CN"/>
              </w:rPr>
            </w:pPr>
            <w:r>
              <w:rPr>
                <w:rFonts w:hint="eastAsia" w:asciiTheme="minorEastAsia" w:hAnsiTheme="minorEastAsia" w:eastAsiaTheme="minorEastAsia" w:cstheme="minorEastAsia"/>
                <w:color w:val="000000"/>
                <w:sz w:val="24"/>
                <w:szCs w:val="24"/>
              </w:rPr>
              <w:t>品牌</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olor w:val="auto"/>
                <w:sz w:val="24"/>
                <w:szCs w:val="24"/>
                <w:lang w:eastAsia="zh-CN"/>
              </w:rPr>
            </w:pPr>
            <w:r>
              <w:rPr>
                <w:rFonts w:hint="eastAsia" w:asciiTheme="minorEastAsia" w:hAnsiTheme="minorEastAsia" w:eastAsiaTheme="minorEastAsia" w:cstheme="minorEastAsia"/>
                <w:color w:val="000000"/>
                <w:sz w:val="24"/>
                <w:szCs w:val="24"/>
              </w:rPr>
              <w:t>根据投标品牌知名度及信誉度及市场占有率、厂商服务能力等情况进行评分。（一档：</w:t>
            </w:r>
            <w:r>
              <w:rPr>
                <w:rFonts w:hint="eastAsia" w:asciiTheme="minorEastAsia" w:hAnsiTheme="minorEastAsia" w:eastAsiaTheme="minorEastAsia" w:cstheme="minorEastAsia"/>
                <w:color w:val="000000"/>
                <w:sz w:val="24"/>
                <w:szCs w:val="24"/>
                <w:lang w:val="en-US" w:eastAsia="zh-CN"/>
              </w:rPr>
              <w:t>6-4.6</w:t>
            </w:r>
            <w:r>
              <w:rPr>
                <w:rFonts w:hint="eastAsia" w:asciiTheme="minorEastAsia" w:hAnsiTheme="minorEastAsia" w:eastAsiaTheme="minorEastAsia" w:cstheme="minorEastAsia"/>
                <w:color w:val="000000"/>
                <w:sz w:val="24"/>
                <w:szCs w:val="24"/>
              </w:rPr>
              <w:t>分，二档：</w:t>
            </w:r>
            <w:r>
              <w:rPr>
                <w:rFonts w:hint="eastAsia" w:asciiTheme="minorEastAsia" w:hAnsiTheme="minorEastAsia" w:eastAsiaTheme="minorEastAsia" w:cstheme="minorEastAsia"/>
                <w:color w:val="000000"/>
                <w:sz w:val="24"/>
                <w:szCs w:val="24"/>
                <w:lang w:val="en-US" w:eastAsia="zh-CN"/>
              </w:rPr>
              <w:t>4.5-3.1</w:t>
            </w:r>
            <w:r>
              <w:rPr>
                <w:rFonts w:hint="eastAsia" w:asciiTheme="minorEastAsia" w:hAnsiTheme="minorEastAsia" w:eastAsiaTheme="minorEastAsia" w:cstheme="minorEastAsia"/>
                <w:color w:val="000000"/>
                <w:sz w:val="24"/>
                <w:szCs w:val="24"/>
              </w:rPr>
              <w:t>分，三档：</w:t>
            </w:r>
            <w:r>
              <w:rPr>
                <w:rFonts w:hint="eastAsia" w:asciiTheme="minorEastAsia" w:hAnsiTheme="minorEastAsia" w:eastAsiaTheme="minorEastAsia" w:cstheme="minorEastAsia"/>
                <w:color w:val="000000"/>
                <w:sz w:val="24"/>
                <w:szCs w:val="24"/>
                <w:lang w:val="en-US" w:eastAsia="zh-CN"/>
              </w:rPr>
              <w:t>3-1.6分，四档：1.5-0分</w:t>
            </w:r>
            <w:r>
              <w:rPr>
                <w:rFonts w:hint="eastAsia" w:asciiTheme="minorEastAsia" w:hAnsiTheme="minorEastAsia" w:eastAsiaTheme="minorEastAsia" w:cstheme="minorEastAsia"/>
                <w:color w:val="000000"/>
                <w:sz w:val="24"/>
                <w:szCs w:val="24"/>
              </w:rPr>
              <w:t>）</w:t>
            </w:r>
          </w:p>
        </w:tc>
        <w:tc>
          <w:tcPr>
            <w:tcW w:w="64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w:t>
            </w:r>
          </w:p>
        </w:tc>
      </w:tr>
      <w:tr>
        <w:tblPrEx>
          <w:tblLayout w:type="fixed"/>
          <w:tblCellMar>
            <w:top w:w="0" w:type="dxa"/>
            <w:left w:w="108" w:type="dxa"/>
            <w:bottom w:w="0" w:type="dxa"/>
            <w:right w:w="108" w:type="dxa"/>
          </w:tblCellMar>
        </w:tblPrEx>
        <w:trPr>
          <w:trHeight w:val="620" w:hRule="atLeast"/>
        </w:trPr>
        <w:tc>
          <w:tcPr>
            <w:tcW w:w="112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宋体" w:hAnsi="宋体" w:cs="宋体"/>
                <w:color w:val="auto"/>
                <w:kern w:val="0"/>
                <w:sz w:val="24"/>
                <w:szCs w:val="24"/>
              </w:rPr>
            </w:pPr>
          </w:p>
        </w:tc>
        <w:tc>
          <w:tcPr>
            <w:tcW w:w="801" w:type="dxa"/>
            <w:vMerge w:val="restart"/>
            <w:tcBorders>
              <w:top w:val="single" w:color="auto" w:sz="4" w:space="0"/>
              <w:left w:val="single" w:color="auto" w:sz="4" w:space="0"/>
              <w:right w:val="single" w:color="auto" w:sz="4" w:space="0"/>
            </w:tcBorders>
            <w:shd w:val="clear" w:color="auto" w:fill="auto"/>
            <w:vAlign w:val="center"/>
          </w:tcPr>
          <w:p>
            <w:pPr>
              <w:pStyle w:val="9"/>
              <w:spacing w:line="240" w:lineRule="auto"/>
              <w:rPr>
                <w:rFonts w:hint="eastAsia" w:ascii="宋体" w:hAnsi="宋体" w:eastAsia="宋体"/>
                <w:color w:val="auto"/>
                <w:sz w:val="24"/>
                <w:szCs w:val="24"/>
                <w:lang w:eastAsia="zh-CN"/>
              </w:rPr>
            </w:pPr>
            <w:r>
              <w:rPr>
                <w:rFonts w:hint="eastAsia" w:ascii="宋体" w:hAnsi="宋体" w:eastAsia="宋体"/>
                <w:sz w:val="24"/>
                <w:szCs w:val="24"/>
              </w:rPr>
              <w:t>实施方案</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line="240" w:lineRule="auto"/>
              <w:rPr>
                <w:rFonts w:hint="eastAsia" w:ascii="宋体" w:hAnsi="宋体" w:eastAsia="宋体"/>
                <w:color w:val="auto"/>
                <w:sz w:val="24"/>
                <w:szCs w:val="24"/>
                <w:lang w:eastAsia="zh-CN"/>
              </w:rPr>
            </w:pPr>
            <w:r>
              <w:rPr>
                <w:rFonts w:hint="eastAsia" w:asciiTheme="minorEastAsia" w:hAnsiTheme="minorEastAsia" w:eastAsiaTheme="minorEastAsia" w:cstheme="minorEastAsia"/>
                <w:color w:val="000000"/>
                <w:sz w:val="24"/>
                <w:szCs w:val="24"/>
              </w:rPr>
              <w:t>编制项目实施方案，根据所提供的项目组织措施、项目施工方案</w:t>
            </w:r>
            <w:r>
              <w:rPr>
                <w:rFonts w:hint="eastAsia" w:ascii="宋体" w:hAnsi="宋体" w:eastAsia="宋体"/>
                <w:sz w:val="24"/>
                <w:szCs w:val="24"/>
              </w:rPr>
              <w:t>的合理性、可行性、实用性、完善性</w:t>
            </w:r>
            <w:r>
              <w:rPr>
                <w:rFonts w:hint="eastAsia" w:ascii="宋体" w:hAnsi="宋体"/>
                <w:sz w:val="24"/>
                <w:szCs w:val="24"/>
                <w:lang w:eastAsia="zh-CN"/>
              </w:rPr>
              <w:t>综合评分：</w:t>
            </w:r>
            <w:r>
              <w:rPr>
                <w:rFonts w:hint="eastAsia" w:asciiTheme="minorEastAsia" w:hAnsiTheme="minorEastAsia" w:eastAsiaTheme="minorEastAsia" w:cstheme="minorEastAsia"/>
                <w:color w:val="000000"/>
                <w:sz w:val="24"/>
                <w:szCs w:val="24"/>
              </w:rPr>
              <w:t>一档：</w:t>
            </w:r>
            <w:r>
              <w:rPr>
                <w:rFonts w:hint="eastAsia" w:asciiTheme="minorEastAsia" w:hAnsiTheme="minorEastAsia" w:eastAsiaTheme="minorEastAsia" w:cstheme="minorEastAsia"/>
                <w:color w:val="000000"/>
                <w:sz w:val="24"/>
                <w:szCs w:val="24"/>
                <w:lang w:val="en-US" w:eastAsia="zh-CN"/>
              </w:rPr>
              <w:t>3-2</w:t>
            </w:r>
            <w:r>
              <w:rPr>
                <w:rFonts w:hint="eastAsia" w:asciiTheme="minorEastAsia" w:hAnsiTheme="minorEastAsia" w:eastAsiaTheme="minorEastAsia" w:cstheme="minorEastAsia"/>
                <w:color w:val="000000"/>
                <w:sz w:val="24"/>
                <w:szCs w:val="24"/>
              </w:rPr>
              <w:t>分，二档：</w:t>
            </w:r>
            <w:r>
              <w:rPr>
                <w:rFonts w:hint="eastAsia" w:asciiTheme="minorEastAsia" w:hAnsiTheme="minorEastAsia" w:eastAsiaTheme="minorEastAsia" w:cstheme="minorEastAsia"/>
                <w:color w:val="000000"/>
                <w:sz w:val="24"/>
                <w:szCs w:val="24"/>
                <w:lang w:val="en-US" w:eastAsia="zh-CN"/>
              </w:rPr>
              <w:t>2-1</w:t>
            </w:r>
            <w:r>
              <w:rPr>
                <w:rFonts w:hint="eastAsia" w:asciiTheme="minorEastAsia" w:hAnsiTheme="minorEastAsia" w:eastAsiaTheme="minorEastAsia" w:cstheme="minorEastAsia"/>
                <w:color w:val="000000"/>
                <w:sz w:val="24"/>
                <w:szCs w:val="24"/>
              </w:rPr>
              <w:t>分，三档：</w:t>
            </w:r>
            <w:r>
              <w:rPr>
                <w:rFonts w:hint="eastAsia" w:asciiTheme="minorEastAsia" w:hAnsiTheme="minorEastAsia" w:eastAsiaTheme="minorEastAsia" w:cstheme="minorEastAsia"/>
                <w:color w:val="000000"/>
                <w:sz w:val="24"/>
                <w:szCs w:val="24"/>
                <w:lang w:val="en-US" w:eastAsia="zh-CN"/>
              </w:rPr>
              <w:t>1-0分</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r>
      <w:tr>
        <w:tblPrEx>
          <w:tblLayout w:type="fixed"/>
          <w:tblCellMar>
            <w:top w:w="0" w:type="dxa"/>
            <w:left w:w="108" w:type="dxa"/>
            <w:bottom w:w="0" w:type="dxa"/>
            <w:right w:w="108" w:type="dxa"/>
          </w:tblCellMar>
        </w:tblPrEx>
        <w:trPr>
          <w:trHeight w:val="904" w:hRule="atLeast"/>
        </w:trPr>
        <w:tc>
          <w:tcPr>
            <w:tcW w:w="112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宋体" w:hAnsi="宋体" w:cs="宋体"/>
                <w:color w:val="auto"/>
                <w:kern w:val="0"/>
                <w:sz w:val="24"/>
                <w:szCs w:val="24"/>
              </w:rPr>
            </w:pPr>
          </w:p>
        </w:tc>
        <w:tc>
          <w:tcPr>
            <w:tcW w:w="801" w:type="dxa"/>
            <w:vMerge w:val="continue"/>
            <w:tcBorders>
              <w:left w:val="single" w:color="auto" w:sz="4" w:space="0"/>
              <w:right w:val="single" w:color="auto" w:sz="4" w:space="0"/>
            </w:tcBorders>
            <w:shd w:val="clear" w:color="auto" w:fill="auto"/>
            <w:vAlign w:val="center"/>
          </w:tcPr>
          <w:p>
            <w:pPr>
              <w:pStyle w:val="9"/>
              <w:spacing w:line="240" w:lineRule="auto"/>
              <w:rPr>
                <w:rFonts w:hint="eastAsia" w:ascii="宋体" w:hAnsi="宋体" w:eastAsia="宋体"/>
                <w:color w:val="auto"/>
                <w:sz w:val="24"/>
                <w:szCs w:val="24"/>
                <w:lang w:eastAsia="zh-CN"/>
              </w:rPr>
            </w:pP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eastAsia="宋体"/>
                <w:color w:val="auto"/>
                <w:sz w:val="24"/>
                <w:szCs w:val="24"/>
                <w:lang w:eastAsia="zh-CN"/>
              </w:rPr>
            </w:pPr>
            <w:r>
              <w:rPr>
                <w:rFonts w:hint="eastAsia" w:asciiTheme="minorEastAsia" w:hAnsiTheme="minorEastAsia" w:eastAsiaTheme="minorEastAsia" w:cstheme="minorEastAsia"/>
                <w:color w:val="000000"/>
                <w:sz w:val="24"/>
                <w:szCs w:val="24"/>
              </w:rPr>
              <w:t>安装调试计划、</w:t>
            </w:r>
            <w:r>
              <w:rPr>
                <w:rFonts w:hint="eastAsia" w:ascii="宋体" w:hAnsi="宋体" w:eastAsia="宋体"/>
                <w:sz w:val="24"/>
                <w:szCs w:val="24"/>
              </w:rPr>
              <w:t>施工进度</w:t>
            </w:r>
            <w:r>
              <w:rPr>
                <w:rFonts w:hint="eastAsia" w:ascii="宋体" w:hAnsi="宋体"/>
                <w:sz w:val="24"/>
                <w:szCs w:val="24"/>
                <w:lang w:eastAsia="zh-CN"/>
              </w:rPr>
              <w:t>、</w:t>
            </w:r>
            <w:r>
              <w:rPr>
                <w:rFonts w:hint="eastAsia" w:asciiTheme="minorEastAsia" w:hAnsiTheme="minorEastAsia" w:eastAsiaTheme="minorEastAsia" w:cstheme="minorEastAsia"/>
                <w:color w:val="000000"/>
                <w:sz w:val="24"/>
                <w:szCs w:val="24"/>
              </w:rPr>
              <w:t>与采购单位的配合分工、</w:t>
            </w:r>
            <w:r>
              <w:rPr>
                <w:rFonts w:hint="eastAsia" w:asciiTheme="minorEastAsia" w:hAnsiTheme="minorEastAsia" w:eastAsiaTheme="minorEastAsia" w:cstheme="minorEastAsia"/>
                <w:color w:val="000000"/>
                <w:sz w:val="24"/>
                <w:szCs w:val="24"/>
                <w:lang w:eastAsia="zh-CN"/>
              </w:rPr>
              <w:t>及</w:t>
            </w:r>
            <w:r>
              <w:rPr>
                <w:rFonts w:hint="eastAsia" w:ascii="宋体" w:hAnsi="宋体" w:eastAsia="宋体"/>
                <w:sz w:val="24"/>
                <w:szCs w:val="24"/>
              </w:rPr>
              <w:t>人员安排计划合理性2分，</w:t>
            </w:r>
            <w:r>
              <w:rPr>
                <w:rFonts w:hint="eastAsia" w:ascii="宋体" w:hAnsi="宋体"/>
                <w:sz w:val="24"/>
                <w:szCs w:val="24"/>
                <w:lang w:eastAsia="zh-CN"/>
              </w:rPr>
              <w:t>综合评分：</w:t>
            </w:r>
            <w:r>
              <w:rPr>
                <w:rFonts w:hint="eastAsia" w:asciiTheme="minorEastAsia" w:hAnsiTheme="minorEastAsia" w:eastAsiaTheme="minorEastAsia" w:cstheme="minorEastAsia"/>
                <w:color w:val="000000"/>
                <w:sz w:val="24"/>
                <w:szCs w:val="24"/>
              </w:rPr>
              <w:t>一档：</w:t>
            </w:r>
            <w:r>
              <w:rPr>
                <w:rFonts w:hint="eastAsia" w:asciiTheme="minorEastAsia" w:hAnsiTheme="minorEastAsia" w:eastAsiaTheme="minorEastAsia" w:cstheme="minorEastAsia"/>
                <w:color w:val="000000"/>
                <w:sz w:val="24"/>
                <w:szCs w:val="24"/>
                <w:lang w:val="en-US" w:eastAsia="zh-CN"/>
              </w:rPr>
              <w:t>2-1.5</w:t>
            </w:r>
            <w:r>
              <w:rPr>
                <w:rFonts w:hint="eastAsia" w:asciiTheme="minorEastAsia" w:hAnsiTheme="minorEastAsia" w:eastAsiaTheme="minorEastAsia" w:cstheme="minorEastAsia"/>
                <w:color w:val="000000"/>
                <w:sz w:val="24"/>
                <w:szCs w:val="24"/>
              </w:rPr>
              <w:t>分，二档：</w:t>
            </w:r>
            <w:r>
              <w:rPr>
                <w:rFonts w:hint="eastAsia" w:asciiTheme="minorEastAsia" w:hAnsiTheme="minorEastAsia" w:eastAsiaTheme="minorEastAsia" w:cstheme="minorEastAsia"/>
                <w:color w:val="000000"/>
                <w:sz w:val="24"/>
                <w:szCs w:val="24"/>
                <w:lang w:val="en-US" w:eastAsia="zh-CN"/>
              </w:rPr>
              <w:t>1.5-1</w:t>
            </w:r>
            <w:r>
              <w:rPr>
                <w:rFonts w:hint="eastAsia" w:asciiTheme="minorEastAsia" w:hAnsiTheme="minorEastAsia" w:eastAsiaTheme="minorEastAsia" w:cstheme="minorEastAsia"/>
                <w:color w:val="000000"/>
                <w:sz w:val="24"/>
                <w:szCs w:val="24"/>
              </w:rPr>
              <w:t>分，三档：</w:t>
            </w:r>
            <w:r>
              <w:rPr>
                <w:rFonts w:hint="eastAsia" w:asciiTheme="minorEastAsia" w:hAnsiTheme="minorEastAsia" w:eastAsiaTheme="minorEastAsia" w:cstheme="minorEastAsia"/>
                <w:color w:val="000000"/>
                <w:sz w:val="24"/>
                <w:szCs w:val="24"/>
                <w:lang w:val="en-US" w:eastAsia="zh-CN"/>
              </w:rPr>
              <w:t>1-0.5分</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r>
      <w:tr>
        <w:tblPrEx>
          <w:tblLayout w:type="fixed"/>
          <w:tblCellMar>
            <w:top w:w="0" w:type="dxa"/>
            <w:left w:w="108" w:type="dxa"/>
            <w:bottom w:w="0" w:type="dxa"/>
            <w:right w:w="108" w:type="dxa"/>
          </w:tblCellMar>
        </w:tblPrEx>
        <w:trPr>
          <w:trHeight w:val="471" w:hRule="atLeast"/>
        </w:trPr>
        <w:tc>
          <w:tcPr>
            <w:tcW w:w="112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宋体" w:hAnsi="宋体" w:cs="宋体"/>
                <w:color w:val="auto"/>
                <w:kern w:val="0"/>
                <w:sz w:val="24"/>
                <w:szCs w:val="24"/>
              </w:rPr>
            </w:pPr>
          </w:p>
        </w:tc>
        <w:tc>
          <w:tcPr>
            <w:tcW w:w="801" w:type="dxa"/>
            <w:vMerge w:val="continue"/>
            <w:tcBorders>
              <w:left w:val="single" w:color="auto" w:sz="4" w:space="0"/>
              <w:bottom w:val="single" w:color="000000" w:sz="4" w:space="0"/>
              <w:right w:val="single" w:color="auto" w:sz="4" w:space="0"/>
            </w:tcBorders>
            <w:shd w:val="clear" w:color="auto" w:fill="auto"/>
            <w:vAlign w:val="center"/>
          </w:tcPr>
          <w:p>
            <w:pPr>
              <w:spacing w:line="240" w:lineRule="auto"/>
              <w:rPr>
                <w:rFonts w:hint="eastAsia" w:ascii="宋体" w:hAnsi="宋体" w:eastAsia="宋体"/>
                <w:color w:val="auto"/>
                <w:sz w:val="24"/>
                <w:szCs w:val="24"/>
                <w:lang w:eastAsia="zh-CN"/>
              </w:rPr>
            </w:pPr>
          </w:p>
        </w:tc>
        <w:tc>
          <w:tcPr>
            <w:tcW w:w="6624" w:type="dxa"/>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rPr>
                <w:rFonts w:hint="eastAsia" w:ascii="宋体" w:hAnsi="宋体" w:eastAsia="宋体"/>
                <w:color w:val="auto"/>
                <w:sz w:val="24"/>
                <w:szCs w:val="24"/>
                <w:lang w:eastAsia="zh-CN"/>
              </w:rPr>
            </w:pPr>
            <w:r>
              <w:rPr>
                <w:rFonts w:hint="eastAsia" w:asciiTheme="minorEastAsia" w:hAnsiTheme="minorEastAsia" w:eastAsiaTheme="minorEastAsia" w:cstheme="minorEastAsia"/>
                <w:color w:val="000000"/>
                <w:sz w:val="24"/>
                <w:szCs w:val="24"/>
              </w:rPr>
              <w:t>项目验收方案</w:t>
            </w:r>
            <w:r>
              <w:rPr>
                <w:rFonts w:hint="eastAsia" w:asciiTheme="minorEastAsia" w:hAnsiTheme="minorEastAsia" w:eastAsiaTheme="minorEastAsia" w:cstheme="minorEastAsia"/>
                <w:color w:val="000000"/>
                <w:sz w:val="24"/>
                <w:szCs w:val="24"/>
                <w:lang w:eastAsia="zh-CN"/>
              </w:rPr>
              <w:t>、</w:t>
            </w:r>
            <w:r>
              <w:rPr>
                <w:rFonts w:hint="eastAsia" w:ascii="宋体" w:hAnsi="宋体" w:eastAsia="宋体"/>
                <w:sz w:val="24"/>
                <w:szCs w:val="24"/>
              </w:rPr>
              <w:t>供货期/工期合理性</w:t>
            </w:r>
            <w:r>
              <w:rPr>
                <w:rFonts w:hint="eastAsia" w:asciiTheme="minorEastAsia" w:hAnsiTheme="minorEastAsia" w:eastAsiaTheme="minorEastAsia" w:cstheme="minorEastAsia"/>
                <w:color w:val="000000"/>
                <w:sz w:val="24"/>
                <w:szCs w:val="24"/>
              </w:rPr>
              <w:t>进行</w:t>
            </w:r>
            <w:r>
              <w:rPr>
                <w:rFonts w:hint="eastAsia" w:asciiTheme="minorEastAsia" w:hAnsiTheme="minorEastAsia" w:eastAsiaTheme="minorEastAsia" w:cstheme="minorEastAsia"/>
                <w:color w:val="000000"/>
                <w:sz w:val="24"/>
                <w:szCs w:val="24"/>
                <w:lang w:eastAsia="zh-CN"/>
              </w:rPr>
              <w:t>综合</w:t>
            </w:r>
            <w:r>
              <w:rPr>
                <w:rFonts w:hint="eastAsia" w:asciiTheme="minorEastAsia" w:hAnsiTheme="minorEastAsia" w:eastAsiaTheme="minorEastAsia" w:cstheme="minorEastAsia"/>
                <w:color w:val="000000"/>
                <w:sz w:val="24"/>
                <w:szCs w:val="24"/>
              </w:rPr>
              <w:t>评分：一档：</w:t>
            </w:r>
            <w:r>
              <w:rPr>
                <w:rFonts w:hint="eastAsia" w:asciiTheme="minorEastAsia" w:hAnsiTheme="minorEastAsia" w:eastAsiaTheme="minorEastAsia" w:cstheme="minorEastAsia"/>
                <w:color w:val="000000"/>
                <w:sz w:val="24"/>
                <w:szCs w:val="24"/>
                <w:lang w:val="en-US" w:eastAsia="zh-CN"/>
              </w:rPr>
              <w:t>2-1.5</w:t>
            </w:r>
            <w:r>
              <w:rPr>
                <w:rFonts w:hint="eastAsia" w:asciiTheme="minorEastAsia" w:hAnsiTheme="minorEastAsia" w:eastAsiaTheme="minorEastAsia" w:cstheme="minorEastAsia"/>
                <w:color w:val="000000"/>
                <w:sz w:val="24"/>
                <w:szCs w:val="24"/>
              </w:rPr>
              <w:t>分，二档：</w:t>
            </w:r>
            <w:r>
              <w:rPr>
                <w:rFonts w:hint="eastAsia" w:asciiTheme="minorEastAsia" w:hAnsiTheme="minorEastAsia" w:eastAsiaTheme="minorEastAsia" w:cstheme="minorEastAsia"/>
                <w:color w:val="000000"/>
                <w:sz w:val="24"/>
                <w:szCs w:val="24"/>
                <w:lang w:val="en-US" w:eastAsia="zh-CN"/>
              </w:rPr>
              <w:t>1.5-1</w:t>
            </w:r>
            <w:r>
              <w:rPr>
                <w:rFonts w:hint="eastAsia" w:asciiTheme="minorEastAsia" w:hAnsiTheme="minorEastAsia" w:eastAsiaTheme="minorEastAsia" w:cstheme="minorEastAsia"/>
                <w:color w:val="000000"/>
                <w:sz w:val="24"/>
                <w:szCs w:val="24"/>
              </w:rPr>
              <w:t>分，三档：</w:t>
            </w:r>
            <w:r>
              <w:rPr>
                <w:rFonts w:hint="eastAsia" w:asciiTheme="minorEastAsia" w:hAnsiTheme="minorEastAsia" w:eastAsiaTheme="minorEastAsia" w:cstheme="minorEastAsia"/>
                <w:color w:val="000000"/>
                <w:sz w:val="24"/>
                <w:szCs w:val="24"/>
                <w:lang w:val="en-US" w:eastAsia="zh-CN"/>
              </w:rPr>
              <w:t>1-0.5分</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r>
      <w:tr>
        <w:tblPrEx>
          <w:tblLayout w:type="fixed"/>
          <w:tblCellMar>
            <w:top w:w="0" w:type="dxa"/>
            <w:left w:w="108" w:type="dxa"/>
            <w:bottom w:w="0" w:type="dxa"/>
            <w:right w:w="108" w:type="dxa"/>
          </w:tblCellMar>
        </w:tblPrEx>
        <w:trPr>
          <w:trHeight w:val="840" w:hRule="atLeast"/>
        </w:trPr>
        <w:tc>
          <w:tcPr>
            <w:tcW w:w="11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w:t>
            </w:r>
          </w:p>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实力</w:t>
            </w:r>
          </w:p>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及</w:t>
            </w:r>
          </w:p>
          <w:p>
            <w:pPr>
              <w:spacing w:line="24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业绩</w:t>
            </w:r>
          </w:p>
          <w:p>
            <w:pPr>
              <w:spacing w:line="240" w:lineRule="auto"/>
              <w:rPr>
                <w:rFonts w:cs="宋体" w:asciiTheme="minorEastAsia" w:hAnsiTheme="minorEastAsia" w:eastAsiaTheme="minorEastAsia"/>
                <w:color w:val="auto"/>
                <w:kern w:val="0"/>
                <w:sz w:val="24"/>
                <w:szCs w:val="24"/>
              </w:rPr>
            </w:pP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分</w:t>
            </w: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Times New Roman"/>
                <w:color w:val="auto"/>
                <w:kern w:val="2"/>
                <w:sz w:val="24"/>
                <w:szCs w:val="24"/>
              </w:rPr>
            </w:pPr>
            <w:r>
              <w:rPr>
                <w:rFonts w:hint="eastAsia"/>
                <w:color w:val="000000" w:themeColor="text1"/>
                <w:sz w:val="24"/>
                <w:szCs w:val="24"/>
                <w:highlight w:val="none"/>
                <w14:textFill>
                  <w14:solidFill>
                    <w14:schemeClr w14:val="tx1"/>
                  </w14:solidFill>
                </w14:textFill>
              </w:rPr>
              <w:t>根据投标人的企业实力、履约能力和信誉评价等综合实力</w:t>
            </w:r>
            <w:r>
              <w:rPr>
                <w:rFonts w:hint="eastAsia" w:asciiTheme="minorEastAsia" w:hAnsiTheme="minorEastAsia" w:eastAsiaTheme="minorEastAsia" w:cstheme="minorEastAsia"/>
                <w:sz w:val="24"/>
                <w:szCs w:val="24"/>
                <w:lang w:eastAsia="zh-CN"/>
              </w:rPr>
              <w:t>，分四档评分：</w:t>
            </w:r>
            <w:r>
              <w:rPr>
                <w:rFonts w:hint="eastAsia" w:asciiTheme="minorEastAsia" w:hAnsiTheme="minorEastAsia" w:eastAsiaTheme="minorEastAsia" w:cstheme="minorEastAsia"/>
                <w:color w:val="auto"/>
                <w:kern w:val="0"/>
                <w:sz w:val="24"/>
                <w:szCs w:val="24"/>
                <w:lang w:eastAsia="zh-CN"/>
              </w:rPr>
              <w:t>第一档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4-3</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，第二档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2.9-2</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，第三档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1.9-1</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，第四档：</w:t>
            </w:r>
            <w:r>
              <w:rPr>
                <w:rFonts w:hint="eastAsia" w:asciiTheme="minorEastAsia" w:hAnsiTheme="minorEastAsia" w:eastAsiaTheme="minorEastAsia" w:cstheme="minorEastAsia"/>
                <w:color w:val="auto"/>
                <w:kern w:val="0"/>
                <w:sz w:val="24"/>
                <w:szCs w:val="24"/>
                <w:lang w:val="en-US" w:eastAsia="zh-CN"/>
              </w:rPr>
              <w:t>0.9-0</w:t>
            </w:r>
            <w:r>
              <w:rPr>
                <w:rFonts w:hint="eastAsia" w:asciiTheme="minorEastAsia" w:hAnsiTheme="minorEastAsia" w:eastAsiaTheme="minorEastAsia" w:cstheme="minorEastAsia"/>
                <w:color w:val="auto"/>
                <w:kern w:val="0"/>
                <w:sz w:val="24"/>
                <w:szCs w:val="24"/>
                <w:lang w:eastAsia="zh-CN"/>
              </w:rPr>
              <w:t>分</w:t>
            </w:r>
            <w:r>
              <w:rPr>
                <w:rFonts w:hint="eastAsia" w:asciiTheme="minorEastAsia" w:hAnsiTheme="minorEastAsia" w:eastAsiaTheme="minorEastAsia" w:cstheme="minorEastAsia"/>
                <w:spacing w:val="-2"/>
                <w:sz w:val="24"/>
                <w:szCs w:val="24"/>
              </w:rPr>
              <w:t>。</w:t>
            </w:r>
          </w:p>
        </w:tc>
        <w:tc>
          <w:tcPr>
            <w:tcW w:w="64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Times New Roman"/>
                <w:color w:val="auto"/>
                <w:kern w:val="2"/>
                <w:sz w:val="24"/>
                <w:szCs w:val="24"/>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r>
      <w:tr>
        <w:tblPrEx>
          <w:tblLayout w:type="fixed"/>
          <w:tblCellMar>
            <w:top w:w="0" w:type="dxa"/>
            <w:left w:w="108" w:type="dxa"/>
            <w:bottom w:w="0" w:type="dxa"/>
            <w:right w:w="108" w:type="dxa"/>
          </w:tblCellMar>
        </w:tblPrEx>
        <w:trPr>
          <w:trHeight w:val="209" w:hRule="atLeast"/>
        </w:trPr>
        <w:tc>
          <w:tcPr>
            <w:tcW w:w="1127" w:type="dxa"/>
            <w:vMerge w:val="continue"/>
            <w:tcBorders>
              <w:left w:val="single" w:color="auto" w:sz="4" w:space="0"/>
              <w:right w:val="single" w:color="auto" w:sz="4" w:space="0"/>
            </w:tcBorders>
            <w:shd w:val="clear" w:color="auto" w:fill="auto"/>
            <w:vAlign w:val="center"/>
          </w:tcPr>
          <w:p>
            <w:pPr>
              <w:spacing w:line="240" w:lineRule="auto"/>
              <w:rPr>
                <w:rFonts w:hint="eastAsia" w:asciiTheme="minorEastAsia" w:hAnsiTheme="minorEastAsia" w:eastAsiaTheme="minorEastAsia" w:cstheme="minorEastAsia"/>
                <w:b/>
                <w:bCs/>
                <w:sz w:val="24"/>
                <w:szCs w:val="24"/>
                <w:lang w:eastAsia="zh-CN"/>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color w:val="000000" w:themeColor="text1"/>
                <w:sz w:val="24"/>
                <w:szCs w:val="24"/>
                <w:highlight w:val="none"/>
                <w14:textFill>
                  <w14:solidFill>
                    <w14:schemeClr w14:val="tx1"/>
                  </w14:solidFill>
                </w14:textFill>
              </w:rPr>
            </w:pPr>
            <w:r>
              <w:rPr>
                <w:rFonts w:hint="eastAsia" w:ascii="宋体" w:hAnsi="宋体" w:eastAsia="宋体"/>
                <w:sz w:val="24"/>
                <w:szCs w:val="24"/>
              </w:rPr>
              <w:t>提供公安网边界接入通道测评服务，1条通道得0.5分，最高得</w:t>
            </w:r>
            <w:r>
              <w:rPr>
                <w:rFonts w:hint="eastAsia" w:ascii="宋体" w:hAnsi="宋体"/>
                <w:sz w:val="24"/>
                <w:szCs w:val="24"/>
                <w:lang w:val="en-US" w:eastAsia="zh-CN"/>
              </w:rPr>
              <w:t>2</w:t>
            </w:r>
            <w:r>
              <w:rPr>
                <w:rFonts w:hint="eastAsia" w:ascii="宋体" w:hAnsi="宋体" w:eastAsia="宋体"/>
                <w:sz w:val="24"/>
                <w:szCs w:val="24"/>
              </w:rPr>
              <w:t>分。</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2</w:t>
            </w:r>
          </w:p>
        </w:tc>
      </w:tr>
      <w:tr>
        <w:tblPrEx>
          <w:tblLayout w:type="fixed"/>
          <w:tblCellMar>
            <w:top w:w="0" w:type="dxa"/>
            <w:left w:w="108" w:type="dxa"/>
            <w:bottom w:w="0" w:type="dxa"/>
            <w:right w:w="108" w:type="dxa"/>
          </w:tblCellMar>
        </w:tblPrEx>
        <w:trPr>
          <w:trHeight w:val="113" w:hRule="atLeast"/>
        </w:trPr>
        <w:tc>
          <w:tcPr>
            <w:tcW w:w="1127" w:type="dxa"/>
            <w:vMerge w:val="continue"/>
            <w:tcBorders>
              <w:left w:val="single" w:color="auto" w:sz="4" w:space="0"/>
              <w:right w:val="single" w:color="auto" w:sz="4" w:space="0"/>
            </w:tcBorders>
            <w:shd w:val="clear" w:color="auto" w:fill="auto"/>
            <w:vAlign w:val="center"/>
          </w:tcPr>
          <w:p>
            <w:pPr>
              <w:spacing w:line="240" w:lineRule="auto"/>
              <w:rPr>
                <w:rFonts w:hint="eastAsia" w:asciiTheme="minorEastAsia" w:hAnsiTheme="minorEastAsia" w:eastAsiaTheme="minorEastAsia" w:cstheme="minorEastAsia"/>
                <w:b/>
                <w:bCs/>
                <w:sz w:val="24"/>
                <w:szCs w:val="24"/>
                <w:lang w:eastAsia="zh-CN"/>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color w:val="000000" w:themeColor="text1"/>
                <w:sz w:val="24"/>
                <w:szCs w:val="24"/>
                <w:highlight w:val="none"/>
                <w14:textFill>
                  <w14:solidFill>
                    <w14:schemeClr w14:val="tx1"/>
                  </w14:solidFill>
                </w14:textFill>
              </w:rPr>
            </w:pPr>
            <w:r>
              <w:rPr>
                <w:rFonts w:hint="eastAsia" w:ascii="宋体" w:hAnsi="宋体" w:eastAsia="宋体"/>
                <w:sz w:val="24"/>
                <w:szCs w:val="24"/>
              </w:rPr>
              <w:t>在质保期内承诺提供1名原厂工程师驻场服务得</w:t>
            </w:r>
            <w:r>
              <w:rPr>
                <w:rFonts w:hint="eastAsia" w:ascii="宋体" w:hAnsi="宋体"/>
                <w:sz w:val="24"/>
                <w:szCs w:val="24"/>
                <w:lang w:val="en-US" w:eastAsia="zh-CN"/>
              </w:rPr>
              <w:t>2</w:t>
            </w:r>
            <w:r>
              <w:rPr>
                <w:rFonts w:hint="eastAsia" w:ascii="宋体" w:hAnsi="宋体" w:eastAsia="宋体"/>
                <w:sz w:val="24"/>
                <w:szCs w:val="24"/>
              </w:rPr>
              <w:t>分。</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2</w:t>
            </w:r>
          </w:p>
        </w:tc>
      </w:tr>
      <w:tr>
        <w:tblPrEx>
          <w:tblLayout w:type="fixed"/>
          <w:tblCellMar>
            <w:top w:w="0" w:type="dxa"/>
            <w:left w:w="108" w:type="dxa"/>
            <w:bottom w:w="0" w:type="dxa"/>
            <w:right w:w="108" w:type="dxa"/>
          </w:tblCellMar>
        </w:tblPrEx>
        <w:trPr>
          <w:trHeight w:val="810"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宋体" w:hAnsi="宋体" w:cs="宋体"/>
                <w:color w:val="auto"/>
                <w:kern w:val="0"/>
                <w:sz w:val="24"/>
                <w:szCs w:val="24"/>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Times New Roman"/>
                <w:color w:val="auto"/>
                <w:kern w:val="2"/>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投标人自20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月以来类似项目成功案例，</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根据项目业绩的类似程度给分，每个</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1-0分，最高得4分。（</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提供合同原件扫描件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以签订时间为准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tc>
        <w:tc>
          <w:tcPr>
            <w:tcW w:w="64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Times New Roman"/>
                <w:color w:val="auto"/>
                <w:kern w:val="2"/>
                <w:sz w:val="24"/>
                <w:szCs w:val="24"/>
                <w:lang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r>
      <w:tr>
        <w:tblPrEx>
          <w:tblLayout w:type="fixed"/>
          <w:tblCellMar>
            <w:top w:w="0" w:type="dxa"/>
            <w:left w:w="108" w:type="dxa"/>
            <w:bottom w:w="0" w:type="dxa"/>
            <w:right w:w="108" w:type="dxa"/>
          </w:tblCellMar>
        </w:tblPrEx>
        <w:trPr>
          <w:trHeight w:val="90" w:hRule="atLeast"/>
        </w:trPr>
        <w:tc>
          <w:tcPr>
            <w:tcW w:w="11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both"/>
              <w:rPr>
                <w:rFonts w:ascii="宋体" w:hAnsi="宋体"/>
                <w:b/>
                <w:bCs/>
                <w:color w:val="auto"/>
                <w:sz w:val="24"/>
                <w:szCs w:val="24"/>
              </w:rPr>
            </w:pPr>
            <w:r>
              <w:rPr>
                <w:rFonts w:ascii="宋体" w:hAnsi="宋体"/>
                <w:b/>
                <w:bCs/>
                <w:color w:val="auto"/>
                <w:sz w:val="24"/>
                <w:szCs w:val="24"/>
              </w:rPr>
              <w:t>售后</w:t>
            </w:r>
          </w:p>
          <w:p>
            <w:pPr>
              <w:widowControl/>
              <w:spacing w:line="240" w:lineRule="auto"/>
              <w:ind w:firstLine="0" w:firstLineChars="0"/>
              <w:jc w:val="both"/>
              <w:rPr>
                <w:rFonts w:ascii="宋体" w:hAnsi="宋体"/>
                <w:b/>
                <w:bCs/>
                <w:color w:val="auto"/>
                <w:sz w:val="24"/>
                <w:szCs w:val="24"/>
              </w:rPr>
            </w:pPr>
            <w:r>
              <w:rPr>
                <w:rFonts w:ascii="宋体" w:hAnsi="宋体"/>
                <w:b/>
                <w:bCs/>
                <w:color w:val="auto"/>
                <w:sz w:val="24"/>
                <w:szCs w:val="24"/>
              </w:rPr>
              <w:t>服务</w:t>
            </w:r>
          </w:p>
          <w:p>
            <w:pPr>
              <w:spacing w:line="240" w:lineRule="auto"/>
              <w:rPr>
                <w:rFonts w:ascii="宋体" w:hAnsi="宋体" w:cs="宋体"/>
                <w:color w:val="auto"/>
                <w:kern w:val="0"/>
                <w:sz w:val="24"/>
                <w:szCs w:val="24"/>
              </w:rPr>
            </w:pPr>
            <w:r>
              <w:rPr>
                <w:rFonts w:hint="eastAsia" w:ascii="宋体" w:hAnsi="宋体"/>
                <w:b/>
                <w:bCs/>
                <w:color w:val="auto"/>
                <w:sz w:val="24"/>
                <w:szCs w:val="24"/>
                <w:lang w:val="en-US" w:eastAsia="zh-CN"/>
              </w:rPr>
              <w:t>6</w:t>
            </w: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eastAsia="宋体" w:cs="Times New Roman"/>
                <w:color w:val="auto"/>
                <w:kern w:val="2"/>
                <w:sz w:val="24"/>
                <w:szCs w:val="24"/>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投标人本地</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化服务</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能力</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提供</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相关证明</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材料（如投标截止日之前六个月以内的</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本地化服务技术人员的参保证明材料及</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其他服务能力的相关材料）。</w:t>
            </w:r>
            <w:r>
              <w:rPr>
                <w:rFonts w:hint="eastAsia" w:asciiTheme="minorEastAsia" w:hAnsiTheme="minorEastAsia" w:eastAsiaTheme="minorEastAsia" w:cstheme="minorEastAsia"/>
                <w:color w:val="auto"/>
                <w:sz w:val="24"/>
                <w:szCs w:val="24"/>
              </w:rPr>
              <w:t>第一档</w:t>
            </w:r>
            <w:r>
              <w:rPr>
                <w:rFonts w:hint="eastAsia" w:asciiTheme="minorEastAsia" w:hAnsiTheme="minorEastAsia" w:eastAsiaTheme="minorEastAsia" w:cstheme="minorEastAsia"/>
                <w:color w:val="auto"/>
                <w:sz w:val="24"/>
                <w:szCs w:val="24"/>
                <w:lang w:val="en-US" w:eastAsia="zh-CN"/>
              </w:rPr>
              <w:t>2-1.5</w:t>
            </w:r>
            <w:r>
              <w:rPr>
                <w:rFonts w:hint="eastAsia" w:asciiTheme="minorEastAsia" w:hAnsiTheme="minorEastAsia" w:eastAsiaTheme="minorEastAsia" w:cstheme="minorEastAsia"/>
                <w:color w:val="auto"/>
                <w:sz w:val="24"/>
                <w:szCs w:val="24"/>
              </w:rPr>
              <w:t>分，第二档</w:t>
            </w:r>
            <w:r>
              <w:rPr>
                <w:rFonts w:hint="eastAsia" w:asciiTheme="minorEastAsia" w:hAnsiTheme="minorEastAsia" w:eastAsiaTheme="minorEastAsia" w:cstheme="minorEastAsia"/>
                <w:color w:val="auto"/>
                <w:sz w:val="24"/>
                <w:szCs w:val="24"/>
                <w:lang w:val="en-US" w:eastAsia="zh-CN"/>
              </w:rPr>
              <w:t>1.5-1</w:t>
            </w:r>
            <w:r>
              <w:rPr>
                <w:rFonts w:hint="eastAsia" w:asciiTheme="minorEastAsia" w:hAnsiTheme="minorEastAsia" w:eastAsiaTheme="minorEastAsia" w:cstheme="minorEastAsia"/>
                <w:color w:val="auto"/>
                <w:sz w:val="24"/>
                <w:szCs w:val="24"/>
              </w:rPr>
              <w:t>分，第三档</w:t>
            </w:r>
            <w:r>
              <w:rPr>
                <w:rFonts w:hint="eastAsia" w:asciiTheme="minorEastAsia" w:hAnsiTheme="minorEastAsia" w:eastAsiaTheme="minorEastAsia" w:cstheme="minorEastAsia"/>
                <w:color w:val="auto"/>
                <w:sz w:val="24"/>
                <w:szCs w:val="24"/>
                <w:lang w:val="en-US" w:eastAsia="zh-CN"/>
              </w:rPr>
              <w:t>1-0.5</w:t>
            </w:r>
            <w:r>
              <w:rPr>
                <w:rFonts w:hint="eastAsia" w:asciiTheme="minorEastAsia" w:hAnsiTheme="minorEastAsia" w:eastAsiaTheme="minorEastAsia" w:cstheme="minorEastAsia"/>
                <w:color w:val="auto"/>
                <w:sz w:val="24"/>
                <w:szCs w:val="24"/>
              </w:rPr>
              <w:t>分。</w:t>
            </w:r>
          </w:p>
        </w:tc>
        <w:tc>
          <w:tcPr>
            <w:tcW w:w="64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40" w:lineRule="auto"/>
              <w:ind w:firstLine="0" w:firstLineChars="0"/>
              <w:jc w:val="center"/>
              <w:rPr>
                <w:rFonts w:hint="eastAsia" w:asciiTheme="minorEastAsia" w:hAnsiTheme="minorEastAsia" w:eastAsiaTheme="minorEastAsia" w:cstheme="minorEastAsia"/>
                <w:color w:val="auto"/>
                <w:kern w:val="0"/>
                <w:sz w:val="24"/>
                <w:szCs w:val="24"/>
                <w:lang w:val="en-US" w:eastAsia="zh-CN"/>
              </w:rPr>
            </w:pPr>
          </w:p>
          <w:p>
            <w:pPr>
              <w:spacing w:line="240" w:lineRule="auto"/>
              <w:jc w:val="center"/>
              <w:rPr>
                <w:rFonts w:hint="eastAsia" w:ascii="宋体" w:hAnsi="宋体" w:eastAsia="宋体" w:cs="Times New Roman"/>
                <w:color w:val="auto"/>
                <w:kern w:val="2"/>
                <w:sz w:val="24"/>
                <w:szCs w:val="24"/>
                <w:lang w:eastAsia="zh-CN"/>
              </w:rPr>
            </w:pPr>
            <w:r>
              <w:rPr>
                <w:rFonts w:hint="eastAsia" w:asciiTheme="minorEastAsia" w:hAnsiTheme="minorEastAsia" w:eastAsiaTheme="minorEastAsia" w:cstheme="minorEastAsia"/>
                <w:color w:val="auto"/>
                <w:kern w:val="0"/>
                <w:sz w:val="24"/>
                <w:szCs w:val="24"/>
                <w:lang w:val="en-US" w:eastAsia="zh-CN"/>
              </w:rPr>
              <w:t>2</w:t>
            </w:r>
          </w:p>
        </w:tc>
      </w:tr>
      <w:tr>
        <w:tblPrEx>
          <w:tblLayout w:type="fixed"/>
          <w:tblCellMar>
            <w:top w:w="0" w:type="dxa"/>
            <w:left w:w="108" w:type="dxa"/>
            <w:bottom w:w="0" w:type="dxa"/>
            <w:right w:w="108" w:type="dxa"/>
          </w:tblCellMar>
        </w:tblPrEx>
        <w:trPr>
          <w:trHeight w:val="532"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宋体" w:hAnsi="宋体" w:cs="宋体"/>
                <w:color w:val="auto"/>
                <w:kern w:val="0"/>
                <w:sz w:val="24"/>
                <w:szCs w:val="24"/>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宋体" w:hAnsi="宋体" w:eastAsia="宋体" w:cs="Times New Roman"/>
                <w:color w:val="auto"/>
                <w:kern w:val="2"/>
                <w:sz w:val="24"/>
                <w:szCs w:val="24"/>
              </w:rPr>
            </w:pPr>
            <w:r>
              <w:rPr>
                <w:rFonts w:hint="eastAsia" w:ascii="宋体" w:hAnsi="宋体" w:eastAsia="宋体"/>
                <w:sz w:val="24"/>
                <w:szCs w:val="24"/>
              </w:rPr>
              <w:t>包括服务人员的配备、响应时间、响应程度、解决问题的能力、紧急故障处理预案</w:t>
            </w:r>
            <w:r>
              <w:rPr>
                <w:rFonts w:hint="eastAsia" w:asciiTheme="minorEastAsia" w:hAnsiTheme="minorEastAsia" w:eastAsiaTheme="minorEastAsia" w:cstheme="minorEastAsia"/>
                <w:color w:val="000000"/>
                <w:sz w:val="24"/>
                <w:szCs w:val="24"/>
              </w:rPr>
              <w:t>(一档：</w:t>
            </w:r>
            <w:r>
              <w:rPr>
                <w:rFonts w:hint="eastAsia" w:asciiTheme="minorEastAsia" w:hAnsiTheme="minorEastAsia" w:eastAsiaTheme="minorEastAsia" w:cstheme="minorEastAsia"/>
                <w:color w:val="000000"/>
                <w:sz w:val="24"/>
                <w:szCs w:val="24"/>
                <w:lang w:val="en-US" w:eastAsia="zh-CN"/>
              </w:rPr>
              <w:t>2-1.5</w:t>
            </w:r>
            <w:r>
              <w:rPr>
                <w:rFonts w:hint="eastAsia" w:asciiTheme="minorEastAsia" w:hAnsiTheme="minorEastAsia" w:eastAsiaTheme="minorEastAsia" w:cstheme="minorEastAsia"/>
                <w:color w:val="000000"/>
                <w:sz w:val="24"/>
                <w:szCs w:val="24"/>
              </w:rPr>
              <w:t>分，二档：</w:t>
            </w:r>
            <w:r>
              <w:rPr>
                <w:rFonts w:hint="eastAsia" w:asciiTheme="minorEastAsia" w:hAnsiTheme="minorEastAsia" w:eastAsiaTheme="minorEastAsia" w:cstheme="minorEastAsia"/>
                <w:color w:val="000000"/>
                <w:sz w:val="24"/>
                <w:szCs w:val="24"/>
                <w:lang w:val="en-US" w:eastAsia="zh-CN"/>
              </w:rPr>
              <w:t>1.5-1</w:t>
            </w:r>
            <w:r>
              <w:rPr>
                <w:rFonts w:hint="eastAsia" w:asciiTheme="minorEastAsia" w:hAnsiTheme="minorEastAsia" w:eastAsiaTheme="minorEastAsia" w:cstheme="minorEastAsia"/>
                <w:color w:val="000000"/>
                <w:sz w:val="24"/>
                <w:szCs w:val="24"/>
              </w:rPr>
              <w:t>分，三档：1-0</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分)</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Times New Roman"/>
                <w:color w:val="auto"/>
                <w:kern w:val="2"/>
                <w:sz w:val="24"/>
                <w:szCs w:val="24"/>
                <w:lang w:eastAsia="zh-CN"/>
              </w:rPr>
            </w:pPr>
            <w:r>
              <w:rPr>
                <w:rFonts w:hint="eastAsia" w:ascii="宋体" w:hAnsi="宋体" w:cs="宋体"/>
                <w:color w:val="auto"/>
                <w:sz w:val="24"/>
                <w:szCs w:val="24"/>
                <w:lang w:val="en-US" w:eastAsia="zh-CN"/>
              </w:rPr>
              <w:t>2</w:t>
            </w:r>
          </w:p>
        </w:tc>
      </w:tr>
      <w:tr>
        <w:tblPrEx>
          <w:tblLayout w:type="fixed"/>
          <w:tblCellMar>
            <w:top w:w="0" w:type="dxa"/>
            <w:left w:w="108" w:type="dxa"/>
            <w:bottom w:w="0" w:type="dxa"/>
            <w:right w:w="108" w:type="dxa"/>
          </w:tblCellMar>
        </w:tblPrEx>
        <w:trPr>
          <w:trHeight w:val="652"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宋体" w:hAnsi="宋体" w:cs="宋体"/>
                <w:color w:val="auto"/>
                <w:kern w:val="0"/>
                <w:sz w:val="24"/>
                <w:szCs w:val="24"/>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宋体" w:hAnsi="宋体" w:eastAsia="宋体" w:cs="Times New Roman"/>
                <w:color w:val="auto"/>
                <w:kern w:val="2"/>
                <w:sz w:val="24"/>
                <w:szCs w:val="24"/>
              </w:rPr>
            </w:pPr>
            <w:r>
              <w:rPr>
                <w:rFonts w:hint="eastAsia" w:ascii="宋体" w:hAnsi="宋体" w:eastAsia="宋体"/>
                <w:sz w:val="24"/>
                <w:szCs w:val="24"/>
              </w:rPr>
              <w:t>备品备件、培训、技术指导等综合打分。</w:t>
            </w:r>
            <w:r>
              <w:rPr>
                <w:rFonts w:hint="eastAsia" w:asciiTheme="minorEastAsia" w:hAnsiTheme="minorEastAsia" w:eastAsiaTheme="minorEastAsia" w:cstheme="minorEastAsia"/>
                <w:color w:val="000000"/>
                <w:sz w:val="24"/>
                <w:szCs w:val="24"/>
              </w:rPr>
              <w:t>(一档：</w:t>
            </w:r>
            <w:r>
              <w:rPr>
                <w:rFonts w:hint="eastAsia" w:asciiTheme="minorEastAsia" w:hAnsiTheme="minorEastAsia" w:eastAsiaTheme="minorEastAsia" w:cstheme="minorEastAsia"/>
                <w:color w:val="000000"/>
                <w:sz w:val="24"/>
                <w:szCs w:val="24"/>
                <w:lang w:val="en-US" w:eastAsia="zh-CN"/>
              </w:rPr>
              <w:t>2-1.5</w:t>
            </w:r>
            <w:r>
              <w:rPr>
                <w:rFonts w:hint="eastAsia" w:asciiTheme="minorEastAsia" w:hAnsiTheme="minorEastAsia" w:eastAsiaTheme="minorEastAsia" w:cstheme="minorEastAsia"/>
                <w:color w:val="000000"/>
                <w:sz w:val="24"/>
                <w:szCs w:val="24"/>
              </w:rPr>
              <w:t>分，二档：</w:t>
            </w:r>
            <w:r>
              <w:rPr>
                <w:rFonts w:hint="eastAsia" w:asciiTheme="minorEastAsia" w:hAnsiTheme="minorEastAsia" w:eastAsiaTheme="minorEastAsia" w:cstheme="minorEastAsia"/>
                <w:color w:val="000000"/>
                <w:sz w:val="24"/>
                <w:szCs w:val="24"/>
                <w:lang w:val="en-US" w:eastAsia="zh-CN"/>
              </w:rPr>
              <w:t>1.5-1</w:t>
            </w:r>
            <w:r>
              <w:rPr>
                <w:rFonts w:hint="eastAsia" w:asciiTheme="minorEastAsia" w:hAnsiTheme="minorEastAsia" w:eastAsiaTheme="minorEastAsia" w:cstheme="minorEastAsia"/>
                <w:color w:val="000000"/>
                <w:sz w:val="24"/>
                <w:szCs w:val="24"/>
              </w:rPr>
              <w:t>分，三档：1-0</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分)</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Times New Roman"/>
                <w:color w:val="auto"/>
                <w:kern w:val="2"/>
                <w:sz w:val="24"/>
                <w:szCs w:val="24"/>
                <w:lang w:eastAsia="zh-CN"/>
              </w:rPr>
            </w:pPr>
            <w:r>
              <w:rPr>
                <w:rFonts w:hint="eastAsia" w:ascii="宋体" w:hAnsi="宋体"/>
                <w:sz w:val="24"/>
                <w:szCs w:val="24"/>
                <w:lang w:val="en-US" w:eastAsia="zh-CN"/>
              </w:rPr>
              <w:t>2</w:t>
            </w:r>
          </w:p>
        </w:tc>
      </w:tr>
      <w:tr>
        <w:tblPrEx>
          <w:tblLayout w:type="fixed"/>
          <w:tblCellMar>
            <w:top w:w="0" w:type="dxa"/>
            <w:left w:w="108" w:type="dxa"/>
            <w:bottom w:w="0" w:type="dxa"/>
            <w:right w:w="108" w:type="dxa"/>
          </w:tblCellMar>
        </w:tblPrEx>
        <w:trPr>
          <w:trHeight w:val="857" w:hRule="atLeast"/>
        </w:trPr>
        <w:tc>
          <w:tcPr>
            <w:tcW w:w="11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left"/>
              <w:rPr>
                <w:rFonts w:ascii="宋体" w:hAnsi="宋体" w:cs="宋体"/>
                <w:b/>
                <w:bCs/>
                <w:color w:val="auto"/>
                <w:kern w:val="0"/>
                <w:sz w:val="24"/>
                <w:szCs w:val="24"/>
              </w:rPr>
            </w:pPr>
            <w:r>
              <w:rPr>
                <w:rFonts w:hint="eastAsia" w:ascii="宋体" w:hAnsi="宋体" w:cs="宋体"/>
                <w:b/>
                <w:bCs/>
                <w:color w:val="auto"/>
                <w:kern w:val="0"/>
                <w:sz w:val="24"/>
                <w:szCs w:val="24"/>
              </w:rPr>
              <w:t>对招标文件响应程度等2分</w:t>
            </w:r>
          </w:p>
        </w:tc>
        <w:tc>
          <w:tcPr>
            <w:tcW w:w="7425" w:type="dxa"/>
            <w:gridSpan w:val="2"/>
            <w:tcBorders>
              <w:top w:val="single" w:color="auto" w:sz="4" w:space="0"/>
              <w:left w:val="single" w:color="auto" w:sz="4" w:space="0"/>
              <w:bottom w:val="single" w:color="auto" w:sz="4" w:space="0"/>
              <w:right w:val="single" w:color="auto" w:sz="4" w:space="0"/>
            </w:tcBorders>
            <w:vAlign w:val="center"/>
          </w:tcPr>
          <w:p>
            <w:pPr>
              <w:pStyle w:val="33"/>
              <w:widowControl w:val="0"/>
              <w:spacing w:line="240" w:lineRule="auto"/>
              <w:jc w:val="both"/>
              <w:rPr>
                <w:rFonts w:ascii="宋体" w:hAnsi="宋体" w:eastAsia="宋体"/>
                <w:color w:val="auto"/>
                <w:sz w:val="24"/>
                <w:szCs w:val="24"/>
              </w:rPr>
            </w:pPr>
            <w:r>
              <w:rPr>
                <w:rFonts w:hint="eastAsia" w:ascii="宋体" w:hAnsi="宋体" w:eastAsia="宋体" w:cs="宋体"/>
                <w:color w:val="auto"/>
                <w:sz w:val="24"/>
                <w:szCs w:val="24"/>
              </w:rPr>
              <w:t>根据电子投标文件的内容、结构等情况与招标文件的要求比对，酌情打分。</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jc w:val="center"/>
              <w:rPr>
                <w:rFonts w:ascii="宋体" w:hAnsi="宋体" w:cs="宋体"/>
                <w:color w:val="auto"/>
                <w:kern w:val="0"/>
                <w:sz w:val="24"/>
                <w:szCs w:val="24"/>
              </w:rPr>
            </w:pPr>
            <w:r>
              <w:rPr>
                <w:rFonts w:hint="eastAsia" w:ascii="宋体"/>
                <w:color w:val="auto"/>
                <w:sz w:val="24"/>
                <w:szCs w:val="24"/>
              </w:rPr>
              <w:t>2</w:t>
            </w:r>
          </w:p>
        </w:tc>
      </w:tr>
      <w:tr>
        <w:tblPrEx>
          <w:tblLayout w:type="fixed"/>
          <w:tblCellMar>
            <w:top w:w="0" w:type="dxa"/>
            <w:left w:w="108" w:type="dxa"/>
            <w:bottom w:w="0" w:type="dxa"/>
            <w:right w:w="108" w:type="dxa"/>
          </w:tblCellMar>
        </w:tblPrEx>
        <w:trPr>
          <w:trHeight w:val="1194" w:hRule="atLeast"/>
        </w:trPr>
        <w:tc>
          <w:tcPr>
            <w:tcW w:w="11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left"/>
              <w:rPr>
                <w:rFonts w:hint="eastAsia" w:ascii="宋体" w:hAnsi="宋体" w:cs="宋体"/>
                <w:b/>
                <w:bCs/>
                <w:color w:val="auto"/>
                <w:kern w:val="0"/>
                <w:sz w:val="24"/>
                <w:szCs w:val="24"/>
              </w:rPr>
            </w:pPr>
            <w:r>
              <w:rPr>
                <w:rFonts w:hint="eastAsia" w:ascii="宋体" w:hAnsi="宋体" w:cs="宋体"/>
                <w:b/>
                <w:bCs/>
                <w:color w:val="auto"/>
                <w:kern w:val="0"/>
                <w:sz w:val="24"/>
                <w:szCs w:val="24"/>
              </w:rPr>
              <w:t>价格</w:t>
            </w:r>
          </w:p>
          <w:p>
            <w:pPr>
              <w:widowControl/>
              <w:adjustRightInd w:val="0"/>
              <w:snapToGrid w:val="0"/>
              <w:spacing w:line="240" w:lineRule="auto"/>
              <w:jc w:val="left"/>
              <w:rPr>
                <w:rFonts w:ascii="宋体" w:hAnsi="宋体" w:cs="宋体"/>
                <w:b/>
                <w:bCs/>
                <w:color w:val="auto"/>
                <w:kern w:val="0"/>
                <w:sz w:val="24"/>
                <w:szCs w:val="24"/>
              </w:rPr>
            </w:pPr>
            <w:r>
              <w:rPr>
                <w:rFonts w:hint="eastAsia" w:ascii="宋体" w:hAnsi="宋体" w:cs="宋体"/>
                <w:b/>
                <w:bCs/>
                <w:color w:val="auto"/>
                <w:kern w:val="0"/>
                <w:sz w:val="24"/>
                <w:szCs w:val="24"/>
                <w:lang w:val="en-US" w:eastAsia="zh-CN"/>
              </w:rPr>
              <w:t>30</w:t>
            </w:r>
            <w:r>
              <w:rPr>
                <w:rFonts w:hint="eastAsia" w:ascii="宋体" w:hAnsi="宋体" w:cs="宋体"/>
                <w:b/>
                <w:bCs/>
                <w:color w:val="auto"/>
                <w:kern w:val="0"/>
                <w:sz w:val="24"/>
                <w:szCs w:val="24"/>
              </w:rPr>
              <w:t>分</w:t>
            </w:r>
          </w:p>
        </w:tc>
        <w:tc>
          <w:tcPr>
            <w:tcW w:w="74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rPr>
                <w:rFonts w:hint="eastAsia" w:ascii="宋体" w:hAnsi="宋体" w:eastAsia="宋体" w:cs="宋体"/>
                <w:color w:val="auto"/>
                <w:kern w:val="0"/>
                <w:sz w:val="24"/>
                <w:szCs w:val="24"/>
                <w:lang w:eastAsia="zh-CN"/>
              </w:rPr>
            </w:pPr>
            <w:r>
              <w:rPr>
                <w:rFonts w:hint="eastAsia" w:ascii="宋体" w:hAnsi="宋体" w:cs="宋体"/>
                <w:color w:val="auto"/>
                <w:sz w:val="24"/>
                <w:szCs w:val="24"/>
              </w:rPr>
              <w:t>以投标合格供应商有效投标总报价中的最低价为基准价，基准价为</w:t>
            </w:r>
            <w:r>
              <w:rPr>
                <w:rFonts w:hint="eastAsia" w:ascii="宋体" w:hAnsi="宋体" w:cs="宋体"/>
                <w:color w:val="auto"/>
                <w:sz w:val="24"/>
                <w:szCs w:val="24"/>
                <w:lang w:val="en-US" w:eastAsia="zh-CN"/>
              </w:rPr>
              <w:t>30</w:t>
            </w:r>
            <w:r>
              <w:rPr>
                <w:rFonts w:hint="eastAsia" w:ascii="宋体" w:hAnsi="宋体" w:cs="宋体"/>
                <w:color w:val="auto"/>
                <w:sz w:val="24"/>
                <w:szCs w:val="24"/>
              </w:rPr>
              <w:t>分。投标报价得分＝（评标基准价/最终投标报价）</w:t>
            </w:r>
            <w:r>
              <w:rPr>
                <w:rFonts w:hint="eastAsia" w:ascii="宋体" w:hAnsi="宋体" w:cs="宋体"/>
                <w:bCs/>
                <w:color w:val="auto"/>
                <w:sz w:val="24"/>
                <w:szCs w:val="24"/>
              </w:rPr>
              <w:t>×</w:t>
            </w:r>
            <w:r>
              <w:rPr>
                <w:rFonts w:hint="eastAsia" w:ascii="宋体" w:hAnsi="宋体" w:cs="宋体"/>
                <w:color w:val="auto"/>
                <w:kern w:val="0"/>
                <w:sz w:val="24"/>
                <w:szCs w:val="24"/>
                <w:lang w:val="en-US" w:eastAsia="zh-CN"/>
              </w:rPr>
              <w:t>30</w:t>
            </w:r>
            <w:r>
              <w:rPr>
                <w:rFonts w:hint="eastAsia" w:ascii="宋体" w:hAnsi="宋体" w:cs="宋体"/>
                <w:color w:val="auto"/>
                <w:kern w:val="0"/>
                <w:sz w:val="24"/>
                <w:szCs w:val="24"/>
              </w:rPr>
              <w:t>%</w:t>
            </w:r>
            <w:r>
              <w:rPr>
                <w:rFonts w:hint="eastAsia" w:ascii="宋体" w:hAnsi="宋体" w:cs="宋体"/>
                <w:bCs/>
                <w:color w:val="auto"/>
                <w:sz w:val="24"/>
                <w:szCs w:val="24"/>
              </w:rPr>
              <w:t>×</w:t>
            </w:r>
            <w:r>
              <w:rPr>
                <w:rFonts w:hint="eastAsia" w:ascii="宋体" w:hAnsi="宋体" w:cs="宋体"/>
                <w:color w:val="auto"/>
                <w:kern w:val="0"/>
                <w:sz w:val="24"/>
                <w:szCs w:val="24"/>
              </w:rPr>
              <w:t>100</w:t>
            </w:r>
            <w:r>
              <w:rPr>
                <w:rFonts w:hint="eastAsia" w:asciiTheme="minorEastAsia" w:hAnsiTheme="minorEastAsia" w:eastAsiaTheme="minorEastAsia" w:cstheme="minorEastAsia"/>
                <w:color w:val="auto"/>
                <w:sz w:val="24"/>
                <w:szCs w:val="24"/>
              </w:rPr>
              <w:t>（小数点后保留2位小数）。</w:t>
            </w:r>
            <w:r>
              <w:rPr>
                <w:rFonts w:hint="eastAsia" w:asciiTheme="minorEastAsia" w:hAnsiTheme="minorEastAsia" w:eastAsiaTheme="minorEastAsia"/>
                <w:color w:val="auto"/>
                <w:sz w:val="24"/>
                <w:szCs w:val="24"/>
              </w:rPr>
              <w:t>注：对于</w:t>
            </w:r>
            <w:r>
              <w:rPr>
                <w:rFonts w:asciiTheme="minorEastAsia" w:hAnsiTheme="minorEastAsia" w:eastAsiaTheme="minorEastAsia"/>
                <w:color w:val="auto"/>
                <w:sz w:val="24"/>
                <w:szCs w:val="24"/>
              </w:rPr>
              <w:t>小型和微型企业</w:t>
            </w:r>
            <w:r>
              <w:rPr>
                <w:rFonts w:hint="eastAsia" w:asciiTheme="minorEastAsia" w:hAnsiTheme="minorEastAsia" w:eastAsiaTheme="minorEastAsia"/>
                <w:color w:val="auto"/>
                <w:sz w:val="24"/>
                <w:szCs w:val="24"/>
              </w:rPr>
              <w:t>产品</w:t>
            </w:r>
            <w:r>
              <w:rPr>
                <w:rFonts w:asciiTheme="minorEastAsia" w:hAnsiTheme="minorEastAsia" w:eastAsiaTheme="minorEastAsia"/>
                <w:color w:val="auto"/>
                <w:sz w:val="24"/>
                <w:szCs w:val="24"/>
              </w:rPr>
              <w:t>的</w:t>
            </w:r>
            <w:r>
              <w:rPr>
                <w:rFonts w:hint="eastAsia" w:asciiTheme="minorEastAsia" w:hAnsiTheme="minorEastAsia" w:eastAsiaTheme="minorEastAsia"/>
                <w:color w:val="auto"/>
                <w:sz w:val="24"/>
                <w:szCs w:val="24"/>
              </w:rPr>
              <w:t>价格</w:t>
            </w:r>
            <w:r>
              <w:rPr>
                <w:rFonts w:asciiTheme="minorEastAsia" w:hAnsiTheme="minorEastAsia" w:eastAsiaTheme="minorEastAsia"/>
                <w:color w:val="auto"/>
                <w:sz w:val="24"/>
                <w:szCs w:val="24"/>
              </w:rPr>
              <w:t>给予6%的扣除，用扣除后的价</w:t>
            </w:r>
            <w:r>
              <w:rPr>
                <w:rFonts w:hint="eastAsia" w:asciiTheme="minorEastAsia" w:hAnsiTheme="minorEastAsia" w:eastAsiaTheme="minorEastAsia"/>
                <w:color w:val="auto"/>
                <w:sz w:val="24"/>
                <w:szCs w:val="24"/>
              </w:rPr>
              <w:t>格</w:t>
            </w:r>
            <w:r>
              <w:rPr>
                <w:rFonts w:asciiTheme="minorEastAsia" w:hAnsiTheme="minorEastAsia" w:eastAsiaTheme="minorEastAsia"/>
                <w:color w:val="auto"/>
                <w:sz w:val="24"/>
                <w:szCs w:val="24"/>
              </w:rPr>
              <w:t>参与评审</w:t>
            </w:r>
            <w:r>
              <w:rPr>
                <w:rFonts w:hint="eastAsia" w:asciiTheme="minorEastAsia" w:hAnsiTheme="minorEastAsia" w:eastAsiaTheme="minorEastAsia"/>
                <w:color w:val="auto"/>
                <w:sz w:val="24"/>
                <w:szCs w:val="24"/>
              </w:rPr>
              <w:t>。</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30</w:t>
            </w:r>
          </w:p>
        </w:tc>
      </w:tr>
    </w:tbl>
    <w:p>
      <w:pPr>
        <w:autoSpaceDE w:val="0"/>
        <w:autoSpaceDN w:val="0"/>
        <w:adjustRightInd w:val="0"/>
        <w:spacing w:line="360" w:lineRule="auto"/>
        <w:jc w:val="left"/>
        <w:rPr>
          <w:rFonts w:hint="eastAsia" w:ascii="宋体" w:hAnsi="宋体" w:cs="宋体"/>
          <w:b/>
          <w:color w:val="auto"/>
          <w:sz w:val="24"/>
          <w:lang w:eastAsia="zh-CN"/>
        </w:rPr>
      </w:pPr>
      <w:r>
        <w:rPr>
          <w:rFonts w:hint="eastAsia" w:ascii="宋体" w:hAnsi="宋体" w:cs="宋体"/>
          <w:b/>
          <w:color w:val="auto"/>
          <w:sz w:val="24"/>
        </w:rPr>
        <w:t>注：</w:t>
      </w:r>
      <w:r>
        <w:rPr>
          <w:rFonts w:hint="eastAsia" w:ascii="宋体" w:hAnsi="宋体" w:cs="宋体"/>
          <w:b/>
          <w:color w:val="auto"/>
          <w:sz w:val="24"/>
          <w:lang w:val="en-US" w:eastAsia="zh-CN"/>
        </w:rPr>
        <w:t>1、</w:t>
      </w:r>
      <w:r>
        <w:rPr>
          <w:rFonts w:hint="eastAsia" w:ascii="宋体" w:hAnsi="宋体" w:cs="宋体"/>
          <w:b/>
          <w:color w:val="auto"/>
          <w:sz w:val="24"/>
        </w:rPr>
        <w:t>合同、证书、报告</w:t>
      </w:r>
      <w:r>
        <w:rPr>
          <w:rFonts w:hint="eastAsia" w:ascii="宋体" w:hAnsi="宋体" w:cs="宋体"/>
          <w:b/>
          <w:color w:val="auto"/>
          <w:sz w:val="24"/>
          <w:lang w:val="en-US" w:eastAsia="zh-CN"/>
        </w:rPr>
        <w:t>及其他相关证明材料，</w:t>
      </w:r>
      <w:r>
        <w:rPr>
          <w:rFonts w:hint="eastAsia" w:ascii="宋体" w:hAnsi="宋体" w:cs="宋体"/>
          <w:b/>
          <w:color w:val="auto"/>
          <w:sz w:val="24"/>
          <w:lang w:eastAsia="zh-CN"/>
        </w:rPr>
        <w:t>将原件扫描上传至电子投标文件</w:t>
      </w:r>
      <w:r>
        <w:rPr>
          <w:rFonts w:hint="eastAsia" w:ascii="宋体" w:hAnsi="宋体" w:cs="宋体"/>
          <w:b/>
          <w:color w:val="auto"/>
          <w:sz w:val="24"/>
        </w:rPr>
        <w:t>，</w:t>
      </w:r>
      <w:r>
        <w:rPr>
          <w:rFonts w:hint="eastAsia" w:ascii="宋体" w:hAnsi="宋体" w:cs="宋体"/>
          <w:b/>
          <w:color w:val="auto"/>
          <w:sz w:val="24"/>
          <w:lang w:eastAsia="zh-CN"/>
        </w:rPr>
        <w:t>并加盖电子印章。</w:t>
      </w:r>
    </w:p>
    <w:p>
      <w:pPr>
        <w:autoSpaceDE w:val="0"/>
        <w:autoSpaceDN w:val="0"/>
        <w:adjustRightInd w:val="0"/>
        <w:spacing w:line="360" w:lineRule="auto"/>
        <w:jc w:val="left"/>
        <w:rPr>
          <w:rFonts w:hint="eastAsia"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eastAsia="zh-CN"/>
        </w:rPr>
        <w:t>、</w:t>
      </w:r>
      <w:r>
        <w:rPr>
          <w:rFonts w:hint="eastAsia" w:ascii="宋体" w:hAnsi="宋体" w:cs="宋体"/>
          <w:b/>
          <w:color w:val="auto"/>
          <w:sz w:val="24"/>
        </w:rPr>
        <w:t>得分为第一档的指的是各细项指标全部满足甚至优于采购需求的；第二档指的是与采购人目标需求相比，稍有瑕疵的；第三、四</w:t>
      </w:r>
      <w:r>
        <w:rPr>
          <w:rFonts w:hint="eastAsia" w:ascii="宋体" w:hAnsi="宋体" w:cs="宋体"/>
          <w:b/>
          <w:color w:val="auto"/>
          <w:sz w:val="24"/>
          <w:lang w:eastAsia="zh-CN"/>
        </w:rPr>
        <w:t>、</w:t>
      </w:r>
      <w:r>
        <w:rPr>
          <w:rFonts w:hint="eastAsia" w:ascii="宋体" w:hAnsi="宋体" w:cs="宋体"/>
          <w:b/>
          <w:color w:val="auto"/>
          <w:sz w:val="24"/>
          <w:lang w:val="en-US" w:eastAsia="zh-CN"/>
        </w:rPr>
        <w:t>五</w:t>
      </w:r>
      <w:r>
        <w:rPr>
          <w:rFonts w:hint="eastAsia" w:ascii="宋体" w:hAnsi="宋体" w:cs="宋体"/>
          <w:b/>
          <w:color w:val="auto"/>
          <w:sz w:val="24"/>
        </w:rPr>
        <w:t>档依次类推。</w:t>
      </w:r>
    </w:p>
    <w:p>
      <w:pPr>
        <w:pStyle w:val="29"/>
        <w:rPr>
          <w:rFonts w:asciiTheme="minorEastAsia" w:hAnsiTheme="minorEastAsia" w:eastAsiaTheme="minorEastAsia"/>
          <w:color w:val="auto"/>
          <w:sz w:val="24"/>
          <w:szCs w:val="24"/>
        </w:rPr>
      </w:pPr>
    </w:p>
    <w:p>
      <w:pPr>
        <w:spacing w:line="360" w:lineRule="auto"/>
        <w:rPr>
          <w:rFonts w:ascii="宋体" w:hAnsi="宋体" w:eastAsia="宋体"/>
        </w:rPr>
      </w:pPr>
    </w:p>
    <w:p>
      <w:pPr>
        <w:rPr>
          <w:rFonts w:hint="eastAsia"/>
        </w:rPr>
      </w:pPr>
    </w:p>
    <w:p>
      <w:pPr>
        <w:pStyle w:val="10"/>
      </w:pPr>
    </w:p>
    <w:p>
      <w:pPr>
        <w:pStyle w:val="29"/>
        <w:rPr>
          <w:rFonts w:asciiTheme="minorEastAsia" w:hAnsiTheme="minorEastAsia" w:eastAsiaTheme="minorEastAsia"/>
          <w:color w:val="auto"/>
          <w:sz w:val="24"/>
          <w:szCs w:val="24"/>
        </w:rPr>
      </w:pPr>
    </w:p>
    <w:p>
      <w:pP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br w:type="page"/>
      </w: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公开招标需求</w:t>
      </w:r>
    </w:p>
    <w:p>
      <w:pPr>
        <w:pStyle w:val="2"/>
      </w:pPr>
    </w:p>
    <w:p>
      <w:pPr>
        <w:tabs>
          <w:tab w:val="left" w:pos="8280"/>
        </w:tabs>
        <w:autoSpaceDE w:val="0"/>
        <w:autoSpaceDN w:val="0"/>
        <w:adjustRightInd w:val="0"/>
        <w:spacing w:line="360" w:lineRule="auto"/>
        <w:ind w:right="25"/>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一、招标项目一览表</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本次招标共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1</w:t>
      </w:r>
      <w:r>
        <w:rPr>
          <w:rFonts w:hint="eastAsia" w:asciiTheme="minorEastAsia" w:hAnsiTheme="minorEastAsia" w:eastAsiaTheme="minorEastAsia"/>
          <w:color w:val="auto"/>
          <w:sz w:val="24"/>
          <w:szCs w:val="24"/>
        </w:rPr>
        <w:t>个标段，具体内容如下表：</w:t>
      </w:r>
    </w:p>
    <w:tbl>
      <w:tblPr>
        <w:tblStyle w:val="23"/>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215"/>
        <w:gridCol w:w="1125"/>
        <w:gridCol w:w="750"/>
        <w:gridCol w:w="780"/>
        <w:gridCol w:w="1275"/>
        <w:gridCol w:w="142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93"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标段号</w:t>
            </w:r>
          </w:p>
        </w:tc>
        <w:tc>
          <w:tcPr>
            <w:tcW w:w="1215" w:type="dxa"/>
            <w:vAlign w:val="center"/>
          </w:tcPr>
          <w:p>
            <w:pPr>
              <w:tabs>
                <w:tab w:val="left" w:pos="8280"/>
              </w:tabs>
              <w:autoSpaceDE w:val="0"/>
              <w:autoSpaceDN w:val="0"/>
              <w:adjustRightInd w:val="0"/>
              <w:ind w:right="25" w:rightChars="0" w:firstLine="120" w:firstLineChars="50"/>
              <w:jc w:val="center"/>
              <w:rPr>
                <w:rFonts w:ascii="宋体"/>
                <w:b/>
                <w:color w:val="auto"/>
                <w:sz w:val="24"/>
              </w:rPr>
            </w:pPr>
            <w:r>
              <w:rPr>
                <w:rFonts w:hint="eastAsia" w:ascii="宋体" w:hAnsi="宋体"/>
                <w:b/>
                <w:color w:val="auto"/>
                <w:sz w:val="24"/>
              </w:rPr>
              <w:t>项目名称</w:t>
            </w:r>
          </w:p>
        </w:tc>
        <w:tc>
          <w:tcPr>
            <w:tcW w:w="1125"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cs="宋体"/>
                <w:b/>
                <w:color w:val="auto"/>
                <w:kern w:val="0"/>
                <w:sz w:val="24"/>
              </w:rPr>
              <w:t>简要技术要求</w:t>
            </w:r>
          </w:p>
        </w:tc>
        <w:tc>
          <w:tcPr>
            <w:tcW w:w="750"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数量</w:t>
            </w:r>
          </w:p>
        </w:tc>
        <w:tc>
          <w:tcPr>
            <w:tcW w:w="780"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单位</w:t>
            </w:r>
          </w:p>
        </w:tc>
        <w:tc>
          <w:tcPr>
            <w:tcW w:w="1275" w:type="dxa"/>
            <w:vAlign w:val="center"/>
          </w:tcPr>
          <w:p>
            <w:pPr>
              <w:tabs>
                <w:tab w:val="left" w:pos="8280"/>
              </w:tabs>
              <w:autoSpaceDE w:val="0"/>
              <w:autoSpaceDN w:val="0"/>
              <w:adjustRightInd w:val="0"/>
              <w:ind w:right="25" w:rightChars="0"/>
              <w:jc w:val="center"/>
              <w:rPr>
                <w:rFonts w:hint="eastAsia" w:ascii="宋体" w:hAnsi="宋体"/>
                <w:b/>
                <w:color w:val="auto"/>
                <w:sz w:val="24"/>
              </w:rPr>
            </w:pPr>
            <w:r>
              <w:rPr>
                <w:rFonts w:hint="eastAsia" w:ascii="宋体" w:hAnsi="宋体"/>
                <w:b/>
                <w:color w:val="auto"/>
                <w:sz w:val="24"/>
              </w:rPr>
              <w:t>预算</w:t>
            </w:r>
          </w:p>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（万元）</w:t>
            </w:r>
          </w:p>
        </w:tc>
        <w:tc>
          <w:tcPr>
            <w:tcW w:w="1426" w:type="dxa"/>
            <w:vAlign w:val="center"/>
          </w:tcPr>
          <w:p>
            <w:pPr>
              <w:tabs>
                <w:tab w:val="left" w:pos="8280"/>
              </w:tabs>
              <w:autoSpaceDE w:val="0"/>
              <w:autoSpaceDN w:val="0"/>
              <w:adjustRightInd w:val="0"/>
              <w:ind w:right="25" w:rightChars="0"/>
              <w:jc w:val="both"/>
              <w:rPr>
                <w:rFonts w:ascii="宋体"/>
                <w:b/>
                <w:color w:val="auto"/>
                <w:sz w:val="24"/>
              </w:rPr>
            </w:pPr>
            <w:r>
              <w:rPr>
                <w:rFonts w:hint="eastAsia" w:ascii="宋体" w:hAnsi="宋体"/>
                <w:b/>
                <w:color w:val="auto"/>
                <w:sz w:val="24"/>
                <w:lang w:eastAsia="zh-CN"/>
              </w:rPr>
              <w:t>最高限价</w:t>
            </w:r>
            <w:r>
              <w:rPr>
                <w:rFonts w:hint="eastAsia" w:ascii="宋体" w:hAnsi="宋体"/>
                <w:b/>
                <w:color w:val="auto"/>
                <w:sz w:val="24"/>
              </w:rPr>
              <w:t>（万元）</w:t>
            </w:r>
          </w:p>
        </w:tc>
        <w:tc>
          <w:tcPr>
            <w:tcW w:w="1594" w:type="dxa"/>
            <w:vAlign w:val="center"/>
          </w:tcPr>
          <w:p>
            <w:pPr>
              <w:tabs>
                <w:tab w:val="left" w:pos="8280"/>
              </w:tabs>
              <w:autoSpaceDE w:val="0"/>
              <w:autoSpaceDN w:val="0"/>
              <w:adjustRightInd w:val="0"/>
              <w:ind w:right="25" w:rightChars="0" w:firstLine="240" w:firstLineChars="0"/>
              <w:jc w:val="center"/>
              <w:rPr>
                <w:rFonts w:hint="eastAsia" w:ascii="宋体" w:hAnsi="宋体"/>
                <w:b/>
                <w:color w:val="auto"/>
                <w:sz w:val="24"/>
              </w:rPr>
            </w:pPr>
            <w:r>
              <w:rPr>
                <w:rFonts w:hint="eastAsia" w:ascii="宋体" w:hAnsi="宋体"/>
                <w:b/>
                <w:color w:val="auto"/>
                <w:sz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jc w:val="center"/>
        </w:trPr>
        <w:tc>
          <w:tcPr>
            <w:tcW w:w="593" w:type="dxa"/>
            <w:vAlign w:val="center"/>
          </w:tcPr>
          <w:p>
            <w:pPr>
              <w:tabs>
                <w:tab w:val="left" w:pos="8280"/>
              </w:tabs>
              <w:autoSpaceDE w:val="0"/>
              <w:autoSpaceDN w:val="0"/>
              <w:adjustRightInd w:val="0"/>
              <w:ind w:right="25" w:rightChars="0" w:firstLine="240" w:firstLineChars="0"/>
              <w:jc w:val="center"/>
              <w:rPr>
                <w:rFonts w:hint="eastAsia" w:ascii="宋体" w:hAnsi="宋体" w:eastAsia="宋体"/>
                <w:color w:val="auto"/>
                <w:sz w:val="24"/>
                <w:lang w:val="en-US" w:eastAsia="zh-CN"/>
              </w:rPr>
            </w:pPr>
            <w:r>
              <w:rPr>
                <w:rFonts w:hint="eastAsia" w:ascii="宋体" w:hAnsi="宋体"/>
                <w:color w:val="auto"/>
                <w:sz w:val="24"/>
                <w:lang w:val="en-US" w:eastAsia="zh-CN"/>
              </w:rPr>
              <w:t>1</w:t>
            </w:r>
          </w:p>
        </w:tc>
        <w:tc>
          <w:tcPr>
            <w:tcW w:w="1215" w:type="dxa"/>
            <w:vAlign w:val="center"/>
          </w:tcPr>
          <w:p>
            <w:pPr>
              <w:tabs>
                <w:tab w:val="left" w:pos="8280"/>
              </w:tabs>
              <w:autoSpaceDE w:val="0"/>
              <w:autoSpaceDN w:val="0"/>
              <w:adjustRightInd w:val="0"/>
              <w:spacing w:line="360" w:lineRule="auto"/>
              <w:ind w:right="25" w:rightChars="0"/>
              <w:jc w:val="both"/>
              <w:rPr>
                <w:rFonts w:hint="eastAsia" w:ascii="宋体" w:hAnsi="宋体"/>
                <w:color w:val="auto"/>
                <w:sz w:val="24"/>
              </w:rPr>
            </w:pPr>
            <w:r>
              <w:rPr>
                <w:rFonts w:hint="eastAsia" w:cs="Arial" w:asciiTheme="minorEastAsia" w:hAnsiTheme="minorEastAsia" w:eastAsiaTheme="minorEastAsia"/>
                <w:color w:val="auto"/>
                <w:sz w:val="28"/>
                <w:szCs w:val="28"/>
                <w:lang w:eastAsia="zh-CN"/>
              </w:rPr>
              <w:t>数据交换通道</w:t>
            </w:r>
          </w:p>
        </w:tc>
        <w:tc>
          <w:tcPr>
            <w:tcW w:w="1125" w:type="dxa"/>
            <w:vAlign w:val="center"/>
          </w:tcPr>
          <w:p>
            <w:pPr>
              <w:widowControl/>
              <w:spacing w:line="360" w:lineRule="auto"/>
              <w:jc w:val="left"/>
              <w:rPr>
                <w:rFonts w:hint="eastAsia" w:ascii="宋体" w:hAnsi="宋体" w:eastAsia="宋体"/>
                <w:b w:val="0"/>
                <w:bCs w:val="0"/>
                <w:color w:val="000000" w:themeColor="text1"/>
                <w:sz w:val="24"/>
                <w:szCs w:val="24"/>
                <w:lang w:eastAsia="zh-CN"/>
                <w14:textFill>
                  <w14:solidFill>
                    <w14:schemeClr w14:val="tx1"/>
                  </w14:solidFill>
                </w14:textFill>
              </w:rPr>
            </w:pPr>
            <w:r>
              <w:rPr>
                <w:rFonts w:hint="eastAsia" w:ascii="宋体" w:hAnsi="宋体" w:eastAsia="宋体"/>
                <w:b w:val="0"/>
                <w:bCs w:val="0"/>
                <w:color w:val="000000" w:themeColor="text1"/>
                <w:sz w:val="24"/>
                <w:szCs w:val="24"/>
                <w:lang w:eastAsia="zh-CN"/>
                <w14:textFill>
                  <w14:solidFill>
                    <w14:schemeClr w14:val="tx1"/>
                  </w14:solidFill>
                </w14:textFill>
              </w:rPr>
              <w:t>详见技术需求</w:t>
            </w:r>
          </w:p>
          <w:p>
            <w:pPr>
              <w:tabs>
                <w:tab w:val="left" w:pos="8280"/>
              </w:tabs>
              <w:autoSpaceDE w:val="0"/>
              <w:autoSpaceDN w:val="0"/>
              <w:adjustRightInd w:val="0"/>
              <w:spacing w:line="360" w:lineRule="auto"/>
              <w:ind w:right="25" w:rightChars="0" w:firstLine="240" w:firstLineChars="0"/>
              <w:jc w:val="center"/>
              <w:rPr>
                <w:rFonts w:hint="eastAsia" w:ascii="宋体" w:hAnsi="宋体"/>
                <w:color w:val="auto"/>
                <w:sz w:val="24"/>
              </w:rPr>
            </w:pPr>
          </w:p>
        </w:tc>
        <w:tc>
          <w:tcPr>
            <w:tcW w:w="750" w:type="dxa"/>
            <w:vAlign w:val="center"/>
          </w:tcPr>
          <w:p>
            <w:pPr>
              <w:tabs>
                <w:tab w:val="left" w:pos="8280"/>
              </w:tabs>
              <w:autoSpaceDE w:val="0"/>
              <w:autoSpaceDN w:val="0"/>
              <w:adjustRightInd w:val="0"/>
              <w:spacing w:line="360" w:lineRule="auto"/>
              <w:ind w:right="25" w:rightChars="0" w:firstLine="240" w:firstLineChars="0"/>
              <w:jc w:val="center"/>
              <w:rPr>
                <w:rFonts w:hint="eastAsia" w:ascii="宋体" w:hAnsi="宋体"/>
                <w:color w:val="auto"/>
                <w:sz w:val="24"/>
              </w:rPr>
            </w:pPr>
            <w:r>
              <w:rPr>
                <w:rFonts w:hint="eastAsia" w:asciiTheme="minorEastAsia" w:hAnsiTheme="minorEastAsia" w:eastAsiaTheme="minorEastAsia" w:cstheme="minorEastAsia"/>
                <w:b w:val="0"/>
                <w:bCs w:val="0"/>
                <w:color w:val="auto"/>
                <w:sz w:val="28"/>
                <w:szCs w:val="28"/>
                <w:lang w:val="en-US" w:eastAsia="zh-CN"/>
              </w:rPr>
              <w:t>1</w:t>
            </w:r>
          </w:p>
        </w:tc>
        <w:tc>
          <w:tcPr>
            <w:tcW w:w="780" w:type="dxa"/>
            <w:vAlign w:val="center"/>
          </w:tcPr>
          <w:p>
            <w:pPr>
              <w:tabs>
                <w:tab w:val="left" w:pos="8280"/>
              </w:tabs>
              <w:autoSpaceDE w:val="0"/>
              <w:autoSpaceDN w:val="0"/>
              <w:adjustRightInd w:val="0"/>
              <w:spacing w:line="360" w:lineRule="auto"/>
              <w:ind w:right="25" w:rightChars="0" w:firstLine="240" w:firstLineChars="0"/>
              <w:jc w:val="center"/>
              <w:rPr>
                <w:rFonts w:hint="eastAsia" w:ascii="宋体" w:hAnsi="宋体"/>
                <w:color w:val="auto"/>
                <w:sz w:val="24"/>
              </w:rPr>
            </w:pPr>
            <w:r>
              <w:rPr>
                <w:rFonts w:hint="eastAsia" w:asciiTheme="minorEastAsia" w:hAnsiTheme="minorEastAsia" w:eastAsiaTheme="minorEastAsia" w:cstheme="minorEastAsia"/>
                <w:b w:val="0"/>
                <w:bCs w:val="0"/>
                <w:color w:val="auto"/>
                <w:sz w:val="28"/>
                <w:szCs w:val="28"/>
                <w:lang w:eastAsia="zh-CN"/>
              </w:rPr>
              <w:t>批</w:t>
            </w:r>
          </w:p>
        </w:tc>
        <w:tc>
          <w:tcPr>
            <w:tcW w:w="1275" w:type="dxa"/>
            <w:vAlign w:val="center"/>
          </w:tcPr>
          <w:p>
            <w:pPr>
              <w:tabs>
                <w:tab w:val="left" w:pos="8280"/>
              </w:tabs>
              <w:autoSpaceDE w:val="0"/>
              <w:autoSpaceDN w:val="0"/>
              <w:adjustRightInd w:val="0"/>
              <w:spacing w:line="360" w:lineRule="auto"/>
              <w:ind w:right="25" w:rightChars="0" w:firstLine="240" w:firstLineChars="0"/>
              <w:jc w:val="center"/>
              <w:rPr>
                <w:rFonts w:hint="eastAsia" w:ascii="宋体" w:hAnsi="宋体"/>
                <w:color w:val="auto"/>
                <w:sz w:val="24"/>
              </w:rPr>
            </w:pPr>
            <w:r>
              <w:rPr>
                <w:rFonts w:hint="eastAsia" w:asciiTheme="minorEastAsia" w:hAnsiTheme="minorEastAsia" w:eastAsiaTheme="minorEastAsia" w:cstheme="minorEastAsia"/>
                <w:b/>
                <w:color w:val="auto"/>
                <w:sz w:val="28"/>
                <w:szCs w:val="28"/>
                <w:lang w:val="en-US" w:eastAsia="zh-CN"/>
              </w:rPr>
              <w:t>238.5</w:t>
            </w:r>
          </w:p>
        </w:tc>
        <w:tc>
          <w:tcPr>
            <w:tcW w:w="1426" w:type="dxa"/>
            <w:vAlign w:val="center"/>
          </w:tcPr>
          <w:p>
            <w:pPr>
              <w:tabs>
                <w:tab w:val="left" w:pos="8280"/>
              </w:tabs>
              <w:autoSpaceDE w:val="0"/>
              <w:autoSpaceDN w:val="0"/>
              <w:adjustRightInd w:val="0"/>
              <w:ind w:right="25" w:rightChars="0" w:firstLine="240" w:firstLineChars="0"/>
              <w:jc w:val="center"/>
              <w:rPr>
                <w:rFonts w:hint="default" w:ascii="宋体" w:eastAsiaTheme="minorEastAsia"/>
                <w:color w:val="auto"/>
                <w:sz w:val="24"/>
                <w:lang w:val="en-US" w:eastAsia="zh-CN"/>
              </w:rPr>
            </w:pPr>
            <w:r>
              <w:rPr>
                <w:rFonts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sz w:val="28"/>
                <w:szCs w:val="28"/>
                <w:lang w:val="en-US" w:eastAsia="zh-CN"/>
              </w:rPr>
              <w:t>232.5</w:t>
            </w:r>
          </w:p>
        </w:tc>
        <w:tc>
          <w:tcPr>
            <w:tcW w:w="1594" w:type="dxa"/>
            <w:vAlign w:val="center"/>
          </w:tcPr>
          <w:p>
            <w:pPr>
              <w:tabs>
                <w:tab w:val="left" w:pos="8280"/>
              </w:tabs>
              <w:autoSpaceDE w:val="0"/>
              <w:autoSpaceDN w:val="0"/>
              <w:adjustRightInd w:val="0"/>
              <w:ind w:right="25" w:rightChars="0" w:firstLine="240" w:firstLineChars="0"/>
              <w:jc w:val="center"/>
              <w:rPr>
                <w:rFonts w:hint="eastAsia" w:ascii="宋体" w:hAnsi="宋体" w:eastAsia="宋体"/>
                <w:color w:val="auto"/>
                <w:sz w:val="24"/>
                <w:lang w:eastAsia="zh-CN"/>
              </w:rPr>
            </w:pPr>
            <w:r>
              <w:rPr>
                <w:rFonts w:hint="eastAsia" w:ascii="宋体" w:hAnsi="宋体"/>
                <w:color w:val="auto"/>
                <w:sz w:val="24"/>
                <w:lang w:eastAsia="zh-CN"/>
              </w:rPr>
              <w:t>质保期五年</w:t>
            </w:r>
          </w:p>
        </w:tc>
      </w:tr>
    </w:tbl>
    <w:p>
      <w:pPr>
        <w:pStyle w:val="2"/>
        <w:rPr>
          <w:rFonts w:hint="eastAsia" w:asciiTheme="minorEastAsia" w:hAnsiTheme="minorEastAsia" w:eastAsiaTheme="minorEastAsia"/>
          <w:color w:val="auto"/>
          <w:sz w:val="24"/>
          <w:szCs w:val="24"/>
        </w:rPr>
      </w:pPr>
    </w:p>
    <w:p>
      <w:pPr>
        <w:pStyle w:val="5"/>
        <w:numPr>
          <w:ilvl w:val="0"/>
          <w:numId w:val="11"/>
        </w:numPr>
        <w:tabs>
          <w:tab w:val="left" w:pos="567"/>
          <w:tab w:val="clear" w:pos="8280"/>
        </w:tabs>
      </w:pPr>
      <w:r>
        <w:rPr>
          <w:rFonts w:hint="eastAsia" w:ascii="宋体" w:hAnsi="宋体"/>
          <w:b/>
          <w:bCs w:val="0"/>
          <w:color w:val="auto"/>
          <w:sz w:val="28"/>
          <w:szCs w:val="28"/>
          <w:lang w:eastAsia="zh-CN"/>
        </w:rPr>
        <w:t>台州市公安局数据交换通道技术需求：</w:t>
      </w:r>
    </w:p>
    <w:p>
      <w:pPr>
        <w:pStyle w:val="5"/>
        <w:tabs>
          <w:tab w:val="left" w:pos="567"/>
          <w:tab w:val="clear" w:pos="8280"/>
        </w:tabs>
        <w:rPr>
          <w:b/>
          <w:bCs w:val="0"/>
          <w:sz w:val="28"/>
          <w:szCs w:val="28"/>
        </w:rPr>
      </w:pPr>
      <w:r>
        <w:rPr>
          <w:rFonts w:hint="eastAsia"/>
          <w:b/>
          <w:bCs w:val="0"/>
          <w:sz w:val="28"/>
          <w:szCs w:val="28"/>
        </w:rPr>
        <w:t>（一）项目概述：</w:t>
      </w:r>
    </w:p>
    <w:p>
      <w:pPr>
        <w:pStyle w:val="4"/>
        <w:rPr>
          <w:sz w:val="28"/>
        </w:rPr>
      </w:pPr>
      <w:r>
        <w:rPr>
          <w:rFonts w:hint="eastAsia"/>
          <w:sz w:val="28"/>
        </w:rPr>
        <w:t>1、建设目标</w:t>
      </w:r>
    </w:p>
    <w:p>
      <w:pPr>
        <w:spacing w:line="360" w:lineRule="auto"/>
        <w:ind w:firstLine="480" w:firstLineChars="200"/>
        <w:rPr>
          <w:rFonts w:ascii="宋体" w:hAnsi="宋体" w:cs="宋体"/>
          <w:sz w:val="24"/>
        </w:rPr>
      </w:pPr>
      <w:r>
        <w:rPr>
          <w:rFonts w:hint="eastAsia" w:ascii="宋体" w:hAnsi="宋体" w:cs="宋体"/>
          <w:sz w:val="24"/>
        </w:rPr>
        <w:t>公安信息化资源不但要服务于公安机关本身，还必须为整个社会提供及时有效的信息服务，与其他政法部门、政府机关、社会单位实现安全、有效的信息共享。边界接入平台作为公安信息网与外部网络进行数据交换和信息共享的专用通道，是保障公安机关采集外单位数据和对外共享数据的唯一合规的通道。随着公安大数据业务越来越多交换需求及新一代信息网建设并投入使用，台州市公安局各类业务数据交换的需求增长迅速，通过新一代公安信息网数据交换通道项目的建设，进一步提升公安信息网各类数据、视频交换的能力，保障数据交换通道的安全、稳定、高效，满足各类信息系统的数据交换及应用需求，为市局信息化建设持续保驾护航。</w:t>
      </w:r>
    </w:p>
    <w:p>
      <w:pPr>
        <w:pStyle w:val="4"/>
        <w:rPr>
          <w:sz w:val="24"/>
          <w:szCs w:val="24"/>
        </w:rPr>
      </w:pPr>
      <w:r>
        <w:rPr>
          <w:rFonts w:hint="eastAsia"/>
          <w:sz w:val="24"/>
          <w:szCs w:val="24"/>
        </w:rPr>
        <w:t>2、建设内容</w:t>
      </w:r>
    </w:p>
    <w:p>
      <w:pPr>
        <w:spacing w:line="360" w:lineRule="auto"/>
        <w:ind w:firstLine="480" w:firstLineChars="200"/>
        <w:rPr>
          <w:rFonts w:ascii="宋体" w:hAnsi="宋体" w:cs="宋体"/>
          <w:sz w:val="24"/>
          <w:szCs w:val="24"/>
        </w:rPr>
      </w:pPr>
      <w:r>
        <w:rPr>
          <w:rFonts w:hint="eastAsia" w:ascii="宋体" w:hAnsi="宋体" w:cs="宋体"/>
          <w:sz w:val="24"/>
          <w:szCs w:val="24"/>
        </w:rPr>
        <w:t>建设视频专网与公安网安全接入链路，实现公安网用户对视频专网视频资源的实时调阅。</w:t>
      </w:r>
    </w:p>
    <w:p>
      <w:pPr>
        <w:spacing w:line="360" w:lineRule="auto"/>
        <w:ind w:firstLine="480" w:firstLineChars="200"/>
        <w:rPr>
          <w:rFonts w:ascii="宋体" w:hAnsi="宋体" w:cs="宋体"/>
          <w:sz w:val="24"/>
          <w:szCs w:val="24"/>
        </w:rPr>
      </w:pPr>
      <w:r>
        <w:rPr>
          <w:rFonts w:hint="eastAsia" w:ascii="宋体" w:hAnsi="宋体" w:cs="宋体"/>
          <w:sz w:val="24"/>
          <w:szCs w:val="24"/>
        </w:rPr>
        <w:t>建设社会资源网与视频专网安全接入链路，实现位于社会资源网上的数据资源向视频专网的单向传输。</w:t>
      </w:r>
    </w:p>
    <w:p>
      <w:pPr>
        <w:spacing w:line="360" w:lineRule="auto"/>
        <w:ind w:firstLine="480" w:firstLineChars="200"/>
        <w:rPr>
          <w:rFonts w:ascii="宋体" w:hAnsi="宋体" w:cs="宋体"/>
          <w:sz w:val="24"/>
          <w:szCs w:val="24"/>
        </w:rPr>
      </w:pPr>
      <w:r>
        <w:rPr>
          <w:rFonts w:hint="eastAsia" w:ascii="宋体" w:hAnsi="宋体" w:cs="宋体"/>
          <w:sz w:val="24"/>
          <w:szCs w:val="24"/>
        </w:rPr>
        <w:t>针对台州市公安局现有边界接入平台社会企事业单位安全接入链路、公网信息采集链路和电子政务外网安全接入链路进行整改，通过采购核心设备，提升现有接入链路的数据交换能力。</w:t>
      </w:r>
    </w:p>
    <w:p>
      <w:pPr>
        <w:pStyle w:val="4"/>
        <w:rPr>
          <w:sz w:val="24"/>
          <w:szCs w:val="24"/>
        </w:rPr>
      </w:pPr>
      <w:r>
        <w:rPr>
          <w:rFonts w:hint="eastAsia"/>
          <w:sz w:val="24"/>
          <w:szCs w:val="24"/>
        </w:rPr>
        <w:t>3、建设依据</w:t>
      </w:r>
    </w:p>
    <w:p>
      <w:pPr>
        <w:spacing w:line="360" w:lineRule="auto"/>
        <w:rPr>
          <w:rFonts w:ascii="宋体" w:hAnsi="宋体" w:cs="宋体"/>
          <w:sz w:val="24"/>
          <w:szCs w:val="24"/>
        </w:rPr>
      </w:pPr>
      <w:r>
        <w:rPr>
          <w:rFonts w:hint="eastAsia" w:ascii="宋体" w:hAnsi="宋体" w:cs="宋体"/>
          <w:sz w:val="24"/>
          <w:szCs w:val="24"/>
        </w:rPr>
        <w:t>《公安信息通信网边界接入平台安全规范（试行）》（公信通【2007】191号）；</w:t>
      </w:r>
    </w:p>
    <w:p>
      <w:pPr>
        <w:spacing w:line="360" w:lineRule="auto"/>
        <w:rPr>
          <w:rFonts w:ascii="宋体" w:hAnsi="宋体" w:cs="宋体"/>
          <w:sz w:val="24"/>
          <w:szCs w:val="24"/>
        </w:rPr>
      </w:pPr>
      <w:r>
        <w:rPr>
          <w:rFonts w:hint="eastAsia" w:ascii="宋体" w:hAnsi="宋体" w:cs="宋体"/>
          <w:sz w:val="24"/>
          <w:szCs w:val="24"/>
        </w:rPr>
        <w:t>《公安信息通信网边界接入平台安全规范（试行）-视频接入部分》（公科信【2011】5号）；</w:t>
      </w:r>
    </w:p>
    <w:p>
      <w:pPr>
        <w:spacing w:line="360" w:lineRule="auto"/>
        <w:rPr>
          <w:rFonts w:ascii="宋体" w:hAnsi="宋体" w:cs="宋体"/>
          <w:sz w:val="24"/>
          <w:szCs w:val="24"/>
        </w:rPr>
      </w:pPr>
      <w:r>
        <w:rPr>
          <w:rFonts w:hint="eastAsia" w:ascii="宋体" w:hAnsi="宋体" w:cs="宋体"/>
          <w:sz w:val="24"/>
          <w:szCs w:val="24"/>
        </w:rPr>
        <w:t>《公安信息通信网边界接入平台安全规范（试行）-公网信息采集部分》（公科信【2013】130号）。</w:t>
      </w:r>
    </w:p>
    <w:p>
      <w:pPr>
        <w:pStyle w:val="2"/>
        <w:ind w:firstLine="0"/>
        <w:rPr>
          <w:sz w:val="24"/>
          <w:szCs w:val="24"/>
        </w:rPr>
      </w:pPr>
      <w:r>
        <w:rPr>
          <w:rFonts w:hint="eastAsia"/>
          <w:sz w:val="24"/>
          <w:szCs w:val="24"/>
        </w:rPr>
        <w:t>《浙江省公安信息通信网与电子政务外网单向数据安全交换技术规范（试行）》</w:t>
      </w:r>
    </w:p>
    <w:p>
      <w:pPr>
        <w:pStyle w:val="2"/>
      </w:pPr>
    </w:p>
    <w:p>
      <w:pPr>
        <w:pStyle w:val="3"/>
        <w:numPr>
          <w:ilvl w:val="0"/>
          <w:numId w:val="0"/>
        </w:num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（二）采购清单</w:t>
      </w:r>
    </w:p>
    <w:tbl>
      <w:tblPr>
        <w:tblStyle w:val="23"/>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15"/>
        <w:gridCol w:w="850"/>
        <w:gridCol w:w="99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货物名称</w:t>
            </w:r>
          </w:p>
        </w:tc>
        <w:tc>
          <w:tcPr>
            <w:tcW w:w="850" w:type="dxa"/>
            <w:shd w:val="clear" w:color="000000" w:fill="FFFFFF"/>
            <w:vAlign w:val="center"/>
          </w:tcPr>
          <w:p>
            <w:pPr>
              <w:pStyle w:val="2"/>
              <w:ind w:firstLine="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单位</w:t>
            </w:r>
          </w:p>
        </w:tc>
        <w:tc>
          <w:tcPr>
            <w:tcW w:w="993" w:type="dxa"/>
            <w:shd w:val="clear" w:color="000000" w:fill="FFFFFF"/>
            <w:vAlign w:val="center"/>
          </w:tcPr>
          <w:p>
            <w:pPr>
              <w:pStyle w:val="2"/>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515" w:type="dxa"/>
            <w:shd w:val="clear" w:color="000000" w:fill="FFFFFF"/>
            <w:vAlign w:val="center"/>
          </w:tcPr>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视频（协议）交换平台</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套</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万兆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单向导入系统</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套</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数据交换平台</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套</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请求服务系统</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套</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下一代防火墙</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台</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入侵防御设备</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台</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7</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集中监控与管理系统</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套</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8</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流量探针</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台</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6"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9</w:t>
            </w:r>
          </w:p>
        </w:tc>
        <w:tc>
          <w:tcPr>
            <w:tcW w:w="3515"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堡垒机</w:t>
            </w:r>
          </w:p>
        </w:tc>
        <w:tc>
          <w:tcPr>
            <w:tcW w:w="850" w:type="dxa"/>
            <w:shd w:val="clear" w:color="000000" w:fill="FFFFFF"/>
            <w:vAlign w:val="center"/>
          </w:tcPr>
          <w:p>
            <w:pPr>
              <w:pStyle w:val="2"/>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台</w:t>
            </w:r>
          </w:p>
        </w:tc>
        <w:tc>
          <w:tcPr>
            <w:tcW w:w="993" w:type="dxa"/>
            <w:shd w:val="clear" w:color="000000" w:fill="FFFFFF"/>
            <w:vAlign w:val="center"/>
          </w:tcPr>
          <w:p>
            <w:pPr>
              <w:pStyle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p>
        </w:tc>
        <w:tc>
          <w:tcPr>
            <w:tcW w:w="1842" w:type="dxa"/>
            <w:shd w:val="clear" w:color="000000" w:fill="FFFFFF"/>
          </w:tcPr>
          <w:p>
            <w:pPr>
              <w:pStyle w:val="2"/>
              <w:rPr>
                <w:rFonts w:hint="eastAsia" w:asciiTheme="minorEastAsia" w:hAnsiTheme="minorEastAsia" w:eastAsiaTheme="minorEastAsia" w:cstheme="minorEastAsia"/>
                <w:b/>
                <w:bCs/>
                <w:sz w:val="24"/>
                <w:szCs w:val="24"/>
              </w:rPr>
            </w:pPr>
          </w:p>
        </w:tc>
      </w:tr>
    </w:tbl>
    <w:p>
      <w:pPr>
        <w:rPr>
          <w:rFonts w:hint="eastAsia" w:asciiTheme="minorEastAsia" w:hAnsiTheme="minorEastAsia" w:eastAsiaTheme="minorEastAsia" w:cstheme="minorEastAsia"/>
          <w:sz w:val="24"/>
          <w:szCs w:val="24"/>
        </w:rPr>
      </w:pPr>
    </w:p>
    <w:p>
      <w:pPr>
        <w:pStyle w:val="3"/>
        <w:numPr>
          <w:ilvl w:val="0"/>
          <w:numId w:val="0"/>
        </w:num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（三）技术参数需求</w:t>
      </w:r>
    </w:p>
    <w:p>
      <w:pPr>
        <w:pStyle w:val="31"/>
        <w:ind w:firstLine="0" w:firstLineChars="0"/>
        <w:outlineLvl w:val="1"/>
        <w:rPr>
          <w:rFonts w:hint="eastAsia" w:asciiTheme="minorEastAsia" w:hAnsiTheme="minorEastAsia" w:eastAsiaTheme="minorEastAsia" w:cstheme="minorEastAsia"/>
          <w:b/>
          <w:sz w:val="24"/>
          <w:szCs w:val="24"/>
        </w:rPr>
      </w:pPr>
      <w:bookmarkStart w:id="31" w:name="_Toc12000695"/>
      <w:r>
        <w:rPr>
          <w:rFonts w:hint="eastAsia" w:asciiTheme="minorEastAsia" w:hAnsiTheme="minorEastAsia" w:eastAsiaTheme="minorEastAsia" w:cstheme="minorEastAsia"/>
          <w:b/>
          <w:sz w:val="24"/>
          <w:szCs w:val="24"/>
        </w:rPr>
        <w:t>1、</w:t>
      </w:r>
      <w:bookmarkEnd w:id="31"/>
      <w:r>
        <w:rPr>
          <w:rFonts w:hint="eastAsia" w:asciiTheme="minorEastAsia" w:hAnsiTheme="minorEastAsia" w:eastAsiaTheme="minorEastAsia" w:cstheme="minorEastAsia"/>
          <w:b/>
          <w:sz w:val="24"/>
          <w:szCs w:val="24"/>
        </w:rPr>
        <w:t>视频交换平台（1套）</w:t>
      </w:r>
    </w:p>
    <w:tbl>
      <w:tblPr>
        <w:tblStyle w:val="23"/>
        <w:tblW w:w="8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261" w:type="dxa"/>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指标项</w:t>
            </w:r>
          </w:p>
        </w:tc>
        <w:tc>
          <w:tcPr>
            <w:tcW w:w="6843" w:type="dxa"/>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261" w:type="dxa"/>
            <w:vAlign w:val="center"/>
          </w:tcPr>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视频交换</w:t>
            </w: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平台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（三件套）</w:t>
            </w:r>
          </w:p>
        </w:tc>
        <w:tc>
          <w:tcPr>
            <w:tcW w:w="684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一、硬件要求：标准机架式机箱，由接入认证服务器、视频隔离网闸、用户认证服务器三台硬件设备组成；</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★二、接口要求：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1、接入认证服务器：标准机架式机箱不少于6个10/100M/1000M电口（其中包含1个管理口）、2个10000M Base-FX光口插槽2个USB接口；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2、视频隔离网闸：标准机架式机箱，采用“2+1”架构，即由两个主机系统和一个隔离交换专用硬件组成，冗余电源，正面提供1个显示液晶面板；</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（1）内网接口：不少于6个10/100M/1000M电口（其中包含1个管理口）、4个1000M Base-FX光口插槽、4个10000M Base-FX光 口插槽； 2个USB接口；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（2）外网接口：不少于6个10/100M/1000M电口（其中包含1个管理口）、4个1000M Base-FX光口插槽、4个10000M Base-FX光 口插槽； 2个USB接口；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3、用户认证服务器：不少于6个10/100M/1000M电口（其中包含1个管理口）、2个10000M Base-FX光口插槽、2个USB接口；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三、性能要求：稳定性运行时间(MTBF) &gt;50000小时；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视频传输能力≥4000路D1并发（1000路D4）；</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★传输延时≤20us，数据吞吐量≥8Gbps；（提供权威部门检测报告截图）；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并发用户数≥2000个；</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单台设备接入不同视频监控系统厂商≥3个；</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支持设备集群堆叠数量≥10个。</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四、主要功能：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1、能直接支持立元、海康、大华、宇视、科达 、互信互通、华为、先进视讯、天视等多种视频协议；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2、能够直接识别各种主流的视频格式，仅允许合法的视频数据通过；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3、支持基于IP地址的视频客户端流量控制管理功能，可设置客户端访问视频的最大带宽 ；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4、要求支持多种视频格式与分辨率，包括MPEG4、H.264视频编码格式下VGA、CIF、QCIF、D1、D4、1080P等多种主流分辨率码流传输；</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5、页面支持TCPDUMP、PING 、TELNET ROUTE、 ETHTOOL、 IFCONFIG等常用后台命令查询功能，并屏蔽该命令对应的修改功能；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6、要求产品满符合《安全防范视频监控联网系统信息传输、交换、控制技术》（GB/T28181-2016）标准能够很好的实现视频系统间的互联互通；（提供标准符合性权威检测报告）；</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7、要求产品具备视频流分发功能，支持将同一路视频流分发给多个不同的客户端查看；</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★8、要求产品具备热备和负载均衡功能，要求支持多种视频格式与分辨率，包括MPEG4、H.264视频编码格式下VGA、CIF、QCIF、D1、D4、1080P等多种主流分辨率码流传输（提供政府或公安所属权威检测机构检测报告）</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9、具备详细的开机运行、管理员操作、访问阻断、系统告警等审计日志记录，并具备本机、本地内网侧半年以上审计日志硬盘存储功能(内置硬盘不小于1TB)；</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★10、要求产品能够抵御各种DOS/DDoS攻击，能够识别和防御Flood、ICMP Flood等攻击（提供具有检测资质的第三方机构出具的机构检测报告）</w:t>
            </w:r>
          </w:p>
        </w:tc>
      </w:tr>
    </w:tbl>
    <w:p>
      <w:pPr>
        <w:pStyle w:val="31"/>
        <w:ind w:firstLine="0" w:firstLineChars="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2、单向导入系统（4套）</w:t>
      </w:r>
    </w:p>
    <w:tbl>
      <w:tblPr>
        <w:tblStyle w:val="23"/>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261" w:type="dxa"/>
            <w:vAlign w:val="center"/>
          </w:tcPr>
          <w:p>
            <w:pPr>
              <w:widowControl/>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单向导入系统（</w:t>
            </w:r>
            <w:r>
              <w:rPr>
                <w:rFonts w:hint="eastAsia" w:asciiTheme="minorEastAsia" w:hAnsiTheme="minorEastAsia" w:eastAsiaTheme="minorEastAsia" w:cstheme="minorEastAsia"/>
                <w:b/>
                <w:sz w:val="24"/>
                <w:szCs w:val="24"/>
              </w:rPr>
              <w:t>三件套</w:t>
            </w:r>
            <w:r>
              <w:rPr>
                <w:rFonts w:hint="eastAsia" w:asciiTheme="minorEastAsia" w:hAnsiTheme="minorEastAsia" w:eastAsiaTheme="minorEastAsia" w:cstheme="minorEastAsia"/>
                <w:b/>
                <w:bCs/>
                <w:kern w:val="0"/>
                <w:sz w:val="24"/>
                <w:szCs w:val="24"/>
              </w:rPr>
              <w:t>）</w:t>
            </w:r>
          </w:p>
        </w:tc>
        <w:tc>
          <w:tcPr>
            <w:tcW w:w="6985" w:type="dxa"/>
            <w:vAlign w:val="center"/>
          </w:tcPr>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硬件性能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一、硬件配置</w:t>
            </w:r>
            <w:r>
              <w:rPr>
                <w:rFonts w:hint="eastAsia" w:asciiTheme="minorEastAsia" w:hAnsiTheme="minorEastAsia" w:eastAsiaTheme="minorEastAsia" w:cstheme="minorEastAsia"/>
                <w:sz w:val="24"/>
                <w:szCs w:val="24"/>
              </w:rPr>
              <w:t>：采用标准机架式机箱，导入前置机、单向隔离光闸和导入服务器三台硬件设备组成。</w:t>
            </w:r>
          </w:p>
          <w:p>
            <w:pPr>
              <w:pStyle w:val="2"/>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二、网络接口：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1、导入前置机：标配4个100/1000M Base-TX网络接口；2个SFP+（光纤口）。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2、单向隔离光闸：内外网各标配1个100/1000M Base-TX管理接口，3个100/1000M Base-TX网络接口；2个SFP+（光纤口）。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3、导入服务器：标配4个100/1000M Base-TX网络接口，2个SFP+（光纤口）。</w:t>
            </w:r>
          </w:p>
          <w:p>
            <w:pPr>
              <w:pStyle w:val="2"/>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三.性能指标：</w:t>
            </w:r>
            <w:r>
              <w:rPr>
                <w:rFonts w:hint="eastAsia" w:asciiTheme="minorEastAsia" w:hAnsiTheme="minorEastAsia" w:eastAsiaTheme="minorEastAsia" w:cstheme="minorEastAsia"/>
                <w:sz w:val="24"/>
                <w:szCs w:val="24"/>
              </w:rPr>
              <w:t xml:space="preserve"> 最大传输延时≤50ms；数据库到数据库交换最大并发数据表≥2048；数据影射最大字段数≥512；数据库到数据库交换记录数（≥400Kb/记录）≥3000条/秒；数据文件处理文件数（≥400Kb/文件）≥2000个/秒；系统吞吐量≥4Gbps；最大支持服务≥60。</w:t>
            </w:r>
          </w:p>
          <w:p>
            <w:pPr>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sz w:val="24"/>
                <w:szCs w:val="24"/>
              </w:rPr>
              <w:t>四、主要功能参数：</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1.能够事先定义任务的过滤规则，并根据过滤规则对数据进行严格的格式检查和过滤（提供界面截图）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2.根据系统管理员配置任务规则进行单向传输，对数据内容进行深层次细粒度的过滤检查，可对内容过滤，可对大字段内容检查。</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3.内建杀毒引擎查杀病毒。（提供界面截图）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4.支持多种主流数据库，包括：Oracle、MS SQL Server、MySQL等。</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5.具有灵活的文件交换冲突选项，支持重名策略：覆盖、放弃、重命名。（提供界面截图）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6.支持多种同步方式：触发器方式，全表采集方式，同表单向的数据同步，主从表单向的数据同步，删除源数据等同步方式。（提供界面截图）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7.支持不同类型数据库之间及异构数据库的数据类型转换（表名、表字段、表字段类型、表主键、表外部键不同）；支持BLOB、CLOB、LONG、TEXT、IMAGE等大字段的异构，支持不同字符集的异构。</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8.支持断点重传功能，在出现断电或传输中断等情况下，能够保证系统恢复时，交换的数据能重传或续传且不出数据丢失现象。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9.支持全文审计功能，能够追溯历史传输数据。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10.采用具有人性化的B/S管理界面，非信任端与信任端分开管理。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11.管理口与业务口分离，增加配置信息的抗干扰能力。</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12.单向导入系统能够在数据单向同步过程发生错误时进行报警。报警可以以多种形式发送，邮件、短信。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能与集中监控与管理系统无缝对接，支持将审计信息或报警信息发送到集中监控系统统一管理。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14.数据传输过程采用数据完整性校验机制，保证数据的有效性、正确性、完整性。</w:t>
            </w:r>
          </w:p>
          <w:p>
            <w:pPr>
              <w:pStyle w:val="1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支持数据库同步功能，具备国家版权局软件著作权登记证书；</w:t>
            </w:r>
          </w:p>
          <w:p>
            <w:pPr>
              <w:spacing w:line="360" w:lineRule="auto"/>
              <w:jc w:val="left"/>
              <w:rPr>
                <w:rFonts w:hint="eastAsia" w:asciiTheme="minorEastAsia" w:hAnsiTheme="minorEastAsia" w:eastAsiaTheme="minorEastAsia" w:cstheme="minorEastAsia"/>
                <w:kern w:val="0"/>
                <w:sz w:val="24"/>
                <w:szCs w:val="24"/>
              </w:rPr>
            </w:pPr>
            <w:bookmarkStart w:id="32" w:name="OLE_LINK2"/>
            <w:bookmarkStart w:id="33" w:name="OLE_LINK1"/>
            <w:r>
              <w:rPr>
                <w:rFonts w:hint="eastAsia" w:asciiTheme="minorEastAsia" w:hAnsiTheme="minorEastAsia" w:eastAsiaTheme="minorEastAsia" w:cstheme="minorEastAsia"/>
                <w:sz w:val="24"/>
                <w:szCs w:val="24"/>
              </w:rPr>
              <w:t>★</w:t>
            </w:r>
            <w:bookmarkEnd w:id="32"/>
            <w:bookmarkEnd w:id="33"/>
            <w:r>
              <w:rPr>
                <w:rFonts w:hint="eastAsia" w:asciiTheme="minorEastAsia" w:hAnsiTheme="minorEastAsia" w:eastAsiaTheme="minorEastAsia" w:cstheme="minorEastAsia"/>
                <w:sz w:val="24"/>
                <w:szCs w:val="24"/>
              </w:rPr>
              <w:t>16．内外网主机系统分别采用冗余双系统启动模式，且双系统互为备份。</w:t>
            </w:r>
            <w:r>
              <w:rPr>
                <w:rFonts w:hint="eastAsia" w:asciiTheme="minorEastAsia" w:hAnsiTheme="minorEastAsia" w:eastAsiaTheme="minorEastAsia" w:cstheme="minorEastAsia"/>
                <w:kern w:val="0"/>
                <w:sz w:val="24"/>
                <w:szCs w:val="24"/>
              </w:rPr>
              <w:t>（提供产品功能界面截图）</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★17、支持IPV6 （提供证书）</w:t>
            </w:r>
          </w:p>
        </w:tc>
      </w:tr>
    </w:tbl>
    <w:p>
      <w:pPr>
        <w:pStyle w:val="31"/>
        <w:ind w:firstLine="0" w:firstLineChars="0"/>
        <w:outlineLvl w:val="1"/>
        <w:rPr>
          <w:rFonts w:hint="eastAsia" w:asciiTheme="minorEastAsia" w:hAnsiTheme="minorEastAsia" w:eastAsiaTheme="minorEastAsia" w:cstheme="minorEastAsia"/>
          <w:b/>
          <w:sz w:val="24"/>
          <w:szCs w:val="24"/>
        </w:rPr>
      </w:pPr>
    </w:p>
    <w:p>
      <w:pPr>
        <w:pStyle w:val="31"/>
        <w:ind w:firstLine="0" w:firstLineChars="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3、数据交换平台（2套）</w:t>
      </w:r>
    </w:p>
    <w:tbl>
      <w:tblPr>
        <w:tblStyle w:val="2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09" w:type="dxa"/>
            <w:vMerge w:val="restart"/>
            <w:vAlign w:val="center"/>
          </w:tcPr>
          <w:p>
            <w:pPr>
              <w:widowControl/>
              <w:jc w:val="center"/>
              <w:rPr>
                <w:rFonts w:hint="eastAsia" w:asciiTheme="minorEastAsia" w:hAnsiTheme="minorEastAsia" w:eastAsiaTheme="minorEastAsia" w:cstheme="minorEastAsia"/>
                <w:b/>
                <w:bCs/>
                <w:kern w:val="0"/>
                <w:sz w:val="24"/>
                <w:szCs w:val="24"/>
              </w:rPr>
            </w:pPr>
          </w:p>
          <w:p>
            <w:pPr>
              <w:widowControl/>
              <w:jc w:val="center"/>
              <w:rPr>
                <w:rFonts w:hint="eastAsia" w:asciiTheme="minorEastAsia" w:hAnsiTheme="minorEastAsia" w:eastAsiaTheme="minorEastAsia" w:cstheme="minorEastAsia"/>
                <w:b/>
                <w:bCs/>
                <w:kern w:val="0"/>
                <w:sz w:val="24"/>
                <w:szCs w:val="24"/>
              </w:rPr>
            </w:pPr>
          </w:p>
          <w:p>
            <w:pPr>
              <w:widowControl/>
              <w:jc w:val="center"/>
              <w:rPr>
                <w:rFonts w:hint="eastAsia" w:asciiTheme="minorEastAsia" w:hAnsiTheme="minorEastAsia" w:eastAsiaTheme="minorEastAsia" w:cstheme="minorEastAsia"/>
                <w:b/>
                <w:bCs/>
                <w:kern w:val="0"/>
                <w:sz w:val="24"/>
                <w:szCs w:val="24"/>
              </w:rPr>
            </w:pPr>
          </w:p>
          <w:p>
            <w:pPr>
              <w:widowControl/>
              <w:jc w:val="center"/>
              <w:rPr>
                <w:rFonts w:hint="eastAsia" w:asciiTheme="minorEastAsia" w:hAnsiTheme="minorEastAsia" w:eastAsiaTheme="minorEastAsia" w:cstheme="minorEastAsia"/>
                <w:b/>
                <w:bCs/>
                <w:kern w:val="0"/>
                <w:sz w:val="24"/>
                <w:szCs w:val="24"/>
              </w:rPr>
            </w:pPr>
          </w:p>
          <w:p>
            <w:pPr>
              <w:widowControl/>
              <w:jc w:val="center"/>
              <w:rPr>
                <w:rFonts w:hint="eastAsia" w:asciiTheme="minorEastAsia" w:hAnsiTheme="minorEastAsia" w:eastAsiaTheme="minorEastAsia" w:cstheme="minorEastAsia"/>
                <w:b/>
                <w:bCs/>
                <w:kern w:val="0"/>
                <w:sz w:val="24"/>
                <w:szCs w:val="24"/>
              </w:rPr>
            </w:pPr>
          </w:p>
          <w:p>
            <w:pPr>
              <w:widowControl/>
              <w:jc w:val="center"/>
              <w:rPr>
                <w:rFonts w:hint="eastAsia" w:asciiTheme="minorEastAsia" w:hAnsiTheme="minorEastAsia" w:eastAsiaTheme="minorEastAsia" w:cstheme="minorEastAsia"/>
                <w:b/>
                <w:bCs/>
                <w:kern w:val="0"/>
                <w:sz w:val="24"/>
                <w:szCs w:val="24"/>
              </w:rPr>
            </w:pPr>
          </w:p>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数据安全交换平台</w:t>
            </w:r>
          </w:p>
          <w:p>
            <w:pPr>
              <w:widowControl/>
              <w:jc w:val="center"/>
              <w:rPr>
                <w:rFonts w:hint="eastAsia" w:asciiTheme="minorEastAsia" w:hAnsiTheme="minorEastAsia" w:eastAsiaTheme="minorEastAsia" w:cstheme="minorEastAsia"/>
                <w:b/>
                <w:bCs/>
                <w:kern w:val="0"/>
                <w:sz w:val="24"/>
                <w:szCs w:val="24"/>
              </w:rPr>
            </w:pPr>
          </w:p>
          <w:p>
            <w:pPr>
              <w:widowControl/>
              <w:jc w:val="center"/>
              <w:rPr>
                <w:rFonts w:hint="eastAsia" w:asciiTheme="minorEastAsia" w:hAnsiTheme="minorEastAsia" w:eastAsiaTheme="minorEastAsia" w:cstheme="minorEastAsia"/>
                <w:b/>
                <w:bCs/>
                <w:sz w:val="24"/>
                <w:szCs w:val="24"/>
              </w:rPr>
            </w:pPr>
          </w:p>
        </w:tc>
        <w:tc>
          <w:tcPr>
            <w:tcW w:w="992" w:type="dxa"/>
          </w:tcPr>
          <w:p>
            <w:pPr>
              <w:widowControl/>
              <w:spacing w:line="360" w:lineRule="auto"/>
              <w:jc w:val="center"/>
              <w:rPr>
                <w:rFonts w:hint="eastAsia" w:asciiTheme="minorEastAsia" w:hAnsiTheme="minorEastAsia" w:eastAsiaTheme="minorEastAsia" w:cstheme="minorEastAsia"/>
                <w:kern w:val="0"/>
                <w:sz w:val="24"/>
                <w:szCs w:val="24"/>
              </w:rPr>
            </w:pPr>
          </w:p>
          <w:p>
            <w:pPr>
              <w:widowControl/>
              <w:spacing w:line="360" w:lineRule="auto"/>
              <w:jc w:val="center"/>
              <w:rPr>
                <w:rFonts w:hint="eastAsia" w:asciiTheme="minorEastAsia" w:hAnsiTheme="minorEastAsia" w:eastAsiaTheme="minorEastAsia" w:cstheme="minorEastAsia"/>
                <w:kern w:val="0"/>
                <w:sz w:val="24"/>
                <w:szCs w:val="24"/>
              </w:rPr>
            </w:pPr>
          </w:p>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3.1</w:t>
            </w:r>
          </w:p>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信任</w:t>
            </w:r>
          </w:p>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端服</w:t>
            </w:r>
          </w:p>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务器</w:t>
            </w:r>
          </w:p>
        </w:tc>
        <w:tc>
          <w:tcPr>
            <w:tcW w:w="6521" w:type="dxa"/>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一、配件配置：</w:t>
            </w:r>
            <w:r>
              <w:rPr>
                <w:rFonts w:hint="eastAsia" w:asciiTheme="minorEastAsia" w:hAnsiTheme="minorEastAsia" w:eastAsiaTheme="minorEastAsia" w:cstheme="minorEastAsia"/>
                <w:sz w:val="24"/>
                <w:szCs w:val="24"/>
              </w:rPr>
              <w:t>标准机架式机箱，专用安全加固Linux操作系统，冗余电源，4个10M/100M/1000M自适应电口。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二、性能指标</w:t>
            </w:r>
            <w:r>
              <w:rPr>
                <w:rFonts w:hint="eastAsia" w:asciiTheme="minorEastAsia" w:hAnsiTheme="minorEastAsia" w:eastAsiaTheme="minorEastAsia" w:cstheme="minorEastAsia"/>
                <w:sz w:val="24"/>
                <w:szCs w:val="24"/>
              </w:rPr>
              <w:t>：交换能力≥700Mbps；最大支持服务数：60个；延时：＜40ms。</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三、主要功能参数</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1、采用具有自主知识产权的多核并行安全操作系统；（提供该操作系统的软件著作权）</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2、支持共享、客户端、FTP、NFS等多种模式的文件交换服务；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3、支持主流关系型数据库数据交换：Oracle、DB2、SQL Server、GreenPlum、Sybase、MYSQL、PostGredql的各种版本，及支持达梦、Gbase、神舟通用、kingbase等国产数据库，及支持Cassandra、UDB等分布式数据库；（提供产品功能界面截图）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4、支持通过解析数据库日志文件的技术原理，在不同类型的数据库之间进行数据同步。无需在数据库中创建触发器、存储过程、临时表等对象，实现低干扰的数据采集；（提供产品功能界面截图）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5、支持灵活多样的数据库数据获取方式，如：触发器、奉献、快照日志、同表双向、全表同步、升序增量等；</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6、数据库同步过程中，支持把交互数据落地为私有格式文件进行落地交换，保障数据库交互的安全性；</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FF0000"/>
                <w:sz w:val="24"/>
                <w:szCs w:val="24"/>
              </w:rPr>
              <w:t>★</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color w:val="FF0000"/>
                <w:sz w:val="24"/>
                <w:szCs w:val="24"/>
              </w:rPr>
              <w:t>支持文件至数据库同步的功能（提供权威部门检测报告）</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8、支持各种数据库之间的异构交换，如：数据库软硬件平台异构、数据库种类异构、数据库版本异构、数据库字符集异构、数据结构异构等；</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9、支持IPv4/IPv6双协议栈网络环境；</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10、支持云环境下的数据安全交换，适用于云环境内部不同VPC之间的数据安全交换及不同云环境之间的数据安全交换；</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FF0000"/>
                <w:sz w:val="24"/>
                <w:szCs w:val="24"/>
              </w:rPr>
              <w:t>★</w:t>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color w:val="FF0000"/>
                <w:sz w:val="24"/>
                <w:szCs w:val="24"/>
              </w:rPr>
              <w:t>具备多种抗恶意数据攻击能力，如：exe文件过滤、exe文件后缀伪装、图片文件夹带恶意代码、jpg文件捆绑可执行程序、恶意代码穿透等。（要求提供国家权威部门检测报告）</w:t>
            </w: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12、支持数据交换全流程审计，如：数据来源、交换开始时间、交换结束时间、数据大小、数据类型、交换方向、交换结果等。保证数据交换行为可追溯；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13、支持一键检测功能，可以对系统硬件资源、操作系统、核心进程、业务运行状态等进行分项快速检测，协助管理员快速定位故障；</w:t>
            </w:r>
          </w:p>
          <w:p>
            <w:pPr>
              <w:spacing w:line="360" w:lineRule="auto"/>
              <w:rPr>
                <w:rFonts w:hint="eastAsia" w:asciiTheme="minorEastAsia" w:hAnsiTheme="minorEastAsia" w:eastAsiaTheme="minorEastAsia" w:cstheme="minorEastAsia"/>
                <w:sz w:val="24"/>
                <w:szCs w:val="24"/>
              </w:rPr>
            </w:pPr>
            <w:bookmarkStart w:id="34" w:name="OLE_LINK3"/>
            <w:bookmarkStart w:id="35" w:name="OLE_LINK4"/>
            <w:bookmarkStart w:id="36" w:name="OLE_LINK7"/>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34"/>
            <w:bookmarkEnd w:id="35"/>
            <w:bookmarkEnd w:id="36"/>
            <w:r>
              <w:rPr>
                <w:rFonts w:hint="eastAsia" w:asciiTheme="minorEastAsia" w:hAnsiTheme="minorEastAsia" w:eastAsiaTheme="minorEastAsia" w:cstheme="minorEastAsia"/>
                <w:sz w:val="24"/>
                <w:szCs w:val="24"/>
              </w:rPr>
              <w:t>14、支持多网闸容错，当一台网闸出现故障，系统会自动选择无故障的网闸继续运行，不影响数据的正常交换；（提供产品功能截图）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支持多套系统集群部署，当多套系统都运行正常时，多套系统之间可以实现负载均衡；当某套系统故障时，业务会自动切换到其他正常系统中继续运行；系统内置负载均衡模块，不需要第三方软硬件设备即可实现多套系统间的负载均衡。</w:t>
            </w:r>
          </w:p>
          <w:p>
            <w:pPr>
              <w:spacing w:line="360" w:lineRule="auto"/>
              <w:rPr>
                <w:rFonts w:hint="eastAsia" w:asciiTheme="minorEastAsia" w:hAnsiTheme="minorEastAsia" w:eastAsiaTheme="minorEastAsia" w:cstheme="minorEastAsia"/>
                <w:sz w:val="24"/>
                <w:szCs w:val="24"/>
              </w:rPr>
            </w:pPr>
            <w:bookmarkStart w:id="37" w:name="OLE_LINK11"/>
            <w:bookmarkStart w:id="38" w:name="OLE_LINK10"/>
            <w:r>
              <w:rPr>
                <w:rFonts w:hint="eastAsia" w:asciiTheme="minorEastAsia" w:hAnsiTheme="minorEastAsia" w:eastAsiaTheme="minorEastAsia" w:cstheme="minorEastAsia"/>
                <w:color w:val="000000" w:themeColor="text1"/>
                <w:sz w:val="24"/>
                <w:szCs w:val="24"/>
                <w14:textFill>
                  <w14:solidFill>
                    <w14:schemeClr w14:val="tx1"/>
                  </w14:solidFill>
                </w14:textFill>
              </w:rPr>
              <w:t>★16、</w:t>
            </w:r>
            <w:bookmarkStart w:id="39" w:name="OLE_LINK5"/>
            <w:bookmarkStart w:id="40" w:name="OLE_LINK6"/>
            <w:r>
              <w:rPr>
                <w:rFonts w:hint="eastAsia" w:asciiTheme="minorEastAsia" w:hAnsiTheme="minorEastAsia" w:eastAsiaTheme="minorEastAsia" w:cstheme="minorEastAsia"/>
                <w:color w:val="000000"/>
                <w:sz w:val="24"/>
                <w:szCs w:val="24"/>
              </w:rPr>
              <w:t>支持服务水平分析，对文件服务器、数据库服务器的服务水平进行详细分析</w:t>
            </w:r>
            <w:bookmarkEnd w:id="39"/>
            <w:bookmarkEnd w:id="40"/>
            <w:r>
              <w:rPr>
                <w:rFonts w:hint="eastAsia" w:asciiTheme="minorEastAsia" w:hAnsiTheme="minorEastAsia" w:eastAsiaTheme="minorEastAsia" w:cstheme="minorEastAsia"/>
                <w:color w:val="000000"/>
                <w:sz w:val="24"/>
                <w:szCs w:val="24"/>
              </w:rPr>
              <w:t>。（提供产品功能界面截图）</w:t>
            </w:r>
          </w:p>
          <w:bookmarkEnd w:id="37"/>
          <w:bookmarkEnd w:id="38"/>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FF0000"/>
                <w:sz w:val="24"/>
                <w:szCs w:val="24"/>
              </w:rPr>
              <w:t>★</w:t>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color w:val="FF0000"/>
                <w:sz w:val="24"/>
                <w:szCs w:val="24"/>
              </w:rPr>
              <w:t>要求产品通过国家权威部门检测，产品不存在漏洞库中已知的中、高风险漏洞。（提供权威部门检测报告）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09" w:type="dxa"/>
            <w:vMerge w:val="continue"/>
            <w:vAlign w:val="center"/>
          </w:tcPr>
          <w:p>
            <w:pPr>
              <w:widowControl/>
              <w:jc w:val="center"/>
              <w:rPr>
                <w:rFonts w:hint="eastAsia" w:asciiTheme="minorEastAsia" w:hAnsiTheme="minorEastAsia" w:eastAsiaTheme="minorEastAsia" w:cstheme="minorEastAsia"/>
                <w:b/>
                <w:bCs/>
                <w:kern w:val="0"/>
                <w:sz w:val="24"/>
                <w:szCs w:val="24"/>
              </w:rPr>
            </w:pPr>
          </w:p>
        </w:tc>
        <w:tc>
          <w:tcPr>
            <w:tcW w:w="992"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3.2</w:t>
            </w:r>
          </w:p>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非信</w:t>
            </w:r>
          </w:p>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任端</w:t>
            </w:r>
          </w:p>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w:t>
            </w:r>
          </w:p>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器</w:t>
            </w:r>
          </w:p>
        </w:tc>
        <w:tc>
          <w:tcPr>
            <w:tcW w:w="6521" w:type="dxa"/>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一、标准机架式机箱，专用安全加固Linux操作系统，冗余电源，4个10M/100M/1000M自适应电口。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二、性能指标：交换能力≥700Mbps；最大支持服务数：60个；延时：＜40ms。</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三、主要功能：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1、采用具有自主知识产权的多核并行安全操作系统；（提供该操作系统的软件著作权）</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2、支持共享、客户端、FTP、NFS等多种模式的文件交换服务；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3、支持主流关系型数据库数据交换：Oracle、DB2、SQL Server、GreenPlum、Sybase、MYSQL、PostGredql的各种版本，及支持达梦、Gbase、神舟通用、kingbase等国产数据库，及支持Cassandra、UDB等分布式数据库；（提供产品功能界面截图）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★4、支持通过解析数据库日志文件的技术原理，在不同类型的数据库之间进行数据同步。无需在数据库中创建触发器、存储过程、临时表等对象，实现低干扰的数据采集；（提供产品功能界面截图）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5、支持灵活多样的数据库数据获取方式，如：触发器、奉献、快照日志、同表双向、全表同步、升序增量等；</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6、数据库同步过程中，支持把交互数据落地为私有格式文件进行落地交换，保障数据库交互的安全性；</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7、支持平面文件与数据库之间的互相转换；</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8、支持各种数据库之间的异构交换，如：数据库软硬件平台异构、数据库种类异构、数据库版本异构、数据库字符集异构、数据结构异构等；</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9、支持IPv4/IPv6双协议栈网络环境；</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10、支持云环境下的数据安全交换，适用于云环境内部不同VPC之间的数据安全交换及不同云环境之间的数据安全交换；</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11、★具备多种抗恶意数据攻击能力，如：exe文件过滤、防PE文件伪装、图片文件夹带恶意代码、jpg文件捆绑可执行程序、恶意代码穿透等；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12、支持数据交换全流程审计，如：数据来源、交换开始时间、交换结束时间、数据大小、数据类型、交换方向、交换结果等。保证数据交换行为可追溯；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13、支持一键检测功能，可以对系统硬件资源、操作系统、核心进程、业务运行状态等进行分项快速检测，协助管理员快速定位故障；</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14、支持多网闸容错，当一台网闸出现故障，系统会自动选择无故障的网闸继续运行，不影响数据的正常交换；</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支持多套系统集群部署，当多套系统都运行正常时，多套系统之间可以实现负载均衡；当某套系统故障时，业务会自动切换到其他正常系统中继续运行；系统内置负载均衡模块，不需要第三方软硬件设备即可实现多套系统间的负载均衡。</w:t>
            </w:r>
          </w:p>
          <w:p>
            <w:pPr>
              <w:spacing w:line="360" w:lineRule="auto"/>
              <w:rPr>
                <w:rFonts w:hint="eastAsia" w:asciiTheme="minorEastAsia" w:hAnsiTheme="minorEastAsia" w:eastAsiaTheme="minorEastAsia" w:cstheme="minorEastAsia"/>
                <w:sz w:val="24"/>
                <w:szCs w:val="24"/>
              </w:rPr>
            </w:pPr>
            <w:bookmarkStart w:id="41" w:name="OLE_LINK12"/>
            <w:bookmarkStart w:id="42" w:name="OLE_LINK13"/>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41"/>
            <w:bookmarkEnd w:id="42"/>
            <w:r>
              <w:rPr>
                <w:rFonts w:hint="eastAsia" w:asciiTheme="minorEastAsia" w:hAnsiTheme="minorEastAsia" w:eastAsiaTheme="minorEastAsia" w:cstheme="minorEastAsia"/>
                <w:color w:val="000000" w:themeColor="text1"/>
                <w:sz w:val="24"/>
                <w:szCs w:val="24"/>
                <w14:textFill>
                  <w14:solidFill>
                    <w14:schemeClr w14:val="tx1"/>
                  </w14:solidFill>
                </w14:textFill>
              </w:rPr>
              <w:t>16、</w:t>
            </w:r>
            <w:r>
              <w:rPr>
                <w:rFonts w:hint="eastAsia" w:asciiTheme="minorEastAsia" w:hAnsiTheme="minorEastAsia" w:eastAsiaTheme="minorEastAsia" w:cstheme="minorEastAsia"/>
                <w:color w:val="000000"/>
                <w:sz w:val="24"/>
                <w:szCs w:val="24"/>
              </w:rPr>
              <w:t>支持服务水平分析，对文件服务器、数据库服务器的服务水平进行详细分析。（提供产品功能界面截图）</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17、产品符合计算机信息系统安全专用产品销售许可证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vMerge w:val="continue"/>
            <w:vAlign w:val="center"/>
          </w:tcPr>
          <w:p>
            <w:pPr>
              <w:widowControl/>
              <w:jc w:val="center"/>
              <w:rPr>
                <w:rFonts w:hint="eastAsia" w:asciiTheme="minorEastAsia" w:hAnsiTheme="minorEastAsia" w:eastAsiaTheme="minorEastAsia" w:cstheme="minorEastAsia"/>
                <w:b/>
                <w:bCs/>
                <w:kern w:val="0"/>
                <w:sz w:val="24"/>
                <w:szCs w:val="24"/>
              </w:rPr>
            </w:pPr>
          </w:p>
        </w:tc>
        <w:tc>
          <w:tcPr>
            <w:tcW w:w="992" w:type="dxa"/>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3.3</w:t>
            </w:r>
          </w:p>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网</w:t>
            </w:r>
          </w:p>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闸</w:t>
            </w:r>
          </w:p>
        </w:tc>
        <w:tc>
          <w:tcPr>
            <w:tcW w:w="6521" w:type="dxa"/>
            <w:vAlign w:val="center"/>
          </w:tcPr>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一、标准机架式设备，网络接口≥6个10/100/1000M自适应电口。</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二、性能指标：系统吞吐量≥800Mbps；并发连接数≥6万；延时小于1ms。</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三、主要功能：</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1、内外网主机系统分别支持双系统引导，并可在WEB界面上直接配置启动顺序，在A系统发生故障时，可以随时切换到B系统；且支持系统(包括配置)备份；（提供产品功能界面截图证明）；</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2、支持接口冗余模式设置包括：轮询、热备、链路聚合协议；</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3、★支持文件格式特征过滤；（提供产品功能界面截图证明）；</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4、可对用户的客户端版本和进程进行检查，进行准入控制；</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5、支持文件传输长度及MD5校验，并支持校验失败自动重传；（提供产品功能界面截图证明）；</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6、支持客户端与网闸间的数字证书方式的身份认证； </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7、支持数据库SQL语句过滤功能；（提供产品功能界面截图证明）；</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8、支持HTTPS的Web方式管理，实现了远程管理信息加密传输； </w:t>
            </w:r>
          </w:p>
        </w:tc>
      </w:tr>
    </w:tbl>
    <w:p>
      <w:pPr>
        <w:pStyle w:val="10"/>
        <w:rPr>
          <w:rFonts w:hint="eastAsia" w:asciiTheme="minorEastAsia" w:hAnsiTheme="minorEastAsia" w:eastAsiaTheme="minorEastAsia" w:cstheme="minorEastAsia"/>
          <w:b/>
          <w:sz w:val="24"/>
          <w:szCs w:val="24"/>
        </w:rPr>
      </w:pPr>
    </w:p>
    <w:p>
      <w:pPr>
        <w:pStyle w:val="10"/>
        <w:numPr>
          <w:ilvl w:val="0"/>
          <w:numId w:val="12"/>
        </w:num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请求服务系统</w:t>
      </w:r>
    </w:p>
    <w:tbl>
      <w:tblPr>
        <w:tblStyle w:val="23"/>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261"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请求服务系统</w:t>
            </w:r>
          </w:p>
        </w:tc>
        <w:tc>
          <w:tcPr>
            <w:tcW w:w="698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一、硬件架构：</w:t>
            </w:r>
            <w:r>
              <w:rPr>
                <w:rFonts w:hint="eastAsia" w:asciiTheme="minorEastAsia" w:hAnsiTheme="minorEastAsia" w:eastAsiaTheme="minorEastAsia" w:cstheme="minorEastAsia"/>
                <w:sz w:val="24"/>
                <w:szCs w:val="24"/>
              </w:rPr>
              <w:t>标准机架式机箱，双服务器主机架构，服务器专用冗余电源。</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由内网数据服务器（IRS）和外网数据服务器（ERS）组成，用于实现跨网数据请求与响应；可与数据交换系统、单向导入系统有效对接，保证传输数据、内网网络环境安全。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二、网络接口</w:t>
            </w:r>
            <w:r>
              <w:rPr>
                <w:rFonts w:hint="eastAsia" w:asciiTheme="minorEastAsia" w:hAnsiTheme="minorEastAsia" w:eastAsiaTheme="minorEastAsia" w:cstheme="minorEastAsia"/>
                <w:sz w:val="24"/>
                <w:szCs w:val="24"/>
              </w:rPr>
              <w:t>：内、外主机各标配4个10M/100M/1000M自适应电口。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三、性能指标：</w:t>
            </w:r>
            <w:r>
              <w:rPr>
                <w:rFonts w:hint="eastAsia" w:asciiTheme="minorEastAsia" w:hAnsiTheme="minorEastAsia" w:eastAsiaTheme="minorEastAsia" w:cstheme="minorEastAsia"/>
                <w:sz w:val="24"/>
                <w:szCs w:val="24"/>
              </w:rPr>
              <w:t>并发会话≥500个；最大支持服务个数≥30个；最大传输延时&lt;1s；</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四、主要功能参数：</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1、主机系统采用具有自主知识产权的安全操作系统（提供该操作系统的软件著作权）</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2、★支持Soap、restful等协议的请求响应服务。支持请求转文件（XML文件）和应答转文件（XML文件）；（提供产品功能界面截图）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3、系统支持对SOAP协议的格式检查、病毒查杀及内容过滤；防止数据被窃听、被篡改。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4、支持安全可靠的Agent-2请求响应服务。同时可以进行服务发布；</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5、采用B/S架构，支持https安全加密访问，同时支持数字证书及用户名密码等安全认证机制增强产品自身安全性（提供产品功能界面截图）；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★6、支持对各个请求业务进行详细审计，包括：服务名称、请求时间、请求客户端IP、请求服务端IP、请求数、请求流量、回应流量等。（提供产品功能界面截图）</w:t>
            </w:r>
          </w:p>
        </w:tc>
      </w:tr>
    </w:tbl>
    <w:p>
      <w:pPr>
        <w:pStyle w:val="10"/>
        <w:rPr>
          <w:rFonts w:hint="eastAsia" w:asciiTheme="minorEastAsia" w:hAnsiTheme="minorEastAsia" w:eastAsiaTheme="minorEastAsia" w:cstheme="minorEastAsia"/>
          <w:b/>
          <w:sz w:val="24"/>
          <w:szCs w:val="24"/>
        </w:rPr>
      </w:pPr>
    </w:p>
    <w:p>
      <w:pPr>
        <w:pStyle w:val="10"/>
        <w:numPr>
          <w:ilvl w:val="0"/>
          <w:numId w:val="12"/>
        </w:num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下一代防火墙（2台）</w:t>
      </w:r>
    </w:p>
    <w:tbl>
      <w:tblPr>
        <w:tblStyle w:val="23"/>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261" w:type="dxa"/>
            <w:vAlign w:val="center"/>
          </w:tcPr>
          <w:p>
            <w:pPr>
              <w:widowControl/>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防火墙</w:t>
            </w:r>
          </w:p>
        </w:tc>
        <w:tc>
          <w:tcPr>
            <w:tcW w:w="709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一、硬件配置：标准机架式设备；网络接口：≥8个10/100/1000M Base-TX，4个千兆光口，4个万兆光口；2个扩展槽位</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二、性能指标：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最大整机吞吐量≥40Gbps；</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最大并发连接数≥1000万；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每秒新建连接数≥18万；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三、主要功能参数：</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1、支持系统主要防护功能的统一化模版设置，模版分为高、中、低三个级别，分别对应不同防护强度，可通过Web界面单击选择切换（截图证明）；</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2、必须支持基于文件类型的策略路由，可实现将预定义或者自定义的文件按照不同的分类进行智能选路；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3、支持链路聚合功能，支持802.3ad和静态轮询、热备等多种模式，MAC、MAC&amp;IP、IP&amp;Port多种聚合负载算法（截图证明）；</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4、支持主流ICMPFLOOD\SYNFLOOD\ACKFLOOD\SYNACKFLOOD\UDPFLOO</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D攻击防护，采用专业高效攻击防护算法，非采用简单的阈值进行攻击防护（截图证明）；</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5、支持DMVPN，在增加一个新的分支节点网关后，不需要在中心网关更改任何配置，且支持路由推送，实现spoke to spoke互通，不必建立额外隧道（截图证明）；</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6、支持针对URL类型进行流量管理，至少支持：旅游出行、美体美容、web代理、报刊杂志等。可以针对不同类型的URL配置不同的流量管理规则,包括最大带宽、保证带宽、协议流量优先级等(截图证明)；</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7、支持国内知名主流品牌病毒库，病毒库提供商应通过全球三大认证机构之一的ICSA Labs认证(提供证书扫描件）；</w:t>
            </w:r>
          </w:p>
        </w:tc>
      </w:tr>
    </w:tbl>
    <w:p>
      <w:pPr>
        <w:pStyle w:val="10"/>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6、入侵防御（1台）</w:t>
      </w:r>
    </w:p>
    <w:tbl>
      <w:tblPr>
        <w:tblStyle w:val="23"/>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61" w:type="dxa"/>
            <w:vAlign w:val="center"/>
          </w:tcPr>
          <w:p>
            <w:pPr>
              <w:widowControl/>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入侵防御系统</w:t>
            </w:r>
          </w:p>
        </w:tc>
        <w:tc>
          <w:tcPr>
            <w:tcW w:w="7093" w:type="dxa"/>
            <w:vAlign w:val="center"/>
          </w:tcPr>
          <w:p>
            <w:pPr>
              <w:pStyle w:val="31"/>
              <w:numPr>
                <w:ilvl w:val="0"/>
                <w:numId w:val="13"/>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硬件配置：标准机架式设备；网络接口：≥6个10/100/1000M Base-T接口，≥2个万兆接口。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二、性能指标：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最大整机吞吐量≥25Gbps；</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最大IPS吞吐量≥15Gbps；</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最大并发连接数≥400万；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三、主要功能参数：</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1、操作系统为VSP通用安全平台，具备高效、智能、安全、健壮、易扩展等特点，需提供VSP证明文件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2、系统可检测的入侵防御事件库事件数量不少于4000条，系统应支持事件响应模版，能够批量修改事件响应动作，包括：事件级别、事件启用开关、动作、日志合并方式、日志开关、抓包取证。</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3、为保证病毒检测的可靠性，要求系统应至少支持双病毒引擎，需提供界面截图并提供防病毒引擎厂商合作证明。</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4、系统应支持多种防web扫描能力，包括爬虫、CGI和漏洞扫描等，并支持设置至少4个不同级别的扫描容忍度/扫描敏感度。</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5、系统应提供扩展静态恶意代码（APT）检测引擎，针对http、ftp、SMTP等协议中包含的未知恶意文件进行检测（提供界面截图）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6、系统应支持Web过滤功能，至少支持黑白名单、关键字过滤、禁止HTTP代理、URL分类过滤外，还支持Script、 Java Applet等过滤，并能通过统一模版设置。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7、系统应支持WEB登录图像验证码功能，防止暴力破解。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8、系统应支持对文件感染型病毒、蠕虫病毒、脚本病毒、宏病毒、木马、恶意软件等过滤，病毒库数量不少于50万；（提供病毒库界面截图）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9、产品支持多核多线程ASIC并行操作系统，提供证明文件。</w:t>
            </w:r>
          </w:p>
        </w:tc>
      </w:tr>
    </w:tbl>
    <w:p>
      <w:pPr>
        <w:pStyle w:val="10"/>
        <w:rPr>
          <w:rFonts w:hint="eastAsia" w:asciiTheme="minorEastAsia" w:hAnsiTheme="minorEastAsia" w:eastAsiaTheme="minorEastAsia" w:cstheme="minorEastAsia"/>
          <w:b/>
          <w:sz w:val="24"/>
          <w:szCs w:val="24"/>
        </w:rPr>
      </w:pPr>
    </w:p>
    <w:p>
      <w:pPr>
        <w:pStyle w:val="1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w:t>
      </w:r>
      <w:r>
        <w:rPr>
          <w:rFonts w:hint="eastAsia" w:asciiTheme="minorEastAsia" w:hAnsiTheme="minorEastAsia" w:eastAsiaTheme="minorEastAsia" w:cstheme="minorEastAsia"/>
          <w:b/>
          <w:bCs/>
          <w:kern w:val="0"/>
          <w:sz w:val="24"/>
          <w:szCs w:val="24"/>
        </w:rPr>
        <w:t>集中监控与管理系统</w:t>
      </w:r>
      <w:r>
        <w:rPr>
          <w:rFonts w:hint="eastAsia" w:asciiTheme="minorEastAsia" w:hAnsiTheme="minorEastAsia" w:eastAsiaTheme="minorEastAsia" w:cstheme="minorEastAsia"/>
          <w:sz w:val="24"/>
          <w:szCs w:val="24"/>
        </w:rPr>
        <w:t>（1台）</w:t>
      </w:r>
    </w:p>
    <w:tbl>
      <w:tblPr>
        <w:tblStyle w:val="23"/>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1261" w:type="dxa"/>
            <w:vAlign w:val="center"/>
          </w:tcPr>
          <w:p>
            <w:pPr>
              <w:widowControl/>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集中监控与管理系统</w:t>
            </w:r>
          </w:p>
        </w:tc>
        <w:tc>
          <w:tcPr>
            <w:tcW w:w="709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一、硬件配置：标准机架式机箱，冗余电源；不少于4个10/100M/1000M电口；4个USB口、1 VGA接口；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二、性能参数：</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数据库容量≥1TB；</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最大支持业务数量≥1,000个；</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最大监控并发用户数量≥5,000个；</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最大审计用户数量≥200,000个；</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最大业务审计记录数≥10,000,000条。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三、功能要求：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1、满足公安部安全规范要求能够提供边界接入不同层次的信息注册和管理，包括接入平台的基础信息、建设情况、使用单位、运维等信息；（提供截图）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2、具备省、市分级集控和级联上报功能，具备设备性能、网络状况监测功能，可自定义检测周期及历史记录生成周期；（提供截图）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3、能够以拓扑图的形式直观实时展示政务外网、驻地外及公网等对象链路设备当前的运行状况；（提供截图）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4、能够实时收集各种设备发送给集控系统的异常事件（如病毒、木马、未授权访问、流量超过阀值等）。</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对同品牌的安全数据交换系统、安全隔离与单向传输系统和视频安全接入系统进行集中管控，能够实时监测受控产品的运行状态，收集日志报警信息并统一日志格式，对被管产品的主要策略进行配置，并具有对安管平台管理操作的审计功能。（提供权威检测机构出具的检测报告扫描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6、支持对接入链路设备的CPU、内存使用情况、系统负载情况、系统运行时间以及网卡通量等信息进行点击直观查询；</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7、具备日志管理配置功能，可对不同的管理对象自定义配置阈值和健康值，并提供备份文件管理和备份日志查询功能；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8、具备对接入业务的一键巡检功能，通过点击按钮可主动刷新展示当前接入业务状态，并以列表形式展示；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9、具备详细审计功能，能监控所有接入业务的当前流量、监控系统管理员在平台上所做的操作、监控平台所做的每一笔业务的传输内容、监控授权访问用户每一次访问内网的行为。</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能够提供业务应用和数据交换审计，即业务应用系统信息、数据传输量、文件类型、传输时间、传输的文件名或主键值等内容详细的审计，支持审计日志周期性自动备份或清空，具备按一定日志空间的大小进行日志轮循的功能，以提高系统的性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11、能与自主研发的集控探针设备联动完成链路外网侧设备及业务的信息的安全采集。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12、能够替换市局现有集中监控管理系统，无缝接管现有边界接入平台监测管理业务；支持与省公安厅集中监控管理系统的无缝对接，实现级联上报。</w:t>
            </w:r>
          </w:p>
          <w:p>
            <w:pPr>
              <w:pStyle w:val="1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13、具备公安部《计算机信息系统安全专用产品销售许可证》安全管理平台类；（提供扫描件）</w:t>
            </w:r>
          </w:p>
          <w:p>
            <w:pPr>
              <w:pStyle w:val="1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★14、要求产品通过国家权威部门检测，产品不存在漏洞库中已知的中、高风险漏洞。（提供权威部门检测报告）</w:t>
            </w:r>
          </w:p>
        </w:tc>
      </w:tr>
    </w:tbl>
    <w:p>
      <w:pPr>
        <w:pStyle w:val="1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w:t>
      </w:r>
      <w:r>
        <w:rPr>
          <w:rFonts w:hint="eastAsia" w:asciiTheme="minorEastAsia" w:hAnsiTheme="minorEastAsia" w:eastAsiaTheme="minorEastAsia" w:cstheme="minorEastAsia"/>
          <w:b/>
          <w:bCs/>
          <w:kern w:val="0"/>
          <w:sz w:val="24"/>
          <w:szCs w:val="24"/>
        </w:rPr>
        <w:t>集控探针</w:t>
      </w:r>
      <w:r>
        <w:rPr>
          <w:rFonts w:hint="eastAsia" w:asciiTheme="minorEastAsia" w:hAnsiTheme="minorEastAsia" w:eastAsiaTheme="minorEastAsia" w:cstheme="minorEastAsia"/>
          <w:sz w:val="24"/>
          <w:szCs w:val="24"/>
        </w:rPr>
        <w:t>（1台）</w:t>
      </w:r>
    </w:p>
    <w:tbl>
      <w:tblPr>
        <w:tblStyle w:val="23"/>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261" w:type="dxa"/>
            <w:vAlign w:val="center"/>
          </w:tcPr>
          <w:p>
            <w:pPr>
              <w:widowControl/>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集控探针</w:t>
            </w:r>
          </w:p>
        </w:tc>
        <w:tc>
          <w:tcPr>
            <w:tcW w:w="709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1、用于平台内部设备状态获取以及设备管理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2、标准机架式机箱，1U设备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3、2个千兆网络接口，可扩展至最多4个</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4、使用安全加固的安全Linux操作系统</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5、支持SYSLOG、v2/SNMP v3、Telnet、ICMP协议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6、稳定性运行时间(MTBF)：&gt;50000小时</w:t>
            </w:r>
          </w:p>
        </w:tc>
      </w:tr>
    </w:tbl>
    <w:p>
      <w:pPr>
        <w:pStyle w:val="3"/>
        <w:numPr>
          <w:ilvl w:val="0"/>
          <w:numId w:val="0"/>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9、堡垒机（1台）</w:t>
      </w:r>
    </w:p>
    <w:tbl>
      <w:tblPr>
        <w:tblStyle w:val="23"/>
        <w:tblW w:w="8472" w:type="dxa"/>
        <w:tblInd w:w="0" w:type="dxa"/>
        <w:tblLayout w:type="fixed"/>
        <w:tblCellMar>
          <w:top w:w="0" w:type="dxa"/>
          <w:left w:w="108" w:type="dxa"/>
          <w:bottom w:w="0" w:type="dxa"/>
          <w:right w:w="108" w:type="dxa"/>
        </w:tblCellMar>
      </w:tblPr>
      <w:tblGrid>
        <w:gridCol w:w="670"/>
        <w:gridCol w:w="1281"/>
        <w:gridCol w:w="6521"/>
      </w:tblGrid>
      <w:tr>
        <w:tblPrEx>
          <w:tblLayout w:type="fixed"/>
          <w:tblCellMar>
            <w:top w:w="0" w:type="dxa"/>
            <w:left w:w="108" w:type="dxa"/>
            <w:bottom w:w="0" w:type="dxa"/>
            <w:right w:w="108" w:type="dxa"/>
          </w:tblCellMar>
        </w:tblPrEx>
        <w:trPr>
          <w:trHeight w:val="265" w:hRule="atLeast"/>
        </w:trPr>
        <w:tc>
          <w:tcPr>
            <w:tcW w:w="1951" w:type="dxa"/>
            <w:gridSpan w:val="2"/>
            <w:tcBorders>
              <w:top w:val="single" w:color="auto" w:sz="4" w:space="0"/>
              <w:left w:val="single" w:color="auto" w:sz="4" w:space="0"/>
              <w:bottom w:val="single" w:color="auto" w:sz="4" w:space="0"/>
              <w:right w:val="single" w:color="auto" w:sz="4" w:space="0"/>
            </w:tcBorders>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功能及技术指标</w:t>
            </w:r>
          </w:p>
        </w:tc>
        <w:tc>
          <w:tcPr>
            <w:tcW w:w="6521" w:type="dxa"/>
            <w:tcBorders>
              <w:top w:val="single" w:color="auto" w:sz="4" w:space="0"/>
              <w:left w:val="nil"/>
              <w:bottom w:val="single" w:color="auto" w:sz="4" w:space="0"/>
              <w:right w:val="single" w:color="auto" w:sz="4" w:space="0"/>
            </w:tcBorders>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参数要求</w:t>
            </w:r>
          </w:p>
        </w:tc>
      </w:tr>
      <w:tr>
        <w:tblPrEx>
          <w:tblLayout w:type="fixed"/>
          <w:tblCellMar>
            <w:top w:w="0" w:type="dxa"/>
            <w:left w:w="108" w:type="dxa"/>
            <w:bottom w:w="0" w:type="dxa"/>
            <w:right w:w="108" w:type="dxa"/>
          </w:tblCellMar>
        </w:tblPrEx>
        <w:trPr>
          <w:trHeight w:val="121" w:hRule="atLeast"/>
        </w:trPr>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系统架构</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产品架构</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专用安全操作系统，软硬件一体化</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部署方式</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物理旁路，逻辑串联模式，不影响正常业务流量</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HA双机热备</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数据存储</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系统自带内部存储</w:t>
            </w:r>
          </w:p>
        </w:tc>
      </w:tr>
      <w:tr>
        <w:tblPrEx>
          <w:tblLayout w:type="fixed"/>
          <w:tblCellMar>
            <w:top w:w="0" w:type="dxa"/>
            <w:left w:w="108" w:type="dxa"/>
            <w:bottom w:w="0" w:type="dxa"/>
            <w:right w:w="108" w:type="dxa"/>
          </w:tblCellMar>
        </w:tblPrEx>
        <w:trPr>
          <w:trHeight w:val="121" w:hRule="atLeast"/>
        </w:trPr>
        <w:tc>
          <w:tcPr>
            <w:tcW w:w="670"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产品配置性能</w:t>
            </w:r>
          </w:p>
        </w:tc>
        <w:tc>
          <w:tcPr>
            <w:tcW w:w="1281" w:type="dxa"/>
            <w:tcBorders>
              <w:top w:val="single" w:color="auto" w:sz="4" w:space="0"/>
              <w:left w:val="nil"/>
              <w:bottom w:val="single" w:color="auto" w:sz="4" w:space="0"/>
              <w:right w:val="single" w:color="auto" w:sz="4" w:space="0"/>
            </w:tcBorders>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并发会话数</w:t>
            </w:r>
          </w:p>
        </w:tc>
        <w:tc>
          <w:tcPr>
            <w:tcW w:w="6521" w:type="dxa"/>
            <w:tcBorders>
              <w:top w:val="single" w:color="auto" w:sz="4" w:space="0"/>
              <w:left w:val="nil"/>
              <w:bottom w:val="single" w:color="auto" w:sz="4" w:space="0"/>
              <w:right w:val="single" w:color="auto" w:sz="4" w:space="0"/>
            </w:tcBorders>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字符协议不低于800个；图形协议不低于200个。</w:t>
            </w:r>
          </w:p>
        </w:tc>
      </w:tr>
      <w:tr>
        <w:tblPrEx>
          <w:tblLayout w:type="fixed"/>
          <w:tblCellMar>
            <w:top w:w="0" w:type="dxa"/>
            <w:left w:w="108" w:type="dxa"/>
            <w:bottom w:w="0" w:type="dxa"/>
            <w:right w:w="108" w:type="dxa"/>
          </w:tblCellMar>
        </w:tblPrEx>
        <w:trPr>
          <w:trHeight w:val="121" w:hRule="atLeast"/>
        </w:trPr>
        <w:tc>
          <w:tcPr>
            <w:tcW w:w="670" w:type="dxa"/>
            <w:vMerge w:val="continue"/>
            <w:tcBorders>
              <w:left w:val="single" w:color="auto" w:sz="4" w:space="0"/>
              <w:right w:val="single" w:color="auto" w:sz="4" w:space="0"/>
            </w:tcBorders>
          </w:tcPr>
          <w:p>
            <w:pPr>
              <w:rPr>
                <w:rFonts w:hint="eastAsia" w:asciiTheme="minorEastAsia" w:hAnsiTheme="minorEastAsia" w:eastAsiaTheme="minorEastAsia" w:cstheme="minorEastAsia"/>
                <w:sz w:val="24"/>
                <w:szCs w:val="24"/>
              </w:rPr>
            </w:pPr>
          </w:p>
        </w:tc>
        <w:tc>
          <w:tcPr>
            <w:tcW w:w="1281" w:type="dxa"/>
            <w:tcBorders>
              <w:top w:val="nil"/>
              <w:left w:val="nil"/>
              <w:bottom w:val="single" w:color="auto" w:sz="4" w:space="0"/>
              <w:right w:val="single" w:color="auto" w:sz="4" w:space="0"/>
            </w:tcBorders>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硬盘容量</w:t>
            </w:r>
          </w:p>
        </w:tc>
        <w:tc>
          <w:tcPr>
            <w:tcW w:w="6521" w:type="dxa"/>
            <w:tcBorders>
              <w:top w:val="nil"/>
              <w:left w:val="nil"/>
              <w:bottom w:val="single" w:color="auto" w:sz="4" w:space="0"/>
              <w:right w:val="single" w:color="auto" w:sz="4" w:space="0"/>
            </w:tcBorders>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物理存储不低于2TB</w:t>
            </w:r>
          </w:p>
        </w:tc>
      </w:tr>
      <w:tr>
        <w:tblPrEx>
          <w:tblLayout w:type="fixed"/>
          <w:tblCellMar>
            <w:top w:w="0" w:type="dxa"/>
            <w:left w:w="108" w:type="dxa"/>
            <w:bottom w:w="0" w:type="dxa"/>
            <w:right w:w="108" w:type="dxa"/>
          </w:tblCellMar>
        </w:tblPrEx>
        <w:trPr>
          <w:trHeight w:val="121" w:hRule="atLeast"/>
        </w:trPr>
        <w:tc>
          <w:tcPr>
            <w:tcW w:w="670" w:type="dxa"/>
            <w:vMerge w:val="continue"/>
            <w:tcBorders>
              <w:left w:val="single" w:color="auto" w:sz="4" w:space="0"/>
              <w:right w:val="single" w:color="auto" w:sz="4" w:space="0"/>
            </w:tcBorders>
          </w:tcPr>
          <w:p>
            <w:pPr>
              <w:rPr>
                <w:rFonts w:hint="eastAsia" w:asciiTheme="minorEastAsia" w:hAnsiTheme="minorEastAsia" w:eastAsiaTheme="minorEastAsia" w:cstheme="minorEastAsia"/>
                <w:sz w:val="24"/>
                <w:szCs w:val="24"/>
              </w:rPr>
            </w:pPr>
          </w:p>
        </w:tc>
        <w:tc>
          <w:tcPr>
            <w:tcW w:w="1281" w:type="dxa"/>
            <w:tcBorders>
              <w:top w:val="nil"/>
              <w:left w:val="nil"/>
              <w:bottom w:val="single" w:color="auto" w:sz="4" w:space="0"/>
              <w:right w:val="single" w:color="auto" w:sz="4" w:space="0"/>
            </w:tcBorders>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管理资源授权</w:t>
            </w:r>
          </w:p>
        </w:tc>
        <w:tc>
          <w:tcPr>
            <w:tcW w:w="6521" w:type="dxa"/>
            <w:tcBorders>
              <w:top w:val="nil"/>
              <w:left w:val="nil"/>
              <w:bottom w:val="single" w:color="auto" w:sz="4" w:space="0"/>
              <w:right w:val="single" w:color="auto" w:sz="4" w:space="0"/>
            </w:tcBorders>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配置300个管理资源授权；</w:t>
            </w:r>
          </w:p>
        </w:tc>
      </w:tr>
      <w:tr>
        <w:tblPrEx>
          <w:tblLayout w:type="fixed"/>
          <w:tblCellMar>
            <w:top w:w="0" w:type="dxa"/>
            <w:left w:w="108" w:type="dxa"/>
            <w:bottom w:w="0" w:type="dxa"/>
            <w:right w:w="108" w:type="dxa"/>
          </w:tblCellMar>
        </w:tblPrEx>
        <w:trPr>
          <w:trHeight w:val="121" w:hRule="atLeast"/>
        </w:trPr>
        <w:tc>
          <w:tcPr>
            <w:tcW w:w="670" w:type="dxa"/>
            <w:vMerge w:val="continue"/>
            <w:tcBorders>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4"/>
                <w:szCs w:val="24"/>
              </w:rPr>
            </w:pPr>
          </w:p>
        </w:tc>
        <w:tc>
          <w:tcPr>
            <w:tcW w:w="1281" w:type="dxa"/>
            <w:tcBorders>
              <w:top w:val="nil"/>
              <w:left w:val="nil"/>
              <w:bottom w:val="single" w:color="auto" w:sz="4" w:space="0"/>
              <w:right w:val="single" w:color="auto" w:sz="4" w:space="0"/>
            </w:tcBorders>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网络接口</w:t>
            </w:r>
          </w:p>
        </w:tc>
        <w:tc>
          <w:tcPr>
            <w:tcW w:w="6521" w:type="dxa"/>
            <w:tcBorders>
              <w:top w:val="nil"/>
              <w:left w:val="nil"/>
              <w:bottom w:val="single" w:color="auto" w:sz="4" w:space="0"/>
              <w:right w:val="single" w:color="auto" w:sz="4" w:space="0"/>
            </w:tcBorders>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至少支持6个千兆电口和1个扩展插槽，1个console口；</w:t>
            </w:r>
          </w:p>
        </w:tc>
      </w:tr>
      <w:tr>
        <w:tblPrEx>
          <w:tblLayout w:type="fixed"/>
          <w:tblCellMar>
            <w:top w:w="0" w:type="dxa"/>
            <w:left w:w="108" w:type="dxa"/>
            <w:bottom w:w="0" w:type="dxa"/>
            <w:right w:w="108" w:type="dxa"/>
          </w:tblCellMar>
        </w:tblPrEx>
        <w:trPr>
          <w:trHeight w:val="121" w:hRule="atLeast"/>
        </w:trPr>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w:t>
            </w: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支持协议审计</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字符协议：SSHv1、SSHv2、TELNET、RLOGIN</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图形协议：RDP、VNC</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文件传输协议：FTP、SFTP</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支持IPv4、IPv6双协议栈接入（提供产品功能界面截图证明及国家权威部门针对IPV6环境适用性相关功能的检测报告）</w:t>
            </w:r>
          </w:p>
        </w:tc>
      </w:tr>
      <w:tr>
        <w:tblPrEx>
          <w:tblLayout w:type="fixed"/>
          <w:tblCellMar>
            <w:top w:w="0" w:type="dxa"/>
            <w:left w:w="108" w:type="dxa"/>
            <w:bottom w:w="0" w:type="dxa"/>
            <w:right w:w="108" w:type="dxa"/>
          </w:tblCellMar>
        </w:tblPrEx>
        <w:trPr>
          <w:trHeight w:val="243"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数据库协议：支持Oracle（支持ORACLE RAC）、MS SQL Server、IBM DB2、Sybase、IBM Informix Dynamic Server、MySQL、PostgreSQL等数据库类型</w:t>
            </w:r>
          </w:p>
        </w:tc>
      </w:tr>
      <w:tr>
        <w:tblPrEx>
          <w:tblLayout w:type="fixed"/>
          <w:tblCellMar>
            <w:top w:w="0" w:type="dxa"/>
            <w:left w:w="108" w:type="dxa"/>
            <w:bottom w:w="0" w:type="dxa"/>
            <w:right w:w="108" w:type="dxa"/>
          </w:tblCellMar>
        </w:tblPrEx>
        <w:trPr>
          <w:trHeight w:val="243"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支持通过应用发布进行协议审计，记录命令详情，包括字符协议和数据库协议等，审计回放支持协议回放和图形回放(要求提供操作界面截图)</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支持通过应用发布进行协议扩展第三方客户端；支持通过应用发布对http/https的访问过程进行录像审计(要求提供操作界面截图)</w:t>
            </w:r>
          </w:p>
        </w:tc>
      </w:tr>
      <w:tr>
        <w:tblPrEx>
          <w:tblLayout w:type="fixed"/>
          <w:tblCellMar>
            <w:top w:w="0" w:type="dxa"/>
            <w:left w:w="108" w:type="dxa"/>
            <w:bottom w:w="0" w:type="dxa"/>
            <w:right w:w="108" w:type="dxa"/>
          </w:tblCellMar>
        </w:tblPrEx>
        <w:trPr>
          <w:trHeight w:val="243"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访问控制及异常告警</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按用户、目标设备、系统帐号、命令集和生效时间等内容或按访问授权策略设定安全事件规则；支持指令黑白名单</w:t>
            </w:r>
          </w:p>
        </w:tc>
      </w:tr>
      <w:tr>
        <w:tblPrEx>
          <w:tblLayout w:type="fixed"/>
          <w:tblCellMar>
            <w:top w:w="0" w:type="dxa"/>
            <w:left w:w="108" w:type="dxa"/>
            <w:bottom w:w="0" w:type="dxa"/>
            <w:right w:w="108" w:type="dxa"/>
          </w:tblCellMar>
        </w:tblPrEx>
        <w:trPr>
          <w:trHeight w:val="243"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支持检测恶意HTTP请求，提供权威机构证明材料；</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对违规或高危操作的指令（黑名单）进行日志提醒、忽略命令、阻断会话或二次审批</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支持对违规或高危指令的正则表达式设置匹配规则（截图证明）</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支持告警方式、告警描述、告警事件等级、告警事件类型的配置</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以邮件、SYSLOG、Snmp Trap、短信方式实时发送告警信息</w:t>
            </w:r>
          </w:p>
        </w:tc>
      </w:tr>
      <w:tr>
        <w:tblPrEx>
          <w:tblLayout w:type="fixed"/>
          <w:tblCellMar>
            <w:top w:w="0" w:type="dxa"/>
            <w:left w:w="108" w:type="dxa"/>
            <w:bottom w:w="0" w:type="dxa"/>
            <w:right w:w="108" w:type="dxa"/>
          </w:tblCellMar>
        </w:tblPrEx>
        <w:trPr>
          <w:trHeight w:val="364"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操作行为记录</w:t>
            </w:r>
          </w:p>
        </w:tc>
        <w:tc>
          <w:tcPr>
            <w:tcW w:w="6521" w:type="dxa"/>
            <w:tcBorders>
              <w:top w:val="nil"/>
              <w:left w:val="nil"/>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SSH、Telnet、Rlogin、FTP/SFTP、数据库操作进行记录及审计；记录会话时间、命令执行时间、会话协议、服务端IP、服务器端口、客户端IP、客户端端口、操作命令、返回信息、运维用户帐号、审批用户帐号、资源账号等信息（截图证明）</w:t>
            </w:r>
          </w:p>
        </w:tc>
      </w:tr>
      <w:tr>
        <w:tblPrEx>
          <w:tblLayout w:type="fixed"/>
          <w:tblCellMar>
            <w:top w:w="0" w:type="dxa"/>
            <w:left w:w="108" w:type="dxa"/>
            <w:bottom w:w="0" w:type="dxa"/>
            <w:right w:w="108" w:type="dxa"/>
          </w:tblCellMar>
        </w:tblPrEx>
        <w:trPr>
          <w:trHeight w:val="243"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nil"/>
              <w:left w:val="nil"/>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针对RDP、VNC等图形终端操作的连接情况进行记录及审计；记录会话时间、命令执行时间、会话协议、服务端IP、服务器端口、客户端IP、客户端端口、运维用户帐号、资源账号等信息（截图证明）</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实时监控</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实时监控当前连接发生的所有会话信息和阻断功能</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实时监控审计系统CPU、内存、磁盘的使用情况</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记录审计系统自身的管理操作，保障审计系统自身安全</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支持风险评估智能报表，要求至少支持泄密风险、法律风险、工作效率、离职风险等智能报表（截图证明）。</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历史查询及审计报表</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会话查询可定义条件，包括会话时间范围、用户、资源、操作命令关键字、指令策略等条件.</w:t>
            </w:r>
          </w:p>
        </w:tc>
      </w:tr>
      <w:tr>
        <w:tblPrEx>
          <w:tblLayout w:type="fixed"/>
          <w:tblCellMar>
            <w:top w:w="0" w:type="dxa"/>
            <w:left w:w="108" w:type="dxa"/>
            <w:bottom w:w="0" w:type="dxa"/>
            <w:right w:w="108" w:type="dxa"/>
          </w:tblCellMar>
        </w:tblPrEx>
        <w:trPr>
          <w:trHeight w:val="243"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审计查询关键字和结果显示支持多种编码(UTF-8,Big5,EUC-JP,EUC-KR,GB2312,GB18030,ISO-8859-2,KOI9-R,KS_C_5601_1987,Shift_JIS,Window-874)，由用户自主选择（截图证明）</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系统内置多种运行维护报表模板（截图证明）</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以CSV、HTML方式生成并导出报表（截图证明）</w:t>
            </w:r>
          </w:p>
        </w:tc>
      </w:tr>
      <w:tr>
        <w:tblPrEx>
          <w:tblLayout w:type="fixed"/>
          <w:tblCellMar>
            <w:top w:w="0" w:type="dxa"/>
            <w:left w:w="108" w:type="dxa"/>
            <w:bottom w:w="0" w:type="dxa"/>
            <w:right w:w="108" w:type="dxa"/>
          </w:tblCellMar>
        </w:tblPrEx>
        <w:trPr>
          <w:trHeight w:val="121"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以日报、周报、月报的方式自动生成周期性报表</w:t>
            </w:r>
          </w:p>
        </w:tc>
      </w:tr>
      <w:tr>
        <w:tblPrEx>
          <w:tblLayout w:type="fixed"/>
          <w:tblCellMar>
            <w:top w:w="0" w:type="dxa"/>
            <w:left w:w="108" w:type="dxa"/>
            <w:bottom w:w="0" w:type="dxa"/>
            <w:right w:w="108" w:type="dxa"/>
          </w:tblCellMar>
        </w:tblPrEx>
        <w:trPr>
          <w:trHeight w:val="457"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产品资质</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国家版权局计算机软件著作权登记证书，投标时提供扫描件</w:t>
            </w:r>
          </w:p>
        </w:tc>
      </w:tr>
      <w:tr>
        <w:tblPrEx>
          <w:tblLayout w:type="fixed"/>
          <w:tblCellMar>
            <w:top w:w="0" w:type="dxa"/>
            <w:left w:w="108" w:type="dxa"/>
            <w:bottom w:w="0" w:type="dxa"/>
            <w:right w:w="108" w:type="dxa"/>
          </w:tblCellMar>
        </w:tblPrEx>
        <w:trPr>
          <w:trHeight w:val="121"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保修服务</w:t>
            </w:r>
          </w:p>
        </w:tc>
        <w:tc>
          <w:tcPr>
            <w:tcW w:w="6521" w:type="dxa"/>
            <w:tcBorders>
              <w:top w:val="single" w:color="auto" w:sz="4" w:space="0"/>
              <w:left w:val="nil"/>
              <w:bottom w:val="single" w:color="auto" w:sz="4" w:space="0"/>
              <w:right w:val="single" w:color="auto" w:sz="4" w:space="0"/>
            </w:tcBorders>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5年原厂商保修服务，签订合同时需出具原厂商5年售后服务承诺函</w:t>
            </w:r>
          </w:p>
        </w:tc>
      </w:tr>
    </w:tbl>
    <w:p>
      <w:pPr>
        <w:pStyle w:val="3"/>
        <w:numPr>
          <w:ilvl w:val="0"/>
          <w:numId w:val="0"/>
        </w:numPr>
        <w:jc w:val="both"/>
        <w:rPr>
          <w:sz w:val="24"/>
          <w:szCs w:val="24"/>
        </w:rPr>
      </w:pPr>
      <w:r>
        <w:rPr>
          <w:rFonts w:hint="eastAsia"/>
          <w:sz w:val="24"/>
          <w:szCs w:val="24"/>
        </w:rPr>
        <w:t>（四）实施要求</w:t>
      </w:r>
    </w:p>
    <w:p>
      <w:pPr>
        <w:pStyle w:val="4"/>
        <w:rPr>
          <w:sz w:val="24"/>
          <w:szCs w:val="24"/>
        </w:rPr>
      </w:pPr>
      <w:r>
        <w:rPr>
          <w:rFonts w:hint="eastAsia"/>
          <w:sz w:val="24"/>
          <w:szCs w:val="24"/>
        </w:rPr>
        <w:t>1、项目进度要求</w:t>
      </w:r>
    </w:p>
    <w:p>
      <w:pPr>
        <w:pStyle w:val="63"/>
        <w:ind w:firstLine="480"/>
        <w:jc w:val="both"/>
        <w:rPr>
          <w:rFonts w:ascii="宋体" w:hAnsi="宋体" w:cs="宋体"/>
        </w:rPr>
      </w:pPr>
      <w:r>
        <w:rPr>
          <w:rFonts w:hint="eastAsia" w:ascii="宋体" w:hAnsi="宋体" w:cs="宋体"/>
        </w:rPr>
        <w:t>投标人需承诺在合同签订后30个工作日内需完成设备到货，本项目要求中标后2个月内完成实施及部署，通过初验，进入为期3个月的试运行。中标后6个月内完成项目竣工验收。</w:t>
      </w:r>
    </w:p>
    <w:p>
      <w:pPr>
        <w:pStyle w:val="63"/>
        <w:ind w:firstLine="480"/>
        <w:jc w:val="both"/>
        <w:rPr>
          <w:rFonts w:ascii="宋体" w:hAnsi="宋体" w:cs="宋体"/>
        </w:rPr>
      </w:pPr>
      <w:r>
        <w:rPr>
          <w:rFonts w:hint="eastAsia" w:ascii="宋体" w:hAnsi="宋体" w:cs="宋体"/>
        </w:rPr>
        <w:t>投标人应按照上述时间安排，制定相应的项目实施详细进度计划，确定每个实施阶段的时间表及工作目标。</w:t>
      </w:r>
    </w:p>
    <w:p>
      <w:pPr>
        <w:pStyle w:val="63"/>
        <w:ind w:firstLine="480"/>
        <w:jc w:val="both"/>
        <w:rPr>
          <w:rFonts w:ascii="宋体" w:hAnsi="宋体" w:cs="宋体"/>
        </w:rPr>
      </w:pPr>
      <w:r>
        <w:rPr>
          <w:rFonts w:hint="eastAsia" w:ascii="宋体" w:hAnsi="宋体" w:cs="宋体"/>
          <w:lang w:val="zh-CN"/>
        </w:rPr>
        <w:t>如项目无法按进度要求开展，</w:t>
      </w:r>
      <w:r>
        <w:rPr>
          <w:rFonts w:hint="eastAsia" w:ascii="宋体" w:hAnsi="宋体" w:cs="宋体"/>
        </w:rPr>
        <w:t>采购方</w:t>
      </w:r>
      <w:r>
        <w:rPr>
          <w:rFonts w:hint="eastAsia" w:ascii="宋体" w:hAnsi="宋体" w:cs="宋体"/>
          <w:lang w:val="zh-CN"/>
        </w:rPr>
        <w:t>有权利终止合同并扣没项目履约保证金。</w:t>
      </w:r>
    </w:p>
    <w:p>
      <w:pPr>
        <w:pStyle w:val="4"/>
        <w:rPr>
          <w:sz w:val="24"/>
          <w:szCs w:val="24"/>
        </w:rPr>
      </w:pPr>
      <w:r>
        <w:rPr>
          <w:rFonts w:hint="eastAsia"/>
          <w:sz w:val="24"/>
          <w:szCs w:val="24"/>
        </w:rPr>
        <w:t>2、安装、调试和验收要求</w:t>
      </w:r>
    </w:p>
    <w:p>
      <w:pPr>
        <w:pStyle w:val="63"/>
        <w:ind w:firstLine="480"/>
        <w:rPr>
          <w:rFonts w:ascii="宋体" w:hAnsi="宋体" w:cs="宋体"/>
        </w:rPr>
      </w:pPr>
      <w:r>
        <w:rPr>
          <w:rFonts w:hint="eastAsia" w:ascii="宋体" w:hAnsi="宋体" w:cs="宋体"/>
        </w:rPr>
        <w:t>（1）中标方有责任检查安装现场是否符合产品安装条件。</w:t>
      </w:r>
    </w:p>
    <w:p>
      <w:pPr>
        <w:pStyle w:val="63"/>
        <w:ind w:firstLine="480"/>
        <w:rPr>
          <w:rFonts w:ascii="宋体" w:hAnsi="宋体" w:cs="宋体"/>
        </w:rPr>
      </w:pPr>
      <w:r>
        <w:rPr>
          <w:rFonts w:hint="eastAsia" w:ascii="宋体" w:hAnsi="宋体" w:cs="宋体"/>
        </w:rPr>
        <w:t>（</w:t>
      </w:r>
      <w:r>
        <w:rPr>
          <w:rFonts w:ascii="宋体" w:hAnsi="宋体" w:cs="宋体"/>
        </w:rPr>
        <w:t>2</w:t>
      </w:r>
      <w:r>
        <w:rPr>
          <w:rFonts w:hint="eastAsia" w:ascii="宋体" w:hAnsi="宋体" w:cs="宋体"/>
        </w:rPr>
        <w:t>）货物到达买方指定的现场后，将由中标方与采购方、监理方共同开箱清点，并进行签字确认。若有差异，应由中标方承担责任。</w:t>
      </w:r>
    </w:p>
    <w:p>
      <w:pPr>
        <w:pStyle w:val="63"/>
        <w:ind w:firstLine="480"/>
        <w:rPr>
          <w:rFonts w:ascii="宋体" w:hAnsi="宋体" w:cs="宋体"/>
        </w:rPr>
      </w:pPr>
      <w:r>
        <w:rPr>
          <w:rFonts w:hint="eastAsia" w:ascii="宋体" w:hAnsi="宋体" w:cs="宋体"/>
        </w:rPr>
        <w:t>（</w:t>
      </w:r>
      <w:r>
        <w:rPr>
          <w:rFonts w:ascii="宋体" w:hAnsi="宋体" w:cs="宋体"/>
        </w:rPr>
        <w:t>3</w:t>
      </w:r>
      <w:r>
        <w:rPr>
          <w:rFonts w:hint="eastAsia" w:ascii="宋体" w:hAnsi="宋体" w:cs="宋体"/>
        </w:rPr>
        <w:t>）产品实施过程中，如果牵涉到与第三方系统集成工作，中标方应与其他供应商无推诿合作，并提供必要的技术支持。</w:t>
      </w:r>
    </w:p>
    <w:p>
      <w:pPr>
        <w:pStyle w:val="63"/>
        <w:ind w:firstLine="48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）中标方应保证其提供的货物在正确安装、正常使用和保养条件下，在使用寿命期内应具有满意的性能，中标方应对由于设计、工艺或材料的缺陷而产生的故障负完全责任。</w:t>
      </w:r>
    </w:p>
    <w:p>
      <w:pPr>
        <w:pStyle w:val="63"/>
        <w:ind w:firstLine="480"/>
        <w:rPr>
          <w:rFonts w:ascii="宋体" w:hAnsi="宋体" w:cs="宋体"/>
        </w:rPr>
      </w:pPr>
      <w:r>
        <w:rPr>
          <w:rFonts w:hint="eastAsia" w:ascii="宋体" w:hAnsi="宋体" w:cs="宋体"/>
        </w:rPr>
        <w:t>（</w:t>
      </w:r>
      <w:r>
        <w:rPr>
          <w:rFonts w:ascii="宋体" w:hAnsi="宋体" w:cs="宋体"/>
        </w:rPr>
        <w:t>5</w:t>
      </w:r>
      <w:r>
        <w:rPr>
          <w:rFonts w:hint="eastAsia" w:ascii="宋体" w:hAnsi="宋体" w:cs="宋体"/>
        </w:rPr>
        <w:t>）系统验收合格的条件必须至少满足以下三个要求：已提供了合同的全部货物和资料、完成了系统集成工作，通过了系统联合测试；试运行期间，系统运行稳定、正常，性能满足合同及招标文件、中标方投标文件要求。</w:t>
      </w:r>
    </w:p>
    <w:p>
      <w:pPr>
        <w:pStyle w:val="4"/>
        <w:rPr>
          <w:sz w:val="24"/>
          <w:szCs w:val="24"/>
        </w:rPr>
      </w:pPr>
      <w:r>
        <w:rPr>
          <w:rFonts w:hint="eastAsia"/>
          <w:sz w:val="24"/>
          <w:szCs w:val="24"/>
          <w:lang w:val="en-US" w:eastAsia="zh-CN"/>
        </w:rPr>
        <w:t>3、</w:t>
      </w:r>
      <w:r>
        <w:rPr>
          <w:rFonts w:hint="eastAsia"/>
          <w:sz w:val="24"/>
          <w:szCs w:val="24"/>
        </w:rPr>
        <w:t>人员培训要求</w:t>
      </w:r>
    </w:p>
    <w:p>
      <w:pPr>
        <w:pStyle w:val="63"/>
        <w:ind w:firstLine="480"/>
        <w:rPr>
          <w:rFonts w:ascii="宋体" w:hAnsi="宋体" w:cs="宋体"/>
        </w:rPr>
      </w:pPr>
      <w:r>
        <w:rPr>
          <w:rFonts w:hint="eastAsia" w:ascii="宋体" w:hAnsi="宋体" w:cs="宋体"/>
        </w:rPr>
        <w:t>针对本项目中所采用的设备和软件，中标方必须提供现场培训和相关资料。系统试运行之前，中标方应提供培训，确保工作人员能熟悉设计资料和图纸文件，掌握系统装置，设备方面的情况人员培训费用计入投标总价。</w:t>
      </w:r>
    </w:p>
    <w:p>
      <w:pPr>
        <w:pStyle w:val="4"/>
        <w:rPr>
          <w:sz w:val="24"/>
          <w:szCs w:val="24"/>
        </w:rPr>
      </w:pPr>
      <w:r>
        <w:rPr>
          <w:rFonts w:hint="eastAsia"/>
          <w:sz w:val="24"/>
          <w:szCs w:val="24"/>
          <w:lang w:val="en-US" w:eastAsia="zh-CN"/>
        </w:rPr>
        <w:t>4、</w:t>
      </w:r>
      <w:r>
        <w:rPr>
          <w:rFonts w:hint="eastAsia"/>
          <w:sz w:val="24"/>
          <w:szCs w:val="24"/>
        </w:rPr>
        <w:t>技术支持及售后服务要求</w:t>
      </w:r>
    </w:p>
    <w:p>
      <w:pPr>
        <w:pStyle w:val="63"/>
        <w:ind w:firstLine="480"/>
        <w:rPr>
          <w:rFonts w:ascii="宋体" w:hAnsi="宋体" w:cs="宋体"/>
        </w:rPr>
      </w:pPr>
      <w:r>
        <w:rPr>
          <w:rFonts w:hint="eastAsia" w:ascii="宋体" w:hAnsi="宋体" w:cs="宋体"/>
        </w:rPr>
        <w:t>（1）本项目的所有硬件设备，提供原厂商5年7*24小时服务，基础软件提供原厂5年技术服务，保修期从项目竣工验收完成后开始计算。</w:t>
      </w:r>
    </w:p>
    <w:p>
      <w:pPr>
        <w:pStyle w:val="63"/>
        <w:ind w:firstLine="480"/>
        <w:rPr>
          <w:rFonts w:ascii="宋体" w:hAnsi="宋体" w:cs="宋体"/>
        </w:rPr>
      </w:pPr>
      <w:r>
        <w:rPr>
          <w:rFonts w:hint="eastAsia" w:ascii="宋体" w:hAnsi="宋体" w:cs="宋体"/>
        </w:rPr>
        <w:t>（2）在保修期内由于设备本身质量原因造成的任何损伤或损坏，中标方须免费负责修理或更换。</w:t>
      </w:r>
    </w:p>
    <w:p>
      <w:pPr>
        <w:pStyle w:val="63"/>
        <w:ind w:firstLine="480"/>
        <w:rPr>
          <w:rFonts w:ascii="宋体" w:hAnsi="宋体" w:cs="宋体"/>
        </w:rPr>
      </w:pPr>
      <w:r>
        <w:rPr>
          <w:rFonts w:hint="eastAsia" w:ascii="宋体" w:hAnsi="宋体" w:cs="宋体"/>
        </w:rPr>
        <w:t>（3）在接到报修通知后，中标方应在15分钟内响应。对于影响系统正常运行的严重故障（包括由系统软硬件等原因引起的），中标方工程师及其它相关技术人员必须在2-4小时内赶到现场，查找原因，提出解决方案，并工作直至故障修妥完全恢复正常服务为止，一般要求保证系统在4-6小时之内修复，并需要提供确保承诺实现的措施。</w:t>
      </w:r>
    </w:p>
    <w:p>
      <w:pPr>
        <w:pStyle w:val="63"/>
        <w:ind w:firstLine="480"/>
        <w:rPr>
          <w:rFonts w:ascii="宋体" w:hAnsi="宋体" w:cs="宋体"/>
        </w:rPr>
      </w:pPr>
      <w:r>
        <w:rPr>
          <w:rFonts w:hint="eastAsia" w:ascii="宋体" w:hAnsi="宋体" w:cs="宋体"/>
        </w:rPr>
        <w:t>（4）在保修期结束前，须由中标方工程师和采购方代表进行一次全面检查，任何缺陷必须由中标方负责修理，在修理之后，中标方应将缺陷原因、修理内容、完成修理及恢复正常的时间和日期等报告给采购方。</w:t>
      </w:r>
    </w:p>
    <w:p>
      <w:pPr>
        <w:pStyle w:val="63"/>
        <w:ind w:firstLine="480"/>
        <w:rPr>
          <w:rFonts w:ascii="宋体" w:hAnsi="宋体" w:cs="宋体"/>
        </w:rPr>
      </w:pPr>
      <w:r>
        <w:rPr>
          <w:rFonts w:hint="eastAsia" w:ascii="宋体" w:hAnsi="宋体" w:cs="宋体"/>
        </w:rPr>
        <w:t>（5）中标方须作出无推诿承诺。即中标方应提供特殊措施，无论由于哪一方产生的问题而使系统发生不正常情况时，并在得到采购方通知后，须立即派工程师到场，使系统尽快恢复正常。</w:t>
      </w:r>
    </w:p>
    <w:p>
      <w:pPr>
        <w:pStyle w:val="4"/>
        <w:rPr>
          <w:sz w:val="24"/>
          <w:szCs w:val="24"/>
        </w:rPr>
      </w:pPr>
      <w:r>
        <w:rPr>
          <w:rFonts w:hint="eastAsia"/>
          <w:sz w:val="24"/>
          <w:szCs w:val="24"/>
          <w:lang w:val="en-US" w:eastAsia="zh-CN"/>
        </w:rPr>
        <w:t>5、</w:t>
      </w:r>
      <w:r>
        <w:rPr>
          <w:rFonts w:hint="eastAsia"/>
          <w:sz w:val="24"/>
          <w:szCs w:val="24"/>
        </w:rPr>
        <w:t>项目验收要求</w:t>
      </w:r>
    </w:p>
    <w:p>
      <w:pPr>
        <w:pStyle w:val="63"/>
        <w:ind w:firstLine="480"/>
        <w:rPr>
          <w:rFonts w:ascii="宋体" w:hAnsi="宋体" w:cs="宋体"/>
        </w:rPr>
      </w:pPr>
      <w:r>
        <w:rPr>
          <w:rFonts w:hint="eastAsia" w:ascii="宋体" w:hAnsi="宋体" w:cs="宋体"/>
        </w:rPr>
        <w:t>项目的验收包括初步验收、试运行和竣工验收。</w:t>
      </w:r>
    </w:p>
    <w:p>
      <w:pPr>
        <w:pStyle w:val="63"/>
        <w:ind w:firstLine="480"/>
        <w:rPr>
          <w:rFonts w:ascii="宋体" w:hAnsi="宋体" w:cs="宋体"/>
        </w:rPr>
      </w:pPr>
      <w:r>
        <w:rPr>
          <w:rFonts w:hint="eastAsia" w:ascii="宋体" w:hAnsi="宋体" w:cs="宋体"/>
        </w:rPr>
        <w:t>（1）项目初验</w:t>
      </w:r>
    </w:p>
    <w:p>
      <w:pPr>
        <w:pStyle w:val="63"/>
        <w:ind w:firstLine="480"/>
        <w:rPr>
          <w:rFonts w:ascii="宋体" w:hAnsi="宋体" w:cs="宋体"/>
        </w:rPr>
      </w:pPr>
      <w:r>
        <w:rPr>
          <w:rFonts w:hint="eastAsia" w:ascii="宋体" w:hAnsi="宋体" w:cs="宋体"/>
        </w:rPr>
        <w:t>项目初验前，中标方应首先对系统进行自测，并将系统自测报告提交采购方和监理方审查。中标方依本合同约定向采购方提交成果及相关文档，并向采购方提出初验申请。采购方接到中标方初验申请后，组织相关单位进行初验，初验合格后联合签署初验报告。</w:t>
      </w:r>
    </w:p>
    <w:p>
      <w:pPr>
        <w:pStyle w:val="63"/>
        <w:ind w:firstLine="480"/>
        <w:rPr>
          <w:rFonts w:ascii="宋体" w:hAnsi="宋体" w:cs="宋体"/>
        </w:rPr>
      </w:pPr>
      <w:r>
        <w:rPr>
          <w:rFonts w:hint="eastAsia" w:ascii="宋体" w:hAnsi="宋体" w:cs="宋体"/>
        </w:rPr>
        <w:t>（2）试运行</w:t>
      </w:r>
    </w:p>
    <w:p>
      <w:pPr>
        <w:pStyle w:val="63"/>
        <w:ind w:firstLine="480"/>
        <w:rPr>
          <w:rFonts w:ascii="宋体" w:hAnsi="宋体" w:cs="宋体"/>
        </w:rPr>
      </w:pPr>
      <w:r>
        <w:rPr>
          <w:rFonts w:hint="eastAsia" w:ascii="宋体" w:hAnsi="宋体" w:cs="宋体"/>
        </w:rPr>
        <w:t>初验合格后，系统进入试运行，试运行时间为3个月。</w:t>
      </w:r>
    </w:p>
    <w:p>
      <w:pPr>
        <w:pStyle w:val="63"/>
        <w:ind w:firstLine="480"/>
        <w:rPr>
          <w:rFonts w:ascii="宋体" w:hAnsi="宋体" w:cs="宋体"/>
        </w:rPr>
      </w:pPr>
      <w:r>
        <w:rPr>
          <w:rFonts w:hint="eastAsia" w:ascii="宋体" w:hAnsi="宋体" w:cs="宋体"/>
        </w:rPr>
        <w:t>（3）终验</w:t>
      </w:r>
    </w:p>
    <w:p>
      <w:pPr>
        <w:pStyle w:val="63"/>
        <w:ind w:firstLine="480"/>
        <w:rPr>
          <w:rFonts w:ascii="宋体" w:hAnsi="宋体" w:cs="宋体"/>
        </w:rPr>
      </w:pPr>
      <w:r>
        <w:rPr>
          <w:rFonts w:hint="eastAsia" w:ascii="宋体" w:hAnsi="宋体" w:cs="宋体"/>
        </w:rPr>
        <w:t>系统通过试运行后，中标方向采购方提出终验申请，采购方组织相关单位进行系统的终验。系统终验通过，进入正式运行阶段。系统终验收合格的条件必须至少满足以下三个要求：已提供了合同要求的全部设备、软件和资料；试运行时性能满足合同及招标文件、中标方投标文件要求；性能测试和试运行验收时出现的问题已被解决。</w:t>
      </w:r>
    </w:p>
    <w:p>
      <w:pPr>
        <w:pStyle w:val="3"/>
        <w:numPr>
          <w:ilvl w:val="0"/>
          <w:numId w:val="0"/>
        </w:numPr>
        <w:jc w:val="both"/>
        <w:rPr>
          <w:rFonts w:ascii="宋体" w:hAnsi="宋体" w:cs="宋体"/>
          <w:b w:val="0"/>
          <w:bCs w:val="0"/>
          <w:kern w:val="2"/>
          <w:sz w:val="24"/>
          <w:szCs w:val="24"/>
        </w:rPr>
      </w:pPr>
      <w:r>
        <w:rPr>
          <w:rFonts w:hint="eastAsia"/>
          <w:sz w:val="24"/>
          <w:szCs w:val="24"/>
        </w:rPr>
        <w:t>（五）预算及报价说明</w:t>
      </w:r>
    </w:p>
    <w:p>
      <w:pPr>
        <w:spacing w:line="360" w:lineRule="auto"/>
        <w:ind w:firstLine="480" w:firstLineChars="200"/>
        <w:jc w:val="both"/>
        <w:rPr>
          <w:sz w:val="24"/>
        </w:rPr>
      </w:pPr>
      <w:r>
        <w:rPr>
          <w:rFonts w:hint="eastAsia"/>
          <w:sz w:val="24"/>
        </w:rPr>
        <w:t>1.投标报价：包括设备采购、系统集成、测试、实施部署、培训、维护、税费等所有费用，即一直到整个系统调试验收合格交付业主使用，业主不再另行支付费用。</w:t>
      </w:r>
    </w:p>
    <w:p>
      <w:pPr>
        <w:spacing w:line="360" w:lineRule="auto"/>
        <w:ind w:firstLine="480" w:firstLineChars="200"/>
        <w:jc w:val="both"/>
        <w:rPr>
          <w:sz w:val="24"/>
        </w:rPr>
      </w:pPr>
      <w:r>
        <w:rPr>
          <w:rFonts w:hint="eastAsia"/>
          <w:sz w:val="24"/>
        </w:rPr>
        <w:t>2.投标人在总报价基础上按采购清单的各设备分别报价，采购方在今后系统扩展需增加建设时，若采购投标人子系统内容，投标人不得超过本次投标报价。</w:t>
      </w:r>
    </w:p>
    <w:p>
      <w:pPr>
        <w:pStyle w:val="8"/>
        <w:numPr>
          <w:ilvl w:val="0"/>
          <w:numId w:val="0"/>
        </w:numPr>
        <w:ind w:left="420" w:leftChars="200"/>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w:t>
      </w:r>
      <w:r>
        <w:rPr>
          <w:rFonts w:hint="eastAsia" w:asciiTheme="minorEastAsia" w:hAnsiTheme="minorEastAsia" w:eastAsiaTheme="minorEastAsia"/>
          <w:b/>
          <w:sz w:val="24"/>
        </w:rPr>
        <w:t>商务需求</w:t>
      </w:r>
    </w:p>
    <w:p>
      <w:pPr>
        <w:pStyle w:val="21"/>
        <w:adjustRightInd w:val="0"/>
        <w:snapToGrid w:val="0"/>
        <w:spacing w:line="360" w:lineRule="auto"/>
        <w:ind w:firstLine="0" w:firstLineChars="0"/>
        <w:rPr>
          <w:rFonts w:asciiTheme="minorEastAsia" w:hAnsiTheme="minorEastAsia" w:eastAsiaTheme="minorEastAsia"/>
          <w:bCs/>
          <w:sz w:val="24"/>
        </w:rPr>
      </w:pPr>
      <w:r>
        <w:rPr>
          <w:rFonts w:hint="eastAsia" w:asciiTheme="minorEastAsia" w:hAnsiTheme="minorEastAsia" w:eastAsiaTheme="minorEastAsia"/>
          <w:b/>
          <w:sz w:val="24"/>
        </w:rPr>
        <w:t>1、质保期：</w:t>
      </w:r>
      <w:r>
        <w:rPr>
          <w:rFonts w:hint="eastAsia" w:asciiTheme="minorEastAsia" w:hAnsiTheme="minorEastAsia" w:eastAsiaTheme="minorEastAsia"/>
          <w:bCs/>
          <w:sz w:val="24"/>
        </w:rPr>
        <w:t>提供五年质保。</w:t>
      </w:r>
    </w:p>
    <w:p>
      <w:pPr>
        <w:pStyle w:val="12"/>
        <w:adjustRightInd w:val="0"/>
        <w:snapToGrid w:val="0"/>
        <w:spacing w:line="360" w:lineRule="auto"/>
        <w:outlineLvl w:val="0"/>
        <w:rPr>
          <w:rFonts w:asciiTheme="minorEastAsia" w:hAnsiTheme="minorEastAsia" w:eastAsiaTheme="minorEastAsia"/>
          <w:kern w:val="0"/>
          <w:sz w:val="24"/>
        </w:rPr>
      </w:pPr>
      <w:r>
        <w:rPr>
          <w:rFonts w:hint="eastAsia" w:asciiTheme="minorEastAsia" w:hAnsiTheme="minorEastAsia" w:eastAsiaTheme="minorEastAsia"/>
          <w:b/>
          <w:kern w:val="0"/>
          <w:sz w:val="24"/>
        </w:rPr>
        <w:t>2、交货时间及地点：</w:t>
      </w:r>
      <w:r>
        <w:rPr>
          <w:rFonts w:hint="eastAsia" w:asciiTheme="minorEastAsia" w:hAnsiTheme="minorEastAsia" w:eastAsiaTheme="minorEastAsia"/>
          <w:kern w:val="0"/>
          <w:sz w:val="24"/>
        </w:rPr>
        <w:t>同前面“招标项目一览表”内所填的相关内容。</w:t>
      </w:r>
    </w:p>
    <w:p>
      <w:pPr>
        <w:pStyle w:val="21"/>
        <w:spacing w:line="360" w:lineRule="auto"/>
        <w:ind w:firstLine="0" w:firstLineChars="0"/>
        <w:rPr>
          <w:rFonts w:ascii="宋体" w:hAnsi="宋体" w:eastAsiaTheme="minorEastAsia"/>
          <w:color w:val="FF0000"/>
          <w:sz w:val="24"/>
        </w:rPr>
      </w:pPr>
      <w:r>
        <w:rPr>
          <w:rFonts w:hint="eastAsia" w:asciiTheme="minorEastAsia" w:hAnsiTheme="minorEastAsia" w:eastAsiaTheme="minorEastAsia"/>
          <w:b/>
          <w:color w:val="FF0000"/>
          <w:kern w:val="0"/>
          <w:sz w:val="24"/>
        </w:rPr>
        <w:t>3、</w:t>
      </w:r>
      <w:r>
        <w:rPr>
          <w:rFonts w:hint="eastAsia" w:asciiTheme="minorEastAsia" w:hAnsiTheme="minorEastAsia" w:eastAsiaTheme="minorEastAsia"/>
          <w:b/>
          <w:color w:val="FF0000"/>
          <w:sz w:val="24"/>
        </w:rPr>
        <w:t>付款条件：</w:t>
      </w:r>
      <w:r>
        <w:rPr>
          <w:rFonts w:hint="eastAsia" w:ascii="宋体" w:hAnsi="宋体" w:eastAsiaTheme="minorEastAsia"/>
          <w:color w:val="FF0000"/>
          <w:sz w:val="24"/>
        </w:rPr>
        <w:t xml:space="preserve"> 设备到货支付30%；项目通过初验后15个工作日内，支付合同总价的60%；终验后15个工作日内支付合同总价的10%。</w:t>
      </w:r>
    </w:p>
    <w:p>
      <w:pPr>
        <w:pStyle w:val="10"/>
        <w:spacing w:line="360" w:lineRule="auto"/>
        <w:rPr>
          <w:rFonts w:ascii="宋体" w:hAnsi="宋体" w:cs="宋体"/>
        </w:rPr>
      </w:pPr>
      <w:r>
        <w:rPr>
          <w:rFonts w:hint="eastAsia" w:asciiTheme="minorEastAsia" w:hAnsiTheme="minorEastAsia" w:eastAsiaTheme="minorEastAsia" w:cstheme="minorBidi"/>
          <w:kern w:val="0"/>
        </w:rPr>
        <w:t>4、</w:t>
      </w:r>
      <w:r>
        <w:rPr>
          <w:rFonts w:hint="eastAsia" w:ascii="宋体" w:hAnsi="宋体" w:cs="宋体"/>
          <w:b/>
          <w:snapToGrid w:val="0"/>
          <w:kern w:val="0"/>
        </w:rPr>
        <w:t>履约保证金：</w:t>
      </w:r>
      <w:r>
        <w:rPr>
          <w:sz w:val="24"/>
          <w:szCs w:val="24"/>
        </w:rPr>
        <w:t>项目初验前</w:t>
      </w:r>
      <w:r>
        <w:rPr>
          <w:rFonts w:hint="eastAsia"/>
          <w:sz w:val="24"/>
          <w:szCs w:val="24"/>
          <w:lang w:eastAsia="zh-CN"/>
        </w:rPr>
        <w:t>，</w:t>
      </w:r>
      <w:r>
        <w:rPr>
          <w:rFonts w:hint="eastAsia" w:asciiTheme="majorEastAsia" w:hAnsiTheme="majorEastAsia" w:cstheme="majorEastAsia"/>
        </w:rPr>
        <w:t>中标人需支付合同金额的5%作为履约保证金，</w:t>
      </w:r>
      <w:r>
        <w:rPr>
          <w:rFonts w:hint="eastAsia" w:ascii="宋体" w:hAnsi="宋体" w:cs="宋体"/>
        </w:rPr>
        <w:t>履约保证金在质保期（</w:t>
      </w:r>
      <w:r>
        <w:rPr>
          <w:rFonts w:hint="eastAsia" w:ascii="宋体" w:hAnsi="宋体" w:cs="宋体"/>
          <w:bCs/>
          <w:snapToGrid w:val="0"/>
          <w:kern w:val="0"/>
        </w:rPr>
        <w:t>项目终验通过后</w:t>
      </w:r>
      <w:r>
        <w:rPr>
          <w:rFonts w:hint="eastAsia" w:ascii="宋体" w:hAnsi="宋体" w:cs="宋体"/>
        </w:rPr>
        <w:t>起算5年）满后15个工作日内无息</w:t>
      </w:r>
      <w:r>
        <w:rPr>
          <w:rFonts w:hint="eastAsia" w:asciiTheme="majorEastAsia" w:hAnsiTheme="majorEastAsia" w:cstheme="majorEastAsia"/>
        </w:rPr>
        <w:t>退还</w:t>
      </w:r>
      <w:r>
        <w:rPr>
          <w:rFonts w:hint="eastAsia" w:ascii="宋体" w:hAnsi="宋体" w:cs="宋体"/>
        </w:rPr>
        <w:t>。</w:t>
      </w: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pStyle w:val="10"/>
        <w:spacing w:line="360" w:lineRule="auto"/>
        <w:rPr>
          <w:rFonts w:hint="eastAsia" w:ascii="宋体" w:hAnsi="宋体" w:cs="宋体"/>
          <w:sz w:val="24"/>
          <w:szCs w:val="24"/>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2"/>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2"/>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2"/>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2"/>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2"/>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2"/>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u w:val="none"/>
          <w:lang w:val="en-US" w:eastAsia="zh-CN"/>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lang w:val="en-US" w:eastAsia="zh-CN"/>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lang w:val="en-US" w:eastAsia="zh-CN"/>
        </w:rPr>
        <w:t>质保期满1年后</w:t>
      </w:r>
      <w:r>
        <w:rPr>
          <w:rFonts w:hint="eastAsia" w:asciiTheme="minorEastAsia" w:hAnsiTheme="minorEastAsia" w:eastAsiaTheme="minorEastAsia" w:cstheme="minorBidi"/>
          <w:sz w:val="24"/>
          <w:lang w:val="zh-CN"/>
        </w:rPr>
        <w:t>无息退还。]</w:t>
      </w:r>
    </w:p>
    <w:p>
      <w:pPr>
        <w:pStyle w:val="12"/>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2"/>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2"/>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2"/>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2"/>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2"/>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2"/>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2"/>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2"/>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2"/>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2"/>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2"/>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2"/>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2"/>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2"/>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2"/>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2"/>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2"/>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2"/>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2"/>
        <w:numPr>
          <w:ilvl w:val="0"/>
          <w:numId w:val="14"/>
        </w:numPr>
        <w:snapToGrid w:val="0"/>
        <w:spacing w:before="120" w:after="120" w:line="360" w:lineRule="auto"/>
        <w:ind w:left="420" w:leftChars="0" w:hanging="420" w:hangingChars="175"/>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乙方运送的货物涉及商品包装和快递包装的，参考《商品包装政府采购需求标准（试行）》、《快递包装政府采购需求标准（试行）》（财办库［2020］123号）</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2"/>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spacing w:line="360" w:lineRule="auto"/>
        <w:jc w:val="left"/>
        <w:rPr>
          <w:rFonts w:asciiTheme="majorEastAsia" w:hAnsiTheme="majorEastAsia" w:eastAsiaTheme="majorEastAsia"/>
          <w:color w:val="00B0F0"/>
          <w:sz w:val="28"/>
          <w:szCs w:val="28"/>
        </w:rPr>
      </w:pPr>
    </w:p>
    <w:p>
      <w:pPr>
        <w:pStyle w:val="29"/>
        <w:rPr>
          <w:color w:val="auto"/>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5"/>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5"/>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5"/>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keepNext w:val="0"/>
        <w:keepLines w:val="0"/>
        <w:pageBreakBefore w:val="0"/>
        <w:widowControl w:val="0"/>
        <w:kinsoku/>
        <w:wordWrap/>
        <w:overflowPunct/>
        <w:topLinePunct w:val="0"/>
        <w:autoSpaceDE/>
        <w:autoSpaceDN/>
        <w:bidi w:val="0"/>
        <w:spacing w:line="312" w:lineRule="auto"/>
        <w:textAlignment w:val="auto"/>
        <w:rPr>
          <w:rFonts w:ascii="宋体" w:hAnsi="宋体"/>
          <w:b/>
          <w:sz w:val="28"/>
        </w:rPr>
      </w:pPr>
      <w:r>
        <w:rPr>
          <w:rFonts w:hint="eastAsia" w:ascii="宋体" w:hAnsi="宋体"/>
          <w:b/>
          <w:sz w:val="28"/>
        </w:rPr>
        <w:t>附件2</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6"/>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12" w:lineRule="auto"/>
        <w:ind w:firstLine="480"/>
        <w:textAlignment w:val="auto"/>
        <w:rPr>
          <w:rFonts w:ascii="宋体" w:hAnsi="宋体" w:cs="仿宋_GB2312"/>
          <w:kern w:val="0"/>
          <w:sz w:val="24"/>
        </w:rPr>
      </w:pPr>
    </w:p>
    <w:p>
      <w:pPr>
        <w:keepNext w:val="0"/>
        <w:keepLines w:val="0"/>
        <w:pageBreakBefore w:val="0"/>
        <w:widowControl w:val="0"/>
        <w:kinsoku/>
        <w:wordWrap/>
        <w:overflowPunct/>
        <w:topLinePunct w:val="0"/>
        <w:autoSpaceDE/>
        <w:autoSpaceDN/>
        <w:bidi w:val="0"/>
        <w:adjustRightInd w:val="0"/>
        <w:snapToGrid w:val="0"/>
        <w:spacing w:line="312" w:lineRule="auto"/>
        <w:ind w:firstLine="4680" w:firstLineChars="1950"/>
        <w:textAlignment w:val="auto"/>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pStyle w:val="12"/>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w:t>
      </w:r>
      <w:r>
        <w:rPr>
          <w:rFonts w:hint="eastAsia" w:ascii="宋体"/>
          <w:sz w:val="24"/>
          <w:lang w:eastAsia="zh-CN"/>
        </w:rPr>
        <w:t>电子印章</w:t>
      </w:r>
      <w:r>
        <w:rPr>
          <w:rFonts w:hint="eastAsia" w:ascii="宋体"/>
          <w:sz w:val="24"/>
        </w:rPr>
        <w:t>）：                              日期：</w:t>
      </w:r>
    </w:p>
    <w:p>
      <w:pPr>
        <w:spacing w:line="360" w:lineRule="auto"/>
        <w:rPr>
          <w:sz w:val="24"/>
        </w:rPr>
      </w:pP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r>
        <w:rPr>
          <w:rFonts w:hint="eastAsia"/>
          <w:b/>
          <w:sz w:val="28"/>
        </w:rPr>
        <w:t>附件5</w:t>
      </w:r>
    </w:p>
    <w:p>
      <w:pPr>
        <w:pStyle w:val="34"/>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3"/>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4"/>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4"/>
              <w:shd w:val="clear" w:color="auto" w:fill="FFFFFF"/>
              <w:spacing w:line="360" w:lineRule="auto"/>
              <w:rPr>
                <w:bCs/>
                <w:color w:val="000000"/>
              </w:rPr>
            </w:pPr>
          </w:p>
        </w:tc>
        <w:tc>
          <w:tcPr>
            <w:tcW w:w="2001" w:type="dxa"/>
            <w:gridSpan w:val="3"/>
          </w:tcPr>
          <w:p>
            <w:pPr>
              <w:pStyle w:val="34"/>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4"/>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4"/>
              <w:shd w:val="clear" w:color="auto" w:fill="FFFFFF"/>
              <w:spacing w:line="360" w:lineRule="auto"/>
              <w:ind w:left="107"/>
              <w:rPr>
                <w:bCs/>
                <w:color w:val="000000"/>
              </w:rPr>
            </w:pPr>
          </w:p>
        </w:tc>
        <w:tc>
          <w:tcPr>
            <w:tcW w:w="701" w:type="dxa"/>
            <w:vMerge w:val="continue"/>
            <w:tcBorders>
              <w:bottom w:val="single" w:color="auto" w:sz="4" w:space="0"/>
            </w:tcBorders>
          </w:tcPr>
          <w:p>
            <w:pPr>
              <w:pStyle w:val="34"/>
              <w:shd w:val="clear" w:color="auto" w:fill="FFFFFF"/>
              <w:spacing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4"/>
              <w:shd w:val="clear" w:color="auto" w:fill="FFFFFF"/>
              <w:spacing w:line="360" w:lineRule="auto"/>
              <w:rPr>
                <w:bCs/>
                <w:color w:val="000000"/>
                <w:spacing w:val="16"/>
              </w:rPr>
            </w:pPr>
          </w:p>
        </w:tc>
        <w:tc>
          <w:tcPr>
            <w:tcW w:w="2001" w:type="dxa"/>
            <w:gridSpan w:val="3"/>
            <w:vMerge w:val="continue"/>
          </w:tcPr>
          <w:p>
            <w:pPr>
              <w:pStyle w:val="34"/>
              <w:shd w:val="clear" w:color="auto" w:fill="FFFFFF"/>
              <w:spacing w:line="360" w:lineRule="auto"/>
              <w:rPr>
                <w:bCs/>
                <w:color w:val="000000"/>
                <w:spacing w:val="16"/>
              </w:rPr>
            </w:pPr>
          </w:p>
        </w:tc>
        <w:tc>
          <w:tcPr>
            <w:tcW w:w="2151" w:type="dxa"/>
            <w:gridSpan w:val="2"/>
            <w:vMerge w:val="continue"/>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4"/>
              <w:shd w:val="clear" w:color="auto" w:fill="FFFFFF"/>
              <w:spacing w:line="360" w:lineRule="auto"/>
              <w:ind w:left="107"/>
              <w:rPr>
                <w:bCs/>
                <w:color w:val="000000"/>
              </w:rPr>
            </w:pPr>
            <w:r>
              <w:rPr>
                <w:bCs/>
                <w:color w:val="000000"/>
              </w:rPr>
              <w:t>1</w:t>
            </w:r>
            <w:r>
              <w:rPr>
                <w:rFonts w:hint="eastAsia"/>
                <w:bCs/>
                <w:color w:val="000000"/>
              </w:rPr>
              <w:t>.</w:t>
            </w:r>
          </w:p>
          <w:p>
            <w:pPr>
              <w:pStyle w:val="34"/>
              <w:shd w:val="clear" w:color="auto" w:fill="FFFFFF"/>
              <w:spacing w:line="360" w:lineRule="auto"/>
              <w:ind w:left="107"/>
              <w:rPr>
                <w:bCs/>
                <w:color w:val="000000"/>
              </w:rPr>
            </w:pPr>
            <w:r>
              <w:rPr>
                <w:rFonts w:hint="eastAsia"/>
                <w:bCs/>
                <w:color w:val="000000"/>
              </w:rPr>
              <w:t>企</w:t>
            </w:r>
          </w:p>
          <w:p>
            <w:pPr>
              <w:pStyle w:val="34"/>
              <w:shd w:val="clear" w:color="auto" w:fill="FFFFFF"/>
              <w:spacing w:line="360" w:lineRule="auto"/>
              <w:ind w:left="107"/>
              <w:rPr>
                <w:bCs/>
                <w:color w:val="000000"/>
              </w:rPr>
            </w:pPr>
            <w:r>
              <w:rPr>
                <w:rFonts w:hint="eastAsia"/>
                <w:bCs/>
                <w:color w:val="000000"/>
              </w:rPr>
              <w:t>业</w:t>
            </w:r>
          </w:p>
          <w:p>
            <w:pPr>
              <w:pStyle w:val="34"/>
              <w:shd w:val="clear" w:color="auto" w:fill="FFFFFF"/>
              <w:spacing w:line="360" w:lineRule="auto"/>
              <w:ind w:left="107"/>
              <w:rPr>
                <w:bCs/>
                <w:color w:val="000000"/>
                <w:spacing w:val="27"/>
              </w:rPr>
            </w:pPr>
            <w:r>
              <w:rPr>
                <w:rFonts w:hint="eastAsia"/>
                <w:bCs/>
                <w:color w:val="000000"/>
                <w:spacing w:val="27"/>
              </w:rPr>
              <w:t>概</w:t>
            </w:r>
          </w:p>
          <w:p>
            <w:pPr>
              <w:pStyle w:val="34"/>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4"/>
              <w:shd w:val="clear" w:color="auto" w:fill="FFFFFF"/>
              <w:spacing w:line="360" w:lineRule="auto"/>
              <w:rPr>
                <w:bCs/>
                <w:color w:val="000000"/>
                <w:spacing w:val="16"/>
              </w:rPr>
            </w:pPr>
          </w:p>
        </w:tc>
        <w:tc>
          <w:tcPr>
            <w:tcW w:w="1163" w:type="dxa"/>
            <w:tcBorders>
              <w:top w:val="nil"/>
            </w:tcBorders>
          </w:tcPr>
          <w:p>
            <w:pPr>
              <w:pStyle w:val="3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4"/>
              <w:shd w:val="clear" w:color="auto" w:fill="FFFFFF"/>
              <w:spacing w:line="360" w:lineRule="auto"/>
              <w:rPr>
                <w:bCs/>
                <w:color w:val="000000"/>
              </w:rPr>
            </w:pPr>
          </w:p>
        </w:tc>
        <w:tc>
          <w:tcPr>
            <w:tcW w:w="1163" w:type="dxa"/>
          </w:tcPr>
          <w:p>
            <w:pPr>
              <w:pStyle w:val="34"/>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4"/>
              <w:shd w:val="clear" w:color="auto" w:fill="FFFFFF"/>
              <w:spacing w:line="360" w:lineRule="auto"/>
              <w:ind w:firstLine="480" w:firstLineChars="200"/>
              <w:rPr>
                <w:bCs/>
                <w:color w:val="000000"/>
              </w:rPr>
            </w:pPr>
            <w:r>
              <w:rPr>
                <w:rFonts w:hint="eastAsia"/>
                <w:bCs/>
                <w:color w:val="000000"/>
              </w:rPr>
              <w:t xml:space="preserve">平方米 </w:t>
            </w:r>
          </w:p>
          <w:p>
            <w:pPr>
              <w:pStyle w:val="34"/>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4"/>
              <w:shd w:val="clear" w:color="auto" w:fill="FFFFFF"/>
              <w:spacing w:line="360" w:lineRule="auto"/>
              <w:ind w:left="2"/>
              <w:rPr>
                <w:bCs/>
                <w:color w:val="000000"/>
              </w:rPr>
            </w:pPr>
          </w:p>
        </w:tc>
        <w:tc>
          <w:tcPr>
            <w:tcW w:w="1163" w:type="dxa"/>
          </w:tcPr>
          <w:p>
            <w:pPr>
              <w:pStyle w:val="3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4"/>
              <w:shd w:val="clear" w:color="auto" w:fill="FFFFFF"/>
              <w:spacing w:line="360" w:lineRule="auto"/>
              <w:ind w:left="107"/>
              <w:rPr>
                <w:bCs/>
                <w:color w:val="000000"/>
              </w:rPr>
            </w:pPr>
          </w:p>
        </w:tc>
        <w:tc>
          <w:tcPr>
            <w:tcW w:w="1218" w:type="dxa"/>
          </w:tcPr>
          <w:p>
            <w:pPr>
              <w:pStyle w:val="3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4"/>
              <w:shd w:val="clear" w:color="auto" w:fill="FFFFFF"/>
              <w:spacing w:line="360" w:lineRule="auto"/>
              <w:ind w:left="107"/>
              <w:rPr>
                <w:bCs/>
                <w:color w:val="000000"/>
              </w:rPr>
            </w:pPr>
          </w:p>
        </w:tc>
        <w:tc>
          <w:tcPr>
            <w:tcW w:w="8131" w:type="dxa"/>
            <w:gridSpan w:val="11"/>
          </w:tcPr>
          <w:p>
            <w:pPr>
              <w:pStyle w:val="3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4"/>
              <w:shd w:val="clear" w:color="auto" w:fill="FFFFFF"/>
              <w:spacing w:line="360" w:lineRule="auto"/>
              <w:ind w:left="107"/>
              <w:rPr>
                <w:bCs/>
                <w:color w:val="000000"/>
              </w:rPr>
            </w:pPr>
            <w:r>
              <w:rPr>
                <w:bCs/>
                <w:color w:val="000000"/>
              </w:rPr>
              <w:t>2</w:t>
            </w:r>
            <w:r>
              <w:rPr>
                <w:rFonts w:hint="eastAsia"/>
                <w:bCs/>
                <w:color w:val="000000"/>
              </w:rPr>
              <w:t>．</w:t>
            </w:r>
          </w:p>
          <w:p>
            <w:pPr>
              <w:pStyle w:val="3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4"/>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4"/>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4"/>
              <w:shd w:val="clear" w:color="auto" w:fill="FFFFFF"/>
              <w:spacing w:line="360" w:lineRule="auto"/>
              <w:ind w:left="107"/>
              <w:rPr>
                <w:bCs/>
                <w:color w:val="000000"/>
              </w:rPr>
            </w:pPr>
          </w:p>
        </w:tc>
        <w:tc>
          <w:tcPr>
            <w:tcW w:w="1553" w:type="dxa"/>
            <w:gridSpan w:val="2"/>
            <w:vMerge w:val="continue"/>
          </w:tcPr>
          <w:p>
            <w:pPr>
              <w:pStyle w:val="34"/>
              <w:shd w:val="clear" w:color="auto" w:fill="FFFFFF"/>
              <w:spacing w:line="360" w:lineRule="auto"/>
              <w:rPr>
                <w:bCs/>
                <w:color w:val="000000"/>
              </w:rPr>
            </w:pPr>
          </w:p>
        </w:tc>
        <w:tc>
          <w:tcPr>
            <w:tcW w:w="1333" w:type="dxa"/>
            <w:gridSpan w:val="3"/>
          </w:tcPr>
          <w:p>
            <w:pPr>
              <w:pStyle w:val="34"/>
              <w:shd w:val="clear" w:color="auto" w:fill="FFFFFF"/>
              <w:spacing w:line="360" w:lineRule="auto"/>
              <w:rPr>
                <w:bCs/>
                <w:color w:val="000000"/>
              </w:rPr>
            </w:pPr>
          </w:p>
        </w:tc>
        <w:tc>
          <w:tcPr>
            <w:tcW w:w="1418" w:type="dxa"/>
            <w:gridSpan w:val="2"/>
          </w:tcPr>
          <w:p>
            <w:pPr>
              <w:pStyle w:val="34"/>
              <w:shd w:val="clear" w:color="auto" w:fill="FFFFFF"/>
              <w:spacing w:line="360" w:lineRule="auto"/>
              <w:rPr>
                <w:bCs/>
                <w:color w:val="000000"/>
              </w:rPr>
            </w:pPr>
          </w:p>
        </w:tc>
        <w:tc>
          <w:tcPr>
            <w:tcW w:w="1276" w:type="dxa"/>
          </w:tcPr>
          <w:p>
            <w:pPr>
              <w:pStyle w:val="34"/>
              <w:shd w:val="clear" w:color="auto" w:fill="FFFFFF"/>
              <w:spacing w:line="360" w:lineRule="auto"/>
              <w:rPr>
                <w:bCs/>
                <w:color w:val="000000"/>
              </w:rPr>
            </w:pPr>
          </w:p>
        </w:tc>
        <w:tc>
          <w:tcPr>
            <w:tcW w:w="2551" w:type="dxa"/>
            <w:gridSpan w:val="3"/>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4"/>
              <w:shd w:val="clear" w:color="auto" w:fill="FFFFFF"/>
              <w:spacing w:line="360" w:lineRule="auto"/>
              <w:ind w:left="107"/>
              <w:rPr>
                <w:bCs/>
                <w:color w:val="000000"/>
                <w:spacing w:val="16"/>
              </w:rPr>
            </w:pPr>
          </w:p>
        </w:tc>
        <w:tc>
          <w:tcPr>
            <w:tcW w:w="1553" w:type="dxa"/>
            <w:gridSpan w:val="2"/>
          </w:tcPr>
          <w:p>
            <w:pPr>
              <w:pStyle w:val="3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4"/>
              <w:shd w:val="clear" w:color="auto" w:fill="FFFFFF"/>
              <w:spacing w:line="360" w:lineRule="auto"/>
              <w:ind w:left="107"/>
              <w:rPr>
                <w:bCs/>
                <w:color w:val="000000"/>
                <w:spacing w:val="27"/>
              </w:rPr>
            </w:pPr>
          </w:p>
        </w:tc>
        <w:tc>
          <w:tcPr>
            <w:tcW w:w="1553" w:type="dxa"/>
            <w:gridSpan w:val="2"/>
          </w:tcPr>
          <w:p>
            <w:pPr>
              <w:pStyle w:val="3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4"/>
              <w:shd w:val="clear" w:color="auto" w:fill="FFFFFF"/>
              <w:spacing w:line="360" w:lineRule="auto"/>
              <w:rPr>
                <w:bCs/>
                <w:color w:val="000000"/>
                <w:spacing w:val="16"/>
              </w:rPr>
            </w:pPr>
          </w:p>
        </w:tc>
      </w:tr>
    </w:tbl>
    <w:p>
      <w:pPr>
        <w:pStyle w:val="34"/>
        <w:shd w:val="clear" w:color="auto" w:fill="FFFFFF"/>
        <w:spacing w:before="0" w:beforeAutospacing="0" w:after="0" w:afterAutospacing="0" w:line="360" w:lineRule="auto"/>
        <w:rPr>
          <w:rFonts w:ascii="仿宋_GB2312" w:eastAsia="仿宋_GB2312"/>
        </w:rPr>
      </w:pPr>
    </w:p>
    <w:p>
      <w:pPr>
        <w:pStyle w:val="34"/>
        <w:shd w:val="clear" w:color="auto" w:fill="FFFFFF"/>
        <w:spacing w:before="0" w:beforeAutospacing="0" w:after="0" w:afterAutospacing="0" w:line="360" w:lineRule="auto"/>
        <w:rPr>
          <w:b/>
          <w:sz w:val="21"/>
          <w:szCs w:val="21"/>
        </w:rPr>
      </w:pPr>
      <w:r>
        <w:rPr>
          <w:rFonts w:hint="eastAsia"/>
          <w:b/>
          <w:sz w:val="21"/>
          <w:szCs w:val="21"/>
        </w:rPr>
        <w:t>要求：</w:t>
      </w:r>
    </w:p>
    <w:p>
      <w:pPr>
        <w:pStyle w:val="34"/>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3"/>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3"/>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3"/>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3"/>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5"/>
        <w:spacing w:line="360" w:lineRule="auto"/>
        <w:ind w:left="424" w:leftChars="202"/>
        <w:rPr>
          <w:rFonts w:ascii="宋体" w:hAnsi="宋体"/>
          <w:szCs w:val="21"/>
        </w:rPr>
      </w:pPr>
      <w:r>
        <w:rPr>
          <w:rFonts w:hint="eastAsia" w:ascii="宋体" w:hAnsi="宋体"/>
          <w:szCs w:val="21"/>
        </w:rPr>
        <w:t>2.附人员证书</w:t>
      </w:r>
      <w:r>
        <w:rPr>
          <w:rFonts w:hint="eastAsia" w:ascii="宋体" w:hAnsi="宋体"/>
          <w:szCs w:val="21"/>
          <w:lang w:eastAsia="zh-CN"/>
        </w:rPr>
        <w:t>扫描件</w:t>
      </w:r>
      <w:r>
        <w:rPr>
          <w:rFonts w:hint="eastAsia" w:ascii="宋体" w:hAnsi="宋体"/>
          <w:szCs w:val="21"/>
        </w:rPr>
        <w:t>；</w:t>
      </w:r>
    </w:p>
    <w:p>
      <w:pPr>
        <w:pStyle w:val="35"/>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3"/>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6"/>
        <w:tabs>
          <w:tab w:val="left" w:pos="360"/>
        </w:tabs>
        <w:spacing w:line="360" w:lineRule="auto"/>
        <w:ind w:right="84" w:rightChars="40"/>
        <w:rPr>
          <w:rFonts w:ascii="宋体"/>
          <w:b/>
          <w:szCs w:val="21"/>
        </w:rPr>
      </w:pPr>
      <w:r>
        <w:rPr>
          <w:rFonts w:hint="eastAsia" w:ascii="宋体"/>
          <w:b/>
          <w:szCs w:val="21"/>
        </w:rPr>
        <w:t>要求：</w:t>
      </w:r>
    </w:p>
    <w:p>
      <w:pPr>
        <w:pStyle w:val="36"/>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6"/>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6"/>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7"/>
        <w:spacing w:line="360" w:lineRule="auto"/>
        <w:jc w:val="left"/>
        <w:rPr>
          <w:rFonts w:ascii="宋体" w:hAnsi="宋体"/>
          <w:b/>
          <w:sz w:val="28"/>
        </w:rPr>
      </w:pPr>
      <w:r>
        <w:rPr>
          <w:rFonts w:hint="eastAsia" w:ascii="宋体" w:hAnsi="宋体"/>
          <w:b/>
          <w:sz w:val="28"/>
        </w:rPr>
        <w:t>附件10</w:t>
      </w:r>
    </w:p>
    <w:p>
      <w:pPr>
        <w:pStyle w:val="38"/>
        <w:spacing w:line="360" w:lineRule="auto"/>
        <w:jc w:val="center"/>
        <w:rPr>
          <w:rFonts w:ascii="宋体" w:hAnsi="宋体"/>
          <w:b/>
          <w:sz w:val="32"/>
          <w:szCs w:val="32"/>
        </w:rPr>
      </w:pPr>
      <w:r>
        <w:rPr>
          <w:rFonts w:hint="eastAsia" w:ascii="宋体" w:hAnsi="宋体"/>
          <w:b/>
          <w:sz w:val="32"/>
          <w:szCs w:val="32"/>
        </w:rPr>
        <w:t>证书一览表</w:t>
      </w:r>
    </w:p>
    <w:p>
      <w:pPr>
        <w:pStyle w:val="38"/>
        <w:spacing w:line="360" w:lineRule="auto"/>
        <w:jc w:val="center"/>
        <w:rPr>
          <w:rFonts w:ascii="宋体" w:hAnsi="宋体" w:cs="Arial"/>
          <w:sz w:val="28"/>
          <w:szCs w:val="28"/>
        </w:rPr>
      </w:pPr>
    </w:p>
    <w:tbl>
      <w:tblPr>
        <w:tblStyle w:val="23"/>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8"/>
              <w:spacing w:line="360" w:lineRule="auto"/>
              <w:jc w:val="center"/>
              <w:rPr>
                <w:rFonts w:ascii="宋体" w:hAnsi="宋体" w:cs="Arial"/>
                <w:szCs w:val="21"/>
              </w:rPr>
            </w:pPr>
          </w:p>
        </w:tc>
        <w:tc>
          <w:tcPr>
            <w:tcW w:w="2258" w:type="dxa"/>
            <w:tcBorders>
              <w:top w:val="single" w:color="auto" w:sz="4" w:space="0"/>
            </w:tcBorders>
          </w:tcPr>
          <w:p>
            <w:pPr>
              <w:pStyle w:val="38"/>
              <w:spacing w:line="360" w:lineRule="auto"/>
              <w:jc w:val="center"/>
              <w:rPr>
                <w:rFonts w:ascii="宋体" w:hAnsi="宋体" w:cs="Arial"/>
                <w:szCs w:val="21"/>
              </w:rPr>
            </w:pPr>
          </w:p>
        </w:tc>
        <w:tc>
          <w:tcPr>
            <w:tcW w:w="2260" w:type="dxa"/>
            <w:tcBorders>
              <w:top w:val="single" w:color="auto" w:sz="4" w:space="0"/>
            </w:tcBorders>
          </w:tcPr>
          <w:p>
            <w:pPr>
              <w:pStyle w:val="38"/>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8"/>
              <w:spacing w:line="360" w:lineRule="auto"/>
              <w:jc w:val="center"/>
              <w:rPr>
                <w:rFonts w:ascii="宋体" w:hAnsi="宋体" w:cs="Arial"/>
                <w:szCs w:val="21"/>
              </w:rPr>
            </w:pPr>
          </w:p>
        </w:tc>
        <w:tc>
          <w:tcPr>
            <w:tcW w:w="2258" w:type="dxa"/>
            <w:tcBorders>
              <w:bottom w:val="single" w:color="auto" w:sz="4" w:space="0"/>
            </w:tcBorders>
          </w:tcPr>
          <w:p>
            <w:pPr>
              <w:pStyle w:val="38"/>
              <w:spacing w:line="360" w:lineRule="auto"/>
              <w:jc w:val="center"/>
              <w:rPr>
                <w:rFonts w:ascii="宋体" w:hAnsi="宋体" w:cs="Arial"/>
                <w:szCs w:val="21"/>
              </w:rPr>
            </w:pPr>
          </w:p>
        </w:tc>
        <w:tc>
          <w:tcPr>
            <w:tcW w:w="2260" w:type="dxa"/>
            <w:tcBorders>
              <w:bottom w:val="single" w:color="auto" w:sz="4" w:space="0"/>
            </w:tcBorders>
          </w:tcPr>
          <w:p>
            <w:pPr>
              <w:pStyle w:val="38"/>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8"/>
              <w:spacing w:line="360" w:lineRule="auto"/>
              <w:jc w:val="center"/>
              <w:rPr>
                <w:rFonts w:ascii="宋体" w:hAnsi="宋体" w:cs="Arial"/>
                <w:szCs w:val="21"/>
              </w:rPr>
            </w:pPr>
          </w:p>
        </w:tc>
      </w:tr>
    </w:tbl>
    <w:p>
      <w:pPr>
        <w:pStyle w:val="38"/>
        <w:tabs>
          <w:tab w:val="left" w:pos="1050"/>
        </w:tabs>
        <w:spacing w:line="360" w:lineRule="auto"/>
        <w:rPr>
          <w:rFonts w:ascii="仿宋_GB2312" w:hAnsi="宋体" w:eastAsia="仿宋_GB2312"/>
          <w:sz w:val="24"/>
        </w:rPr>
      </w:pPr>
    </w:p>
    <w:p>
      <w:pPr>
        <w:pStyle w:val="38"/>
        <w:tabs>
          <w:tab w:val="left" w:pos="1050"/>
        </w:tabs>
        <w:spacing w:line="360" w:lineRule="auto"/>
        <w:rPr>
          <w:rFonts w:ascii="宋体" w:hAnsi="宋体"/>
          <w:szCs w:val="21"/>
        </w:rPr>
      </w:pPr>
      <w:r>
        <w:rPr>
          <w:rFonts w:hint="eastAsia" w:ascii="宋体" w:hAnsi="宋体"/>
          <w:b/>
          <w:szCs w:val="21"/>
        </w:rPr>
        <w:t>要求：</w:t>
      </w:r>
    </w:p>
    <w:p>
      <w:pPr>
        <w:pStyle w:val="38"/>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8"/>
        <w:tabs>
          <w:tab w:val="left" w:pos="1050"/>
        </w:tabs>
        <w:spacing w:line="360" w:lineRule="auto"/>
        <w:ind w:firstLine="424" w:firstLineChars="202"/>
        <w:rPr>
          <w:rFonts w:ascii="宋体" w:hAnsi="宋体"/>
          <w:szCs w:val="21"/>
        </w:rPr>
      </w:pPr>
      <w:r>
        <w:rPr>
          <w:rFonts w:hint="eastAsia" w:ascii="宋体" w:hAnsi="宋体"/>
          <w:szCs w:val="21"/>
        </w:rPr>
        <w:t>2.附所列证书</w:t>
      </w:r>
      <w:r>
        <w:rPr>
          <w:rFonts w:hint="eastAsia" w:ascii="宋体" w:hAnsi="宋体"/>
          <w:szCs w:val="21"/>
          <w:lang w:eastAsia="zh-CN"/>
        </w:rPr>
        <w:t>扫描件</w:t>
      </w:r>
      <w:r>
        <w:rPr>
          <w:rFonts w:hint="eastAsia" w:ascii="宋体" w:hAnsi="宋体"/>
          <w:szCs w:val="21"/>
        </w:rPr>
        <w:t>或其他证明材料。</w:t>
      </w:r>
    </w:p>
    <w:p>
      <w:pPr>
        <w:pStyle w:val="38"/>
        <w:tabs>
          <w:tab w:val="left" w:pos="1050"/>
        </w:tabs>
        <w:spacing w:line="360" w:lineRule="auto"/>
        <w:ind w:firstLine="720" w:firstLineChars="300"/>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7"/>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7"/>
        <w:spacing w:line="360" w:lineRule="auto"/>
        <w:jc w:val="center"/>
        <w:rPr>
          <w:rFonts w:ascii="仿宋_GB2312" w:eastAsia="仿宋_GB2312"/>
          <w:b/>
          <w:sz w:val="28"/>
          <w:szCs w:val="28"/>
        </w:rPr>
      </w:pPr>
    </w:p>
    <w:tbl>
      <w:tblPr>
        <w:tblStyle w:val="23"/>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lang w:eastAsia="zh-CN"/>
        </w:rPr>
        <w:t>扫描件</w:t>
      </w:r>
      <w:r>
        <w:rPr>
          <w:rFonts w:hint="eastAsia" w:ascii="宋体" w:hAnsi="宋体" w:cs="Arial"/>
          <w:szCs w:val="21"/>
        </w:rPr>
        <w:t>可只提供首页、含金额页、盖章页并加盖投标人</w:t>
      </w:r>
      <w:r>
        <w:rPr>
          <w:rFonts w:hint="eastAsia" w:ascii="宋体" w:hAnsi="宋体" w:cs="Arial"/>
          <w:szCs w:val="21"/>
          <w:lang w:eastAsia="zh-CN"/>
        </w:rPr>
        <w:t>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8"/>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3"/>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9"/>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9"/>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9"/>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9"/>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9"/>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9"/>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9"/>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9"/>
              <w:widowControl/>
              <w:spacing w:line="360" w:lineRule="auto"/>
              <w:jc w:val="left"/>
              <w:rPr>
                <w:rFonts w:ascii="宋体" w:hAnsi="宋体" w:cs="Arial"/>
                <w:bCs/>
                <w:sz w:val="24"/>
              </w:rPr>
            </w:pPr>
          </w:p>
        </w:tc>
        <w:tc>
          <w:tcPr>
            <w:tcW w:w="2355" w:type="dxa"/>
            <w:vMerge w:val="continue"/>
            <w:vAlign w:val="center"/>
          </w:tcPr>
          <w:p>
            <w:pPr>
              <w:pStyle w:val="39"/>
              <w:widowControl/>
              <w:spacing w:line="360" w:lineRule="auto"/>
              <w:jc w:val="left"/>
              <w:rPr>
                <w:rFonts w:ascii="宋体" w:hAnsi="宋体" w:cs="Arial"/>
                <w:bCs/>
                <w:sz w:val="24"/>
              </w:rPr>
            </w:pPr>
          </w:p>
        </w:tc>
        <w:tc>
          <w:tcPr>
            <w:tcW w:w="4061" w:type="dxa"/>
          </w:tcPr>
          <w:p>
            <w:pPr>
              <w:pStyle w:val="39"/>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9"/>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39"/>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9"/>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c>
          <w:tcPr>
            <w:tcW w:w="1373"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39"/>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9"/>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c>
          <w:tcPr>
            <w:tcW w:w="1373"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4061" w:type="dxa"/>
          </w:tcPr>
          <w:p>
            <w:pPr>
              <w:pStyle w:val="39"/>
              <w:widowControl/>
              <w:spacing w:line="360" w:lineRule="auto"/>
              <w:jc w:val="left"/>
              <w:rPr>
                <w:rFonts w:ascii="宋体" w:hAnsi="宋体" w:cs="Arial"/>
                <w:bCs/>
                <w:sz w:val="24"/>
              </w:rPr>
            </w:pPr>
          </w:p>
        </w:tc>
        <w:tc>
          <w:tcPr>
            <w:tcW w:w="1373" w:type="dxa"/>
          </w:tcPr>
          <w:p>
            <w:pPr>
              <w:pStyle w:val="39"/>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40"/>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40"/>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23"/>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9"/>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9"/>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3"/>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41"/>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42"/>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2"/>
        <w:spacing w:line="320" w:lineRule="exact"/>
        <w:rPr>
          <w:rFonts w:hAnsi="宋体"/>
          <w:b/>
          <w:color w:val="000000"/>
          <w:sz w:val="24"/>
        </w:rPr>
      </w:pPr>
      <w:r>
        <w:rPr>
          <w:rFonts w:hAnsi="宋体"/>
          <w:b/>
          <w:color w:val="000000"/>
          <w:sz w:val="24"/>
        </w:rPr>
        <w:t>项目编号：</w:t>
      </w:r>
    </w:p>
    <w:p>
      <w:pPr>
        <w:pStyle w:val="43"/>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23"/>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2"/>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2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hint="eastAsia"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spacing w:line="360" w:lineRule="auto"/>
        <w:ind w:right="-110"/>
        <w:jc w:val="center"/>
        <w:rPr>
          <w:rFonts w:ascii="宋体" w:hAnsi="宋体"/>
          <w:b/>
          <w:sz w:val="32"/>
          <w:szCs w:val="32"/>
        </w:rPr>
      </w:pPr>
      <w:r>
        <w:rPr>
          <w:rFonts w:hint="eastAsia" w:ascii="宋体" w:hAnsi="宋体"/>
          <w:b/>
          <w:sz w:val="32"/>
          <w:szCs w:val="32"/>
        </w:rPr>
        <w:t>小</w:t>
      </w:r>
      <w:r>
        <w:rPr>
          <w:rFonts w:hint="eastAsia" w:ascii="宋体" w:hAnsi="宋体"/>
          <w:b/>
          <w:sz w:val="32"/>
          <w:szCs w:val="32"/>
          <w:lang w:val="en-GB"/>
        </w:rPr>
        <w:t>微</w:t>
      </w:r>
      <w:r>
        <w:rPr>
          <w:rFonts w:hint="eastAsia" w:ascii="宋体" w:hAnsi="宋体"/>
          <w:b/>
          <w:sz w:val="32"/>
          <w:szCs w:val="32"/>
        </w:rPr>
        <w:t>企业声明函</w:t>
      </w:r>
    </w:p>
    <w:p>
      <w:pPr>
        <w:pStyle w:val="44"/>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44"/>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44"/>
        <w:spacing w:line="360" w:lineRule="auto"/>
        <w:ind w:firstLine="504" w:firstLineChars="200"/>
        <w:rPr>
          <w:rFonts w:hint="eastAsia" w:ascii="宋体" w:hAnsi="宋体"/>
          <w:spacing w:val="6"/>
          <w:sz w:val="24"/>
        </w:rPr>
      </w:pPr>
      <w:r>
        <w:rPr>
          <w:rFonts w:hint="eastAsia" w:ascii="宋体" w:hAnsi="宋体"/>
          <w:spacing w:val="6"/>
          <w:sz w:val="24"/>
        </w:rPr>
        <w:t>2.本公司参加</w:t>
      </w:r>
      <w:r>
        <w:rPr>
          <w:rFonts w:hint="eastAsia" w:ascii="宋体" w:hAnsi="宋体"/>
          <w:sz w:val="24"/>
        </w:rPr>
        <w:t>×××政府采购中心组织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44"/>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4"/>
        <w:spacing w:line="360" w:lineRule="auto"/>
        <w:ind w:firstLine="504" w:firstLineChars="200"/>
        <w:rPr>
          <w:rFonts w:ascii="宋体" w:hAnsi="宋体"/>
          <w:spacing w:val="6"/>
          <w:sz w:val="24"/>
        </w:rPr>
      </w:pPr>
    </w:p>
    <w:p>
      <w:pPr>
        <w:pStyle w:val="44"/>
        <w:spacing w:line="360" w:lineRule="auto"/>
        <w:ind w:left="4253" w:leftChars="2025"/>
        <w:rPr>
          <w:rFonts w:ascii="宋体" w:hAnsi="宋体"/>
          <w:sz w:val="24"/>
        </w:rPr>
      </w:pPr>
      <w:r>
        <w:rPr>
          <w:rFonts w:hint="eastAsia" w:ascii="宋体" w:hAnsi="宋体"/>
          <w:sz w:val="24"/>
        </w:rPr>
        <w:t>投 标 人（单位</w:t>
      </w:r>
      <w:r>
        <w:rPr>
          <w:rFonts w:hint="eastAsia" w:ascii="宋体" w:hAnsi="宋体"/>
          <w:sz w:val="24"/>
          <w:lang w:eastAsia="zh-CN"/>
        </w:rPr>
        <w:t>电子印章</w:t>
      </w:r>
      <w:r>
        <w:rPr>
          <w:rFonts w:hint="eastAsia" w:ascii="宋体" w:hAnsi="宋体"/>
          <w:sz w:val="24"/>
        </w:rPr>
        <w:t>）：</w:t>
      </w:r>
    </w:p>
    <w:p>
      <w:pPr>
        <w:pStyle w:val="44"/>
        <w:spacing w:line="360" w:lineRule="auto"/>
        <w:ind w:left="4253" w:leftChars="2025" w:right="360"/>
        <w:jc w:val="right"/>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44"/>
        <w:spacing w:line="360" w:lineRule="auto"/>
        <w:rPr>
          <w:rFonts w:ascii="宋体" w:hAnsi="宋体"/>
          <w:sz w:val="24"/>
        </w:rPr>
      </w:pPr>
    </w:p>
    <w:p>
      <w:pPr>
        <w:pStyle w:val="44"/>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44"/>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r>
        <w:rPr>
          <w:rFonts w:hint="eastAsia" w:ascii="宋体" w:hAnsi="宋体"/>
          <w:spacing w:val="6"/>
          <w:sz w:val="24"/>
          <w:lang w:eastAsia="zh-CN"/>
        </w:rPr>
        <w:t>，</w:t>
      </w:r>
      <w:r>
        <w:rPr>
          <w:rFonts w:hint="eastAsia" w:ascii="宋体" w:hAnsi="宋体"/>
          <w:spacing w:val="6"/>
          <w:sz w:val="24"/>
        </w:rPr>
        <w:t>本公司对上述声明的真实性负责。如有虚假，将依法承担相应责任。</w:t>
      </w:r>
    </w:p>
    <w:p>
      <w:pPr>
        <w:pStyle w:val="44"/>
        <w:spacing w:line="360" w:lineRule="auto"/>
        <w:ind w:firstLine="504" w:firstLineChars="200"/>
        <w:rPr>
          <w:rFonts w:ascii="宋体" w:hAnsi="宋体"/>
          <w:spacing w:val="6"/>
          <w:sz w:val="24"/>
        </w:rPr>
      </w:pPr>
    </w:p>
    <w:p>
      <w:pPr>
        <w:pStyle w:val="44"/>
        <w:spacing w:line="360" w:lineRule="auto"/>
        <w:ind w:firstLine="504" w:firstLineChars="200"/>
        <w:jc w:val="center"/>
        <w:rPr>
          <w:rFonts w:ascii="宋体" w:hAnsi="宋体"/>
          <w:spacing w:val="6"/>
          <w:sz w:val="24"/>
        </w:rPr>
      </w:pPr>
      <w:r>
        <w:rPr>
          <w:rFonts w:hint="eastAsia" w:ascii="宋体" w:hAnsi="宋体"/>
          <w:spacing w:val="6"/>
          <w:sz w:val="24"/>
        </w:rPr>
        <w:t>企业名称（单位</w:t>
      </w:r>
      <w:r>
        <w:rPr>
          <w:rFonts w:hint="eastAsia" w:ascii="宋体" w:hAnsi="宋体"/>
          <w:spacing w:val="6"/>
          <w:sz w:val="24"/>
          <w:lang w:eastAsia="zh-CN"/>
        </w:rPr>
        <w:t>电子印章</w:t>
      </w:r>
      <w:r>
        <w:rPr>
          <w:rFonts w:hint="eastAsia" w:ascii="宋体" w:hAnsi="宋体"/>
          <w:spacing w:val="6"/>
          <w:sz w:val="24"/>
        </w:rPr>
        <w:t>）：</w:t>
      </w:r>
    </w:p>
    <w:p>
      <w:pPr>
        <w:pStyle w:val="44"/>
        <w:spacing w:line="360" w:lineRule="auto"/>
        <w:ind w:left="4253" w:leftChars="2025" w:right="360"/>
        <w:jc w:val="center"/>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12"/>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w:t>
      </w:r>
      <w:r>
        <w:rPr>
          <w:rFonts w:hint="eastAsia" w:ascii="宋体" w:hAnsi="宋体"/>
          <w:spacing w:val="6"/>
          <w:sz w:val="24"/>
          <w:lang w:eastAsia="zh-CN"/>
        </w:rPr>
        <w:t>电子印章</w:t>
      </w:r>
      <w:r>
        <w:rPr>
          <w:rFonts w:hint="eastAsia" w:ascii="宋体" w:hAnsi="宋体"/>
          <w:spacing w:val="6"/>
          <w:sz w:val="24"/>
        </w:rPr>
        <w:t>）：</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r>
        <w:rPr>
          <w:rFonts w:hint="eastAsia" w:ascii="宋体" w:hAnsi="宋体"/>
          <w:b/>
          <w:sz w:val="28"/>
          <w:szCs w:val="28"/>
        </w:rPr>
        <w:t>附件19</w:t>
      </w:r>
    </w:p>
    <w:p>
      <w:pPr>
        <w:pStyle w:val="45"/>
        <w:spacing w:line="360" w:lineRule="auto"/>
      </w:pPr>
    </w:p>
    <w:p>
      <w:pPr>
        <w:pStyle w:val="42"/>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2"/>
        <w:spacing w:line="360" w:lineRule="auto"/>
        <w:jc w:val="center"/>
        <w:rPr>
          <w:rFonts w:ascii="宋体" w:hAnsi="宋体"/>
          <w:b/>
          <w:sz w:val="32"/>
          <w:szCs w:val="32"/>
          <w:lang w:val="en-GB"/>
        </w:rPr>
      </w:pPr>
    </w:p>
    <w:tbl>
      <w:tblPr>
        <w:tblStyle w:val="23"/>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2"/>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3"/>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2"/>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2"/>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2"/>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2"/>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6490" w:type="dxa"/>
            <w:gridSpan w:val="2"/>
            <w:vAlign w:val="center"/>
          </w:tcPr>
          <w:p>
            <w:pPr>
              <w:pStyle w:val="42"/>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2"/>
              <w:tabs>
                <w:tab w:val="left" w:pos="1260"/>
              </w:tabs>
              <w:jc w:val="center"/>
              <w:rPr>
                <w:rFonts w:ascii="宋体" w:hAnsi="宋体"/>
                <w:sz w:val="24"/>
                <w:lang w:val="en-GB"/>
              </w:rPr>
            </w:pPr>
          </w:p>
        </w:tc>
      </w:tr>
    </w:tbl>
    <w:p>
      <w:pPr>
        <w:pStyle w:val="42"/>
        <w:spacing w:line="360" w:lineRule="auto"/>
        <w:rPr>
          <w:rFonts w:ascii="宋体" w:hAnsi="宋体"/>
          <w:szCs w:val="21"/>
          <w:lang w:val="en-GB"/>
        </w:rPr>
      </w:pPr>
    </w:p>
    <w:p>
      <w:pPr>
        <w:pStyle w:val="42"/>
        <w:spacing w:line="360" w:lineRule="auto"/>
        <w:rPr>
          <w:rFonts w:ascii="宋体" w:hAnsi="宋体"/>
          <w:szCs w:val="21"/>
          <w:lang w:val="en-GB"/>
        </w:rPr>
      </w:pPr>
      <w:r>
        <w:rPr>
          <w:rFonts w:hint="eastAsia" w:ascii="宋体" w:hAnsi="宋体"/>
          <w:szCs w:val="21"/>
          <w:lang w:val="en-GB"/>
        </w:rPr>
        <w:t>填报要求：</w:t>
      </w:r>
    </w:p>
    <w:p>
      <w:pPr>
        <w:pStyle w:val="42"/>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2"/>
        <w:widowControl/>
        <w:numPr>
          <w:ilvl w:val="0"/>
          <w:numId w:val="17"/>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2"/>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lang w:val="en-US" w:eastAsia="zh-CN"/>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3">
    <w:nsid w:val="AF3E1766"/>
    <w:multiLevelType w:val="singleLevel"/>
    <w:tmpl w:val="AF3E1766"/>
    <w:lvl w:ilvl="0" w:tentative="0">
      <w:start w:val="1"/>
      <w:numFmt w:val="decimal"/>
      <w:suff w:val="nothing"/>
      <w:lvlText w:val="（%1）"/>
      <w:lvlJc w:val="left"/>
    </w:lvl>
  </w:abstractNum>
  <w:abstractNum w:abstractNumId="4">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5">
    <w:nsid w:val="E9CBAF48"/>
    <w:multiLevelType w:val="singleLevel"/>
    <w:tmpl w:val="E9CBAF48"/>
    <w:lvl w:ilvl="0" w:tentative="0">
      <w:start w:val="1"/>
      <w:numFmt w:val="decimal"/>
      <w:suff w:val="nothing"/>
      <w:lvlText w:val="（%1）"/>
      <w:lvlJc w:val="left"/>
    </w:lvl>
  </w:abstractNum>
  <w:abstractNum w:abstractNumId="6">
    <w:nsid w:val="EEAFAC12"/>
    <w:multiLevelType w:val="singleLevel"/>
    <w:tmpl w:val="EEAFAC12"/>
    <w:lvl w:ilvl="0" w:tentative="0">
      <w:start w:val="12"/>
      <w:numFmt w:val="decimal"/>
      <w:suff w:val="nothing"/>
      <w:lvlText w:val="%1、"/>
      <w:lvlJc w:val="left"/>
      <w:pPr>
        <w:ind w:left="-60"/>
      </w:pPr>
    </w:lvl>
  </w:abstractNum>
  <w:abstractNum w:abstractNumId="7">
    <w:nsid w:val="023419C9"/>
    <w:multiLevelType w:val="singleLevel"/>
    <w:tmpl w:val="023419C9"/>
    <w:lvl w:ilvl="0" w:tentative="0">
      <w:start w:val="2"/>
      <w:numFmt w:val="decimal"/>
      <w:suff w:val="nothing"/>
      <w:lvlText w:val="%1、"/>
      <w:lvlJc w:val="left"/>
    </w:lvl>
  </w:abstractNum>
  <w:abstractNum w:abstractNumId="8">
    <w:nsid w:val="1F913DB7"/>
    <w:multiLevelType w:val="singleLevel"/>
    <w:tmpl w:val="1F913DB7"/>
    <w:lvl w:ilvl="0" w:tentative="0">
      <w:start w:val="6"/>
      <w:numFmt w:val="decimal"/>
      <w:suff w:val="space"/>
      <w:lvlText w:val="%1."/>
      <w:lvlJc w:val="left"/>
    </w:lvl>
  </w:abstractNum>
  <w:abstractNum w:abstractNumId="9">
    <w:nsid w:val="230958C3"/>
    <w:multiLevelType w:val="multilevel"/>
    <w:tmpl w:val="230958C3"/>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8CBB5AA"/>
    <w:multiLevelType w:val="singleLevel"/>
    <w:tmpl w:val="38CBB5AA"/>
    <w:lvl w:ilvl="0" w:tentative="0">
      <w:start w:val="2"/>
      <w:numFmt w:val="chineseCounting"/>
      <w:suff w:val="nothing"/>
      <w:lvlText w:val="%1、"/>
      <w:lvlJc w:val="left"/>
      <w:rPr>
        <w:rFonts w:hint="eastAsia"/>
      </w:rPr>
    </w:lvl>
  </w:abstractNum>
  <w:abstractNum w:abstractNumId="11">
    <w:nsid w:val="3BDC281E"/>
    <w:multiLevelType w:val="multilevel"/>
    <w:tmpl w:val="3BDC281E"/>
    <w:lvl w:ilvl="0" w:tentative="0">
      <w:start w:val="4"/>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1E5E94"/>
    <w:multiLevelType w:val="singleLevel"/>
    <w:tmpl w:val="461E5E94"/>
    <w:lvl w:ilvl="0" w:tentative="0">
      <w:start w:val="2"/>
      <w:numFmt w:val="chineseCounting"/>
      <w:suff w:val="space"/>
      <w:lvlText w:val="第%1章"/>
      <w:lvlJc w:val="left"/>
      <w:rPr>
        <w:rFonts w:hint="eastAsia"/>
      </w:rPr>
    </w:lvl>
  </w:abstractNum>
  <w:abstractNum w:abstractNumId="13">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4">
    <w:nsid w:val="636567A2"/>
    <w:multiLevelType w:val="multilevel"/>
    <w:tmpl w:val="636567A2"/>
    <w:lvl w:ilvl="0" w:tentative="0">
      <w:start w:val="1"/>
      <w:numFmt w:val="decimal"/>
      <w:pStyle w:val="3"/>
      <w:lvlText w:val="第%1章"/>
      <w:lvlJc w:val="left"/>
      <w:pPr>
        <w:ind w:left="2105" w:hanging="425"/>
      </w:pPr>
      <w:rPr>
        <w:rFonts w:hint="eastAsia"/>
        <w:sz w:val="44"/>
        <w:szCs w:val="44"/>
      </w:rPr>
    </w:lvl>
    <w:lvl w:ilvl="1" w:tentative="0">
      <w:start w:val="1"/>
      <w:numFmt w:val="decimal"/>
      <w:isLgl/>
      <w:suff w:val="nothing"/>
      <w:lvlText w:val="%1.%2  "/>
      <w:lvlJc w:val="left"/>
      <w:pPr>
        <w:ind w:left="2531" w:hanging="284"/>
      </w:pPr>
      <w:rPr>
        <w:rFonts w:hint="eastAsia"/>
      </w:rPr>
    </w:lvl>
    <w:lvl w:ilvl="2" w:tentative="0">
      <w:start w:val="1"/>
      <w:numFmt w:val="decimal"/>
      <w:isLgl/>
      <w:lvlText w:val="%1.%2.%3"/>
      <w:lvlJc w:val="left"/>
      <w:pPr>
        <w:ind w:left="1680" w:firstLine="0"/>
      </w:pPr>
      <w:rPr>
        <w:rFonts w:hint="eastAsia"/>
      </w:rPr>
    </w:lvl>
    <w:lvl w:ilvl="3" w:tentative="0">
      <w:start w:val="1"/>
      <w:numFmt w:val="decimal"/>
      <w:isLgl/>
      <w:lvlText w:val="%1.%2.%3.%4"/>
      <w:lvlJc w:val="left"/>
      <w:pPr>
        <w:ind w:left="3664" w:hanging="708"/>
      </w:pPr>
      <w:rPr>
        <w:rFonts w:hint="eastAsia"/>
      </w:rPr>
    </w:lvl>
    <w:lvl w:ilvl="4" w:tentative="0">
      <w:start w:val="1"/>
      <w:numFmt w:val="decimal"/>
      <w:lvlText w:val="%1.%2.%3.%4.%5"/>
      <w:lvlJc w:val="left"/>
      <w:pPr>
        <w:tabs>
          <w:tab w:val="left" w:pos="1009"/>
        </w:tabs>
        <w:ind w:left="2689" w:hanging="442"/>
      </w:pPr>
      <w:rPr>
        <w:rFonts w:hint="eastAsia"/>
      </w:rPr>
    </w:lvl>
    <w:lvl w:ilvl="5" w:tentative="0">
      <w:start w:val="1"/>
      <w:numFmt w:val="decimal"/>
      <w:lvlText w:val="%1.%2.%3.%4.%5.%6"/>
      <w:lvlJc w:val="left"/>
      <w:pPr>
        <w:ind w:left="2831" w:hanging="584"/>
      </w:pPr>
      <w:rPr>
        <w:rFonts w:hint="eastAsia"/>
      </w:rPr>
    </w:lvl>
    <w:lvl w:ilvl="6" w:tentative="0">
      <w:start w:val="1"/>
      <w:numFmt w:val="decimal"/>
      <w:lvlRestart w:val="1"/>
      <w:lvlText w:val="%1.%2.%3.%4.%5.%6.%7"/>
      <w:lvlJc w:val="left"/>
      <w:pPr>
        <w:ind w:left="6789" w:hanging="851"/>
      </w:pPr>
      <w:rPr>
        <w:rFonts w:hint="eastAsia"/>
      </w:rPr>
    </w:lvl>
    <w:lvl w:ilvl="7" w:tentative="0">
      <w:start w:val="1"/>
      <w:numFmt w:val="decimal"/>
      <w:lvlRestart w:val="1"/>
      <w:suff w:val="nothing"/>
      <w:lvlText w:val="表%1-%8  "/>
      <w:lvlJc w:val="left"/>
      <w:pPr>
        <w:ind w:left="650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6782" w:hanging="1700"/>
      </w:pPr>
      <w:rPr>
        <w:rFonts w:hint="eastAsia"/>
      </w:rPr>
    </w:lvl>
  </w:abstractNum>
  <w:abstractNum w:abstractNumId="15">
    <w:nsid w:val="66DDD653"/>
    <w:multiLevelType w:val="singleLevel"/>
    <w:tmpl w:val="66DDD653"/>
    <w:lvl w:ilvl="0" w:tentative="0">
      <w:start w:val="1"/>
      <w:numFmt w:val="chineseCounting"/>
      <w:suff w:val="space"/>
      <w:lvlText w:val="第%1章"/>
      <w:lvlJc w:val="left"/>
      <w:rPr>
        <w:rFonts w:hint="eastAsia"/>
      </w:rPr>
    </w:lvl>
  </w:abstractNum>
  <w:abstractNum w:abstractNumId="16">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4"/>
  </w:num>
  <w:num w:numId="2">
    <w:abstractNumId w:val="2"/>
  </w:num>
  <w:num w:numId="3">
    <w:abstractNumId w:val="13"/>
  </w:num>
  <w:num w:numId="4">
    <w:abstractNumId w:val="15"/>
  </w:num>
  <w:num w:numId="5">
    <w:abstractNumId w:val="12"/>
  </w:num>
  <w:num w:numId="6">
    <w:abstractNumId w:val="3"/>
  </w:num>
  <w:num w:numId="7">
    <w:abstractNumId w:val="4"/>
  </w:num>
  <w:num w:numId="8">
    <w:abstractNumId w:val="5"/>
  </w:num>
  <w:num w:numId="9">
    <w:abstractNumId w:val="7"/>
  </w:num>
  <w:num w:numId="10">
    <w:abstractNumId w:val="6"/>
  </w:num>
  <w:num w:numId="11">
    <w:abstractNumId w:val="10"/>
  </w:num>
  <w:num w:numId="12">
    <w:abstractNumId w:val="11"/>
  </w:num>
  <w:num w:numId="13">
    <w:abstractNumId w:val="9"/>
  </w:num>
  <w:num w:numId="14">
    <w:abstractNumId w:val="8"/>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B6EB6"/>
    <w:rsid w:val="000D4942"/>
    <w:rsid w:val="00107BF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B4165"/>
    <w:rsid w:val="00527EFD"/>
    <w:rsid w:val="00616E31"/>
    <w:rsid w:val="00655E3C"/>
    <w:rsid w:val="00674C42"/>
    <w:rsid w:val="006F4DFE"/>
    <w:rsid w:val="007A2629"/>
    <w:rsid w:val="007C1005"/>
    <w:rsid w:val="00802325"/>
    <w:rsid w:val="00847BE5"/>
    <w:rsid w:val="0088066B"/>
    <w:rsid w:val="00901D6C"/>
    <w:rsid w:val="00912983"/>
    <w:rsid w:val="00934C69"/>
    <w:rsid w:val="009875E3"/>
    <w:rsid w:val="009B3E22"/>
    <w:rsid w:val="009F3459"/>
    <w:rsid w:val="00A05DA7"/>
    <w:rsid w:val="00A30B75"/>
    <w:rsid w:val="00A730CA"/>
    <w:rsid w:val="00BA25A5"/>
    <w:rsid w:val="00BB201C"/>
    <w:rsid w:val="00C376DF"/>
    <w:rsid w:val="00C52E14"/>
    <w:rsid w:val="00C767D4"/>
    <w:rsid w:val="00CC232E"/>
    <w:rsid w:val="00CD1804"/>
    <w:rsid w:val="00D559AE"/>
    <w:rsid w:val="00DF7014"/>
    <w:rsid w:val="00E319E7"/>
    <w:rsid w:val="00E54651"/>
    <w:rsid w:val="00EF2797"/>
    <w:rsid w:val="00F127FF"/>
    <w:rsid w:val="0118771F"/>
    <w:rsid w:val="014011E2"/>
    <w:rsid w:val="018B49F1"/>
    <w:rsid w:val="01935887"/>
    <w:rsid w:val="01A82F36"/>
    <w:rsid w:val="01AD7B32"/>
    <w:rsid w:val="01BD7005"/>
    <w:rsid w:val="01D41B28"/>
    <w:rsid w:val="01D435FB"/>
    <w:rsid w:val="01ED7D22"/>
    <w:rsid w:val="023B4212"/>
    <w:rsid w:val="027638E8"/>
    <w:rsid w:val="02782E93"/>
    <w:rsid w:val="02945C00"/>
    <w:rsid w:val="02D06680"/>
    <w:rsid w:val="030D5E47"/>
    <w:rsid w:val="0311374C"/>
    <w:rsid w:val="0336696D"/>
    <w:rsid w:val="034628D3"/>
    <w:rsid w:val="035F6A7D"/>
    <w:rsid w:val="038E51DF"/>
    <w:rsid w:val="03975E79"/>
    <w:rsid w:val="04162490"/>
    <w:rsid w:val="041C127C"/>
    <w:rsid w:val="04365F7B"/>
    <w:rsid w:val="044405B7"/>
    <w:rsid w:val="04452CB1"/>
    <w:rsid w:val="04463D9E"/>
    <w:rsid w:val="0470673A"/>
    <w:rsid w:val="04885FB2"/>
    <w:rsid w:val="049B6A17"/>
    <w:rsid w:val="04A33DD1"/>
    <w:rsid w:val="04CC341D"/>
    <w:rsid w:val="04DF1FE1"/>
    <w:rsid w:val="05042536"/>
    <w:rsid w:val="05137CD7"/>
    <w:rsid w:val="05320F60"/>
    <w:rsid w:val="05855436"/>
    <w:rsid w:val="058E2529"/>
    <w:rsid w:val="05A50164"/>
    <w:rsid w:val="05B052BE"/>
    <w:rsid w:val="05B43C6D"/>
    <w:rsid w:val="05D92A57"/>
    <w:rsid w:val="05DD0D87"/>
    <w:rsid w:val="05DD68BD"/>
    <w:rsid w:val="05E70F70"/>
    <w:rsid w:val="05EA7A8F"/>
    <w:rsid w:val="05F50E9D"/>
    <w:rsid w:val="05F54863"/>
    <w:rsid w:val="060B26E0"/>
    <w:rsid w:val="06687A2A"/>
    <w:rsid w:val="067C192C"/>
    <w:rsid w:val="06D52D47"/>
    <w:rsid w:val="06E40CB7"/>
    <w:rsid w:val="06F9220C"/>
    <w:rsid w:val="070122F0"/>
    <w:rsid w:val="075E4944"/>
    <w:rsid w:val="075F7318"/>
    <w:rsid w:val="076E3E42"/>
    <w:rsid w:val="079C4ADE"/>
    <w:rsid w:val="07BD0726"/>
    <w:rsid w:val="07E3742E"/>
    <w:rsid w:val="07FC1B3E"/>
    <w:rsid w:val="080F2FE4"/>
    <w:rsid w:val="084805F7"/>
    <w:rsid w:val="084C5059"/>
    <w:rsid w:val="084F68CB"/>
    <w:rsid w:val="085A1BE1"/>
    <w:rsid w:val="086A431A"/>
    <w:rsid w:val="08A9367B"/>
    <w:rsid w:val="08D86E72"/>
    <w:rsid w:val="093D06B0"/>
    <w:rsid w:val="095D2A11"/>
    <w:rsid w:val="098951A5"/>
    <w:rsid w:val="098E5943"/>
    <w:rsid w:val="098E6216"/>
    <w:rsid w:val="09DC400A"/>
    <w:rsid w:val="0A0544FF"/>
    <w:rsid w:val="0A096EBC"/>
    <w:rsid w:val="0A1357D4"/>
    <w:rsid w:val="0A3B11A3"/>
    <w:rsid w:val="0A620A2F"/>
    <w:rsid w:val="0A6A2A5E"/>
    <w:rsid w:val="0A9065F4"/>
    <w:rsid w:val="0AB2466D"/>
    <w:rsid w:val="0AB66234"/>
    <w:rsid w:val="0AB66338"/>
    <w:rsid w:val="0AE67587"/>
    <w:rsid w:val="0AFC7BFE"/>
    <w:rsid w:val="0B0B2DF3"/>
    <w:rsid w:val="0B2C71D7"/>
    <w:rsid w:val="0B3A4CFE"/>
    <w:rsid w:val="0B631F3C"/>
    <w:rsid w:val="0BAB69A0"/>
    <w:rsid w:val="0BB96227"/>
    <w:rsid w:val="0BCA1551"/>
    <w:rsid w:val="0BF02F5F"/>
    <w:rsid w:val="0C1205E8"/>
    <w:rsid w:val="0C195D86"/>
    <w:rsid w:val="0C1E2BA0"/>
    <w:rsid w:val="0C21217E"/>
    <w:rsid w:val="0C240CE5"/>
    <w:rsid w:val="0C3F6D5B"/>
    <w:rsid w:val="0C6A1C5E"/>
    <w:rsid w:val="0C765CB2"/>
    <w:rsid w:val="0CDA4F6D"/>
    <w:rsid w:val="0CDF43DD"/>
    <w:rsid w:val="0CFB3563"/>
    <w:rsid w:val="0D0475F6"/>
    <w:rsid w:val="0D2D5924"/>
    <w:rsid w:val="0D373669"/>
    <w:rsid w:val="0D764E12"/>
    <w:rsid w:val="0D7D3EC3"/>
    <w:rsid w:val="0D8669C1"/>
    <w:rsid w:val="0D937226"/>
    <w:rsid w:val="0DEB19AF"/>
    <w:rsid w:val="0E2D7F14"/>
    <w:rsid w:val="0E3627D0"/>
    <w:rsid w:val="0E422197"/>
    <w:rsid w:val="0E615169"/>
    <w:rsid w:val="0E970358"/>
    <w:rsid w:val="0EAE4C53"/>
    <w:rsid w:val="0EDE4D61"/>
    <w:rsid w:val="0EF27825"/>
    <w:rsid w:val="0EFA56AB"/>
    <w:rsid w:val="0F1747D0"/>
    <w:rsid w:val="0F361AD2"/>
    <w:rsid w:val="0F621940"/>
    <w:rsid w:val="0F766D8E"/>
    <w:rsid w:val="0F884221"/>
    <w:rsid w:val="0FD53E4A"/>
    <w:rsid w:val="101355CD"/>
    <w:rsid w:val="10392EAE"/>
    <w:rsid w:val="106C2B22"/>
    <w:rsid w:val="10706EC2"/>
    <w:rsid w:val="10801E69"/>
    <w:rsid w:val="108E38B7"/>
    <w:rsid w:val="10A11DDD"/>
    <w:rsid w:val="10A4463E"/>
    <w:rsid w:val="10E94F29"/>
    <w:rsid w:val="11394306"/>
    <w:rsid w:val="11405A21"/>
    <w:rsid w:val="115E5333"/>
    <w:rsid w:val="1175093F"/>
    <w:rsid w:val="117762FA"/>
    <w:rsid w:val="119E054E"/>
    <w:rsid w:val="11E338D3"/>
    <w:rsid w:val="11FC3656"/>
    <w:rsid w:val="120B122F"/>
    <w:rsid w:val="1224063D"/>
    <w:rsid w:val="12804F6B"/>
    <w:rsid w:val="12807280"/>
    <w:rsid w:val="13030129"/>
    <w:rsid w:val="13215400"/>
    <w:rsid w:val="138357C6"/>
    <w:rsid w:val="138B2D26"/>
    <w:rsid w:val="13A13753"/>
    <w:rsid w:val="13A81874"/>
    <w:rsid w:val="13B50449"/>
    <w:rsid w:val="13C77E0B"/>
    <w:rsid w:val="13CB2484"/>
    <w:rsid w:val="13F45005"/>
    <w:rsid w:val="14093B52"/>
    <w:rsid w:val="141C7045"/>
    <w:rsid w:val="143E3CF5"/>
    <w:rsid w:val="148463E6"/>
    <w:rsid w:val="14972906"/>
    <w:rsid w:val="14982409"/>
    <w:rsid w:val="14B71FA9"/>
    <w:rsid w:val="14D20D9B"/>
    <w:rsid w:val="14E73786"/>
    <w:rsid w:val="15170D44"/>
    <w:rsid w:val="15212543"/>
    <w:rsid w:val="155C4F88"/>
    <w:rsid w:val="15771668"/>
    <w:rsid w:val="15901FEA"/>
    <w:rsid w:val="159077C1"/>
    <w:rsid w:val="15A72BED"/>
    <w:rsid w:val="15B03AAF"/>
    <w:rsid w:val="15CF7A2F"/>
    <w:rsid w:val="15D33886"/>
    <w:rsid w:val="1608185A"/>
    <w:rsid w:val="1621170E"/>
    <w:rsid w:val="16332332"/>
    <w:rsid w:val="16A71BB1"/>
    <w:rsid w:val="16A84D51"/>
    <w:rsid w:val="16B605DF"/>
    <w:rsid w:val="16F23890"/>
    <w:rsid w:val="17200067"/>
    <w:rsid w:val="175F2BE6"/>
    <w:rsid w:val="177A072A"/>
    <w:rsid w:val="179563E7"/>
    <w:rsid w:val="17A8137B"/>
    <w:rsid w:val="17AA759A"/>
    <w:rsid w:val="17B4164A"/>
    <w:rsid w:val="17C4052C"/>
    <w:rsid w:val="17C548BC"/>
    <w:rsid w:val="17C86B7D"/>
    <w:rsid w:val="17E13854"/>
    <w:rsid w:val="17F032A2"/>
    <w:rsid w:val="182B7709"/>
    <w:rsid w:val="18593EEB"/>
    <w:rsid w:val="18B17F4B"/>
    <w:rsid w:val="18B91D2B"/>
    <w:rsid w:val="18BC2176"/>
    <w:rsid w:val="18BD0806"/>
    <w:rsid w:val="18C40414"/>
    <w:rsid w:val="18F60EA9"/>
    <w:rsid w:val="191C4FE8"/>
    <w:rsid w:val="192720E3"/>
    <w:rsid w:val="19584E18"/>
    <w:rsid w:val="195E1310"/>
    <w:rsid w:val="198620BB"/>
    <w:rsid w:val="19DE4711"/>
    <w:rsid w:val="19F1626B"/>
    <w:rsid w:val="1A604B05"/>
    <w:rsid w:val="1A6A6D44"/>
    <w:rsid w:val="1A817123"/>
    <w:rsid w:val="1AAC4393"/>
    <w:rsid w:val="1AB10E1A"/>
    <w:rsid w:val="1AEF1C37"/>
    <w:rsid w:val="1AFB0E51"/>
    <w:rsid w:val="1B11234C"/>
    <w:rsid w:val="1B4C0B5A"/>
    <w:rsid w:val="1B595DCE"/>
    <w:rsid w:val="1BE82792"/>
    <w:rsid w:val="1BF07044"/>
    <w:rsid w:val="1C093ECB"/>
    <w:rsid w:val="1C7835ED"/>
    <w:rsid w:val="1C7E49DB"/>
    <w:rsid w:val="1C9B76A0"/>
    <w:rsid w:val="1CDD0584"/>
    <w:rsid w:val="1CE4433A"/>
    <w:rsid w:val="1CF666F0"/>
    <w:rsid w:val="1D4B5507"/>
    <w:rsid w:val="1D54609B"/>
    <w:rsid w:val="1D561465"/>
    <w:rsid w:val="1DA31ABA"/>
    <w:rsid w:val="1DA8229F"/>
    <w:rsid w:val="1DEB7E6D"/>
    <w:rsid w:val="1E0616BC"/>
    <w:rsid w:val="1E0E2DF3"/>
    <w:rsid w:val="1E0F1FD7"/>
    <w:rsid w:val="1E2018BE"/>
    <w:rsid w:val="1E6824C9"/>
    <w:rsid w:val="1E6A78CD"/>
    <w:rsid w:val="1E9001D9"/>
    <w:rsid w:val="1EA30B4C"/>
    <w:rsid w:val="1EA423D4"/>
    <w:rsid w:val="1EA47357"/>
    <w:rsid w:val="1EBE25A9"/>
    <w:rsid w:val="1EE84AA8"/>
    <w:rsid w:val="1F27290C"/>
    <w:rsid w:val="1F384B53"/>
    <w:rsid w:val="1F4B7C04"/>
    <w:rsid w:val="1F6E52A2"/>
    <w:rsid w:val="1F735B62"/>
    <w:rsid w:val="1FB549C6"/>
    <w:rsid w:val="1FB57D4D"/>
    <w:rsid w:val="1FC80796"/>
    <w:rsid w:val="204A1E13"/>
    <w:rsid w:val="2051117F"/>
    <w:rsid w:val="209025EE"/>
    <w:rsid w:val="20AE3204"/>
    <w:rsid w:val="20D40B65"/>
    <w:rsid w:val="20D40F99"/>
    <w:rsid w:val="21093482"/>
    <w:rsid w:val="214624ED"/>
    <w:rsid w:val="215819F6"/>
    <w:rsid w:val="218D4481"/>
    <w:rsid w:val="21CA6BBD"/>
    <w:rsid w:val="21E31B30"/>
    <w:rsid w:val="21FA01A1"/>
    <w:rsid w:val="221D5E85"/>
    <w:rsid w:val="222C1CC0"/>
    <w:rsid w:val="222E2931"/>
    <w:rsid w:val="22484E58"/>
    <w:rsid w:val="227C0DCD"/>
    <w:rsid w:val="228447E5"/>
    <w:rsid w:val="22E20E84"/>
    <w:rsid w:val="23422BB0"/>
    <w:rsid w:val="23424F53"/>
    <w:rsid w:val="234A3FB2"/>
    <w:rsid w:val="234A5F84"/>
    <w:rsid w:val="234C0F55"/>
    <w:rsid w:val="23582408"/>
    <w:rsid w:val="23660707"/>
    <w:rsid w:val="236E14E2"/>
    <w:rsid w:val="237D0FC2"/>
    <w:rsid w:val="238F7DCE"/>
    <w:rsid w:val="23970167"/>
    <w:rsid w:val="23C660D9"/>
    <w:rsid w:val="24244D92"/>
    <w:rsid w:val="24296133"/>
    <w:rsid w:val="242F631F"/>
    <w:rsid w:val="244E66FF"/>
    <w:rsid w:val="24577DE4"/>
    <w:rsid w:val="24783194"/>
    <w:rsid w:val="24CE3BAF"/>
    <w:rsid w:val="24D92305"/>
    <w:rsid w:val="24D96B70"/>
    <w:rsid w:val="24E21308"/>
    <w:rsid w:val="2519505F"/>
    <w:rsid w:val="2555341C"/>
    <w:rsid w:val="25671AF5"/>
    <w:rsid w:val="25821982"/>
    <w:rsid w:val="25A242DE"/>
    <w:rsid w:val="25D60AD2"/>
    <w:rsid w:val="25D65461"/>
    <w:rsid w:val="25DA289D"/>
    <w:rsid w:val="25E3371B"/>
    <w:rsid w:val="25E76D27"/>
    <w:rsid w:val="261F0C17"/>
    <w:rsid w:val="266B421D"/>
    <w:rsid w:val="26702AC2"/>
    <w:rsid w:val="267252A4"/>
    <w:rsid w:val="268400FD"/>
    <w:rsid w:val="26904555"/>
    <w:rsid w:val="269E406C"/>
    <w:rsid w:val="26CA6350"/>
    <w:rsid w:val="26CE19BE"/>
    <w:rsid w:val="26E00FED"/>
    <w:rsid w:val="27117EDE"/>
    <w:rsid w:val="27731F31"/>
    <w:rsid w:val="27A7080A"/>
    <w:rsid w:val="27AD5066"/>
    <w:rsid w:val="27D005BA"/>
    <w:rsid w:val="28447856"/>
    <w:rsid w:val="28546E15"/>
    <w:rsid w:val="285F5A67"/>
    <w:rsid w:val="286C39F9"/>
    <w:rsid w:val="289E691E"/>
    <w:rsid w:val="291E0BE5"/>
    <w:rsid w:val="295802C0"/>
    <w:rsid w:val="299F06C1"/>
    <w:rsid w:val="29BB5D7A"/>
    <w:rsid w:val="29C57527"/>
    <w:rsid w:val="29C8367F"/>
    <w:rsid w:val="29C857FB"/>
    <w:rsid w:val="29D148D0"/>
    <w:rsid w:val="2A492AF2"/>
    <w:rsid w:val="2A703A89"/>
    <w:rsid w:val="2A7C3B5D"/>
    <w:rsid w:val="2A7D7B88"/>
    <w:rsid w:val="2AA04BC8"/>
    <w:rsid w:val="2AB76578"/>
    <w:rsid w:val="2AC803DC"/>
    <w:rsid w:val="2AF9481A"/>
    <w:rsid w:val="2AFE711F"/>
    <w:rsid w:val="2B00287F"/>
    <w:rsid w:val="2B071159"/>
    <w:rsid w:val="2B092FB2"/>
    <w:rsid w:val="2B1023C9"/>
    <w:rsid w:val="2B1B1021"/>
    <w:rsid w:val="2B8B0F72"/>
    <w:rsid w:val="2B905D87"/>
    <w:rsid w:val="2B9C69B1"/>
    <w:rsid w:val="2BA2013E"/>
    <w:rsid w:val="2BC417BC"/>
    <w:rsid w:val="2BE766BB"/>
    <w:rsid w:val="2C0A7A1A"/>
    <w:rsid w:val="2C5222A1"/>
    <w:rsid w:val="2CA6260C"/>
    <w:rsid w:val="2CB029A9"/>
    <w:rsid w:val="2CB108D7"/>
    <w:rsid w:val="2CB40E56"/>
    <w:rsid w:val="2CDA24DC"/>
    <w:rsid w:val="2D33402D"/>
    <w:rsid w:val="2D4A714D"/>
    <w:rsid w:val="2D54010B"/>
    <w:rsid w:val="2D8D51DC"/>
    <w:rsid w:val="2D912C47"/>
    <w:rsid w:val="2DA153AD"/>
    <w:rsid w:val="2DB71FAC"/>
    <w:rsid w:val="2DD1427F"/>
    <w:rsid w:val="2DD268C9"/>
    <w:rsid w:val="2E0D1401"/>
    <w:rsid w:val="2E3C6FA4"/>
    <w:rsid w:val="2E61274A"/>
    <w:rsid w:val="2E7A318F"/>
    <w:rsid w:val="2EA2717F"/>
    <w:rsid w:val="2EBA077D"/>
    <w:rsid w:val="2EBC618D"/>
    <w:rsid w:val="2ED222F3"/>
    <w:rsid w:val="2EF726B0"/>
    <w:rsid w:val="2EF97816"/>
    <w:rsid w:val="2F1F36E3"/>
    <w:rsid w:val="2F237FB3"/>
    <w:rsid w:val="2F266F50"/>
    <w:rsid w:val="2F426654"/>
    <w:rsid w:val="2F4D6388"/>
    <w:rsid w:val="2F84259E"/>
    <w:rsid w:val="2F8B40F9"/>
    <w:rsid w:val="2FA50222"/>
    <w:rsid w:val="2FD752A5"/>
    <w:rsid w:val="2FDE6467"/>
    <w:rsid w:val="30036AAC"/>
    <w:rsid w:val="30143D85"/>
    <w:rsid w:val="307B5FC7"/>
    <w:rsid w:val="30AB748B"/>
    <w:rsid w:val="30E77F62"/>
    <w:rsid w:val="312668F0"/>
    <w:rsid w:val="3133332D"/>
    <w:rsid w:val="314C6357"/>
    <w:rsid w:val="31752B09"/>
    <w:rsid w:val="31894973"/>
    <w:rsid w:val="31894D4F"/>
    <w:rsid w:val="31B37C57"/>
    <w:rsid w:val="31CE6325"/>
    <w:rsid w:val="31D83250"/>
    <w:rsid w:val="31FD2290"/>
    <w:rsid w:val="320202A4"/>
    <w:rsid w:val="32152C33"/>
    <w:rsid w:val="32330BAD"/>
    <w:rsid w:val="324B117A"/>
    <w:rsid w:val="32614BF6"/>
    <w:rsid w:val="32706CB8"/>
    <w:rsid w:val="3295270B"/>
    <w:rsid w:val="32D55D51"/>
    <w:rsid w:val="32E81934"/>
    <w:rsid w:val="332F7BA5"/>
    <w:rsid w:val="337D122C"/>
    <w:rsid w:val="33BC5B57"/>
    <w:rsid w:val="33D05344"/>
    <w:rsid w:val="33E1098E"/>
    <w:rsid w:val="34015A86"/>
    <w:rsid w:val="341548E3"/>
    <w:rsid w:val="341C73AD"/>
    <w:rsid w:val="34416A59"/>
    <w:rsid w:val="346450C2"/>
    <w:rsid w:val="34685578"/>
    <w:rsid w:val="3477614B"/>
    <w:rsid w:val="3487190D"/>
    <w:rsid w:val="34AD403F"/>
    <w:rsid w:val="34FD7B2D"/>
    <w:rsid w:val="350D713E"/>
    <w:rsid w:val="35375367"/>
    <w:rsid w:val="353F4D91"/>
    <w:rsid w:val="35656B7D"/>
    <w:rsid w:val="35880431"/>
    <w:rsid w:val="35AB7A5F"/>
    <w:rsid w:val="35B0226A"/>
    <w:rsid w:val="35BF1C6E"/>
    <w:rsid w:val="35D57D5C"/>
    <w:rsid w:val="35EC203E"/>
    <w:rsid w:val="361E0959"/>
    <w:rsid w:val="363A37CE"/>
    <w:rsid w:val="3651686F"/>
    <w:rsid w:val="367D48AA"/>
    <w:rsid w:val="36AD60D6"/>
    <w:rsid w:val="36BB3404"/>
    <w:rsid w:val="36D86BD0"/>
    <w:rsid w:val="3756612A"/>
    <w:rsid w:val="3759380E"/>
    <w:rsid w:val="37712A39"/>
    <w:rsid w:val="37725DBD"/>
    <w:rsid w:val="379E03C0"/>
    <w:rsid w:val="37B24C52"/>
    <w:rsid w:val="37DD1C48"/>
    <w:rsid w:val="38160592"/>
    <w:rsid w:val="38271A77"/>
    <w:rsid w:val="38644486"/>
    <w:rsid w:val="386D63DE"/>
    <w:rsid w:val="388B1FB5"/>
    <w:rsid w:val="390471EE"/>
    <w:rsid w:val="390F3C45"/>
    <w:rsid w:val="391A3788"/>
    <w:rsid w:val="39577F6A"/>
    <w:rsid w:val="397960B0"/>
    <w:rsid w:val="39920EA7"/>
    <w:rsid w:val="39C30F5C"/>
    <w:rsid w:val="39F367FB"/>
    <w:rsid w:val="3A1447B7"/>
    <w:rsid w:val="3A350059"/>
    <w:rsid w:val="3A992A50"/>
    <w:rsid w:val="3AB02D7F"/>
    <w:rsid w:val="3AD01DBA"/>
    <w:rsid w:val="3AE50133"/>
    <w:rsid w:val="3AEF184B"/>
    <w:rsid w:val="3AF65D65"/>
    <w:rsid w:val="3B0E619E"/>
    <w:rsid w:val="3B103EC0"/>
    <w:rsid w:val="3B25794D"/>
    <w:rsid w:val="3B345EA5"/>
    <w:rsid w:val="3B491C1C"/>
    <w:rsid w:val="3B6E61A1"/>
    <w:rsid w:val="3B7A083A"/>
    <w:rsid w:val="3B837FF9"/>
    <w:rsid w:val="3BA87013"/>
    <w:rsid w:val="3BD94BB0"/>
    <w:rsid w:val="3BF12A1E"/>
    <w:rsid w:val="3C6148EE"/>
    <w:rsid w:val="3C871D6F"/>
    <w:rsid w:val="3C9514F9"/>
    <w:rsid w:val="3CAC27E0"/>
    <w:rsid w:val="3CD55589"/>
    <w:rsid w:val="3D332F79"/>
    <w:rsid w:val="3D445AEB"/>
    <w:rsid w:val="3D7413A5"/>
    <w:rsid w:val="3D7C4212"/>
    <w:rsid w:val="3D856805"/>
    <w:rsid w:val="3DA05D5A"/>
    <w:rsid w:val="3DA72CAE"/>
    <w:rsid w:val="3DB531EC"/>
    <w:rsid w:val="3E147F83"/>
    <w:rsid w:val="3E5F5711"/>
    <w:rsid w:val="3E6924FD"/>
    <w:rsid w:val="3EAD7AA4"/>
    <w:rsid w:val="3ECA4CC1"/>
    <w:rsid w:val="3F4262D2"/>
    <w:rsid w:val="3F5D3F9F"/>
    <w:rsid w:val="3FCA392F"/>
    <w:rsid w:val="4023400E"/>
    <w:rsid w:val="402D5876"/>
    <w:rsid w:val="402F540C"/>
    <w:rsid w:val="40643820"/>
    <w:rsid w:val="4079502C"/>
    <w:rsid w:val="40A146E6"/>
    <w:rsid w:val="40AF1E59"/>
    <w:rsid w:val="40C76003"/>
    <w:rsid w:val="40CA3208"/>
    <w:rsid w:val="40DA19A4"/>
    <w:rsid w:val="40F02A6D"/>
    <w:rsid w:val="410F5826"/>
    <w:rsid w:val="41537501"/>
    <w:rsid w:val="415655D1"/>
    <w:rsid w:val="416F3FD7"/>
    <w:rsid w:val="41745EF0"/>
    <w:rsid w:val="41884255"/>
    <w:rsid w:val="418D4D43"/>
    <w:rsid w:val="41986365"/>
    <w:rsid w:val="419B35F4"/>
    <w:rsid w:val="41E559E6"/>
    <w:rsid w:val="41F56D9A"/>
    <w:rsid w:val="42242BF7"/>
    <w:rsid w:val="4224534D"/>
    <w:rsid w:val="426B3BFD"/>
    <w:rsid w:val="42910AC3"/>
    <w:rsid w:val="42A6641E"/>
    <w:rsid w:val="42B30059"/>
    <w:rsid w:val="42C772B9"/>
    <w:rsid w:val="42CA3562"/>
    <w:rsid w:val="42D4753C"/>
    <w:rsid w:val="42D65CE3"/>
    <w:rsid w:val="43036342"/>
    <w:rsid w:val="431C50CE"/>
    <w:rsid w:val="43467841"/>
    <w:rsid w:val="438E57BC"/>
    <w:rsid w:val="43B27657"/>
    <w:rsid w:val="43B8688B"/>
    <w:rsid w:val="43BA688B"/>
    <w:rsid w:val="43BD3B11"/>
    <w:rsid w:val="43C326B1"/>
    <w:rsid w:val="43C93DA7"/>
    <w:rsid w:val="43E63F63"/>
    <w:rsid w:val="43E74805"/>
    <w:rsid w:val="43F47D4D"/>
    <w:rsid w:val="43FA1665"/>
    <w:rsid w:val="440F6EBE"/>
    <w:rsid w:val="4487596E"/>
    <w:rsid w:val="449065E4"/>
    <w:rsid w:val="44C52600"/>
    <w:rsid w:val="451E7709"/>
    <w:rsid w:val="452A27C4"/>
    <w:rsid w:val="4559551E"/>
    <w:rsid w:val="455A0DA3"/>
    <w:rsid w:val="4563730C"/>
    <w:rsid w:val="459C2946"/>
    <w:rsid w:val="45D83A86"/>
    <w:rsid w:val="45ED1351"/>
    <w:rsid w:val="45FB6557"/>
    <w:rsid w:val="46037123"/>
    <w:rsid w:val="460D154B"/>
    <w:rsid w:val="46224E26"/>
    <w:rsid w:val="46997F5B"/>
    <w:rsid w:val="469B647B"/>
    <w:rsid w:val="46B55E43"/>
    <w:rsid w:val="46DD0EA4"/>
    <w:rsid w:val="46DF04B4"/>
    <w:rsid w:val="46ED47E4"/>
    <w:rsid w:val="470F6601"/>
    <w:rsid w:val="471932DC"/>
    <w:rsid w:val="47732475"/>
    <w:rsid w:val="477E6769"/>
    <w:rsid w:val="47A15AE3"/>
    <w:rsid w:val="47BB49A9"/>
    <w:rsid w:val="47E278F4"/>
    <w:rsid w:val="47E44CE0"/>
    <w:rsid w:val="48193EDE"/>
    <w:rsid w:val="48694FA0"/>
    <w:rsid w:val="487D0036"/>
    <w:rsid w:val="488E768B"/>
    <w:rsid w:val="488F25D9"/>
    <w:rsid w:val="48BB264B"/>
    <w:rsid w:val="48EE4AFD"/>
    <w:rsid w:val="49390790"/>
    <w:rsid w:val="493D0335"/>
    <w:rsid w:val="49676AC2"/>
    <w:rsid w:val="4976578C"/>
    <w:rsid w:val="498F4936"/>
    <w:rsid w:val="49D1074D"/>
    <w:rsid w:val="49E67D8E"/>
    <w:rsid w:val="49F41D5E"/>
    <w:rsid w:val="4A047D76"/>
    <w:rsid w:val="4A1A61CA"/>
    <w:rsid w:val="4A327238"/>
    <w:rsid w:val="4A903713"/>
    <w:rsid w:val="4A943C10"/>
    <w:rsid w:val="4AA92CE9"/>
    <w:rsid w:val="4AC41DB7"/>
    <w:rsid w:val="4B1E31F7"/>
    <w:rsid w:val="4B3E700B"/>
    <w:rsid w:val="4B3F1232"/>
    <w:rsid w:val="4B57703E"/>
    <w:rsid w:val="4B662107"/>
    <w:rsid w:val="4B9A0561"/>
    <w:rsid w:val="4B9F1925"/>
    <w:rsid w:val="4BAC553A"/>
    <w:rsid w:val="4BCB3573"/>
    <w:rsid w:val="4BE065B7"/>
    <w:rsid w:val="4C035F37"/>
    <w:rsid w:val="4C212DEA"/>
    <w:rsid w:val="4C22747C"/>
    <w:rsid w:val="4C514E97"/>
    <w:rsid w:val="4C6937F5"/>
    <w:rsid w:val="4C6B3AA1"/>
    <w:rsid w:val="4CB90340"/>
    <w:rsid w:val="4CC36D0B"/>
    <w:rsid w:val="4CE75373"/>
    <w:rsid w:val="4D097EF2"/>
    <w:rsid w:val="4D3747FF"/>
    <w:rsid w:val="4D543359"/>
    <w:rsid w:val="4D7E36A5"/>
    <w:rsid w:val="4DB67461"/>
    <w:rsid w:val="4E0C268A"/>
    <w:rsid w:val="4E69727A"/>
    <w:rsid w:val="4E765E5A"/>
    <w:rsid w:val="4E8318E1"/>
    <w:rsid w:val="4EAE23AB"/>
    <w:rsid w:val="4EBE6299"/>
    <w:rsid w:val="4EDE2EB6"/>
    <w:rsid w:val="4EEE29D8"/>
    <w:rsid w:val="4EF633AB"/>
    <w:rsid w:val="4F106249"/>
    <w:rsid w:val="4F1670CF"/>
    <w:rsid w:val="4F384879"/>
    <w:rsid w:val="4F55729E"/>
    <w:rsid w:val="4FC06E79"/>
    <w:rsid w:val="4FFE6E2E"/>
    <w:rsid w:val="503871B3"/>
    <w:rsid w:val="503E32E5"/>
    <w:rsid w:val="50513BF5"/>
    <w:rsid w:val="50675DFF"/>
    <w:rsid w:val="508D2EDF"/>
    <w:rsid w:val="509A2890"/>
    <w:rsid w:val="50B924A3"/>
    <w:rsid w:val="50F857A1"/>
    <w:rsid w:val="51184A2D"/>
    <w:rsid w:val="514756C4"/>
    <w:rsid w:val="514B75E8"/>
    <w:rsid w:val="51737993"/>
    <w:rsid w:val="518D3A78"/>
    <w:rsid w:val="5194469F"/>
    <w:rsid w:val="519D0DB4"/>
    <w:rsid w:val="51A53B14"/>
    <w:rsid w:val="51AF1C3C"/>
    <w:rsid w:val="51BE4911"/>
    <w:rsid w:val="51D239AD"/>
    <w:rsid w:val="51EF2E47"/>
    <w:rsid w:val="5200122E"/>
    <w:rsid w:val="52121EAC"/>
    <w:rsid w:val="52215111"/>
    <w:rsid w:val="525F4868"/>
    <w:rsid w:val="52A12E07"/>
    <w:rsid w:val="531F30C4"/>
    <w:rsid w:val="53412AC4"/>
    <w:rsid w:val="538748A2"/>
    <w:rsid w:val="538F5E1B"/>
    <w:rsid w:val="53BA0908"/>
    <w:rsid w:val="53DF0AB7"/>
    <w:rsid w:val="53F01113"/>
    <w:rsid w:val="53FB2D98"/>
    <w:rsid w:val="540C3774"/>
    <w:rsid w:val="54371409"/>
    <w:rsid w:val="544F049A"/>
    <w:rsid w:val="54796757"/>
    <w:rsid w:val="54955562"/>
    <w:rsid w:val="549B6672"/>
    <w:rsid w:val="54A91F22"/>
    <w:rsid w:val="54BD4069"/>
    <w:rsid w:val="54EE0FF2"/>
    <w:rsid w:val="54F27CFD"/>
    <w:rsid w:val="55230FD0"/>
    <w:rsid w:val="553B0BD0"/>
    <w:rsid w:val="555C3C85"/>
    <w:rsid w:val="55633F28"/>
    <w:rsid w:val="55B24F2B"/>
    <w:rsid w:val="55D12532"/>
    <w:rsid w:val="5601257D"/>
    <w:rsid w:val="560F7A69"/>
    <w:rsid w:val="563C5D54"/>
    <w:rsid w:val="566D4B95"/>
    <w:rsid w:val="567C7800"/>
    <w:rsid w:val="568D6638"/>
    <w:rsid w:val="569D1EE7"/>
    <w:rsid w:val="56BF11D0"/>
    <w:rsid w:val="56EB278F"/>
    <w:rsid w:val="56FF1D12"/>
    <w:rsid w:val="572656D4"/>
    <w:rsid w:val="57462C31"/>
    <w:rsid w:val="57DF4914"/>
    <w:rsid w:val="57FC134F"/>
    <w:rsid w:val="581B2431"/>
    <w:rsid w:val="5836129D"/>
    <w:rsid w:val="583700F6"/>
    <w:rsid w:val="58951701"/>
    <w:rsid w:val="58C12419"/>
    <w:rsid w:val="58DE7069"/>
    <w:rsid w:val="58F62B5D"/>
    <w:rsid w:val="58F74973"/>
    <w:rsid w:val="58F816CA"/>
    <w:rsid w:val="58FA36D0"/>
    <w:rsid w:val="59263A26"/>
    <w:rsid w:val="593F52E8"/>
    <w:rsid w:val="59AD06A4"/>
    <w:rsid w:val="59F52DA6"/>
    <w:rsid w:val="5A1E4155"/>
    <w:rsid w:val="5A3938A1"/>
    <w:rsid w:val="5A395D10"/>
    <w:rsid w:val="5A4D586D"/>
    <w:rsid w:val="5A6249B0"/>
    <w:rsid w:val="5A6A3718"/>
    <w:rsid w:val="5A964AB8"/>
    <w:rsid w:val="5AC33201"/>
    <w:rsid w:val="5AC97447"/>
    <w:rsid w:val="5B333C3C"/>
    <w:rsid w:val="5B6C1A7A"/>
    <w:rsid w:val="5B8E16C2"/>
    <w:rsid w:val="5C2D3E60"/>
    <w:rsid w:val="5C371C67"/>
    <w:rsid w:val="5CA10D72"/>
    <w:rsid w:val="5CA34613"/>
    <w:rsid w:val="5CF52A1F"/>
    <w:rsid w:val="5D08610F"/>
    <w:rsid w:val="5D0C0B25"/>
    <w:rsid w:val="5D1E702C"/>
    <w:rsid w:val="5D2146D5"/>
    <w:rsid w:val="5D3D6AA6"/>
    <w:rsid w:val="5D4F4B6B"/>
    <w:rsid w:val="5DA43012"/>
    <w:rsid w:val="5DAF16A8"/>
    <w:rsid w:val="5DCD78A7"/>
    <w:rsid w:val="5DE72B76"/>
    <w:rsid w:val="5E0F09F4"/>
    <w:rsid w:val="5E173FF3"/>
    <w:rsid w:val="5E360656"/>
    <w:rsid w:val="5E603F7F"/>
    <w:rsid w:val="5EE84C68"/>
    <w:rsid w:val="5F0626B0"/>
    <w:rsid w:val="5F1B0044"/>
    <w:rsid w:val="5F7C3B16"/>
    <w:rsid w:val="5F8F0673"/>
    <w:rsid w:val="5FC97FEB"/>
    <w:rsid w:val="60245DDE"/>
    <w:rsid w:val="606301FB"/>
    <w:rsid w:val="60665B52"/>
    <w:rsid w:val="60BB1735"/>
    <w:rsid w:val="60C8642B"/>
    <w:rsid w:val="60D8319C"/>
    <w:rsid w:val="60E42E34"/>
    <w:rsid w:val="60F31D14"/>
    <w:rsid w:val="61014D78"/>
    <w:rsid w:val="611932AF"/>
    <w:rsid w:val="614B72AC"/>
    <w:rsid w:val="614C3C26"/>
    <w:rsid w:val="61605E4F"/>
    <w:rsid w:val="6165708A"/>
    <w:rsid w:val="617102D4"/>
    <w:rsid w:val="61E2672A"/>
    <w:rsid w:val="621D5BA4"/>
    <w:rsid w:val="622215D8"/>
    <w:rsid w:val="622F0005"/>
    <w:rsid w:val="625E2024"/>
    <w:rsid w:val="631A6DAA"/>
    <w:rsid w:val="631D6A57"/>
    <w:rsid w:val="63256512"/>
    <w:rsid w:val="632726EA"/>
    <w:rsid w:val="632D4A3C"/>
    <w:rsid w:val="633E23DD"/>
    <w:rsid w:val="634D4ADC"/>
    <w:rsid w:val="635B6748"/>
    <w:rsid w:val="635C429C"/>
    <w:rsid w:val="635C6041"/>
    <w:rsid w:val="638A0D0F"/>
    <w:rsid w:val="63947A95"/>
    <w:rsid w:val="63995DF3"/>
    <w:rsid w:val="63D0057D"/>
    <w:rsid w:val="6433403C"/>
    <w:rsid w:val="645D5A93"/>
    <w:rsid w:val="645E43BF"/>
    <w:rsid w:val="646225C9"/>
    <w:rsid w:val="64A94977"/>
    <w:rsid w:val="64E37C0D"/>
    <w:rsid w:val="65194FD3"/>
    <w:rsid w:val="65444EAE"/>
    <w:rsid w:val="657C0DAF"/>
    <w:rsid w:val="65B9511C"/>
    <w:rsid w:val="65BE37AF"/>
    <w:rsid w:val="660C7F20"/>
    <w:rsid w:val="66340C51"/>
    <w:rsid w:val="66361B8F"/>
    <w:rsid w:val="666A0D6A"/>
    <w:rsid w:val="667823BA"/>
    <w:rsid w:val="669F6A82"/>
    <w:rsid w:val="66B479A6"/>
    <w:rsid w:val="66D85417"/>
    <w:rsid w:val="66DC2963"/>
    <w:rsid w:val="67262BB0"/>
    <w:rsid w:val="6727655C"/>
    <w:rsid w:val="67352D71"/>
    <w:rsid w:val="678A5484"/>
    <w:rsid w:val="678F10A0"/>
    <w:rsid w:val="67967995"/>
    <w:rsid w:val="679B1417"/>
    <w:rsid w:val="67B167D1"/>
    <w:rsid w:val="67B8730F"/>
    <w:rsid w:val="67FC46AF"/>
    <w:rsid w:val="68077B91"/>
    <w:rsid w:val="68315DA2"/>
    <w:rsid w:val="68446CCF"/>
    <w:rsid w:val="68482DB3"/>
    <w:rsid w:val="685F0E50"/>
    <w:rsid w:val="685F1C50"/>
    <w:rsid w:val="687053DC"/>
    <w:rsid w:val="6871630F"/>
    <w:rsid w:val="68B61411"/>
    <w:rsid w:val="68CA6271"/>
    <w:rsid w:val="68CD7322"/>
    <w:rsid w:val="68CF6BC0"/>
    <w:rsid w:val="68D67C69"/>
    <w:rsid w:val="68D81E4F"/>
    <w:rsid w:val="68FD31D7"/>
    <w:rsid w:val="693636EF"/>
    <w:rsid w:val="69410BEE"/>
    <w:rsid w:val="695125CA"/>
    <w:rsid w:val="695D795C"/>
    <w:rsid w:val="69680525"/>
    <w:rsid w:val="699022E9"/>
    <w:rsid w:val="699366AF"/>
    <w:rsid w:val="69DA3702"/>
    <w:rsid w:val="6A2C3949"/>
    <w:rsid w:val="6A35559C"/>
    <w:rsid w:val="6A4F6B08"/>
    <w:rsid w:val="6A714498"/>
    <w:rsid w:val="6AA74D9D"/>
    <w:rsid w:val="6AA8787B"/>
    <w:rsid w:val="6AC3299D"/>
    <w:rsid w:val="6AC3719D"/>
    <w:rsid w:val="6ACF57D2"/>
    <w:rsid w:val="6B2C481B"/>
    <w:rsid w:val="6B4B5E14"/>
    <w:rsid w:val="6B4C4CC5"/>
    <w:rsid w:val="6B8F62FC"/>
    <w:rsid w:val="6B976CB9"/>
    <w:rsid w:val="6BE7576E"/>
    <w:rsid w:val="6BEC5F07"/>
    <w:rsid w:val="6BF27B2F"/>
    <w:rsid w:val="6C0D0E79"/>
    <w:rsid w:val="6C1F6AA2"/>
    <w:rsid w:val="6C2755B4"/>
    <w:rsid w:val="6C6C35F5"/>
    <w:rsid w:val="6C727EA0"/>
    <w:rsid w:val="6C805CBE"/>
    <w:rsid w:val="6CB87D98"/>
    <w:rsid w:val="6CB95A74"/>
    <w:rsid w:val="6CE21AC1"/>
    <w:rsid w:val="6CFC1CBF"/>
    <w:rsid w:val="6D5D3196"/>
    <w:rsid w:val="6D664EE6"/>
    <w:rsid w:val="6D862606"/>
    <w:rsid w:val="6D9F7FD2"/>
    <w:rsid w:val="6DA13C29"/>
    <w:rsid w:val="6DF93C55"/>
    <w:rsid w:val="6E140C84"/>
    <w:rsid w:val="6E207650"/>
    <w:rsid w:val="6E7F3835"/>
    <w:rsid w:val="6EA56F68"/>
    <w:rsid w:val="6EFC549E"/>
    <w:rsid w:val="6F2D34F6"/>
    <w:rsid w:val="6F3A2165"/>
    <w:rsid w:val="6F42615E"/>
    <w:rsid w:val="6F455F74"/>
    <w:rsid w:val="6FCA1042"/>
    <w:rsid w:val="6FF84FF4"/>
    <w:rsid w:val="70060541"/>
    <w:rsid w:val="703665DE"/>
    <w:rsid w:val="706104F8"/>
    <w:rsid w:val="706A3279"/>
    <w:rsid w:val="70795A00"/>
    <w:rsid w:val="70962CA7"/>
    <w:rsid w:val="70BE1087"/>
    <w:rsid w:val="70D54DD9"/>
    <w:rsid w:val="71280F29"/>
    <w:rsid w:val="71315191"/>
    <w:rsid w:val="716440FB"/>
    <w:rsid w:val="717B1A6C"/>
    <w:rsid w:val="71A04FFD"/>
    <w:rsid w:val="71EB2B16"/>
    <w:rsid w:val="720B6D0C"/>
    <w:rsid w:val="72162671"/>
    <w:rsid w:val="721D01CC"/>
    <w:rsid w:val="72772ECA"/>
    <w:rsid w:val="727C06F2"/>
    <w:rsid w:val="72AC04EB"/>
    <w:rsid w:val="72B23693"/>
    <w:rsid w:val="72B55D33"/>
    <w:rsid w:val="72B7064C"/>
    <w:rsid w:val="72D36F5F"/>
    <w:rsid w:val="72EB61AE"/>
    <w:rsid w:val="730F7E1B"/>
    <w:rsid w:val="732A193F"/>
    <w:rsid w:val="73591ED0"/>
    <w:rsid w:val="7360126A"/>
    <w:rsid w:val="73803F85"/>
    <w:rsid w:val="73A0232C"/>
    <w:rsid w:val="73A35A58"/>
    <w:rsid w:val="73A77F04"/>
    <w:rsid w:val="73B175BA"/>
    <w:rsid w:val="73E90A84"/>
    <w:rsid w:val="73F43BF0"/>
    <w:rsid w:val="74006134"/>
    <w:rsid w:val="741929F9"/>
    <w:rsid w:val="74375E04"/>
    <w:rsid w:val="745919C6"/>
    <w:rsid w:val="74702A9A"/>
    <w:rsid w:val="74C90CFC"/>
    <w:rsid w:val="74CB2564"/>
    <w:rsid w:val="74FE3D65"/>
    <w:rsid w:val="750B2ACE"/>
    <w:rsid w:val="750B66E7"/>
    <w:rsid w:val="7540712D"/>
    <w:rsid w:val="7587153D"/>
    <w:rsid w:val="75CA5909"/>
    <w:rsid w:val="75CD06EF"/>
    <w:rsid w:val="75D6706B"/>
    <w:rsid w:val="75E13EAC"/>
    <w:rsid w:val="75F107FD"/>
    <w:rsid w:val="7608791A"/>
    <w:rsid w:val="761C2BBB"/>
    <w:rsid w:val="7631361A"/>
    <w:rsid w:val="76476BA1"/>
    <w:rsid w:val="7664068F"/>
    <w:rsid w:val="766B3623"/>
    <w:rsid w:val="7677643E"/>
    <w:rsid w:val="767A5570"/>
    <w:rsid w:val="767C2539"/>
    <w:rsid w:val="769E74B0"/>
    <w:rsid w:val="76B73E96"/>
    <w:rsid w:val="76F24F99"/>
    <w:rsid w:val="774114F6"/>
    <w:rsid w:val="776A1DE8"/>
    <w:rsid w:val="780C2D10"/>
    <w:rsid w:val="785D00CA"/>
    <w:rsid w:val="785E76E8"/>
    <w:rsid w:val="786C062C"/>
    <w:rsid w:val="78E36E01"/>
    <w:rsid w:val="78F364A9"/>
    <w:rsid w:val="79212831"/>
    <w:rsid w:val="792A1A22"/>
    <w:rsid w:val="793B5C30"/>
    <w:rsid w:val="7980797E"/>
    <w:rsid w:val="79822868"/>
    <w:rsid w:val="79A10005"/>
    <w:rsid w:val="79AE27FA"/>
    <w:rsid w:val="79C17EE8"/>
    <w:rsid w:val="79D15FE4"/>
    <w:rsid w:val="79F07533"/>
    <w:rsid w:val="79F36117"/>
    <w:rsid w:val="7A073803"/>
    <w:rsid w:val="7A3F692E"/>
    <w:rsid w:val="7A8D09B0"/>
    <w:rsid w:val="7AA21ED1"/>
    <w:rsid w:val="7AAE6128"/>
    <w:rsid w:val="7AE107C6"/>
    <w:rsid w:val="7AEE350D"/>
    <w:rsid w:val="7B170A0B"/>
    <w:rsid w:val="7B3C2695"/>
    <w:rsid w:val="7B3C2E48"/>
    <w:rsid w:val="7B792F7C"/>
    <w:rsid w:val="7C0D2D6E"/>
    <w:rsid w:val="7C1E17A5"/>
    <w:rsid w:val="7C4D52CD"/>
    <w:rsid w:val="7C767CAC"/>
    <w:rsid w:val="7C7C10D6"/>
    <w:rsid w:val="7C807EF4"/>
    <w:rsid w:val="7CA1133E"/>
    <w:rsid w:val="7CAF0AA9"/>
    <w:rsid w:val="7CC62A72"/>
    <w:rsid w:val="7D057C0D"/>
    <w:rsid w:val="7D153328"/>
    <w:rsid w:val="7D5708BE"/>
    <w:rsid w:val="7D8F6EFD"/>
    <w:rsid w:val="7DDD6CEA"/>
    <w:rsid w:val="7DEF588E"/>
    <w:rsid w:val="7E064E23"/>
    <w:rsid w:val="7E301F90"/>
    <w:rsid w:val="7E4E4DF5"/>
    <w:rsid w:val="7E565841"/>
    <w:rsid w:val="7E636E14"/>
    <w:rsid w:val="7E753189"/>
    <w:rsid w:val="7E954FD2"/>
    <w:rsid w:val="7EF41B6E"/>
    <w:rsid w:val="7EF572D2"/>
    <w:rsid w:val="7EFC53F1"/>
    <w:rsid w:val="7EFE7741"/>
    <w:rsid w:val="7F2B10AD"/>
    <w:rsid w:val="7F6874AC"/>
    <w:rsid w:val="7F6B4AD7"/>
    <w:rsid w:val="7F7D0E2A"/>
    <w:rsid w:val="7F891C56"/>
    <w:rsid w:val="7FB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Chars="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5">
    <w:name w:val="Default Paragraph Font"/>
    <w:link w:val="26"/>
    <w:semiHidden/>
    <w:unhideWhenUsed/>
    <w:qFormat/>
    <w:uiPriority w:val="1"/>
    <w:rPr>
      <w:rFonts w:ascii="Tahoma" w:hAnsi="Tahoma"/>
      <w:sz w:val="24"/>
      <w:szCs w:val="20"/>
    </w:rPr>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8">
    <w:name w:val="List Number"/>
    <w:basedOn w:val="1"/>
    <w:qFormat/>
    <w:uiPriority w:val="0"/>
    <w:pPr>
      <w:numPr>
        <w:ilvl w:val="0"/>
        <w:numId w:val="2"/>
      </w:numPr>
    </w:pPr>
  </w:style>
  <w:style w:type="paragraph" w:styleId="9">
    <w:name w:val="annotation text"/>
    <w:basedOn w:val="1"/>
    <w:link w:val="46"/>
    <w:qFormat/>
    <w:uiPriority w:val="0"/>
    <w:pPr>
      <w:jc w:val="left"/>
    </w:pPr>
  </w:style>
  <w:style w:type="paragraph" w:styleId="10">
    <w:name w:val="Body Text"/>
    <w:basedOn w:val="1"/>
    <w:qFormat/>
    <w:uiPriority w:val="0"/>
    <w:pPr>
      <w:spacing w:line="360" w:lineRule="exact"/>
    </w:pPr>
    <w:rPr>
      <w:sz w:val="24"/>
    </w:rPr>
  </w:style>
  <w:style w:type="paragraph" w:styleId="11">
    <w:name w:val="Body Text Indent"/>
    <w:basedOn w:val="1"/>
    <w:next w:val="1"/>
    <w:link w:val="49"/>
    <w:qFormat/>
    <w:uiPriority w:val="0"/>
    <w:pPr>
      <w:spacing w:after="120"/>
      <w:ind w:left="420" w:leftChars="200"/>
    </w:pPr>
  </w:style>
  <w:style w:type="paragraph" w:styleId="12">
    <w:name w:val="Plain Text"/>
    <w:basedOn w:val="1"/>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8"/>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Subtitle"/>
    <w:basedOn w:val="1"/>
    <w:next w:val="1"/>
    <w:qFormat/>
    <w:uiPriority w:val="11"/>
    <w:pPr>
      <w:spacing w:before="120" w:after="60" w:line="360" w:lineRule="auto"/>
      <w:ind w:firstLine="141" w:firstLineChars="50"/>
      <w:jc w:val="left"/>
      <w:outlineLvl w:val="1"/>
    </w:pPr>
    <w:rPr>
      <w:rFonts w:ascii="宋体" w:hAnsi="宋体" w:eastAsia="宋体" w:cs="Times New Roman"/>
      <w:b/>
      <w:bCs/>
      <w:kern w:val="28"/>
      <w:sz w:val="28"/>
      <w:szCs w:val="32"/>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Title"/>
    <w:basedOn w:val="1"/>
    <w:next w:val="1"/>
    <w:qFormat/>
    <w:uiPriority w:val="10"/>
    <w:pPr>
      <w:spacing w:before="240" w:after="60" w:line="360" w:lineRule="auto"/>
      <w:jc w:val="left"/>
      <w:outlineLvl w:val="0"/>
    </w:pPr>
    <w:rPr>
      <w:rFonts w:ascii="宋体" w:hAnsi="宋体" w:eastAsia="宋体" w:cs="Times New Roman"/>
      <w:b/>
      <w:bCs/>
      <w:sz w:val="28"/>
      <w:szCs w:val="32"/>
    </w:rPr>
  </w:style>
  <w:style w:type="paragraph" w:styleId="20">
    <w:name w:val="annotation subject"/>
    <w:basedOn w:val="9"/>
    <w:next w:val="9"/>
    <w:link w:val="47"/>
    <w:qFormat/>
    <w:uiPriority w:val="0"/>
    <w:rPr>
      <w:b/>
      <w:bCs/>
    </w:rPr>
  </w:style>
  <w:style w:type="paragraph" w:styleId="21">
    <w:name w:val="Body Text First Indent"/>
    <w:basedOn w:val="1"/>
    <w:qFormat/>
    <w:uiPriority w:val="0"/>
    <w:pPr>
      <w:ind w:firstLine="200" w:firstLineChars="200"/>
    </w:pPr>
    <w:rPr>
      <w:sz w:val="21"/>
    </w:rPr>
  </w:style>
  <w:style w:type="paragraph" w:styleId="22">
    <w:name w:val="Body Text First Indent 2"/>
    <w:basedOn w:val="11"/>
    <w:qFormat/>
    <w:uiPriority w:val="0"/>
    <w:pPr>
      <w:ind w:firstLine="420"/>
    </w:pPr>
  </w:style>
  <w:style w:type="table" w:styleId="24">
    <w:name w:val="Table Grid"/>
    <w:basedOn w:val="23"/>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6">
    <w:name w:val="Char1"/>
    <w:basedOn w:val="1"/>
    <w:link w:val="25"/>
    <w:qFormat/>
    <w:uiPriority w:val="0"/>
    <w:rPr>
      <w:rFonts w:ascii="Tahoma" w:hAnsi="Tahoma"/>
      <w:sz w:val="24"/>
      <w:szCs w:val="20"/>
    </w:rPr>
  </w:style>
  <w:style w:type="character" w:styleId="27">
    <w:name w:val="Hyperlink"/>
    <w:qFormat/>
    <w:uiPriority w:val="0"/>
    <w:rPr>
      <w:color w:val="0000FF"/>
      <w:u w:val="single"/>
    </w:rPr>
  </w:style>
  <w:style w:type="character" w:styleId="28">
    <w:name w:val="annotation reference"/>
    <w:basedOn w:val="25"/>
    <w:qFormat/>
    <w:uiPriority w:val="0"/>
    <w:rPr>
      <w:sz w:val="21"/>
      <w:szCs w:val="21"/>
    </w:rPr>
  </w:style>
  <w:style w:type="paragraph" w:customStyle="1" w:styleId="29">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30">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1">
    <w:name w:val="List Paragraph"/>
    <w:basedOn w:val="1"/>
    <w:qFormat/>
    <w:uiPriority w:val="34"/>
    <w:pPr>
      <w:ind w:firstLine="420" w:firstLineChars="200"/>
    </w:pPr>
    <w:rPr>
      <w:rFonts w:ascii="Calibri" w:hAnsi="Calibri"/>
      <w:szCs w:val="22"/>
    </w:rPr>
  </w:style>
  <w:style w:type="paragraph" w:customStyle="1" w:styleId="32">
    <w:name w:val="列出段落1"/>
    <w:basedOn w:val="1"/>
    <w:qFormat/>
    <w:uiPriority w:val="0"/>
    <w:pPr>
      <w:ind w:firstLine="420" w:firstLineChars="200"/>
    </w:pPr>
    <w:rPr>
      <w:rFonts w:ascii="Calibri" w:hAnsi="Calibri"/>
      <w:kern w:val="0"/>
      <w:szCs w:val="20"/>
    </w:rPr>
  </w:style>
  <w:style w:type="paragraph" w:customStyle="1" w:styleId="3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Theme="minorEastAsia" w:cstheme="minorBidi"/>
      <w:szCs w:val="21"/>
    </w:rPr>
  </w:style>
  <w:style w:type="paragraph" w:customStyle="1" w:styleId="41">
    <w:name w:val="纯文本_0_1"/>
    <w:basedOn w:val="1"/>
    <w:qFormat/>
    <w:uiPriority w:val="0"/>
    <w:pPr>
      <w:widowControl/>
      <w:jc w:val="left"/>
    </w:pPr>
    <w:rPr>
      <w:rFonts w:ascii="宋体" w:hAnsi="Courier New" w:eastAsiaTheme="minorEastAsia" w:cstheme="minorBidi"/>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批注文字 字符"/>
    <w:basedOn w:val="25"/>
    <w:link w:val="9"/>
    <w:qFormat/>
    <w:uiPriority w:val="0"/>
    <w:rPr>
      <w:rFonts w:ascii="Times New Roman" w:hAnsi="Times New Roman" w:eastAsia="宋体" w:cs="Times New Roman"/>
      <w:kern w:val="2"/>
      <w:sz w:val="21"/>
      <w:szCs w:val="24"/>
    </w:rPr>
  </w:style>
  <w:style w:type="character" w:customStyle="1" w:styleId="47">
    <w:name w:val="批注主题 字符"/>
    <w:basedOn w:val="46"/>
    <w:link w:val="20"/>
    <w:qFormat/>
    <w:uiPriority w:val="0"/>
    <w:rPr>
      <w:rFonts w:ascii="Times New Roman" w:hAnsi="Times New Roman" w:eastAsia="宋体" w:cs="Times New Roman"/>
      <w:b/>
      <w:bCs/>
      <w:kern w:val="2"/>
      <w:sz w:val="21"/>
      <w:szCs w:val="24"/>
    </w:rPr>
  </w:style>
  <w:style w:type="character" w:customStyle="1" w:styleId="48">
    <w:name w:val="批注框文本 字符"/>
    <w:basedOn w:val="25"/>
    <w:link w:val="14"/>
    <w:qFormat/>
    <w:uiPriority w:val="0"/>
    <w:rPr>
      <w:rFonts w:ascii="Times New Roman" w:hAnsi="Times New Roman" w:eastAsia="宋体" w:cs="Times New Roman"/>
      <w:kern w:val="2"/>
      <w:sz w:val="18"/>
      <w:szCs w:val="18"/>
    </w:rPr>
  </w:style>
  <w:style w:type="character" w:customStyle="1" w:styleId="49">
    <w:name w:val="正文文本缩进 字符"/>
    <w:basedOn w:val="25"/>
    <w:link w:val="11"/>
    <w:qFormat/>
    <w:uiPriority w:val="0"/>
    <w:rPr>
      <w:kern w:val="2"/>
      <w:sz w:val="21"/>
      <w:szCs w:val="24"/>
    </w:rPr>
  </w:style>
  <w:style w:type="paragraph" w:customStyle="1" w:styleId="5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2">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3">
    <w:name w:val="正文首行缩进（绿盟科技）"/>
    <w:basedOn w:val="54"/>
    <w:qFormat/>
    <w:uiPriority w:val="0"/>
    <w:pPr>
      <w:spacing w:after="50"/>
      <w:ind w:firstLine="200" w:firstLineChars="200"/>
    </w:pPr>
  </w:style>
  <w:style w:type="paragraph" w:customStyle="1" w:styleId="54">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5">
    <w:name w:val="无"/>
    <w:qFormat/>
    <w:uiPriority w:val="0"/>
  </w:style>
  <w:style w:type="character" w:customStyle="1" w:styleId="56">
    <w:name w:val="标题 1 Char Char"/>
    <w:basedOn w:val="25"/>
    <w:qFormat/>
    <w:uiPriority w:val="0"/>
    <w:rPr>
      <w:rFonts w:eastAsia="宋体"/>
      <w:b/>
      <w:spacing w:val="-2"/>
      <w:sz w:val="24"/>
      <w:lang w:val="en-US" w:eastAsia="zh-CN" w:bidi="ar-SA"/>
    </w:rPr>
  </w:style>
  <w:style w:type="character" w:customStyle="1" w:styleId="57">
    <w:name w:val="font51"/>
    <w:basedOn w:val="25"/>
    <w:qFormat/>
    <w:uiPriority w:val="0"/>
    <w:rPr>
      <w:rFonts w:hint="eastAsia" w:ascii="宋体" w:hAnsi="宋体" w:eastAsia="宋体" w:cs="宋体"/>
      <w:color w:val="000000"/>
      <w:sz w:val="18"/>
      <w:szCs w:val="18"/>
      <w:u w:val="none"/>
    </w:rPr>
  </w:style>
  <w:style w:type="character" w:customStyle="1" w:styleId="58">
    <w:name w:val="font61"/>
    <w:basedOn w:val="25"/>
    <w:qFormat/>
    <w:uiPriority w:val="0"/>
    <w:rPr>
      <w:rFonts w:hint="eastAsia" w:ascii="宋体" w:hAnsi="宋体" w:eastAsia="宋体" w:cs="宋体"/>
      <w:b/>
      <w:color w:val="FF0000"/>
      <w:sz w:val="18"/>
      <w:szCs w:val="18"/>
      <w:u w:val="none"/>
    </w:rPr>
  </w:style>
  <w:style w:type="character" w:customStyle="1" w:styleId="59">
    <w:name w:val="font41"/>
    <w:basedOn w:val="25"/>
    <w:qFormat/>
    <w:uiPriority w:val="0"/>
    <w:rPr>
      <w:rFonts w:hint="eastAsia" w:ascii="宋体" w:hAnsi="宋体" w:eastAsia="宋体" w:cs="宋体"/>
      <w:color w:val="000000"/>
      <w:sz w:val="18"/>
      <w:szCs w:val="18"/>
      <w:u w:val="none"/>
    </w:rPr>
  </w:style>
  <w:style w:type="character" w:customStyle="1" w:styleId="60">
    <w:name w:val="font01"/>
    <w:basedOn w:val="25"/>
    <w:qFormat/>
    <w:uiPriority w:val="0"/>
    <w:rPr>
      <w:rFonts w:hint="eastAsia" w:ascii="宋体" w:hAnsi="宋体" w:eastAsia="宋体" w:cs="宋体"/>
      <w:color w:val="000000"/>
      <w:sz w:val="24"/>
      <w:szCs w:val="24"/>
      <w:u w:val="none"/>
    </w:rPr>
  </w:style>
  <w:style w:type="paragraph" w:customStyle="1" w:styleId="61">
    <w:name w:val="_Style 253"/>
    <w:basedOn w:val="1"/>
    <w:next w:val="21"/>
    <w:qFormat/>
    <w:uiPriority w:val="99"/>
  </w:style>
  <w:style w:type="paragraph" w:customStyle="1" w:styleId="62">
    <w:name w:val="*正文"/>
    <w:basedOn w:val="1"/>
    <w:qFormat/>
    <w:uiPriority w:val="0"/>
    <w:pPr>
      <w:spacing w:line="300" w:lineRule="auto"/>
      <w:ind w:firstLine="480" w:firstLineChars="200"/>
    </w:pPr>
    <w:rPr>
      <w:rFonts w:ascii="宋体" w:hAnsi="宋体"/>
      <w:bCs/>
      <w:color w:val="auto"/>
    </w:rPr>
  </w:style>
  <w:style w:type="paragraph" w:customStyle="1" w:styleId="63">
    <w:name w:val="MY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64">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6855</Words>
  <Characters>39079</Characters>
  <Lines>325</Lines>
  <Paragraphs>91</Paragraphs>
  <TotalTime>17</TotalTime>
  <ScaleCrop>false</ScaleCrop>
  <LinksUpToDate>false</LinksUpToDate>
  <CharactersWithSpaces>45843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Administrator</cp:lastModifiedBy>
  <cp:lastPrinted>2019-07-03T07:20:00Z</cp:lastPrinted>
  <dcterms:modified xsi:type="dcterms:W3CDTF">2021-03-29T01:11:07Z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