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color w:val="000000" w:themeColor="text1"/>
          <w:kern w:val="0"/>
          <w:sz w:val="52"/>
          <w:szCs w:val="52"/>
          <w:lang w:val="en-US" w:eastAsia="zh-CN"/>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14:textFill>
            <w14:solidFill>
              <w14:schemeClr w14:val="tx1"/>
            </w14:solidFill>
          </w14:textFill>
        </w:rPr>
      </w:pPr>
      <w:r>
        <w:rPr>
          <w:rFonts w:hint="eastAsia" w:ascii="宋体"/>
          <w:b/>
          <w:color w:val="000000" w:themeColor="text1"/>
          <w:kern w:val="0"/>
          <w:sz w:val="32"/>
          <w14:textFill>
            <w14:solidFill>
              <w14:schemeClr w14:val="tx1"/>
            </w14:solidFill>
          </w14:textFill>
        </w:rPr>
        <w:t>TZ</w:t>
      </w:r>
      <w:r>
        <w:rPr>
          <w:rFonts w:ascii="宋体"/>
          <w:b/>
          <w:color w:val="000000" w:themeColor="text1"/>
          <w:kern w:val="0"/>
          <w:sz w:val="32"/>
          <w14:textFill>
            <w14:solidFill>
              <w14:schemeClr w14:val="tx1"/>
            </w14:solidFill>
          </w14:textFill>
        </w:rPr>
        <w:t>CG-20</w:t>
      </w:r>
      <w:r>
        <w:rPr>
          <w:rFonts w:hint="eastAsia" w:ascii="宋体"/>
          <w:b/>
          <w:color w:val="000000" w:themeColor="text1"/>
          <w:kern w:val="0"/>
          <w:sz w:val="32"/>
          <w:lang w:val="en-US" w:eastAsia="zh-CN"/>
          <w14:textFill>
            <w14:solidFill>
              <w14:schemeClr w14:val="tx1"/>
            </w14:solidFill>
          </w14:textFill>
        </w:rPr>
        <w:t>20</w:t>
      </w:r>
      <w:r>
        <w:rPr>
          <w:rFonts w:ascii="宋体"/>
          <w:b/>
          <w:color w:val="000000" w:themeColor="text1"/>
          <w:kern w:val="0"/>
          <w:sz w:val="32"/>
          <w14:textFill>
            <w14:solidFill>
              <w14:schemeClr w14:val="tx1"/>
            </w14:solidFill>
          </w14:textFill>
        </w:rPr>
        <w:t>-</w:t>
      </w:r>
      <w:r>
        <w:rPr>
          <w:rFonts w:hint="eastAsia" w:ascii="宋体"/>
          <w:b/>
          <w:color w:val="000000" w:themeColor="text1"/>
          <w:kern w:val="0"/>
          <w:sz w:val="32"/>
          <w14:textFill>
            <w14:solidFill>
              <w14:schemeClr w14:val="tx1"/>
            </w14:solidFill>
          </w14:textFill>
        </w:rPr>
        <w:t>GK</w:t>
      </w:r>
      <w:r>
        <w:rPr>
          <w:rFonts w:hint="eastAsia" w:ascii="宋体"/>
          <w:b/>
          <w:color w:val="000000" w:themeColor="text1"/>
          <w:kern w:val="0"/>
          <w:sz w:val="32"/>
          <w:lang w:val="en-US" w:eastAsia="zh-CN"/>
          <w14:textFill>
            <w14:solidFill>
              <w14:schemeClr w14:val="tx1"/>
            </w14:solidFill>
          </w14:textFill>
        </w:rPr>
        <w:t>020D</w:t>
      </w:r>
      <w:r>
        <w:rPr>
          <w:rFonts w:hint="eastAsia" w:ascii="宋体"/>
          <w:b/>
          <w:color w:val="000000" w:themeColor="text1"/>
          <w:kern w:val="0"/>
          <w:sz w:val="32"/>
          <w14:textFill>
            <w14:solidFill>
              <w14:schemeClr w14:val="tx1"/>
            </w14:solidFill>
          </w14:textFill>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1200" w:hanging="1200" w:hangingChars="500"/>
        <w:jc w:val="left"/>
        <w:rPr>
          <w:rFonts w:hint="eastAsia" w:ascii="宋体"/>
          <w:color w:val="000000" w:themeColor="text1"/>
          <w:kern w:val="0"/>
          <w:sz w:val="24"/>
          <w:szCs w:val="24"/>
          <w:lang w:val="en-US" w:eastAsia="zh-CN"/>
          <w14:textFill>
            <w14:solidFill>
              <w14:schemeClr w14:val="tx1"/>
            </w14:solidFill>
          </w14:textFill>
        </w:rPr>
      </w:pPr>
      <w:r>
        <w:rPr>
          <w:rFonts w:hint="eastAsia" w:ascii="宋体"/>
          <w:color w:val="000000" w:themeColor="text1"/>
          <w:kern w:val="0"/>
          <w:sz w:val="24"/>
          <w:szCs w:val="24"/>
          <w14:textFill>
            <w14:solidFill>
              <w14:schemeClr w14:val="tx1"/>
            </w14:solidFill>
          </w14:textFill>
        </w:rPr>
        <w:t>采购项目：</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（台州市路泽太高架快速路有限公司）鄞州至玉环公路椒江洪家至温岭城东段公路（路泽太高架</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快速路</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）监控</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设备采购项目</w:t>
      </w:r>
      <w:r>
        <w:rPr>
          <w:rFonts w:hint="eastAsia" w:ascii="宋体"/>
          <w:color w:val="000000" w:themeColor="text1"/>
          <w:kern w:val="0"/>
          <w:sz w:val="24"/>
          <w:szCs w:val="24"/>
          <w:lang w:val="en-US" w:eastAsia="zh-CN"/>
          <w14:textFill>
            <w14:solidFill>
              <w14:schemeClr w14:val="tx1"/>
            </w14:solidFill>
          </w14:textFill>
        </w:rPr>
        <w:t xml:space="preserve"> </w:t>
      </w:r>
    </w:p>
    <w:p>
      <w:pPr>
        <w:pStyle w:val="11"/>
        <w:rPr>
          <w:rFonts w:hint="default"/>
          <w:color w:val="000000" w:themeColor="text1"/>
          <w:lang w:val="en-US" w:eastAsia="zh-CN"/>
          <w14:textFill>
            <w14:solidFill>
              <w14:schemeClr w14:val="tx1"/>
            </w14:solidFill>
          </w14:textFill>
        </w:rPr>
      </w:pPr>
    </w:p>
    <w:p>
      <w:pPr>
        <w:autoSpaceDE w:val="0"/>
        <w:autoSpaceDN w:val="0"/>
        <w:adjustRightInd w:val="0"/>
        <w:spacing w:line="360" w:lineRule="auto"/>
        <w:ind w:firstLine="1780" w:firstLineChars="742"/>
        <w:jc w:val="left"/>
        <w:rPr>
          <w:rFonts w:hint="eastAsia" w:ascii="宋体" w:eastAsia="宋体"/>
          <w:color w:val="000000" w:themeColor="text1"/>
          <w:kern w:val="0"/>
          <w:sz w:val="24"/>
          <w:szCs w:val="24"/>
          <w:lang w:val="en-US" w:eastAsia="zh-CN"/>
          <w14:textFill>
            <w14:solidFill>
              <w14:schemeClr w14:val="tx1"/>
            </w14:solidFill>
          </w14:textFill>
        </w:rPr>
      </w:pPr>
      <w:r>
        <w:rPr>
          <w:rFonts w:hint="eastAsia" w:ascii="宋体"/>
          <w:color w:val="000000" w:themeColor="text1"/>
          <w:kern w:val="0"/>
          <w:sz w:val="24"/>
          <w:szCs w:val="24"/>
          <w14:textFill>
            <w14:solidFill>
              <w14:schemeClr w14:val="tx1"/>
            </w14:solidFill>
          </w14:textFill>
        </w:rPr>
        <w:t>采购</w:t>
      </w:r>
      <w:r>
        <w:rPr>
          <w:rFonts w:hint="eastAsia" w:ascii="宋体"/>
          <w:color w:val="000000" w:themeColor="text1"/>
          <w:kern w:val="0"/>
          <w:sz w:val="24"/>
          <w:szCs w:val="24"/>
          <w:lang w:eastAsia="zh-CN"/>
          <w14:textFill>
            <w14:solidFill>
              <w14:schemeClr w14:val="tx1"/>
            </w14:solidFill>
          </w14:textFill>
        </w:rPr>
        <w:t>人</w:t>
      </w:r>
      <w:r>
        <w:rPr>
          <w:rFonts w:hint="eastAsia" w:ascii="宋体"/>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台州市公安局交通警察局</w:t>
      </w:r>
      <w:r>
        <w:rPr>
          <w:rFonts w:hint="eastAsia" w:ascii="宋体"/>
          <w:color w:val="000000" w:themeColor="text1"/>
          <w:kern w:val="0"/>
          <w:sz w:val="24"/>
          <w:szCs w:val="24"/>
          <w:lang w:val="en-US" w:eastAsia="zh-CN"/>
          <w14:textFill>
            <w14:solidFill>
              <w14:schemeClr w14:val="tx1"/>
            </w14:solidFill>
          </w14:textFill>
        </w:rPr>
        <w:t xml:space="preserve"> </w:t>
      </w:r>
    </w:p>
    <w:p>
      <w:pPr>
        <w:autoSpaceDE w:val="0"/>
        <w:autoSpaceDN w:val="0"/>
        <w:adjustRightInd w:val="0"/>
        <w:spacing w:line="360" w:lineRule="auto"/>
        <w:rPr>
          <w:rFonts w:ascii="宋体"/>
          <w:color w:val="000000" w:themeColor="text1"/>
          <w:kern w:val="0"/>
          <w:sz w:val="28"/>
          <w14:textFill>
            <w14:solidFill>
              <w14:schemeClr w14:val="tx1"/>
            </w14:solidFill>
          </w14:textFill>
        </w:rPr>
      </w:pPr>
    </w:p>
    <w:p>
      <w:pPr>
        <w:autoSpaceDE w:val="0"/>
        <w:autoSpaceDN w:val="0"/>
        <w:adjustRightInd w:val="0"/>
        <w:spacing w:line="360" w:lineRule="auto"/>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 xml:space="preserve">  2020</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14:textFill>
            <w14:solidFill>
              <w14:schemeClr w14:val="tx1"/>
            </w14:solidFill>
          </w14:textFill>
        </w:rPr>
        <w:t>日</w:t>
      </w:r>
    </w:p>
    <w:p>
      <w:pPr>
        <w:spacing w:line="360" w:lineRule="auto"/>
        <w:rPr>
          <w:color w:val="000000" w:themeColor="text1"/>
          <w14:textFill>
            <w14:solidFill>
              <w14:schemeClr w14:val="tx1"/>
            </w14:solidFill>
          </w14:textFill>
        </w:rPr>
      </w:pPr>
    </w:p>
    <w:p>
      <w:pPr>
        <w:pStyle w:val="29"/>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14:textFill>
            <w14:solidFill>
              <w14:schemeClr w14:val="tx1"/>
            </w14:solidFill>
          </w14:textFill>
        </w:rPr>
      </w:pPr>
    </w:p>
    <w:p>
      <w:pPr>
        <w:spacing w:line="360" w:lineRule="auto"/>
        <w:rPr>
          <w:rFonts w:ascii="新宋体" w:hAnsi="新宋体" w:eastAsia="新宋体"/>
          <w:color w:val="000000" w:themeColor="text1"/>
          <w:sz w:val="28"/>
          <w:szCs w:val="28"/>
          <w14:textFill>
            <w14:solidFill>
              <w14:schemeClr w14:val="tx1"/>
            </w14:solidFill>
          </w14:textFill>
        </w:rPr>
      </w:pP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公开招标采购公告</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投标人须知</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评标办法及评分标准</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公开招标需求</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政府采购合同主要条款指引</w:t>
      </w:r>
    </w:p>
    <w:p>
      <w:pPr>
        <w:numPr>
          <w:ilvl w:val="0"/>
          <w:numId w:val="3"/>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lang w:eastAsia="zh-CN"/>
          <w14:textFill>
            <w14:solidFill>
              <w14:schemeClr w14:val="tx1"/>
            </w14:solidFill>
          </w14:textFill>
        </w:rPr>
        <w:t>电子投标文件</w:t>
      </w:r>
      <w:r>
        <w:rPr>
          <w:rFonts w:hint="eastAsia" w:asciiTheme="minorEastAsia" w:hAnsiTheme="minorEastAsia" w:eastAsiaTheme="minorEastAsia"/>
          <w:b/>
          <w:color w:val="000000" w:themeColor="text1"/>
          <w:sz w:val="28"/>
          <w:szCs w:val="28"/>
          <w14:textFill>
            <w14:solidFill>
              <w14:schemeClr w14:val="tx1"/>
            </w14:solidFill>
          </w14:textFill>
        </w:rPr>
        <w:t>格式附件</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hint="eastAsia"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kern w:val="0"/>
          <w:sz w:val="36"/>
          <w:szCs w:val="36"/>
          <w14:textFill>
            <w14:solidFill>
              <w14:schemeClr w14:val="tx1"/>
            </w14:solidFill>
          </w14:textFill>
        </w:rPr>
        <w:t xml:space="preserve"> 公开</w:t>
      </w:r>
      <w:r>
        <w:rPr>
          <w:rFonts w:hint="eastAsia" w:asciiTheme="majorEastAsia" w:hAnsiTheme="majorEastAsia" w:eastAsiaTheme="majorEastAsia"/>
          <w:b/>
          <w:color w:val="000000" w:themeColor="text1"/>
          <w:sz w:val="36"/>
          <w:szCs w:val="36"/>
          <w14:textFill>
            <w14:solidFill>
              <w14:schemeClr w14:val="tx1"/>
            </w14:solidFill>
          </w14:textFill>
        </w:rPr>
        <w:t>招标采购公告</w:t>
      </w:r>
    </w:p>
    <w:p>
      <w:pPr>
        <w:pStyle w:val="11"/>
        <w:widowControl w:val="0"/>
        <w:numPr>
          <w:ilvl w:val="0"/>
          <w:numId w:val="0"/>
        </w:numPr>
        <w:jc w:val="both"/>
        <w:rPr>
          <w:color w:val="000000" w:themeColor="text1"/>
          <w14:textFill>
            <w14:solidFill>
              <w14:schemeClr w14:val="tx1"/>
            </w14:solidFill>
          </w14:textFill>
        </w:rPr>
      </w:pPr>
    </w:p>
    <w:p>
      <w:pPr>
        <w:pStyle w:val="3"/>
        <w:numPr>
          <w:ilvl w:val="0"/>
          <w:numId w:val="0"/>
        </w:numPr>
        <w:tabs>
          <w:tab w:val="left" w:pos="0"/>
          <w:tab w:val="left" w:pos="3165"/>
          <w:tab w:val="center" w:pos="4153"/>
        </w:tabs>
        <w:autoSpaceDE w:val="0"/>
        <w:autoSpaceDN w:val="0"/>
        <w:adjustRightInd w:val="0"/>
        <w:spacing w:before="0" w:after="0" w:line="360" w:lineRule="auto"/>
        <w:ind w:leftChars="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r>
        <w:rPr>
          <w:rFonts w:hint="eastAsia" w:cs="Arial" w:asciiTheme="minorEastAsia" w:hAnsiTheme="minorEastAsia" w:eastAsia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台州市公安局交通警察局（台州市路泽太高架快速路有限公司）鄞州至玉环公路椒江洪家至温岭城东段公路（路泽太高架</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快速路</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）监控</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设备</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 xml:space="preserve">招标项目的潜在投标人应在“浙江省政府采购网”（http:// www.zjzfcg.gov.cn）和“台州市公共资源交易中心”（ </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fldChar w:fldCharType="begin"/>
      </w:r>
      <w:r>
        <w:rPr>
          <w:rFonts w:hint="eastAsia" w:cs="Arial" w:asciiTheme="minorEastAsia" w:hAnsiTheme="minorEastAsia" w:eastAsiaTheme="minorEastAsia"/>
          <w:color w:val="000000" w:themeColor="text1"/>
          <w:sz w:val="24"/>
          <w:szCs w:val="24"/>
          <w:lang w:eastAsia="zh-CN"/>
          <w14:textFill>
            <w14:solidFill>
              <w14:schemeClr w14:val="tx1"/>
            </w14:solidFill>
          </w14:textFill>
        </w:rPr>
        <w:instrText xml:space="preserve"> HYPERLINK "http://www.xjztb.cn" </w:instrTex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fldChar w:fldCharType="separate"/>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http://www.tzztb.com</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fldChar w:fldCharType="end"/>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）获取招标文件，并于</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2020</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年</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 xml:space="preserve">月 </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30</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 xml:space="preserve"> 日 </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10</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点整</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（北京时间）前在浙江政府采购云平台递</w:t>
      </w:r>
      <w:r>
        <w:rPr>
          <w:rFonts w:hint="eastAsia"/>
          <w:color w:val="000000" w:themeColor="text1"/>
          <w:sz w:val="24"/>
          <w:szCs w:val="24"/>
          <w:lang w:eastAsia="zh-CN"/>
          <w14:textFill>
            <w14:solidFill>
              <w14:schemeClr w14:val="tx1"/>
            </w14:solidFill>
          </w14:textFill>
        </w:rPr>
        <w:t>交电</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子投标文件。</w:t>
      </w:r>
      <w:bookmarkStart w:id="0" w:name="_Toc28359002"/>
      <w:bookmarkStart w:id="1" w:name="_Toc35393621"/>
      <w:bookmarkStart w:id="2" w:name="_Toc28359079"/>
      <w:bookmarkStart w:id="3" w:name="_Toc35393790"/>
      <w:bookmarkStart w:id="4" w:name="_Hlk24379207"/>
    </w:p>
    <w:p>
      <w:pPr>
        <w:pStyle w:val="4"/>
        <w:spacing w:line="360" w:lineRule="auto"/>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一、项目基本情况</w:t>
      </w:r>
      <w:bookmarkEnd w:id="0"/>
      <w:bookmarkEnd w:id="1"/>
      <w:bookmarkEnd w:id="2"/>
      <w:bookmarkEnd w:id="3"/>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560" w:firstLineChars="200"/>
        <w:jc w:val="both"/>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项目编号：</w:t>
      </w:r>
      <w:r>
        <w:rPr>
          <w:rFonts w:hint="eastAsia" w:ascii="宋体"/>
          <w:b/>
          <w:color w:val="000000" w:themeColor="text1"/>
          <w:kern w:val="0"/>
          <w:sz w:val="32"/>
          <w14:textFill>
            <w14:solidFill>
              <w14:schemeClr w14:val="tx1"/>
            </w14:solidFill>
          </w14:textFill>
        </w:rPr>
        <w:t>TZ</w:t>
      </w:r>
      <w:r>
        <w:rPr>
          <w:rFonts w:ascii="宋体"/>
          <w:b/>
          <w:color w:val="000000" w:themeColor="text1"/>
          <w:kern w:val="0"/>
          <w:sz w:val="32"/>
          <w14:textFill>
            <w14:solidFill>
              <w14:schemeClr w14:val="tx1"/>
            </w14:solidFill>
          </w14:textFill>
        </w:rPr>
        <w:t>CG-20</w:t>
      </w:r>
      <w:r>
        <w:rPr>
          <w:rFonts w:hint="eastAsia" w:ascii="宋体"/>
          <w:b/>
          <w:color w:val="000000" w:themeColor="text1"/>
          <w:kern w:val="0"/>
          <w:sz w:val="32"/>
          <w:lang w:val="en-US" w:eastAsia="zh-CN"/>
          <w14:textFill>
            <w14:solidFill>
              <w14:schemeClr w14:val="tx1"/>
            </w14:solidFill>
          </w14:textFill>
        </w:rPr>
        <w:t>20</w:t>
      </w:r>
      <w:r>
        <w:rPr>
          <w:rFonts w:ascii="宋体"/>
          <w:b/>
          <w:color w:val="000000" w:themeColor="text1"/>
          <w:kern w:val="0"/>
          <w:sz w:val="32"/>
          <w14:textFill>
            <w14:solidFill>
              <w14:schemeClr w14:val="tx1"/>
            </w14:solidFill>
          </w14:textFill>
        </w:rPr>
        <w:t>-</w:t>
      </w:r>
      <w:r>
        <w:rPr>
          <w:rFonts w:hint="eastAsia" w:ascii="宋体"/>
          <w:b/>
          <w:color w:val="000000" w:themeColor="text1"/>
          <w:kern w:val="0"/>
          <w:sz w:val="32"/>
          <w14:textFill>
            <w14:solidFill>
              <w14:schemeClr w14:val="tx1"/>
            </w14:solidFill>
          </w14:textFill>
        </w:rPr>
        <w:t>GK</w:t>
      </w:r>
      <w:r>
        <w:rPr>
          <w:rFonts w:hint="eastAsia" w:ascii="宋体"/>
          <w:b/>
          <w:color w:val="000000" w:themeColor="text1"/>
          <w:kern w:val="0"/>
          <w:sz w:val="32"/>
          <w:lang w:val="en-US" w:eastAsia="zh-CN"/>
          <w14:textFill>
            <w14:solidFill>
              <w14:schemeClr w14:val="tx1"/>
            </w14:solidFill>
          </w14:textFill>
        </w:rPr>
        <w:t>020D</w:t>
      </w:r>
      <w:r>
        <w:rPr>
          <w:rFonts w:hint="eastAsia" w:ascii="宋体"/>
          <w:b/>
          <w:color w:val="000000" w:themeColor="text1"/>
          <w:kern w:val="0"/>
          <w:sz w:val="32"/>
          <w14:textFill>
            <w14:solidFill>
              <w14:schemeClr w14:val="tx1"/>
            </w14:solidFill>
          </w14:textFill>
        </w:rPr>
        <w:t>号</w:t>
      </w:r>
    </w:p>
    <w:bookmarkEnd w:id="4"/>
    <w:p>
      <w:pPr>
        <w:spacing w:line="360" w:lineRule="auto"/>
        <w:ind w:left="2239" w:leftChars="266" w:hanging="1680" w:hangingChars="600"/>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项目名称：</w:t>
      </w:r>
      <w:r>
        <w:rPr>
          <w:rFonts w:hint="eastAsia" w:cs="Arial" w:asciiTheme="minorEastAsia" w:hAnsiTheme="minorEastAsia" w:eastAsia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（台州市路泽太高架快速路有限公司）鄞州至玉环公路椒江洪家至温岭城东段公路（路泽太高架</w:t>
      </w:r>
      <w:r>
        <w:rPr>
          <w:rFonts w:hint="eastAsia" w:asciiTheme="minorEastAsia" w:hAnsiTheme="minorEastAsia" w:eastAsiaTheme="minorEastAsia"/>
          <w:color w:val="000000" w:themeColor="text1"/>
          <w:kern w:val="0"/>
          <w:sz w:val="28"/>
          <w:szCs w:val="28"/>
          <w:highlight w:val="none"/>
          <w:lang w:eastAsia="zh-CN"/>
          <w14:textFill>
            <w14:solidFill>
              <w14:schemeClr w14:val="tx1"/>
            </w14:solidFill>
          </w14:textFill>
        </w:rPr>
        <w:t>快速路</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）监控</w:t>
      </w:r>
      <w:r>
        <w:rPr>
          <w:rFonts w:hint="eastAsia" w:asciiTheme="minorEastAsia" w:hAnsiTheme="minorEastAsia" w:eastAsiaTheme="minorEastAsia"/>
          <w:color w:val="000000" w:themeColor="text1"/>
          <w:kern w:val="0"/>
          <w:sz w:val="28"/>
          <w:szCs w:val="28"/>
          <w:highlight w:val="none"/>
          <w:lang w:eastAsia="zh-CN"/>
          <w14:textFill>
            <w14:solidFill>
              <w14:schemeClr w14:val="tx1"/>
            </w14:solidFill>
          </w14:textFill>
        </w:rPr>
        <w:t>设备</w:t>
      </w:r>
      <w:r>
        <w:rPr>
          <w:rFonts w:hint="eastAsia" w:cs="Arial" w:asciiTheme="minorEastAsia" w:hAnsiTheme="minorEastAsia" w:eastAsiaTheme="minorEastAsia"/>
          <w:color w:val="000000" w:themeColor="text1"/>
          <w:sz w:val="28"/>
          <w:szCs w:val="28"/>
          <w:lang w:eastAsia="zh-CN"/>
          <w14:textFill>
            <w14:solidFill>
              <w14:schemeClr w14:val="tx1"/>
            </w14:solidFill>
          </w14:textFill>
        </w:rPr>
        <w:t>项目</w:t>
      </w:r>
    </w:p>
    <w:p>
      <w:pPr>
        <w:spacing w:line="360" w:lineRule="auto"/>
        <w:ind w:firstLine="560" w:firstLineChars="200"/>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8"/>
          <w:szCs w:val="28"/>
          <w:lang w:val="en-US" w:eastAsia="zh-CN" w:bidi="ar-SA"/>
          <w14:textFill>
            <w14:solidFill>
              <w14:schemeClr w14:val="tx1"/>
            </w14:solidFill>
          </w14:textFill>
        </w:rPr>
        <w:t>采购需求：</w:t>
      </w:r>
    </w:p>
    <w:p>
      <w:pPr>
        <w:pStyle w:val="11"/>
        <w:rPr>
          <w:rFonts w:hint="eastAsia"/>
          <w:color w:val="000000" w:themeColor="text1"/>
          <w:lang w:val="en-US" w:eastAsia="zh-CN"/>
          <w14:textFill>
            <w14:solidFill>
              <w14:schemeClr w14:val="tx1"/>
            </w14:solidFill>
          </w14:textFill>
        </w:rPr>
      </w:pPr>
    </w:p>
    <w:tbl>
      <w:tblPr>
        <w:tblStyle w:val="23"/>
        <w:tblW w:w="9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93"/>
        <w:gridCol w:w="1360"/>
        <w:gridCol w:w="1061"/>
        <w:gridCol w:w="649"/>
        <w:gridCol w:w="1131"/>
        <w:gridCol w:w="123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696"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标段号</w:t>
            </w:r>
          </w:p>
        </w:tc>
        <w:tc>
          <w:tcPr>
            <w:tcW w:w="1393" w:type="dxa"/>
            <w:vAlign w:val="center"/>
          </w:tcPr>
          <w:p>
            <w:pPr>
              <w:tabs>
                <w:tab w:val="left" w:pos="8280"/>
              </w:tabs>
              <w:autoSpaceDE w:val="0"/>
              <w:autoSpaceDN w:val="0"/>
              <w:adjustRightInd w:val="0"/>
              <w:spacing w:line="360" w:lineRule="auto"/>
              <w:ind w:right="25" w:firstLine="141" w:firstLineChars="5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项目</w:t>
            </w:r>
          </w:p>
          <w:p>
            <w:pPr>
              <w:tabs>
                <w:tab w:val="left" w:pos="8280"/>
              </w:tabs>
              <w:autoSpaceDE w:val="0"/>
              <w:autoSpaceDN w:val="0"/>
              <w:adjustRightInd w:val="0"/>
              <w:spacing w:line="360" w:lineRule="auto"/>
              <w:ind w:right="25" w:firstLine="141" w:firstLineChars="5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名称</w:t>
            </w:r>
          </w:p>
        </w:tc>
        <w:tc>
          <w:tcPr>
            <w:tcW w:w="1360"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简要技术要求服务要求等</w:t>
            </w:r>
          </w:p>
        </w:tc>
        <w:tc>
          <w:tcPr>
            <w:tcW w:w="1061"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数量</w:t>
            </w:r>
          </w:p>
        </w:tc>
        <w:tc>
          <w:tcPr>
            <w:tcW w:w="649"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单位</w:t>
            </w:r>
          </w:p>
        </w:tc>
        <w:tc>
          <w:tcPr>
            <w:tcW w:w="1131"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预算（元）</w:t>
            </w:r>
          </w:p>
        </w:tc>
        <w:tc>
          <w:tcPr>
            <w:tcW w:w="1230" w:type="dxa"/>
            <w:vAlign w:val="center"/>
          </w:tcPr>
          <w:p>
            <w:pPr>
              <w:tabs>
                <w:tab w:val="left" w:pos="8280"/>
              </w:tabs>
              <w:autoSpaceDE w:val="0"/>
              <w:autoSpaceDN w:val="0"/>
              <w:adjustRightInd w:val="0"/>
              <w:spacing w:line="360" w:lineRule="auto"/>
              <w:ind w:right="25"/>
              <w:jc w:val="both"/>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最高限价</w:t>
            </w:r>
            <w:r>
              <w:rPr>
                <w:rFonts w:hint="eastAsia" w:asciiTheme="minorEastAsia" w:hAnsiTheme="minorEastAsia" w:eastAsiaTheme="minorEastAsia" w:cstheme="minorEastAsia"/>
                <w:b/>
                <w:color w:val="000000" w:themeColor="text1"/>
                <w:sz w:val="28"/>
                <w:szCs w:val="28"/>
                <w14:textFill>
                  <w14:solidFill>
                    <w14:schemeClr w14:val="tx1"/>
                  </w14:solidFill>
                </w14:textFill>
              </w:rPr>
              <w:t>（元）</w:t>
            </w:r>
          </w:p>
        </w:tc>
        <w:tc>
          <w:tcPr>
            <w:tcW w:w="2145" w:type="dxa"/>
            <w:vAlign w:val="center"/>
          </w:tcPr>
          <w:p>
            <w:pPr>
              <w:tabs>
                <w:tab w:val="left" w:pos="8280"/>
              </w:tabs>
              <w:autoSpaceDE w:val="0"/>
              <w:autoSpaceDN w:val="0"/>
              <w:adjustRightInd w:val="0"/>
              <w:spacing w:line="360" w:lineRule="auto"/>
              <w:ind w:right="25" w:firstLine="24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交货</w:t>
            </w:r>
            <w:r>
              <w:rPr>
                <w:rFonts w:hint="eastAsia" w:ascii="宋体" w:hAnsi="宋体"/>
                <w:b/>
                <w:color w:val="000000" w:themeColor="text1"/>
                <w:sz w:val="24"/>
                <w:szCs w:val="24"/>
                <w:lang w:eastAsia="zh-CN"/>
                <w14:textFill>
                  <w14:solidFill>
                    <w14:schemeClr w14:val="tx1"/>
                  </w14:solidFill>
                </w14:textFill>
              </w:rPr>
              <w:t>时间及</w:t>
            </w:r>
            <w:r>
              <w:rPr>
                <w:rFonts w:hint="eastAsia" w:ascii="宋体" w:hAnsi="宋体" w:eastAsia="宋体"/>
                <w:b/>
                <w:color w:val="000000" w:themeColor="text1"/>
                <w:sz w:val="24"/>
                <w:szCs w:val="24"/>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696" w:type="dxa"/>
            <w:vAlign w:val="center"/>
          </w:tcPr>
          <w:p>
            <w:pPr>
              <w:tabs>
                <w:tab w:val="left" w:pos="8280"/>
              </w:tabs>
              <w:autoSpaceDE w:val="0"/>
              <w:autoSpaceDN w:val="0"/>
              <w:adjustRightInd w:val="0"/>
              <w:spacing w:line="360" w:lineRule="auto"/>
              <w:ind w:right="25" w:firstLine="24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1</w:t>
            </w:r>
          </w:p>
        </w:tc>
        <w:tc>
          <w:tcPr>
            <w:tcW w:w="1393" w:type="dxa"/>
            <w:vAlign w:val="center"/>
          </w:tcPr>
          <w:p>
            <w:pPr>
              <w:tabs>
                <w:tab w:val="left" w:pos="8280"/>
              </w:tabs>
              <w:autoSpaceDE w:val="0"/>
              <w:autoSpaceDN w:val="0"/>
              <w:adjustRightInd w:val="0"/>
              <w:spacing w:line="360" w:lineRule="auto"/>
              <w:ind w:right="25"/>
              <w:jc w:val="both"/>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路泽太高架快速路监控设备项目</w:t>
            </w:r>
          </w:p>
        </w:tc>
        <w:tc>
          <w:tcPr>
            <w:tcW w:w="1360" w:type="dxa"/>
            <w:vAlign w:val="center"/>
          </w:tcPr>
          <w:p>
            <w:pPr>
              <w:widowControl/>
              <w:spacing w:line="360" w:lineRule="auto"/>
              <w:jc w:val="left"/>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详见技术需求</w:t>
            </w:r>
          </w:p>
          <w:p>
            <w:pPr>
              <w:tabs>
                <w:tab w:val="left" w:pos="8280"/>
              </w:tabs>
              <w:autoSpaceDE w:val="0"/>
              <w:autoSpaceDN w:val="0"/>
              <w:adjustRightInd w:val="0"/>
              <w:spacing w:line="360" w:lineRule="auto"/>
              <w:ind w:right="25" w:firstLine="240"/>
              <w:jc w:val="cente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p>
        </w:tc>
        <w:tc>
          <w:tcPr>
            <w:tcW w:w="1061" w:type="dxa"/>
            <w:vAlign w:val="center"/>
          </w:tcPr>
          <w:p>
            <w:pPr>
              <w:tabs>
                <w:tab w:val="left" w:pos="8280"/>
              </w:tabs>
              <w:autoSpaceDE w:val="0"/>
              <w:autoSpaceDN w:val="0"/>
              <w:adjustRightInd w:val="0"/>
              <w:spacing w:line="360" w:lineRule="auto"/>
              <w:ind w:right="25" w:firstLine="24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1</w:t>
            </w:r>
          </w:p>
        </w:tc>
        <w:tc>
          <w:tcPr>
            <w:tcW w:w="649" w:type="dxa"/>
            <w:vAlign w:val="center"/>
          </w:tcPr>
          <w:p>
            <w:pPr>
              <w:tabs>
                <w:tab w:val="left" w:pos="8280"/>
              </w:tabs>
              <w:autoSpaceDE w:val="0"/>
              <w:autoSpaceDN w:val="0"/>
              <w:adjustRightInd w:val="0"/>
              <w:spacing w:line="360" w:lineRule="auto"/>
              <w:ind w:right="25" w:firstLine="240"/>
              <w:jc w:val="cente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批</w:t>
            </w:r>
          </w:p>
        </w:tc>
        <w:tc>
          <w:tcPr>
            <w:tcW w:w="1131" w:type="dxa"/>
            <w:vAlign w:val="center"/>
          </w:tcPr>
          <w:p>
            <w:pPr>
              <w:tabs>
                <w:tab w:val="left" w:pos="8280"/>
              </w:tabs>
              <w:autoSpaceDE w:val="0"/>
              <w:autoSpaceDN w:val="0"/>
              <w:adjustRightInd w:val="0"/>
              <w:spacing w:line="360" w:lineRule="auto"/>
              <w:ind w:right="25" w:rightChars="0" w:firstLine="240"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40250000</w:t>
            </w:r>
          </w:p>
        </w:tc>
        <w:tc>
          <w:tcPr>
            <w:tcW w:w="1230" w:type="dxa"/>
            <w:vAlign w:val="center"/>
          </w:tcPr>
          <w:p>
            <w:pPr>
              <w:tabs>
                <w:tab w:val="left" w:pos="8280"/>
              </w:tabs>
              <w:autoSpaceDE w:val="0"/>
              <w:autoSpaceDN w:val="0"/>
              <w:adjustRightInd w:val="0"/>
              <w:spacing w:line="360" w:lineRule="auto"/>
              <w:ind w:right="25" w:rightChars="0" w:firstLine="240" w:firstLineChars="0"/>
              <w:jc w:val="cente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35987957.26</w:t>
            </w:r>
          </w:p>
        </w:tc>
        <w:tc>
          <w:tcPr>
            <w:tcW w:w="2145" w:type="dxa"/>
            <w:vAlign w:val="center"/>
          </w:tcPr>
          <w:p>
            <w:pPr>
              <w:tabs>
                <w:tab w:val="left" w:pos="8280"/>
              </w:tabs>
              <w:autoSpaceDE w:val="0"/>
              <w:autoSpaceDN w:val="0"/>
              <w:adjustRightInd w:val="0"/>
              <w:spacing w:line="360" w:lineRule="auto"/>
              <w:ind w:right="25"/>
              <w:jc w:val="center"/>
              <w:rPr>
                <w:rFonts w:hint="eastAsia" w:eastAsia="宋体" w:asciiTheme="minorEastAsia" w:hAnsiTheme="minorEastAsia" w:cstheme="minorEastAsia"/>
                <w:b/>
                <w:color w:val="000000" w:themeColor="text1"/>
                <w:sz w:val="28"/>
                <w:szCs w:val="28"/>
                <w:lang w:eastAsia="zh-CN"/>
                <w14:textFill>
                  <w14:solidFill>
                    <w14:schemeClr w14:val="tx1"/>
                  </w14:solidFill>
                </w14:textFill>
              </w:rPr>
            </w:pPr>
            <w:r>
              <w:rPr>
                <w:rFonts w:hint="eastAsia"/>
                <w:b w:val="0"/>
                <w:bCs w:val="0"/>
                <w:color w:val="000000" w:themeColor="text1"/>
                <w:sz w:val="21"/>
                <w:szCs w:val="21"/>
                <w:highlight w:val="none"/>
                <w14:textFill>
                  <w14:solidFill>
                    <w14:schemeClr w14:val="tx1"/>
                  </w14:solidFill>
                </w14:textFill>
              </w:rPr>
              <w:t>2020年12月</w:t>
            </w:r>
            <w:r>
              <w:rPr>
                <w:rFonts w:hint="eastAsia"/>
                <w:b w:val="0"/>
                <w:bCs w:val="0"/>
                <w:color w:val="000000" w:themeColor="text1"/>
                <w:sz w:val="21"/>
                <w:szCs w:val="21"/>
                <w:highlight w:val="none"/>
                <w:lang w:val="en-US" w:eastAsia="zh-CN"/>
                <w14:textFill>
                  <w14:solidFill>
                    <w14:schemeClr w14:val="tx1"/>
                  </w14:solidFill>
                </w14:textFill>
              </w:rPr>
              <w:t>20</w:t>
            </w:r>
            <w:r>
              <w:rPr>
                <w:rFonts w:hint="eastAsia"/>
                <w:b w:val="0"/>
                <w:bCs w:val="0"/>
                <w:color w:val="000000" w:themeColor="text1"/>
                <w:sz w:val="21"/>
                <w:szCs w:val="21"/>
                <w:highlight w:val="none"/>
                <w14:textFill>
                  <w14:solidFill>
                    <w14:schemeClr w14:val="tx1"/>
                  </w14:solidFill>
                </w14:textFill>
              </w:rPr>
              <w:t>日前完成所有</w:t>
            </w:r>
            <w:r>
              <w:rPr>
                <w:rFonts w:hint="eastAsia"/>
                <w:b w:val="0"/>
                <w:bCs w:val="0"/>
                <w:color w:val="000000" w:themeColor="text1"/>
                <w:sz w:val="21"/>
                <w:szCs w:val="21"/>
                <w:highlight w:val="none"/>
                <w:lang w:eastAsia="zh-CN"/>
                <w14:textFill>
                  <w14:solidFill>
                    <w14:schemeClr w14:val="tx1"/>
                  </w14:solidFill>
                </w14:textFill>
              </w:rPr>
              <w:t>设备的采购及配套安装</w:t>
            </w:r>
            <w:r>
              <w:rPr>
                <w:rFonts w:hint="eastAsia"/>
                <w:b w:val="0"/>
                <w:bCs w:val="0"/>
                <w:color w:val="000000" w:themeColor="text1"/>
                <w:sz w:val="21"/>
                <w:szCs w:val="21"/>
                <w:highlight w:val="none"/>
                <w14:textFill>
                  <w14:solidFill>
                    <w14:schemeClr w14:val="tx1"/>
                  </w14:solidFill>
                </w14:textFill>
              </w:rPr>
              <w:t>任务</w:t>
            </w:r>
            <w:r>
              <w:rPr>
                <w:rFonts w:hint="eastAsia"/>
                <w:b w:val="0"/>
                <w:bCs w:val="0"/>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台州市公安局交通警察局</w:t>
            </w:r>
            <w:r>
              <w:rPr>
                <w:rFonts w:hint="eastAsia" w:ascii="宋体" w:hAnsi="宋体"/>
                <w:color w:val="000000" w:themeColor="text1"/>
                <w:sz w:val="21"/>
                <w:szCs w:val="21"/>
                <w:lang w:eastAsia="zh-CN"/>
                <w14:textFill>
                  <w14:solidFill>
                    <w14:schemeClr w14:val="tx1"/>
                  </w14:solidFill>
                </w14:textFill>
              </w:rPr>
              <w:t>指定地点</w:t>
            </w:r>
          </w:p>
        </w:tc>
      </w:tr>
    </w:tbl>
    <w:p>
      <w:pPr>
        <w:widowControl/>
        <w:tabs>
          <w:tab w:val="left" w:pos="0"/>
        </w:tabs>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本次采购产品为非进口产品。</w:t>
      </w:r>
    </w:p>
    <w:p>
      <w:pPr>
        <w:pStyle w:val="4"/>
        <w:spacing w:line="360" w:lineRule="auto"/>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bookmarkStart w:id="5" w:name="_Toc35393622"/>
      <w:bookmarkStart w:id="6" w:name="_Toc28359080"/>
      <w:bookmarkStart w:id="7" w:name="_Toc28359003"/>
      <w:bookmarkStart w:id="8" w:name="_Toc35393791"/>
      <w:r>
        <w:rPr>
          <w:rFonts w:hint="eastAsia" w:asciiTheme="minorEastAsia" w:hAnsiTheme="minorEastAsia" w:eastAsiaTheme="minorEastAsia" w:cstheme="minorEastAsia"/>
          <w:b w:val="0"/>
          <w:color w:val="000000" w:themeColor="text1"/>
          <w:sz w:val="28"/>
          <w:szCs w:val="28"/>
          <w14:textFill>
            <w14:solidFill>
              <w14:schemeClr w14:val="tx1"/>
            </w14:solidFill>
          </w14:textFill>
        </w:rPr>
        <w:t>二、申请人的资格要求：</w:t>
      </w:r>
      <w:bookmarkEnd w:id="5"/>
      <w:bookmarkEnd w:id="6"/>
      <w:bookmarkEnd w:id="7"/>
      <w:bookmarkEnd w:id="8"/>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1.满足《中华人民共和国政府采购法》第二十二条规定；</w:t>
      </w:r>
      <w:bookmarkStart w:id="9" w:name="_Toc28359081"/>
      <w:bookmarkStart w:id="10" w:name="_Toc28359004"/>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.本项目的特定资格要求：</w:t>
      </w:r>
    </w:p>
    <w:p>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w:t>
      </w:r>
      <w:r>
        <w:rPr>
          <w:rFonts w:hint="eastAsia"/>
          <w:color w:val="000000" w:themeColor="text1"/>
          <w:sz w:val="24"/>
          <w:szCs w:val="24"/>
          <w:highlight w:val="none"/>
          <w14:textFill>
            <w14:solidFill>
              <w14:schemeClr w14:val="tx1"/>
            </w14:solidFill>
          </w14:textFill>
        </w:rPr>
        <w:t>具有电子与智能化工程专业承包一级资质或具有基础电信业务经营许可证的通信运营商。</w:t>
      </w:r>
    </w:p>
    <w:p>
      <w:pPr>
        <w:ind w:firstLine="480" w:firstLineChars="200"/>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w:t>
      </w:r>
      <w:r>
        <w:rPr>
          <w:rFonts w:hint="eastAsia"/>
          <w:color w:val="000000" w:themeColor="text1"/>
          <w:sz w:val="24"/>
          <w:szCs w:val="24"/>
          <w:highlight w:val="none"/>
          <w14:textFill>
            <w14:solidFill>
              <w14:schemeClr w14:val="tx1"/>
            </w14:solidFill>
          </w14:textFill>
        </w:rPr>
        <w:t>本项目不接受联合体投标。</w:t>
      </w:r>
    </w:p>
    <w:p>
      <w:pPr>
        <w:pStyle w:val="4"/>
        <w:spacing w:line="360" w:lineRule="auto"/>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bookmarkStart w:id="11" w:name="_Toc35393623"/>
      <w:bookmarkStart w:id="12" w:name="_Toc35393792"/>
      <w:r>
        <w:rPr>
          <w:rFonts w:hint="eastAsia" w:asciiTheme="minorEastAsia" w:hAnsiTheme="minorEastAsia" w:eastAsiaTheme="minorEastAsia" w:cstheme="minorEastAsia"/>
          <w:b w:val="0"/>
          <w:color w:val="000000" w:themeColor="text1"/>
          <w:sz w:val="28"/>
          <w:szCs w:val="28"/>
          <w14:textFill>
            <w14:solidFill>
              <w14:schemeClr w14:val="tx1"/>
            </w14:solidFill>
          </w14:textFill>
        </w:rPr>
        <w:t>三、获取招标文件</w:t>
      </w:r>
      <w:bookmarkEnd w:id="9"/>
      <w:bookmarkEnd w:id="10"/>
      <w:bookmarkEnd w:id="11"/>
      <w:bookmarkEnd w:id="12"/>
    </w:p>
    <w:p>
      <w:pPr>
        <w:spacing w:line="360" w:lineRule="auto"/>
        <w:ind w:firstLine="540"/>
        <w:rPr>
          <w:rFonts w:hint="eastAsia" w:asciiTheme="minorEastAsia" w:hAnsiTheme="minorEastAsia" w:eastAsiaTheme="minorEastAsia" w:cstheme="minorEastAsia"/>
          <w:i w:val="0"/>
          <w:i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iCs w:val="0"/>
          <w:color w:val="000000" w:themeColor="text1"/>
          <w:sz w:val="28"/>
          <w:szCs w:val="28"/>
          <w14:textFill>
            <w14:solidFill>
              <w14:schemeClr w14:val="tx1"/>
            </w14:solidFill>
          </w14:textFill>
        </w:rPr>
        <w:t>时间</w:t>
      </w:r>
      <w:r>
        <w:rPr>
          <w:rFonts w:hint="eastAsia" w:asciiTheme="minorEastAsia" w:hAnsiTheme="minorEastAsia" w:eastAsiaTheme="minorEastAsia" w:cstheme="minorEastAsia"/>
          <w:i w:val="0"/>
          <w:i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8"/>
          <w:szCs w:val="28"/>
          <w:u w:val="single"/>
          <w:lang w:val="en-US" w:eastAsia="zh-CN"/>
          <w14:textFill>
            <w14:solidFill>
              <w14:schemeClr w14:val="tx1"/>
            </w14:solidFill>
          </w14:textFill>
        </w:rPr>
        <w:t>2020</w:t>
      </w:r>
      <w:r>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t xml:space="preserve">年 </w:t>
      </w:r>
      <w:r>
        <w:rPr>
          <w:rFonts w:hint="eastAsia" w:asciiTheme="minorEastAsia" w:hAnsiTheme="minorEastAsia" w:eastAsiaTheme="minorEastAsia" w:cstheme="minorEastAsia"/>
          <w:i w:val="0"/>
          <w:iCs w:val="0"/>
          <w:color w:val="000000" w:themeColor="text1"/>
          <w:sz w:val="28"/>
          <w:szCs w:val="28"/>
          <w:u w:val="single"/>
          <w:lang w:val="en-US" w:eastAsia="zh-CN"/>
          <w14:textFill>
            <w14:solidFill>
              <w14:schemeClr w14:val="tx1"/>
            </w14:solidFill>
          </w14:textFill>
        </w:rPr>
        <w:t>9</w:t>
      </w:r>
      <w:r>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t xml:space="preserve"> 月 </w:t>
      </w:r>
      <w:r>
        <w:rPr>
          <w:rFonts w:hint="eastAsia" w:asciiTheme="minorEastAsia" w:hAnsiTheme="minorEastAsia" w:eastAsiaTheme="minorEastAsia" w:cstheme="minorEastAsia"/>
          <w:i w:val="0"/>
          <w:iCs w:val="0"/>
          <w:color w:val="000000" w:themeColor="text1"/>
          <w:sz w:val="28"/>
          <w:szCs w:val="28"/>
          <w:u w:val="single"/>
          <w:lang w:val="en-US" w:eastAsia="zh-CN"/>
          <w14:textFill>
            <w14:solidFill>
              <w14:schemeClr w14:val="tx1"/>
            </w14:solidFill>
          </w14:textFill>
        </w:rPr>
        <w:t>10</w:t>
      </w:r>
      <w:r>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t xml:space="preserve"> 日</w:t>
      </w:r>
      <w:r>
        <w:rPr>
          <w:rFonts w:hint="eastAsia" w:asciiTheme="minorEastAsia" w:hAnsiTheme="minorEastAsia" w:eastAsiaTheme="minorEastAsia" w:cstheme="minorEastAsia"/>
          <w:i w:val="0"/>
          <w:iCs w:val="0"/>
          <w:color w:val="000000" w:themeColor="text1"/>
          <w:sz w:val="28"/>
          <w:szCs w:val="28"/>
          <w14:textFill>
            <w14:solidFill>
              <w14:schemeClr w14:val="tx1"/>
            </w14:solidFill>
          </w14:textFill>
        </w:rPr>
        <w:t>至</w:t>
      </w:r>
      <w:r>
        <w:rPr>
          <w:rFonts w:hint="eastAsia" w:asciiTheme="minorEastAsia" w:hAnsiTheme="minorEastAsia" w:eastAsiaTheme="minorEastAsia" w:cstheme="minorEastAsia"/>
          <w:i w:val="0"/>
          <w:iCs w:val="0"/>
          <w:color w:val="000000" w:themeColor="text1"/>
          <w:sz w:val="28"/>
          <w:szCs w:val="28"/>
          <w:u w:val="single"/>
          <w:lang w:val="en-US" w:eastAsia="zh-CN"/>
          <w14:textFill>
            <w14:solidFill>
              <w14:schemeClr w14:val="tx1"/>
            </w14:solidFill>
          </w14:textFill>
        </w:rPr>
        <w:t>2020</w:t>
      </w:r>
      <w:r>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t xml:space="preserve">年 </w:t>
      </w:r>
      <w:r>
        <w:rPr>
          <w:rFonts w:hint="eastAsia" w:asciiTheme="minorEastAsia" w:hAnsiTheme="minorEastAsia" w:eastAsiaTheme="minorEastAsia" w:cstheme="minorEastAsia"/>
          <w:i w:val="0"/>
          <w:iCs w:val="0"/>
          <w:color w:val="000000" w:themeColor="text1"/>
          <w:sz w:val="28"/>
          <w:szCs w:val="28"/>
          <w:u w:val="single"/>
          <w:lang w:val="en-US" w:eastAsia="zh-CN"/>
          <w14:textFill>
            <w14:solidFill>
              <w14:schemeClr w14:val="tx1"/>
            </w14:solidFill>
          </w14:textFill>
        </w:rPr>
        <w:t>9</w:t>
      </w:r>
      <w:r>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t xml:space="preserve"> 月 </w:t>
      </w:r>
      <w:r>
        <w:rPr>
          <w:rFonts w:hint="eastAsia" w:asciiTheme="minorEastAsia" w:hAnsiTheme="minorEastAsia" w:eastAsiaTheme="minorEastAsia" w:cstheme="minorEastAsia"/>
          <w:i w:val="0"/>
          <w:iCs w:val="0"/>
          <w:color w:val="000000" w:themeColor="text1"/>
          <w:sz w:val="28"/>
          <w:szCs w:val="28"/>
          <w:u w:val="single"/>
          <w:lang w:val="en-US" w:eastAsia="zh-CN"/>
          <w14:textFill>
            <w14:solidFill>
              <w14:schemeClr w14:val="tx1"/>
            </w14:solidFill>
          </w14:textFill>
        </w:rPr>
        <w:t>17</w:t>
      </w:r>
      <w:r>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t xml:space="preserve"> 日</w:t>
      </w:r>
      <w:r>
        <w:rPr>
          <w:rFonts w:hint="eastAsia" w:asciiTheme="minorEastAsia" w:hAnsiTheme="minorEastAsia" w:eastAsiaTheme="minorEastAsia" w:cstheme="minorEastAsia"/>
          <w:i w:val="0"/>
          <w:iCs w:val="0"/>
          <w:color w:val="000000" w:themeColor="text1"/>
          <w:sz w:val="28"/>
          <w:szCs w:val="28"/>
          <w:u w:val="single"/>
          <w14:textFill>
            <w14:solidFill>
              <w14:schemeClr w14:val="tx1"/>
            </w14:solidFill>
          </w14:textFill>
        </w:rPr>
        <w:t>（提供期限自本公告发布之日起不得少于5个工作日）</w:t>
      </w:r>
    </w:p>
    <w:p>
      <w:pPr>
        <w:snapToGrid w:val="0"/>
        <w:spacing w:line="360" w:lineRule="auto"/>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方式：</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投标人在浙江政府采购云平台（</w:t>
      </w:r>
      <w:r>
        <w:rPr>
          <w:rStyle w:val="27"/>
          <w:rFonts w:hint="eastAsia" w:asciiTheme="minorEastAsia" w:hAnsiTheme="minorEastAsia" w:eastAsiaTheme="minorEastAsia" w:cstheme="minorEastAsia"/>
          <w:bCs/>
          <w:color w:val="000000" w:themeColor="text1"/>
          <w:sz w:val="28"/>
          <w:szCs w:val="28"/>
          <w14:textFill>
            <w14:solidFill>
              <w14:schemeClr w14:val="tx1"/>
            </w14:solidFill>
          </w14:textFill>
        </w:rPr>
        <w:t>http://www.zcygov.cn</w:t>
      </w:r>
      <w:r>
        <w:rPr>
          <w:rStyle w:val="27"/>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进行网上报名后可</w:t>
      </w:r>
      <w:r>
        <w:rPr>
          <w:rFonts w:hint="eastAsia" w:asciiTheme="minorEastAsia" w:hAnsiTheme="minorEastAsia" w:eastAsiaTheme="minorEastAsia" w:cstheme="minorEastAsia"/>
          <w:color w:val="000000" w:themeColor="text1"/>
          <w:sz w:val="28"/>
          <w:szCs w:val="28"/>
          <w14:textFill>
            <w14:solidFill>
              <w14:schemeClr w14:val="tx1"/>
            </w14:solidFill>
          </w14:textFill>
        </w:rPr>
        <w:t>免费下载</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提示：采购机构将拒绝非报名供应商的电子投标文件。</w:t>
      </w:r>
    </w:p>
    <w:p>
      <w:pPr>
        <w:pStyle w:val="4"/>
        <w:spacing w:line="360" w:lineRule="auto"/>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bookmarkStart w:id="13" w:name="_Toc28359082"/>
      <w:bookmarkStart w:id="14" w:name="_Toc28359005"/>
      <w:bookmarkStart w:id="15" w:name="_Toc35393793"/>
      <w:bookmarkStart w:id="16" w:name="_Toc35393624"/>
      <w:r>
        <w:rPr>
          <w:rFonts w:hint="eastAsia" w:asciiTheme="minorEastAsia" w:hAnsiTheme="minorEastAsia" w:eastAsiaTheme="minorEastAsia" w:cstheme="minorEastAsia"/>
          <w:b w:val="0"/>
          <w:color w:val="000000" w:themeColor="text1"/>
          <w:sz w:val="28"/>
          <w:szCs w:val="28"/>
          <w14:textFill>
            <w14:solidFill>
              <w14:schemeClr w14:val="tx1"/>
            </w14:solidFill>
          </w14:textFill>
        </w:rPr>
        <w:t>四、提交投标文件</w:t>
      </w:r>
      <w:bookmarkEnd w:id="13"/>
      <w:bookmarkEnd w:id="14"/>
      <w:r>
        <w:rPr>
          <w:rFonts w:hint="eastAsia" w:asciiTheme="minorEastAsia" w:hAnsiTheme="minorEastAsia" w:eastAsiaTheme="minorEastAsia" w:cstheme="minorEastAsia"/>
          <w:b w:val="0"/>
          <w:color w:val="000000" w:themeColor="text1"/>
          <w:sz w:val="28"/>
          <w:szCs w:val="28"/>
          <w14:textFill>
            <w14:solidFill>
              <w14:schemeClr w14:val="tx1"/>
            </w14:solidFill>
          </w14:textFill>
        </w:rPr>
        <w:t>截止时间、开标时间和地点</w:t>
      </w:r>
      <w:bookmarkEnd w:id="15"/>
      <w:bookmarkEnd w:id="16"/>
    </w:p>
    <w:p>
      <w:pPr>
        <w:spacing w:line="360" w:lineRule="auto"/>
        <w:ind w:firstLine="560" w:firstLineChars="200"/>
        <w:rPr>
          <w:rFonts w:hint="eastAsia" w:asciiTheme="minorEastAsia" w:hAnsiTheme="minorEastAsia" w:eastAsiaTheme="minorEastAsia" w:cstheme="minorEastAsia"/>
          <w:i w:val="0"/>
          <w:i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u w:val="single"/>
          <w:lang w:val="en-US" w:eastAsia="zh-CN"/>
          <w14:textFill>
            <w14:solidFill>
              <w14:schemeClr w14:val="tx1"/>
            </w14:solidFill>
          </w14:textFill>
        </w:rPr>
        <w:t>2020</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年 </w:t>
      </w:r>
      <w:r>
        <w:rPr>
          <w:rFonts w:hint="eastAsia" w:asciiTheme="minorEastAsia" w:hAnsiTheme="minorEastAsia" w:eastAsiaTheme="minorEastAsia" w:cstheme="minorEastAsia"/>
          <w:bCs/>
          <w:color w:val="000000" w:themeColor="text1"/>
          <w:sz w:val="28"/>
          <w:szCs w:val="28"/>
          <w:u w:val="singl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月 </w:t>
      </w:r>
      <w:r>
        <w:rPr>
          <w:rFonts w:hint="eastAsia" w:asciiTheme="minorEastAsia" w:hAnsiTheme="minorEastAsia" w:eastAsiaTheme="minorEastAsia" w:cstheme="minorEastAsia"/>
          <w:bCs/>
          <w:color w:val="000000" w:themeColor="text1"/>
          <w:sz w:val="28"/>
          <w:szCs w:val="28"/>
          <w:u w:val="single"/>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日</w:t>
      </w:r>
      <w:r>
        <w:rPr>
          <w:rFonts w:hint="eastAsia" w:asciiTheme="minorEastAsia" w:hAnsiTheme="minorEastAsia" w:eastAsiaTheme="minorEastAsia" w:cstheme="minorEastAsia"/>
          <w:bCs/>
          <w:color w:val="000000" w:themeColor="text1"/>
          <w:sz w:val="28"/>
          <w:szCs w:val="28"/>
          <w:u w:val="singl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点</w:t>
      </w:r>
      <w:r>
        <w:rPr>
          <w:rFonts w:hint="eastAsia" w:asciiTheme="minorEastAsia" w:hAnsiTheme="minorEastAsia" w:eastAsiaTheme="minorEastAsia" w:cstheme="minorEastAsia"/>
          <w:bCs/>
          <w:color w:val="000000" w:themeColor="text1"/>
          <w:sz w:val="28"/>
          <w:szCs w:val="28"/>
          <w:u w:val="single"/>
          <w:lang w:eastAsia="zh-CN"/>
          <w14:textFill>
            <w14:solidFill>
              <w14:schemeClr w14:val="tx1"/>
            </w14:solidFill>
          </w14:textFill>
        </w:rPr>
        <w:t>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（北京时间）</w:t>
      </w:r>
      <w:r>
        <w:rPr>
          <w:rFonts w:hint="eastAsia" w:asciiTheme="minorEastAsia" w:hAnsiTheme="minorEastAsia" w:eastAsiaTheme="minorEastAsia" w:cstheme="minorEastAsia"/>
          <w:i w:val="0"/>
          <w:iCs/>
          <w:color w:val="000000" w:themeColor="text1"/>
          <w:sz w:val="28"/>
          <w:szCs w:val="28"/>
          <w:u w:val="single"/>
          <w14:textFill>
            <w14:solidFill>
              <w14:schemeClr w14:val="tx1"/>
            </w14:solidFill>
          </w14:textFill>
        </w:rPr>
        <w:t>（自招标文件开始发出之日起至投标人提交投标文件截止之日止，不得少于20日）</w:t>
      </w:r>
    </w:p>
    <w:p>
      <w:pPr>
        <w:pStyle w:val="11"/>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投标网址：浙江政府采购云平台（</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http://www.zcygov.cn）。</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本项目只接受电子投标文件，具体操作要求见前附表。请在开标当日10:00至10:30完成电子投标文件解密。</w:t>
      </w:r>
    </w:p>
    <w:p>
      <w:pPr>
        <w:pStyle w:val="4"/>
        <w:spacing w:line="360" w:lineRule="auto"/>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bookmarkStart w:id="17" w:name="_Toc28359007"/>
      <w:bookmarkStart w:id="18" w:name="_Toc35393625"/>
      <w:bookmarkStart w:id="19" w:name="_Toc28359084"/>
      <w:bookmarkStart w:id="20" w:name="_Toc35393794"/>
      <w:r>
        <w:rPr>
          <w:rFonts w:hint="eastAsia" w:asciiTheme="minorEastAsia" w:hAnsiTheme="minorEastAsia" w:eastAsiaTheme="minorEastAsia" w:cstheme="minorEastAsia"/>
          <w:b w:val="0"/>
          <w:color w:val="000000" w:themeColor="text1"/>
          <w:sz w:val="28"/>
          <w:szCs w:val="28"/>
          <w14:textFill>
            <w14:solidFill>
              <w14:schemeClr w14:val="tx1"/>
            </w14:solidFill>
          </w14:textFill>
        </w:rPr>
        <w:t>五、公告期限</w:t>
      </w:r>
      <w:bookmarkEnd w:id="17"/>
      <w:bookmarkEnd w:id="18"/>
      <w:bookmarkEnd w:id="19"/>
      <w:bookmarkEnd w:id="20"/>
    </w:p>
    <w:p>
      <w:pPr>
        <w:spacing w:line="360" w:lineRule="auto"/>
        <w:ind w:firstLine="560" w:firstLineChars="200"/>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自本公告发布之日起5个工作日。</w:t>
      </w:r>
    </w:p>
    <w:p>
      <w:pPr>
        <w:pStyle w:val="4"/>
        <w:numPr>
          <w:ilvl w:val="0"/>
          <w:numId w:val="0"/>
        </w:numPr>
        <w:spacing w:line="360" w:lineRule="auto"/>
        <w:ind w:right="25" w:rightChars="0"/>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bookmarkStart w:id="21" w:name="_Toc35393626"/>
      <w:bookmarkStart w:id="22" w:name="_Toc35393795"/>
      <w:r>
        <w:rPr>
          <w:rFonts w:hint="eastAsia" w:asciiTheme="minorEastAsia" w:hAnsiTheme="minorEastAsia" w:eastAsiaTheme="minorEastAsia" w:cstheme="minorEastAsia"/>
          <w:b w:val="0"/>
          <w:color w:val="000000" w:themeColor="text1"/>
          <w:sz w:val="28"/>
          <w:szCs w:val="28"/>
          <w:lang w:eastAsia="zh-CN"/>
          <w14:textFill>
            <w14:solidFill>
              <w14:schemeClr w14:val="tx1"/>
            </w14:solidFill>
          </w14:textFill>
        </w:rPr>
        <w:t>六、</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其他补充事宜</w:t>
      </w:r>
      <w:bookmarkEnd w:id="21"/>
      <w:bookmarkEnd w:id="22"/>
    </w:p>
    <w:p>
      <w:pPr>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1、供应商认为采购文件使自己的权益受到损害的，可以自收到采购文件之日（获取截止日之后收到采购文件的，以获取截止日为准）起7个工作日内且应当在采购</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8"/>
          <w:szCs w:val="28"/>
          <w14:textFill>
            <w14:solidFill>
              <w14:schemeClr w14:val="tx1"/>
            </w14:solidFill>
          </w14:textFill>
        </w:rPr>
        <w:t>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2、根据《浙江省政府采购供应商注册及诚信管理暂行办法》浙财采监【2009】28号文件，请各投标供应商及时办理浙江政府采购网“政府采购供应商注册”手续。</w:t>
      </w:r>
    </w:p>
    <w:p>
      <w:pPr>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3、参与政府采购项目的注册供应商，需登录浙江省政府采购网（</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HYPERLINK "http://www.tzztb.com/tzcms/zfcg.jhtml"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http://www.zjzfcg.gov.cn</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）进行网上报名；尚未注册的供应商应当先在浙江政府采购网上申请注册，注册后再进行网上报名。</w:t>
      </w:r>
    </w:p>
    <w:p>
      <w:pPr>
        <w:pStyle w:val="4"/>
        <w:spacing w:line="360" w:lineRule="auto"/>
        <w:rPr>
          <w:rFonts w:hint="eastAsia" w:asciiTheme="minorEastAsia" w:hAnsiTheme="minorEastAsia" w:eastAsiaTheme="minorEastAsia" w:cstheme="minorEastAsia"/>
          <w:b w:val="0"/>
          <w:color w:val="000000" w:themeColor="text1"/>
          <w:sz w:val="28"/>
          <w:szCs w:val="28"/>
          <w14:textFill>
            <w14:solidFill>
              <w14:schemeClr w14:val="tx1"/>
            </w14:solidFill>
          </w14:textFill>
        </w:rPr>
      </w:pPr>
      <w:bookmarkStart w:id="23" w:name="_Toc28359085"/>
      <w:bookmarkStart w:id="24" w:name="_Toc28359008"/>
      <w:bookmarkStart w:id="25" w:name="_Toc35393796"/>
      <w:bookmarkStart w:id="26" w:name="_Toc35393627"/>
      <w:r>
        <w:rPr>
          <w:rFonts w:hint="eastAsia" w:asciiTheme="minorEastAsia" w:hAnsiTheme="minorEastAsia" w:eastAsiaTheme="minorEastAsia" w:cstheme="minorEastAsia"/>
          <w:b w:val="0"/>
          <w:color w:val="000000" w:themeColor="text1"/>
          <w:sz w:val="28"/>
          <w:szCs w:val="28"/>
          <w14:textFill>
            <w14:solidFill>
              <w14:schemeClr w14:val="tx1"/>
            </w14:solidFill>
          </w14:textFill>
        </w:rPr>
        <w:t>七、对本次招标提出询问，请按以下方式联系。</w:t>
      </w:r>
      <w:bookmarkEnd w:id="23"/>
      <w:bookmarkEnd w:id="24"/>
      <w:bookmarkEnd w:id="25"/>
      <w:bookmarkEnd w:id="26"/>
    </w:p>
    <w:p>
      <w:pPr>
        <w:snapToGrid w:val="0"/>
        <w:spacing w:line="360" w:lineRule="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1.采购人</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（受理</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采购</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文件相关质疑及答复） </w:t>
      </w:r>
    </w:p>
    <w:p>
      <w:pPr>
        <w:snapToGrid w:val="0"/>
        <w:spacing w:line="360" w:lineRule="auto"/>
        <w:ind w:firstLine="720" w:firstLineChars="300"/>
        <w:jc w:val="left"/>
        <w:rPr>
          <w:rFonts w:hint="eastAsia" w:asciiTheme="minorEastAsia" w:hAnsiTheme="minorEastAsia" w:eastAsiaTheme="minorEastAsia"/>
          <w:color w:val="000000" w:themeColor="text1"/>
          <w:kern w:val="0"/>
          <w:sz w:val="24"/>
          <w:szCs w:val="24"/>
          <w:lang w:eastAsia="zh-CN"/>
          <w14:textFill>
            <w14:solidFill>
              <w14:schemeClr w14:val="tx1"/>
            </w14:solidFill>
          </w14:textFill>
        </w:rPr>
      </w:pPr>
      <w:bookmarkStart w:id="27" w:name="_Toc28359009"/>
      <w:bookmarkStart w:id="28" w:name="_Toc28359086"/>
      <w:r>
        <w:rPr>
          <w:rFonts w:hint="eastAsia" w:asciiTheme="minorEastAsia" w:hAnsiTheme="minorEastAsia" w:eastAsiaTheme="minorEastAsia" w:cstheme="minorEastAsia"/>
          <w:color w:val="000000" w:themeColor="text1"/>
          <w:sz w:val="24"/>
          <w:szCs w:val="24"/>
          <w14:textFill>
            <w14:solidFill>
              <w14:schemeClr w14:val="tx1"/>
            </w14:solidFill>
          </w14:textFill>
        </w:rPr>
        <w:t>名 称：</w:t>
      </w:r>
      <w:r>
        <w:rPr>
          <w:rFonts w:hint="eastAsia" w:asciiTheme="minorEastAsia" w:hAnsiTheme="minorEastAsia" w:eastAsiaTheme="minorEastAsia"/>
          <w:color w:val="000000" w:themeColor="text1"/>
          <w:kern w:val="0"/>
          <w:sz w:val="24"/>
          <w:szCs w:val="24"/>
          <w:lang w:eastAsia="zh-CN"/>
          <w14:textFill>
            <w14:solidFill>
              <w14:schemeClr w14:val="tx1"/>
            </w14:solidFill>
          </w14:textFill>
        </w:rPr>
        <w:t>台州市公安局交通警察局</w:t>
      </w:r>
    </w:p>
    <w:p>
      <w:pPr>
        <w:spacing w:line="360" w:lineRule="auto"/>
        <w:ind w:firstLine="720" w:firstLineChars="300"/>
        <w:jc w:val="left"/>
        <w:rPr>
          <w:rFonts w:ascii="Arial" w:hAnsi="Arial" w:eastAsia="宋体" w:cs="Arial"/>
          <w:b w:val="0"/>
          <w:i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r>
        <w:rPr>
          <w:rFonts w:ascii="Arial" w:hAnsi="Arial" w:eastAsia="宋体" w:cs="Arial"/>
          <w:b w:val="0"/>
          <w:i w:val="0"/>
          <w:caps w:val="0"/>
          <w:color w:val="000000" w:themeColor="text1"/>
          <w:spacing w:val="0"/>
          <w:sz w:val="24"/>
          <w:szCs w:val="24"/>
          <w:shd w:val="clear" w:fill="FFFFFF"/>
          <w14:textFill>
            <w14:solidFill>
              <w14:schemeClr w14:val="tx1"/>
            </w14:solidFill>
          </w14:textFill>
        </w:rPr>
        <w:t>台州市椒江区经济开发区机场北路451号</w:t>
      </w:r>
    </w:p>
    <w:p>
      <w:pPr>
        <w:spacing w:line="360" w:lineRule="auto"/>
        <w:ind w:firstLine="720" w:firstLineChars="300"/>
        <w:jc w:val="left"/>
        <w:rPr>
          <w:rFonts w:hint="eastAsia" w:cs="Arial"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何</w:t>
      </w:r>
      <w:r>
        <w:rPr>
          <w:rFonts w:hint="eastAsia" w:ascii="Arial" w:hAnsi="Arial" w:cs="Arial"/>
          <w:color w:val="000000" w:themeColor="text1"/>
          <w:sz w:val="24"/>
          <w:szCs w:val="24"/>
          <w14:textFill>
            <w14:solidFill>
              <w14:schemeClr w14:val="tx1"/>
            </w14:solidFill>
          </w14:textFill>
        </w:rPr>
        <w:t>老师</w:t>
      </w:r>
      <w:r>
        <w:rPr>
          <w:rFonts w:hint="eastAsia" w:cs="Arial"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ind w:firstLine="720" w:firstLineChars="300"/>
        <w:rPr>
          <w:rFonts w:hint="default"/>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13958503277</w:t>
      </w:r>
    </w:p>
    <w:p>
      <w:pPr>
        <w:spacing w:line="360" w:lineRule="auto"/>
        <w:ind w:firstLine="840" w:firstLineChars="300"/>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bookmarkEnd w:id="27"/>
      <w:bookmarkEnd w:id="28"/>
      <w:r>
        <w:rPr>
          <w:rFonts w:hint="eastAsia" w:asciiTheme="minorEastAsia" w:hAnsiTheme="minorEastAsia" w:eastAsiaTheme="minorEastAsia" w:cstheme="minorEastAsia"/>
          <w:b/>
          <w:color w:val="000000" w:themeColor="text1"/>
          <w:sz w:val="28"/>
          <w:szCs w:val="28"/>
          <w14:textFill>
            <w14:solidFill>
              <w14:schemeClr w14:val="tx1"/>
            </w14:solidFill>
          </w14:textFill>
        </w:rPr>
        <w:t>集中采购机构</w:t>
      </w:r>
    </w:p>
    <w:p>
      <w:pPr>
        <w:spacing w:line="360" w:lineRule="auto"/>
        <w:ind w:firstLine="720" w:firstLineChars="300"/>
        <w:rPr>
          <w:rFonts w:ascii="宋体"/>
          <w:color w:val="000000" w:themeColor="text1"/>
          <w:kern w:val="0"/>
          <w:sz w:val="24"/>
          <w:szCs w:val="24"/>
          <w14:textFill>
            <w14:solidFill>
              <w14:schemeClr w14:val="tx1"/>
            </w14:solidFill>
          </w14:textFill>
        </w:rPr>
      </w:pPr>
      <w:bookmarkStart w:id="29" w:name="_Toc28359087"/>
      <w:bookmarkStart w:id="30" w:name="_Toc28359010"/>
      <w:r>
        <w:rPr>
          <w:rFonts w:hint="eastAsia" w:asciiTheme="minorEastAsia" w:hAnsiTheme="minorEastAsia" w:eastAsiaTheme="minorEastAsia" w:cstheme="minorEastAsia"/>
          <w:color w:val="000000" w:themeColor="text1"/>
          <w:sz w:val="24"/>
          <w:szCs w:val="24"/>
          <w14:textFill>
            <w14:solidFill>
              <w14:schemeClr w14:val="tx1"/>
            </w14:solidFill>
          </w14:textFill>
        </w:rPr>
        <w:t>名 称：</w:t>
      </w:r>
      <w:r>
        <w:rPr>
          <w:rFonts w:hint="eastAsia" w:ascii="Arial" w:hAnsi="Arial" w:cs="Arial"/>
          <w:b w:val="0"/>
          <w:i w:val="0"/>
          <w:caps w:val="0"/>
          <w:color w:val="000000" w:themeColor="text1"/>
          <w:spacing w:val="0"/>
          <w:sz w:val="24"/>
          <w:szCs w:val="24"/>
          <w:shd w:val="clear" w:fill="FFFFFF"/>
          <w:lang w:val="en-US" w:eastAsia="zh-CN"/>
          <w14:textFill>
            <w14:solidFill>
              <w14:schemeClr w14:val="tx1"/>
            </w14:solidFill>
          </w14:textFill>
        </w:rPr>
        <w:t>台州市政府采购中心</w:t>
      </w:r>
      <w:r>
        <w:rPr>
          <w:rFonts w:ascii="宋体"/>
          <w:color w:val="000000" w:themeColor="text1"/>
          <w:kern w:val="0"/>
          <w:sz w:val="24"/>
          <w:szCs w:val="24"/>
          <w14:textFill>
            <w14:solidFill>
              <w14:schemeClr w14:val="tx1"/>
            </w14:solidFill>
          </w14:textFill>
        </w:rPr>
        <w:t xml:space="preserve">  </w:t>
      </w:r>
    </w:p>
    <w:p>
      <w:pPr>
        <w:snapToGrid w:val="0"/>
        <w:spacing w:line="360" w:lineRule="auto"/>
        <w:ind w:firstLine="720" w:firstLineChars="300"/>
        <w:rPr>
          <w:rFonts w:hint="eastAsia"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w:t>
      </w:r>
      <w:r>
        <w:rPr>
          <w:rFonts w:hint="eastAsia" w:asciiTheme="minorEastAsia" w:hAnsiTheme="minorEastAsia" w:eastAsiaTheme="minorEastAsia"/>
          <w:color w:val="000000" w:themeColor="text1"/>
          <w:kern w:val="0"/>
          <w:sz w:val="24"/>
          <w:szCs w:val="24"/>
          <w:lang w:eastAsia="zh-CN"/>
          <w14:textFill>
            <w14:solidFill>
              <w14:schemeClr w14:val="tx1"/>
            </w14:solidFill>
          </w14:textFill>
        </w:rPr>
        <w:t>台州市公共资源交易中心</w:t>
      </w:r>
    </w:p>
    <w:p>
      <w:pPr>
        <w:snapToGrid w:val="0"/>
        <w:spacing w:line="360" w:lineRule="auto"/>
        <w:ind w:firstLine="720" w:firstLineChars="300"/>
        <w:rPr>
          <w:rFonts w:hint="eastAsia" w:cs="Arial"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项目联系人：</w:t>
      </w:r>
      <w:r>
        <w:rPr>
          <w:rFonts w:hint="eastAsia" w:cs="Arial" w:asciiTheme="minorEastAsia" w:hAnsiTheme="minorEastAsia" w:eastAsiaTheme="minorEastAsia"/>
          <w:color w:val="000000" w:themeColor="text1"/>
          <w:sz w:val="24"/>
          <w:szCs w:val="24"/>
          <w:lang w:eastAsia="zh-CN"/>
          <w14:textFill>
            <w14:solidFill>
              <w14:schemeClr w14:val="tx1"/>
            </w14:solidFill>
          </w14:textFill>
        </w:rPr>
        <w:t>陈女士</w:t>
      </w:r>
    </w:p>
    <w:p>
      <w:pPr>
        <w:spacing w:line="360" w:lineRule="auto"/>
        <w:ind w:firstLine="720" w:firstLineChars="3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cs="Arial" w:asciiTheme="minorEastAsia" w:hAnsiTheme="minorEastAsia" w:eastAsiaTheme="minorEastAsia"/>
          <w:color w:val="000000" w:themeColor="text1"/>
          <w:sz w:val="24"/>
          <w:szCs w:val="24"/>
          <w:lang w:val="en-US" w:eastAsia="zh-CN"/>
          <w14:textFill>
            <w14:solidFill>
              <w14:schemeClr w14:val="tx1"/>
            </w14:solidFill>
          </w14:textFill>
        </w:rPr>
        <w:t>0576-88685056</w:t>
      </w:r>
      <w:r>
        <w:rPr>
          <w:rFonts w:hint="eastAsia" w:cs="Arial" w:asciiTheme="minorEastAsia" w:hAnsiTheme="minorEastAsia" w:eastAsiaTheme="minorEastAsia"/>
          <w:color w:val="000000" w:themeColor="text1"/>
          <w:sz w:val="24"/>
          <w:szCs w:val="24"/>
          <w14:textFill>
            <w14:solidFill>
              <w14:schemeClr w14:val="tx1"/>
            </w14:solidFill>
          </w14:textFill>
        </w:rPr>
        <w:t xml:space="preserve"> </w:t>
      </w:r>
    </w:p>
    <w:p>
      <w:pPr>
        <w:spacing w:line="360" w:lineRule="auto"/>
        <w:ind w:left="1558" w:leftChars="399" w:hanging="720" w:hangingChars="3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窗口联系人：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候女士</w:t>
      </w:r>
      <w:r>
        <w:rPr>
          <w:rFonts w:hint="eastAsia" w:asciiTheme="minorEastAsia" w:hAnsiTheme="minorEastAsia" w:eastAsiaTheme="minorEastAsia" w:cstheme="minorEastAsia"/>
          <w:color w:val="000000" w:themeColor="text1"/>
          <w:sz w:val="24"/>
          <w:szCs w:val="24"/>
          <w14:textFill>
            <w14:solidFill>
              <w14:schemeClr w14:val="tx1"/>
            </w14:solidFill>
          </w14:textFill>
        </w:rPr>
        <w:t>（受理供应商注册、中标结果相关质疑及答复）</w:t>
      </w:r>
    </w:p>
    <w:p>
      <w:pPr>
        <w:spacing w:line="360" w:lineRule="auto"/>
        <w:ind w:firstLine="720" w:firstLineChars="3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0576-88685121</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8"/>
          <w:szCs w:val="28"/>
          <w:shd w:val="clear" w:fill="FFFFFF"/>
          <w:lang w:val="en-US" w:eastAsia="zh-CN"/>
          <w14:textFill>
            <w14:solidFill>
              <w14:schemeClr w14:val="tx1"/>
            </w14:solidFill>
          </w14:textFill>
        </w:rPr>
        <w:t xml:space="preserve">                                     台州市政府采购中心</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 </w:t>
      </w:r>
    </w:p>
    <w:p>
      <w:pPr>
        <w:widowControl/>
        <w:spacing w:line="360" w:lineRule="auto"/>
        <w:jc w:val="left"/>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 xml:space="preserve"> 2020</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10 </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日</w:t>
      </w:r>
    </w:p>
    <w:bookmarkEnd w:id="29"/>
    <w:bookmarkEnd w:id="30"/>
    <w:p>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23"/>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54"/>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项    目</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供应商特定</w:t>
            </w:r>
          </w:p>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资格要求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答疑会或</w:t>
            </w:r>
          </w:p>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现场踏勘</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lang w:eastAsia="zh-CN"/>
                <w14:textFill>
                  <w14:solidFill>
                    <w14:schemeClr w14:val="tx1"/>
                  </w14:solidFill>
                </w14:textFill>
              </w:rPr>
              <w:t>电子</w:t>
            </w:r>
            <w:r>
              <w:rPr>
                <w:rFonts w:hint="eastAsia" w:asciiTheme="majorEastAsia" w:hAnsiTheme="majorEastAsia" w:eastAsiaTheme="majorEastAsia" w:cstheme="majorEastAsia"/>
                <w:color w:val="000000" w:themeColor="text1"/>
                <w:sz w:val="24"/>
                <w14:textFill>
                  <w14:solidFill>
                    <w14:schemeClr w14:val="tx1"/>
                  </w14:solidFill>
                </w14:textFill>
              </w:rPr>
              <w:t>投标要求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投标</w:t>
            </w:r>
            <w:r>
              <w:rPr>
                <w:rFonts w:hint="eastAsia" w:ascii="宋体" w:hAnsi="宋体" w:eastAsia="宋体" w:cs="宋体"/>
                <w:color w:val="000000" w:themeColor="text1"/>
                <w:sz w:val="24"/>
                <w:lang w:eastAsia="zh-CN"/>
                <w14:textFill>
                  <w14:solidFill>
                    <w14:schemeClr w14:val="tx1"/>
                  </w14:solidFill>
                </w14:textFill>
              </w:rPr>
              <w:t>人须</w:t>
            </w:r>
            <w:r>
              <w:rPr>
                <w:rFonts w:hint="eastAsia" w:ascii="宋体" w:hAnsi="宋体" w:eastAsia="宋体" w:cs="宋体"/>
                <w:color w:val="000000" w:themeColor="text1"/>
                <w:sz w:val="24"/>
                <w:szCs w:val="24"/>
                <w14:textFill>
                  <w14:solidFill>
                    <w14:schemeClr w14:val="tx1"/>
                  </w14:solidFill>
                </w14:textFill>
              </w:rPr>
              <w:t>按照采购文件和电子交易平台的要求编制并加密</w:t>
            </w:r>
            <w:r>
              <w:rPr>
                <w:rFonts w:hint="eastAsia" w:ascii="宋体" w:hAnsi="宋体" w:eastAsia="宋体" w:cs="宋体"/>
                <w:color w:val="000000" w:themeColor="text1"/>
                <w:sz w:val="24"/>
                <w:szCs w:val="24"/>
                <w:lang w:eastAsia="zh-CN"/>
                <w14:textFill>
                  <w14:solidFill>
                    <w14:schemeClr w14:val="tx1"/>
                  </w14:solidFill>
                </w14:textFill>
              </w:rPr>
              <w:t>电子</w:t>
            </w:r>
            <w:r>
              <w:rPr>
                <w:rFonts w:hint="eastAsia" w:ascii="宋体" w:hAnsi="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eastAsia="宋体" w:cs="宋体"/>
                <w:color w:val="000000" w:themeColor="text1"/>
                <w:sz w:val="24"/>
                <w14:textFill>
                  <w14:solidFill>
                    <w14:schemeClr w14:val="tx1"/>
                  </w14:solidFill>
                </w14:textFill>
              </w:rPr>
              <w:t>截止时间：北京时间20</w:t>
            </w:r>
            <w:r>
              <w:rPr>
                <w:rFonts w:hint="eastAsia" w:ascii="宋体" w:hAnsi="宋体" w:eastAsia="宋体" w:cs="Arial"/>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 xml:space="preserve">30 </w:t>
            </w:r>
            <w:r>
              <w:rPr>
                <w:rFonts w:hint="eastAsia"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lang w:val="en-US" w:eastAsia="zh-CN"/>
                <w14:textFill>
                  <w14:solidFill>
                    <w14:schemeClr w14:val="tx1"/>
                  </w14:solidFill>
                </w14:textFill>
              </w:rPr>
              <w:t>10</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00</w:t>
            </w:r>
          </w:p>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投标人应当在投标截止时间前完成</w:t>
            </w:r>
            <w:r>
              <w:rPr>
                <w:rFonts w:hint="eastAsia" w:ascii="宋体" w:hAnsi="宋体" w:cs="宋体"/>
                <w:color w:val="000000" w:themeColor="text1"/>
                <w:kern w:val="2"/>
                <w:sz w:val="24"/>
                <w:szCs w:val="24"/>
                <w:lang w:val="en-US" w:eastAsia="zh-CN" w:bidi="ar-SA"/>
                <w14:textFill>
                  <w14:solidFill>
                    <w14:schemeClr w14:val="tx1"/>
                  </w14:solidFill>
                </w14:textFill>
              </w:rPr>
              <w:t>电子投标文件</w:t>
            </w:r>
            <w:r>
              <w:rPr>
                <w:rFonts w:hint="eastAsia" w:ascii="宋体" w:hAnsi="宋体" w:eastAsia="宋体" w:cs="宋体"/>
                <w:color w:val="000000" w:themeColor="text1"/>
                <w:kern w:val="2"/>
                <w:sz w:val="24"/>
                <w:szCs w:val="24"/>
                <w:lang w:val="en-US" w:eastAsia="zh-CN" w:bidi="ar-SA"/>
                <w14:textFill>
                  <w14:solidFill>
                    <w14:schemeClr w14:val="tx1"/>
                  </w14:solidFill>
                </w14:textFill>
              </w:rPr>
              <w:t>的传输递交，并可以补充、修改或者撤回电子投标文件。补充或者修改电子投标文件的，应当先行撤回原文件，补充、修改后重新传输递交。投标截止时间前未完成传输的，视为撤回电子投标文件。逾期上传的</w:t>
            </w:r>
            <w:r>
              <w:rPr>
                <w:rFonts w:hint="eastAsia" w:ascii="宋体" w:hAnsi="宋体" w:cs="宋体"/>
                <w:color w:val="000000" w:themeColor="text1"/>
                <w:kern w:val="2"/>
                <w:sz w:val="24"/>
                <w:szCs w:val="24"/>
                <w:lang w:val="en-US" w:eastAsia="zh-CN" w:bidi="ar-SA"/>
                <w14:textFill>
                  <w14:solidFill>
                    <w14:schemeClr w14:val="tx1"/>
                  </w14:solidFill>
                </w14:textFill>
              </w:rPr>
              <w:t>电子投标文件</w:t>
            </w:r>
            <w:r>
              <w:rPr>
                <w:rFonts w:hint="eastAsia" w:ascii="宋体" w:hAnsi="宋体" w:eastAsia="宋体" w:cs="宋体"/>
                <w:color w:val="000000" w:themeColor="text1"/>
                <w:kern w:val="2"/>
                <w:sz w:val="24"/>
                <w:szCs w:val="24"/>
                <w:lang w:val="en-US" w:eastAsia="zh-CN" w:bidi="ar-SA"/>
                <w14:textFill>
                  <w14:solidFill>
                    <w14:schemeClr w14:val="tx1"/>
                  </w14:solidFill>
                </w14:textFill>
              </w:rPr>
              <w:t>恕不接受。</w:t>
            </w:r>
          </w:p>
          <w:p>
            <w:pPr>
              <w:pStyle w:val="12"/>
              <w:spacing w:line="360" w:lineRule="auto"/>
              <w:rPr>
                <w:rFonts w:hint="eastAsia"/>
                <w:color w:val="000000" w:themeColor="text1"/>
                <w:lang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温馨提醒：供应商应提前上传，以便在上传时遇到技术问题，有充足的时间请教平台的技术人员。</w:t>
            </w:r>
            <w:r>
              <w:rPr>
                <w:rFonts w:hint="eastAsia"/>
                <w:color w:val="000000" w:themeColor="text1"/>
                <w:sz w:val="24"/>
                <w:szCs w:val="24"/>
                <w:lang w:val="en-US" w:eastAsia="zh-CN"/>
                <w14:textFill>
                  <w14:solidFill>
                    <w14:schemeClr w14:val="tx1"/>
                  </w14:solidFill>
                </w14:textFill>
              </w:rPr>
              <w:t>平台技术人员联系人：徐女士；联系电话：0576-88685161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p>
        </w:tc>
        <w:tc>
          <w:tcPr>
            <w:tcW w:w="195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电子投标文件解密要求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电子投标文件在线解密时间：北京时间2020年</w:t>
            </w:r>
            <w:r>
              <w:rPr>
                <w:rFonts w:hint="eastAsia" w:ascii="宋体" w:hAnsi="宋体" w:cs="宋体"/>
                <w:color w:val="000000" w:themeColor="text1"/>
                <w:kern w:val="2"/>
                <w:sz w:val="24"/>
                <w:szCs w:val="24"/>
                <w:lang w:val="en-US" w:eastAsia="zh-CN" w:bidi="ar-SA"/>
                <w14:textFill>
                  <w14:solidFill>
                    <w14:schemeClr w14:val="tx1"/>
                  </w14:solidFill>
                </w14:textFill>
              </w:rPr>
              <w:t xml:space="preserve"> 9</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w:t>
            </w:r>
            <w:r>
              <w:rPr>
                <w:rFonts w:hint="eastAsia" w:ascii="宋体" w:hAnsi="宋体" w:cs="宋体"/>
                <w:color w:val="000000" w:themeColor="text1"/>
                <w:kern w:val="2"/>
                <w:sz w:val="24"/>
                <w:szCs w:val="24"/>
                <w:lang w:val="en-US" w:eastAsia="zh-CN" w:bidi="ar-SA"/>
                <w14:textFill>
                  <w14:solidFill>
                    <w14:schemeClr w14:val="tx1"/>
                  </w14:solidFill>
                </w14:textFill>
              </w:rPr>
              <w:t xml:space="preserve"> 30</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:00至</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:30；</w:t>
            </w:r>
          </w:p>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投标人应当按规定及时解密，若因技术原因导致电子投标文件未能及时解密的，应联系我中心技术人员（</w:t>
            </w:r>
            <w:r>
              <w:rPr>
                <w:rFonts w:hint="eastAsia" w:ascii="宋体" w:hAnsi="宋体" w:cs="宋体"/>
                <w:color w:val="000000" w:themeColor="text1"/>
                <w:kern w:val="2"/>
                <w:sz w:val="24"/>
                <w:szCs w:val="24"/>
                <w:lang w:val="en-US" w:eastAsia="zh-CN" w:bidi="ar-SA"/>
                <w14:textFill>
                  <w14:solidFill>
                    <w14:schemeClr w14:val="tx1"/>
                  </w14:solidFill>
                </w14:textFill>
              </w:rPr>
              <w:t>徐</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w:t>
            </w:r>
            <w:r>
              <w:rPr>
                <w:rFonts w:hint="eastAsia" w:ascii="宋体" w:hAnsi="宋体" w:cs="宋体"/>
                <w:color w:val="000000" w:themeColor="text1"/>
                <w:kern w:val="2"/>
                <w:sz w:val="24"/>
                <w:szCs w:val="24"/>
                <w:lang w:val="en-US" w:eastAsia="zh-CN" w:bidi="ar-SA"/>
                <w14:textFill>
                  <w14:solidFill>
                    <w14:schemeClr w14:val="tx1"/>
                  </w14:solidFill>
                </w14:textFill>
              </w:rPr>
              <w:t>18806862938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）在采监处的监督下远程协助其完成解密，仍无法完成解密的，应按规定及时递交备份电子投标文件，否则，视同放弃投标。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5</w:t>
            </w:r>
          </w:p>
        </w:tc>
        <w:tc>
          <w:tcPr>
            <w:tcW w:w="195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备份电子投标</w:t>
            </w:r>
          </w:p>
          <w:p>
            <w:pPr>
              <w:pStyle w:val="22"/>
              <w:spacing w:line="360" w:lineRule="auto"/>
              <w:ind w:left="0" w:leftChars="0" w:firstLine="0" w:firstLineChars="0"/>
              <w:jc w:val="left"/>
              <w:rPr>
                <w:rFonts w:hint="eastAsia" w:asciiTheme="majorEastAsia" w:hAnsiTheme="majorEastAsia" w:eastAsiaTheme="majorEastAsia" w:cstheme="majorEastAsia"/>
                <w:color w:val="000000" w:themeColor="text1"/>
                <w:sz w:val="24"/>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文件制作要求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firstLineChars="0"/>
              <w:jc w:val="left"/>
              <w:rPr>
                <w:rFonts w:hint="default" w:asciiTheme="majorEastAsia" w:hAnsiTheme="majorEastAsia" w:eastAsiaTheme="majorEastAsia" w:cstheme="majorEastAsia"/>
                <w:b/>
                <w:bCs/>
                <w:color w:val="000000" w:themeColor="text1"/>
                <w:sz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备份电子投标文件是通过“政采云”平台电子投标工具制作电子投标文件产生的备份文件，请投标人自行妥善保管。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6</w:t>
            </w:r>
          </w:p>
        </w:tc>
        <w:tc>
          <w:tcPr>
            <w:tcW w:w="195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firstLineChars="0"/>
              <w:jc w:val="left"/>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备份电子投标文件使用、递交有关规定</w:t>
            </w:r>
          </w:p>
        </w:tc>
        <w:tc>
          <w:tcPr>
            <w:tcW w:w="672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1.使用前提：投标人自行在线解密操作失败无法按时寻求技术人员帮助解密，或者投标人寻求技术人员帮助仍无法按时完成解密；</w:t>
            </w:r>
          </w:p>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2.递交截止时间：</w:t>
            </w:r>
            <w:r>
              <w:rPr>
                <w:rFonts w:hint="eastAsia" w:ascii="宋体" w:hAnsi="宋体" w:cs="宋体"/>
                <w:color w:val="000000" w:themeColor="text1"/>
                <w:kern w:val="2"/>
                <w:sz w:val="24"/>
                <w:szCs w:val="24"/>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w:t>
            </w:r>
            <w:r>
              <w:rPr>
                <w:rFonts w:hint="eastAsia" w:ascii="宋体" w:hAnsi="宋体" w:cs="宋体"/>
                <w:color w:val="000000" w:themeColor="text1"/>
                <w:kern w:val="2"/>
                <w:sz w:val="24"/>
                <w:szCs w:val="24"/>
                <w:lang w:val="en-US" w:eastAsia="zh-CN" w:bidi="ar-SA"/>
                <w14:textFill>
                  <w14:solidFill>
                    <w14:schemeClr w14:val="tx1"/>
                  </w14:solidFill>
                </w14:textFill>
              </w:rPr>
              <w:t xml:space="preserve">30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:50；</w:t>
            </w:r>
          </w:p>
          <w:p>
            <w:pPr>
              <w:pStyle w:val="22"/>
              <w:spacing w:line="360" w:lineRule="auto"/>
              <w:ind w:left="0" w:leftChars="0"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3.投递邮箱：开标当日钉钉直播群公布的指定邮箱；</w:t>
            </w:r>
          </w:p>
          <w:p>
            <w:pPr>
              <w:pStyle w:val="22"/>
              <w:spacing w:line="360" w:lineRule="auto"/>
              <w:ind w:left="0" w:leftChars="0" w:firstLine="0" w:firstLineChars="0"/>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7</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投标有效期</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投标有效期为开标后90天，</w:t>
            </w:r>
            <w:r>
              <w:rPr>
                <w:rFonts w:hint="eastAsia" w:asciiTheme="majorEastAsia" w:hAnsiTheme="majorEastAsia" w:eastAsiaTheme="majorEastAsia" w:cstheme="majorEastAsia"/>
                <w:color w:val="000000" w:themeColor="text1"/>
                <w:kern w:val="0"/>
                <w:sz w:val="24"/>
                <w14:textFill>
                  <w14:solidFill>
                    <w14:schemeClr w14:val="tx1"/>
                  </w14:solidFill>
                </w14:textFill>
              </w:rPr>
              <w:t>投标有效期从提交</w:t>
            </w: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电子投标文件</w:t>
            </w:r>
            <w:r>
              <w:rPr>
                <w:rFonts w:hint="eastAsia" w:asciiTheme="majorEastAsia" w:hAnsiTheme="majorEastAsia" w:eastAsiaTheme="majorEastAsia" w:cstheme="majorEastAsia"/>
                <w:color w:val="000000" w:themeColor="text1"/>
                <w:kern w:val="0"/>
                <w:sz w:val="24"/>
                <w14:textFill>
                  <w14:solidFill>
                    <w14:schemeClr w14:val="tx1"/>
                  </w14:solidFill>
                </w14:textFill>
              </w:rPr>
              <w:t>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8</w:t>
            </w:r>
          </w:p>
        </w:tc>
        <w:tc>
          <w:tcPr>
            <w:tcW w:w="1954"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不见面开标直播</w:t>
            </w:r>
          </w:p>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本项目开评标环节实行全流程电子化，采取不见面钉钉直播开标，投标人可自行下载“钉钉软件”观看。（钉钉直播群号为</w:t>
            </w:r>
            <w:r>
              <w:rPr>
                <w:rFonts w:hint="eastAsia" w:ascii="宋体" w:hAnsi="宋体" w:eastAsia="宋体" w:cs="宋体"/>
                <w:color w:val="000000" w:themeColor="text1"/>
                <w:sz w:val="24"/>
                <w:szCs w:val="24"/>
                <w:lang w:val="en-US" w:eastAsia="zh-CN"/>
                <w14:textFill>
                  <w14:solidFill>
                    <w14:schemeClr w14:val="tx1"/>
                  </w14:solidFill>
                </w14:textFill>
              </w:rPr>
              <w:t>：</w:t>
            </w:r>
            <w:bookmarkStart w:id="79" w:name="_GoBack"/>
            <w:r>
              <w:rPr>
                <w:rFonts w:hint="eastAsia" w:cs="宋体"/>
                <w:b/>
                <w:bCs/>
                <w:color w:val="FF0000"/>
                <w:sz w:val="24"/>
                <w:szCs w:val="24"/>
                <w:lang w:val="en-US" w:eastAsia="zh-CN"/>
              </w:rPr>
              <w:t>34656600</w:t>
            </w:r>
            <w:r>
              <w:rPr>
                <w:rFonts w:hint="eastAsia" w:ascii="宋体" w:hAnsi="宋体" w:cs="宋体"/>
                <w:b/>
                <w:bCs/>
                <w:color w:val="FF0000"/>
                <w:sz w:val="24"/>
                <w:szCs w:val="24"/>
                <w:lang w:val="en-US" w:eastAsia="zh-CN"/>
              </w:rPr>
              <w:t xml:space="preserve"> </w:t>
            </w:r>
            <w:bookmarkEnd w:id="79"/>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投标人只能于开标当天</w:t>
            </w:r>
            <w:r>
              <w:rPr>
                <w:rFonts w:hint="eastAsia"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以后搜索到群号，并申请进群。采购组织机构按照采购文件规定的时间通过电子交易平台组织开标、开启响应文件，所有供应商均应当准时在线参加。</w:t>
            </w:r>
            <w:r>
              <w:rPr>
                <w:rFonts w:hint="eastAsia" w:hAnsi="宋体" w:cs="宋体"/>
                <w:color w:val="000000" w:themeColor="text1"/>
                <w:sz w:val="24"/>
                <w:szCs w:val="24"/>
                <w:lang w:val="en-US" w:eastAsia="zh-CN"/>
                <w14:textFill>
                  <w14:solidFill>
                    <w14:schemeClr w14:val="tx1"/>
                  </w14:solidFill>
                </w14:textFill>
              </w:rPr>
              <w:t>如未参加，</w:t>
            </w:r>
            <w:r>
              <w:rPr>
                <w:rFonts w:hint="eastAsia" w:ascii="宋体" w:hAnsi="宋体" w:eastAsia="宋体" w:cs="宋体"/>
                <w:bCs/>
                <w:color w:val="000000" w:themeColor="text1"/>
                <w:sz w:val="24"/>
                <w14:textFill>
                  <w14:solidFill>
                    <w14:schemeClr w14:val="tx1"/>
                  </w14:solidFill>
                </w14:textFill>
              </w:rPr>
              <w:t>造成无法投标或投标失败等后果由供应商自行承担</w:t>
            </w:r>
            <w:r>
              <w:rPr>
                <w:rFonts w:hint="eastAsia" w:hAnsi="宋体" w:cs="宋体"/>
                <w:bCs/>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9</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投标与开标注意事项</w:t>
            </w:r>
          </w:p>
        </w:tc>
        <w:tc>
          <w:tcPr>
            <w:tcW w:w="672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1.本项目实行</w:t>
            </w:r>
            <w:r>
              <w:rPr>
                <w:rFonts w:hint="eastAsia" w:hAnsi="宋体" w:eastAsia="宋体" w:cs="宋体"/>
                <w:bCs/>
                <w:color w:val="000000" w:themeColor="text1"/>
                <w:sz w:val="24"/>
                <w:lang w:eastAsia="zh-CN"/>
                <w14:textFill>
                  <w14:solidFill>
                    <w14:schemeClr w14:val="tx1"/>
                  </w14:solidFill>
                </w14:textFill>
              </w:rPr>
              <w:t>电子采购</w:t>
            </w:r>
            <w:r>
              <w:rPr>
                <w:rFonts w:hint="eastAsia" w:ascii="宋体" w:hAnsi="宋体" w:eastAsia="宋体" w:cs="宋体"/>
                <w:bCs/>
                <w:color w:val="000000" w:themeColor="text1"/>
                <w:sz w:val="24"/>
                <w14:textFill>
                  <w14:solidFill>
                    <w14:schemeClr w14:val="tx1"/>
                  </w14:solidFill>
                </w14:textFill>
              </w:rPr>
              <w:t>，采用电子投标文件。若供应商参与投标，自行承担投标一切费用。</w:t>
            </w:r>
          </w:p>
          <w:p>
            <w:pPr>
              <w:pStyle w:val="14"/>
              <w:adjustRightInd w:val="0"/>
              <w:snapToGrid w:val="0"/>
              <w:spacing w:line="44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pPr>
              <w:spacing w:line="44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w:t>
            </w:r>
            <w:r>
              <w:rPr>
                <w:rFonts w:hint="eastAsia" w:ascii="宋体" w:hAnsi="宋体" w:cs="宋体"/>
                <w:bCs/>
                <w:color w:val="000000" w:themeColor="text1"/>
                <w:sz w:val="24"/>
                <w:lang w:eastAsia="zh-CN"/>
                <w14:textFill>
                  <w14:solidFill>
                    <w14:schemeClr w14:val="tx1"/>
                  </w14:solidFill>
                </w14:textFill>
              </w:rPr>
              <w:t>电子投标文件</w:t>
            </w:r>
            <w:r>
              <w:rPr>
                <w:rFonts w:hint="eastAsia" w:ascii="宋体" w:hAnsi="宋体" w:eastAsia="宋体" w:cs="宋体"/>
                <w:bCs/>
                <w:color w:val="000000" w:themeColor="text1"/>
                <w:sz w:val="24"/>
                <w14:textFill>
                  <w14:solidFill>
                    <w14:schemeClr w14:val="tx1"/>
                  </w14:solidFill>
                </w14:textFill>
              </w:rPr>
              <w:t>制作：</w:t>
            </w:r>
          </w:p>
          <w:p>
            <w:pPr>
              <w:spacing w:line="44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3.1应按照本项目招标文件和政采云平台的要求编制、加密并递交</w:t>
            </w:r>
            <w:r>
              <w:rPr>
                <w:rFonts w:hint="eastAsia" w:ascii="宋体" w:hAnsi="宋体" w:cs="宋体"/>
                <w:bCs/>
                <w:color w:val="000000" w:themeColor="text1"/>
                <w:sz w:val="24"/>
                <w:lang w:eastAsia="zh-CN"/>
                <w14:textFill>
                  <w14:solidFill>
                    <w14:schemeClr w14:val="tx1"/>
                  </w14:solidFill>
                </w14:textFill>
              </w:rPr>
              <w:t>电子投标文件</w:t>
            </w:r>
            <w:r>
              <w:rPr>
                <w:rFonts w:hint="eastAsia" w:ascii="宋体" w:hAnsi="宋体" w:eastAsia="宋体" w:cs="宋体"/>
                <w:bCs/>
                <w:color w:val="000000" w:themeColor="text1"/>
                <w:sz w:val="24"/>
                <w14:textFill>
                  <w14:solidFill>
                    <w14:schemeClr w14:val="tx1"/>
                  </w14:solidFill>
                </w14:textFill>
              </w:rPr>
              <w:t>。供应商在使用系统进行投标的过程中遇到涉及平台使用的任何问题，可致电政采云平台技术支持热线咨询，联系方式：400-881-7190。</w:t>
            </w:r>
          </w:p>
          <w:p>
            <w:pPr>
              <w:spacing w:line="44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3.2投标人通过“政采云”平台电子投标工具制作</w:t>
            </w:r>
            <w:r>
              <w:rPr>
                <w:rFonts w:hint="eastAsia" w:ascii="宋体" w:hAnsi="宋体" w:cs="宋体"/>
                <w:bCs/>
                <w:color w:val="000000" w:themeColor="text1"/>
                <w:sz w:val="24"/>
                <w:lang w:eastAsia="zh-CN"/>
                <w14:textFill>
                  <w14:solidFill>
                    <w14:schemeClr w14:val="tx1"/>
                  </w14:solidFill>
                </w14:textFill>
              </w:rPr>
              <w:t>电子投标文件</w:t>
            </w:r>
            <w:r>
              <w:rPr>
                <w:rFonts w:hint="eastAsia" w:ascii="宋体" w:hAnsi="宋体" w:eastAsia="宋体" w:cs="宋体"/>
                <w:bCs/>
                <w:color w:val="000000" w:themeColor="text1"/>
                <w:sz w:val="24"/>
                <w14:textFill>
                  <w14:solidFill>
                    <w14:schemeClr w14:val="tx1"/>
                  </w14:solidFill>
                </w14:textFill>
              </w:rPr>
              <w:t>，电子投标工具请供应商自行前往浙江省政府采购网下载并安装，（下载网址：http://www.zjzfcg.gov.cn/bidClientTemplate/2019-09-24/12975.html），</w:t>
            </w:r>
            <w:r>
              <w:rPr>
                <w:rFonts w:hint="eastAsia" w:ascii="宋体" w:hAnsi="宋体" w:cs="宋体"/>
                <w:bCs/>
                <w:color w:val="000000" w:themeColor="text1"/>
                <w:sz w:val="24"/>
                <w:lang w:eastAsia="zh-CN"/>
                <w14:textFill>
                  <w14:solidFill>
                    <w14:schemeClr w14:val="tx1"/>
                  </w14:solidFill>
                </w14:textFill>
              </w:rPr>
              <w:t>电子投标文件</w:t>
            </w:r>
            <w:r>
              <w:rPr>
                <w:rFonts w:hint="eastAsia" w:ascii="宋体" w:hAnsi="宋体" w:eastAsia="宋体" w:cs="宋体"/>
                <w:bCs/>
                <w:color w:val="000000" w:themeColor="text1"/>
                <w:sz w:val="24"/>
                <w14:textFill>
                  <w14:solidFill>
                    <w14:schemeClr w14:val="tx1"/>
                  </w14:solidFill>
                </w14:textFill>
              </w:rPr>
              <w:t>制作具体流程详见本招标公告附件：“政采云供应商项目采购-电子招投标操作指南.pdf”。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10</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b w:val="0"/>
                <w:bCs/>
                <w:color w:val="000000" w:themeColor="text1"/>
                <w:sz w:val="24"/>
                <w14:textFill>
                  <w14:solidFill>
                    <w14:schemeClr w14:val="tx1"/>
                  </w14:solidFill>
                </w14:textFill>
              </w:rPr>
            </w:pPr>
            <w:r>
              <w:rPr>
                <w:rFonts w:cs="Arial" w:asciiTheme="minorEastAsia" w:hAnsiTheme="minorEastAsia" w:eastAsiaTheme="minorEastAsia"/>
                <w:b w:val="0"/>
                <w:bCs/>
                <w:color w:val="000000" w:themeColor="text1"/>
                <w:sz w:val="24"/>
                <w14:textFill>
                  <w14:solidFill>
                    <w14:schemeClr w14:val="tx1"/>
                  </w14:solidFill>
                </w14:textFill>
              </w:rPr>
              <w:t>投标人信用信息查询渠道及截止时点、信用信息查询记录和证据留存的具体方式、信用信息的使用规则</w:t>
            </w:r>
          </w:p>
          <w:p>
            <w:pPr>
              <w:autoSpaceDE w:val="0"/>
              <w:autoSpaceDN w:val="0"/>
              <w:adjustRightInd w:val="0"/>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1、查询渠道：信用中国（网址：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cs="Arial" w:asciiTheme="minorEastAsia" w:hAnsiTheme="minorEastAsia" w:eastAsiaTheme="minorEastAsia"/>
                <w:color w:val="000000" w:themeColor="text1"/>
                <w:sz w:val="24"/>
                <w14:textFill>
                  <w14:solidFill>
                    <w14:schemeClr w14:val="tx1"/>
                  </w14:solidFill>
                </w14:textFill>
              </w:rPr>
              <w:t>http://www.creditchina.gov.cn</w:t>
            </w:r>
            <w:r>
              <w:rPr>
                <w:rFonts w:cs="Arial" w:asciiTheme="minorEastAsia" w:hAnsiTheme="minorEastAsia" w:eastAsiaTheme="minorEastAsia"/>
                <w:color w:val="000000" w:themeColor="text1"/>
                <w:sz w:val="24"/>
                <w14:textFill>
                  <w14:solidFill>
                    <w14:schemeClr w14:val="tx1"/>
                  </w14:solidFill>
                </w14:textFill>
              </w:rPr>
              <w:fldChar w:fldCharType="end"/>
            </w:r>
            <w:r>
              <w:rPr>
                <w:rFonts w:hint="eastAsia" w:cs="Arial" w:asciiTheme="minorEastAsia" w:hAnsiTheme="minorEastAsia" w:eastAsiaTheme="minorEastAsia"/>
                <w:color w:val="000000" w:themeColor="text1"/>
                <w:sz w:val="24"/>
                <w14:textFill>
                  <w14:solidFill>
                    <w14:schemeClr w14:val="tx1"/>
                  </w14:solidFill>
                </w14:textFill>
              </w:rPr>
              <w:t>）、中国政府采购网(网址：</w:t>
            </w:r>
            <w:r>
              <w:rPr>
                <w:rFonts w:cs="Arial" w:asciiTheme="minorEastAsia" w:hAnsiTheme="minorEastAsia" w:eastAsiaTheme="minorEastAsia"/>
                <w:color w:val="000000" w:themeColor="text1"/>
                <w:sz w:val="24"/>
                <w14:textFill>
                  <w14:solidFill>
                    <w14:schemeClr w14:val="tx1"/>
                  </w14:solidFill>
                </w14:textFill>
              </w:rPr>
              <w:t>http://www.ccgp.gov.cn</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国家企业信用信息公示系统（http://www.gsxt.gov.cn/index.html）</w:t>
            </w:r>
            <w:r>
              <w:rPr>
                <w:rFonts w:hint="eastAsia" w:ascii="宋体" w:hAnsi="宋体" w:cs="Arial"/>
                <w:color w:val="000000" w:themeColor="text1"/>
                <w:sz w:val="24"/>
                <w:lang w:val="en-US" w:eastAsia="zh-CN"/>
                <w14:textFill>
                  <w14:solidFill>
                    <w14:schemeClr w14:val="tx1"/>
                  </w14:solidFill>
                </w14:textFill>
              </w:rPr>
              <w:t>等</w:t>
            </w:r>
            <w:r>
              <w:rPr>
                <w:rFonts w:hint="eastAsia" w:ascii="宋体" w:hAnsi="宋体" w:cs="Arial"/>
                <w:color w:val="000000" w:themeColor="text1"/>
                <w:sz w:val="24"/>
                <w14:textFill>
                  <w14:solidFill>
                    <w14:schemeClr w14:val="tx1"/>
                  </w14:solidFill>
                </w14:textFill>
              </w:rPr>
              <w:t>。</w:t>
            </w:r>
          </w:p>
          <w:p>
            <w:pPr>
              <w:snapToGrid w:val="0"/>
              <w:spacing w:line="360" w:lineRule="auto"/>
              <w:rPr>
                <w:rFonts w:cs="Arial" w:asciiTheme="minorEastAsia" w:hAnsiTheme="minorEastAsia" w:eastAsiaTheme="minorEastAsia"/>
                <w:b/>
                <w:bCs/>
                <w:color w:val="000000" w:themeColor="text1"/>
                <w:sz w:val="24"/>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2、截止时点：</w:t>
            </w:r>
            <w:r>
              <w:rPr>
                <w:rFonts w:hint="eastAsia" w:cs="Arial" w:asciiTheme="minorEastAsia" w:hAnsiTheme="minorEastAsia" w:eastAsiaTheme="minorEastAsia"/>
                <w:color w:val="000000" w:themeColor="text1"/>
                <w:sz w:val="24"/>
                <w:lang w:val="en-US" w:eastAsia="zh-CN"/>
                <w14:textFill>
                  <w14:solidFill>
                    <w14:schemeClr w14:val="tx1"/>
                  </w14:solidFill>
                </w14:textFill>
              </w:rPr>
              <w:t>评审结束</w:t>
            </w:r>
            <w:r>
              <w:rPr>
                <w:rFonts w:hint="eastAsia" w:cs="Arial" w:asciiTheme="minorEastAsia" w:hAnsiTheme="minorEastAsia" w:eastAsiaTheme="minorEastAsia"/>
                <w:color w:val="000000" w:themeColor="text1"/>
                <w:sz w:val="24"/>
                <w14:textFill>
                  <w14:solidFill>
                    <w14:schemeClr w14:val="tx1"/>
                  </w14:solidFill>
                </w14:textFill>
              </w:rPr>
              <w:t>前。</w:t>
            </w:r>
          </w:p>
          <w:p>
            <w:pPr>
              <w:snapToGrid w:val="0"/>
              <w:spacing w:line="360" w:lineRule="auto"/>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3、</w:t>
            </w:r>
            <w:r>
              <w:rPr>
                <w:rFonts w:cs="Arial" w:asciiTheme="minorEastAsia" w:hAnsiTheme="minorEastAsia" w:eastAsiaTheme="minorEastAsia"/>
                <w:color w:val="000000" w:themeColor="text1"/>
                <w:sz w:val="24"/>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14:textFill>
                  <w14:solidFill>
                    <w14:schemeClr w14:val="tx1"/>
                  </w14:solidFill>
                </w14:textFill>
              </w:rPr>
              <w:t>：由采购组织机构在规定查询时间内打印信用信息查询记录并归入项目档案。</w:t>
            </w:r>
          </w:p>
          <w:p>
            <w:pPr>
              <w:snapToGrid w:val="0"/>
              <w:spacing w:line="360" w:lineRule="auto"/>
              <w:rPr>
                <w:rFonts w:hint="default" w:eastAsia="宋体" w:asciiTheme="majorEastAsia" w:hAnsiTheme="majorEastAsia" w:cstheme="majorEastAsia"/>
                <w:color w:val="000000" w:themeColor="text1"/>
                <w:sz w:val="24"/>
                <w:szCs w:val="24"/>
                <w:lang w:val="en-US" w:eastAsia="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14:textFill>
                  <w14:solidFill>
                    <w14:schemeClr w14:val="tx1"/>
                  </w14:solidFill>
                </w14:textFill>
              </w:rPr>
              <w:t>将被</w:t>
            </w:r>
            <w:r>
              <w:rPr>
                <w:rFonts w:hint="eastAsia" w:cs="Arial" w:asciiTheme="minorEastAsia" w:hAnsiTheme="minorEastAsia" w:eastAsiaTheme="minorEastAsia"/>
                <w:color w:val="000000" w:themeColor="text1"/>
                <w:sz w:val="24"/>
                <w14:textFill>
                  <w14:solidFill>
                    <w14:schemeClr w14:val="tx1"/>
                  </w14:solidFill>
                </w14:textFill>
              </w:rPr>
              <w:t>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11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投标保证金</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kern w:val="0"/>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12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履约保证金</w:t>
            </w:r>
          </w:p>
        </w:tc>
        <w:tc>
          <w:tcPr>
            <w:tcW w:w="6729" w:type="dxa"/>
            <w:tcBorders>
              <w:top w:val="single" w:color="auto" w:sz="4" w:space="0"/>
              <w:left w:val="single" w:color="auto" w:sz="4" w:space="0"/>
              <w:bottom w:val="single" w:color="auto" w:sz="4" w:space="0"/>
              <w:right w:val="single" w:color="auto" w:sz="4" w:space="0"/>
            </w:tcBorders>
            <w:vAlign w:val="center"/>
          </w:tcPr>
          <w:p>
            <w:pPr>
              <w:pStyle w:val="12"/>
              <w:rPr>
                <w:rFonts w:hint="default" w:eastAsia="宋体" w:asciiTheme="majorEastAsia" w:hAnsiTheme="majorEastAsia" w:cstheme="majorEastAsia"/>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在</w:t>
            </w:r>
            <w:r>
              <w:rPr>
                <w:rFonts w:hint="eastAsia" w:hAnsi="宋体" w:cs="宋体"/>
                <w:b w:val="0"/>
                <w:bCs w:val="0"/>
                <w:color w:val="000000" w:themeColor="text1"/>
                <w:sz w:val="24"/>
                <w:szCs w:val="24"/>
                <w:highlight w:val="none"/>
                <w14:textFill>
                  <w14:solidFill>
                    <w14:schemeClr w14:val="tx1"/>
                  </w14:solidFill>
                </w14:textFill>
              </w:rPr>
              <w:t>合同签订后30日</w:t>
            </w:r>
            <w:r>
              <w:rPr>
                <w:rFonts w:hint="eastAsia" w:asciiTheme="majorEastAsia" w:hAnsiTheme="majorEastAsia" w:cstheme="majorEastAsia"/>
                <w:color w:val="000000" w:themeColor="text1"/>
                <w:sz w:val="24"/>
                <w:szCs w:val="24"/>
                <w:lang w:val="en-US" w:eastAsia="zh-CN"/>
                <w14:textFill>
                  <w14:solidFill>
                    <w14:schemeClr w14:val="tx1"/>
                  </w14:solidFill>
                </w14:textFill>
              </w:rPr>
              <w:t>内，中标人需支付采购人合同金额的5%作为履约保证金，</w:t>
            </w:r>
            <w:r>
              <w:rPr>
                <w:rFonts w:hint="eastAsia" w:ascii="宋体" w:hAnsi="宋体" w:cs="宋体"/>
                <w:b w:val="0"/>
                <w:bCs w:val="0"/>
                <w:color w:val="000000" w:themeColor="text1"/>
                <w:sz w:val="24"/>
                <w:szCs w:val="24"/>
                <w:highlight w:val="none"/>
                <w:lang w:val="zh-CN"/>
                <w14:textFill>
                  <w14:solidFill>
                    <w14:schemeClr w14:val="tx1"/>
                  </w14:solidFill>
                </w14:textFill>
              </w:rPr>
              <w:t>履约保证金</w:t>
            </w:r>
            <w:r>
              <w:rPr>
                <w:rFonts w:hint="eastAsia" w:asciiTheme="majorEastAsia" w:hAnsiTheme="majorEastAsia" w:cstheme="majorEastAsia"/>
                <w:b w:val="0"/>
                <w:bCs w:val="0"/>
                <w:color w:val="000000" w:themeColor="text1"/>
                <w:sz w:val="24"/>
                <w:szCs w:val="24"/>
                <w:lang w:val="en-US" w:eastAsia="zh-CN"/>
                <w14:textFill>
                  <w14:solidFill>
                    <w14:schemeClr w14:val="tx1"/>
                  </w14:solidFill>
                </w14:textFill>
              </w:rPr>
              <w:t>采购人在</w:t>
            </w:r>
            <w:r>
              <w:rPr>
                <w:rFonts w:hint="eastAsia" w:ascii="宋体" w:hAnsi="宋体" w:cs="宋体"/>
                <w:b w:val="0"/>
                <w:bCs w:val="0"/>
                <w:color w:val="000000" w:themeColor="text1"/>
                <w:sz w:val="24"/>
                <w:szCs w:val="24"/>
                <w:highlight w:val="none"/>
                <w:lang w:val="zh-CN"/>
                <w14:textFill>
                  <w14:solidFill>
                    <w14:schemeClr w14:val="tx1"/>
                  </w14:solidFill>
                </w14:textFill>
              </w:rPr>
              <w:t>三年</w:t>
            </w:r>
            <w:r>
              <w:rPr>
                <w:rFonts w:hint="eastAsia" w:ascii="宋体" w:hAnsi="宋体" w:cs="宋体"/>
                <w:b w:val="0"/>
                <w:bCs w:val="0"/>
                <w:snapToGrid/>
                <w:color w:val="000000" w:themeColor="text1"/>
                <w:sz w:val="24"/>
                <w:szCs w:val="24"/>
                <w:highlight w:val="none"/>
                <w14:textFill>
                  <w14:solidFill>
                    <w14:schemeClr w14:val="tx1"/>
                  </w14:solidFill>
                </w14:textFill>
              </w:rPr>
              <w:t>质</w:t>
            </w:r>
            <w:r>
              <w:rPr>
                <w:rFonts w:hint="eastAsia" w:ascii="宋体" w:hAnsi="宋体" w:cs="宋体"/>
                <w:b w:val="0"/>
                <w:bCs w:val="0"/>
                <w:snapToGrid/>
                <w:color w:val="000000" w:themeColor="text1"/>
                <w:sz w:val="24"/>
                <w:szCs w:val="24"/>
                <w:highlight w:val="none"/>
                <w:lang w:eastAsia="zh-CN"/>
                <w14:textFill>
                  <w14:solidFill>
                    <w14:schemeClr w14:val="tx1"/>
                  </w14:solidFill>
                </w14:textFill>
              </w:rPr>
              <w:t>量</w:t>
            </w:r>
            <w:r>
              <w:rPr>
                <w:rFonts w:hint="eastAsia" w:ascii="宋体" w:hAnsi="宋体" w:cs="宋体"/>
                <w:b w:val="0"/>
                <w:bCs w:val="0"/>
                <w:snapToGrid/>
                <w:color w:val="000000" w:themeColor="text1"/>
                <w:sz w:val="24"/>
                <w:szCs w:val="24"/>
                <w:highlight w:val="none"/>
                <w14:textFill>
                  <w14:solidFill>
                    <w14:schemeClr w14:val="tx1"/>
                  </w14:solidFill>
                </w14:textFill>
              </w:rPr>
              <w:t>保</w:t>
            </w:r>
            <w:r>
              <w:rPr>
                <w:rFonts w:hint="eastAsia" w:ascii="宋体" w:hAnsi="宋体" w:cs="宋体"/>
                <w:b w:val="0"/>
                <w:bCs w:val="0"/>
                <w:snapToGrid/>
                <w:color w:val="000000" w:themeColor="text1"/>
                <w:sz w:val="24"/>
                <w:szCs w:val="24"/>
                <w:highlight w:val="none"/>
                <w:lang w:eastAsia="zh-CN"/>
                <w14:textFill>
                  <w14:solidFill>
                    <w14:schemeClr w14:val="tx1"/>
                  </w14:solidFill>
                </w14:textFill>
              </w:rPr>
              <w:t>修</w:t>
            </w:r>
            <w:r>
              <w:rPr>
                <w:rFonts w:hint="eastAsia" w:ascii="宋体" w:hAnsi="宋体" w:cs="宋体"/>
                <w:b w:val="0"/>
                <w:bCs w:val="0"/>
                <w:snapToGrid/>
                <w:color w:val="000000" w:themeColor="text1"/>
                <w:sz w:val="24"/>
                <w:szCs w:val="24"/>
                <w:highlight w:val="none"/>
                <w14:textFill>
                  <w14:solidFill>
                    <w14:schemeClr w14:val="tx1"/>
                  </w14:solidFill>
                </w14:textFill>
              </w:rPr>
              <w:t>期</w:t>
            </w:r>
            <w:r>
              <w:rPr>
                <w:rFonts w:hint="eastAsia" w:ascii="宋体" w:hAnsi="宋体" w:cs="宋体"/>
                <w:b w:val="0"/>
                <w:bCs w:val="0"/>
                <w:snapToGrid/>
                <w:color w:val="000000" w:themeColor="text1"/>
                <w:sz w:val="24"/>
                <w:szCs w:val="24"/>
                <w:highlight w:val="none"/>
                <w:lang w:eastAsia="zh-CN"/>
                <w14:textFill>
                  <w14:solidFill>
                    <w14:schemeClr w14:val="tx1"/>
                  </w14:solidFill>
                </w14:textFill>
              </w:rPr>
              <w:t>满后</w:t>
            </w:r>
            <w:r>
              <w:rPr>
                <w:rFonts w:hint="eastAsia" w:hAnsi="宋体" w:cs="宋体"/>
                <w:b w:val="0"/>
                <w:bCs w:val="0"/>
                <w:color w:val="000000" w:themeColor="text1"/>
                <w:sz w:val="24"/>
                <w:szCs w:val="24"/>
                <w:highlight w:val="none"/>
                <w14:textFill>
                  <w14:solidFill>
                    <w14:schemeClr w14:val="tx1"/>
                  </w14:solidFill>
                </w14:textFill>
              </w:rPr>
              <w:t>30日内</w:t>
            </w:r>
            <w:r>
              <w:rPr>
                <w:rFonts w:hint="eastAsia" w:asciiTheme="majorEastAsia" w:hAnsiTheme="majorEastAsia" w:cstheme="majorEastAsia"/>
                <w:b w:val="0"/>
                <w:bCs w:val="0"/>
                <w:color w:val="000000" w:themeColor="text1"/>
                <w:sz w:val="24"/>
                <w:szCs w:val="24"/>
                <w:lang w:val="en-US" w:eastAsia="zh-CN"/>
                <w14:textFill>
                  <w14:solidFill>
                    <w14:schemeClr w14:val="tx1"/>
                  </w14:solidFill>
                </w14:textFill>
              </w:rPr>
              <w:t>无息</w:t>
            </w:r>
            <w:r>
              <w:rPr>
                <w:rFonts w:hint="eastAsia" w:hAnsi="宋体" w:cs="宋体"/>
                <w:b w:val="0"/>
                <w:bCs w:val="0"/>
                <w:color w:val="000000" w:themeColor="text1"/>
                <w:sz w:val="24"/>
                <w:szCs w:val="24"/>
                <w:highlight w:val="none"/>
                <w:lang w:eastAsia="zh-CN"/>
                <w14:textFill>
                  <w14:solidFill>
                    <w14:schemeClr w14:val="tx1"/>
                  </w14:solidFill>
                </w14:textFill>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13</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color w:val="000000" w:themeColor="text1"/>
                <w:sz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zh-CN"/>
                <w14:textFill>
                  <w14:solidFill>
                    <w14:schemeClr w14:val="tx1"/>
                  </w14:solidFill>
                </w14:textFill>
              </w:rPr>
              <w:t>实质性条款</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0" w:leftChars="0" w:firstLine="0" w:firstLineChars="0"/>
              <w:jc w:val="left"/>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带“</w:t>
            </w:r>
            <w:r>
              <w:rPr>
                <w:rFonts w:hint="eastAsia" w:asciiTheme="majorEastAsia" w:hAnsiTheme="majorEastAsia" w:eastAsiaTheme="majorEastAsia" w:cstheme="majorEastAsia"/>
                <w:bCs/>
                <w:color w:val="000000" w:themeColor="text1"/>
                <w:sz w:val="24"/>
                <w14:textFill>
                  <w14:solidFill>
                    <w14:schemeClr w14:val="tx1"/>
                  </w14:solidFill>
                </w14:textFill>
              </w:rPr>
              <w:t>▲”的条款是实质性条款，</w:t>
            </w:r>
            <w:r>
              <w:rPr>
                <w:rFonts w:hint="eastAsia" w:asciiTheme="majorEastAsia" w:hAnsiTheme="majorEastAsia" w:eastAsiaTheme="majorEastAsia" w:cstheme="majorEastAsia"/>
                <w:bCs/>
                <w:color w:val="000000" w:themeColor="text1"/>
                <w:sz w:val="24"/>
                <w:lang w:eastAsia="zh-CN"/>
                <w14:textFill>
                  <w14:solidFill>
                    <w14:schemeClr w14:val="tx1"/>
                  </w14:solidFill>
                </w14:textFill>
              </w:rPr>
              <w:t>电子投标文件</w:t>
            </w:r>
            <w:r>
              <w:rPr>
                <w:rFonts w:hint="eastAsia" w:asciiTheme="majorEastAsia" w:hAnsiTheme="majorEastAsia" w:eastAsiaTheme="majorEastAsia" w:cstheme="majorEastAsia"/>
                <w:bCs/>
                <w:color w:val="000000" w:themeColor="text1"/>
                <w:sz w:val="24"/>
                <w14:textFill>
                  <w14:solidFill>
                    <w14:schemeClr w14:val="tx1"/>
                  </w14:solidFill>
                </w14:textFill>
              </w:rPr>
              <w:t>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14</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解释权</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本招标文件解释权属于采购人和</w:t>
            </w:r>
            <w:r>
              <w:rPr>
                <w:rFonts w:hint="eastAsia" w:ascii="宋体" w:hAnsi="宋体" w:cs="Arial"/>
                <w:color w:val="000000" w:themeColor="text1"/>
                <w:sz w:val="24"/>
                <w14:textFill>
                  <w14:solidFill>
                    <w14:schemeClr w14:val="tx1"/>
                  </w14:solidFill>
                </w14:textFill>
              </w:rPr>
              <w:t>台州市政府采购中心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15</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合同主体</w:t>
            </w:r>
          </w:p>
        </w:tc>
        <w:tc>
          <w:tcPr>
            <w:tcW w:w="6729" w:type="dxa"/>
            <w:tcBorders>
              <w:top w:val="single" w:color="auto" w:sz="4" w:space="0"/>
              <w:left w:val="single" w:color="auto" w:sz="4" w:space="0"/>
              <w:bottom w:val="single" w:color="auto" w:sz="4" w:space="0"/>
              <w:right w:val="single" w:color="auto" w:sz="4" w:space="0"/>
            </w:tcBorders>
            <w:vAlign w:val="center"/>
          </w:tcPr>
          <w:p>
            <w:pPr>
              <w:pStyle w:val="12"/>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本项目所需经费由台州市路泽太高架快速路有限公司支出，中标人需与台州市公安局交通警察局及台州市路泽太高架快速路有限公司签订三方合同</w:t>
            </w:r>
          </w:p>
        </w:tc>
      </w:tr>
    </w:tbl>
    <w:p>
      <w:pPr>
        <w:pStyle w:val="12"/>
        <w:spacing w:line="360" w:lineRule="auto"/>
        <w:ind w:firstLine="480" w:firstLineChars="200"/>
        <w:rPr>
          <w:rFonts w:hint="eastAsia" w:ascii="宋体" w:hAnsi="宋体" w:eastAsia="宋体" w:cs="Arial"/>
          <w:color w:val="000000" w:themeColor="text1"/>
          <w:sz w:val="24"/>
          <w:lang w:eastAsia="zh-CN"/>
          <w14:textFill>
            <w14:solidFill>
              <w14:schemeClr w14:val="tx1"/>
            </w14:solidFill>
          </w14:textFill>
        </w:rPr>
      </w:pP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（二）定义</w:t>
      </w:r>
    </w:p>
    <w:p>
      <w:pPr>
        <w:pStyle w:val="6"/>
        <w:keepNext w:val="0"/>
        <w:keepLines w:val="0"/>
        <w:tabs>
          <w:tab w:val="left" w:pos="0"/>
          <w:tab w:val="left" w:pos="851"/>
        </w:tabs>
        <w:snapToGrid w:val="0"/>
        <w:spacing w:before="0" w:after="0"/>
        <w:ind w:firstLine="566" w:firstLineChars="236"/>
        <w:jc w:val="left"/>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bCs w:val="0"/>
          <w:color w:val="000000" w:themeColor="text1"/>
          <w:sz w:val="24"/>
          <w:szCs w:val="24"/>
          <w:lang w:val="zh-CN"/>
          <w14:textFill>
            <w14:solidFill>
              <w14:schemeClr w14:val="tx1"/>
            </w14:solidFill>
          </w14:textFill>
        </w:rPr>
        <w:t>“采购组织机构”指采购人委托组织招标的集中采购机构</w:t>
      </w:r>
      <w:r>
        <w:rPr>
          <w:rFonts w:hint="eastAsia" w:cs="Arial"/>
          <w:bCs w:val="0"/>
          <w:color w:val="000000" w:themeColor="text1"/>
          <w:sz w:val="24"/>
          <w:szCs w:val="24"/>
          <w14:textFill>
            <w14:solidFill>
              <w14:schemeClr w14:val="tx1"/>
            </w14:solidFill>
          </w14:textFill>
        </w:rPr>
        <w:t>/</w:t>
      </w:r>
      <w:r>
        <w:rPr>
          <w:rFonts w:hint="eastAsia"/>
          <w:bCs w:val="0"/>
          <w:color w:val="000000" w:themeColor="text1"/>
          <w:sz w:val="24"/>
          <w:szCs w:val="24"/>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w:t>
      </w:r>
      <w:r>
        <w:rPr>
          <w:rFonts w:hint="eastAsia" w:ascii="宋体" w:hAnsi="宋体" w:cs="Arial"/>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指向</w:t>
      </w:r>
      <w:r>
        <w:rPr>
          <w:rFonts w:hint="eastAsia" w:asciiTheme="minorEastAsia" w:hAnsiTheme="minorEastAsia" w:eastAsiaTheme="minorEastAsia"/>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w:t>
      </w:r>
      <w:r>
        <w:rPr>
          <w:rFonts w:asciiTheme="minorEastAsia" w:hAnsiTheme="minorEastAsia" w:eastAsiaTheme="minorEastAsia"/>
          <w:color w:val="000000" w:themeColor="text1"/>
          <w:sz w:val="24"/>
          <w14:textFill>
            <w14:solidFill>
              <w14:schemeClr w14:val="tx1"/>
            </w14:solidFill>
          </w14:textFill>
        </w:rPr>
        <w:t>提交</w:t>
      </w:r>
      <w:r>
        <w:rPr>
          <w:rFonts w:hint="eastAsia" w:asciiTheme="minorEastAsia" w:hAnsiTheme="minorEastAsia" w:eastAsiaTheme="minorEastAsia"/>
          <w:color w:val="000000" w:themeColor="text1"/>
          <w:sz w:val="24"/>
          <w14:textFill>
            <w14:solidFill>
              <w14:schemeClr w14:val="tx1"/>
            </w14:solidFill>
          </w14:textFill>
        </w:rPr>
        <w:t>电子投标文件</w:t>
      </w:r>
      <w:r>
        <w:rPr>
          <w:rFonts w:asciiTheme="minorEastAsia" w:hAnsiTheme="minorEastAsia" w:eastAsiaTheme="minorEastAsia"/>
          <w:color w:val="000000" w:themeColor="text1"/>
          <w:sz w:val="24"/>
          <w14:textFill>
            <w14:solidFill>
              <w14:schemeClr w14:val="tx1"/>
            </w14:solidFill>
          </w14:textFill>
        </w:rPr>
        <w:t>的单位或个人。</w:t>
      </w:r>
    </w:p>
    <w:p>
      <w:pPr>
        <w:snapToGrid w:val="0"/>
        <w:spacing w:line="360" w:lineRule="auto"/>
        <w:ind w:left="424" w:leftChars="202" w:firstLine="14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货物</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不论投标结果如何，投标人均应自行承担所有与投标有关的全部费用（招标文件有相关规定除外）。</w:t>
      </w:r>
    </w:p>
    <w:p>
      <w:pPr>
        <w:pStyle w:val="14"/>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14"/>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14:textFill>
            <w14:solidFill>
              <w14:schemeClr w14:val="tx1"/>
            </w14:solidFill>
          </w14:textFill>
        </w:rPr>
        <w:t>指</w:t>
      </w:r>
      <w:r>
        <w:rPr>
          <w:rFonts w:asciiTheme="minorEastAsia" w:hAnsiTheme="minorEastAsia" w:eastAsiaTheme="minorEastAsia"/>
          <w:color w:val="000000" w:themeColor="text1"/>
          <w:sz w:val="24"/>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投标供应商所投产品除招标文件中明确规定要求“提供官网截图或相应检测报告的证明材料”以外，所有技术参数描述均以电子投标文件为准。投标供应商对所投产品技术参数的真实性承担法律责任。项目招标结束后、质疑期限内，如有质疑供应商认为中标供应商所投产品、电子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14:textFill>
            <w14:solidFill>
              <w14:schemeClr w14:val="tx1"/>
            </w14:solidFill>
          </w14:textFill>
        </w:rPr>
        <w:tab/>
      </w:r>
    </w:p>
    <w:p>
      <w:pPr>
        <w:pStyle w:val="31"/>
        <w:snapToGrid w:val="0"/>
        <w:spacing w:line="360" w:lineRule="auto"/>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3、</w:t>
      </w:r>
      <w:r>
        <w:rPr>
          <w:rFonts w:asciiTheme="minorEastAsia" w:hAnsiTheme="minorEastAsia" w:eastAsiaTheme="minorEastAsia" w:cstheme="minorBidi"/>
          <w:color w:val="000000" w:themeColor="text1"/>
          <w:sz w:val="24"/>
          <w:szCs w:val="24"/>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14:textFill>
            <w14:solidFill>
              <w14:schemeClr w14:val="tx1"/>
            </w14:solidFill>
          </w14:textFill>
        </w:rPr>
        <w:t>，</w:t>
      </w:r>
      <w:r>
        <w:rPr>
          <w:rFonts w:asciiTheme="minorEastAsia" w:hAnsiTheme="minorEastAsia" w:eastAsiaTheme="minorEastAsia" w:cstheme="minorBidi"/>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14:textFill>
            <w14:solidFill>
              <w14:schemeClr w14:val="tx1"/>
            </w14:solidFill>
          </w14:textFill>
        </w:rPr>
        <w:t>。</w:t>
      </w:r>
    </w:p>
    <w:p>
      <w:pPr>
        <w:pStyle w:val="6"/>
        <w:keepNext w:val="0"/>
        <w:keepLines w:val="0"/>
        <w:tabs>
          <w:tab w:val="left" w:pos="851"/>
        </w:tabs>
        <w:snapToGrid w:val="0"/>
        <w:spacing w:before="0" w:after="0" w:line="360" w:lineRule="auto"/>
        <w:ind w:firstLine="480" w:firstLineChars="200"/>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4、投标人被列入“黑名单”的，采购组织单位将根据《浙江省政府采购供应商注册及诚信管理暂行办法》第四十六条之规定，在处罚有效期内，资格审查时不予通过。</w:t>
      </w:r>
    </w:p>
    <w:p>
      <w:pPr>
        <w:pStyle w:val="6"/>
        <w:keepNext w:val="0"/>
        <w:keepLines w:val="0"/>
        <w:tabs>
          <w:tab w:val="left" w:pos="851"/>
        </w:tabs>
        <w:snapToGrid w:val="0"/>
        <w:spacing w:before="0" w:after="0" w:line="360" w:lineRule="auto"/>
        <w:ind w:firstLine="480"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bCs w:val="0"/>
          <w:color w:val="000000" w:themeColor="text1"/>
          <w:sz w:val="24"/>
          <w:szCs w:val="24"/>
          <w14:textFill>
            <w14:solidFill>
              <w14:schemeClr w14:val="tx1"/>
            </w14:solidFill>
          </w14:textFill>
        </w:rPr>
        <w:t>5、投标人不得相互串通投标报价，不得妨碍其他投标人的公平竞争，不得损害采购人或其他投标人的合法权益，投标人不得以向采购人、评标委员会成员行贿或者采取其他不正当手段谋取中标。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snapToGrid w:val="0"/>
        <w:spacing w:before="0" w:after="0" w:line="360" w:lineRule="auto"/>
        <w:ind w:firstLine="480"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bCs w:val="0"/>
          <w:color w:val="000000" w:themeColor="text1"/>
          <w:sz w:val="24"/>
          <w:szCs w:val="24"/>
          <w14:textFill>
            <w14:solidFill>
              <w14:schemeClr w14:val="tx1"/>
            </w14:solidFill>
          </w14:textFill>
        </w:rPr>
        <w:t>6、为采购项目提供整体设计、规范编制或者项目管理、监理、检测等服务的供应商，不得再参加该采购项目的其他采购活动。</w:t>
      </w:r>
    </w:p>
    <w:p>
      <w:pPr>
        <w:pStyle w:val="6"/>
        <w:keepNext w:val="0"/>
        <w:keepLines w:val="0"/>
        <w:tabs>
          <w:tab w:val="left" w:pos="851"/>
        </w:tabs>
        <w:snapToGrid w:val="0"/>
        <w:spacing w:before="0" w:after="0" w:line="360" w:lineRule="auto"/>
        <w:ind w:firstLine="480"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bCs w:val="0"/>
          <w:color w:val="000000" w:themeColor="text1"/>
          <w:sz w:val="24"/>
          <w:szCs w:val="24"/>
          <w14:textFill>
            <w14:solidFill>
              <w14:schemeClr w14:val="tx1"/>
            </w14:solidFill>
          </w14:textFill>
        </w:rPr>
        <w:t>7、电子投标文件格式中的表格式样可以根据项目差别做适当调整,但应当保持表格样式基本形态不变。</w:t>
      </w:r>
    </w:p>
    <w:p>
      <w:pPr>
        <w:pStyle w:val="6"/>
        <w:keepNext w:val="0"/>
        <w:keepLines w:val="0"/>
        <w:tabs>
          <w:tab w:val="left" w:pos="851"/>
        </w:tabs>
        <w:snapToGrid w:val="0"/>
        <w:spacing w:before="0" w:after="0" w:line="360" w:lineRule="auto"/>
        <w:ind w:firstLine="480"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bCs w:val="0"/>
          <w:color w:val="000000" w:themeColor="text1"/>
          <w:sz w:val="24"/>
          <w:szCs w:val="24"/>
          <w14:textFill>
            <w14:solidFill>
              <w14:schemeClr w14:val="tx1"/>
            </w14:solidFill>
          </w14:textFill>
        </w:rPr>
        <w:t>8、单位负责人为同一人或者存在直接控股、管理关系的不同供应商，不得参加同一合同项下的政府采购活动。</w:t>
      </w:r>
    </w:p>
    <w:p>
      <w:pPr>
        <w:pStyle w:val="6"/>
        <w:keepNext w:val="0"/>
        <w:keepLines w:val="0"/>
        <w:tabs>
          <w:tab w:val="left" w:pos="851"/>
        </w:tabs>
        <w:snapToGrid w:val="0"/>
        <w:spacing w:before="0" w:after="0" w:line="360" w:lineRule="auto"/>
        <w:ind w:firstLine="480"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bCs w:val="0"/>
          <w:color w:val="000000" w:themeColor="text1"/>
          <w:sz w:val="24"/>
          <w:szCs w:val="24"/>
          <w14:textFill>
            <w14:solidFill>
              <w14:schemeClr w14:val="tx1"/>
            </w14:solidFill>
          </w14:textFill>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电子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w:t>
      </w:r>
      <w:r>
        <w:rPr>
          <w:rFonts w:asciiTheme="minorEastAsia" w:hAnsiTheme="minorEastAsia" w:eastAsiaTheme="minorEastAsia"/>
          <w:color w:val="000000" w:themeColor="text1"/>
          <w:kern w:val="0"/>
          <w:sz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【特别提示：如在投标时有要求提供资料原件的，将原件扫描放入投标文件。】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widowControl/>
        <w:numPr>
          <w:ilvl w:val="0"/>
          <w:numId w:val="6"/>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投标声明书；</w:t>
      </w:r>
    </w:p>
    <w:p>
      <w:pPr>
        <w:widowControl/>
        <w:numPr>
          <w:ilvl w:val="0"/>
          <w:numId w:val="6"/>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授权委托书（法定代表人亲自办理投标事宜的，则无需提交)；</w:t>
      </w:r>
    </w:p>
    <w:p>
      <w:pPr>
        <w:widowControl/>
        <w:numPr>
          <w:ilvl w:val="0"/>
          <w:numId w:val="6"/>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法人或者其他组织的营业执照等证明文件，自然人的身份证明；</w:t>
      </w:r>
    </w:p>
    <w:p>
      <w:pPr>
        <w:widowControl/>
        <w:numPr>
          <w:ilvl w:val="0"/>
          <w:numId w:val="6"/>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财务状况报告，依法缴纳税收和社会保障资金的相关材料；</w:t>
      </w:r>
    </w:p>
    <w:p>
      <w:pPr>
        <w:widowControl/>
        <w:numPr>
          <w:ilvl w:val="0"/>
          <w:numId w:val="6"/>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具备履行合同所必需的设备和专业技术能力的证明材料(根据项目性质提供)；</w:t>
      </w:r>
    </w:p>
    <w:p>
      <w:pPr>
        <w:widowControl/>
        <w:numPr>
          <w:ilvl w:val="0"/>
          <w:numId w:val="6"/>
        </w:numPr>
        <w:spacing w:line="360" w:lineRule="auto"/>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提供采购公告中符合供应商特定条件的有效资质证书扫描件（投标供应商特定条件中有要求的必须提供），以及需要说明的其他资料；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pStyle w:val="11"/>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（1）投标人情况介绍（人员与技术力量、企业规模、经营业绩等）。</w:t>
      </w:r>
    </w:p>
    <w:p>
      <w:pPr>
        <w:pStyle w:val="11"/>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（2）投标方案描述：</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asciiTheme="minorEastAsia" w:hAnsiTheme="minorEastAsia" w:eastAsiaTheme="minorEastAsia"/>
          <w:color w:val="000000" w:themeColor="text1"/>
          <w:kern w:val="0"/>
          <w:sz w:val="24"/>
          <w:szCs w:val="24"/>
          <w14:textFill>
            <w14:solidFill>
              <w14:schemeClr w14:val="tx1"/>
            </w14:solidFill>
          </w14:textFill>
        </w:rPr>
        <w:t>安装、调试及验收方案</w:t>
      </w:r>
      <w:r>
        <w:rPr>
          <w:rFonts w:hint="eastAsia" w:asciiTheme="minorEastAsia" w:hAnsiTheme="minorEastAsia" w:eastAsiaTheme="minorEastAsia"/>
          <w:color w:val="000000" w:themeColor="text1"/>
          <w:kern w:val="0"/>
          <w:sz w:val="24"/>
          <w:szCs w:val="24"/>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14:textFill>
            <w14:solidFill>
              <w14:schemeClr w14:val="tx1"/>
            </w14:solidFill>
          </w14:textFill>
        </w:rPr>
        <w:t>和措施；</w:t>
      </w:r>
    </w:p>
    <w:p>
      <w:pPr>
        <w:pStyle w:val="11"/>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（3）投标产品描述及相关资料：</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w:t>
      </w:r>
      <w:r>
        <w:rPr>
          <w:rFonts w:asciiTheme="minorEastAsia" w:hAnsiTheme="minorEastAsia" w:eastAsiaTheme="minorEastAsia"/>
          <w:color w:val="000000" w:themeColor="text1"/>
          <w:sz w:val="24"/>
          <w:szCs w:val="24"/>
          <w14:textFill>
            <w14:solidFill>
              <w14:schemeClr w14:val="tx1"/>
            </w14:solidFill>
          </w14:textFill>
        </w:rPr>
        <w:t>设备配置</w:t>
      </w:r>
      <w:r>
        <w:rPr>
          <w:rFonts w:hint="eastAsia" w:asciiTheme="minorEastAsia" w:hAnsiTheme="minorEastAsia" w:eastAsiaTheme="minorEastAsia"/>
          <w:color w:val="000000" w:themeColor="text1"/>
          <w:sz w:val="24"/>
          <w:szCs w:val="24"/>
          <w14:textFill>
            <w14:solidFill>
              <w14:schemeClr w14:val="tx1"/>
            </w14:solidFill>
          </w14:textFill>
        </w:rPr>
        <w:t>（或服务事项）</w:t>
      </w:r>
      <w:r>
        <w:rPr>
          <w:rFonts w:asciiTheme="minorEastAsia" w:hAnsiTheme="minorEastAsia" w:eastAsiaTheme="minorEastAsia"/>
          <w:color w:val="000000" w:themeColor="text1"/>
          <w:sz w:val="24"/>
          <w:szCs w:val="24"/>
          <w14:textFill>
            <w14:solidFill>
              <w14:schemeClr w14:val="tx1"/>
            </w14:solidFill>
          </w14:textFill>
        </w:rPr>
        <w:t>清单（</w:t>
      </w:r>
      <w:r>
        <w:rPr>
          <w:rFonts w:hint="eastAsia" w:asciiTheme="minorEastAsia" w:hAnsiTheme="minorEastAsia" w:eastAsiaTheme="minorEastAsia"/>
          <w:color w:val="000000" w:themeColor="text1"/>
          <w:sz w:val="24"/>
          <w:szCs w:val="24"/>
          <w14:textFill>
            <w14:solidFill>
              <w14:schemeClr w14:val="tx1"/>
            </w14:solidFill>
          </w14:textFill>
        </w:rPr>
        <w:t>均</w:t>
      </w:r>
      <w:r>
        <w:rPr>
          <w:rFonts w:asciiTheme="minorEastAsia" w:hAnsiTheme="minorEastAsia" w:eastAsiaTheme="minorEastAsia"/>
          <w:color w:val="000000" w:themeColor="text1"/>
          <w:sz w:val="24"/>
          <w:szCs w:val="24"/>
          <w14:textFill>
            <w14:solidFill>
              <w14:schemeClr w14:val="tx1"/>
            </w14:solidFill>
          </w14:textFill>
        </w:rPr>
        <w:t>不含报价）</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B.产品品牌及型号、技术参数指标、性能特点、图片资料以及所遵循的技术规范、产品质保期、出厂标准、产品质量相关检测报告等内容。</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注：该项视产品或服务内容设置提供。</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asciiTheme="minorEastAsia" w:hAnsiTheme="minorEastAsia" w:eastAsiaTheme="minorEastAsia"/>
          <w:color w:val="000000" w:themeColor="text1"/>
          <w:kern w:val="0"/>
          <w:sz w:val="24"/>
          <w14:textFill>
            <w14:solidFill>
              <w14:schemeClr w14:val="tx1"/>
            </w14:solidFill>
          </w14:textFill>
        </w:rPr>
        <w:t>投标人通过的</w:t>
      </w:r>
      <w:r>
        <w:rPr>
          <w:rFonts w:hint="eastAsia" w:asciiTheme="minorEastAsia" w:hAnsiTheme="minorEastAsia" w:eastAsiaTheme="minorEastAsia"/>
          <w:color w:val="000000" w:themeColor="text1"/>
          <w:kern w:val="0"/>
          <w:sz w:val="24"/>
          <w14:textFill>
            <w14:solidFill>
              <w14:schemeClr w14:val="tx1"/>
            </w14:solidFill>
          </w14:textFill>
        </w:rPr>
        <w:t>质量管理和</w:t>
      </w:r>
      <w:r>
        <w:rPr>
          <w:rFonts w:asciiTheme="minorEastAsia" w:hAnsiTheme="minorEastAsia" w:eastAsiaTheme="minorEastAsia"/>
          <w:color w:val="000000" w:themeColor="text1"/>
          <w:kern w:val="0"/>
          <w:sz w:val="24"/>
          <w14:textFill>
            <w14:solidFill>
              <w14:schemeClr w14:val="tx1"/>
            </w14:solidFill>
          </w14:textFill>
        </w:rPr>
        <w:t>质量</w:t>
      </w:r>
      <w:r>
        <w:rPr>
          <w:rFonts w:hint="eastAsia" w:asciiTheme="minorEastAsia" w:hAnsiTheme="minorEastAsia" w:eastAsiaTheme="minorEastAsia"/>
          <w:color w:val="000000" w:themeColor="text1"/>
          <w:kern w:val="0"/>
          <w:sz w:val="24"/>
          <w14:textFill>
            <w14:solidFill>
              <w14:schemeClr w14:val="tx1"/>
            </w14:solidFill>
          </w14:textFill>
        </w:rPr>
        <w:t>保证</w:t>
      </w:r>
      <w:r>
        <w:rPr>
          <w:rFonts w:asciiTheme="minorEastAsia" w:hAnsiTheme="minorEastAsia" w:eastAsiaTheme="minorEastAsia"/>
          <w:color w:val="000000" w:themeColor="text1"/>
          <w:kern w:val="0"/>
          <w:sz w:val="24"/>
          <w14:textFill>
            <w14:solidFill>
              <w14:schemeClr w14:val="tx1"/>
            </w14:solidFill>
          </w14:textFill>
        </w:rPr>
        <w:t>体系、环保体系、</w:t>
      </w:r>
      <w:r>
        <w:rPr>
          <w:rFonts w:hint="eastAsia" w:asciiTheme="minorEastAsia" w:hAnsiTheme="minorEastAsia" w:eastAsiaTheme="minorEastAsia"/>
          <w:color w:val="000000" w:themeColor="text1"/>
          <w:sz w:val="24"/>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w:t>
      </w:r>
    </w:p>
    <w:p>
      <w:pPr>
        <w:pStyle w:val="11"/>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（6）投标人认为需要提供的其他资料（包括可能影响投标人商务与技术文件评分的各类证明材料）。</w:t>
      </w:r>
    </w:p>
    <w:p>
      <w:pPr>
        <w:pStyle w:val="11"/>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（7）售后服务描述及承诺：</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11"/>
        <w:widowControl/>
        <w:adjustRightInd w:val="0"/>
        <w:snapToGrid w:val="0"/>
        <w:spacing w:line="360" w:lineRule="auto"/>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政府采购优惠政策相关资料、产品适用政府采购政策情况表（如有）。</w:t>
      </w:r>
    </w:p>
    <w:p>
      <w:pPr>
        <w:pStyle w:val="12"/>
        <w:ind w:firstLine="480" w:firstLineChars="200"/>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w:t>
      </w:r>
      <w: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t>投标报价单填写需清楚明了，并加盖电子印章。因表达不清引起的后果由投标人负责。</w:t>
      </w:r>
    </w:p>
    <w:p>
      <w:pPr>
        <w:autoSpaceDE w:val="0"/>
        <w:autoSpaceDN w:val="0"/>
        <w:adjustRightInd w:val="0"/>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投标报价应按招标文件中相关附表格式填写。</w:t>
      </w:r>
    </w:p>
    <w:p>
      <w:pPr>
        <w:numPr>
          <w:ilvl w:val="0"/>
          <w:numId w:val="7"/>
        </w:numPr>
        <w:ind w:left="210" w:leftChars="0" w:firstLineChars="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lang w:eastAsia="zh-CN"/>
          <w14:textFill>
            <w14:solidFill>
              <w14:schemeClr w14:val="tx1"/>
            </w14:solidFill>
          </w14:textFill>
        </w:rPr>
        <w:t>投标方式：本项目采用电子投标。</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1、电子投标文件的制作要求</w:t>
      </w:r>
    </w:p>
    <w:p>
      <w:pPr>
        <w:spacing w:line="440" w:lineRule="exact"/>
        <w:ind w:firstLine="480" w:firstLineChars="200"/>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14:textFill>
            <w14:solidFill>
              <w14:schemeClr w14:val="tx1"/>
            </w14:solidFill>
          </w14:textFill>
        </w:rPr>
        <w:t>应</w:t>
      </w:r>
      <w:r>
        <w:rPr>
          <w:rFonts w:hint="eastAsia" w:asciiTheme="minorEastAsia" w:hAnsiTheme="minorEastAsia" w:eastAsiaTheme="minorEastAsia"/>
          <w:color w:val="000000" w:themeColor="text1"/>
          <w:sz w:val="24"/>
          <w14:textFill>
            <w14:solidFill>
              <w14:schemeClr w14:val="tx1"/>
            </w14:solidFill>
          </w14:textFill>
        </w:rPr>
        <w:t>按照电子投标文件</w:t>
      </w:r>
      <w:r>
        <w:rPr>
          <w:rFonts w:hint="eastAsia" w:asciiTheme="minorEastAsia" w:hAnsiTheme="minorEastAsia"/>
          <w:color w:val="000000" w:themeColor="text1"/>
          <w:sz w:val="24"/>
          <w14:textFill>
            <w14:solidFill>
              <w14:schemeClr w14:val="tx1"/>
            </w14:solidFill>
          </w14:textFill>
        </w:rPr>
        <w:t>组成内容</w:t>
      </w:r>
      <w:r>
        <w:rPr>
          <w:rFonts w:hint="eastAsia" w:asciiTheme="minorEastAsia" w:hAnsiTheme="minorEastAsia" w:eastAsiaTheme="minorEastAsia"/>
          <w:color w:val="000000" w:themeColor="text1"/>
          <w:sz w:val="24"/>
          <w14:textFill>
            <w14:solidFill>
              <w14:schemeClr w14:val="tx1"/>
            </w14:solidFill>
          </w14:textFill>
        </w:rPr>
        <w:t>及项目招标需求和浙江政府采购云平台要求制作电子投标文件，</w:t>
      </w:r>
      <w:r>
        <w:rPr>
          <w:rFonts w:hint="eastAsia" w:asciiTheme="minorEastAsia" w:hAnsiTheme="minorEastAsia" w:eastAsiaTheme="minorEastAsia"/>
          <w:color w:val="000000" w:themeColor="text1"/>
          <w:kern w:val="0"/>
          <w:sz w:val="24"/>
          <w14:textFill>
            <w14:solidFill>
              <w14:schemeClr w14:val="tx1"/>
            </w14:solidFill>
          </w14:textFill>
        </w:rPr>
        <w:t>不按招标文件</w:t>
      </w:r>
      <w:r>
        <w:rPr>
          <w:rFonts w:hint="eastAsia" w:asciiTheme="minorEastAsia" w:hAnsiTheme="minorEastAsia" w:eastAsiaTheme="minorEastAsia"/>
          <w:color w:val="000000" w:themeColor="text1"/>
          <w:sz w:val="24"/>
          <w14:textFill>
            <w14:solidFill>
              <w14:schemeClr w14:val="tx1"/>
            </w14:solidFill>
          </w14:textFill>
        </w:rPr>
        <w:t>和浙江政府采购云平台</w:t>
      </w:r>
      <w:r>
        <w:rPr>
          <w:rFonts w:hint="eastAsia" w:asciiTheme="minorEastAsia" w:hAnsiTheme="minorEastAsia" w:eastAsiaTheme="minorEastAsia"/>
          <w:color w:val="000000" w:themeColor="text1"/>
          <w:kern w:val="0"/>
          <w:sz w:val="24"/>
          <w14:textFill>
            <w14:solidFill>
              <w14:schemeClr w14:val="tx1"/>
            </w14:solidFill>
          </w14:textFill>
        </w:rPr>
        <w:t>要求制作电子投标文件的将视情</w:t>
      </w:r>
      <w:r>
        <w:rPr>
          <w:rFonts w:hint="eastAsia" w:asciiTheme="minorEastAsia" w:hAnsiTheme="minorEastAsia"/>
          <w:color w:val="000000" w:themeColor="text1"/>
          <w:kern w:val="0"/>
          <w:sz w:val="24"/>
          <w14:textFill>
            <w14:solidFill>
              <w14:schemeClr w14:val="tx1"/>
            </w14:solidFill>
          </w14:textFill>
        </w:rPr>
        <w:t>处理（拒收、扣分等），由此产生的责任由投标人自行承担。</w:t>
      </w:r>
    </w:p>
    <w:p>
      <w:pPr>
        <w:spacing w:line="440" w:lineRule="exact"/>
        <w:ind w:firstLine="482" w:firstLineChars="200"/>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电子投标文件部分：投标人应根据“政采云供应商项目采购-电子招投标操作指南”及本招标文件规定的格式和顺序编制电子投标文件并进行关联定位。</w:t>
      </w:r>
    </w:p>
    <w:p>
      <w:pPr>
        <w:spacing w:line="44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备份电子投标文件：</w:t>
      </w:r>
      <w:r>
        <w:rPr>
          <w:rFonts w:hint="eastAsia" w:ascii="宋体" w:hAnsi="宋体" w:cs="宋体"/>
          <w:bCs/>
          <w:color w:val="000000" w:themeColor="text1"/>
          <w:sz w:val="24"/>
          <w14:textFill>
            <w14:solidFill>
              <w14:schemeClr w14:val="tx1"/>
            </w14:solidFill>
          </w14:textFill>
        </w:rPr>
        <w:t>通过“政采云”平台电子投标工具制作电子投标文件所产生的备份文件</w:t>
      </w:r>
    </w:p>
    <w:p>
      <w:pPr>
        <w:pStyle w:val="12"/>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（2）投标人应对所提供的全部资料的真实性、有效性承担法律责任，电子投标文件中盖章之处必须加盖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lang w:val="zh-CN"/>
          <w14:textFill>
            <w14:solidFill>
              <w14:schemeClr w14:val="tx1"/>
            </w14:solidFill>
          </w14:textFill>
        </w:rPr>
        <w:t>（</w:t>
      </w:r>
      <w:r>
        <w:rPr>
          <w:rFonts w:hint="eastAsia" w:asciiTheme="minorEastAsia" w:hAnsi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电子投标文件</w:t>
      </w:r>
      <w:r>
        <w:rPr>
          <w:rFonts w:asciiTheme="minorEastAsia" w:hAnsiTheme="minorEastAsia" w:eastAsiaTheme="minorEastAsia"/>
          <w:color w:val="000000" w:themeColor="text1"/>
          <w:sz w:val="24"/>
          <w14:textFill>
            <w14:solidFill>
              <w14:schemeClr w14:val="tx1"/>
            </w14:solidFill>
          </w14:textFill>
        </w:rPr>
        <w:t>以及投标人与</w:t>
      </w:r>
      <w:r>
        <w:rPr>
          <w:rFonts w:hint="eastAsia" w:asciiTheme="minorEastAsia" w:hAnsiTheme="minorEastAsia" w:eastAsiaTheme="minorEastAsia"/>
          <w:color w:val="000000" w:themeColor="text1"/>
          <w:sz w:val="24"/>
          <w14:textFill>
            <w14:solidFill>
              <w14:schemeClr w14:val="tx1"/>
            </w14:solidFill>
          </w14:textFill>
        </w:rPr>
        <w:t>采购组织机构</w:t>
      </w:r>
      <w:r>
        <w:rPr>
          <w:rFonts w:asciiTheme="minorEastAsia" w:hAnsiTheme="minorEastAsia" w:eastAsiaTheme="minorEastAsia"/>
          <w:color w:val="000000" w:themeColor="text1"/>
          <w:sz w:val="24"/>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14:textFill>
            <w14:solidFill>
              <w14:schemeClr w14:val="tx1"/>
            </w14:solidFill>
          </w14:textFill>
        </w:rPr>
        <w:t>签字</w:t>
      </w:r>
      <w:r>
        <w:rPr>
          <w:rFonts w:asciiTheme="minorEastAsia" w:hAnsiTheme="minorEastAsia" w:eastAsiaTheme="minorEastAsia"/>
          <w:color w:val="000000" w:themeColor="text1"/>
          <w:sz w:val="24"/>
          <w14:textFill>
            <w14:solidFill>
              <w14:schemeClr w14:val="tx1"/>
            </w14:solidFill>
          </w14:textFill>
        </w:rPr>
        <w:t>、盖章、专用名称等特殊情形外，以中文汉语以外的文字表述的</w:t>
      </w:r>
      <w:r>
        <w:rPr>
          <w:rFonts w:hint="eastAsia" w:asciiTheme="minorEastAsia" w:hAnsiTheme="minorEastAsia" w:eastAsiaTheme="minorEastAsia"/>
          <w:color w:val="000000" w:themeColor="text1"/>
          <w:sz w:val="24"/>
          <w14:textFill>
            <w14:solidFill>
              <w14:schemeClr w14:val="tx1"/>
            </w14:solidFill>
          </w14:textFill>
        </w:rPr>
        <w:t>电子投标文件</w:t>
      </w:r>
      <w:r>
        <w:rPr>
          <w:rFonts w:asciiTheme="minorEastAsia" w:hAnsiTheme="minorEastAsia" w:eastAsiaTheme="minorEastAsia"/>
          <w:color w:val="000000" w:themeColor="text1"/>
          <w:sz w:val="24"/>
          <w14:textFill>
            <w14:solidFill>
              <w14:schemeClr w14:val="tx1"/>
            </w14:solidFill>
          </w14:textFill>
        </w:rPr>
        <w:t>视同未提供。</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与本次投标无关的内容请不要制作在内，确保电子投标文件有针对性、简洁明了。</w:t>
      </w:r>
    </w:p>
    <w:p>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2、</w:t>
      </w:r>
      <w:r>
        <w:rPr>
          <w:rFonts w:hint="eastAsia" w:asciiTheme="minorEastAsia" w:hAnsiTheme="minorEastAsia" w:eastAsiaTheme="minorEastAsia"/>
          <w:b/>
          <w:bCs/>
          <w:color w:val="000000" w:themeColor="text1"/>
          <w:sz w:val="24"/>
          <w14:textFill>
            <w14:solidFill>
              <w14:schemeClr w14:val="tx1"/>
            </w14:solidFill>
          </w14:textFill>
        </w:rPr>
        <w:t>电子投标文件</w:t>
      </w:r>
      <w:r>
        <w:rPr>
          <w:rFonts w:hint="eastAsia" w:asciiTheme="minorEastAsia" w:hAnsiTheme="minorEastAsia"/>
          <w:b/>
          <w:bCs/>
          <w:color w:val="000000" w:themeColor="text1"/>
          <w:sz w:val="24"/>
          <w14:textFill>
            <w14:solidFill>
              <w14:schemeClr w14:val="tx1"/>
            </w14:solidFill>
          </w14:textFill>
        </w:rPr>
        <w:t>的递交要求</w:t>
      </w:r>
    </w:p>
    <w:p>
      <w:pPr>
        <w:spacing w:line="360" w:lineRule="auto"/>
        <w:ind w:firstLine="480" w:firstLineChars="200"/>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（1）投标人须按照采购文件和政采云平台的要求编制并加密电子投标文件。在电子投标文件递交截止时间以前完成电子投标文件的传输递交。</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、电子投标文件的补充、修改和撤回。</w:t>
      </w:r>
    </w:p>
    <w:p>
      <w:pPr>
        <w:tabs>
          <w:tab w:val="left" w:pos="960"/>
          <w:tab w:val="left" w:pos="1418"/>
        </w:tabs>
        <w:autoSpaceDE w:val="0"/>
        <w:autoSpaceDN w:val="0"/>
        <w:adjustRightInd w:val="0"/>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hint="eastAsia" w:asciiTheme="minorEastAsia" w:hAnsiTheme="minorEastAsia" w:eastAsiaTheme="minorEastAsia"/>
          <w:color w:val="000000" w:themeColor="text1"/>
          <w:kern w:val="0"/>
          <w:sz w:val="24"/>
          <w14:textFill>
            <w14:solidFill>
              <w14:schemeClr w14:val="tx1"/>
            </w14:solidFill>
          </w14:textFill>
        </w:rPr>
        <w:t>补充或者修改电子投标文件的，应当先行撤回原文件，补充、修改后重新传输递交。投标截止时间前未完成传输的，视为撤回电子投标文件。</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（三）电子投标文件的有效期</w:t>
      </w:r>
    </w:p>
    <w:p>
      <w:pPr>
        <w:pStyle w:val="10"/>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自投标截止日起90天电子投标文件应保持有效。有效期不足的电子投标文件将被拒绝。</w:t>
      </w:r>
    </w:p>
    <w:p>
      <w:pPr>
        <w:pStyle w:val="10"/>
        <w:tabs>
          <w:tab w:val="left" w:pos="454"/>
          <w:tab w:val="left" w:pos="720"/>
          <w:tab w:val="left" w:pos="1200"/>
        </w:tabs>
        <w:snapToGrid w:val="0"/>
        <w:spacing w:line="360" w:lineRule="auto"/>
        <w:ind w:left="0"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在特殊情况下，采购人可与投标人协商延长电子投标文件的有效期，这种要求和答复均以书面形式进行。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中标人的</w:t>
      </w:r>
      <w:r>
        <w:rPr>
          <w:rFonts w:hint="eastAsia" w:asciiTheme="minorEastAsia" w:hAnsiTheme="minorEastAsia" w:eastAsiaTheme="minorEastAsia"/>
          <w:color w:val="000000" w:themeColor="text1"/>
          <w:sz w:val="24"/>
          <w14:textFill>
            <w14:solidFill>
              <w14:schemeClr w14:val="tx1"/>
            </w14:solidFill>
          </w14:textFill>
        </w:rPr>
        <w:t>电子投标文件</w:t>
      </w:r>
      <w:r>
        <w:rPr>
          <w:rFonts w:asciiTheme="minorEastAsia" w:hAnsiTheme="minorEastAsia" w:eastAsiaTheme="minorEastAsia"/>
          <w:color w:val="000000" w:themeColor="text1"/>
          <w:sz w:val="24"/>
          <w14:textFill>
            <w14:solidFill>
              <w14:schemeClr w14:val="tx1"/>
            </w14:solidFill>
          </w14:textFill>
        </w:rPr>
        <w:t>自开标之日起至合同履行完毕均应保持有效。</w:t>
      </w:r>
    </w:p>
    <w:p>
      <w:pPr>
        <w:snapToGrid w:val="0"/>
        <w:spacing w:line="360" w:lineRule="auto"/>
        <w:ind w:firstLine="472" w:firstLineChars="196"/>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四、开标</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采购组织机构在“招标公告”规定的时间和地点公开开标，</w:t>
      </w:r>
      <w:r>
        <w:rPr>
          <w:rFonts w:hint="eastAsia" w:asciiTheme="minorEastAsia" w:hAnsiTheme="minorEastAsia" w:eastAsiaTheme="minorEastAsia"/>
          <w:bCs/>
          <w:color w:val="000000" w:themeColor="text1"/>
          <w:sz w:val="24"/>
          <w14:textFill>
            <w14:solidFill>
              <w14:schemeClr w14:val="tx1"/>
            </w14:solidFill>
          </w14:textFill>
        </w:rPr>
        <w:t>采购组织机构</w:t>
      </w:r>
      <w:r>
        <w:rPr>
          <w:rFonts w:asciiTheme="minorEastAsia" w:hAnsiTheme="minorEastAsia" w:eastAsiaTheme="minorEastAsia"/>
          <w:bCs/>
          <w:color w:val="000000" w:themeColor="text1"/>
          <w:sz w:val="24"/>
          <w14:textFill>
            <w14:solidFill>
              <w14:schemeClr w14:val="tx1"/>
            </w14:solidFill>
          </w14:textFill>
        </w:rPr>
        <w:t>工作人员接收</w:t>
      </w:r>
      <w:r>
        <w:rPr>
          <w:rFonts w:hint="eastAsia" w:asciiTheme="minorEastAsia" w:hAnsiTheme="minorEastAsia" w:eastAsiaTheme="minorEastAsia"/>
          <w:bCs/>
          <w:color w:val="000000" w:themeColor="text1"/>
          <w:sz w:val="24"/>
          <w14:textFill>
            <w14:solidFill>
              <w14:schemeClr w14:val="tx1"/>
            </w14:solidFill>
          </w14:textFill>
        </w:rPr>
        <w:t>电子投标文件</w:t>
      </w:r>
      <w:r>
        <w:rPr>
          <w:rFonts w:asciiTheme="minorEastAsia" w:hAnsiTheme="minorEastAsia" w:eastAsiaTheme="minorEastAsia"/>
          <w:bCs/>
          <w:color w:val="000000" w:themeColor="text1"/>
          <w:sz w:val="24"/>
          <w14:textFill>
            <w14:solidFill>
              <w14:schemeClr w14:val="tx1"/>
            </w14:solidFill>
          </w14:textFill>
        </w:rPr>
        <w:t>并登记。</w:t>
      </w:r>
      <w:r>
        <w:rPr>
          <w:rFonts w:hint="eastAsia" w:asciiTheme="minorEastAsia" w:hAnsiTheme="minorEastAsia" w:eastAsiaTheme="minorEastAsia"/>
          <w:bCs/>
          <w:color w:val="000000" w:themeColor="text1"/>
          <w:sz w:val="24"/>
          <w14:textFill>
            <w14:solidFill>
              <w14:schemeClr w14:val="tx1"/>
            </w14:solidFill>
          </w14:textFill>
        </w:rPr>
        <w:t>评标委员会成员不得参加开标活动。</w:t>
      </w:r>
      <w:r>
        <w:rPr>
          <w:rFonts w:hint="eastAsia" w:asciiTheme="minorEastAsia" w:hAnsiTheme="minorEastAsia" w:eastAsiaTheme="minorEastAsia"/>
          <w:b/>
          <w:bCs/>
          <w:color w:val="000000" w:themeColor="text1"/>
          <w:kern w:val="0"/>
          <w:sz w:val="24"/>
          <w14:textFill>
            <w14:solidFill>
              <w14:schemeClr w14:val="tx1"/>
            </w14:solidFill>
          </w14:textFill>
        </w:rPr>
        <w:t>（本次招标</w:t>
      </w:r>
      <w:r>
        <w:rPr>
          <w:rFonts w:cs="Arial" w:asciiTheme="minorEastAsia" w:hAnsiTheme="minorEastAsia" w:eastAsiaTheme="minorEastAsia"/>
          <w:b/>
          <w:bCs/>
          <w:color w:val="000000" w:themeColor="text1"/>
          <w:sz w:val="24"/>
          <w14:textFill>
            <w14:solidFill>
              <w14:schemeClr w14:val="tx1"/>
            </w14:solidFill>
          </w14:textFill>
        </w:rPr>
        <w:t>采用先评审商务资格</w:t>
      </w:r>
      <w:r>
        <w:rPr>
          <w:rFonts w:hint="eastAsia" w:cs="Arial" w:asciiTheme="minorEastAsia" w:hAnsiTheme="minorEastAsia" w:eastAsiaTheme="minorEastAsia"/>
          <w:b/>
          <w:bCs/>
          <w:color w:val="000000" w:themeColor="text1"/>
          <w:sz w:val="24"/>
          <w14:textFill>
            <w14:solidFill>
              <w14:schemeClr w14:val="tx1"/>
            </w14:solidFill>
          </w14:textFill>
        </w:rPr>
        <w:t>和</w:t>
      </w:r>
      <w:r>
        <w:rPr>
          <w:rFonts w:cs="Arial" w:asciiTheme="minorEastAsia" w:hAnsiTheme="minorEastAsia" w:eastAsiaTheme="minorEastAsia"/>
          <w:b/>
          <w:bCs/>
          <w:color w:val="000000" w:themeColor="text1"/>
          <w:sz w:val="24"/>
          <w14:textFill>
            <w14:solidFill>
              <w14:schemeClr w14:val="tx1"/>
            </w14:solidFill>
          </w14:textFill>
        </w:rPr>
        <w:t>技术服务方案</w:t>
      </w:r>
      <w:r>
        <w:rPr>
          <w:rFonts w:hint="eastAsia" w:cs="Arial" w:asciiTheme="minorEastAsia" w:hAnsiTheme="minorEastAsia" w:eastAsiaTheme="minorEastAsia"/>
          <w:b/>
          <w:bCs/>
          <w:color w:val="000000" w:themeColor="text1"/>
          <w:sz w:val="24"/>
          <w14:textFill>
            <w14:solidFill>
              <w14:schemeClr w14:val="tx1"/>
            </w14:solidFill>
          </w14:textFill>
        </w:rPr>
        <w:t>，</w:t>
      </w:r>
      <w:r>
        <w:rPr>
          <w:rFonts w:cs="Arial" w:asciiTheme="minorEastAsia" w:hAnsiTheme="minorEastAsia" w:eastAsiaTheme="minorEastAsia"/>
          <w:b/>
          <w:bCs/>
          <w:color w:val="000000" w:themeColor="text1"/>
          <w:sz w:val="24"/>
          <w14:textFill>
            <w14:solidFill>
              <w14:schemeClr w14:val="tx1"/>
            </w14:solidFill>
          </w14:textFill>
        </w:rPr>
        <w:t>后公开并评审商务报价的办法</w:t>
      </w:r>
      <w:r>
        <w:rPr>
          <w:rFonts w:hint="eastAsia" w:asciiTheme="minorEastAsia" w:hAnsiTheme="minorEastAsia" w:eastAsiaTheme="minorEastAsia"/>
          <w:b/>
          <w:bCs/>
          <w:color w:val="000000" w:themeColor="text1"/>
          <w:kern w:val="0"/>
          <w:sz w:val="24"/>
          <w14:textFill>
            <w14:solidFill>
              <w14:schemeClr w14:val="tx1"/>
            </w14:solidFill>
          </w14:textFill>
        </w:rPr>
        <w:t>实施。各位供应商投标时必须根据菜单对应上传，切勿误传，否则一切后果自行承担）</w:t>
      </w:r>
      <w:r>
        <w:rPr>
          <w:rFonts w:hint="eastAsia" w:asciiTheme="minorEastAsia" w:hAnsiTheme="minorEastAsia" w:eastAsiaTheme="minorEastAsia"/>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（二） 开</w:t>
      </w:r>
      <w:r>
        <w:rPr>
          <w:rFonts w:hint="eastAsia" w:asciiTheme="minorEastAsia" w:hAnsiTheme="minorEastAsia" w:eastAsiaTheme="minorEastAsia"/>
          <w:bCs/>
          <w:color w:val="000000" w:themeColor="text1"/>
          <w:sz w:val="24"/>
          <w14:textFill>
            <w14:solidFill>
              <w14:schemeClr w14:val="tx1"/>
            </w14:solidFill>
          </w14:textFill>
        </w:rPr>
        <w:t>标</w:t>
      </w:r>
      <w:r>
        <w:rPr>
          <w:rFonts w:asciiTheme="minorEastAsia" w:hAnsiTheme="minorEastAsia" w:eastAsiaTheme="minorEastAsia"/>
          <w:bCs/>
          <w:color w:val="000000" w:themeColor="text1"/>
          <w:sz w:val="24"/>
          <w14:textFill>
            <w14:solidFill>
              <w14:schemeClr w14:val="tx1"/>
            </w14:solidFill>
          </w14:textFill>
        </w:rPr>
        <w:t>程序：</w:t>
      </w:r>
    </w:p>
    <w:p>
      <w:pPr>
        <w:pStyle w:val="14"/>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1、开标时间到后，招标项目负责人准时组织开标；</w:t>
      </w:r>
    </w:p>
    <w:p>
      <w:pPr>
        <w:snapToGrid w:val="0"/>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2、投标人登录政采云平台，用“项目采购-开标评标”功能对电子投标文件进行在线解密。在线解密电子投标文件时间为开标时间起半个小时内。</w:t>
      </w:r>
    </w:p>
    <w:p>
      <w:pPr>
        <w:snapToGrid w:val="0"/>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3、公布开标结果。</w:t>
      </w:r>
    </w:p>
    <w:p>
      <w:pPr>
        <w:snapToGrid w:val="0"/>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4、特别说明：本项目原则上采用政采云电子招投标开标及评审程序，但有下情形之一的，按以下情况处理：</w:t>
      </w:r>
    </w:p>
    <w:p>
      <w:pPr>
        <w:numPr>
          <w:ilvl w:val="0"/>
          <w:numId w:val="8"/>
        </w:numPr>
        <w:snapToGrid w:val="0"/>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投标人应当按规定及时解密，若因技术原因导致电子投标文件未能及时解密的，应联系我中心技术人员（</w:t>
      </w:r>
      <w:r>
        <w:rPr>
          <w:rFonts w:hint="eastAsia" w:ascii="宋体" w:hAnsi="宋体" w:cs="宋体"/>
          <w:color w:val="000000" w:themeColor="text1"/>
          <w:kern w:val="2"/>
          <w:sz w:val="24"/>
          <w:szCs w:val="24"/>
          <w:lang w:val="en-US" w:eastAsia="zh-CN" w:bidi="ar-SA"/>
          <w14:textFill>
            <w14:solidFill>
              <w14:schemeClr w14:val="tx1"/>
            </w14:solidFill>
          </w14:textFill>
        </w:rPr>
        <w:t>徐</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w:t>
      </w:r>
      <w:r>
        <w:rPr>
          <w:rFonts w:hint="eastAsia" w:ascii="宋体" w:hAnsi="宋体" w:cs="宋体"/>
          <w:color w:val="000000" w:themeColor="text1"/>
          <w:kern w:val="2"/>
          <w:sz w:val="24"/>
          <w:szCs w:val="24"/>
          <w:lang w:val="en-US" w:eastAsia="zh-CN" w:bidi="ar-SA"/>
          <w14:textFill>
            <w14:solidFill>
              <w14:schemeClr w14:val="tx1"/>
            </w14:solidFill>
          </w14:textFill>
        </w:rPr>
        <w:t>18806862938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））在采监处的监督下远程协助其完成解密，仍无法完成解密的，应按规定及时递交备份电子投标文件，否则，视同放弃投标。</w:t>
      </w:r>
    </w:p>
    <w:p>
      <w:pPr>
        <w:snapToGrid w:val="0"/>
        <w:spacing w:line="480" w:lineRule="exact"/>
        <w:ind w:firstLine="480" w:firstLineChars="200"/>
        <w:jc w:val="left"/>
        <w:rPr>
          <w:rFonts w:ascii="仿宋_GB2312" w:hAnsi="宋体" w:eastAsia="仿宋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开评标细则按政采云电子评标流程进行。</w:t>
      </w:r>
      <w:r>
        <w:rPr>
          <w:rFonts w:hint="eastAsia" w:ascii="仿宋_GB2312" w:hAnsi="宋体" w:eastAsia="仿宋_GB2312"/>
          <w:b/>
          <w:color w:val="000000" w:themeColor="text1"/>
          <w:sz w:val="24"/>
          <w14:textFill>
            <w14:solidFill>
              <w14:schemeClr w14:val="tx1"/>
            </w14:solidFill>
          </w14:textFill>
        </w:rPr>
        <w:t>特别说明：政采云公司如对电子化开标及评审程序有调整的，按调整后的程序操作。</w:t>
      </w:r>
    </w:p>
    <w:p>
      <w:pPr>
        <w:pStyle w:val="14"/>
        <w:snapToGrid w:val="0"/>
        <w:spacing w:line="360" w:lineRule="auto"/>
        <w:ind w:firstLine="420" w:firstLineChars="200"/>
        <w:rPr>
          <w:color w:val="000000" w:themeColor="text1"/>
          <w14:textFill>
            <w14:solidFill>
              <w14:schemeClr w14:val="tx1"/>
            </w14:solidFill>
          </w14:textFill>
        </w:rPr>
      </w:pPr>
    </w:p>
    <w:p>
      <w:pPr>
        <w:pStyle w:val="14"/>
        <w:snapToGrid w:val="0"/>
        <w:spacing w:line="360" w:lineRule="auto"/>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w:t>
      </w:r>
    </w:p>
    <w:p>
      <w:pPr>
        <w:pStyle w:val="14"/>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（一）组建评标委员会</w:t>
      </w:r>
    </w:p>
    <w:p>
      <w:pPr>
        <w:pStyle w:val="14"/>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14:textFill>
            <w14:solidFill>
              <w14:schemeClr w14:val="tx1"/>
            </w14:solidFill>
          </w14:textFill>
        </w:rPr>
        <w:t>和采购单位评审代表</w:t>
      </w:r>
      <w:r>
        <w:rPr>
          <w:rFonts w:asciiTheme="minorEastAsia" w:hAnsiTheme="minorEastAsia" w:eastAsiaTheme="minorEastAsia"/>
          <w:color w:val="000000" w:themeColor="text1"/>
          <w:sz w:val="24"/>
          <w14:textFill>
            <w14:solidFill>
              <w14:schemeClr w14:val="tx1"/>
            </w14:solidFill>
          </w14:textFill>
        </w:rPr>
        <w:t>组成。</w:t>
      </w:r>
    </w:p>
    <w:p>
      <w:pPr>
        <w:pStyle w:val="14"/>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评标程序</w:t>
      </w:r>
    </w:p>
    <w:p>
      <w:pPr>
        <w:snapToGrid w:val="0"/>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1、资格</w:t>
      </w:r>
      <w:r>
        <w:rPr>
          <w:rFonts w:asciiTheme="minorEastAsia" w:hAnsiTheme="minorEastAsia" w:eastAsiaTheme="minorEastAsia"/>
          <w:b/>
          <w:bCs/>
          <w:color w:val="000000" w:themeColor="text1"/>
          <w:sz w:val="24"/>
          <w14:textFill>
            <w14:solidFill>
              <w14:schemeClr w14:val="tx1"/>
            </w14:solidFill>
          </w14:textFill>
        </w:rPr>
        <w:t>审查</w:t>
      </w:r>
    </w:p>
    <w:p>
      <w:pPr>
        <w:pStyle w:val="12"/>
        <w:spacing w:line="360" w:lineRule="auto"/>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公开招标采购项目开标结束后，采购人或者采购组织机构应当依法对投标人的资格进行审查，对审查发现无效的进行必要的询标，</w:t>
      </w:r>
      <w:r>
        <w:rPr>
          <w:rFonts w:hint="eastAsia"/>
          <w:color w:val="000000" w:themeColor="text1"/>
          <w:sz w:val="24"/>
          <w14:textFill>
            <w14:solidFill>
              <w14:schemeClr w14:val="tx1"/>
            </w14:solidFill>
          </w14:textFill>
        </w:rPr>
        <w:t>由政采云在线公布</w:t>
      </w:r>
      <w:r>
        <w:rPr>
          <w:rFonts w:asciiTheme="minorEastAsia" w:hAnsiTheme="minorEastAsia" w:eastAsiaTheme="minorEastAsia"/>
          <w:color w:val="000000" w:themeColor="text1"/>
          <w:sz w:val="24"/>
          <w14:textFill>
            <w14:solidFill>
              <w14:schemeClr w14:val="tx1"/>
            </w14:solidFill>
          </w14:textFill>
        </w:rPr>
        <w:t>无效投标的投标人名单、投标无效的原因。</w:t>
      </w:r>
      <w:r>
        <w:rPr>
          <w:rFonts w:hint="eastAsia"/>
          <w:color w:val="000000" w:themeColor="text1"/>
          <w:sz w:val="24"/>
          <w14:textFill>
            <w14:solidFill>
              <w14:schemeClr w14:val="tx1"/>
            </w14:solidFill>
          </w14:textFill>
        </w:rPr>
        <w:t>（若系统原因无法公布的，将由录音电话代为公布）</w:t>
      </w:r>
    </w:p>
    <w:p>
      <w:pPr>
        <w:pStyle w:val="12"/>
        <w:numPr>
          <w:ilvl w:val="0"/>
          <w:numId w:val="9"/>
        </w:numPr>
        <w:spacing w:line="360" w:lineRule="auto"/>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符合性审查</w:t>
      </w:r>
    </w:p>
    <w:p>
      <w:pPr>
        <w:pStyle w:val="12"/>
        <w:spacing w:line="360" w:lineRule="auto"/>
        <w:rPr>
          <w:rFonts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评标委员会应当对符合资格的投标人的</w:t>
      </w:r>
      <w:r>
        <w:rPr>
          <w:rFonts w:hint="eastAsia" w:asciiTheme="minorEastAsia" w:hAnsiTheme="minorEastAsia" w:eastAsiaTheme="minorEastAsia"/>
          <w:color w:val="000000" w:themeColor="text1"/>
          <w:sz w:val="24"/>
          <w14:textFill>
            <w14:solidFill>
              <w14:schemeClr w14:val="tx1"/>
            </w14:solidFill>
          </w14:textFill>
        </w:rPr>
        <w:t>电子</w:t>
      </w:r>
      <w:r>
        <w:rPr>
          <w:rFonts w:asciiTheme="minorEastAsia" w:hAnsiTheme="minorEastAsia" w:eastAsiaTheme="minorEastAsia"/>
          <w:color w:val="000000" w:themeColor="text1"/>
          <w:sz w:val="24"/>
          <w14:textFill>
            <w14:solidFill>
              <w14:schemeClr w14:val="tx1"/>
            </w14:solidFill>
          </w14:textFill>
        </w:rPr>
        <w:t>投标文件进行符合性审查，以确定其是否满足招标文件的实质性要求，对审查发现无效的进行必要的询标，</w:t>
      </w:r>
      <w:r>
        <w:rPr>
          <w:rFonts w:hint="eastAsia"/>
          <w:color w:val="000000" w:themeColor="text1"/>
          <w:sz w:val="24"/>
          <w14:textFill>
            <w14:solidFill>
              <w14:schemeClr w14:val="tx1"/>
            </w14:solidFill>
          </w14:textFill>
        </w:rPr>
        <w:t>对</w:t>
      </w:r>
      <w:r>
        <w:rPr>
          <w:rFonts w:asciiTheme="minorEastAsia" w:hAnsiTheme="minorEastAsia" w:eastAsiaTheme="minorEastAsia"/>
          <w:color w:val="000000" w:themeColor="text1"/>
          <w:sz w:val="24"/>
          <w14:textFill>
            <w14:solidFill>
              <w14:schemeClr w14:val="tx1"/>
            </w14:solidFill>
          </w14:textFill>
        </w:rPr>
        <w:t>无效投标的投标人名单</w:t>
      </w:r>
      <w:r>
        <w:rPr>
          <w:rFonts w:hint="eastAsia" w:asciiTheme="minorEastAsia" w:hAnsiTheme="minorEastAsia" w:eastAsiaTheme="minorEastAsia"/>
          <w:color w:val="000000" w:themeColor="text1"/>
          <w:sz w:val="24"/>
          <w14:textFill>
            <w14:solidFill>
              <w14:schemeClr w14:val="tx1"/>
            </w14:solidFill>
          </w14:textFill>
        </w:rPr>
        <w:t>及</w:t>
      </w:r>
      <w:r>
        <w:rPr>
          <w:rFonts w:asciiTheme="minorEastAsia" w:hAnsiTheme="minorEastAsia" w:eastAsiaTheme="minorEastAsia"/>
          <w:color w:val="000000" w:themeColor="text1"/>
          <w:sz w:val="24"/>
          <w14:textFill>
            <w14:solidFill>
              <w14:schemeClr w14:val="tx1"/>
            </w14:solidFill>
          </w14:textFill>
        </w:rPr>
        <w:t>投标无效原因</w:t>
      </w:r>
      <w:r>
        <w:rPr>
          <w:rFonts w:hint="eastAsia" w:asciiTheme="minorEastAsia" w:hAnsiTheme="minorEastAsia" w:eastAsiaTheme="minorEastAsia"/>
          <w:color w:val="000000" w:themeColor="text1"/>
          <w:sz w:val="24"/>
          <w14:textFill>
            <w14:solidFill>
              <w14:schemeClr w14:val="tx1"/>
            </w14:solidFill>
          </w14:textFill>
        </w:rPr>
        <w:t>的公布方式同上。</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w:t>
      </w:r>
      <w:r>
        <w:rPr>
          <w:rFonts w:hint="default" w:ascii="Arial" w:hAnsi="Arial" w:cs="Arial"/>
          <w:b/>
          <w:bCs/>
          <w:color w:val="000000" w:themeColor="text1"/>
          <w14:textFill>
            <w14:solidFill>
              <w14:schemeClr w14:val="tx1"/>
            </w14:solidFill>
          </w14:textFill>
        </w:rPr>
        <w:t>综合比较与评价</w:t>
      </w:r>
    </w:p>
    <w:p>
      <w:pPr>
        <w:pStyle w:val="19"/>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（1）对于电子投标文件中含义不明确、同类问题表述不一致或者有明显文字和计算错误的内容，评标委员会应当以在线询标形式要求投标人作出必要的澄清、说明或者补正。</w:t>
      </w:r>
    </w:p>
    <w:p>
      <w:pPr>
        <w:pStyle w:val="19"/>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（2）评标委员会应当按照招标文件中规定的评标方法和标准，对符合性审查合格的电子投标文件进行商务和技术评估，综合比较与评价。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（3）评标时，评标委员会各成员应当独立对每个投标人的电子投标文件进行评价，并汇总每个投标人的得分。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4、得分确认及评审报告编写</w:t>
      </w:r>
    </w:p>
    <w:p>
      <w:pPr>
        <w:pStyle w:val="14"/>
        <w:snapToGrid w:val="0"/>
        <w:spacing w:line="360" w:lineRule="auto"/>
        <w:ind w:firstLine="420" w:firstLineChars="17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评标委员会对报价文件进行复核，对于系统计算出的价格分及总得分进行确认；</w:t>
      </w:r>
    </w:p>
    <w:p>
      <w:pPr>
        <w:pStyle w:val="19"/>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（2）评标委员会应当按照招标文件中规定的评标方法和标准，对符合性审查合格的电子投标文件进行商务和技术评估，综合比较与评价。</w:t>
      </w:r>
    </w:p>
    <w:p>
      <w:pPr>
        <w:snapToGrid w:val="0"/>
        <w:spacing w:line="360" w:lineRule="auto"/>
        <w:ind w:firstLine="480" w:firstLineChars="200"/>
        <w:rPr>
          <w:rFonts w:ascii="Arial" w:hAnsi="Arial" w:cs="Arial"/>
          <w:b/>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评标委员会</w:t>
      </w:r>
      <w:r>
        <w:rPr>
          <w:rFonts w:asciiTheme="minorEastAsia" w:hAnsiTheme="minorEastAsia" w:eastAsiaTheme="minorEastAsia"/>
          <w:color w:val="000000" w:themeColor="text1"/>
          <w:sz w:val="24"/>
          <w14:textFill>
            <w14:solidFill>
              <w14:schemeClr w14:val="tx1"/>
            </w14:solidFill>
          </w14:textFill>
        </w:rPr>
        <w:t>按评标原则</w:t>
      </w:r>
      <w:r>
        <w:rPr>
          <w:rFonts w:hint="eastAsia" w:asciiTheme="minorEastAsia" w:hAnsiTheme="minorEastAsia" w:eastAsiaTheme="minorEastAsia"/>
          <w:color w:val="000000" w:themeColor="text1"/>
          <w:sz w:val="24"/>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投标人的澄清、说明或者补正应当采用电子询标形式，并加盖公章（电子印章），并不得超出电子投标文件的范围或者改变电子投标文件的实质性内容。</w:t>
      </w:r>
    </w:p>
    <w:p>
      <w:pPr>
        <w:pStyle w:val="14"/>
        <w:snapToGrid w:val="0"/>
        <w:spacing w:line="360" w:lineRule="auto"/>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（四）错误修正</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电子投标文件报价出现前后不一致的，除招标文件另有规定外，按照下列规定修正：</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1、电子投标文件中开标一览表（报价表）内容与电子投标文件中相应内容不一致的，以开标一览表（报价表）为准；</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2、大写金额和小写金额不一致的，以大写金额为准；</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3、单价金额小数点或者百分比有明显错位的，以开标一览表的总价为准，并修改单价；</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4、总价金额与按单价汇总金额不一致的，以单价金额计算结果为准。</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同时出现两种以上不一致的，按照前款规定的顺序修正。修正应当采用电子询标的形式，并加盖公章</w:t>
      </w:r>
      <w:r>
        <w:rPr>
          <w:rFonts w:asciiTheme="minorEastAsia" w:hAnsiTheme="minorEastAsia"/>
          <w:color w:val="000000" w:themeColor="text1"/>
          <w14:textFill>
            <w14:solidFill>
              <w14:schemeClr w14:val="tx1"/>
            </w14:solidFill>
          </w14:textFill>
        </w:rPr>
        <w:t>（电子印章）</w:t>
      </w:r>
      <w:r>
        <w:rPr>
          <w:rFonts w:asciiTheme="minorEastAsia" w:hAnsiTheme="minorEastAsia" w:eastAsiaTheme="minorEastAsia"/>
          <w:color w:val="000000" w:themeColor="text1"/>
          <w14:textFill>
            <w14:solidFill>
              <w14:schemeClr w14:val="tx1"/>
            </w14:solidFill>
          </w14:textFill>
        </w:rPr>
        <w:t>。</w:t>
      </w:r>
    </w:p>
    <w:p>
      <w:pPr>
        <w:pStyle w:val="19"/>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（五）</w:t>
      </w:r>
      <w:r>
        <w:rPr>
          <w:rFonts w:asciiTheme="minorEastAsia" w:hAnsiTheme="minorEastAsia" w:eastAsiaTheme="minorEastAsia"/>
          <w:b/>
          <w:color w:val="000000" w:themeColor="text1"/>
          <w14:textFill>
            <w14:solidFill>
              <w14:schemeClr w14:val="tx1"/>
            </w14:solidFill>
          </w14:textFill>
        </w:rPr>
        <w:t>投标人存在下列情况之一的，投标无效</w:t>
      </w:r>
    </w:p>
    <w:p>
      <w:pPr>
        <w:adjustRightInd w:val="0"/>
        <w:snapToGrid w:val="0"/>
        <w:spacing w:line="360" w:lineRule="auto"/>
        <w:ind w:left="4" w:firstLine="411" w:firstLineChars="196"/>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b/>
          <w:bCs/>
          <w:color w:val="000000" w:themeColor="text1"/>
          <w:kern w:val="0"/>
          <w:sz w:val="24"/>
          <w14:textFill>
            <w14:solidFill>
              <w14:schemeClr w14:val="tx1"/>
            </w14:solidFill>
          </w14:textFill>
        </w:rPr>
        <w:t>在资格证明模块或商务与技术模块中出现投标报价的</w:t>
      </w:r>
      <w:r>
        <w:rPr>
          <w:rFonts w:hint="eastAsia" w:asciiTheme="minorEastAsia" w:hAnsiTheme="minorEastAsia" w:eastAsiaTheme="minorEastAsia"/>
          <w:color w:val="000000" w:themeColor="text1"/>
          <w:kern w:val="0"/>
          <w:sz w:val="24"/>
          <w14:textFill>
            <w14:solidFill>
              <w14:schemeClr w14:val="tx1"/>
            </w14:solidFill>
          </w14:textFill>
        </w:rPr>
        <w:t>，或者报价文件中报价的货物跟商务与技术文件中的投标货物出现重大偏差的；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9"/>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3、电子投标文件含有采购人不能接受的附加条件的。</w:t>
      </w:r>
    </w:p>
    <w:p>
      <w:pPr>
        <w:pStyle w:val="1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w:t>
      </w:r>
      <w:r>
        <w:rPr>
          <w:rFonts w:hint="eastAsia"/>
          <w:color w:val="000000" w:themeColor="text1"/>
          <w:sz w:val="24"/>
          <w14:textFill>
            <w14:solidFill>
              <w14:schemeClr w14:val="tx1"/>
            </w14:solidFill>
          </w14:textFill>
        </w:rPr>
        <w:t>进行电子答复</w:t>
      </w:r>
      <w:r>
        <w:rPr>
          <w:rFonts w:asciiTheme="minorEastAsia" w:hAnsiTheme="minorEastAsia" w:eastAsiaTheme="minorEastAsia"/>
          <w:color w:val="000000" w:themeColor="text1"/>
          <w:sz w:val="24"/>
          <w14:textFill>
            <w14:solidFill>
              <w14:schemeClr w14:val="tx1"/>
            </w14:solidFill>
          </w14:textFill>
        </w:rPr>
        <w:t>，必要时提交相关证明材料；投标人不能证明其报价合理性的，评标委员会应当将其作为无效投标处理。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5、报价超过招标文件中规定的预算金额/最高限价。 </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6、主要性能参数指标负偏离</w:t>
      </w:r>
      <w:r>
        <w:rPr>
          <w:rFonts w:asciiTheme="minorEastAsia" w:hAnsiTheme="minorEastAsia" w:eastAsiaTheme="minorEastAsia"/>
          <w:color w:val="000000" w:themeColor="text1"/>
          <w:u w:val="single"/>
          <w14:textFill>
            <w14:solidFill>
              <w14:schemeClr w14:val="tx1"/>
            </w14:solidFill>
          </w14:textFill>
        </w:rPr>
        <w:t xml:space="preserve"> 8 </w:t>
      </w:r>
      <w:r>
        <w:rPr>
          <w:rFonts w:asciiTheme="minorEastAsia" w:hAnsiTheme="minorEastAsia" w:eastAsiaTheme="minorEastAsia"/>
          <w:color w:val="000000" w:themeColor="text1"/>
          <w14:textFill>
            <w14:solidFill>
              <w14:schemeClr w14:val="tx1"/>
            </w14:solidFill>
          </w14:textFill>
        </w:rPr>
        <w:t>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8、电子投标文件提供虚假材料的。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9</w:t>
      </w:r>
      <w:r>
        <w:rPr>
          <w:rFonts w:asciiTheme="minorEastAsia" w:hAnsiTheme="minorEastAsia" w:eastAsiaTheme="minorEastAsia"/>
          <w:color w:val="000000" w:themeColor="text1"/>
          <w:kern w:val="0"/>
          <w:sz w:val="24"/>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（1）不同投标人的电子投标文件由同一单位或者个人编制；</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（2）不同投标人委托同一单位或者个人办理投标事宜；</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（3）不同投标人的电子投标文件载明的项目管理成员或者联系人员为同一人；</w:t>
      </w:r>
    </w:p>
    <w:p>
      <w:pPr>
        <w:pStyle w:val="19"/>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（4）不同投标人的电子投标文件异常一致或者投标报价呈规律性差异；</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中打“▲”内容及被拒绝的条款）。</w:t>
      </w:r>
    </w:p>
    <w:p>
      <w:pPr>
        <w:pStyle w:val="11"/>
        <w:rPr>
          <w:rFonts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11、商务条款不响应。</w:t>
      </w:r>
    </w:p>
    <w:p>
      <w:pPr>
        <w:numPr>
          <w:ilvl w:val="0"/>
          <w:numId w:val="10"/>
        </w:numPr>
        <w:tabs>
          <w:tab w:val="right" w:pos="8306"/>
        </w:tabs>
        <w:autoSpaceDE w:val="0"/>
        <w:autoSpaceDN w:val="0"/>
        <w:adjustRightIn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供应商仅提交备份电子电子投标文件的。</w:t>
      </w:r>
    </w:p>
    <w:p>
      <w:pPr>
        <w:autoSpaceDE w:val="0"/>
        <w:autoSpaceDN w:val="0"/>
        <w:adjustRightInd w:val="0"/>
        <w:spacing w:line="360" w:lineRule="auto"/>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（六）有下列情况之一的，本次招标作为废标处理</w:t>
      </w:r>
    </w:p>
    <w:p>
      <w:pPr>
        <w:pStyle w:val="19"/>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1、出现影响采购公正的违法、违规行为的；</w:t>
      </w:r>
    </w:p>
    <w:p>
      <w:pPr>
        <w:pStyle w:val="19"/>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2、评标委员会发现招标文件存在歧义、重大缺陷导致评标工作无法进行，或者招标文件内容违反国家有关强制性规定的； </w:t>
      </w:r>
    </w:p>
    <w:p>
      <w:pPr>
        <w:pStyle w:val="19"/>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3、因重大变故，采购任务取消的；</w:t>
      </w:r>
    </w:p>
    <w:p>
      <w:pPr>
        <w:pStyle w:val="19"/>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4、法律、法规和招标文件规定的其他导致评标结果无效的。</w:t>
      </w:r>
    </w:p>
    <w:p>
      <w:pPr>
        <w:pStyle w:val="14"/>
        <w:tabs>
          <w:tab w:val="left" w:pos="630"/>
        </w:tabs>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）评标原则和评标办法</w:t>
      </w:r>
    </w:p>
    <w:p>
      <w:pPr>
        <w:pStyle w:val="14"/>
        <w:snapToGrid w:val="0"/>
        <w:spacing w:line="360" w:lineRule="auto"/>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14:textFill>
            <w14:solidFill>
              <w14:schemeClr w14:val="tx1"/>
            </w14:solidFill>
          </w14:textFill>
        </w:rPr>
        <w:t>三章</w:t>
      </w:r>
      <w:r>
        <w:rPr>
          <w:rFonts w:asciiTheme="minorEastAsia" w:hAnsiTheme="minorEastAsia" w:eastAsiaTheme="minorEastAsia"/>
          <w:color w:val="000000" w:themeColor="text1"/>
          <w:sz w:val="24"/>
          <w14:textFill>
            <w14:solidFill>
              <w14:schemeClr w14:val="tx1"/>
            </w14:solidFill>
          </w14:textFill>
        </w:rPr>
        <w:t>：评标</w:t>
      </w:r>
      <w:r>
        <w:rPr>
          <w:rFonts w:hint="eastAsia" w:asciiTheme="minorEastAsia" w:hAnsiTheme="minorEastAsia" w:eastAsiaTheme="minorEastAsia"/>
          <w:color w:val="000000" w:themeColor="text1"/>
          <w:sz w:val="24"/>
          <w14:textFill>
            <w14:solidFill>
              <w14:schemeClr w14:val="tx1"/>
            </w14:solidFill>
          </w14:textFill>
        </w:rPr>
        <w:t>方</w:t>
      </w:r>
      <w:r>
        <w:rPr>
          <w:rFonts w:asciiTheme="minorEastAsia" w:hAnsiTheme="minorEastAsia" w:eastAsiaTheme="minorEastAsia"/>
          <w:color w:val="000000" w:themeColor="text1"/>
          <w:sz w:val="24"/>
          <w14:textFill>
            <w14:solidFill>
              <w14:schemeClr w14:val="tx1"/>
            </w14:solidFill>
          </w14:textFill>
        </w:rPr>
        <w:t>法及评分标准》。</w:t>
      </w:r>
    </w:p>
    <w:p>
      <w:pPr>
        <w:pStyle w:val="14"/>
        <w:snapToGrid w:val="0"/>
        <w:spacing w:line="360" w:lineRule="auto"/>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）评标过程的监控</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9"/>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color w:val="000000" w:themeColor="text1"/>
          <w14:textFill>
            <w14:solidFill>
              <w14:schemeClr w14:val="tx1"/>
            </w14:solidFill>
          </w14:textFill>
        </w:rPr>
        <w:t>确定中标供应商。</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结果公告。采购组织机构应当自中标人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中标结果，招标文件应当随中标结果同时公告。</w:t>
      </w:r>
    </w:p>
    <w:p>
      <w:pPr>
        <w:pStyle w:val="12"/>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hint="eastAsia"/>
          <w:color w:val="000000" w:themeColor="text1"/>
          <w:sz w:val="24"/>
          <w14:textFill>
            <w14:solidFill>
              <w14:schemeClr w14:val="tx1"/>
            </w14:solidFill>
          </w14:textFill>
        </w:rPr>
        <w:t>通过政采云平台发放电子中标通知书</w:t>
      </w:r>
      <w:r>
        <w:rPr>
          <w:rFonts w:hint="eastAsia" w:ascii="宋体" w:hAnsi="宋体"/>
          <w:color w:val="000000" w:themeColor="text1"/>
          <w:kern w:val="0"/>
          <w:sz w:val="24"/>
          <w14:textFill>
            <w14:solidFill>
              <w14:schemeClr w14:val="tx1"/>
            </w14:solidFill>
          </w14:textFill>
        </w:rPr>
        <w:t>。采购组织机构在发布中标结果</w:t>
      </w:r>
      <w:r>
        <w:rPr>
          <w:rFonts w:hint="eastAsia" w:ascii="宋体" w:hAnsi="宋体"/>
          <w:color w:val="000000" w:themeColor="text1"/>
          <w:kern w:val="0"/>
          <w:sz w:val="24"/>
          <w:szCs w:val="24"/>
          <w:lang w:eastAsia="zh-CN"/>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的同时，向中标人发出中标通知书。</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19"/>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中标通知书发出之日起10个工作日内，按照招标文件和中标人电子投标文件的规定，与中标人签订书面合同或者电子合同。所签订的合同不得对招标文件确定的事项和中标人电子投标文件作实质性修改。</w:t>
      </w:r>
    </w:p>
    <w:p>
      <w:pPr>
        <w:pStyle w:val="19"/>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2、采购人不得向中标人提出任何不合理的要求作为签订合同的条件。</w:t>
      </w:r>
    </w:p>
    <w:p>
      <w:pPr>
        <w:pStyle w:val="19"/>
        <w:spacing w:before="0" w:beforeAutospacing="0" w:after="0" w:afterAutospacing="0" w:line="360" w:lineRule="auto"/>
        <w:ind w:firstLine="420" w:firstLineChars="175"/>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3、中标供应商无故拖延、拒签合同的,将取消中标资格。</w:t>
      </w:r>
    </w:p>
    <w:p>
      <w:pPr>
        <w:pStyle w:val="19"/>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9"/>
        <w:spacing w:line="360" w:lineRule="auto"/>
        <w:ind w:firstLine="480" w:firstLineChars="200"/>
        <w:rPr>
          <w:rFonts w:hint="default" w:cs="仿宋_GB2312"/>
          <w:color w:val="000000" w:themeColor="text1"/>
          <w14:textFill>
            <w14:solidFill>
              <w14:schemeClr w14:val="tx1"/>
            </w14:solidFill>
          </w14:textFill>
        </w:rPr>
      </w:pPr>
      <w:r>
        <w:rPr>
          <w:color w:val="000000" w:themeColor="text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9"/>
        <w:spacing w:line="360" w:lineRule="auto"/>
        <w:ind w:firstLine="424" w:firstLineChars="176"/>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3"/>
        <w:spacing w:line="360" w:lineRule="auto"/>
        <w:ind w:left="0" w:leftChars="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12"/>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w:t>
      </w:r>
      <w:r>
        <w:rPr>
          <w:rFonts w:hint="eastAsia"/>
          <w:color w:val="000000" w:themeColor="text1"/>
          <w:sz w:val="24"/>
          <w14:textFill>
            <w14:solidFill>
              <w14:schemeClr w14:val="tx1"/>
            </w14:solidFill>
          </w14:textFill>
        </w:rPr>
        <w:t>将政府采购合同通过政采云网站提交至</w:t>
      </w:r>
      <w:r>
        <w:rPr>
          <w:rFonts w:hint="eastAsia" w:ascii="宋体" w:hAnsi="宋体"/>
          <w:color w:val="000000" w:themeColor="text1"/>
          <w:sz w:val="24"/>
          <w14:textFill>
            <w14:solidFill>
              <w14:schemeClr w14:val="tx1"/>
            </w14:solidFill>
          </w14:textFill>
        </w:rPr>
        <w:t>同级人民政府财政部门备案存档。</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pStyle w:val="12"/>
        <w:spacing w:line="360" w:lineRule="auto"/>
        <w:rPr>
          <w:rFonts w:hint="eastAsia" w:ascii="宋体" w:hAnsi="宋体"/>
          <w:color w:val="000000" w:themeColor="text1"/>
          <w:sz w:val="24"/>
          <w:szCs w:val="24"/>
          <w:lang w:eastAsia="zh-CN"/>
          <w14:textFill>
            <w14:solidFill>
              <w14:schemeClr w14:val="tx1"/>
            </w14:solidFill>
          </w14:textFill>
        </w:rPr>
      </w:pPr>
    </w:p>
    <w:p>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一、采购组织机构将组织评标委员会，对投标人提供的</w:t>
      </w:r>
      <w:r>
        <w:rPr>
          <w:rFonts w:hint="eastAsia" w:asciiTheme="minorEastAsia" w:hAnsiTheme="minorEastAsia" w:eastAsiaTheme="minorEastAsia"/>
          <w:color w:val="000000" w:themeColor="text1"/>
          <w:kern w:val="0"/>
          <w:sz w:val="24"/>
          <w:lang w:eastAsia="zh-CN"/>
          <w14:textFill>
            <w14:solidFill>
              <w14:schemeClr w14:val="tx1"/>
            </w14:solidFill>
          </w14:textFill>
        </w:rPr>
        <w:t>电子投标文件</w:t>
      </w:r>
      <w:r>
        <w:rPr>
          <w:rFonts w:hint="eastAsia" w:asciiTheme="minorEastAsia" w:hAnsiTheme="minorEastAsia" w:eastAsiaTheme="minorEastAsia"/>
          <w:color w:val="000000" w:themeColor="text1"/>
          <w:kern w:val="0"/>
          <w:sz w:val="24"/>
          <w14:textFill>
            <w14:solidFill>
              <w14:schemeClr w14:val="tx1"/>
            </w14:solidFill>
          </w14:textFill>
        </w:rPr>
        <w:t>进行综合评审。</w:t>
      </w:r>
    </w:p>
    <w:p>
      <w:pPr>
        <w:autoSpaceDE w:val="0"/>
        <w:autoSpaceDN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二、本次招标项目的评标方法为综合评分法，总计100分。评标标准按以下6项内容及分值进行评审。</w:t>
      </w:r>
    </w:p>
    <w:tbl>
      <w:tblPr>
        <w:tblStyle w:val="23"/>
        <w:tblW w:w="6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666" w:type="dxa"/>
            <w:tcBorders>
              <w:tl2br w:val="single" w:color="auto" w:sz="4" w:space="0"/>
            </w:tcBorders>
          </w:tcPr>
          <w:p>
            <w:pPr>
              <w:autoSpaceDE w:val="0"/>
              <w:autoSpaceDN w:val="0"/>
              <w:adjustRightInd w:val="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标段</w:t>
            </w:r>
          </w:p>
          <w:p>
            <w:pPr>
              <w:autoSpaceDE w:val="0"/>
              <w:autoSpaceDN w:val="0"/>
              <w:adjustRightInd w:val="0"/>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类别</w:t>
            </w:r>
          </w:p>
        </w:tc>
        <w:tc>
          <w:tcPr>
            <w:tcW w:w="4054" w:type="dxa"/>
            <w:vAlign w:val="center"/>
          </w:tcPr>
          <w:p>
            <w:pPr>
              <w:autoSpaceDE w:val="0"/>
              <w:autoSpaceDN w:val="0"/>
              <w:adjustRightInd w:val="0"/>
              <w:spacing w:line="480" w:lineRule="auto"/>
              <w:jc w:val="center"/>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666" w:type="dxa"/>
            <w:vAlign w:val="center"/>
          </w:tcPr>
          <w:p>
            <w:pPr>
              <w:autoSpaceDE w:val="0"/>
              <w:autoSpaceDN w:val="0"/>
              <w:adjustRightInd w:val="0"/>
              <w:jc w:val="left"/>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技术评分</w:t>
            </w:r>
          </w:p>
        </w:tc>
        <w:tc>
          <w:tcPr>
            <w:tcW w:w="4054" w:type="dxa"/>
            <w:vAlign w:val="center"/>
          </w:tcPr>
          <w:p>
            <w:pPr>
              <w:autoSpaceDE w:val="0"/>
              <w:autoSpaceDN w:val="0"/>
              <w:adjustRightInd w:val="0"/>
              <w:jc w:val="center"/>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666" w:type="dxa"/>
            <w:vAlign w:val="center"/>
          </w:tcPr>
          <w:p>
            <w:pPr>
              <w:autoSpaceDE w:val="0"/>
              <w:autoSpaceDN w:val="0"/>
              <w:adjustRightInd w:val="0"/>
              <w:jc w:val="left"/>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实力信誉及业绩评分</w:t>
            </w:r>
          </w:p>
        </w:tc>
        <w:tc>
          <w:tcPr>
            <w:tcW w:w="4054" w:type="dxa"/>
            <w:vAlign w:val="center"/>
          </w:tcPr>
          <w:p>
            <w:pPr>
              <w:autoSpaceDE w:val="0"/>
              <w:autoSpaceDN w:val="0"/>
              <w:adjustRightInd w:val="0"/>
              <w:jc w:val="center"/>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666" w:type="dxa"/>
            <w:vAlign w:val="center"/>
          </w:tcPr>
          <w:p>
            <w:pPr>
              <w:autoSpaceDE w:val="0"/>
              <w:autoSpaceDN w:val="0"/>
              <w:adjustRightInd w:val="0"/>
              <w:jc w:val="left"/>
              <w:rPr>
                <w:rFonts w:hint="eastAsia" w:ascii="宋体" w:hAnsi="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售后服务评分</w:t>
            </w:r>
          </w:p>
        </w:tc>
        <w:tc>
          <w:tcPr>
            <w:tcW w:w="4054" w:type="dxa"/>
            <w:vAlign w:val="center"/>
          </w:tcPr>
          <w:p>
            <w:pPr>
              <w:autoSpaceDE w:val="0"/>
              <w:autoSpaceDN w:val="0"/>
              <w:adjustRightInd w:val="0"/>
              <w:jc w:val="center"/>
              <w:rPr>
                <w:rFonts w:hint="default" w:ascii="宋体" w:hAnsi="宋体" w:eastAsia="宋体" w:cs="Arial"/>
                <w:color w:val="000000" w:themeColor="text1"/>
                <w:kern w:val="2"/>
                <w:sz w:val="24"/>
                <w:szCs w:val="24"/>
                <w:lang w:val="en-US" w:eastAsia="zh-CN" w:bidi="ar-SA"/>
                <w14:textFill>
                  <w14:solidFill>
                    <w14:schemeClr w14:val="tx1"/>
                  </w14:solidFill>
                </w14:textFill>
              </w:rPr>
            </w:pPr>
            <w:r>
              <w:rPr>
                <w:rFonts w:hint="eastAsia" w:ascii="宋体" w:hAnsi="宋体" w:cs="Arial"/>
                <w:color w:val="000000" w:themeColor="text1"/>
                <w:kern w:val="2"/>
                <w:sz w:val="24"/>
                <w:szCs w:val="24"/>
                <w:lang w:val="en-US" w:eastAsia="zh-CN" w:bidi="ar-SA"/>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666" w:type="dxa"/>
            <w:vAlign w:val="center"/>
          </w:tcPr>
          <w:p>
            <w:pPr>
              <w:autoSpaceDE w:val="0"/>
              <w:autoSpaceDN w:val="0"/>
              <w:adjustRightInd w:val="0"/>
              <w:jc w:val="left"/>
              <w:rPr>
                <w:rFonts w:hint="eastAsia" w:ascii="宋体" w:hAnsi="宋体" w:cs="Arial"/>
                <w:color w:val="000000" w:themeColor="text1"/>
                <w:sz w:val="24"/>
                <w:lang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投标文件制作评分</w:t>
            </w:r>
          </w:p>
        </w:tc>
        <w:tc>
          <w:tcPr>
            <w:tcW w:w="4054" w:type="dxa"/>
            <w:vAlign w:val="center"/>
          </w:tcPr>
          <w:p>
            <w:pPr>
              <w:autoSpaceDE w:val="0"/>
              <w:autoSpaceDN w:val="0"/>
              <w:adjustRightInd w:val="0"/>
              <w:jc w:val="center"/>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666" w:type="dxa"/>
            <w:vAlign w:val="center"/>
          </w:tcPr>
          <w:p>
            <w:pPr>
              <w:autoSpaceDE w:val="0"/>
              <w:autoSpaceDN w:val="0"/>
              <w:adjustRightInd w:val="0"/>
              <w:jc w:val="left"/>
              <w:rPr>
                <w:rFonts w:hint="eastAsia" w:ascii="宋体" w:hAnsi="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价格</w:t>
            </w:r>
            <w:r>
              <w:rPr>
                <w:rFonts w:hint="eastAsia" w:ascii="宋体" w:hAnsi="宋体" w:cs="Arial"/>
                <w:color w:val="000000" w:themeColor="text1"/>
                <w:sz w:val="24"/>
                <w:lang w:eastAsia="zh-CN"/>
                <w14:textFill>
                  <w14:solidFill>
                    <w14:schemeClr w14:val="tx1"/>
                  </w14:solidFill>
                </w14:textFill>
              </w:rPr>
              <w:t>分</w:t>
            </w:r>
          </w:p>
        </w:tc>
        <w:tc>
          <w:tcPr>
            <w:tcW w:w="4054" w:type="dxa"/>
            <w:vAlign w:val="center"/>
          </w:tcPr>
          <w:p>
            <w:pPr>
              <w:autoSpaceDE w:val="0"/>
              <w:autoSpaceDN w:val="0"/>
              <w:adjustRightInd w:val="0"/>
              <w:jc w:val="center"/>
              <w:rPr>
                <w:rFonts w:hint="default" w:ascii="宋体" w:hAnsi="宋体" w:eastAsia="宋体" w:cs="Arial"/>
                <w:color w:val="000000" w:themeColor="text1"/>
                <w:kern w:val="2"/>
                <w:sz w:val="24"/>
                <w:szCs w:val="24"/>
                <w:lang w:val="en-US" w:eastAsia="zh-CN" w:bidi="ar-SA"/>
                <w14:textFill>
                  <w14:solidFill>
                    <w14:schemeClr w14:val="tx1"/>
                  </w14:solidFill>
                </w14:textFill>
              </w:rPr>
            </w:pPr>
            <w:r>
              <w:rPr>
                <w:rFonts w:hint="eastAsia" w:ascii="宋体" w:hAnsi="宋体" w:cs="Arial"/>
                <w:color w:val="000000" w:themeColor="text1"/>
                <w:kern w:val="2"/>
                <w:sz w:val="24"/>
                <w:szCs w:val="24"/>
                <w:lang w:val="en-US" w:eastAsia="zh-CN" w:bidi="ar-SA"/>
                <w14:textFill>
                  <w14:solidFill>
                    <w14:schemeClr w14:val="tx1"/>
                  </w14:solidFill>
                </w14:textFill>
              </w:rPr>
              <w:t>30</w:t>
            </w:r>
          </w:p>
        </w:tc>
      </w:tr>
    </w:tbl>
    <w:p>
      <w:pPr>
        <w:autoSpaceDE w:val="0"/>
        <w:autoSpaceDN w:val="0"/>
        <w:adjustRightInd w:val="0"/>
        <w:spacing w:line="360" w:lineRule="auto"/>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（二）各投标人商务与技术文件</w:t>
      </w:r>
      <w:r>
        <w:rPr>
          <w:rFonts w:hint="eastAsia" w:ascii="宋体"/>
          <w:color w:val="000000" w:themeColor="text1"/>
          <w:kern w:val="0"/>
          <w:sz w:val="24"/>
          <w:lang w:val="zh-CN"/>
          <w14:textFill>
            <w14:solidFill>
              <w14:schemeClr w14:val="tx1"/>
            </w14:solidFill>
          </w14:textFill>
        </w:rPr>
        <w:t>得分按照评标委员会成</w:t>
      </w:r>
      <w:r>
        <w:rPr>
          <w:rFonts w:hint="eastAsia" w:ascii="宋体"/>
          <w:bCs/>
          <w:color w:val="000000" w:themeColor="text1"/>
          <w:sz w:val="24"/>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bCs/>
          <w:color w:val="000000" w:themeColor="text1"/>
          <w:sz w:val="24"/>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（三）</w:t>
      </w:r>
      <w:r>
        <w:rPr>
          <w:rFonts w:hint="eastAsia" w:ascii="宋体"/>
          <w:color w:val="000000" w:themeColor="text1"/>
          <w:sz w:val="24"/>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投标报价得</w:t>
      </w:r>
      <w:r>
        <w:rPr>
          <w:color w:val="000000" w:themeColor="text1"/>
          <w:sz w:val="24"/>
          <w:u w:val="single"/>
          <w14:textFill>
            <w14:solidFill>
              <w14:schemeClr w14:val="tx1"/>
            </w14:solidFill>
          </w14:textFill>
        </w:rPr>
        <w:t>分=(评标基准价／投</w:t>
      </w:r>
      <w:r>
        <w:rPr>
          <w:rFonts w:ascii="宋体" w:hAnsi="宋体"/>
          <w:color w:val="000000" w:themeColor="text1"/>
          <w:sz w:val="24"/>
          <w:u w:val="single"/>
          <w14:textFill>
            <w14:solidFill>
              <w14:schemeClr w14:val="tx1"/>
            </w14:solidFill>
          </w14:textFill>
        </w:rPr>
        <w:t>标报价)×</w:t>
      </w:r>
      <w:r>
        <w:rPr>
          <w:rFonts w:hint="eastAsia" w:ascii="宋体" w:hAnsi="宋体"/>
          <w:color w:val="000000" w:themeColor="text1"/>
          <w:sz w:val="24"/>
          <w:u w:val="single"/>
          <w:lang w:val="en-US" w:eastAsia="zh-CN"/>
          <w14:textFill>
            <w14:solidFill>
              <w14:schemeClr w14:val="tx1"/>
            </w14:solidFill>
          </w14:textFill>
        </w:rPr>
        <w:t xml:space="preserve">30 </w:t>
      </w:r>
      <w:r>
        <w:rPr>
          <w:rFonts w:hint="eastAsia" w:ascii="宋体" w:hAnsi="宋体"/>
          <w:color w:val="000000" w:themeColor="text1"/>
          <w:sz w:val="24"/>
          <w:u w:val="single"/>
          <w14:textFill>
            <w14:solidFill>
              <w14:schemeClr w14:val="tx1"/>
            </w14:solidFill>
          </w14:textFill>
        </w:rPr>
        <w:t>%</w:t>
      </w:r>
      <w:r>
        <w:rPr>
          <w:rFonts w:ascii="宋体" w:hAnsi="宋体"/>
          <w:color w:val="000000" w:themeColor="text1"/>
          <w:sz w:val="24"/>
          <w:u w:val="single"/>
          <w14:textFill>
            <w14:solidFill>
              <w14:schemeClr w14:val="tx1"/>
            </w14:solidFill>
          </w14:textFill>
        </w:rPr>
        <w:t>×100</w:t>
      </w:r>
      <w:r>
        <w:rPr>
          <w:rFonts w:hint="eastAsia" w:ascii="宋体" w:hAnsi="宋体"/>
          <w:color w:val="000000" w:themeColor="text1"/>
          <w:sz w:val="24"/>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电子印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电子印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具体优惠：对于小型微型企业产品的价格给予</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6</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29"/>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六、本次评分具体分值细化条款如下表：</w:t>
      </w:r>
    </w:p>
    <w:tbl>
      <w:tblPr>
        <w:tblStyle w:val="23"/>
        <w:tblpPr w:leftFromText="180" w:rightFromText="180" w:vertAnchor="text" w:horzAnchor="page" w:tblpX="1082" w:tblpY="1038"/>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11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95" w:type="dxa"/>
            <w:vAlign w:val="center"/>
          </w:tcPr>
          <w:p>
            <w:pPr>
              <w:widowControl/>
              <w:ind w:firstLine="0" w:firstLineChars="0"/>
              <w:jc w:val="center"/>
              <w:rPr>
                <w:b/>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评分项目</w:t>
            </w:r>
          </w:p>
        </w:tc>
        <w:tc>
          <w:tcPr>
            <w:tcW w:w="8115" w:type="dxa"/>
            <w:vAlign w:val="center"/>
          </w:tcPr>
          <w:p>
            <w:pPr>
              <w:widowControl/>
              <w:ind w:firstLine="48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评 分 细 则</w:t>
            </w:r>
          </w:p>
        </w:tc>
        <w:tc>
          <w:tcPr>
            <w:tcW w:w="750" w:type="dxa"/>
            <w:vAlign w:val="center"/>
          </w:tcPr>
          <w:p>
            <w:pPr>
              <w:widowControl/>
              <w:ind w:firstLine="0" w:firstLineChars="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095" w:type="dxa"/>
            <w:vMerge w:val="restart"/>
            <w:vAlign w:val="center"/>
          </w:tcPr>
          <w:p>
            <w:pPr>
              <w:widowControl/>
              <w:ind w:firstLine="0" w:firstLineChars="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技术性能</w:t>
            </w:r>
          </w:p>
          <w:p>
            <w:pPr>
              <w:widowControl/>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41</w:t>
            </w:r>
            <w:r>
              <w:rPr>
                <w:rFonts w:hint="eastAsia" w:ascii="宋体" w:hAnsi="宋体"/>
                <w:color w:val="000000" w:themeColor="text1"/>
                <w:szCs w:val="21"/>
                <w:highlight w:val="none"/>
                <w14:textFill>
                  <w14:solidFill>
                    <w14:schemeClr w14:val="tx1"/>
                  </w14:solidFill>
                </w14:textFill>
              </w:rPr>
              <w:t>分)</w:t>
            </w: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详细阐述本项目体系架构、功能模块、实现思路和关键技术，以及对功能设计、实施计划和建设方案的可行性等，分五档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第一档10-8.1分，第二档8-6.1分，第三档6-4.1分，第四档4-2.1分，第五档2-0分</w:t>
            </w:r>
            <w:r>
              <w:rPr>
                <w:rFonts w:hint="eastAsia"/>
                <w:color w:val="000000" w:themeColor="text1"/>
                <w:highlight w:val="none"/>
                <w:lang w:eastAsia="zh-CN"/>
                <w14:textFill>
                  <w14:solidFill>
                    <w14:schemeClr w14:val="tx1"/>
                  </w14:solidFill>
                </w14:textFill>
              </w:rPr>
              <w:t>。</w:t>
            </w:r>
          </w:p>
        </w:tc>
        <w:tc>
          <w:tcPr>
            <w:tcW w:w="750" w:type="dxa"/>
            <w:vAlign w:val="center"/>
          </w:tcPr>
          <w:p>
            <w:pPr>
              <w:pStyle w:val="2"/>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095" w:type="dxa"/>
            <w:vMerge w:val="continue"/>
            <w:vAlign w:val="center"/>
          </w:tcPr>
          <w:p>
            <w:pPr>
              <w:widowControl/>
              <w:ind w:firstLine="480"/>
              <w:jc w:val="center"/>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根据投标人实地勘查后提供的前端建设点位了解程度与优化方案，分五档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分：第一档10-8.1分，第二档8-6.1分，第三档6-4.1分，第四档4-2.1分，第五档2-0分。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95" w:type="dxa"/>
            <w:vMerge w:val="continue"/>
            <w:vAlign w:val="center"/>
          </w:tcPr>
          <w:p>
            <w:pPr>
              <w:widowControl/>
              <w:ind w:firstLine="480"/>
              <w:jc w:val="center"/>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根据所投摄像机、交通信号灯、交通信息屏、微波流量检测设备、固定式测速设备、存储及其配套设备的选型、技术性能，满足功能及技术参数要求情况，分五档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分：第一档10-8.1分，第二档8-6.1分，第三档6-4.1分，第四档4-2.1分，第五档2-0分。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095" w:type="dxa"/>
            <w:vMerge w:val="continue"/>
            <w:vAlign w:val="center"/>
          </w:tcPr>
          <w:p>
            <w:pPr>
              <w:widowControl/>
              <w:ind w:firstLine="480"/>
              <w:jc w:val="center"/>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根据投标人所投摄像机和补光设备在节能减排、绿色环保及减少道路上光污染和防眩目等情况（需提供相应资料），分四档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分：第一档6-4.6分，第二档4.5-3.1分，第三档3-1.6分，第四档1.5-0分。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095" w:type="dxa"/>
            <w:vMerge w:val="continue"/>
            <w:vAlign w:val="center"/>
          </w:tcPr>
          <w:p>
            <w:pPr>
              <w:widowControl/>
              <w:ind w:firstLine="480"/>
              <w:jc w:val="center"/>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根据投标人提供摄像机接入台州交警电子警察运行平台</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技术方案情况</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五</w:t>
            </w:r>
            <w:r>
              <w:rPr>
                <w:rFonts w:hint="eastAsia"/>
                <w:color w:val="000000" w:themeColor="text1"/>
                <w:highlight w:val="none"/>
                <w14:textFill>
                  <w14:solidFill>
                    <w14:schemeClr w14:val="tx1"/>
                  </w14:solidFill>
                </w14:textFill>
              </w:rPr>
              <w:t>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第一档5-4.1分，第二档4-3.1分，第三档3-2.1分，第四档2-1.1分,第五档1-0分。</w:t>
            </w:r>
          </w:p>
        </w:tc>
        <w:tc>
          <w:tcPr>
            <w:tcW w:w="750" w:type="dxa"/>
            <w:vAlign w:val="center"/>
          </w:tcPr>
          <w:p>
            <w:pPr>
              <w:pStyle w:val="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095" w:type="dxa"/>
            <w:vMerge w:val="restart"/>
            <w:vAlign w:val="center"/>
          </w:tcPr>
          <w:p>
            <w:pPr>
              <w:widowControl/>
              <w:ind w:firstLine="0" w:firstLineChars="0"/>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实力信誉及业绩</w:t>
            </w:r>
          </w:p>
          <w:p>
            <w:pPr>
              <w:widowControl/>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（12分）</w:t>
            </w: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根据投标人的企业实力、履约能力和信誉评价等综合实力酌情</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分，分四档打分,第一档4-3.1分，第二档3-2.1分，第三档2-1.1分，第四档1-0分。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095" w:type="dxa"/>
            <w:vMerge w:val="continue"/>
            <w:vAlign w:val="center"/>
          </w:tcPr>
          <w:p>
            <w:pPr>
              <w:widowControl/>
              <w:ind w:firstLine="480"/>
              <w:jc w:val="center"/>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根据投标人提供的2017年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月1日</w:t>
            </w:r>
            <w:r>
              <w:rPr>
                <w:rFonts w:hint="eastAsia"/>
                <w:color w:val="000000" w:themeColor="text1"/>
                <w:highlight w:val="none"/>
                <w14:textFill>
                  <w14:solidFill>
                    <w14:schemeClr w14:val="tx1"/>
                  </w14:solidFill>
                </w14:textFill>
              </w:rPr>
              <w:t>（含）以来，公安、交警的电子警察、天网工程和雪亮工程</w:t>
            </w:r>
            <w:r>
              <w:rPr>
                <w:rFonts w:hint="eastAsia"/>
                <w:color w:val="000000" w:themeColor="text1"/>
                <w:highlight w:val="none"/>
                <w:lang w:eastAsia="zh-CN"/>
                <w14:textFill>
                  <w14:solidFill>
                    <w14:schemeClr w14:val="tx1"/>
                  </w14:solidFill>
                </w14:textFill>
              </w:rPr>
              <w:t>等</w:t>
            </w:r>
            <w:r>
              <w:rPr>
                <w:rFonts w:hint="eastAsia"/>
                <w:color w:val="000000" w:themeColor="text1"/>
                <w:highlight w:val="none"/>
                <w14:textFill>
                  <w14:solidFill>
                    <w14:schemeClr w14:val="tx1"/>
                  </w14:solidFill>
                </w14:textFill>
              </w:rPr>
              <w:t>类似</w:t>
            </w:r>
            <w:r>
              <w:rPr>
                <w:rFonts w:hint="eastAsia"/>
                <w:color w:val="000000" w:themeColor="text1"/>
                <w:highlight w:val="none"/>
                <w:lang w:eastAsia="zh-CN"/>
                <w14:textFill>
                  <w14:solidFill>
                    <w14:schemeClr w14:val="tx1"/>
                  </w14:solidFill>
                </w14:textFill>
              </w:rPr>
              <w:t>本</w:t>
            </w:r>
            <w:r>
              <w:rPr>
                <w:rFonts w:hint="eastAsia"/>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的业绩</w:t>
            </w:r>
            <w:r>
              <w:rPr>
                <w:rFonts w:hint="eastAsia"/>
                <w:color w:val="000000" w:themeColor="text1"/>
                <w:highlight w:val="none"/>
                <w14:textFill>
                  <w14:solidFill>
                    <w14:schemeClr w14:val="tx1"/>
                  </w14:solidFill>
                </w14:textFill>
              </w:rPr>
              <w:t>进行</w:t>
            </w:r>
            <w:r>
              <w:rPr>
                <w:rFonts w:hint="eastAsia"/>
                <w:color w:val="000000" w:themeColor="text1"/>
                <w:highlight w:val="none"/>
                <w:lang w:eastAsia="zh-CN"/>
                <w14:textFill>
                  <w14:solidFill>
                    <w14:schemeClr w14:val="tx1"/>
                  </w14:solidFill>
                </w14:textFill>
              </w:rPr>
              <w:t>综合评</w:t>
            </w:r>
            <w:r>
              <w:rPr>
                <w:rFonts w:hint="eastAsia"/>
                <w:color w:val="000000" w:themeColor="text1"/>
                <w:highlight w:val="none"/>
                <w14:textFill>
                  <w14:solidFill>
                    <w14:schemeClr w14:val="tx1"/>
                  </w14:solidFill>
                </w14:textFill>
              </w:rPr>
              <w:t>分，每提供一个合同和项目验收报告复印件的得1分，满分4分。（合同、项目验收报告复印件做入标书，未最终验收不得分）。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95" w:type="dxa"/>
            <w:vMerge w:val="continue"/>
            <w:vAlign w:val="center"/>
          </w:tcPr>
          <w:p>
            <w:pPr>
              <w:widowControl/>
              <w:ind w:firstLine="480"/>
              <w:jc w:val="center"/>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项目负责人具有一级建造师（通信与广电专业）、PMP项目经理、信息系统项目管理师证书的每个得1分，最多得2分。</w:t>
            </w:r>
          </w:p>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投标人项目组其他成员具有与项目实施相关的其他资质证书（强电、弱电、市政、通信、网络）的每个得1分，最高2分。</w:t>
            </w:r>
          </w:p>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（以上所涉及人员需提供开标前6个月及以上的投标单位社保缴费证明）</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1095" w:type="dxa"/>
            <w:vMerge w:val="restart"/>
            <w:vAlign w:val="center"/>
          </w:tcPr>
          <w:p>
            <w:pPr>
              <w:widowControl/>
              <w:ind w:firstLine="0" w:firstLineChars="0"/>
              <w:jc w:val="left"/>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售后服务</w:t>
            </w:r>
          </w:p>
          <w:p>
            <w:pPr>
              <w:widowControl/>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根据投标人提供业绩得分项目在质保期运行维护情况进行</w:t>
            </w:r>
            <w:r>
              <w:rPr>
                <w:rFonts w:hint="eastAsia"/>
                <w:color w:val="000000" w:themeColor="text1"/>
                <w:highlight w:val="none"/>
                <w:lang w:eastAsia="zh-CN"/>
                <w14:textFill>
                  <w14:solidFill>
                    <w14:schemeClr w14:val="tx1"/>
                  </w14:solidFill>
                </w14:textFill>
              </w:rPr>
              <w:t>综合</w:t>
            </w:r>
            <w:r>
              <w:rPr>
                <w:rFonts w:hint="eastAsia"/>
                <w:color w:val="000000" w:themeColor="text1"/>
                <w:highlight w:val="none"/>
                <w14:textFill>
                  <w14:solidFill>
                    <w14:schemeClr w14:val="tx1"/>
                  </w14:solidFill>
                </w14:textFill>
              </w:rPr>
              <w:t>比较（如</w:t>
            </w:r>
            <w:r>
              <w:rPr>
                <w:rFonts w:hint="eastAsia"/>
                <w:color w:val="000000" w:themeColor="text1"/>
                <w:highlight w:val="none"/>
                <w:lang w:eastAsia="zh-CN"/>
                <w14:textFill>
                  <w14:solidFill>
                    <w14:schemeClr w14:val="tx1"/>
                  </w14:solidFill>
                </w14:textFill>
              </w:rPr>
              <w:t>监控</w:t>
            </w:r>
            <w:r>
              <w:rPr>
                <w:rFonts w:hint="eastAsia"/>
                <w:color w:val="000000" w:themeColor="text1"/>
                <w:highlight w:val="none"/>
                <w14:textFill>
                  <w14:solidFill>
                    <w14:schemeClr w14:val="tx1"/>
                  </w14:solidFill>
                </w14:textFill>
              </w:rPr>
              <w:t>相机每日工作情况报表、项目每月运行维护报告、设备故障修复响应时间等</w:t>
            </w:r>
            <w:r>
              <w:rPr>
                <w:rFonts w:hint="eastAsia"/>
                <w:color w:val="000000" w:themeColor="text1"/>
                <w:highlight w:val="none"/>
                <w:lang w:eastAsia="zh-CN"/>
                <w14:textFill>
                  <w14:solidFill>
                    <w14:schemeClr w14:val="tx1"/>
                  </w14:solidFill>
                </w14:textFill>
              </w:rPr>
              <w:t>相关证明材料</w:t>
            </w:r>
            <w:r>
              <w:rPr>
                <w:rFonts w:hint="eastAsia"/>
                <w:color w:val="000000" w:themeColor="text1"/>
                <w:highlight w:val="none"/>
                <w14:textFill>
                  <w14:solidFill>
                    <w14:schemeClr w14:val="tx1"/>
                  </w14:solidFill>
                </w14:textFill>
              </w:rPr>
              <w:t>），分四档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w:t>
            </w:r>
          </w:p>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第一档4-3.1分，第二档3-2.1分，第三档2-1.1分,第四档1-0分。（投标人需提供上述得分合同的情况相关证明材料做入标书，并加盖项目业主的公章，否则不得分）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1095" w:type="dxa"/>
            <w:vMerge w:val="continue"/>
            <w:vAlign w:val="center"/>
          </w:tcPr>
          <w:p>
            <w:pPr>
              <w:widowControl/>
              <w:ind w:firstLine="480"/>
              <w:jc w:val="left"/>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根据投标人提供针对本项目维护期间的运行维护计划、故障修复方案等情况，分五档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分。第一档5-4.1分，第二档4-3.1分，第三档3-2.1分，第四档2-1.1分,第五档1-0分。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1095" w:type="dxa"/>
            <w:vMerge w:val="continue"/>
            <w:vAlign w:val="center"/>
          </w:tcPr>
          <w:p>
            <w:pPr>
              <w:widowControl/>
              <w:ind w:firstLine="480"/>
              <w:jc w:val="left"/>
              <w:rPr>
                <w:rFonts w:ascii="宋体" w:hAnsi="宋体"/>
                <w:color w:val="000000" w:themeColor="text1"/>
                <w:szCs w:val="21"/>
                <w:highlight w:val="none"/>
                <w14:textFill>
                  <w14:solidFill>
                    <w14:schemeClr w14:val="tx1"/>
                  </w14:solidFill>
                </w14:textFill>
              </w:rPr>
            </w:pPr>
          </w:p>
        </w:tc>
        <w:tc>
          <w:tcPr>
            <w:tcW w:w="8115" w:type="dxa"/>
            <w:vAlign w:val="center"/>
          </w:tcPr>
          <w:p>
            <w:pPr>
              <w:pStyle w:val="2"/>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根据投标人本地</w:t>
            </w:r>
            <w:r>
              <w:rPr>
                <w:rFonts w:hint="eastAsia"/>
                <w:color w:val="000000" w:themeColor="text1"/>
                <w:highlight w:val="none"/>
                <w:lang w:eastAsia="zh-CN"/>
                <w14:textFill>
                  <w14:solidFill>
                    <w14:schemeClr w14:val="tx1"/>
                  </w14:solidFill>
                </w14:textFill>
              </w:rPr>
              <w:t>化服务能力（</w:t>
            </w:r>
            <w:r>
              <w:rPr>
                <w:rFonts w:hint="eastAsia"/>
                <w:color w:val="000000" w:themeColor="text1"/>
                <w:highlight w:val="none"/>
                <w14:textFill>
                  <w14:solidFill>
                    <w14:schemeClr w14:val="tx1"/>
                  </w14:solidFill>
                </w14:textFill>
              </w:rPr>
              <w:t>维修点或服务网点分布情况及针对本项目提供的维护车辆、维护人员</w:t>
            </w:r>
            <w:r>
              <w:rPr>
                <w:rFonts w:hint="eastAsia"/>
                <w:color w:val="000000" w:themeColor="text1"/>
                <w:highlight w:val="none"/>
                <w:lang w:eastAsia="zh-CN"/>
                <w14:textFill>
                  <w14:solidFill>
                    <w14:schemeClr w14:val="tx1"/>
                  </w14:solidFill>
                </w14:textFill>
              </w:rPr>
              <w:t>安排</w:t>
            </w:r>
            <w:r>
              <w:rPr>
                <w:rFonts w:hint="eastAsia"/>
                <w:color w:val="000000" w:themeColor="text1"/>
                <w:highlight w:val="none"/>
                <w14:textFill>
                  <w14:solidFill>
                    <w14:schemeClr w14:val="tx1"/>
                  </w14:solidFill>
                </w14:textFill>
              </w:rPr>
              <w:t>等情况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，分五档</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分。第一档</w:t>
            </w:r>
            <w:r>
              <w:rPr>
                <w:rFonts w:hint="eastAsia"/>
                <w:color w:val="000000" w:themeColor="text1"/>
                <w:highlight w:val="none"/>
                <w:lang w:val="en-US" w:eastAsia="zh-CN"/>
                <w14:textFill>
                  <w14:solidFill>
                    <w14:schemeClr w14:val="tx1"/>
                  </w14:solidFill>
                </w14:textFill>
              </w:rPr>
              <w:t>6-4.9</w:t>
            </w:r>
            <w:r>
              <w:rPr>
                <w:rFonts w:hint="eastAsia"/>
                <w:color w:val="000000" w:themeColor="text1"/>
                <w:highlight w:val="none"/>
                <w14:textFill>
                  <w14:solidFill>
                    <w14:schemeClr w14:val="tx1"/>
                  </w14:solidFill>
                </w14:textFill>
              </w:rPr>
              <w:t>分，第二档</w:t>
            </w:r>
            <w:r>
              <w:rPr>
                <w:rFonts w:hint="eastAsia"/>
                <w:color w:val="000000" w:themeColor="text1"/>
                <w:highlight w:val="none"/>
                <w:lang w:val="en-US" w:eastAsia="zh-CN"/>
                <w14:textFill>
                  <w14:solidFill>
                    <w14:schemeClr w14:val="tx1"/>
                  </w14:solidFill>
                </w14:textFill>
              </w:rPr>
              <w:t>4.8-3.7</w:t>
            </w:r>
            <w:r>
              <w:rPr>
                <w:rFonts w:hint="eastAsia"/>
                <w:color w:val="000000" w:themeColor="text1"/>
                <w:highlight w:val="none"/>
                <w14:textFill>
                  <w14:solidFill>
                    <w14:schemeClr w14:val="tx1"/>
                  </w14:solidFill>
                </w14:textFill>
              </w:rPr>
              <w:t>分，第三档</w:t>
            </w:r>
            <w:r>
              <w:rPr>
                <w:rFonts w:hint="eastAsia"/>
                <w:color w:val="000000" w:themeColor="text1"/>
                <w:highlight w:val="none"/>
                <w:lang w:val="en-US" w:eastAsia="zh-CN"/>
                <w14:textFill>
                  <w14:solidFill>
                    <w14:schemeClr w14:val="tx1"/>
                  </w14:solidFill>
                </w14:textFill>
              </w:rPr>
              <w:t>3.6-2.5</w:t>
            </w:r>
            <w:r>
              <w:rPr>
                <w:rFonts w:hint="eastAsia"/>
                <w:color w:val="000000" w:themeColor="text1"/>
                <w:highlight w:val="none"/>
                <w14:textFill>
                  <w14:solidFill>
                    <w14:schemeClr w14:val="tx1"/>
                  </w14:solidFill>
                </w14:textFill>
              </w:rPr>
              <w:t>分，第四档</w:t>
            </w:r>
            <w:r>
              <w:rPr>
                <w:rFonts w:hint="eastAsia"/>
                <w:color w:val="000000" w:themeColor="text1"/>
                <w:highlight w:val="none"/>
                <w:lang w:val="en-US" w:eastAsia="zh-CN"/>
                <w14:textFill>
                  <w14:solidFill>
                    <w14:schemeClr w14:val="tx1"/>
                  </w14:solidFill>
                </w14:textFill>
              </w:rPr>
              <w:t>2.4-1.3</w:t>
            </w:r>
            <w:r>
              <w:rPr>
                <w:rFonts w:hint="eastAsia"/>
                <w:color w:val="000000" w:themeColor="text1"/>
                <w:highlight w:val="none"/>
                <w14:textFill>
                  <w14:solidFill>
                    <w14:schemeClr w14:val="tx1"/>
                  </w14:solidFill>
                </w14:textFill>
              </w:rPr>
              <w:t>分,第五档</w:t>
            </w:r>
            <w:r>
              <w:rPr>
                <w:rFonts w:hint="eastAsia"/>
                <w:color w:val="000000" w:themeColor="text1"/>
                <w:highlight w:val="none"/>
                <w:lang w:val="en-US" w:eastAsia="zh-CN"/>
                <w14:textFill>
                  <w14:solidFill>
                    <w14:schemeClr w14:val="tx1"/>
                  </w14:solidFill>
                </w14:textFill>
              </w:rPr>
              <w:t>1.2-0</w:t>
            </w:r>
            <w:r>
              <w:rPr>
                <w:rFonts w:hint="eastAsia"/>
                <w:color w:val="000000" w:themeColor="text1"/>
                <w:highlight w:val="none"/>
                <w14:textFill>
                  <w14:solidFill>
                    <w14:schemeClr w14:val="tx1"/>
                  </w14:solidFill>
                </w14:textFill>
              </w:rPr>
              <w:t>分。维护人员须提供近6个月本单位的社保缴纳证明</w:t>
            </w:r>
            <w:r>
              <w:rPr>
                <w:rFonts w:hint="eastAsia"/>
                <w:color w:val="000000" w:themeColor="text1"/>
                <w:highlight w:val="none"/>
                <w:lang w:eastAsia="zh-CN"/>
                <w14:textFill>
                  <w14:solidFill>
                    <w14:schemeClr w14:val="tx1"/>
                  </w14:solidFill>
                </w14:textFill>
              </w:rPr>
              <w:t>，其他服务能力视情提供相关材料。</w:t>
            </w:r>
          </w:p>
        </w:tc>
        <w:tc>
          <w:tcPr>
            <w:tcW w:w="750" w:type="dxa"/>
            <w:vAlign w:val="center"/>
          </w:tcPr>
          <w:p>
            <w:pPr>
              <w:pStyle w:val="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95" w:type="dxa"/>
            <w:vAlign w:val="center"/>
          </w:tcPr>
          <w:p>
            <w:pPr>
              <w:widowControl/>
              <w:ind w:firstLine="0" w:firstLineChars="0"/>
              <w:jc w:val="left"/>
              <w:rPr>
                <w:rFonts w:ascii="宋体" w:hAnsi="宋体"/>
                <w:color w:val="000000" w:themeColor="text1"/>
                <w:szCs w:val="21"/>
                <w:highlight w:val="none"/>
                <w14:textFill>
                  <w14:solidFill>
                    <w14:schemeClr w14:val="tx1"/>
                  </w14:solidFill>
                </w14:textFill>
              </w:rPr>
            </w:pPr>
            <w:r>
              <w:rPr>
                <w:rFonts w:hint="eastAsia" w:ascii="Times New Roman" w:hAnsi="Times New Roman"/>
                <w:color w:val="000000" w:themeColor="text1"/>
                <w:sz w:val="21"/>
                <w:szCs w:val="24"/>
                <w:highlight w:val="none"/>
                <w14:textFill>
                  <w14:solidFill>
                    <w14:schemeClr w14:val="tx1"/>
                  </w14:solidFill>
                </w14:textFill>
              </w:rPr>
              <w:t>对招标文件响应程度等（2分）</w:t>
            </w: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根据电子投标文件的内容、结构等情况与招标文件的要求比对，酌情</w:t>
            </w:r>
            <w:r>
              <w:rPr>
                <w:rFonts w:hint="eastAsia"/>
                <w:color w:val="000000" w:themeColor="text1"/>
                <w:highlight w:val="none"/>
                <w:lang w:eastAsia="zh-CN"/>
                <w14:textFill>
                  <w14:solidFill>
                    <w14:schemeClr w14:val="tx1"/>
                  </w14:solidFill>
                </w14:textFill>
              </w:rPr>
              <w:t>评</w:t>
            </w:r>
            <w:r>
              <w:rPr>
                <w:rFonts w:hint="eastAsia"/>
                <w:color w:val="000000" w:themeColor="text1"/>
                <w:highlight w:val="none"/>
                <w14:textFill>
                  <w14:solidFill>
                    <w14:schemeClr w14:val="tx1"/>
                  </w14:solidFill>
                </w14:textFill>
              </w:rPr>
              <w:t>分。</w:t>
            </w:r>
          </w:p>
        </w:tc>
        <w:tc>
          <w:tcPr>
            <w:tcW w:w="750" w:type="dxa"/>
            <w:vAlign w:val="center"/>
          </w:tcPr>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095" w:type="dxa"/>
            <w:vAlign w:val="center"/>
          </w:tcPr>
          <w:p>
            <w:pPr>
              <w:widowControl/>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价格（30分）</w:t>
            </w:r>
          </w:p>
        </w:tc>
        <w:tc>
          <w:tcPr>
            <w:tcW w:w="8115"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取投标合格供应商的投标最终报价最低价为基准价。基准价为 30分。投标报价得分＝（评标基准价/最终投标报价）× 30%×100（小数点后保留2位小数）。（注：对于</w:t>
            </w:r>
            <w:r>
              <w:rPr>
                <w:rFonts w:hint="eastAsia"/>
                <w:color w:val="000000" w:themeColor="text1"/>
                <w:highlight w:val="none"/>
                <w:lang w:val="zh-CN"/>
                <w14:textFill>
                  <w14:solidFill>
                    <w14:schemeClr w14:val="tx1"/>
                  </w14:solidFill>
                </w14:textFill>
              </w:rPr>
              <w:t>符合政府采购政策及优惠的</w:t>
            </w:r>
            <w:r>
              <w:rPr>
                <w:rFonts w:hint="eastAsia"/>
                <w:color w:val="000000" w:themeColor="text1"/>
                <w:highlight w:val="none"/>
                <w14:textFill>
                  <w14:solidFill>
                    <w14:schemeClr w14:val="tx1"/>
                  </w14:solidFill>
                </w14:textFill>
              </w:rPr>
              <w:t>企业产品给予6%的价格扣除，具体执行依据见本章第二点的第四条</w:t>
            </w:r>
            <w:r>
              <w:rPr>
                <w:rFonts w:hint="eastAsia"/>
                <w:color w:val="000000" w:themeColor="text1"/>
                <w:highlight w:val="none"/>
                <w:lang w:val="zh-CN"/>
                <w14:textFill>
                  <w14:solidFill>
                    <w14:schemeClr w14:val="tx1"/>
                  </w14:solidFill>
                </w14:textFill>
              </w:rPr>
              <w:t>“政府采购政策及优惠”内的规定</w:t>
            </w:r>
            <w:r>
              <w:rPr>
                <w:rFonts w:hint="eastAsia"/>
                <w:color w:val="000000" w:themeColor="text1"/>
                <w:highlight w:val="none"/>
                <w14:textFill>
                  <w14:solidFill>
                    <w14:schemeClr w14:val="tx1"/>
                  </w14:solidFill>
                </w14:textFill>
              </w:rPr>
              <w:t>）。</w:t>
            </w:r>
          </w:p>
        </w:tc>
        <w:tc>
          <w:tcPr>
            <w:tcW w:w="750" w:type="dxa"/>
            <w:vAlign w:val="center"/>
          </w:tcPr>
          <w:p>
            <w:pPr>
              <w:pStyle w:val="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w:t>
            </w:r>
          </w:p>
        </w:tc>
      </w:tr>
    </w:tbl>
    <w:p>
      <w:pPr>
        <w:ind w:firstLine="480"/>
        <w:rPr>
          <w:color w:val="000000" w:themeColor="text1"/>
          <w:highlight w:val="none"/>
          <w14:textFill>
            <w14:solidFill>
              <w14:schemeClr w14:val="tx1"/>
            </w14:solidFill>
          </w14:textFill>
        </w:rPr>
      </w:pPr>
    </w:p>
    <w:p>
      <w:pPr>
        <w:pStyle w:val="29"/>
        <w:spacing w:line="360" w:lineRule="auto"/>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r>
        <w:rPr>
          <w:rFonts w:hint="eastAsia" w:ascii="宋体" w:hAnsi="宋体" w:cs="宋体"/>
          <w:b/>
          <w:color w:val="000000" w:themeColor="text1"/>
          <w:sz w:val="24"/>
          <w:lang w:val="en-US" w:eastAsia="zh-CN"/>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合同、证书、报告</w:t>
      </w:r>
      <w:r>
        <w:rPr>
          <w:rFonts w:hint="eastAsia" w:ascii="宋体" w:hAnsi="宋体" w:cs="宋体"/>
          <w:b/>
          <w:color w:val="000000" w:themeColor="text1"/>
          <w:sz w:val="24"/>
          <w:lang w:val="en-US" w:eastAsia="zh-CN"/>
          <w14:textFill>
            <w14:solidFill>
              <w14:schemeClr w14:val="tx1"/>
            </w14:solidFill>
          </w14:textFill>
        </w:rPr>
        <w:t>及其他相关证明材料，</w:t>
      </w:r>
      <w:r>
        <w:rPr>
          <w:rFonts w:hint="eastAsia" w:ascii="宋体" w:hAnsi="宋体" w:cs="宋体"/>
          <w:b/>
          <w:color w:val="000000" w:themeColor="text1"/>
          <w:sz w:val="24"/>
          <w:lang w:eastAsia="zh-CN"/>
          <w14:textFill>
            <w14:solidFill>
              <w14:schemeClr w14:val="tx1"/>
            </w14:solidFill>
          </w14:textFill>
        </w:rPr>
        <w:t>将原件扫描上传至电子投标文件</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eastAsia="zh-CN"/>
          <w14:textFill>
            <w14:solidFill>
              <w14:schemeClr w14:val="tx1"/>
            </w14:solidFill>
          </w14:textFill>
        </w:rPr>
        <w:t>并加盖电子印章。</w:t>
      </w:r>
    </w:p>
    <w:p>
      <w:pPr>
        <w:autoSpaceDE w:val="0"/>
        <w:autoSpaceDN w:val="0"/>
        <w:adjustRightIn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得分为第一档的指的是各细项指标全部满足甚至优于采购需求的；第二档指的是与采购人目标需求相比，稍有瑕疵的；第三、四</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五</w:t>
      </w:r>
      <w:r>
        <w:rPr>
          <w:rFonts w:hint="eastAsia" w:ascii="宋体" w:hAnsi="宋体" w:cs="宋体"/>
          <w:b/>
          <w:color w:val="000000" w:themeColor="text1"/>
          <w:sz w:val="24"/>
          <w14:textFill>
            <w14:solidFill>
              <w14:schemeClr w14:val="tx1"/>
            </w14:solidFill>
          </w14:textFill>
        </w:rPr>
        <w:t>档依次类推。</w:t>
      </w:r>
    </w:p>
    <w:p>
      <w:pPr>
        <w:pStyle w:val="29"/>
        <w:spacing w:line="360" w:lineRule="auto"/>
        <w:rPr>
          <w:rFonts w:asciiTheme="minorEastAsia" w:hAnsiTheme="minorEastAsia" w:eastAsiaTheme="minorEastAsia"/>
          <w:b w:val="0"/>
          <w:bCs/>
          <w:color w:val="000000" w:themeColor="text1"/>
          <w:sz w:val="24"/>
          <w:szCs w:val="24"/>
          <w14:textFill>
            <w14:solidFill>
              <w14:schemeClr w14:val="tx1"/>
            </w14:solidFill>
          </w14:textFill>
        </w:rPr>
      </w:pPr>
    </w:p>
    <w:p>
      <w:pPr>
        <w:pStyle w:val="29"/>
        <w:rPr>
          <w:rFonts w:asciiTheme="minorEastAsia" w:hAnsiTheme="minorEastAsia" w:eastAsiaTheme="minorEastAsia"/>
          <w:color w:val="000000" w:themeColor="text1"/>
          <w:sz w:val="24"/>
          <w:szCs w:val="24"/>
          <w14:textFill>
            <w14:solidFill>
              <w14:schemeClr w14:val="tx1"/>
            </w14:solidFill>
          </w14:textFill>
        </w:rPr>
      </w:pPr>
    </w:p>
    <w:p>
      <w:pPr>
        <w:pStyle w:val="29"/>
        <w:rPr>
          <w:rFonts w:asciiTheme="minorEastAsia" w:hAnsiTheme="minorEastAsia" w:eastAsiaTheme="minorEastAsia"/>
          <w:color w:val="000000" w:themeColor="text1"/>
          <w:sz w:val="24"/>
          <w:szCs w:val="24"/>
          <w14:textFill>
            <w14:solidFill>
              <w14:schemeClr w14:val="tx1"/>
            </w14:solidFill>
          </w14:textFill>
        </w:rPr>
      </w:pPr>
    </w:p>
    <w:p>
      <w:pP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p>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一、招标项目一览表</w:t>
      </w:r>
    </w:p>
    <w:p>
      <w:pPr>
        <w:tabs>
          <w:tab w:val="left" w:pos="8280"/>
        </w:tabs>
        <w:autoSpaceDE w:val="0"/>
        <w:autoSpaceDN w:val="0"/>
        <w:adjustRightInd w:val="0"/>
        <w:spacing w:line="360" w:lineRule="auto"/>
        <w:ind w:right="25" w:firstLine="2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本次招标共</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个标段，具体内容如下表：</w:t>
      </w:r>
    </w:p>
    <w:tbl>
      <w:tblPr>
        <w:tblStyle w:val="23"/>
        <w:tblW w:w="9524" w:type="dxa"/>
        <w:jc w:val="center"/>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622"/>
        <w:gridCol w:w="1125"/>
        <w:gridCol w:w="750"/>
        <w:gridCol w:w="780"/>
        <w:gridCol w:w="1275"/>
        <w:gridCol w:w="121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952" w:type="dxa"/>
            <w:vAlign w:val="center"/>
          </w:tcPr>
          <w:p>
            <w:pPr>
              <w:tabs>
                <w:tab w:val="left" w:pos="8280"/>
              </w:tabs>
              <w:autoSpaceDE w:val="0"/>
              <w:autoSpaceDN w:val="0"/>
              <w:adjustRightInd w:val="0"/>
              <w:ind w:right="25" w:rightChars="0"/>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标段号</w:t>
            </w:r>
          </w:p>
        </w:tc>
        <w:tc>
          <w:tcPr>
            <w:tcW w:w="1622" w:type="dxa"/>
            <w:vAlign w:val="center"/>
          </w:tcPr>
          <w:p>
            <w:pPr>
              <w:tabs>
                <w:tab w:val="left" w:pos="8280"/>
              </w:tabs>
              <w:autoSpaceDE w:val="0"/>
              <w:autoSpaceDN w:val="0"/>
              <w:adjustRightInd w:val="0"/>
              <w:ind w:right="25" w:rightChars="0" w:firstLine="120" w:firstLineChars="50"/>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125" w:type="dxa"/>
            <w:vAlign w:val="center"/>
          </w:tcPr>
          <w:p>
            <w:pPr>
              <w:tabs>
                <w:tab w:val="left" w:pos="8280"/>
              </w:tabs>
              <w:autoSpaceDE w:val="0"/>
              <w:autoSpaceDN w:val="0"/>
              <w:adjustRightInd w:val="0"/>
              <w:ind w:right="25" w:rightChars="0"/>
              <w:jc w:val="center"/>
              <w:rPr>
                <w:rFonts w:asci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750" w:type="dxa"/>
            <w:vAlign w:val="center"/>
          </w:tcPr>
          <w:p>
            <w:pPr>
              <w:tabs>
                <w:tab w:val="left" w:pos="8280"/>
              </w:tabs>
              <w:autoSpaceDE w:val="0"/>
              <w:autoSpaceDN w:val="0"/>
              <w:adjustRightInd w:val="0"/>
              <w:ind w:right="25" w:rightChars="0"/>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0" w:type="dxa"/>
            <w:vAlign w:val="center"/>
          </w:tcPr>
          <w:p>
            <w:pPr>
              <w:tabs>
                <w:tab w:val="left" w:pos="8280"/>
              </w:tabs>
              <w:autoSpaceDE w:val="0"/>
              <w:autoSpaceDN w:val="0"/>
              <w:adjustRightInd w:val="0"/>
              <w:ind w:right="25" w:rightChars="0"/>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75" w:type="dxa"/>
            <w:vAlign w:val="center"/>
          </w:tcPr>
          <w:p>
            <w:pPr>
              <w:tabs>
                <w:tab w:val="left" w:pos="8280"/>
              </w:tabs>
              <w:autoSpaceDE w:val="0"/>
              <w:autoSpaceDN w:val="0"/>
              <w:adjustRightInd w:val="0"/>
              <w:ind w:right="25" w:rightChars="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p>
            <w:pPr>
              <w:tabs>
                <w:tab w:val="left" w:pos="8280"/>
              </w:tabs>
              <w:autoSpaceDE w:val="0"/>
              <w:autoSpaceDN w:val="0"/>
              <w:adjustRightInd w:val="0"/>
              <w:ind w:right="25" w:rightChars="0"/>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（元）</w:t>
            </w:r>
          </w:p>
        </w:tc>
        <w:tc>
          <w:tcPr>
            <w:tcW w:w="1215" w:type="dxa"/>
            <w:vAlign w:val="center"/>
          </w:tcPr>
          <w:p>
            <w:pPr>
              <w:tabs>
                <w:tab w:val="left" w:pos="8280"/>
              </w:tabs>
              <w:autoSpaceDE w:val="0"/>
              <w:autoSpaceDN w:val="0"/>
              <w:adjustRightInd w:val="0"/>
              <w:ind w:right="25" w:rightChars="0"/>
              <w:jc w:val="both"/>
              <w:rPr>
                <w:rFonts w:asci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最高限价</w:t>
            </w:r>
            <w:r>
              <w:rPr>
                <w:rFonts w:hint="eastAsia" w:ascii="宋体" w:hAnsi="宋体"/>
                <w:b/>
                <w:color w:val="000000" w:themeColor="text1"/>
                <w:sz w:val="24"/>
                <w14:textFill>
                  <w14:solidFill>
                    <w14:schemeClr w14:val="tx1"/>
                  </w14:solidFill>
                </w14:textFill>
              </w:rPr>
              <w:t>（元）</w:t>
            </w:r>
          </w:p>
        </w:tc>
        <w:tc>
          <w:tcPr>
            <w:tcW w:w="1805" w:type="dxa"/>
            <w:vAlign w:val="center"/>
          </w:tcPr>
          <w:p>
            <w:pPr>
              <w:tabs>
                <w:tab w:val="left" w:pos="8280"/>
              </w:tabs>
              <w:autoSpaceDE w:val="0"/>
              <w:autoSpaceDN w:val="0"/>
              <w:adjustRightInd w:val="0"/>
              <w:ind w:right="25" w:rightChars="0" w:firstLine="240" w:firstLineChars="0"/>
              <w:jc w:val="center"/>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交货时间、地址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jc w:val="center"/>
        </w:trPr>
        <w:tc>
          <w:tcPr>
            <w:tcW w:w="952" w:type="dxa"/>
            <w:vAlign w:val="center"/>
          </w:tcPr>
          <w:p>
            <w:pPr>
              <w:tabs>
                <w:tab w:val="left" w:pos="8280"/>
              </w:tabs>
              <w:autoSpaceDE w:val="0"/>
              <w:autoSpaceDN w:val="0"/>
              <w:adjustRightInd w:val="0"/>
              <w:ind w:right="25" w:rightChars="0" w:firstLine="240" w:firstLineChars="0"/>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p>
        </w:tc>
        <w:tc>
          <w:tcPr>
            <w:tcW w:w="1622" w:type="dxa"/>
            <w:vAlign w:val="center"/>
          </w:tcPr>
          <w:p>
            <w:pPr>
              <w:tabs>
                <w:tab w:val="left" w:pos="8280"/>
              </w:tabs>
              <w:autoSpaceDE w:val="0"/>
              <w:autoSpaceDN w:val="0"/>
              <w:adjustRightInd w:val="0"/>
              <w:ind w:right="25" w:rightChars="0"/>
              <w:jc w:val="both"/>
              <w:rPr>
                <w:rFonts w:hint="eastAsia"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鄞州至玉环公路椒江洪家至温岭城东段公路（路泽太高架</w:t>
            </w:r>
            <w:r>
              <w:rPr>
                <w:rFonts w:hint="eastAsia" w:asciiTheme="minorEastAsia" w:hAnsiTheme="minorEastAsia" w:eastAsiaTheme="minorEastAsia"/>
                <w:color w:val="000000" w:themeColor="text1"/>
                <w:kern w:val="0"/>
                <w:highlight w:val="none"/>
                <w:lang w:eastAsia="zh-CN"/>
                <w14:textFill>
                  <w14:solidFill>
                    <w14:schemeClr w14:val="tx1"/>
                  </w14:solidFill>
                </w14:textFill>
              </w:rPr>
              <w:t>快速路</w:t>
            </w:r>
            <w:r>
              <w:rPr>
                <w:rFonts w:hint="eastAsia" w:asciiTheme="minorEastAsia" w:hAnsiTheme="minorEastAsia" w:eastAsiaTheme="minorEastAsia"/>
                <w:color w:val="000000" w:themeColor="text1"/>
                <w:kern w:val="0"/>
                <w:highlight w:val="none"/>
                <w14:textFill>
                  <w14:solidFill>
                    <w14:schemeClr w14:val="tx1"/>
                  </w14:solidFill>
                </w14:textFill>
              </w:rPr>
              <w:t>）监控</w:t>
            </w:r>
            <w:r>
              <w:rPr>
                <w:rFonts w:hint="eastAsia" w:asciiTheme="minorEastAsia" w:hAnsiTheme="minorEastAsia" w:eastAsiaTheme="minorEastAsia"/>
                <w:color w:val="000000" w:themeColor="text1"/>
                <w:kern w:val="0"/>
                <w:highlight w:val="none"/>
                <w:lang w:eastAsia="zh-CN"/>
                <w14:textFill>
                  <w14:solidFill>
                    <w14:schemeClr w14:val="tx1"/>
                  </w14:solidFill>
                </w14:textFill>
              </w:rPr>
              <w:t>设备采购项目</w:t>
            </w:r>
          </w:p>
        </w:tc>
        <w:tc>
          <w:tcPr>
            <w:tcW w:w="1125" w:type="dxa"/>
            <w:vAlign w:val="center"/>
          </w:tcPr>
          <w:p>
            <w:pPr>
              <w:tabs>
                <w:tab w:val="left" w:pos="8280"/>
              </w:tabs>
              <w:autoSpaceDE w:val="0"/>
              <w:autoSpaceDN w:val="0"/>
              <w:adjustRightInd w:val="0"/>
              <w:ind w:right="25" w:rightChars="0"/>
              <w:jc w:val="both"/>
              <w:rPr>
                <w:rFonts w:hint="eastAsia" w:ascii="宋体" w:hAnsi="宋体"/>
                <w:color w:val="000000" w:themeColor="text1"/>
                <w:sz w:val="24"/>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详见具体技术需求</w:t>
            </w:r>
          </w:p>
        </w:tc>
        <w:tc>
          <w:tcPr>
            <w:tcW w:w="750" w:type="dxa"/>
            <w:vAlign w:val="center"/>
          </w:tcPr>
          <w:p>
            <w:pPr>
              <w:tabs>
                <w:tab w:val="left" w:pos="8280"/>
              </w:tabs>
              <w:autoSpaceDE w:val="0"/>
              <w:autoSpaceDN w:val="0"/>
              <w:adjustRightInd w:val="0"/>
              <w:ind w:right="25" w:rightChars="0" w:firstLine="0" w:firstLineChars="0"/>
              <w:rPr>
                <w:rFonts w:hint="eastAsia"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w:t>
            </w:r>
          </w:p>
        </w:tc>
        <w:tc>
          <w:tcPr>
            <w:tcW w:w="780" w:type="dxa"/>
            <w:vAlign w:val="center"/>
          </w:tcPr>
          <w:p>
            <w:pPr>
              <w:tabs>
                <w:tab w:val="left" w:pos="8280"/>
              </w:tabs>
              <w:autoSpaceDE w:val="0"/>
              <w:autoSpaceDN w:val="0"/>
              <w:adjustRightInd w:val="0"/>
              <w:ind w:right="25" w:rightChars="0" w:firstLine="0" w:firstLineChars="0"/>
              <w:rPr>
                <w:rFonts w:hint="eastAsia"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批</w:t>
            </w:r>
          </w:p>
        </w:tc>
        <w:tc>
          <w:tcPr>
            <w:tcW w:w="1275" w:type="dxa"/>
            <w:vAlign w:val="center"/>
          </w:tcPr>
          <w:p>
            <w:pPr>
              <w:tabs>
                <w:tab w:val="left" w:pos="8280"/>
              </w:tabs>
              <w:autoSpaceDE w:val="0"/>
              <w:autoSpaceDN w:val="0"/>
              <w:adjustRightInd w:val="0"/>
              <w:spacing w:line="360" w:lineRule="auto"/>
              <w:ind w:right="25" w:rightChars="0" w:firstLine="240" w:firstLineChars="0"/>
              <w:jc w:val="center"/>
              <w:rPr>
                <w:rFonts w:hint="default" w:ascii="宋体" w:hAnsi="宋体" w:eastAsia="宋体"/>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40250000</w:t>
            </w:r>
          </w:p>
        </w:tc>
        <w:tc>
          <w:tcPr>
            <w:tcW w:w="1215" w:type="dxa"/>
            <w:vAlign w:val="center"/>
          </w:tcPr>
          <w:p>
            <w:pPr>
              <w:tabs>
                <w:tab w:val="left" w:pos="8280"/>
              </w:tabs>
              <w:autoSpaceDE w:val="0"/>
              <w:autoSpaceDN w:val="0"/>
              <w:adjustRightInd w:val="0"/>
              <w:spacing w:line="360" w:lineRule="auto"/>
              <w:ind w:right="25" w:rightChars="0" w:firstLine="240" w:firstLineChars="0"/>
              <w:jc w:val="center"/>
              <w:rPr>
                <w:rFonts w:ascii="宋体"/>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35987957.26</w:t>
            </w:r>
          </w:p>
        </w:tc>
        <w:tc>
          <w:tcPr>
            <w:tcW w:w="1805" w:type="dxa"/>
            <w:vAlign w:val="center"/>
          </w:tcPr>
          <w:p>
            <w:pPr>
              <w:tabs>
                <w:tab w:val="left" w:pos="8280"/>
              </w:tabs>
              <w:autoSpaceDE w:val="0"/>
              <w:autoSpaceDN w:val="0"/>
              <w:adjustRightInd w:val="0"/>
              <w:ind w:right="25" w:rightChars="0"/>
              <w:jc w:val="both"/>
              <w:rPr>
                <w:rFonts w:hint="eastAsia" w:ascii="宋体" w:hAnsi="宋体"/>
                <w:color w:val="000000" w:themeColor="text1"/>
                <w:sz w:val="24"/>
                <w14:textFill>
                  <w14:solidFill>
                    <w14:schemeClr w14:val="tx1"/>
                  </w14:solidFill>
                </w14:textFill>
              </w:rPr>
            </w:pPr>
            <w:r>
              <w:rPr>
                <w:rFonts w:hint="eastAsia"/>
                <w:b w:val="0"/>
                <w:bCs w:val="0"/>
                <w:color w:val="000000" w:themeColor="text1"/>
                <w:sz w:val="21"/>
                <w:szCs w:val="21"/>
                <w:highlight w:val="none"/>
                <w14:textFill>
                  <w14:solidFill>
                    <w14:schemeClr w14:val="tx1"/>
                  </w14:solidFill>
                </w14:textFill>
              </w:rPr>
              <w:t>2020年12月</w:t>
            </w:r>
            <w:r>
              <w:rPr>
                <w:rFonts w:hint="eastAsia"/>
                <w:b w:val="0"/>
                <w:bCs w:val="0"/>
                <w:color w:val="000000" w:themeColor="text1"/>
                <w:sz w:val="21"/>
                <w:szCs w:val="21"/>
                <w:highlight w:val="none"/>
                <w:lang w:val="en-US" w:eastAsia="zh-CN"/>
                <w14:textFill>
                  <w14:solidFill>
                    <w14:schemeClr w14:val="tx1"/>
                  </w14:solidFill>
                </w14:textFill>
              </w:rPr>
              <w:t>20</w:t>
            </w:r>
            <w:r>
              <w:rPr>
                <w:rFonts w:hint="eastAsia"/>
                <w:b w:val="0"/>
                <w:bCs w:val="0"/>
                <w:color w:val="000000" w:themeColor="text1"/>
                <w:sz w:val="21"/>
                <w:szCs w:val="21"/>
                <w:highlight w:val="none"/>
                <w14:textFill>
                  <w14:solidFill>
                    <w14:schemeClr w14:val="tx1"/>
                  </w14:solidFill>
                </w14:textFill>
              </w:rPr>
              <w:t>日前完成所有</w:t>
            </w:r>
            <w:r>
              <w:rPr>
                <w:rFonts w:hint="eastAsia"/>
                <w:b w:val="0"/>
                <w:bCs w:val="0"/>
                <w:color w:val="000000" w:themeColor="text1"/>
                <w:sz w:val="21"/>
                <w:szCs w:val="21"/>
                <w:highlight w:val="none"/>
                <w:lang w:eastAsia="zh-CN"/>
                <w14:textFill>
                  <w14:solidFill>
                    <w14:schemeClr w14:val="tx1"/>
                  </w14:solidFill>
                </w14:textFill>
              </w:rPr>
              <w:t>设备的采购及配套安装</w:t>
            </w:r>
            <w:r>
              <w:rPr>
                <w:rFonts w:hint="eastAsia"/>
                <w:b w:val="0"/>
                <w:bCs w:val="0"/>
                <w:color w:val="000000" w:themeColor="text1"/>
                <w:sz w:val="21"/>
                <w:szCs w:val="21"/>
                <w:highlight w:val="none"/>
                <w14:textFill>
                  <w14:solidFill>
                    <w14:schemeClr w14:val="tx1"/>
                  </w14:solidFill>
                </w14:textFill>
              </w:rPr>
              <w:t>任务</w:t>
            </w:r>
            <w:r>
              <w:rPr>
                <w:rFonts w:hint="eastAsia"/>
                <w:b w:val="0"/>
                <w:bCs w:val="0"/>
                <w:color w:val="000000" w:themeColor="text1"/>
                <w:sz w:val="21"/>
                <w:szCs w:val="21"/>
                <w:highlight w:val="none"/>
                <w:lang w:eastAsia="zh-CN"/>
                <w14:textFill>
                  <w14:solidFill>
                    <w14:schemeClr w14:val="tx1"/>
                  </w14:solidFill>
                </w14:textFill>
              </w:rPr>
              <w:t>、</w:t>
            </w:r>
            <w:r>
              <w:rPr>
                <w:rFonts w:hint="eastAsia" w:ascii="宋体" w:hAnsi="宋体"/>
                <w:b w:val="0"/>
                <w:bCs w:val="0"/>
                <w:color w:val="000000" w:themeColor="text1"/>
                <w:kern w:val="0"/>
                <w:sz w:val="21"/>
                <w:szCs w:val="21"/>
                <w:lang w:eastAsia="zh-CN"/>
                <w14:textFill>
                  <w14:solidFill>
                    <w14:schemeClr w14:val="tx1"/>
                  </w14:solidFill>
                </w14:textFill>
              </w:rPr>
              <w:t>台</w:t>
            </w:r>
            <w:r>
              <w:rPr>
                <w:rFonts w:hint="eastAsia" w:ascii="宋体" w:hAnsi="宋体" w:eastAsia="宋体"/>
                <w:b w:val="0"/>
                <w:bCs w:val="0"/>
                <w:color w:val="000000" w:themeColor="text1"/>
                <w:kern w:val="0"/>
                <w:sz w:val="21"/>
                <w:szCs w:val="21"/>
                <w:lang w:eastAsia="zh-CN"/>
                <w14:textFill>
                  <w14:solidFill>
                    <w14:schemeClr w14:val="tx1"/>
                  </w14:solidFill>
                </w14:textFill>
              </w:rPr>
              <w:t>州市</w:t>
            </w:r>
            <w:r>
              <w:rPr>
                <w:rFonts w:hint="eastAsia" w:ascii="宋体" w:hAnsi="宋体"/>
                <w:b w:val="0"/>
                <w:bCs w:val="0"/>
                <w:color w:val="000000" w:themeColor="text1"/>
                <w:kern w:val="0"/>
                <w:sz w:val="21"/>
                <w:szCs w:val="21"/>
                <w:lang w:eastAsia="zh-CN"/>
                <w14:textFill>
                  <w14:solidFill>
                    <w14:schemeClr w14:val="tx1"/>
                  </w14:solidFill>
                </w14:textFill>
              </w:rPr>
              <w:t>公安局交通警察局指定地点</w:t>
            </w:r>
          </w:p>
        </w:tc>
      </w:tr>
    </w:tbl>
    <w:p>
      <w:pPr>
        <w:pStyle w:val="11"/>
        <w:rPr>
          <w:rFonts w:hint="eastAsia" w:asciiTheme="minorEastAsia" w:hAnsiTheme="minorEastAsia" w:eastAsiaTheme="minorEastAsia"/>
          <w:color w:val="000000" w:themeColor="text1"/>
          <w:sz w:val="24"/>
          <w:szCs w:val="24"/>
          <w14:textFill>
            <w14:solidFill>
              <w14:schemeClr w14:val="tx1"/>
            </w14:solidFill>
          </w14:textFill>
        </w:rPr>
      </w:pPr>
    </w:p>
    <w:p>
      <w:pPr>
        <w:pStyle w:val="11"/>
        <w:rPr>
          <w:rFonts w:hint="eastAsia" w:asciiTheme="minorEastAsia" w:hAnsiTheme="minorEastAsia" w:eastAsiaTheme="minorEastAsia"/>
          <w:color w:val="000000" w:themeColor="text1"/>
          <w:sz w:val="24"/>
          <w:szCs w:val="24"/>
          <w14:textFill>
            <w14:solidFill>
              <w14:schemeClr w14:val="tx1"/>
            </w14:solidFill>
          </w14:textFill>
        </w:rPr>
      </w:pPr>
    </w:p>
    <w:p>
      <w:pPr>
        <w:numPr>
          <w:ilvl w:val="0"/>
          <w:numId w:val="11"/>
        </w:numPr>
        <w:tabs>
          <w:tab w:val="left" w:pos="8280"/>
        </w:tabs>
        <w:autoSpaceDE w:val="0"/>
        <w:autoSpaceDN w:val="0"/>
        <w:adjustRightInd w:val="0"/>
        <w:spacing w:line="360" w:lineRule="auto"/>
        <w:ind w:left="0" w:leftChars="0" w:right="25" w:firstLine="0" w:firstLineChars="0"/>
        <w:jc w:val="left"/>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技术需求</w:t>
      </w:r>
      <w:r>
        <w:rPr>
          <w:rFonts w:hint="eastAsia" w:asciiTheme="minorEastAsia" w:hAnsiTheme="minorEastAsia" w:eastAsiaTheme="minorEastAsia"/>
          <w:b/>
          <w:color w:val="000000" w:themeColor="text1"/>
          <w:sz w:val="24"/>
          <w:szCs w:val="24"/>
          <w:lang w:eastAsia="zh-CN"/>
          <w14:textFill>
            <w14:solidFill>
              <w14:schemeClr w14:val="tx1"/>
            </w14:solidFill>
          </w14:textFill>
        </w:rPr>
        <w:t>：</w:t>
      </w:r>
    </w:p>
    <w:p>
      <w:pPr>
        <w:pStyle w:val="6"/>
        <w:ind w:firstLine="482"/>
        <w:rPr>
          <w:rFonts w:hint="eastAsia" w:eastAsia="宋体"/>
          <w:b/>
          <w:bCs w:val="0"/>
          <w:color w:val="000000" w:themeColor="text1"/>
          <w:sz w:val="24"/>
          <w:szCs w:val="24"/>
          <w:highlight w:val="none"/>
          <w:lang w:eastAsia="zh-CN"/>
          <w14:textFill>
            <w14:solidFill>
              <w14:schemeClr w14:val="tx1"/>
            </w14:solidFill>
          </w14:textFill>
        </w:rPr>
      </w:pPr>
      <w:r>
        <w:rPr>
          <w:rFonts w:hint="eastAsia"/>
          <w:b/>
          <w:bCs w:val="0"/>
          <w:color w:val="000000" w:themeColor="text1"/>
          <w:sz w:val="24"/>
          <w:szCs w:val="24"/>
          <w:highlight w:val="none"/>
          <w14:textFill>
            <w14:solidFill>
              <w14:schemeClr w14:val="tx1"/>
            </w14:solidFill>
          </w14:textFill>
        </w:rPr>
        <w:t>项目上线要求</w:t>
      </w:r>
      <w:r>
        <w:rPr>
          <w:rFonts w:hint="eastAsia"/>
          <w:b/>
          <w:bCs w:val="0"/>
          <w:color w:val="000000" w:themeColor="text1"/>
          <w:sz w:val="24"/>
          <w:szCs w:val="24"/>
          <w:highlight w:val="none"/>
          <w:lang w:eastAsia="zh-CN"/>
          <w14:textFill>
            <w14:solidFill>
              <w14:schemeClr w14:val="tx1"/>
            </w14:solidFill>
          </w14:textFill>
        </w:rPr>
        <w:t>：</w:t>
      </w:r>
    </w:p>
    <w:p>
      <w:pPr>
        <w:spacing w:line="360" w:lineRule="auto"/>
        <w:ind w:firstLine="482"/>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本项目要求在2020年12月</w:t>
      </w:r>
      <w:r>
        <w:rPr>
          <w:rFonts w:hint="eastAsia"/>
          <w:b/>
          <w:bCs/>
          <w:color w:val="000000" w:themeColor="text1"/>
          <w:sz w:val="24"/>
          <w:szCs w:val="24"/>
          <w:highlight w:val="none"/>
          <w:lang w:val="en-US" w:eastAsia="zh-CN"/>
          <w14:textFill>
            <w14:solidFill>
              <w14:schemeClr w14:val="tx1"/>
            </w14:solidFill>
          </w14:textFill>
        </w:rPr>
        <w:t>20</w:t>
      </w:r>
      <w:r>
        <w:rPr>
          <w:rFonts w:hint="eastAsia"/>
          <w:b/>
          <w:bCs/>
          <w:color w:val="000000" w:themeColor="text1"/>
          <w:sz w:val="24"/>
          <w:szCs w:val="24"/>
          <w:highlight w:val="none"/>
          <w14:textFill>
            <w14:solidFill>
              <w14:schemeClr w14:val="tx1"/>
            </w14:solidFill>
          </w14:textFill>
        </w:rPr>
        <w:t>日前完成所有</w:t>
      </w:r>
      <w:r>
        <w:rPr>
          <w:rFonts w:hint="eastAsia"/>
          <w:b/>
          <w:bCs/>
          <w:color w:val="000000" w:themeColor="text1"/>
          <w:sz w:val="24"/>
          <w:szCs w:val="24"/>
          <w:highlight w:val="none"/>
          <w:lang w:eastAsia="zh-CN"/>
          <w14:textFill>
            <w14:solidFill>
              <w14:schemeClr w14:val="tx1"/>
            </w14:solidFill>
          </w14:textFill>
        </w:rPr>
        <w:t>设备的采购及配套安装</w:t>
      </w:r>
      <w:r>
        <w:rPr>
          <w:rFonts w:hint="eastAsia"/>
          <w:b/>
          <w:bCs/>
          <w:color w:val="000000" w:themeColor="text1"/>
          <w:sz w:val="24"/>
          <w:szCs w:val="24"/>
          <w:highlight w:val="none"/>
          <w14:textFill>
            <w14:solidFill>
              <w14:schemeClr w14:val="tx1"/>
            </w14:solidFill>
          </w14:textFill>
        </w:rPr>
        <w:t>任务，并初验通过(摄像机能抓拍过车和各类交通违法行为，交通信息屏及信号灯能正常工作，其他设备能正常工作）</w:t>
      </w:r>
      <w:r>
        <w:rPr>
          <w:rFonts w:hint="eastAsia"/>
          <w:b/>
          <w:bCs/>
          <w:color w:val="000000" w:themeColor="text1"/>
          <w:sz w:val="24"/>
          <w:szCs w:val="24"/>
          <w:highlight w:val="none"/>
          <w:lang w:eastAsia="zh-CN"/>
          <w14:textFill>
            <w14:solidFill>
              <w14:schemeClr w14:val="tx1"/>
            </w14:solidFill>
          </w14:textFill>
        </w:rPr>
        <w:t>。</w:t>
      </w:r>
      <w:r>
        <w:rPr>
          <w:rFonts w:hint="eastAsia"/>
          <w:b/>
          <w:bCs/>
          <w:color w:val="000000" w:themeColor="text1"/>
          <w:sz w:val="24"/>
          <w:szCs w:val="24"/>
          <w:highlight w:val="none"/>
          <w:lang w:eastAsia="zh-CN"/>
          <w14:textFill>
            <w14:solidFill>
              <w14:schemeClr w14:val="tx1"/>
            </w14:solidFill>
          </w14:textFill>
        </w:rPr>
        <w:t>（未按时上线将按合同特殊条款处理）</w:t>
      </w:r>
    </w:p>
    <w:p>
      <w:pPr>
        <w:spacing w:line="360" w:lineRule="auto"/>
        <w:ind w:firstLine="241" w:firstLineChars="100"/>
        <w:rPr>
          <w:rFonts w:hint="default"/>
          <w:color w:val="000000" w:themeColor="text1"/>
          <w:lang w:val="en-US" w:eastAsia="zh-CN"/>
          <w14:textFill>
            <w14:solidFill>
              <w14:schemeClr w14:val="tx1"/>
            </w14:solidFill>
          </w14:textFill>
        </w:rPr>
      </w:pPr>
      <w:r>
        <w:rPr>
          <w:rFonts w:hint="eastAsia"/>
          <w:b/>
          <w:bCs/>
          <w:color w:val="000000" w:themeColor="text1"/>
          <w:sz w:val="24"/>
          <w:szCs w:val="24"/>
          <w14:textFill>
            <w14:solidFill>
              <w14:schemeClr w14:val="tx1"/>
            </w14:solidFill>
          </w14:textFill>
        </w:rPr>
        <w:t xml:space="preserve"> 本项目</w:t>
      </w:r>
      <w:r>
        <w:rPr>
          <w:rFonts w:hint="eastAsia"/>
          <w:b/>
          <w:bCs/>
          <w:color w:val="000000" w:themeColor="text1"/>
          <w:sz w:val="24"/>
          <w:szCs w:val="24"/>
          <w:lang w:eastAsia="zh-CN"/>
          <w14:textFill>
            <w14:solidFill>
              <w14:schemeClr w14:val="tx1"/>
            </w14:solidFill>
          </w14:textFill>
        </w:rPr>
        <w:t>采购安装</w:t>
      </w:r>
      <w:r>
        <w:rPr>
          <w:rFonts w:hint="eastAsia"/>
          <w:b/>
          <w:bCs/>
          <w:color w:val="000000" w:themeColor="text1"/>
          <w:sz w:val="24"/>
          <w:szCs w:val="24"/>
          <w14:textFill>
            <w14:solidFill>
              <w14:schemeClr w14:val="tx1"/>
            </w14:solidFill>
          </w14:textFill>
        </w:rPr>
        <w:t>完成并经</w:t>
      </w:r>
      <w:r>
        <w:rPr>
          <w:rFonts w:hint="eastAsia"/>
          <w:b/>
          <w:bCs/>
          <w:color w:val="000000" w:themeColor="text1"/>
          <w:sz w:val="24"/>
          <w:szCs w:val="24"/>
          <w:lang w:val="en-US" w:eastAsia="zh-CN"/>
          <w14:textFill>
            <w14:solidFill>
              <w14:schemeClr w14:val="tx1"/>
            </w14:solidFill>
          </w14:textFill>
        </w:rPr>
        <w:t>初验</w:t>
      </w:r>
      <w:r>
        <w:rPr>
          <w:rFonts w:hint="eastAsia"/>
          <w:b/>
          <w:bCs/>
          <w:color w:val="000000" w:themeColor="text1"/>
          <w:sz w:val="24"/>
          <w:szCs w:val="24"/>
          <w14:textFill>
            <w14:solidFill>
              <w14:schemeClr w14:val="tx1"/>
            </w14:solidFill>
          </w14:textFill>
        </w:rPr>
        <w:t>通过后，由台州市公安局交通警察局及辖区交警大队作为项目的使用单位，负责日常管理工作。</w:t>
      </w:r>
    </w:p>
    <w:p>
      <w:pPr>
        <w:pStyle w:val="6"/>
        <w:ind w:firstLine="482"/>
        <w:rPr>
          <w:b w:val="0"/>
          <w:bCs/>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项目总体技术要求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鄞州至玉环公路椒江洪家至温岭城东段公路工程起于台州市东环大道洪家装饰城处，与S225(75省道)平面交叉，路线向南沿既有路泽太一级公路布设，采用主线高架桥梁并局部改建地面道路的双层断面布置，终点顺接温岭城东高架路基段，自北向南经台州椒江区、路桥区、温岭市，路线全长约21.0km。</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2016年9月30日，台州市发展和改革委员会 以“台发改函[2016]15号”文批复了本项目初步设计文件。同意本项目采用交通部颁《公路工程技术标准》（JTG B01-2014）中的一级公路标准设计，兼具城市道路功能。主线高架桥设计分道限速100km/h与80km/h，双向六车道，标准宽度26m。同步改建的地面道路维持现有一级公路标准，设计速度60km/h，其中起点至迎宾大道段、金清港大桥南侧~双南路段采用双向六车道，其余路段采用双向四车道。</w:t>
      </w:r>
    </w:p>
    <w:p>
      <w:pPr>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highlight w:val="none"/>
          <w14:textFill>
            <w14:solidFill>
              <w14:schemeClr w14:val="tx1"/>
            </w14:solidFill>
          </w14:textFill>
        </w:rPr>
        <w:t>主要是在该路段新安装监控设施、补光灯、配套线缆、机箱和传输链路等。本次招标将从资格审查、认可、设计、制造、供货、运输、安装、调试、试运行、备品配件、验收、售后服务、维修技术力量等各个方面，对投标方进行全方位的综合考核。</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highlight w:val="none"/>
          <w14:textFill>
            <w14:solidFill>
              <w14:schemeClr w14:val="tx1"/>
            </w14:solidFill>
          </w14:textFill>
        </w:rPr>
        <w:t>2、投标人所投的产品必须符合国家标准（无国家标准的应符合行业标准、国际标准）的要求。投标人必须严格按照招标文件要求提供成熟</w:t>
      </w:r>
      <w:r>
        <w:rPr>
          <w:rFonts w:hint="eastAsia"/>
          <w:color w:val="000000" w:themeColor="text1"/>
          <w:sz w:val="24"/>
          <w:szCs w:val="24"/>
          <w14:textFill>
            <w14:solidFill>
              <w14:schemeClr w14:val="tx1"/>
            </w14:solidFill>
          </w14:textFill>
        </w:rPr>
        <w:t>的全新原厂产品和强有力的技术支持及技术服务。投标人必须逐条响应招标文件的技术要求，提供详细的系统实现架构、网络拓扑设计，提供全部设备材料清单的品牌、型号、规格、数量和单价。</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3、电子警察（兼卡口功能）验收前必须通过具有</w:t>
      </w:r>
      <w:r>
        <w:rPr>
          <w:color w:val="000000" w:themeColor="text1"/>
          <w:sz w:val="24"/>
          <w:szCs w:val="24"/>
          <w14:textFill>
            <w14:solidFill>
              <w14:schemeClr w14:val="tx1"/>
            </w14:solidFill>
          </w14:textFill>
        </w:rPr>
        <w:t>计量认证、检验资格许可</w:t>
      </w:r>
      <w:r>
        <w:rPr>
          <w:rFonts w:hint="eastAsia"/>
          <w:color w:val="000000" w:themeColor="text1"/>
          <w:sz w:val="24"/>
          <w:szCs w:val="24"/>
          <w14:textFill>
            <w14:solidFill>
              <w14:schemeClr w14:val="tx1"/>
            </w14:solidFill>
          </w14:textFill>
        </w:rPr>
        <w:t>的省级及以上专业检测机构的检验（检测费用由中标人负责）。雷达测速设备每年标定工作由中标人负责送检。</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4、中标人应根据项目特点和要求，制定切实可行的</w:t>
      </w:r>
      <w:r>
        <w:rPr>
          <w:rFonts w:hint="eastAsia"/>
          <w:color w:val="000000" w:themeColor="text1"/>
          <w:sz w:val="24"/>
          <w:szCs w:val="24"/>
          <w:lang w:eastAsia="zh-CN"/>
          <w14:textFill>
            <w14:solidFill>
              <w14:schemeClr w14:val="tx1"/>
            </w14:solidFill>
          </w14:textFill>
        </w:rPr>
        <w:t>采购和实</w:t>
      </w:r>
      <w:r>
        <w:rPr>
          <w:rFonts w:hint="eastAsia"/>
          <w:color w:val="000000" w:themeColor="text1"/>
          <w:sz w:val="24"/>
          <w:szCs w:val="24"/>
          <w14:textFill>
            <w14:solidFill>
              <w14:schemeClr w14:val="tx1"/>
            </w14:solidFill>
          </w14:textFill>
        </w:rPr>
        <w:t>施方案。</w:t>
      </w:r>
      <w:r>
        <w:rPr>
          <w:rFonts w:hint="eastAsia"/>
          <w:color w:val="000000" w:themeColor="text1"/>
          <w:sz w:val="24"/>
          <w:szCs w:val="24"/>
          <w14:textFill>
            <w14:solidFill>
              <w14:schemeClr w14:val="tx1"/>
            </w14:solidFill>
          </w14:textFill>
        </w:rPr>
        <w:t>在设备安装前应派员进行实地勘察，确保深化设计合理、运行可靠、维护方便。</w:t>
      </w:r>
    </w:p>
    <w:p>
      <w:pPr>
        <w:spacing w:line="360" w:lineRule="auto"/>
        <w:ind w:firstLine="48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本项目不另行组织现场勘查，投标人应自行考虑本</w:t>
      </w:r>
      <w:r>
        <w:rPr>
          <w:rFonts w:hint="eastAsia"/>
          <w:color w:val="000000" w:themeColor="text1"/>
          <w:sz w:val="24"/>
          <w:szCs w:val="24"/>
          <w:lang w:val="en-US" w:eastAsia="zh-CN"/>
          <w14:textFill>
            <w14:solidFill>
              <w14:schemeClr w14:val="tx1"/>
            </w14:solidFill>
          </w14:textFill>
        </w:rPr>
        <w:t>项目</w:t>
      </w:r>
      <w:r>
        <w:rPr>
          <w:rFonts w:hint="eastAsia"/>
          <w:color w:val="000000" w:themeColor="text1"/>
          <w:sz w:val="24"/>
          <w:szCs w:val="24"/>
          <w14:textFill>
            <w14:solidFill>
              <w14:schemeClr w14:val="tx1"/>
            </w14:solidFill>
          </w14:textFill>
        </w:rPr>
        <w:t>的</w:t>
      </w:r>
      <w:r>
        <w:rPr>
          <w:rFonts w:hint="eastAsia"/>
          <w:color w:val="000000" w:themeColor="text1"/>
          <w:sz w:val="24"/>
          <w:szCs w:val="24"/>
          <w:lang w:eastAsia="zh-CN"/>
          <w14:textFill>
            <w14:solidFill>
              <w14:schemeClr w14:val="tx1"/>
            </w14:solidFill>
          </w14:textFill>
        </w:rPr>
        <w:t>采购设备清单</w:t>
      </w:r>
      <w:r>
        <w:rPr>
          <w:rFonts w:hint="eastAsia"/>
          <w:color w:val="000000" w:themeColor="text1"/>
          <w:sz w:val="24"/>
          <w:szCs w:val="24"/>
          <w14:textFill>
            <w14:solidFill>
              <w14:schemeClr w14:val="tx1"/>
            </w14:solidFill>
          </w14:textFill>
        </w:rPr>
        <w:t>，保证能满足本招标文件的要求，并在投标文件中提供完整的技术资料（包括设备品牌、规格型号、生产厂家、产地及其他主要技术参数和相关文件资料）。</w:t>
      </w:r>
    </w:p>
    <w:p>
      <w:pPr>
        <w:spacing w:line="5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6、投标人有责任对所投产品的完整性、合理性、规范性等负责。必须对</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需求进行详细的深化设计，对设备配置的合理性进行充分论证，有偏差时进行具体说明，并制作深化设计方案，开标时供专家评审。中标人为实现招标要求且投标清单中未列举的设备，所增加设备涉及的所有费用由中标人自行负责。供货方应提</w:t>
      </w:r>
      <w:r>
        <w:rPr>
          <w:rFonts w:hint="eastAsia" w:ascii="宋体" w:hAnsi="宋体" w:cs="宋体"/>
          <w:color w:val="000000" w:themeColor="text1"/>
          <w:sz w:val="24"/>
          <w:szCs w:val="24"/>
          <w:lang w:eastAsia="zh-CN"/>
          <w14:textFill>
            <w14:solidFill>
              <w14:schemeClr w14:val="tx1"/>
            </w14:solidFill>
          </w14:textFill>
        </w:rPr>
        <w:t>供</w:t>
      </w:r>
      <w:r>
        <w:rPr>
          <w:rFonts w:hint="eastAsia" w:ascii="宋体" w:hAnsi="宋体" w:cs="宋体"/>
          <w:color w:val="000000" w:themeColor="text1"/>
          <w:sz w:val="24"/>
          <w:szCs w:val="24"/>
          <w14:textFill>
            <w14:solidFill>
              <w14:schemeClr w14:val="tx1"/>
            </w14:solidFill>
          </w14:textFill>
        </w:rPr>
        <w:t>质量保证期内各设备运行所需的易损件及备件（备件应放置在</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指定存放地点处），其名称和数量清单应随所提供的文件一起提交。</w:t>
      </w:r>
    </w:p>
    <w:p>
      <w:pPr>
        <w:spacing w:line="5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本项目设备所涉及的相关软件不得设置使用年限限制（使用硬件加密的，硬件加密设备应终生维护），终生免费升级。如果任何第三方提出侵权指控与采购人无关，投标人须与第三方交涉并承担可能发生的责任与一切费用。如采购人因此而遭致损失的，投标人应赔偿该损失。</w:t>
      </w:r>
    </w:p>
    <w:p>
      <w:pPr>
        <w:spacing w:line="5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8、中标人提供的技术资料应是能确保系统运行所需的管理、运营及维护等有关的全套技术资料，验收前还应向</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提供不少于以下列明的中文（或带有中文摘要的英文）技术资料,并提供货物原装品牌的证明文件或资料。</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(1)产品技术说明书；</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(2)安装手册；</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(3)操作手册；</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(4)维修手册；</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(5)端口连接图；</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(6)出厂明细表（装箱单）；</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(7)产品技术标准（含验收标准）和试验方法；</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(8)硬件产品出厂检验报告和合格证书；</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(9)本项目各设备的公安部产品检测报告；</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(10)提供杆件、钢材生产厂家质保书；</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(11)提供项目拓扑图及网络配置清单；</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 摄像机、前端智能交通控制终端、一体化高速球机等产品的检测报告</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(13)其他相关文件资料。</w:t>
      </w:r>
    </w:p>
    <w:p>
      <w:p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中标人应负责在项目验收前将系统的全部有关技术文件、资料及测试、试验报告等文档汇集成册交付采购人。</w:t>
      </w:r>
    </w:p>
    <w:p>
      <w:pPr>
        <w:pStyle w:val="14"/>
        <w:snapToGrid w:val="0"/>
        <w:spacing w:line="360" w:lineRule="auto"/>
        <w:ind w:firstLine="410" w:firstLine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9、工作范围如下：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硬件方面：所有设备</w:t>
      </w:r>
      <w:r>
        <w:rPr>
          <w:rFonts w:hint="eastAsia"/>
          <w:color w:val="000000" w:themeColor="text1"/>
          <w:sz w:val="24"/>
          <w:szCs w:val="24"/>
          <w:lang w:eastAsia="zh-CN"/>
          <w14:textFill>
            <w14:solidFill>
              <w14:schemeClr w14:val="tx1"/>
            </w14:solidFill>
          </w14:textFill>
        </w:rPr>
        <w:t>涉及</w:t>
      </w:r>
      <w:r>
        <w:rPr>
          <w:rFonts w:hint="eastAsia"/>
          <w:color w:val="000000" w:themeColor="text1"/>
          <w:sz w:val="24"/>
          <w:szCs w:val="24"/>
          <w14:textFill>
            <w14:solidFill>
              <w14:schemeClr w14:val="tx1"/>
            </w14:solidFill>
          </w14:textFill>
        </w:rPr>
        <w:t>安装、调试</w:t>
      </w:r>
      <w:r>
        <w:rPr>
          <w:rFonts w:hint="eastAsia"/>
          <w:color w:val="000000" w:themeColor="text1"/>
          <w:sz w:val="24"/>
          <w:szCs w:val="24"/>
          <w:lang w:eastAsia="zh-CN"/>
          <w14:textFill>
            <w14:solidFill>
              <w14:schemeClr w14:val="tx1"/>
            </w14:solidFill>
          </w14:textFill>
        </w:rPr>
        <w:t>、运行、维护、保修</w:t>
      </w:r>
      <w:r>
        <w:rPr>
          <w:rFonts w:hint="eastAsia"/>
          <w:color w:val="000000" w:themeColor="text1"/>
          <w:sz w:val="24"/>
          <w:szCs w:val="24"/>
          <w14:textFill>
            <w14:solidFill>
              <w14:schemeClr w14:val="tx1"/>
            </w14:solidFill>
          </w14:textFill>
        </w:rPr>
        <w:t>等</w:t>
      </w:r>
      <w:r>
        <w:rPr>
          <w:rFonts w:hint="eastAsia"/>
          <w:color w:val="000000" w:themeColor="text1"/>
          <w:sz w:val="24"/>
          <w:szCs w:val="24"/>
          <w:lang w:eastAsia="zh-CN"/>
          <w14:textFill>
            <w14:solidFill>
              <w14:schemeClr w14:val="tx1"/>
            </w14:solidFill>
          </w14:textFill>
        </w:rPr>
        <w:t>一切工作</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包含前端</w:t>
      </w:r>
      <w:r>
        <w:rPr>
          <w:rFonts w:hint="eastAsia"/>
          <w:color w:val="000000" w:themeColor="text1"/>
          <w:sz w:val="24"/>
          <w:szCs w:val="24"/>
          <w14:textFill>
            <w14:solidFill>
              <w14:schemeClr w14:val="tx1"/>
            </w14:solidFill>
          </w14:textFill>
        </w:rPr>
        <w:t>点位到当地辖区交警大队之间光纤</w:t>
      </w:r>
      <w:r>
        <w:rPr>
          <w:rFonts w:hint="eastAsia"/>
          <w:color w:val="000000" w:themeColor="text1"/>
          <w:sz w:val="24"/>
          <w:szCs w:val="24"/>
          <w:lang w:eastAsia="zh-CN"/>
          <w14:textFill>
            <w14:solidFill>
              <w14:schemeClr w14:val="tx1"/>
            </w14:solidFill>
          </w14:textFill>
        </w:rPr>
        <w:t>实施</w:t>
      </w:r>
      <w:r>
        <w:rPr>
          <w:rFonts w:hint="eastAsia"/>
          <w:color w:val="000000" w:themeColor="text1"/>
          <w:sz w:val="24"/>
          <w:szCs w:val="24"/>
          <w14:textFill>
            <w14:solidFill>
              <w14:schemeClr w14:val="tx1"/>
            </w14:solidFill>
          </w14:textFill>
        </w:rPr>
        <w:t>等。</w:t>
      </w:r>
    </w:p>
    <w:p>
      <w:pPr>
        <w:spacing w:line="360" w:lineRule="auto"/>
        <w:ind w:firstLine="482"/>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▲调试部分：电子警察、卡口等设备及产生的数据、高清视频与录像等必须无条件接入</w:t>
      </w:r>
      <w:r>
        <w:rPr>
          <w:rFonts w:hint="eastAsia"/>
          <w:b/>
          <w:color w:val="000000" w:themeColor="text1"/>
          <w:sz w:val="24"/>
          <w:szCs w:val="24"/>
          <w14:textFill>
            <w14:solidFill>
              <w14:schemeClr w14:val="tx1"/>
            </w14:solidFill>
          </w14:textFill>
        </w:rPr>
        <w:t>台州公安天网工程视频侦查作战平台和台州交警电子警察运行平台</w:t>
      </w:r>
      <w:r>
        <w:rPr>
          <w:rFonts w:hint="eastAsia"/>
          <w:b/>
          <w:color w:val="000000" w:themeColor="text1"/>
          <w:sz w:val="24"/>
          <w:szCs w:val="24"/>
          <w:lang w:eastAsia="zh-CN"/>
          <w14:textFill>
            <w14:solidFill>
              <w14:schemeClr w14:val="tx1"/>
            </w14:solidFill>
          </w14:textFill>
        </w:rPr>
        <w:t>，</w:t>
      </w:r>
      <w:r>
        <w:rPr>
          <w:rFonts w:hint="eastAsia"/>
          <w:b/>
          <w:color w:val="000000" w:themeColor="text1"/>
          <w:sz w:val="24"/>
          <w:szCs w:val="24"/>
          <w:lang w:eastAsia="zh-CN"/>
          <w14:textFill>
            <w14:solidFill>
              <w14:schemeClr w14:val="tx1"/>
            </w14:solidFill>
          </w14:textFill>
        </w:rPr>
        <w:t>接入零费用。</w:t>
      </w:r>
    </w:p>
    <w:p>
      <w:pPr>
        <w:spacing w:line="360" w:lineRule="auto"/>
        <w:ind w:firstLine="360" w:firstLineChars="1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10、本项目维护期内使用设备涉及有硬盘故障的，应更换新硬盘，故障硬盘交由采购方消磁处理后交还中标人。</w:t>
      </w:r>
    </w:p>
    <w:p>
      <w:pPr>
        <w:pStyle w:val="63"/>
        <w:spacing w:before="120" w:after="120" w:line="360" w:lineRule="auto"/>
        <w:ind w:firstLine="354" w:firstLineChars="147"/>
        <w:rPr>
          <w:rFonts w:ascii="宋体" w:hAnsi="宋体" w:cs="宋体"/>
          <w:b/>
          <w:color w:val="000000" w:themeColor="text1"/>
          <w:kern w:val="2"/>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11、</w:t>
      </w:r>
      <w:r>
        <w:rPr>
          <w:rFonts w:hint="eastAsia" w:ascii="宋体" w:hAnsi="宋体" w:cs="宋体"/>
          <w:b/>
          <w:color w:val="000000" w:themeColor="text1"/>
          <w:kern w:val="2"/>
          <w:sz w:val="24"/>
          <w:szCs w:val="24"/>
          <w14:textFill>
            <w14:solidFill>
              <w14:schemeClr w14:val="tx1"/>
            </w14:solidFill>
          </w14:textFill>
        </w:rPr>
        <w:t>本次采购的网络存储设备需与</w:t>
      </w:r>
      <w:r>
        <w:rPr>
          <w:rFonts w:hint="eastAsia" w:ascii="宋体" w:hAnsi="宋体" w:cs="宋体"/>
          <w:b/>
          <w:color w:val="000000" w:themeColor="text1"/>
          <w:sz w:val="24"/>
          <w:szCs w:val="24"/>
          <w14:textFill>
            <w14:solidFill>
              <w14:schemeClr w14:val="tx1"/>
            </w14:solidFill>
          </w14:textFill>
        </w:rPr>
        <w:t>台州市公安局交通警察局或温岭市交警大队</w:t>
      </w:r>
      <w:r>
        <w:rPr>
          <w:rFonts w:hint="eastAsia" w:ascii="宋体" w:hAnsi="宋体" w:cs="宋体"/>
          <w:b/>
          <w:color w:val="000000" w:themeColor="text1"/>
          <w:kern w:val="2"/>
          <w:sz w:val="24"/>
          <w:szCs w:val="24"/>
          <w14:textFill>
            <w14:solidFill>
              <w14:schemeClr w14:val="tx1"/>
            </w14:solidFill>
          </w14:textFill>
        </w:rPr>
        <w:t>原有网络存储统一管</w:t>
      </w:r>
      <w:r>
        <w:rPr>
          <w:rFonts w:hint="eastAsia" w:ascii="宋体" w:hAnsi="宋体" w:cs="宋体"/>
          <w:b/>
          <w:color w:val="000000" w:themeColor="text1"/>
          <w:sz w:val="24"/>
          <w:szCs w:val="24"/>
          <w14:textFill>
            <w14:solidFill>
              <w14:schemeClr w14:val="tx1"/>
            </w14:solidFill>
          </w14:textFill>
        </w:rPr>
        <w:t>理,</w:t>
      </w:r>
      <w:r>
        <w:rPr>
          <w:rFonts w:hint="eastAsia" w:ascii="宋体" w:hAnsi="宋体" w:cs="宋体"/>
          <w:b/>
          <w:bCs/>
          <w:snapToGrid/>
          <w:color w:val="000000" w:themeColor="text1"/>
          <w:sz w:val="24"/>
          <w:szCs w:val="24"/>
          <w:highlight w:val="none"/>
          <w14:textFill>
            <w14:solidFill>
              <w14:schemeClr w14:val="tx1"/>
            </w14:solidFill>
          </w14:textFill>
        </w:rPr>
        <w:t>缺陷责任期</w:t>
      </w:r>
      <w:r>
        <w:rPr>
          <w:rFonts w:hint="eastAsia" w:ascii="宋体" w:hAnsi="宋体" w:cs="宋体"/>
          <w:b/>
          <w:bCs/>
          <w:snapToGrid/>
          <w:color w:val="000000" w:themeColor="text1"/>
          <w:sz w:val="24"/>
          <w:szCs w:val="24"/>
          <w:highlight w:val="none"/>
          <w:lang w:eastAsia="zh-CN"/>
          <w14:textFill>
            <w14:solidFill>
              <w14:schemeClr w14:val="tx1"/>
            </w14:solidFill>
          </w14:textFill>
        </w:rPr>
        <w:t>和</w:t>
      </w:r>
      <w:r>
        <w:rPr>
          <w:rFonts w:hint="eastAsia" w:ascii="宋体" w:hAnsi="宋体" w:cs="宋体"/>
          <w:b/>
          <w:color w:val="000000" w:themeColor="text1"/>
          <w:sz w:val="24"/>
          <w:szCs w:val="24"/>
          <w14:textFill>
            <w14:solidFill>
              <w14:schemeClr w14:val="tx1"/>
            </w14:solidFill>
          </w14:textFill>
        </w:rPr>
        <w:t>质</w:t>
      </w:r>
      <w:r>
        <w:rPr>
          <w:rFonts w:hint="eastAsia" w:ascii="宋体" w:hAnsi="宋体" w:cs="宋体"/>
          <w:b/>
          <w:color w:val="000000" w:themeColor="text1"/>
          <w:sz w:val="24"/>
          <w:szCs w:val="24"/>
          <w:lang w:eastAsia="zh-CN"/>
          <w14:textFill>
            <w14:solidFill>
              <w14:schemeClr w14:val="tx1"/>
            </w14:solidFill>
          </w14:textFill>
        </w:rPr>
        <w:t>量</w:t>
      </w:r>
      <w:r>
        <w:rPr>
          <w:rFonts w:hint="eastAsia" w:ascii="宋体" w:hAnsi="宋体" w:cs="宋体"/>
          <w:b/>
          <w:color w:val="000000" w:themeColor="text1"/>
          <w:sz w:val="24"/>
          <w:szCs w:val="24"/>
          <w14:textFill>
            <w14:solidFill>
              <w14:schemeClr w14:val="tx1"/>
            </w14:solidFill>
          </w14:textFill>
        </w:rPr>
        <w:t>保</w:t>
      </w:r>
      <w:r>
        <w:rPr>
          <w:rFonts w:hint="eastAsia" w:ascii="宋体" w:hAnsi="宋体" w:cs="宋体"/>
          <w:b/>
          <w:color w:val="000000" w:themeColor="text1"/>
          <w:sz w:val="24"/>
          <w:szCs w:val="24"/>
          <w:lang w:eastAsia="zh-CN"/>
          <w14:textFill>
            <w14:solidFill>
              <w14:schemeClr w14:val="tx1"/>
            </w14:solidFill>
          </w14:textFill>
        </w:rPr>
        <w:t>修</w:t>
      </w:r>
      <w:r>
        <w:rPr>
          <w:rFonts w:hint="eastAsia" w:ascii="宋体" w:hAnsi="宋体" w:cs="宋体"/>
          <w:b/>
          <w:color w:val="000000" w:themeColor="text1"/>
          <w:sz w:val="24"/>
          <w:szCs w:val="24"/>
          <w14:textFill>
            <w14:solidFill>
              <w14:schemeClr w14:val="tx1"/>
            </w14:solidFill>
          </w14:textFill>
        </w:rPr>
        <w:t>期（含</w:t>
      </w:r>
      <w:r>
        <w:rPr>
          <w:rFonts w:hint="eastAsia" w:ascii="宋体" w:hAnsi="宋体" w:cs="宋体"/>
          <w:b/>
          <w:color w:val="000000" w:themeColor="text1"/>
          <w:sz w:val="24"/>
          <w:szCs w:val="24"/>
          <w:lang w:val="en-US" w:eastAsia="zh-CN"/>
          <w14:textFill>
            <w14:solidFill>
              <w14:schemeClr w14:val="tx1"/>
            </w14:solidFill>
          </w14:textFill>
        </w:rPr>
        <w:t>安装</w:t>
      </w:r>
      <w:r>
        <w:rPr>
          <w:rFonts w:hint="eastAsia" w:ascii="宋体" w:hAnsi="宋体" w:cs="宋体"/>
          <w:b/>
          <w:color w:val="000000" w:themeColor="text1"/>
          <w:sz w:val="24"/>
          <w:szCs w:val="24"/>
          <w14:textFill>
            <w14:solidFill>
              <w14:schemeClr w14:val="tx1"/>
            </w14:solidFill>
          </w14:textFill>
        </w:rPr>
        <w:t>期间）的所有前端点位到辖区交警大队中心机房光纤链路由中标人负责，费用已包含在报价内。</w:t>
      </w:r>
    </w:p>
    <w:p>
      <w:pPr>
        <w:pStyle w:val="64"/>
        <w:adjustRightInd w:val="0"/>
        <w:snapToGrid w:val="0"/>
        <w:spacing w:line="360" w:lineRule="auto"/>
        <w:ind w:firstLine="482"/>
        <w:rPr>
          <w:rFonts w:hint="eastAsia" w:ascii="宋体" w:hAnsi="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12、中</w:t>
      </w:r>
      <w:r>
        <w:rPr>
          <w:rFonts w:hint="eastAsia" w:ascii="宋体" w:hAnsi="宋体"/>
          <w:b/>
          <w:bCs/>
          <w:color w:val="000000" w:themeColor="text1"/>
          <w:sz w:val="24"/>
          <w:szCs w:val="24"/>
          <w14:textFill>
            <w14:solidFill>
              <w14:schemeClr w14:val="tx1"/>
            </w14:solidFill>
          </w14:textFill>
        </w:rPr>
        <w:t>标人必须完全配合本项目</w:t>
      </w:r>
      <w:r>
        <w:rPr>
          <w:rFonts w:hint="eastAsia" w:ascii="宋体" w:hAnsi="宋体"/>
          <w:b/>
          <w:bCs/>
          <w:color w:val="000000" w:themeColor="text1"/>
          <w:sz w:val="24"/>
          <w:szCs w:val="24"/>
          <w:lang w:eastAsia="zh-CN"/>
          <w14:textFill>
            <w14:solidFill>
              <w14:schemeClr w14:val="tx1"/>
            </w14:solidFill>
          </w14:textFill>
        </w:rPr>
        <w:t>实施</w:t>
      </w:r>
      <w:r>
        <w:rPr>
          <w:rFonts w:hint="eastAsia" w:ascii="宋体" w:hAnsi="宋体"/>
          <w:b/>
          <w:bCs/>
          <w:color w:val="000000" w:themeColor="text1"/>
          <w:sz w:val="24"/>
          <w:szCs w:val="24"/>
          <w14:textFill>
            <w14:solidFill>
              <w14:schemeClr w14:val="tx1"/>
            </w14:solidFill>
          </w14:textFill>
        </w:rPr>
        <w:t>及合同履约期间监理单位工作，对经</w:t>
      </w:r>
      <w:r>
        <w:rPr>
          <w:rFonts w:hint="eastAsia" w:ascii="宋体" w:hAnsi="宋体"/>
          <w:b/>
          <w:bCs/>
          <w:color w:val="000000" w:themeColor="text1"/>
          <w:sz w:val="24"/>
          <w:szCs w:val="24"/>
          <w:lang w:eastAsia="zh-CN"/>
          <w14:textFill>
            <w14:solidFill>
              <w14:schemeClr w14:val="tx1"/>
            </w14:solidFill>
          </w14:textFill>
        </w:rPr>
        <w:t>采购人</w:t>
      </w:r>
      <w:r>
        <w:rPr>
          <w:rFonts w:hint="eastAsia" w:ascii="宋体" w:hAnsi="宋体"/>
          <w:b/>
          <w:bCs/>
          <w:color w:val="000000" w:themeColor="text1"/>
          <w:sz w:val="24"/>
          <w:szCs w:val="24"/>
          <w14:textFill>
            <w14:solidFill>
              <w14:schemeClr w14:val="tx1"/>
            </w14:solidFill>
          </w14:textFill>
        </w:rPr>
        <w:t>（使用单位）授权监理单位签发的通知单等，中标人都应按要求予以回复及执行。</w:t>
      </w:r>
    </w:p>
    <w:p>
      <w:pPr>
        <w:pStyle w:val="6"/>
        <w:spacing w:line="360" w:lineRule="auto"/>
        <w:ind w:firstLine="562"/>
        <w:rPr>
          <w:rFonts w:asciiTheme="minorEastAsia" w:hAnsiTheme="minorEastAsia" w:eastAsiaTheme="minorEastAsia" w:cs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lang w:eastAsia="zh-CN"/>
          <w14:textFill>
            <w14:solidFill>
              <w14:schemeClr w14:val="tx1"/>
            </w14:solidFill>
          </w14:textFill>
        </w:rPr>
        <w:t>法律法规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《安全防范视频监控联网系统信息传输、交换、控制技术要求》（GB/T28181-2016）</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《城市监控报警联网系统系列标准》（GA/T 669系列标准）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《公安信息通信网边界接入平台安全规范（试行）—视频接入部分》（公科信[2011]5号）</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《数据中心设计规范》（</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"https://www.baidu.com/link?url=Jbqhw0ZcBWNNc3r4S07SFEnhNwNwBcG7s4YYd6jbll7_BVpEi0jeJR4nuh4BDMbYeVdqQ0S_17xQZgs9ByG2md0O5Q88Lu8JFH_YMy3i92wjCV6vcSHqUBEl-so-7Rzq&amp;wd=&amp;eqid=afb5a7450003d558000000045e1d7a12" \t "https://www.baidu.com/_blank"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GB50174--2017</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《安全防范监控数字视音频编解码技术要求》（GB/T25724）</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《安全防范系统通用图形符号》（GA/T 74-2017号）</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《安全防范系统》（浙江省地方标准DB33/T </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"http://www.csres.com/detail/219569.html" \t "http://www.csres.com/detail/_blank"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334-2011</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《公安交通指挥系统建设技术规范》（GA/T445—2010）</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《道路车辆智能监测记录系统通用技术条件》（GA/T 497-2016）</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《人行横道道路交通安全违法行为监测记录系统通用技术条件》（GA/T1244-2015）</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《机动车测速仪》（GB/T21255—2019）</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《机动车区间测速技术规范》（GB/T959—2011）</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《闯红灯自动记录系统通用技术条件》（GA/T 496—2014）</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《机动车号牌图像自动识别技术规范》（GA/T 833—2016）</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《公安交通管理外场设备基础设施施工通用要求》（GA/T652—2017）</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《道路交通技术监控设备运行维护规范》（GA/1043—2013）</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《道路交通安全违法行为图像取证技术规范》（GA/T 832—2014)</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《道路交通信号灯设置与安装规范》(GB14886—2016)</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《道路交通信号控制机》(GB25280—2016)</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《道路交通信号控制方式 第1部分：通用技术条件》(GA/T 527.1—2015)</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《交通技术监控成像补光装置通用技术条件》(GA/T1202—2014)</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《LED道路交通诱导可变信息标志》（GA/T 484-2018）</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《公安交通指挥系统设计规范》（GA/T 515 系列标准）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《道路交通标志和标线》（GB5768 系列标准）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《道路交通信号灯》（GB 14887-2011）</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《中华人民共和国机动车号牌》（GA 36-2018）</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《城市道路交通标志和标线设置规范》（浙江省地方标准DB33/T818—2010）</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《台州市公安交通道路监控系统建设管理规范》</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《供配电系统设计规范》（GB50052-2009）</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《低压配电系统设计规范》（GB50054-2011）</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《建筑电气工程施工质量验收规范》（GB50303-2015）</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《综合布线系统工程设计规范 》（GB50311-2016）</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《民用闭路监视电视系统工程技术规范》（GB50198-2011）</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《气体灭火系统设计规范》(GB50370—2005) </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《火灾自动报警系统设计规范》 (GB50116-2013)</w:t>
      </w:r>
    </w:p>
    <w:p>
      <w:pPr>
        <w:spacing w:line="360" w:lineRule="auto"/>
        <w:ind w:left="420" w:leftChars="20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《中华人民共和国道路交通安全法》及所有配套法律法规</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《公路交通安全设施施工技术规范》 </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"http://www.csres.com/detail/168012.html" \t "http://www.csres.com/_blank" </w:instrText>
      </w:r>
      <w:r>
        <w:rPr>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JTG F71-2006</w:t>
      </w:r>
      <w:r>
        <w:rPr>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《公路交通安全设施设计规范》 （JTG D81-2017）</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《系统接地的型式及安全技术要求》 （GB14050-2008）</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《IP网络技术要求 网络性能参数与指标》 （YD/T 1171-2015）</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《公安视频图像信息应用系统》（GA/T 1400系列标准）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《浙江省公安机关车辆大数据系统建设技术规范》</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浙江省公安厅科技信息化局《关于加强视频图像信息应用体系建设的通知》</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浙江省公安厅科技信息化局《关于开展视频信息联网（共享）平台联网升级工作的通知》</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国家、地方政府相关规定、规范和行业的标准要求等。</w:t>
      </w:r>
    </w:p>
    <w:p>
      <w:pPr>
        <w:pStyle w:val="6"/>
        <w:ind w:firstLine="482"/>
        <w:rPr>
          <w:rFonts w:asciiTheme="minorEastAsia" w:hAnsiTheme="minorEastAsia" w:eastAsiaTheme="minorEastAsia" w:cs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lang w:eastAsia="zh-CN"/>
          <w14:textFill>
            <w14:solidFill>
              <w14:schemeClr w14:val="tx1"/>
            </w14:solidFill>
          </w14:textFill>
        </w:rPr>
        <w:t>设备</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技术要求：</w:t>
      </w:r>
    </w:p>
    <w:p>
      <w:pPr>
        <w:pStyle w:val="7"/>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4.1交通信号灯设备</w:t>
      </w:r>
    </w:p>
    <w:p>
      <w:pPr>
        <w:pStyle w:val="8"/>
        <w:spacing w:line="360" w:lineRule="auto"/>
        <w:ind w:firstLine="482"/>
        <w:rPr>
          <w:color w:val="000000" w:themeColor="text1"/>
          <w:sz w:val="24"/>
          <w:szCs w:val="24"/>
          <w14:textFill>
            <w14:solidFill>
              <w14:schemeClr w14:val="tx1"/>
            </w14:solidFill>
          </w14:textFill>
        </w:rPr>
      </w:pPr>
      <w:bookmarkStart w:id="31" w:name="_Toc29681"/>
      <w:r>
        <w:rPr>
          <w:rFonts w:hint="eastAsia"/>
          <w:color w:val="000000" w:themeColor="text1"/>
          <w:sz w:val="24"/>
          <w:szCs w:val="24"/>
          <w14:textFill>
            <w14:solidFill>
              <w14:schemeClr w14:val="tx1"/>
            </w14:solidFill>
          </w14:textFill>
        </w:rPr>
        <w:t>4.1.1、功能要求</w:t>
      </w:r>
    </w:p>
    <w:p>
      <w:pPr>
        <w:pStyle w:val="5"/>
        <w:spacing w:line="360" w:lineRule="auto"/>
        <w:ind w:firstLine="48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本项目所使用的交通信号控制机应通过专用网络</w:t>
      </w:r>
      <w:r>
        <w:rPr>
          <w:rFonts w:hint="eastAsia" w:ascii="宋体" w:hAnsi="宋体" w:cs="宋体"/>
          <w:b/>
          <w:color w:val="000000" w:themeColor="text1"/>
          <w:sz w:val="24"/>
          <w:szCs w:val="24"/>
          <w:lang w:eastAsia="zh-CN"/>
          <w14:textFill>
            <w14:solidFill>
              <w14:schemeClr w14:val="tx1"/>
            </w14:solidFill>
          </w14:textFill>
        </w:rPr>
        <w:t>有效</w:t>
      </w:r>
      <w:r>
        <w:rPr>
          <w:rFonts w:hint="eastAsia" w:ascii="宋体" w:hAnsi="宋体" w:cs="宋体"/>
          <w:b/>
          <w:color w:val="000000" w:themeColor="text1"/>
          <w:sz w:val="24"/>
          <w:szCs w:val="24"/>
          <w14:textFill>
            <w14:solidFill>
              <w14:schemeClr w14:val="tx1"/>
            </w14:solidFill>
          </w14:textFill>
        </w:rPr>
        <w:t>对接台州市公安局交通警察局及温岭市交警大队现有交通信号控制系统，实现联网联控。如无法与现有交通信号控制系统联网联控，为实现联网联控而需增加相关设备及软件均由中标方自行承担。</w:t>
      </w:r>
    </w:p>
    <w:bookmarkEnd w:id="31"/>
    <w:p>
      <w:pPr>
        <w:pStyle w:val="9"/>
        <w:spacing w:line="360" w:lineRule="auto"/>
        <w:ind w:firstLine="482"/>
        <w:rPr>
          <w:color w:val="000000" w:themeColor="text1"/>
          <w:sz w:val="24"/>
          <w:szCs w:val="24"/>
          <w14:textFill>
            <w14:solidFill>
              <w14:schemeClr w14:val="tx1"/>
            </w14:solidFill>
          </w14:textFill>
        </w:rPr>
      </w:pPr>
      <w:bookmarkStart w:id="32" w:name="_Toc24080"/>
      <w:r>
        <w:rPr>
          <w:rFonts w:hint="eastAsia"/>
          <w:color w:val="000000" w:themeColor="text1"/>
          <w:sz w:val="24"/>
          <w:szCs w:val="24"/>
          <w14:textFill>
            <w14:solidFill>
              <w14:schemeClr w14:val="tx1"/>
            </w14:solidFill>
          </w14:textFill>
        </w:rPr>
        <w:t>1.信号灯规格及技术要求</w:t>
      </w:r>
      <w:bookmarkEnd w:id="32"/>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、机动车信号灯（满屏灯）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规格：Φ</w:t>
      </w:r>
      <w:r>
        <w:rPr>
          <w:color w:val="000000" w:themeColor="text1"/>
          <w:sz w:val="24"/>
          <w:szCs w:val="24"/>
          <w14:textFill>
            <w14:solidFill>
              <w14:schemeClr w14:val="tx1"/>
            </w14:solidFill>
          </w14:textFill>
        </w:rPr>
        <w:t xml:space="preserve">400mm </w:t>
      </w:r>
      <w:r>
        <w:rPr>
          <w:rFonts w:hint="eastAsia"/>
          <w:color w:val="000000" w:themeColor="text1"/>
          <w:sz w:val="24"/>
          <w:szCs w:val="24"/>
          <w14:textFill>
            <w14:solidFill>
              <w14:schemeClr w14:val="tx1"/>
            </w14:solidFill>
          </w14:textFill>
        </w:rPr>
        <w:t>遮沿等尺寸符合</w:t>
      </w:r>
      <w:r>
        <w:rPr>
          <w:color w:val="000000" w:themeColor="text1"/>
          <w:sz w:val="24"/>
          <w:szCs w:val="24"/>
          <w14:textFill>
            <w14:solidFill>
              <w14:schemeClr w14:val="tx1"/>
            </w14:solidFill>
          </w14:textFill>
        </w:rPr>
        <w:t xml:space="preserve">GB14887-2011 </w:t>
      </w:r>
      <w:r>
        <w:rPr>
          <w:rFonts w:hint="eastAsia"/>
          <w:color w:val="000000" w:themeColor="text1"/>
          <w:sz w:val="24"/>
          <w:szCs w:val="24"/>
          <w14:textFill>
            <w14:solidFill>
              <w14:schemeClr w14:val="tx1"/>
            </w14:solidFill>
          </w14:textFill>
        </w:rPr>
        <w:t>相关标准；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红、黄发光单元</w:t>
      </w:r>
      <w:r>
        <w:rPr>
          <w:color w:val="000000" w:themeColor="text1"/>
          <w:sz w:val="24"/>
          <w:szCs w:val="24"/>
          <w14:textFill>
            <w14:solidFill>
              <w14:schemeClr w14:val="tx1"/>
            </w14:solidFill>
          </w14:textFill>
        </w:rPr>
        <w:t xml:space="preserve">LED </w:t>
      </w:r>
      <w:r>
        <w:rPr>
          <w:rFonts w:hint="eastAsia"/>
          <w:color w:val="000000" w:themeColor="text1"/>
          <w:sz w:val="24"/>
          <w:szCs w:val="24"/>
          <w14:textFill>
            <w14:solidFill>
              <w14:schemeClr w14:val="tx1"/>
            </w14:solidFill>
          </w14:textFill>
        </w:rPr>
        <w:t>数量不得少于</w:t>
      </w:r>
      <w:r>
        <w:rPr>
          <w:color w:val="000000" w:themeColor="text1"/>
          <w:sz w:val="24"/>
          <w:szCs w:val="24"/>
          <w14:textFill>
            <w14:solidFill>
              <w14:schemeClr w14:val="tx1"/>
            </w14:solidFill>
          </w14:textFill>
        </w:rPr>
        <w:t xml:space="preserve">250 </w:t>
      </w:r>
      <w:r>
        <w:rPr>
          <w:rFonts w:hint="eastAsia"/>
          <w:color w:val="000000" w:themeColor="text1"/>
          <w:sz w:val="24"/>
          <w:szCs w:val="24"/>
          <w14:textFill>
            <w14:solidFill>
              <w14:schemeClr w14:val="tx1"/>
            </w14:solidFill>
          </w14:textFill>
        </w:rPr>
        <w:t>颗，绿发光单元不少于</w:t>
      </w:r>
      <w:r>
        <w:rPr>
          <w:color w:val="000000" w:themeColor="text1"/>
          <w:sz w:val="24"/>
          <w:szCs w:val="24"/>
          <w14:textFill>
            <w14:solidFill>
              <w14:schemeClr w14:val="tx1"/>
            </w14:solidFill>
          </w14:textFill>
        </w:rPr>
        <w:t>18</w:t>
      </w:r>
      <w:r>
        <w:rPr>
          <w:rFonts w:hint="eastAsia"/>
          <w:color w:val="000000" w:themeColor="text1"/>
          <w:sz w:val="24"/>
          <w:szCs w:val="24"/>
          <w14:textFill>
            <w14:solidFill>
              <w14:schemeClr w14:val="tx1"/>
            </w14:solidFill>
          </w14:textFill>
        </w:rPr>
        <w:t>0颗；</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 光强：红色、黄色＞</w:t>
      </w:r>
      <w:r>
        <w:rPr>
          <w:color w:val="000000" w:themeColor="text1"/>
          <w:sz w:val="24"/>
          <w:szCs w:val="24"/>
          <w14:textFill>
            <w14:solidFill>
              <w14:schemeClr w14:val="tx1"/>
            </w14:solidFill>
          </w14:textFill>
        </w:rPr>
        <w:t>600cd</w:t>
      </w:r>
      <w:r>
        <w:rPr>
          <w:rFonts w:hint="eastAsia"/>
          <w:color w:val="000000" w:themeColor="text1"/>
          <w:sz w:val="24"/>
          <w:szCs w:val="24"/>
          <w14:textFill>
            <w14:solidFill>
              <w14:schemeClr w14:val="tx1"/>
            </w14:solidFill>
          </w14:textFill>
        </w:rPr>
        <w:t>；绿色＞</w:t>
      </w:r>
      <w:r>
        <w:rPr>
          <w:color w:val="000000" w:themeColor="text1"/>
          <w:sz w:val="24"/>
          <w:szCs w:val="24"/>
          <w14:textFill>
            <w14:solidFill>
              <w14:schemeClr w14:val="tx1"/>
            </w14:solidFill>
          </w14:textFill>
        </w:rPr>
        <w:t>400cd</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色度：符合</w:t>
      </w:r>
      <w:r>
        <w:rPr>
          <w:color w:val="000000" w:themeColor="text1"/>
          <w:sz w:val="24"/>
          <w:szCs w:val="24"/>
          <w14:textFill>
            <w14:solidFill>
              <w14:schemeClr w14:val="tx1"/>
            </w14:solidFill>
          </w14:textFill>
        </w:rPr>
        <w:t xml:space="preserve">GB14887-2011 </w:t>
      </w:r>
      <w:r>
        <w:rPr>
          <w:rFonts w:hint="eastAsia"/>
          <w:color w:val="000000" w:themeColor="text1"/>
          <w:sz w:val="24"/>
          <w:szCs w:val="24"/>
          <w14:textFill>
            <w14:solidFill>
              <w14:schemeClr w14:val="tx1"/>
            </w14:solidFill>
          </w14:textFill>
        </w:rPr>
        <w:t>相关标准；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 黄灯灯具应有</w:t>
      </w:r>
      <w:r>
        <w:rPr>
          <w:color w:val="000000" w:themeColor="text1"/>
          <w:sz w:val="24"/>
          <w:szCs w:val="24"/>
          <w14:textFill>
            <w14:solidFill>
              <w14:schemeClr w14:val="tx1"/>
            </w14:solidFill>
          </w14:textFill>
        </w:rPr>
        <w:t xml:space="preserve">9 </w:t>
      </w:r>
      <w:r>
        <w:rPr>
          <w:rFonts w:hint="eastAsia"/>
          <w:color w:val="000000" w:themeColor="text1"/>
          <w:sz w:val="24"/>
          <w:szCs w:val="24"/>
          <w14:textFill>
            <w14:solidFill>
              <w14:schemeClr w14:val="tx1"/>
            </w14:solidFill>
          </w14:textFill>
        </w:rPr>
        <w:t>秒倒计时。</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、机动车信号灯（箭头灯）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规格：￠</w:t>
      </w:r>
      <w:r>
        <w:rPr>
          <w:color w:val="000000" w:themeColor="text1"/>
          <w:sz w:val="24"/>
          <w:szCs w:val="24"/>
          <w14:textFill>
            <w14:solidFill>
              <w14:schemeClr w14:val="tx1"/>
            </w14:solidFill>
          </w14:textFill>
        </w:rPr>
        <w:t>400mm</w:t>
      </w:r>
      <w:r>
        <w:rPr>
          <w:rFonts w:hint="eastAsia"/>
          <w:color w:val="000000" w:themeColor="text1"/>
          <w:sz w:val="24"/>
          <w:szCs w:val="24"/>
          <w14:textFill>
            <w14:solidFill>
              <w14:schemeClr w14:val="tx1"/>
            </w14:solidFill>
          </w14:textFill>
        </w:rPr>
        <w:t>，三联横排，排列方式严格按</w:t>
      </w:r>
      <w:r>
        <w:rPr>
          <w:color w:val="000000" w:themeColor="text1"/>
          <w:sz w:val="24"/>
          <w:szCs w:val="24"/>
          <w14:textFill>
            <w14:solidFill>
              <w14:schemeClr w14:val="tx1"/>
            </w14:solidFill>
          </w14:textFill>
        </w:rPr>
        <w:t>GB14886</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6 </w:t>
      </w:r>
      <w:r>
        <w:rPr>
          <w:rFonts w:hint="eastAsia"/>
          <w:color w:val="000000" w:themeColor="text1"/>
          <w:sz w:val="24"/>
          <w:szCs w:val="24"/>
          <w14:textFill>
            <w14:solidFill>
              <w14:schemeClr w14:val="tx1"/>
            </w14:solidFill>
          </w14:textFill>
        </w:rPr>
        <w:t>要求设置；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红、黄发光单元</w:t>
      </w:r>
      <w:r>
        <w:rPr>
          <w:color w:val="000000" w:themeColor="text1"/>
          <w:sz w:val="24"/>
          <w:szCs w:val="24"/>
          <w14:textFill>
            <w14:solidFill>
              <w14:schemeClr w14:val="tx1"/>
            </w14:solidFill>
          </w14:textFill>
        </w:rPr>
        <w:t xml:space="preserve">LED </w:t>
      </w:r>
      <w:r>
        <w:rPr>
          <w:rFonts w:hint="eastAsia"/>
          <w:color w:val="000000" w:themeColor="text1"/>
          <w:sz w:val="24"/>
          <w:szCs w:val="24"/>
          <w14:textFill>
            <w14:solidFill>
              <w14:schemeClr w14:val="tx1"/>
            </w14:solidFill>
          </w14:textFill>
        </w:rPr>
        <w:t>数量不得少于</w:t>
      </w:r>
      <w:r>
        <w:rPr>
          <w:color w:val="000000" w:themeColor="text1"/>
          <w:sz w:val="24"/>
          <w:szCs w:val="24"/>
          <w14:textFill>
            <w14:solidFill>
              <w14:schemeClr w14:val="tx1"/>
            </w14:solidFill>
          </w14:textFill>
        </w:rPr>
        <w:t xml:space="preserve">100 </w:t>
      </w:r>
      <w:r>
        <w:rPr>
          <w:rFonts w:hint="eastAsia"/>
          <w:color w:val="000000" w:themeColor="text1"/>
          <w:sz w:val="24"/>
          <w:szCs w:val="24"/>
          <w14:textFill>
            <w14:solidFill>
              <w14:schemeClr w14:val="tx1"/>
            </w14:solidFill>
          </w14:textFill>
        </w:rPr>
        <w:t>颗，绿发光单元不少于</w:t>
      </w:r>
      <w:r>
        <w:rPr>
          <w:color w:val="000000" w:themeColor="text1"/>
          <w:sz w:val="24"/>
          <w:szCs w:val="24"/>
          <w14:textFill>
            <w14:solidFill>
              <w14:schemeClr w14:val="tx1"/>
            </w14:solidFill>
          </w14:textFill>
        </w:rPr>
        <w:t xml:space="preserve">72 </w:t>
      </w:r>
      <w:r>
        <w:rPr>
          <w:rFonts w:hint="eastAsia"/>
          <w:color w:val="000000" w:themeColor="text1"/>
          <w:sz w:val="24"/>
          <w:szCs w:val="24"/>
          <w14:textFill>
            <w14:solidFill>
              <w14:schemeClr w14:val="tx1"/>
            </w14:solidFill>
          </w14:textFill>
        </w:rPr>
        <w:t>颗；</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 亮度：红色、黄色、绿色≥</w:t>
      </w:r>
      <w:r>
        <w:rPr>
          <w:color w:val="000000" w:themeColor="text1"/>
          <w:sz w:val="24"/>
          <w:szCs w:val="24"/>
          <w14:textFill>
            <w14:solidFill>
              <w14:schemeClr w14:val="tx1"/>
            </w14:solidFill>
          </w14:textFill>
        </w:rPr>
        <w:t>4000cd/m2</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色度：符合</w:t>
      </w:r>
      <w:r>
        <w:rPr>
          <w:color w:val="000000" w:themeColor="text1"/>
          <w:sz w:val="24"/>
          <w:szCs w:val="24"/>
          <w14:textFill>
            <w14:solidFill>
              <w14:schemeClr w14:val="tx1"/>
            </w14:solidFill>
          </w14:textFill>
        </w:rPr>
        <w:t>GB14887</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2011 </w:t>
      </w:r>
      <w:r>
        <w:rPr>
          <w:rFonts w:hint="eastAsia"/>
          <w:color w:val="000000" w:themeColor="text1"/>
          <w:sz w:val="24"/>
          <w:szCs w:val="24"/>
          <w14:textFill>
            <w14:solidFill>
              <w14:schemeClr w14:val="tx1"/>
            </w14:solidFill>
          </w14:textFill>
        </w:rPr>
        <w:t>相关标准；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 重量：≤</w:t>
      </w:r>
      <w:r>
        <w:rPr>
          <w:color w:val="000000" w:themeColor="text1"/>
          <w:sz w:val="24"/>
          <w:szCs w:val="24"/>
          <w14:textFill>
            <w14:solidFill>
              <w14:schemeClr w14:val="tx1"/>
            </w14:solidFill>
          </w14:textFill>
        </w:rPr>
        <w:t>12kg</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 黄灯灯具应有</w:t>
      </w:r>
      <w:r>
        <w:rPr>
          <w:color w:val="000000" w:themeColor="text1"/>
          <w:sz w:val="24"/>
          <w:szCs w:val="24"/>
          <w14:textFill>
            <w14:solidFill>
              <w14:schemeClr w14:val="tx1"/>
            </w14:solidFill>
          </w14:textFill>
        </w:rPr>
        <w:t xml:space="preserve">9 </w:t>
      </w:r>
      <w:r>
        <w:rPr>
          <w:rFonts w:hint="eastAsia"/>
          <w:color w:val="000000" w:themeColor="text1"/>
          <w:sz w:val="24"/>
          <w:szCs w:val="24"/>
          <w14:textFill>
            <w14:solidFill>
              <w14:schemeClr w14:val="tx1"/>
            </w14:solidFill>
          </w14:textFill>
        </w:rPr>
        <w:t>秒倒计时。</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、人行横道灯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规格：二联组合，上联为红色人形和绿色倒计时，下联为绿人行及红色倒计时；</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外形尺寸：不小于</w:t>
      </w:r>
      <w:r>
        <w:rPr>
          <w:color w:val="000000" w:themeColor="text1"/>
          <w:sz w:val="24"/>
          <w:szCs w:val="24"/>
          <w14:textFill>
            <w14:solidFill>
              <w14:schemeClr w14:val="tx1"/>
            </w14:solidFill>
          </w14:textFill>
        </w:rPr>
        <w:t>900mm</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300mm</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80mm</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 显示尺寸：红人、绿人高度≥</w:t>
      </w:r>
      <w:r>
        <w:rPr>
          <w:color w:val="000000" w:themeColor="text1"/>
          <w:sz w:val="24"/>
          <w:szCs w:val="24"/>
          <w14:textFill>
            <w14:solidFill>
              <w14:schemeClr w14:val="tx1"/>
            </w14:solidFill>
          </w14:textFill>
        </w:rPr>
        <w:t>280mm</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亮度：红色、绿色≥</w:t>
      </w:r>
      <w:r>
        <w:rPr>
          <w:color w:val="000000" w:themeColor="text1"/>
          <w:sz w:val="24"/>
          <w:szCs w:val="24"/>
          <w14:textFill>
            <w14:solidFill>
              <w14:schemeClr w14:val="tx1"/>
            </w14:solidFill>
          </w14:textFill>
        </w:rPr>
        <w:t>4000cd/</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 色度：符合</w:t>
      </w:r>
      <w:r>
        <w:rPr>
          <w:color w:val="000000" w:themeColor="text1"/>
          <w:sz w:val="24"/>
          <w:szCs w:val="24"/>
          <w14:textFill>
            <w14:solidFill>
              <w14:schemeClr w14:val="tx1"/>
            </w14:solidFill>
          </w14:textFill>
        </w:rPr>
        <w:t xml:space="preserve">GB14887-2011 </w:t>
      </w:r>
      <w:r>
        <w:rPr>
          <w:rFonts w:hint="eastAsia"/>
          <w:color w:val="000000" w:themeColor="text1"/>
          <w:sz w:val="24"/>
          <w:szCs w:val="24"/>
          <w14:textFill>
            <w14:solidFill>
              <w14:schemeClr w14:val="tx1"/>
            </w14:solidFill>
          </w14:textFill>
        </w:rPr>
        <w:t>相关标准；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 重量：≤</w:t>
      </w:r>
      <w:r>
        <w:rPr>
          <w:color w:val="000000" w:themeColor="text1"/>
          <w:sz w:val="24"/>
          <w:szCs w:val="24"/>
          <w14:textFill>
            <w14:solidFill>
              <w14:schemeClr w14:val="tx1"/>
            </w14:solidFill>
          </w14:textFill>
        </w:rPr>
        <w:t>9kg</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、非机动车信号灯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）规格：￠</w:t>
      </w:r>
      <w:r>
        <w:rPr>
          <w:color w:val="000000" w:themeColor="text1"/>
          <w:sz w:val="24"/>
          <w:szCs w:val="24"/>
          <w14:textFill>
            <w14:solidFill>
              <w14:schemeClr w14:val="tx1"/>
            </w14:solidFill>
          </w14:textFill>
        </w:rPr>
        <w:t>RX300mm</w:t>
      </w:r>
      <w:r>
        <w:rPr>
          <w:rFonts w:hint="eastAsia"/>
          <w:color w:val="000000" w:themeColor="text1"/>
          <w:sz w:val="24"/>
          <w:szCs w:val="24"/>
          <w14:textFill>
            <w14:solidFill>
              <w14:schemeClr w14:val="tx1"/>
            </w14:solidFill>
          </w14:textFill>
        </w:rPr>
        <w:t>，发光颜色由红、黄、绿自行车图案组成，外壳由铝或镁一次压铸而成，排列方式严格按</w:t>
      </w:r>
      <w:r>
        <w:rPr>
          <w:color w:val="000000" w:themeColor="text1"/>
          <w:sz w:val="24"/>
          <w:szCs w:val="24"/>
          <w14:textFill>
            <w14:solidFill>
              <w14:schemeClr w14:val="tx1"/>
            </w14:solidFill>
          </w14:textFill>
        </w:rPr>
        <w:t xml:space="preserve">GB14887-2011 </w:t>
      </w:r>
      <w:r>
        <w:rPr>
          <w:rFonts w:hint="eastAsia"/>
          <w:color w:val="000000" w:themeColor="text1"/>
          <w:sz w:val="24"/>
          <w:szCs w:val="24"/>
          <w14:textFill>
            <w14:solidFill>
              <w14:schemeClr w14:val="tx1"/>
            </w14:solidFill>
          </w14:textFill>
        </w:rPr>
        <w:t>要求设置；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）发光单元发光管数量：红单元不少于75颗，黄单元75颗，绿单元75颗；</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（3）基准轴亮度：≥</w:t>
      </w:r>
      <w:r>
        <w:rPr>
          <w:color w:val="000000" w:themeColor="text1"/>
          <w:sz w:val="24"/>
          <w:szCs w:val="24"/>
          <w14:textFill>
            <w14:solidFill>
              <w14:schemeClr w14:val="tx1"/>
            </w14:solidFill>
          </w14:textFill>
        </w:rPr>
        <w:t xml:space="preserve">600 </w:t>
      </w:r>
      <w:r>
        <w:rPr>
          <w:rFonts w:hint="eastAsia"/>
          <w:color w:val="000000" w:themeColor="text1"/>
          <w:sz w:val="24"/>
          <w:szCs w:val="24"/>
          <w14:textFill>
            <w14:solidFill>
              <w14:schemeClr w14:val="tx1"/>
            </w14:solidFill>
          </w14:textFill>
        </w:rPr>
        <w:t>坎德拉；</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（4）整灯使用寿命：＞</w:t>
      </w:r>
      <w:r>
        <w:rPr>
          <w:color w:val="000000" w:themeColor="text1"/>
          <w:sz w:val="24"/>
          <w:szCs w:val="24"/>
          <w14:textFill>
            <w14:solidFill>
              <w14:schemeClr w14:val="tx1"/>
            </w14:solidFill>
          </w14:textFill>
        </w:rPr>
        <w:t>100000H</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5、立柱式信号灯（辅助信号灯）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（1）安装信号灯后保证立柱式信号灯灯下边缘净空3 米以上。</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（2）杆体在40 米/秒的风速条件下，不应发生严重歪斜与永久性变形。</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（3）杆体颜色按用户要求制作。</w:t>
      </w:r>
    </w:p>
    <w:p>
      <w:pPr>
        <w:pStyle w:val="9"/>
        <w:spacing w:line="360" w:lineRule="auto"/>
        <w:ind w:firstLine="482"/>
        <w:rPr>
          <w:color w:val="000000" w:themeColor="text1"/>
          <w:sz w:val="24"/>
          <w:szCs w:val="24"/>
          <w14:textFill>
            <w14:solidFill>
              <w14:schemeClr w14:val="tx1"/>
            </w14:solidFill>
          </w14:textFill>
        </w:rPr>
      </w:pPr>
      <w:bookmarkStart w:id="33" w:name="_Toc23668"/>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LED</w:t>
      </w:r>
      <w:r>
        <w:rPr>
          <w:rFonts w:hint="eastAsia"/>
          <w:color w:val="000000" w:themeColor="text1"/>
          <w:sz w:val="24"/>
          <w:szCs w:val="24"/>
          <w14:textFill>
            <w14:solidFill>
              <w14:schemeClr w14:val="tx1"/>
            </w14:solidFill>
          </w14:textFill>
        </w:rPr>
        <w:t>驶入左转弯待转区显示屏</w:t>
      </w:r>
      <w:bookmarkEnd w:id="33"/>
      <w:r>
        <w:rPr>
          <w:rFonts w:hint="eastAsia"/>
          <w:color w:val="000000" w:themeColor="text1"/>
          <w:sz w:val="24"/>
          <w:szCs w:val="24"/>
          <w14:textFill>
            <w14:solidFill>
              <w14:schemeClr w14:val="tx1"/>
            </w14:solidFill>
          </w14:textFill>
        </w:rPr>
        <w:t>规格及技术要求</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红管单管亮度 500-700mcd；红管波长 620-625nm；</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绿管单管亮度 1000-1500mcd；绿管波长 520-525nm；</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像素点间距 16mm；像素密度 模组像素；</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像素组成 2红1绿；单模块尺寸 256*128mm；</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扫描方式 1/4扫恒流驱动；横向视角 110（±10）度；</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纵向视角 60（±10）度；最大亮度（新装） 4500-5000CD/m2（标准亮度）；</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最大亮度（使用2年后） ≥4000CD/㎡；亮度调整 16级手动或自动；</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屏体尺寸 1616*848*150mm；有效显示面积 1536*768mm；</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点阵数量 96*48=4608点；单体重量 ≤</w:t>
      </w:r>
      <w:r>
        <w:rPr>
          <w:rFonts w:hint="eastAsia"/>
          <w:color w:val="000000" w:themeColor="text1"/>
          <w:sz w:val="24"/>
          <w:szCs w:val="24"/>
          <w:lang w:val="en-US" w:eastAsia="zh-CN"/>
          <w14:textFill>
            <w14:solidFill>
              <w14:schemeClr w14:val="tx1"/>
            </w14:solidFill>
          </w14:textFill>
        </w:rPr>
        <w:t>55</w:t>
      </w:r>
      <w:r>
        <w:rPr>
          <w:rFonts w:hint="eastAsia"/>
          <w:color w:val="000000" w:themeColor="text1"/>
          <w:sz w:val="24"/>
          <w:szCs w:val="24"/>
          <w14:textFill>
            <w14:solidFill>
              <w14:schemeClr w14:val="tx1"/>
            </w14:solidFill>
          </w14:textFill>
        </w:rPr>
        <w:t>kg</w:t>
      </w:r>
      <w:r>
        <w:rPr>
          <w:rFonts w:hint="eastAsia"/>
          <w:color w:val="000000" w:themeColor="text1"/>
          <w:sz w:val="24"/>
          <w:szCs w:val="24"/>
          <w14:textFill>
            <w14:solidFill>
              <w14:schemeClr w14:val="tx1"/>
            </w14:solidFill>
          </w14:textFill>
        </w:rPr>
        <w:t>；；</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安装方式 单/双横杆安装；维修开门模式：前开门，单门向下；</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尺寸扩展性 横向按256mm为单位伸缩；纵向按128mm为单位伸缩；平均功耗 ≤100W；</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控制方式脱机控制(自动根据前端采样切换节目)、联机控制；</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进入/离开动画方式 无动画、左移、右移、上移、下移、左翻转、右翻转、上翻转、下翻转、左右拉幕、左右合幕、上下拉幕、上下合幕等；</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远程通讯接口 10/100M以太网、自动定时控制、远程控制；采样端口 4路，交流220VAC ；</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显示帧循环方案 根据采用端口信号自动切换节目，最大支持6路IO控制；</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时段方案 可根据需要设置两套时段方案（工作日/节假日），每套时段方案最大可设12个时段，满足不同的显示/提示需求；</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后台控制软件 可通过后台设置节目，亮度调节，开关屏时间调节，节目控制方式等参数；</w:t>
      </w:r>
    </w:p>
    <w:p>
      <w:pPr>
        <w:numPr>
          <w:ilvl w:val="0"/>
          <w:numId w:val="1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可与交警指定业务平台对接，实现情报下发功能、绿波速度下发功能。</w:t>
      </w:r>
    </w:p>
    <w:p>
      <w:pPr>
        <w:spacing w:line="360" w:lineRule="auto"/>
        <w:ind w:firstLine="482"/>
        <w:rPr>
          <w:b/>
          <w:bCs/>
          <w:color w:val="000000" w:themeColor="text1"/>
          <w:sz w:val="24"/>
          <w:szCs w:val="24"/>
          <w14:textFill>
            <w14:solidFill>
              <w14:schemeClr w14:val="tx1"/>
            </w14:solidFill>
          </w14:textFill>
        </w:rPr>
      </w:pPr>
    </w:p>
    <w:p>
      <w:pPr>
        <w:pStyle w:val="7"/>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4.2电子警察设备</w:t>
      </w:r>
    </w:p>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4.2.1、功能要求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子警察的建设，能够实现全天候抓拍：闯红灯、不按导向车道行驶、路口逆行、单行线逆行、路口滞留、越线停车、左转不让直行、右转不让左转、掉头不让直行、机动车占用非机动车道、违规占用专用车道、不礼让行人、开车打电话、不系安全带、非机动车载人、非机动车逆行、闯禁令等一系列违法行为。</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（1）闯红灯行为捕获功能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能对闯红灯交通违法行为进行抓拍，且必须符合《闯红灯自动记录系统通用技术条件（GA/T 496-2014）》和《道路交通安全违法行为图像取证技术规范（GA/T 832-2014）》的相关技术要求。确保违法特征要素齐全，执法证据可信、有效。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采用多相位红灯信号接口，可根据不同车道设置红灯信号和组合红灯信号。高清抓拍摄像机应有红灯电源同步控制功能，保证闯红灯状态下车道对应红灯相位与摄像机拍摄保持同步。红绿灯信号线要单独接出，不得多方向并线，以适应信号灯配时方案的调整。</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提供的GA/T 496-2014《闯红灯自动记录系统通用技术条件》检测报告中的技术指标作为衡量是否满足要求的依据。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（2）交通违法行为捕获功能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除对闯红灯交通违法行为进行抓拍以外，电子警察还应能捕获以下类型的交通违法行为：</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1）不按导向车道行驶</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2）路口逆行、单行线逆行</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3）实线变道</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4）支持路口滞留、越线停车、左转不让直行、右转不让左转、掉头不让直行等行为抓拍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5）机动车占用非机动车道、违法规定占用专用车道、支持不礼让行人抓拍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6）支持开车打电话以及不系安全带违法行为的捕获，支持人脸与车牌、车辆关联显示</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7）支持二、三轮车载人、非机动车逆行、不戴安全头盔、闯红灯、越线停车等功能检测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8）支持货车、拖拉机、农用车等车辆驶入禁行区域的抓拍；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9）其他交通违法行为的捕获</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10）车辆捕获功能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11）支持多拍过滤功能，在可设置的时间段内多次经过的车辆只抓拍一次</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r>
        <w:rPr>
          <w:rFonts w:hint="eastAsia"/>
          <w:color w:val="000000" w:themeColor="text1"/>
          <w:sz w:val="24"/>
          <w:szCs w:val="24"/>
          <w14:textFill>
            <w14:solidFill>
              <w14:schemeClr w14:val="tx1"/>
            </w14:solidFill>
          </w14:textFill>
        </w:rPr>
        <w:t>）支持设备安全接入功能，设备只能被管理平台控制，不能通过其他方式登录或者控制设备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（3）高清照片抓拍功能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抓拍的900万像素高清照片图片格式为JPEG/24bit。照片上应叠加时间、地点、方向、车牌号码、车牌颜色等信息。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驾驶人面部特征记录</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w:t>
      </w:r>
      <w:r>
        <w:rPr>
          <w:color w:val="000000" w:themeColor="text1"/>
          <w:sz w:val="24"/>
          <w:szCs w:val="24"/>
          <w14:textFill>
            <w14:solidFill>
              <w14:schemeClr w14:val="tx1"/>
            </w14:solidFill>
          </w14:textFill>
        </w:rPr>
        <w:t>能记录机动车闯红灯行为对应驾驶人面部特征的图片，驾驶人面部的分辨率应不小于50×50像素点</w:t>
      </w:r>
      <w:r>
        <w:rPr>
          <w:rFonts w:hint="eastAsia"/>
          <w:color w:val="000000" w:themeColor="text1"/>
          <w:sz w:val="24"/>
          <w:szCs w:val="24"/>
          <w14:textFill>
            <w14:solidFill>
              <w14:schemeClr w14:val="tx1"/>
            </w14:solidFill>
          </w14:textFill>
        </w:rPr>
        <w:t>（依据《闯红灯自动记录系统通用技术条件（GA/T 496-2014）》标准规定）</w:t>
      </w:r>
      <w:r>
        <w:rPr>
          <w:color w:val="000000" w:themeColor="text1"/>
          <w:sz w:val="24"/>
          <w:szCs w:val="24"/>
          <w14:textFill>
            <w14:solidFill>
              <w14:schemeClr w14:val="tx1"/>
            </w14:solidFill>
          </w14:textFill>
        </w:rPr>
        <w:t>，作为认定机动车闯红灯违法驾驶人的参考资料。</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（5）高清照片防篡改功能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抓拍的高清照片应叠加不可见水印的方式实现图片防篡改功能。利用水印验证工具能验证高清照片是否被篡改。</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交通流量数据检测</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新型电子警察前端</w:t>
      </w:r>
      <w:r>
        <w:rPr>
          <w:rFonts w:hint="eastAsia"/>
          <w:color w:val="000000" w:themeColor="text1"/>
          <w:sz w:val="24"/>
          <w:szCs w:val="24"/>
          <w14:textFill>
            <w14:solidFill>
              <w14:schemeClr w14:val="tx1"/>
            </w14:solidFill>
          </w14:textFill>
        </w:rPr>
        <w:t>还</w:t>
      </w:r>
      <w:r>
        <w:rPr>
          <w:color w:val="000000" w:themeColor="text1"/>
          <w:sz w:val="24"/>
          <w:szCs w:val="24"/>
          <w14:textFill>
            <w14:solidFill>
              <w14:schemeClr w14:val="tx1"/>
            </w14:solidFill>
          </w14:textFill>
        </w:rPr>
        <w:t>应具备交通流量基本数据检测，通过光纤网络传输到</w:t>
      </w:r>
      <w:r>
        <w:rPr>
          <w:rFonts w:hint="eastAsia"/>
          <w:color w:val="000000" w:themeColor="text1"/>
          <w:sz w:val="24"/>
          <w:szCs w:val="24"/>
          <w14:textFill>
            <w14:solidFill>
              <w14:schemeClr w14:val="tx1"/>
            </w14:solidFill>
          </w14:textFill>
        </w:rPr>
        <w:t>辖区大队</w:t>
      </w:r>
      <w:r>
        <w:rPr>
          <w:color w:val="000000" w:themeColor="text1"/>
          <w:sz w:val="24"/>
          <w:szCs w:val="24"/>
          <w14:textFill>
            <w14:solidFill>
              <w14:schemeClr w14:val="tx1"/>
            </w14:solidFill>
          </w14:textFill>
        </w:rPr>
        <w:t>中心机房存储。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（7）通行记录</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能够对通过监控点视频检测分析区域的机动车进行自动记录，抓拍1张照片并生成一条机动车通行记录（包括车身图片、号牌、通行时间、通行地点、方向、车型</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全时录像功能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前端设备</w:t>
      </w:r>
      <w:r>
        <w:rPr>
          <w:color w:val="000000" w:themeColor="text1"/>
          <w:sz w:val="24"/>
          <w:szCs w:val="24"/>
          <w14:textFill>
            <w14:solidFill>
              <w14:schemeClr w14:val="tx1"/>
            </w14:solidFill>
          </w14:textFill>
        </w:rPr>
        <w:t>应具备</w:t>
      </w:r>
      <w:r>
        <w:rPr>
          <w:rFonts w:hint="eastAsia"/>
          <w:color w:val="000000" w:themeColor="text1"/>
          <w:sz w:val="24"/>
          <w:szCs w:val="24"/>
          <w14:textFill>
            <w14:solidFill>
              <w14:schemeClr w14:val="tx1"/>
            </w14:solidFill>
          </w14:textFill>
        </w:rPr>
        <w:t>一周7</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24小时的</w:t>
      </w:r>
      <w:r>
        <w:rPr>
          <w:color w:val="000000" w:themeColor="text1"/>
          <w:sz w:val="24"/>
          <w:szCs w:val="24"/>
          <w14:textFill>
            <w14:solidFill>
              <w14:schemeClr w14:val="tx1"/>
            </w14:solidFill>
          </w14:textFill>
        </w:rPr>
        <w:t>全时录像功能，</w:t>
      </w:r>
      <w:r>
        <w:rPr>
          <w:rFonts w:hint="eastAsia"/>
          <w:color w:val="000000" w:themeColor="text1"/>
          <w:sz w:val="24"/>
          <w:szCs w:val="24"/>
          <w14:textFill>
            <w14:solidFill>
              <w14:schemeClr w14:val="tx1"/>
            </w14:solidFill>
          </w14:textFill>
        </w:rPr>
        <w:t>实时传往中心，</w:t>
      </w:r>
      <w:r>
        <w:rPr>
          <w:color w:val="000000" w:themeColor="text1"/>
          <w:sz w:val="24"/>
          <w:szCs w:val="24"/>
          <w14:textFill>
            <w14:solidFill>
              <w14:schemeClr w14:val="tx1"/>
            </w14:solidFill>
          </w14:textFill>
        </w:rPr>
        <w:t>可以通过网络远程调阅</w:t>
      </w:r>
      <w:r>
        <w:rPr>
          <w:rFonts w:hint="eastAsia"/>
          <w:color w:val="000000" w:themeColor="text1"/>
          <w:sz w:val="24"/>
          <w:szCs w:val="24"/>
          <w14:textFill>
            <w14:solidFill>
              <w14:schemeClr w14:val="tx1"/>
            </w14:solidFill>
          </w14:textFill>
        </w:rPr>
        <w:t>，并可在前端缓存</w:t>
      </w:r>
      <w:r>
        <w:rPr>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（9）前端数据缓存功能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电警、卡口前端控制主机应采用嵌入式设计，配备不少于4个SATA硬盘接口，标配硬盘容量≥4TB，最大可扩容至不少于16TB。</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高清抓拍摄像机应具备保存短期数据功能，前端摄像机存储容量≥32GB。</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电警、卡口前端控制主机应具备数据分类管理功能，可为数据信息、图片及视频独立分配存储空间。</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要求采用以下缓存机制：电警控制主机与中心系统的通信链路工作正常时，记录信息应经电警控制主机上传中心系统；当通信链路发生故障时，记录信息缓存在电警控制主机硬盘内，当通信链路恢复正常后，缓存在硬盘的记录信息应自动补录到中心系统。</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高清抓拍摄像机在抓拍高清照片的同时，应能输出高清视频码流，码流格式为H.264、H.265或以上。高清视频码流应能保存在电警前端控制主机，不允许额外添置DVR或NVR。</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t>防雷</w:t>
      </w:r>
      <w:r>
        <w:rPr>
          <w:rFonts w:hint="eastAsia"/>
          <w:color w:val="000000" w:themeColor="text1"/>
          <w:sz w:val="24"/>
          <w:szCs w:val="24"/>
          <w14:textFill>
            <w14:solidFill>
              <w14:schemeClr w14:val="tx1"/>
            </w14:solidFill>
          </w14:textFill>
        </w:rPr>
        <w:t>抗风</w:t>
      </w:r>
      <w:r>
        <w:rPr>
          <w:color w:val="000000" w:themeColor="text1"/>
          <w:sz w:val="24"/>
          <w:szCs w:val="24"/>
          <w14:textFill>
            <w14:solidFill>
              <w14:schemeClr w14:val="tx1"/>
            </w14:solidFill>
          </w14:textFill>
        </w:rPr>
        <w:t>要求</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应具备外部和内部二级避雷措施</w:t>
      </w:r>
      <w:r>
        <w:rPr>
          <w:rFonts w:hint="eastAsia"/>
          <w:color w:val="000000" w:themeColor="text1"/>
          <w:sz w:val="24"/>
          <w:szCs w:val="24"/>
          <w14:textFill>
            <w14:solidFill>
              <w14:schemeClr w14:val="tx1"/>
            </w14:solidFill>
          </w14:textFill>
        </w:rPr>
        <w:t>，符合当地沿海最高等级抗风要求。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（11）补光设备</w:t>
      </w:r>
    </w:p>
    <w:p>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电子警察抓拍的视频和图片在符合处罚要求的前提，从环保及减少光污染角度出发，建议使用环境光进行自然补光，尽量减少道路上的光污染源。</w:t>
      </w:r>
    </w:p>
    <w:p>
      <w:pPr>
        <w:numPr>
          <w:ilvl w:val="0"/>
          <w:numId w:val="13"/>
        </w:numPr>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主要技术指标</w:t>
      </w:r>
    </w:p>
    <w:p>
      <w:pPr>
        <w:pStyle w:val="2"/>
        <w:widowControl w:val="0"/>
        <w:numPr>
          <w:ilvl w:val="0"/>
          <w:numId w:val="0"/>
        </w:numPr>
        <w:spacing w:line="360" w:lineRule="exact"/>
        <w:jc w:val="both"/>
        <w:rPr>
          <w:color w:val="000000" w:themeColor="text1"/>
          <w14:textFill>
            <w14:solidFill>
              <w14:schemeClr w14:val="tx1"/>
            </w14:solidFill>
          </w14:textFill>
        </w:rPr>
      </w:pPr>
    </w:p>
    <w:p>
      <w:pPr>
        <w:pStyle w:val="2"/>
        <w:widowControl w:val="0"/>
        <w:numPr>
          <w:ilvl w:val="0"/>
          <w:numId w:val="0"/>
        </w:numPr>
        <w:spacing w:line="360" w:lineRule="exact"/>
        <w:jc w:val="both"/>
        <w:rPr>
          <w:color w:val="000000" w:themeColor="text1"/>
          <w14:textFill>
            <w14:solidFill>
              <w14:schemeClr w14:val="tx1"/>
            </w14:solidFill>
          </w14:textFill>
        </w:rPr>
      </w:pPr>
    </w:p>
    <w:tbl>
      <w:tblPr>
        <w:tblStyle w:val="23"/>
        <w:tblW w:w="8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2"/>
        <w:gridCol w:w="1869"/>
        <w:gridCol w:w="416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jc w:val="center"/>
        </w:trPr>
        <w:tc>
          <w:tcPr>
            <w:tcW w:w="2311" w:type="dxa"/>
            <w:gridSpan w:val="2"/>
            <w:vAlign w:val="center"/>
          </w:tcPr>
          <w:p>
            <w:pPr>
              <w:pStyle w:val="2"/>
              <w:rPr>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闯红灯功能基本要求</w:t>
            </w:r>
          </w:p>
        </w:tc>
        <w:tc>
          <w:tcPr>
            <w:tcW w:w="4163" w:type="dxa"/>
            <w:vAlign w:val="center"/>
          </w:tcPr>
          <w:p>
            <w:pPr>
              <w:pStyle w:val="2"/>
              <w:rPr>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功能和性能指标</w:t>
            </w:r>
          </w:p>
        </w:tc>
        <w:tc>
          <w:tcPr>
            <w:tcW w:w="2248" w:type="dxa"/>
            <w:vAlign w:val="center"/>
          </w:tcPr>
          <w:p>
            <w:pPr>
              <w:pStyle w:val="2"/>
              <w:rPr>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1" w:hRule="atLeast"/>
          <w:jc w:val="center"/>
        </w:trPr>
        <w:tc>
          <w:tcPr>
            <w:tcW w:w="442" w:type="dxa"/>
            <w:vAlign w:val="center"/>
          </w:tcPr>
          <w:p>
            <w:pPr>
              <w:pStyle w:val="2"/>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违法行为捕获率</w:t>
            </w:r>
          </w:p>
        </w:tc>
        <w:tc>
          <w:tcPr>
            <w:tcW w:w="4163" w:type="dxa"/>
            <w:vAlign w:val="center"/>
          </w:tcPr>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有效记录数</w:t>
            </w:r>
            <w:r>
              <w:rPr>
                <w:rStyle w:val="65"/>
                <w:color w:val="000000" w:themeColor="text1"/>
                <w:sz w:val="24"/>
                <w:szCs w:val="24"/>
                <w14:textFill>
                  <w14:solidFill>
                    <w14:schemeClr w14:val="tx1"/>
                  </w14:solidFill>
                </w14:textFill>
              </w:rPr>
              <w:t>与实际</w:t>
            </w:r>
            <w:r>
              <w:rPr>
                <w:rStyle w:val="65"/>
                <w:rFonts w:hint="eastAsia"/>
                <w:color w:val="000000" w:themeColor="text1"/>
                <w:sz w:val="24"/>
                <w:szCs w:val="24"/>
                <w14:textFill>
                  <w14:solidFill>
                    <w14:schemeClr w14:val="tx1"/>
                  </w14:solidFill>
                </w14:textFill>
              </w:rPr>
              <w:t>闯</w:t>
            </w:r>
            <w:r>
              <w:rPr>
                <w:rFonts w:hint="eastAsia"/>
                <w:color w:val="000000" w:themeColor="text1"/>
                <w:sz w:val="24"/>
                <w:szCs w:val="24"/>
                <w14:textFill>
                  <w14:solidFill>
                    <w14:schemeClr w14:val="tx1"/>
                  </w14:solidFill>
                </w14:textFill>
              </w:rPr>
              <w:t>红灯记录</w:t>
            </w:r>
            <w:r>
              <w:rPr>
                <w:color w:val="000000" w:themeColor="text1"/>
                <w:sz w:val="24"/>
                <w:szCs w:val="24"/>
                <w14:textFill>
                  <w14:solidFill>
                    <w14:schemeClr w14:val="tx1"/>
                  </w14:solidFill>
                </w14:textFill>
              </w:rPr>
              <w:t>数之比。在标注的适用条件下，闯红灯捕获率应不小于90％。</w:t>
            </w:r>
          </w:p>
        </w:tc>
        <w:tc>
          <w:tcPr>
            <w:tcW w:w="2248" w:type="dxa"/>
            <w:vAlign w:val="center"/>
          </w:tcPr>
          <w:p>
            <w:pPr>
              <w:pStyle w:val="2"/>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jc w:val="center"/>
        </w:trPr>
        <w:tc>
          <w:tcPr>
            <w:tcW w:w="442" w:type="dxa"/>
            <w:vAlign w:val="center"/>
          </w:tcPr>
          <w:p>
            <w:pPr>
              <w:pStyle w:val="2"/>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违法行为记录有效率</w:t>
            </w:r>
          </w:p>
        </w:tc>
        <w:tc>
          <w:tcPr>
            <w:tcW w:w="4163" w:type="dxa"/>
            <w:vAlign w:val="center"/>
          </w:tcPr>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在标注的适用条件下，记录有效率应不小于80％。</w:t>
            </w:r>
          </w:p>
        </w:tc>
        <w:tc>
          <w:tcPr>
            <w:tcW w:w="2248" w:type="dxa"/>
            <w:vAlign w:val="center"/>
          </w:tcPr>
          <w:p>
            <w:pPr>
              <w:pStyle w:val="2"/>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jc w:val="center"/>
        </w:trPr>
        <w:tc>
          <w:tcPr>
            <w:tcW w:w="442" w:type="dxa"/>
            <w:vAlign w:val="center"/>
          </w:tcPr>
          <w:p>
            <w:pPr>
              <w:pStyle w:val="2"/>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计时误差</w:t>
            </w:r>
          </w:p>
        </w:tc>
        <w:tc>
          <w:tcPr>
            <w:tcW w:w="4163" w:type="dxa"/>
            <w:vAlign w:val="center"/>
          </w:tcPr>
          <w:p>
            <w:pPr>
              <w:pStyle w:val="66"/>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闯红灯自动记录</w:t>
            </w:r>
            <w:r>
              <w:rPr>
                <w:rFonts w:hint="eastAsia"/>
                <w:color w:val="000000" w:themeColor="text1"/>
                <w:sz w:val="24"/>
                <w:szCs w:val="24"/>
                <w14:textFill>
                  <w14:solidFill>
                    <w14:schemeClr w14:val="tx1"/>
                  </w14:solidFill>
                </w14:textFill>
              </w:rPr>
              <w:t>单元</w:t>
            </w:r>
            <w:r>
              <w:rPr>
                <w:color w:val="000000" w:themeColor="text1"/>
                <w:sz w:val="24"/>
                <w:szCs w:val="24"/>
                <w14:textFill>
                  <w14:solidFill>
                    <w14:schemeClr w14:val="tx1"/>
                  </w14:solidFill>
                </w14:textFill>
              </w:rPr>
              <w:t>24h计时误差应不超过1s。</w:t>
            </w:r>
          </w:p>
        </w:tc>
        <w:tc>
          <w:tcPr>
            <w:tcW w:w="2248" w:type="dxa"/>
            <w:vAlign w:val="center"/>
          </w:tcPr>
          <w:p>
            <w:pPr>
              <w:pStyle w:val="2"/>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9" w:hRule="atLeast"/>
          <w:jc w:val="center"/>
        </w:trPr>
        <w:tc>
          <w:tcPr>
            <w:tcW w:w="442" w:type="dxa"/>
            <w:vAlign w:val="center"/>
          </w:tcPr>
          <w:p>
            <w:pPr>
              <w:pStyle w:val="2"/>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数据传输</w:t>
            </w:r>
          </w:p>
        </w:tc>
        <w:tc>
          <w:tcPr>
            <w:tcW w:w="4163" w:type="dxa"/>
            <w:vAlign w:val="center"/>
          </w:tcPr>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闯红灯自动记录</w:t>
            </w:r>
            <w:r>
              <w:rPr>
                <w:rFonts w:hint="eastAsia"/>
                <w:color w:val="000000" w:themeColor="text1"/>
                <w:sz w:val="24"/>
                <w:szCs w:val="24"/>
                <w14:textFill>
                  <w14:solidFill>
                    <w14:schemeClr w14:val="tx1"/>
                  </w14:solidFill>
                </w14:textFill>
              </w:rPr>
              <w:t>单元</w:t>
            </w:r>
            <w:r>
              <w:rPr>
                <w:color w:val="000000" w:themeColor="text1"/>
                <w:sz w:val="24"/>
                <w:szCs w:val="24"/>
                <w14:textFill>
                  <w14:solidFill>
                    <w14:schemeClr w14:val="tx1"/>
                  </w14:solidFill>
                </w14:textFill>
              </w:rPr>
              <w:t>应具备联网数据传输或现场数据下载功能。</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通过网络将机动车闯红灯信息自动传输到指定数据中心，且信息传输应具有防丢失、防篡改等功能。视频数据传输应符合GB/T 28181</w:t>
            </w:r>
            <w:r>
              <w:rPr>
                <w:rFonts w:hint="eastAsia"/>
                <w:color w:val="000000" w:themeColor="text1"/>
                <w:sz w:val="24"/>
                <w:szCs w:val="24"/>
                <w14:textFill>
                  <w14:solidFill>
                    <w14:schemeClr w14:val="tx1"/>
                  </w14:solidFill>
                </w14:textFill>
              </w:rPr>
              <w:t>-2016《</w:t>
            </w:r>
            <w:r>
              <w:rPr>
                <w:color w:val="000000" w:themeColor="text1"/>
                <w:sz w:val="24"/>
                <w:szCs w:val="24"/>
                <w14:textFill>
                  <w14:solidFill>
                    <w14:schemeClr w14:val="tx1"/>
                  </w14:solidFill>
                </w14:textFill>
              </w:rPr>
              <w:t xml:space="preserve">公共安全视频监控联网系统信息传输、交换、控制技术要求 </w:t>
            </w:r>
            <w:bookmarkStart w:id="34" w:name="1"/>
            <w:bookmarkEnd w:id="34"/>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的要求。</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现场将机动车闯红灯信息人工或自动下载到存储介质中后带回数据中心，下载过程不得删改原始信息，且应自动生成下载日志信息，包括下载人、下载时间等信息。</w:t>
            </w:r>
          </w:p>
        </w:tc>
        <w:tc>
          <w:tcPr>
            <w:tcW w:w="2248" w:type="dxa"/>
            <w:vAlign w:val="center"/>
          </w:tcPr>
          <w:p>
            <w:pPr>
              <w:pStyle w:val="2"/>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jc w:val="center"/>
        </w:trPr>
        <w:tc>
          <w:tcPr>
            <w:tcW w:w="442" w:type="dxa"/>
            <w:vAlign w:val="center"/>
          </w:tcPr>
          <w:p>
            <w:pPr>
              <w:pStyle w:val="2"/>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全景车辆图片内容</w:t>
            </w:r>
          </w:p>
        </w:tc>
        <w:tc>
          <w:tcPr>
            <w:tcW w:w="4163" w:type="dxa"/>
            <w:vAlign w:val="center"/>
          </w:tcPr>
          <w:p>
            <w:pPr>
              <w:pStyle w:val="2"/>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看清车牌、车型特征、停车线、信号灯</w:t>
            </w:r>
          </w:p>
        </w:tc>
        <w:tc>
          <w:tcPr>
            <w:tcW w:w="2248" w:type="dxa"/>
            <w:vAlign w:val="center"/>
          </w:tcPr>
          <w:p>
            <w:pPr>
              <w:pStyle w:val="2"/>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jc w:val="center"/>
        </w:trPr>
        <w:tc>
          <w:tcPr>
            <w:tcW w:w="442" w:type="dxa"/>
            <w:vAlign w:val="center"/>
          </w:tcPr>
          <w:p>
            <w:pPr>
              <w:pStyle w:val="2"/>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6</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产品通过相关部门的检测</w:t>
            </w:r>
          </w:p>
        </w:tc>
        <w:tc>
          <w:tcPr>
            <w:tcW w:w="4163" w:type="dxa"/>
            <w:vAlign w:val="center"/>
          </w:tcPr>
          <w:p>
            <w:pPr>
              <w:pStyle w:val="2"/>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提供检测报告，检测标准为</w:t>
            </w: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tc>
        <w:tc>
          <w:tcPr>
            <w:tcW w:w="2248" w:type="dxa"/>
            <w:vAlign w:val="center"/>
          </w:tcPr>
          <w:p>
            <w:pPr>
              <w:pStyle w:val="2"/>
              <w:rPr>
                <w:color w:val="000000" w:themeColor="text1"/>
                <w:sz w:val="24"/>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029" w:hRule="atLeast"/>
          <w:jc w:val="center"/>
        </w:trPr>
        <w:tc>
          <w:tcPr>
            <w:tcW w:w="442" w:type="dxa"/>
            <w:vAlign w:val="center"/>
          </w:tcPr>
          <w:p>
            <w:pPr>
              <w:pStyle w:val="2"/>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7</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违法图片记录要求</w:t>
            </w:r>
          </w:p>
          <w:p>
            <w:pPr>
              <w:pStyle w:val="2"/>
              <w:rPr>
                <w:color w:val="000000" w:themeColor="text1"/>
                <w:sz w:val="24"/>
                <w:szCs w:val="24"/>
                <w:lang w:val="zh-CN"/>
                <w14:textFill>
                  <w14:solidFill>
                    <w14:schemeClr w14:val="tx1"/>
                  </w14:solidFill>
                </w14:textFill>
              </w:rPr>
            </w:pPr>
          </w:p>
        </w:tc>
        <w:tc>
          <w:tcPr>
            <w:tcW w:w="4163" w:type="dxa"/>
            <w:vAlign w:val="center"/>
          </w:tcPr>
          <w:p>
            <w:pPr>
              <w:pStyle w:val="2"/>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图像分辨率≥</w:t>
            </w:r>
            <w:r>
              <w:rPr>
                <w:rFonts w:hint="eastAsia"/>
                <w:color w:val="000000" w:themeColor="text1"/>
                <w:sz w:val="24"/>
                <w:szCs w:val="24"/>
                <w14:textFill>
                  <w14:solidFill>
                    <w14:schemeClr w14:val="tx1"/>
                  </w14:solidFill>
                </w14:textFill>
              </w:rPr>
              <w:t>9</w:t>
            </w:r>
            <w:r>
              <w:rPr>
                <w:rFonts w:hint="eastAsia"/>
                <w:color w:val="000000" w:themeColor="text1"/>
                <w:sz w:val="24"/>
                <w:szCs w:val="24"/>
                <w:lang w:val="zh-CN"/>
                <w14:textFill>
                  <w14:solidFill>
                    <w14:schemeClr w14:val="tx1"/>
                  </w14:solidFill>
                </w14:textFill>
              </w:rPr>
              <w:t>00万像素</w:t>
            </w:r>
          </w:p>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拍摄</w:t>
            </w:r>
            <w:r>
              <w:rPr>
                <w:color w:val="000000" w:themeColor="text1"/>
                <w:sz w:val="24"/>
                <w:szCs w:val="24"/>
                <w14:textFill>
                  <w14:solidFill>
                    <w14:schemeClr w14:val="tx1"/>
                  </w14:solidFill>
                </w14:textFill>
              </w:rPr>
              <w:t>的图片应符合以下要求：</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应采用JPEG格式，JPEG图片编码应符合ISO/IEC 15444:2000的要求；</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 应具有防篡改功能；</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应包含时间信息，至少精确到0.1s；</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 应符合GA/T 832</w:t>
            </w:r>
            <w:r>
              <w:rPr>
                <w:rFonts w:hint="eastAsia"/>
                <w:color w:val="000000" w:themeColor="text1"/>
                <w:sz w:val="24"/>
                <w:szCs w:val="24"/>
                <w14:textFill>
                  <w14:solidFill>
                    <w14:schemeClr w14:val="tx1"/>
                  </w14:solidFill>
                </w14:textFill>
              </w:rPr>
              <w:t>-2014《</w:t>
            </w:r>
            <w:r>
              <w:rPr>
                <w:color w:val="000000" w:themeColor="text1"/>
                <w:sz w:val="24"/>
                <w:szCs w:val="24"/>
                <w14:textFill>
                  <w14:solidFill>
                    <w14:schemeClr w14:val="tx1"/>
                  </w14:solidFill>
                </w14:textFill>
              </w:rPr>
              <w:t xml:space="preserve">道路交通安全违法行为图像取证技术规范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的要求；</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 最终图片应合成为一个图片文件，且至少应包含：时间、地点、方向、车道和设备编号等信息，设备编号规则应符合GA/T 1043</w:t>
            </w:r>
            <w:r>
              <w:rPr>
                <w:rFonts w:hint="eastAsia"/>
                <w:color w:val="000000" w:themeColor="text1"/>
                <w:sz w:val="24"/>
                <w:szCs w:val="24"/>
                <w14:textFill>
                  <w14:solidFill>
                    <w14:schemeClr w14:val="tx1"/>
                  </w14:solidFill>
                </w14:textFill>
              </w:rPr>
              <w:t>-2013《</w:t>
            </w:r>
            <w:r>
              <w:rPr>
                <w:color w:val="000000" w:themeColor="text1"/>
                <w:sz w:val="24"/>
                <w:szCs w:val="24"/>
                <w14:textFill>
                  <w14:solidFill>
                    <w14:schemeClr w14:val="tx1"/>
                  </w14:solidFill>
                </w14:textFill>
              </w:rPr>
              <w:t xml:space="preserve">道路交通技术监控设备运行维护规范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的要求；</w:t>
            </w:r>
          </w:p>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f) 合成的图片清晰度应能满足人工对车辆号牌号码认定的要求，图片不应出现红灯信号泛白、光晕等颜色失真现象；图片合成时，不得出现原始图片遗漏、错位等情形。</w:t>
            </w:r>
          </w:p>
        </w:tc>
        <w:tc>
          <w:tcPr>
            <w:tcW w:w="2248" w:type="dxa"/>
            <w:vAlign w:val="center"/>
          </w:tcPr>
          <w:p>
            <w:pPr>
              <w:pStyle w:val="2"/>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p>
            <w:pPr>
              <w:pStyle w:val="2"/>
              <w:rPr>
                <w:color w:val="000000" w:themeColor="text1"/>
                <w:sz w:val="24"/>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00" w:hRule="atLeast"/>
          <w:jc w:val="center"/>
        </w:trPr>
        <w:tc>
          <w:tcPr>
            <w:tcW w:w="442"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兼卡口图片记录要求</w:t>
            </w:r>
          </w:p>
        </w:tc>
        <w:tc>
          <w:tcPr>
            <w:tcW w:w="4163" w:type="dxa"/>
            <w:vAlign w:val="center"/>
          </w:tcPr>
          <w:p>
            <w:pPr>
              <w:pStyle w:val="2"/>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图片格式应采用JPEG格式，JPEG图片编码应符合ISO/IEC 15444:2000的要求。</w:t>
            </w:r>
          </w:p>
          <w:p>
            <w:pPr>
              <w:pStyle w:val="2"/>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图像分辨率≥</w:t>
            </w:r>
            <w:r>
              <w:rPr>
                <w:rFonts w:hint="eastAsia"/>
                <w:color w:val="000000" w:themeColor="text1"/>
                <w:sz w:val="24"/>
                <w:szCs w:val="24"/>
                <w14:textFill>
                  <w14:solidFill>
                    <w14:schemeClr w14:val="tx1"/>
                  </w14:solidFill>
                </w14:textFill>
              </w:rPr>
              <w:t>9</w:t>
            </w:r>
            <w:r>
              <w:rPr>
                <w:rFonts w:hint="eastAsia"/>
                <w:color w:val="000000" w:themeColor="text1"/>
                <w:sz w:val="24"/>
                <w:szCs w:val="24"/>
                <w:lang w:val="zh-CN"/>
                <w14:textFill>
                  <w14:solidFill>
                    <w14:schemeClr w14:val="tx1"/>
                  </w14:solidFill>
                </w14:textFill>
              </w:rPr>
              <w:t>00万像素</w:t>
            </w:r>
          </w:p>
          <w:p>
            <w:pPr>
              <w:pStyle w:val="2"/>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记录1幅机动车号牌图片+1幅全景图片，至少应包含：时间、地点、方向、车道、号牌等信息，以上信息应在图片中叠加。</w:t>
            </w:r>
          </w:p>
          <w:p>
            <w:pPr>
              <w:pStyle w:val="2"/>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能够捕获所有时间经过被监控车道的车辆图像（包括红灯、黄灯、绿灯期间），通过车辆车速在5km/h~1</w:t>
            </w:r>
            <w:r>
              <w:rPr>
                <w:rFonts w:hint="eastAsia"/>
                <w:color w:val="000000" w:themeColor="text1"/>
                <w:sz w:val="24"/>
                <w:szCs w:val="24"/>
                <w14:textFill>
                  <w14:solidFill>
                    <w14:schemeClr w14:val="tx1"/>
                  </w14:solidFill>
                </w14:textFill>
              </w:rPr>
              <w:t>2</w:t>
            </w:r>
            <w:r>
              <w:rPr>
                <w:rFonts w:hint="eastAsia"/>
                <w:color w:val="000000" w:themeColor="text1"/>
                <w:sz w:val="24"/>
                <w:szCs w:val="24"/>
                <w:lang w:val="zh-CN"/>
                <w14:textFill>
                  <w14:solidFill>
                    <w14:schemeClr w14:val="tx1"/>
                  </w14:solidFill>
                </w14:textFill>
              </w:rPr>
              <w:t>0km/h范围内时，自动抓拍车辆图像并记录车辆通过的信息，包括：时间、地点、方向、号牌等，并自动进行号牌识别。</w:t>
            </w:r>
          </w:p>
        </w:tc>
        <w:tc>
          <w:tcPr>
            <w:tcW w:w="2248"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数据、图片能上传到中心服务器；根据采购人需求同时应将过车信息上传到台州市公安局交通警察局指定平台;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4" w:hRule="atLeast"/>
          <w:jc w:val="center"/>
        </w:trPr>
        <w:tc>
          <w:tcPr>
            <w:tcW w:w="442"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兼卡口车辆图像捕获率</w:t>
            </w:r>
          </w:p>
        </w:tc>
        <w:tc>
          <w:tcPr>
            <w:tcW w:w="4163" w:type="dxa"/>
            <w:vAlign w:val="center"/>
          </w:tcPr>
          <w:p>
            <w:pPr>
              <w:pStyle w:val="2"/>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应能清晰记录通过车辆的图片，捕获率应不小于95%。检查系统是否具有通过车辆图像记录功能，并按GA/T 497</w:t>
            </w:r>
            <w:r>
              <w:rPr>
                <w:rFonts w:hint="eastAsia"/>
                <w:color w:val="000000" w:themeColor="text1"/>
                <w:sz w:val="24"/>
                <w:szCs w:val="24"/>
                <w14:textFill>
                  <w14:solidFill>
                    <w14:schemeClr w14:val="tx1"/>
                  </w14:solidFill>
                </w14:textFill>
              </w:rPr>
              <w:t>-2016《道路车辆智能监测记录系统通用技术条件》</w:t>
            </w:r>
            <w:r>
              <w:rPr>
                <w:color w:val="000000" w:themeColor="text1"/>
                <w:sz w:val="24"/>
                <w:szCs w:val="24"/>
                <w14:textFill>
                  <w14:solidFill>
                    <w14:schemeClr w14:val="tx1"/>
                  </w14:solidFill>
                </w14:textFill>
              </w:rPr>
              <w:t>的方法测试车辆图像捕获率。</w:t>
            </w:r>
          </w:p>
        </w:tc>
        <w:tc>
          <w:tcPr>
            <w:tcW w:w="2248"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5km/h～120km/h行驶的车辆（含摩托车等所有机动车）；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00" w:hRule="atLeast"/>
          <w:jc w:val="center"/>
        </w:trPr>
        <w:tc>
          <w:tcPr>
            <w:tcW w:w="442" w:type="dxa"/>
            <w:vAlign w:val="center"/>
          </w:tcPr>
          <w:p>
            <w:pPr>
              <w:pStyle w:val="2"/>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1</w:t>
            </w:r>
            <w:r>
              <w:rPr>
                <w:rFonts w:hint="eastAsia"/>
                <w:color w:val="000000" w:themeColor="text1"/>
                <w14:textFill>
                  <w14:solidFill>
                    <w14:schemeClr w14:val="tx1"/>
                  </w14:solidFill>
                </w14:textFill>
              </w:rPr>
              <w:t>0</w:t>
            </w:r>
          </w:p>
        </w:tc>
        <w:tc>
          <w:tcPr>
            <w:tcW w:w="1869" w:type="dxa"/>
            <w:vAlign w:val="center"/>
          </w:tcPr>
          <w:p>
            <w:pPr>
              <w:pStyle w:val="2"/>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兼卡口车牌捕获识别准确率</w:t>
            </w:r>
          </w:p>
        </w:tc>
        <w:tc>
          <w:tcPr>
            <w:tcW w:w="4163" w:type="dxa"/>
            <w:vAlign w:val="center"/>
          </w:tcPr>
          <w:p>
            <w:pPr>
              <w:pStyle w:val="2"/>
              <w:jc w:val="left"/>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应具备车辆号牌自动识别功能，用于号牌识别的字符库应齐全，能识别GA 36</w:t>
            </w:r>
            <w:r>
              <w:rPr>
                <w:rFonts w:hint="eastAsia"/>
                <w:color w:val="000000" w:themeColor="text1"/>
                <w:sz w:val="24"/>
                <w:szCs w:val="24"/>
                <w14:textFill>
                  <w14:solidFill>
                    <w14:schemeClr w14:val="tx1"/>
                  </w14:solidFill>
                </w14:textFill>
              </w:rPr>
              <w:t>-2018《</w:t>
            </w:r>
            <w:r>
              <w:rPr>
                <w:rFonts w:ascii="瀹嬩綋" w:hAnsi="瀹嬩綋" w:eastAsia="瀹嬩綋" w:cs="瀹嬩綋"/>
                <w:color w:val="000000" w:themeColor="text1"/>
                <w:sz w:val="24"/>
                <w:szCs w:val="24"/>
                <w:shd w:val="clear" w:color="auto" w:fill="FFFFFF"/>
                <w14:textFill>
                  <w14:solidFill>
                    <w14:schemeClr w14:val="tx1"/>
                  </w14:solidFill>
                </w14:textFill>
              </w:rPr>
              <w:t>中华人民共和国机动车号牌</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规定的号牌（除临时号牌外）、武警汽车号牌和军队汽车号牌。日间车辆号牌识别准确率应不小于90%；夜间车辆号牌识别准确率应不小于80%。</w:t>
            </w:r>
          </w:p>
        </w:tc>
        <w:tc>
          <w:tcPr>
            <w:tcW w:w="2248" w:type="dxa"/>
            <w:vAlign w:val="center"/>
          </w:tcPr>
          <w:p>
            <w:pPr>
              <w:pStyle w:val="2"/>
              <w:rPr>
                <w:color w:val="000000" w:themeColor="text1"/>
                <w:sz w:val="24"/>
                <w:szCs w:val="24"/>
                <w:lang w:val="zh-CN"/>
                <w14:textFill>
                  <w14:solidFill>
                    <w14:schemeClr w14:val="tx1"/>
                  </w14:solidFill>
                </w14:textFill>
              </w:rPr>
            </w:pPr>
            <w:r>
              <w:rPr>
                <w:color w:val="000000" w:themeColor="text1"/>
                <w:sz w:val="24"/>
                <w:szCs w:val="24"/>
                <w14:textFill>
                  <w14:solidFill>
                    <w14:schemeClr w14:val="tx1"/>
                  </w14:solidFill>
                </w14:textFill>
              </w:rPr>
              <w:t>GA/T 496–20</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《闯红灯自动记录系统通用技术条件》</w:t>
            </w:r>
          </w:p>
        </w:tc>
      </w:tr>
    </w:tbl>
    <w:p>
      <w:pPr>
        <w:ind w:firstLine="482"/>
        <w:rPr>
          <w:b/>
          <w:bCs/>
          <w:color w:val="000000" w:themeColor="text1"/>
          <w14:textFill>
            <w14:solidFill>
              <w14:schemeClr w14:val="tx1"/>
            </w14:solidFill>
          </w14:textFill>
        </w:rPr>
      </w:pPr>
    </w:p>
    <w:p>
      <w:pPr>
        <w:pStyle w:val="7"/>
        <w:numPr>
          <w:ilvl w:val="0"/>
          <w:numId w:val="0"/>
        </w:numPr>
        <w:ind w:firstLine="482"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4.3卡口监控设备</w:t>
      </w:r>
    </w:p>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4.3.1、功能要求</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在高架主线及所有进出口横断面设置抓拍摄像机，能自动采集各车道、道路截面和路口的交通流量等交通基础数据。</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本期</w:t>
      </w: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14:textFill>
            <w14:solidFill>
              <w14:schemeClr w14:val="tx1"/>
            </w14:solidFill>
          </w14:textFill>
        </w:rPr>
        <w:t>主要</w:t>
      </w:r>
      <w:r>
        <w:rPr>
          <w:rFonts w:hint="eastAsia"/>
          <w:color w:val="000000" w:themeColor="text1"/>
          <w:sz w:val="24"/>
          <w:szCs w:val="24"/>
          <w:lang w:eastAsia="zh-CN"/>
          <w14:textFill>
            <w14:solidFill>
              <w14:schemeClr w14:val="tx1"/>
            </w14:solidFill>
          </w14:textFill>
        </w:rPr>
        <w:t>安装</w:t>
      </w:r>
      <w:r>
        <w:rPr>
          <w:rFonts w:hint="eastAsia"/>
          <w:color w:val="000000" w:themeColor="text1"/>
          <w:sz w:val="24"/>
          <w:szCs w:val="24"/>
          <w14:textFill>
            <w14:solidFill>
              <w14:schemeClr w14:val="tx1"/>
            </w14:solidFill>
          </w14:textFill>
        </w:rPr>
        <w:t>前端流量数据采集设备，功能如下：</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（1）交通流采集功能</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交通流检测摄像机自动采集交通流数据。</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交通流量：交通流量是指在选定时间段内通过道路某一地点、某一断面或某一车道的交通实体数。从车流量的大小可以判定交通的拥挤状况，从而决定采取何种</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"http://www.baike.com/sowiki/%E4%BA%A4%E9%80%9A%E7%AE%A1%E7%90%86?prd=content_doc_search" \o "交通管理" </w:instrText>
      </w:r>
      <w:r>
        <w:rPr>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交通管理</w:t>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措施,因此对</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"http://www.baike.com/sowiki/%E4%BA%A4%E9%80%9A%E9%87%8F?prd=content_doc_search" \o "交通量" </w:instrText>
      </w:r>
      <w:r>
        <w:rPr>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交通量</w:t>
      </w:r>
      <w:r>
        <w:rPr>
          <w:rFonts w:hint="eastAsia"/>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的准确检测在交通工程中占有十分重要的位置。</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（2）应能捕获以下类型的交通违法行为：</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1）货车违反规定通行</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2）机动车单行线逆行</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3）机动车违反规定占用专用车道</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4）抓拍车头的相机要支持自动识别开车打电话、不系安全带。</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5）支持机动车不礼让行人抓拍</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6）支持非机动车违法行为抓拍（占用机动车、不戴头盔、载人），支持对机动车、非机动车人脸抠图及上传</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7）其他交通违法行为的捕获</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（3）机动车通行信息记录功能 </w:t>
      </w:r>
    </w:p>
    <w:p>
      <w:pPr>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够对通过监控点视频检测分析区域的机动车进行自动记录，抓拍1张照片并生成一条机动车通行记录（包括车身图片、号牌、通行时间、通行地点、方向、车型）,根据所拍摄的车辆特征图片，通过机动车号牌定位、字符切分、字符匹配和图像预处理实现号牌自动识别和特征识别功能。过车图片需要看清车内驾驶人员，人脸抠图符合人脸比对要求，同时又考虑减少光污染等。</w:t>
      </w:r>
    </w:p>
    <w:p>
      <w:pPr>
        <w:pStyle w:val="2"/>
        <w:rPr>
          <w:color w:val="000000" w:themeColor="text1"/>
          <w:sz w:val="24"/>
          <w:szCs w:val="24"/>
          <w14:textFill>
            <w14:solidFill>
              <w14:schemeClr w14:val="tx1"/>
            </w14:solidFill>
          </w14:textFill>
        </w:rPr>
      </w:pPr>
    </w:p>
    <w:p>
      <w:pPr>
        <w:pStyle w:val="7"/>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4.4交通监视设备</w:t>
      </w:r>
    </w:p>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4.4.1、</w:t>
      </w: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枪球联动式监控设备</w:t>
      </w:r>
    </w:p>
    <w:p>
      <w:pPr>
        <w:pStyle w:val="9"/>
        <w:spacing w:line="360" w:lineRule="auto"/>
        <w:ind w:left="0" w:leftChars="0" w:firstLine="482"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4.4.1.1、功能要求</w:t>
      </w:r>
    </w:p>
    <w:p>
      <w:pPr>
        <w:spacing w:line="360" w:lineRule="auto"/>
        <w:ind w:firstLine="482"/>
        <w:rPr>
          <w:b/>
          <w:bCs/>
          <w:color w:val="000000" w:themeColor="text1"/>
          <w:sz w:val="24"/>
          <w:szCs w:val="24"/>
          <w14:textFill>
            <w14:solidFill>
              <w14:schemeClr w14:val="tx1"/>
            </w14:solidFill>
          </w14:textFill>
        </w:rPr>
      </w:pPr>
      <w:bookmarkStart w:id="35" w:name="_Toc45032599"/>
      <w:r>
        <w:rPr>
          <w:rFonts w:hint="eastAsia"/>
          <w:b/>
          <w:bCs/>
          <w:color w:val="000000" w:themeColor="text1"/>
          <w:sz w:val="24"/>
          <w:szCs w:val="24"/>
          <w14:textFill>
            <w14:solidFill>
              <w14:schemeClr w14:val="tx1"/>
            </w14:solidFill>
          </w14:textFill>
        </w:rPr>
        <w:t>1.布控跟踪接力功能</w:t>
      </w:r>
      <w:bookmarkEnd w:id="35"/>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bookmarkStart w:id="36" w:name="_Toc45032601"/>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以现有的数据库、接口或者通过台州交警电子警察运行平台提供需要布控的车牌号和号牌类型等信息，本次</w:t>
      </w:r>
      <w:r>
        <w:rPr>
          <w:rFonts w:hint="eastAsia" w:ascii="宋体" w:hAnsi="宋体" w:cs="宋体"/>
          <w:color w:val="000000" w:themeColor="text1"/>
          <w:sz w:val="24"/>
          <w:szCs w:val="24"/>
          <w:lang w:eastAsia="zh-CN"/>
          <w14:textFill>
            <w14:solidFill>
              <w14:schemeClr w14:val="tx1"/>
            </w14:solidFill>
          </w14:textFill>
        </w:rPr>
        <w:t>安装</w:t>
      </w:r>
      <w:r>
        <w:rPr>
          <w:rFonts w:hint="eastAsia" w:ascii="宋体" w:hAnsi="宋体" w:cs="宋体"/>
          <w:color w:val="000000" w:themeColor="text1"/>
          <w:sz w:val="24"/>
          <w:szCs w:val="24"/>
          <w14:textFill>
            <w14:solidFill>
              <w14:schemeClr w14:val="tx1"/>
            </w14:solidFill>
          </w14:textFill>
        </w:rPr>
        <w:t>的前端相机自动把数据下载到相机中（也可以从后台主动下发到相机中）。</w:t>
      </w:r>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前端相机应支持车辆布控跟踪视频接力功能。前端相机（枪球</w:t>
      </w:r>
      <w:r>
        <w:rPr>
          <w:rFonts w:hint="eastAsia" w:ascii="宋体" w:hAnsi="宋体" w:cs="宋体"/>
          <w:color w:val="000000" w:themeColor="text1"/>
          <w:sz w:val="24"/>
          <w:szCs w:val="24"/>
          <w:lang w:eastAsia="zh-CN"/>
          <w14:textFill>
            <w14:solidFill>
              <w14:schemeClr w14:val="tx1"/>
            </w14:solidFill>
          </w14:textFill>
        </w:rPr>
        <w:t>联动式</w:t>
      </w:r>
      <w:r>
        <w:rPr>
          <w:rFonts w:hint="eastAsia" w:ascii="宋体" w:hAnsi="宋体" w:cs="宋体"/>
          <w:color w:val="000000" w:themeColor="text1"/>
          <w:sz w:val="24"/>
          <w:szCs w:val="24"/>
          <w14:textFill>
            <w14:solidFill>
              <w14:schemeClr w14:val="tx1"/>
            </w14:solidFill>
          </w14:textFill>
        </w:rPr>
        <w:t>监控设备）实时检测道路经过的车辆信息，并与相机中布控的车辆信息进行比对，比对成功即进行预警，锁定并持续跟踪目标。当车辆进入第一个枪球一体机可视范围时，球机抓拍到车辆后，启动跟踪模式，球机平滑变倍跟踪车辆，并将全景视频及当前跟踪视频展示在第一列中，当车辆驶出当前跟踪枪球一体机球机跟踪范围时，行进方向的下一个枪球一体机球机自动调整预置位，识别到车辆车牌后启动跟踪模式，此时，当前跟踪视频及枪球一体机全景视频左移到第一列跟踪视频显示屏中，下一个枪球一体机视频作为预监视频到第二列，同样，上方为枪机全景视频，下方为球机跟踪视频画面。</w:t>
      </w:r>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前端摄像机要能根据</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要求对布控跟踪的目标设定优先级别。当一个前端相机的画面内同时出现多个同一级别的布控目标时按先捕获先跟踪原则进行锁定跟踪；当有不同级别的布控目标时，仅对最高级别的布控目标进行锁定跟踪。</w:t>
      </w:r>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布控跟踪功能要与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现有的电子警察、卡口系统所产生的过车记录相结合，并能实时展示目标的最新过车记录及图片。</w:t>
      </w:r>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前端相机应能设置人工控制、布控跟踪和事件监测等3种工作模式，每个相机的工作模式可以在台州交警电子警察运行平台或者类似的模块中可以直观展示，并能批量下发相机的工作模式。高权限用户可以指定任何一台相机的工作模式，低权限工作只能指定对应的相机工作模式，且不能与高权限用户指定的模式冲突。</w:t>
      </w:r>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布控跟踪功能遇到特定的场景时，如相邻两个相机能实现感知，当车辆经过一个摄像机时，根据车辆行驶方向可自动预估达到下个摄像机时间，如下个摄像机该时间未捕获该车，能自动上传一条预警信息。</w:t>
      </w:r>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前端相机在布控跟踪目标车辆时，遇到检测死角情况下，能自动进行合理角度的复位继续布控跟踪。</w:t>
      </w:r>
    </w:p>
    <w:p>
      <w:pPr>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2.违法行为自动取证功能</w:t>
      </w:r>
      <w:bookmarkEnd w:id="36"/>
    </w:p>
    <w:p>
      <w:p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前端相机应支持违法停车、逆向行驶、压线行驶、不按规定变更车道行驶、非机动车在机动车行驶、违法掉头行为等违法行为检测自动检测并抓拍功能，取证图片要求符合《道路交通安全违法行为图像取证技术规范（GA/T 832-2014）》的相关技术要求。确保违法特征要素齐全，执法证据可信、有效。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1、违停抓拍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对道路两旁禁停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2、逆行抓拍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能对车辆行进方向进行分析并判断是否存在逆行行为，抓拍车辆逆行图片并对车辆信息进行提取，形成违法图片，上传后端平台。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3、压线抓拍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应根据实际行车路线，预设规则框，设备会对压线车辆进行自动取证，记录压线全过程，形成违法图片上传后端平台。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4、变道抓拍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应根据实际行车路线，预设规则框，前端设备对实线变道车辆进行自动取证，记录实线变道全过程，形成违法图片上传后端平台。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5、机占非抓拍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应根据实际道路规划，预设规则框，前端设备能够识别机动车，对机动车占用非机动车道行驶的行为进行抓拍，形成违法图片上传后端平台。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6、非占机抓拍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应根据实际道路规划，预设规则框，前端设备能够识别非机动车，对非机动车占用机动车道行驶的行为进行抓拍，形成违法图片上传后端平台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7、违章掉头抓拍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设备可对车辆违章掉头全程及车辆的车牌信息进行抓拍取证，形成违法图片，上传后端平台。</w:t>
      </w:r>
    </w:p>
    <w:p>
      <w:pPr>
        <w:spacing w:line="360" w:lineRule="auto"/>
        <w:ind w:firstLine="482"/>
        <w:rPr>
          <w:b/>
          <w:bCs/>
          <w:color w:val="000000" w:themeColor="text1"/>
          <w:sz w:val="24"/>
          <w:szCs w:val="24"/>
          <w14:textFill>
            <w14:solidFill>
              <w14:schemeClr w14:val="tx1"/>
            </w14:solidFill>
          </w14:textFill>
        </w:rPr>
      </w:pPr>
      <w:bookmarkStart w:id="37" w:name="_Toc45032602"/>
      <w:r>
        <w:rPr>
          <w:rFonts w:hint="eastAsia"/>
          <w:b/>
          <w:bCs/>
          <w:color w:val="000000" w:themeColor="text1"/>
          <w:sz w:val="24"/>
          <w:szCs w:val="24"/>
          <w14:textFill>
            <w14:solidFill>
              <w14:schemeClr w14:val="tx1"/>
            </w14:solidFill>
          </w14:textFill>
        </w:rPr>
        <w:t>3.事件自动检测功能</w:t>
      </w:r>
      <w:bookmarkEnd w:id="37"/>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应内置算法支持抛洒物检测、行人检测、拥堵检测、路障检测、交通事故检测、浓雾检测等，并上传平台实现事件报警功能。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1、抛撒物检测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应内置抛撒物检测算法，对道路上的抛撒物进行检测，当检测区域内出现抛撒物，系统应能够自动放大抓拍并向后端平台进行报警。</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2、行人检测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应能够识别行人、二轮车，对实际道路上的禁行区域进行预置规则设置，当行人、二轮车出现在进行区域时，作为事件报警上传后端平台。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3、拥堵检测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应能够对监测场景内车辆排队长队做检测，判断当前是否发生拥堵，并生成事件报警上传后端平台。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4、路障检测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支持对路面上的路障（圆锥筒等）进行检测，并生成报警事件上传后端平台。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5、交通事故检测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应内置算法，对道路上的通行车辆进行智能分析，对车辆事故进行分析识别，并通过相机进行记录抓拍，形成取证录像，生成报警事件上传后端平台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6、浓雾检测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应能够对恶劣天气进行分析判断，通过相机可视范围判断浓雾情况，不并根据不同的浓雾级别生成报警事件上传后端平台。</w:t>
      </w:r>
      <w:bookmarkStart w:id="38" w:name="_Toc45032603"/>
    </w:p>
    <w:bookmarkEnd w:id="38"/>
    <w:p>
      <w:pPr>
        <w:spacing w:line="360" w:lineRule="auto"/>
        <w:ind w:firstLine="482"/>
        <w:rPr>
          <w:b/>
          <w:bCs/>
          <w:color w:val="000000" w:themeColor="text1"/>
          <w:sz w:val="24"/>
          <w:szCs w:val="24"/>
          <w14:textFill>
            <w14:solidFill>
              <w14:schemeClr w14:val="tx1"/>
            </w14:solidFill>
          </w14:textFill>
        </w:rPr>
      </w:pPr>
      <w:bookmarkStart w:id="39" w:name="_Toc41465494"/>
      <w:bookmarkStart w:id="40" w:name="_Toc45032605"/>
      <w:bookmarkStart w:id="41" w:name="_Toc433812668"/>
      <w:bookmarkStart w:id="42" w:name="_Toc41465496"/>
      <w:bookmarkStart w:id="43" w:name="_Toc433812670"/>
      <w:r>
        <w:rPr>
          <w:rFonts w:hint="eastAsia"/>
          <w:b/>
          <w:bCs/>
          <w:color w:val="000000" w:themeColor="text1"/>
          <w:sz w:val="24"/>
          <w:szCs w:val="24"/>
          <w14:textFill>
            <w14:solidFill>
              <w14:schemeClr w14:val="tx1"/>
            </w14:solidFill>
          </w14:textFill>
        </w:rPr>
        <w:t>4.多场景快速轮询取证功能</w:t>
      </w:r>
      <w:bookmarkEnd w:id="39"/>
      <w:bookmarkEnd w:id="40"/>
      <w:bookmarkEnd w:id="41"/>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针对球机同一个时间只能监控一个场景，而前端监控点可能有多个场景需要监控，各个场景发生违法停车的时间段不同的情况，支持多场景巡航取证，可根据实际情况设置巡航计划，最多支持16个预置违法检测场景，能有效提高取证效率。</w:t>
      </w:r>
    </w:p>
    <w:p>
      <w:pPr>
        <w:spacing w:line="360" w:lineRule="auto"/>
        <w:ind w:firstLine="482"/>
        <w:rPr>
          <w:b/>
          <w:bCs/>
          <w:color w:val="000000" w:themeColor="text1"/>
          <w:sz w:val="24"/>
          <w:szCs w:val="24"/>
          <w14:textFill>
            <w14:solidFill>
              <w14:schemeClr w14:val="tx1"/>
            </w14:solidFill>
          </w14:textFill>
        </w:rPr>
      </w:pPr>
      <w:bookmarkStart w:id="44" w:name="_Toc41465493"/>
      <w:bookmarkStart w:id="45" w:name="_Toc433812667"/>
      <w:bookmarkStart w:id="46" w:name="_Toc45032606"/>
      <w:r>
        <w:rPr>
          <w:rFonts w:hint="eastAsia"/>
          <w:b/>
          <w:bCs/>
          <w:color w:val="000000" w:themeColor="text1"/>
          <w:sz w:val="24"/>
          <w:szCs w:val="24"/>
          <w14:textFill>
            <w14:solidFill>
              <w14:schemeClr w14:val="tx1"/>
            </w14:solidFill>
          </w14:textFill>
        </w:rPr>
        <w:t>5.多目标处理功能</w:t>
      </w:r>
      <w:bookmarkEnd w:id="44"/>
      <w:bookmarkEnd w:id="45"/>
      <w:bookmarkEnd w:id="46"/>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可对检测区域内多个违法车辆进行检测取证，最多支持同时处理20个目标。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于同一场景下多目标同时进入检测区域的情况，系统首先对检测到的第一个目标采集第一组全景和特写图片，在球机回归预置位后再对检测区域内其它未进入抓拍队列的违法车辆进行第一组全景和特写图片的采集，然后按照设定的取证时限依次对抓拍队列中的车辆进行第二组全景和特写图片的采集及违法记录生成。多于多场景巡航取证时，系统除可以对新进入检测场景的违法车辆进行检测取证，也可以对场景内已停放的车辆进行检测取证。</w:t>
      </w:r>
    </w:p>
    <w:p>
      <w:pPr>
        <w:spacing w:line="360" w:lineRule="auto"/>
        <w:ind w:firstLine="482"/>
        <w:rPr>
          <w:b/>
          <w:bCs/>
          <w:color w:val="000000" w:themeColor="text1"/>
          <w:sz w:val="24"/>
          <w:szCs w:val="24"/>
          <w14:textFill>
            <w14:solidFill>
              <w14:schemeClr w14:val="tx1"/>
            </w14:solidFill>
          </w14:textFill>
        </w:rPr>
      </w:pPr>
      <w:bookmarkStart w:id="47" w:name="_Toc45032607"/>
      <w:r>
        <w:rPr>
          <w:rFonts w:hint="eastAsia"/>
          <w:b/>
          <w:bCs/>
          <w:color w:val="000000" w:themeColor="text1"/>
          <w:sz w:val="24"/>
          <w:szCs w:val="24"/>
          <w14:textFill>
            <w14:solidFill>
              <w14:schemeClr w14:val="tx1"/>
            </w14:solidFill>
          </w14:textFill>
        </w:rPr>
        <w:t>6.图像防篡改功能</w:t>
      </w:r>
      <w:bookmarkEnd w:id="42"/>
      <w:bookmarkEnd w:id="43"/>
      <w:bookmarkEnd w:id="47"/>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记录的原始图像信息具备防篡改功能，对记录的每条违法记录图片叠加水印等防伪信息，防止在传输、存储、处理等过程中被人为篡改。</w:t>
      </w:r>
    </w:p>
    <w:p>
      <w:pPr>
        <w:spacing w:line="360" w:lineRule="auto"/>
        <w:ind w:firstLine="482"/>
        <w:rPr>
          <w:b/>
          <w:bCs/>
          <w:color w:val="000000" w:themeColor="text1"/>
          <w:sz w:val="24"/>
          <w:szCs w:val="24"/>
          <w14:textFill>
            <w14:solidFill>
              <w14:schemeClr w14:val="tx1"/>
            </w14:solidFill>
          </w14:textFill>
        </w:rPr>
      </w:pPr>
      <w:bookmarkStart w:id="48" w:name="_Toc408516956"/>
      <w:bookmarkStart w:id="49" w:name="_Toc41465497"/>
      <w:bookmarkStart w:id="50" w:name="_Toc433812671"/>
      <w:bookmarkStart w:id="51" w:name="_Toc303185590"/>
      <w:bookmarkStart w:id="52" w:name="_Toc45032608"/>
      <w:bookmarkStart w:id="53" w:name="_Toc433364230"/>
      <w:r>
        <w:rPr>
          <w:rFonts w:hint="eastAsia"/>
          <w:b/>
          <w:bCs/>
          <w:color w:val="000000" w:themeColor="text1"/>
          <w:sz w:val="24"/>
          <w:szCs w:val="24"/>
          <w14:textFill>
            <w14:solidFill>
              <w14:schemeClr w14:val="tx1"/>
            </w14:solidFill>
          </w14:textFill>
        </w:rPr>
        <w:t>7.数据断点续传功能</w:t>
      </w:r>
      <w:bookmarkEnd w:id="48"/>
      <w:bookmarkEnd w:id="49"/>
      <w:bookmarkEnd w:id="50"/>
      <w:bookmarkEnd w:id="51"/>
      <w:bookmarkEnd w:id="52"/>
      <w:bookmarkEnd w:id="53"/>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支持断点续传功能。当遇到网络中断或其他故障时，车辆信息存储在前端设备中，待故障排除后自动续传。</w:t>
      </w:r>
    </w:p>
    <w:p>
      <w:pPr>
        <w:spacing w:line="360" w:lineRule="auto"/>
        <w:ind w:firstLine="482"/>
        <w:rPr>
          <w:b/>
          <w:bCs/>
          <w:color w:val="000000" w:themeColor="text1"/>
          <w:sz w:val="24"/>
          <w:szCs w:val="24"/>
          <w14:textFill>
            <w14:solidFill>
              <w14:schemeClr w14:val="tx1"/>
            </w14:solidFill>
          </w14:textFill>
        </w:rPr>
      </w:pPr>
      <w:bookmarkStart w:id="54" w:name="_Toc433812673"/>
      <w:bookmarkStart w:id="55" w:name="_Toc41465499"/>
      <w:bookmarkStart w:id="56" w:name="_Toc45032609"/>
      <w:bookmarkStart w:id="57" w:name="_Toc345508657"/>
      <w:bookmarkStart w:id="58" w:name="_Toc340665350"/>
      <w:bookmarkStart w:id="59" w:name="_Toc382495930"/>
      <w:r>
        <w:rPr>
          <w:rFonts w:hint="eastAsia"/>
          <w:b/>
          <w:bCs/>
          <w:color w:val="000000" w:themeColor="text1"/>
          <w:sz w:val="24"/>
          <w:szCs w:val="24"/>
          <w14:textFill>
            <w14:solidFill>
              <w14:schemeClr w14:val="tx1"/>
            </w14:solidFill>
          </w14:textFill>
        </w:rPr>
        <w:t>8.自动校时功能</w:t>
      </w:r>
      <w:bookmarkEnd w:id="54"/>
      <w:bookmarkEnd w:id="55"/>
      <w:bookmarkEnd w:id="56"/>
      <w:bookmarkEnd w:id="57"/>
      <w:bookmarkEnd w:id="58"/>
      <w:bookmarkEnd w:id="59"/>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24h内的计时误差不超过1.0s，所有前端设备点位每日至少与监控中心系统时钟同步一次。</w:t>
      </w:r>
    </w:p>
    <w:p>
      <w:pPr>
        <w:spacing w:line="360" w:lineRule="auto"/>
        <w:ind w:firstLine="482"/>
        <w:rPr>
          <w:b/>
          <w:bCs/>
          <w:color w:val="000000" w:themeColor="text1"/>
          <w:sz w:val="24"/>
          <w:szCs w:val="24"/>
          <w14:textFill>
            <w14:solidFill>
              <w14:schemeClr w14:val="tx1"/>
            </w14:solidFill>
          </w14:textFill>
        </w:rPr>
      </w:pPr>
      <w:bookmarkStart w:id="60" w:name="_Toc331770092"/>
      <w:bookmarkStart w:id="61" w:name="_Toc382495931"/>
      <w:bookmarkStart w:id="62" w:name="_Toc45032610"/>
      <w:bookmarkStart w:id="63" w:name="_Toc433812674"/>
      <w:bookmarkStart w:id="64" w:name="_Toc41465500"/>
      <w:bookmarkStart w:id="65" w:name="_Toc303185593"/>
      <w:r>
        <w:rPr>
          <w:rFonts w:hint="eastAsia"/>
          <w:b/>
          <w:bCs/>
          <w:color w:val="000000" w:themeColor="text1"/>
          <w:sz w:val="24"/>
          <w:szCs w:val="24"/>
          <w14:textFill>
            <w14:solidFill>
              <w14:schemeClr w14:val="tx1"/>
            </w14:solidFill>
          </w14:textFill>
        </w:rPr>
        <w:t>9.网络远程维护功能</w:t>
      </w:r>
      <w:bookmarkEnd w:id="60"/>
      <w:bookmarkEnd w:id="61"/>
      <w:bookmarkEnd w:id="62"/>
      <w:bookmarkEnd w:id="63"/>
      <w:bookmarkEnd w:id="64"/>
      <w:bookmarkEnd w:id="65"/>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中心管理软件可以实时查看前端设备的运行状态</w:t>
      </w:r>
      <w:bookmarkStart w:id="66" w:name="_Toc303027256"/>
      <w:r>
        <w:rPr>
          <w:rFonts w:hint="eastAsia"/>
          <w:color w:val="000000" w:themeColor="text1"/>
          <w:sz w:val="24"/>
          <w:szCs w:val="24"/>
          <w14:textFill>
            <w14:solidFill>
              <w14:schemeClr w14:val="tx1"/>
            </w14:solidFill>
          </w14:textFill>
        </w:rPr>
        <w:t>，支持通过网络实现远程维护</w:t>
      </w:r>
      <w:bookmarkEnd w:id="66"/>
      <w:r>
        <w:rPr>
          <w:rFonts w:hint="eastAsia"/>
          <w:color w:val="000000" w:themeColor="text1"/>
          <w:sz w:val="24"/>
          <w:szCs w:val="24"/>
          <w14:textFill>
            <w14:solidFill>
              <w14:schemeClr w14:val="tx1"/>
            </w14:solidFill>
          </w14:textFill>
        </w:rPr>
        <w:t>、远程设置和远程升级等功能。</w:t>
      </w:r>
    </w:p>
    <w:p>
      <w:pPr>
        <w:spacing w:line="360" w:lineRule="auto"/>
        <w:ind w:firstLine="482"/>
        <w:rPr>
          <w:b/>
          <w:bCs/>
          <w:color w:val="000000" w:themeColor="text1"/>
          <w:sz w:val="24"/>
          <w:szCs w:val="24"/>
          <w14:textFill>
            <w14:solidFill>
              <w14:schemeClr w14:val="tx1"/>
            </w14:solidFill>
          </w14:textFill>
        </w:rPr>
      </w:pPr>
      <w:bookmarkStart w:id="67" w:name="_Toc45032611"/>
      <w:r>
        <w:rPr>
          <w:rFonts w:hint="eastAsia"/>
          <w:b/>
          <w:bCs/>
          <w:color w:val="000000" w:themeColor="text1"/>
          <w:sz w:val="24"/>
          <w:szCs w:val="24"/>
          <w14:textFill>
            <w14:solidFill>
              <w14:schemeClr w14:val="tx1"/>
            </w14:solidFill>
          </w14:textFill>
        </w:rPr>
        <w:t>10.语音联动功能</w:t>
      </w:r>
      <w:bookmarkEnd w:id="67"/>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应支持语音联动功能，当有停车、逆行、压线、变道、掉头、拥堵、机动车占用非机动车道现象被触发时，前端设备应分别发出不同的语言提示。</w:t>
      </w:r>
    </w:p>
    <w:p>
      <w:pPr>
        <w:spacing w:line="360" w:lineRule="auto"/>
        <w:ind w:firstLine="482"/>
        <w:rPr>
          <w:b/>
          <w:bCs/>
          <w:color w:val="000000" w:themeColor="text1"/>
          <w:sz w:val="24"/>
          <w:szCs w:val="24"/>
          <w14:textFill>
            <w14:solidFill>
              <w14:schemeClr w14:val="tx1"/>
            </w14:solidFill>
          </w14:textFill>
        </w:rPr>
      </w:pPr>
      <w:bookmarkStart w:id="68" w:name="_Toc45032612"/>
      <w:bookmarkStart w:id="69" w:name="_Toc41465489"/>
      <w:r>
        <w:rPr>
          <w:rFonts w:hint="eastAsia"/>
          <w:b/>
          <w:bCs/>
          <w:color w:val="000000" w:themeColor="text1"/>
          <w:sz w:val="24"/>
          <w:szCs w:val="24"/>
          <w14:textFill>
            <w14:solidFill>
              <w14:schemeClr w14:val="tx1"/>
            </w14:solidFill>
          </w14:textFill>
        </w:rPr>
        <w:t>11.车牌自动识别功能</w:t>
      </w:r>
      <w:bookmarkEnd w:id="68"/>
      <w:bookmarkEnd w:id="69"/>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能够自动识别车牌号码，减少人工识别输入车牌的工作，提高效率。车牌自动识别功能包括车牌号码和车牌颜色的识别。</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系统具备对符合GA36-2018《中华人民共和国机动车号牌》标准的民用车牌、警用车牌、使领馆车牌、新能源车牌的号牌自动识别能力，并且具备对2012式军车号牌、2012式武警部队号牌的自动识别能力，所能识别的字符包括：</w:t>
      </w:r>
    </w:p>
    <w:tbl>
      <w:tblPr>
        <w:tblStyle w:val="23"/>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阿拉伯数字</w:t>
            </w:r>
          </w:p>
        </w:tc>
        <w:tc>
          <w:tcPr>
            <w:tcW w:w="614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“0～9”十个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英文字母</w:t>
            </w:r>
          </w:p>
        </w:tc>
        <w:tc>
          <w:tcPr>
            <w:tcW w:w="614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“A～Z”二十六个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省、自治区、直辖市简称用汉字</w:t>
            </w:r>
          </w:p>
        </w:tc>
        <w:tc>
          <w:tcPr>
            <w:tcW w:w="614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京、津、晋、冀、蒙、辽、吉、黑、沪、苏、浙、皖、闽、赣、鲁、豫、鄂、湘、粤、桂、琼、川、贵、云、藏、陕、甘、青、宁、新、渝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专用号牌简称用汉字</w:t>
            </w:r>
          </w:p>
        </w:tc>
        <w:tc>
          <w:tcPr>
            <w:tcW w:w="614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领、使、警、学、挂、港、澳、试、超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12式武警号牌字符</w:t>
            </w:r>
          </w:p>
        </w:tc>
        <w:tc>
          <w:tcPr>
            <w:tcW w:w="614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WJ样式的字母、省份简称汉字、警种字母（X、B、T、S、H、J、D）、数字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12式军车号牌字符</w:t>
            </w:r>
          </w:p>
        </w:tc>
        <w:tc>
          <w:tcPr>
            <w:tcW w:w="6146" w:type="dxa"/>
            <w:vAlign w:val="center"/>
          </w:tcPr>
          <w:p>
            <w:pPr>
              <w:pStyle w:val="2"/>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各军区/各军兵种部拼音缩写字母、各军区/各军兵种部下辖各部属机构拼音缩写字母、数字</w:t>
            </w:r>
          </w:p>
        </w:tc>
      </w:tr>
    </w:tbl>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能识别黑、白、蓝、黄、绿五种车牌颜色。</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够识别新能源车牌。新能源汽车号牌是为更好区分辨识新能源汽车，实施差异化交通管理而设计的全新号牌，具体分为小型新能源汽车号牌和大型新能源汽车号牌，其中小型新能源汽车号牌为渐变绿色，大型新能源汽车号牌为黄绿双拼色（见下图）。</w:t>
      </w:r>
    </w:p>
    <w:p>
      <w:pPr>
        <w:pStyle w:val="2"/>
        <w:rPr>
          <w:color w:val="000000" w:themeColor="text1"/>
          <w:sz w:val="24"/>
          <w:szCs w:val="24"/>
          <w14:textFill>
            <w14:solidFill>
              <w14:schemeClr w14:val="tx1"/>
            </w14:solidFill>
          </w14:textFill>
        </w:rPr>
      </w:pPr>
    </w:p>
    <w:p>
      <w:pPr>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drawing>
          <wp:anchor distT="0" distB="0" distL="114935" distR="114935" simplePos="0" relativeHeight="251658240" behindDoc="1" locked="0" layoutInCell="1" allowOverlap="1">
            <wp:simplePos x="0" y="0"/>
            <wp:positionH relativeFrom="column">
              <wp:posOffset>602615</wp:posOffset>
            </wp:positionH>
            <wp:positionV relativeFrom="paragraph">
              <wp:posOffset>18415</wp:posOffset>
            </wp:positionV>
            <wp:extent cx="3725545" cy="2611755"/>
            <wp:effectExtent l="0" t="0" r="8255" b="17145"/>
            <wp:wrapNone/>
            <wp:docPr id="3" name="图片 3" descr="1595159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5159158(1)"/>
                    <pic:cNvPicPr>
                      <a:picLocks noChangeAspect="1"/>
                    </pic:cNvPicPr>
                  </pic:nvPicPr>
                  <pic:blipFill>
                    <a:blip r:embed="rId8"/>
                    <a:stretch>
                      <a:fillRect/>
                    </a:stretch>
                  </pic:blipFill>
                  <pic:spPr>
                    <a:xfrm>
                      <a:off x="0" y="0"/>
                      <a:ext cx="3725545" cy="2611755"/>
                    </a:xfrm>
                    <a:prstGeom prst="rect">
                      <a:avLst/>
                    </a:prstGeom>
                  </pic:spPr>
                </pic:pic>
              </a:graphicData>
            </a:graphic>
          </wp:anchor>
        </w:drawing>
      </w:r>
    </w:p>
    <w:p>
      <w:pPr>
        <w:ind w:firstLine="480"/>
        <w:jc w:val="left"/>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bookmarkStart w:id="70" w:name="_Toc41465553"/>
    </w:p>
    <w:p>
      <w:pPr>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新能源号牌实例</w:t>
      </w:r>
      <w:bookmarkEnd w:id="70"/>
    </w:p>
    <w:p>
      <w:pPr>
        <w:pStyle w:val="2"/>
        <w:rPr>
          <w:rFonts w:ascii="宋体" w:hAnsi="宋体" w:cs="宋体"/>
          <w:color w:val="000000" w:themeColor="text1"/>
          <w14:textFill>
            <w14:solidFill>
              <w14:schemeClr w14:val="tx1"/>
            </w14:solidFill>
          </w14:textFill>
        </w:rPr>
      </w:pPr>
    </w:p>
    <w:p>
      <w:pPr>
        <w:ind w:firstLine="482"/>
        <w:rPr>
          <w:rFonts w:hint="eastAsia"/>
          <w:b/>
          <w:bCs/>
          <w:color w:val="000000" w:themeColor="text1"/>
          <w:sz w:val="24"/>
          <w:szCs w:val="24"/>
          <w14:textFill>
            <w14:solidFill>
              <w14:schemeClr w14:val="tx1"/>
            </w14:solidFill>
          </w14:textFill>
        </w:rPr>
      </w:pPr>
    </w:p>
    <w:p>
      <w:pPr>
        <w:ind w:firstLine="482"/>
        <w:rPr>
          <w:rFonts w:hint="eastAsia"/>
          <w:b/>
          <w:bCs/>
          <w:color w:val="000000" w:themeColor="text1"/>
          <w:sz w:val="24"/>
          <w:szCs w:val="24"/>
          <w14:textFill>
            <w14:solidFill>
              <w14:schemeClr w14:val="tx1"/>
            </w14:solidFill>
          </w14:textFill>
        </w:rPr>
      </w:pPr>
    </w:p>
    <w:p>
      <w:pPr>
        <w:ind w:firstLine="482"/>
        <w:rPr>
          <w:rFonts w:hint="eastAsia"/>
          <w:b/>
          <w:bCs/>
          <w:color w:val="000000" w:themeColor="text1"/>
          <w:sz w:val="24"/>
          <w:szCs w:val="24"/>
          <w14:textFill>
            <w14:solidFill>
              <w14:schemeClr w14:val="tx1"/>
            </w14:solidFill>
          </w14:textFill>
        </w:rPr>
      </w:pPr>
    </w:p>
    <w:p>
      <w:pPr>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以上功能如前端摄像机本身无法实现，可通过后端软件功能予以实现（费用已经包含不再增加）。</w:t>
      </w:r>
    </w:p>
    <w:p>
      <w:pPr>
        <w:pStyle w:val="2"/>
        <w:ind w:firstLine="723" w:firstLineChars="300"/>
        <w:rPr>
          <w:rFonts w:asciiTheme="minorEastAsia" w:hAnsiTheme="minorEastAsia" w:eastAsiaTheme="minorEastAsia" w:cstheme="minorEastAsia"/>
          <w:b/>
          <w:color w:val="000000" w:themeColor="text1"/>
          <w:sz w:val="24"/>
          <w:szCs w:val="24"/>
          <w14:textFill>
            <w14:solidFill>
              <w14:schemeClr w14:val="tx1"/>
            </w14:solidFill>
          </w14:textFill>
        </w:rPr>
      </w:pPr>
    </w:p>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4.4.2、制高点监控设备</w:t>
      </w:r>
    </w:p>
    <w:p>
      <w:pPr>
        <w:pStyle w:val="9"/>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4.4.2.1、功能要求</w:t>
      </w:r>
    </w:p>
    <w:p>
      <w:pPr>
        <w:pStyle w:val="9"/>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1.道路全断面视频监控</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支持1</w:t>
      </w:r>
      <w:r>
        <w:rPr>
          <w:color w:val="000000" w:themeColor="text1"/>
          <w:sz w:val="24"/>
          <w:szCs w:val="24"/>
          <w14:textFill>
            <w14:solidFill>
              <w14:schemeClr w14:val="tx1"/>
            </w14:solidFill>
          </w14:textFill>
        </w:rPr>
        <w:t>80</w:t>
      </w:r>
      <w:r>
        <w:rPr>
          <w:rFonts w:hint="eastAsia"/>
          <w:color w:val="000000" w:themeColor="text1"/>
          <w:sz w:val="24"/>
          <w:szCs w:val="24"/>
          <w14:textFill>
            <w14:solidFill>
              <w14:schemeClr w14:val="tx1"/>
            </w14:solidFill>
          </w14:textFill>
        </w:rPr>
        <w:t>度全景画面拼接，对道路全断面进行7*</w:t>
      </w:r>
      <w:r>
        <w:rPr>
          <w:color w:val="000000" w:themeColor="text1"/>
          <w:sz w:val="24"/>
          <w:szCs w:val="24"/>
          <w14:textFill>
            <w14:solidFill>
              <w14:schemeClr w14:val="tx1"/>
            </w14:solidFill>
          </w14:textFill>
        </w:rPr>
        <w:t>24</w:t>
      </w:r>
      <w:r>
        <w:rPr>
          <w:rFonts w:hint="eastAsia"/>
          <w:color w:val="000000" w:themeColor="text1"/>
          <w:sz w:val="24"/>
          <w:szCs w:val="24"/>
          <w14:textFill>
            <w14:solidFill>
              <w14:schemeClr w14:val="tx1"/>
            </w14:solidFill>
          </w14:textFill>
        </w:rPr>
        <w:t>小时不间断监控，能够在监控中心实时调看相机的高清视频图像。</w:t>
      </w:r>
    </w:p>
    <w:p>
      <w:pPr>
        <w:pStyle w:val="9"/>
        <w:spacing w:line="360" w:lineRule="auto"/>
        <w:ind w:firstLine="48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.拥堵检测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支持对道路全断面进行检测，自动检测拥堵情况，对拥堵事件进行抓拍，并进行报警上传。</w:t>
      </w:r>
    </w:p>
    <w:p>
      <w:pPr>
        <w:pStyle w:val="9"/>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3.快速聚焦功能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支持机动车跟踪功能，支持快速聚焦跟踪车辆目标并录像，单帧回放录像每一帧清晰可见。</w:t>
      </w:r>
    </w:p>
    <w:p>
      <w:pPr>
        <w:pStyle w:val="9"/>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录像存储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录像支持前端存储和中心存储，相机的视音频信号接入视频处理单元存储数据，达到相机存储的需要，以供事后调查取证；也可部署存储服务器和存储设备，适合大容量多通道并发的中心存储需求。</w:t>
      </w:r>
    </w:p>
    <w:p>
      <w:pPr>
        <w:pStyle w:val="9"/>
        <w:numPr>
          <w:ilvl w:val="0"/>
          <w:numId w:val="0"/>
        </w:numPr>
        <w:spacing w:line="360" w:lineRule="auto"/>
        <w:ind w:leftChars="228"/>
        <w:jc w:val="left"/>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智能雨刷</w:t>
      </w:r>
    </w:p>
    <w:p>
      <w:pPr>
        <w:pStyle w:val="9"/>
        <w:numPr>
          <w:ilvl w:val="0"/>
          <w:numId w:val="0"/>
        </w:numPr>
        <w:spacing w:line="360" w:lineRule="auto"/>
        <w:ind w:firstLine="480" w:firstLineChars="200"/>
        <w:jc w:val="left"/>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由于高点比较容易受到风沙、雾霾和其他异物的影响，容易造成相机镜面有异物。相机需支持雨刷功能，当前端相机镜面有异物时，后端维护人员能通过网络对相机镜面进行清洁，减少前端人工维护成本和维护时间。</w:t>
      </w:r>
    </w:p>
    <w:p>
      <w:pPr>
        <w:pStyle w:val="9"/>
        <w:spacing w:line="360" w:lineRule="auto"/>
        <w:ind w:firstLine="48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图像防篡改功能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记录的原始图像信息具备防篡改功能，避免在传输、处理、存储的过程中被人为篡改。</w:t>
      </w:r>
    </w:p>
    <w:p>
      <w:pPr>
        <w:pStyle w:val="9"/>
        <w:spacing w:line="360" w:lineRule="auto"/>
        <w:ind w:firstLine="48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．网络远程维护功能</w:t>
      </w:r>
    </w:p>
    <w:p>
      <w:pPr>
        <w:spacing w:line="360" w:lineRule="auto"/>
        <w:ind w:firstLine="480"/>
        <w:rPr>
          <w:rFonts w:hAnsi="宋体"/>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预留了时间校正接口、参数设置接口、运行情况的诊断接口和恢复接口，可对相机进行设置、调试及维护。管理员</w:t>
      </w:r>
      <w:r>
        <w:rPr>
          <w:rFonts w:hint="eastAsia" w:hAnsi="宋体"/>
          <w:color w:val="000000" w:themeColor="text1"/>
          <w:kern w:val="0"/>
          <w:sz w:val="24"/>
          <w:szCs w:val="24"/>
          <w14:textFill>
            <w14:solidFill>
              <w14:schemeClr w14:val="tx1"/>
            </w14:solidFill>
          </w14:textFill>
        </w:rPr>
        <w:t>可以实时查看相机的运行状态。可通过网络实现远程维护、远程设置和远程升级等功能。</w:t>
      </w:r>
    </w:p>
    <w:p>
      <w:pPr>
        <w:pStyle w:val="2"/>
        <w:spacing w:line="360" w:lineRule="auto"/>
        <w:ind w:firstLine="480"/>
        <w:rPr>
          <w:color w:val="000000" w:themeColor="text1"/>
          <w:sz w:val="24"/>
          <w:szCs w:val="24"/>
          <w14:textFill>
            <w14:solidFill>
              <w14:schemeClr w14:val="tx1"/>
            </w14:solidFill>
          </w14:textFill>
        </w:rPr>
      </w:pPr>
    </w:p>
    <w:p>
      <w:pPr>
        <w:pStyle w:val="9"/>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自动校时功能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24h内的计时误差不超过1.0s，所有前端设备点位每日至少与监控中心系统时钟同步一次。</w:t>
      </w:r>
    </w:p>
    <w:p>
      <w:pPr>
        <w:pStyle w:val="9"/>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9.视频联动功能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支持在全景视频监控画面中添加其他视频监控标签，支持在全景画面中点击标签，并打开标签点视频画面。</w:t>
      </w:r>
    </w:p>
    <w:p>
      <w:pPr>
        <w:pStyle w:val="2"/>
        <w:spacing w:line="360" w:lineRule="auto"/>
        <w:ind w:firstLine="723" w:firstLineChars="300"/>
        <w:rPr>
          <w:rFonts w:asciiTheme="minorEastAsia" w:hAnsiTheme="minorEastAsia" w:eastAsiaTheme="minorEastAsia" w:cstheme="minorEastAsia"/>
          <w:b/>
          <w:color w:val="000000" w:themeColor="text1"/>
          <w:sz w:val="24"/>
          <w:szCs w:val="24"/>
          <w14:textFill>
            <w14:solidFill>
              <w14:schemeClr w14:val="tx1"/>
            </w14:solidFill>
          </w14:textFill>
        </w:rPr>
      </w:pPr>
    </w:p>
    <w:p>
      <w:pPr>
        <w:pStyle w:val="7"/>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4.5固定式测速设备</w:t>
      </w:r>
    </w:p>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4.5.1、功能要求</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固定雷达测速主要分布在路泽太高架快速路的重要路段、城市公路与路泽太高架快速路衔接段、高架枢纽路段以及事故多发路段。设置超速监测功能的主要目的是在于减少超速行为的数量，确保道路交通安全。系统在容易发生交通事故和超速行驶的危险路段设置，共计6套违法超速抓拍设备，具体位置详见设计图纸。</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固定式测速设备</w:t>
      </w:r>
      <w:r>
        <w:rPr>
          <w:rFonts w:hint="eastAsia" w:ascii="宋体" w:hAnsi="宋体"/>
          <w:color w:val="000000" w:themeColor="text1"/>
          <w:sz w:val="24"/>
          <w:szCs w:val="24"/>
          <w14:textFill>
            <w14:solidFill>
              <w14:schemeClr w14:val="tx1"/>
            </w14:solidFill>
          </w14:textFill>
        </w:rPr>
        <w:t>具备精准测速且能够清晰的抓拍违法图片，抓拍和储存在同一设备上完成。系统支持多种网络传输方式，在具备光缆资源的条件下，实时将抓拍到的照片数据传送回后台处理单元。在光缆资源不具备的条件下，系统也支持采用无线等方式进行数据回传。</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由相机、雷达和显示单元组成，系统集成度高，显示单元能够快速方便调节设置所需的参数，进行图片抓拍，夜间使用补光单元和夜间操作系统，和相机同步保证夜间图片质量。</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无需其他的操作设备（如笔记本电脑，台式电脑，显示器鼠标等），通过设备自带显示屏可以设置相机和调整需要的抓拍信息。</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相机安装在坚固耐用的外壳内，外壳具备很强的抵抗冲击的能力，另一方面要保证很高级别的相机防破坏能力。</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（1）具备移动式抓拍和固定式抓拍</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种模式，并且可以通过改造互相转换使用。</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（2）能记录机动车发生交通安全违法行为的完整过程图片，采集不少于</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幅不同时间或者不同位置（对应行驶位移</w:t>
      </w:r>
      <w:r>
        <w:rPr>
          <w:rFonts w:ascii="宋体" w:hAnsi="宋体"/>
          <w:color w:val="000000" w:themeColor="text1"/>
          <w:sz w:val="24"/>
          <w:szCs w:val="24"/>
          <w14:textFill>
            <w14:solidFill>
              <w14:schemeClr w14:val="tx1"/>
            </w14:solidFill>
          </w14:textFill>
        </w:rPr>
        <w:t>&gt;1.0m</w:t>
      </w:r>
      <w:r>
        <w:rPr>
          <w:rFonts w:hint="eastAsia" w:ascii="宋体" w:hAnsi="宋体"/>
          <w:color w:val="000000" w:themeColor="text1"/>
          <w:sz w:val="24"/>
          <w:szCs w:val="24"/>
          <w14:textFill>
            <w14:solidFill>
              <w14:schemeClr w14:val="tx1"/>
            </w14:solidFill>
          </w14:textFill>
        </w:rPr>
        <w:t>）的机动车全景特征图片；要求提供公安部权威检测机构出具的符合</w:t>
      </w:r>
      <w:bookmarkStart w:id="71" w:name="OLE_LINK8"/>
      <w:bookmarkStart w:id="72" w:name="OLE_LINK7"/>
      <w:r>
        <w:rPr>
          <w:rFonts w:hint="eastAsia" w:ascii="宋体" w:hAnsi="宋体"/>
          <w:color w:val="000000" w:themeColor="text1"/>
          <w:sz w:val="24"/>
          <w:szCs w:val="24"/>
          <w14:textFill>
            <w14:solidFill>
              <w14:schemeClr w14:val="tx1"/>
            </w14:solidFill>
          </w14:textFill>
        </w:rPr>
        <w:t>GB/T2</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255-2007</w:t>
      </w:r>
      <w:bookmarkEnd w:id="71"/>
      <w:bookmarkEnd w:id="72"/>
      <w:r>
        <w:rPr>
          <w:rFonts w:hint="eastAsia" w:ascii="宋体" w:hAnsi="宋体"/>
          <w:color w:val="000000" w:themeColor="text1"/>
          <w:sz w:val="24"/>
          <w:szCs w:val="24"/>
          <w14:textFill>
            <w14:solidFill>
              <w14:schemeClr w14:val="tx1"/>
            </w14:solidFill>
          </w14:textFill>
        </w:rPr>
        <w:t>标准的相关的检测报告。</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（3）测速雷达单元要求采用先进的多目标追踪雷达技术，可以自动学习识别车辆轨迹，可对多个目标进行测量，且实测多目标速度测量误差平均值小于-4km/h；要求提供省、直辖市级专业计量检测机构出具的</w:t>
      </w:r>
      <w:bookmarkStart w:id="73" w:name="OLE_LINK5"/>
      <w:bookmarkStart w:id="74" w:name="OLE_LINK6"/>
      <w:r>
        <w:rPr>
          <w:rFonts w:hint="eastAsia" w:ascii="宋体" w:hAnsi="宋体"/>
          <w:color w:val="000000" w:themeColor="text1"/>
          <w:sz w:val="24"/>
          <w:szCs w:val="24"/>
          <w14:textFill>
            <w14:solidFill>
              <w14:schemeClr w14:val="tx1"/>
            </w14:solidFill>
          </w14:textFill>
        </w:rPr>
        <w:t>计量器具型式评价报告</w:t>
      </w:r>
      <w:bookmarkEnd w:id="73"/>
      <w:bookmarkEnd w:id="74"/>
      <w:r>
        <w:rPr>
          <w:rFonts w:hint="eastAsia" w:ascii="宋体" w:hAnsi="宋体"/>
          <w:color w:val="000000" w:themeColor="text1"/>
          <w:sz w:val="24"/>
          <w:szCs w:val="24"/>
          <w14:textFill>
            <w14:solidFill>
              <w14:schemeClr w14:val="tx1"/>
            </w14:solidFill>
          </w14:textFill>
        </w:rPr>
        <w:t>。</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（4）测速雷达单元要求对三个及以上车道进行监控，车道判断准确率要求99%以上；要求提供国家级计量检测机构出具的测试报告。</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设备所拍摄违反限速规定的车辆图片，除叠加违法时间、违法地点、违法代码等基础信息外，针对多目标检测，还应对被测目标上叠加标注机动车行驶速度值；要求提供公安部权威检测机构出具的符合GA/T832-2014标准的相关检测报告。</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（6）设备需保证每张照片在</w:t>
      </w: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小时全天候情况下的照片质量清晰，每个车道所拍摄照片中，同一车道中的不同车辆需保持在同一触发位置。</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（7）设备可以同时对来向、去向、双向的车辆监控；测速范围：</w:t>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公里</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小时至250公里</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小时。</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(8)测速雷达要求：3D跟踪雷达，工作频率24.100GHz。</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(9)测速设备具备数字显示屏，并含有抗反射表面，使得操作人员在现场就可在设备上直接读取违法数据图像。设备需具备计量器具型式批准证书。</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补光灯: 闪光强度：</w:t>
      </w:r>
      <w:r>
        <w:rPr>
          <w:rFonts w:ascii="宋体" w:hAnsi="宋体"/>
          <w:color w:val="000000" w:themeColor="text1"/>
          <w:sz w:val="24"/>
          <w:szCs w:val="24"/>
          <w14:textFill>
            <w14:solidFill>
              <w14:schemeClr w14:val="tx1"/>
            </w14:solidFill>
          </w14:textFill>
        </w:rPr>
        <w:t>150W</w:t>
      </w:r>
      <w:r>
        <w:rPr>
          <w:rFonts w:hint="eastAsia" w:ascii="宋体" w:hAnsi="宋体"/>
          <w:color w:val="000000" w:themeColor="text1"/>
          <w:sz w:val="24"/>
          <w:szCs w:val="24"/>
          <w14:textFill>
            <w14:solidFill>
              <w14:schemeClr w14:val="tx1"/>
            </w14:solidFill>
          </w14:textFill>
        </w:rPr>
        <w:t>或</w:t>
      </w:r>
      <w:r>
        <w:rPr>
          <w:rFonts w:ascii="宋体" w:hAnsi="宋体"/>
          <w:color w:val="000000" w:themeColor="text1"/>
          <w:sz w:val="24"/>
          <w:szCs w:val="24"/>
          <w14:textFill>
            <w14:solidFill>
              <w14:schemeClr w14:val="tx1"/>
            </w14:solidFill>
          </w14:textFill>
        </w:rPr>
        <w:t>300W</w:t>
      </w:r>
      <w:r>
        <w:rPr>
          <w:rFonts w:hint="eastAsia" w:ascii="宋体" w:hAnsi="宋体"/>
          <w:color w:val="000000" w:themeColor="text1"/>
          <w:sz w:val="24"/>
          <w:szCs w:val="24"/>
          <w14:textFill>
            <w14:solidFill>
              <w14:schemeClr w14:val="tx1"/>
            </w14:solidFill>
          </w14:textFill>
        </w:rPr>
        <w:t>可选，智能可选闪光系统；闪光持续周期：</w:t>
      </w:r>
      <w:r>
        <w:rPr>
          <w:rFonts w:ascii="宋体" w:hAnsi="宋体"/>
          <w:color w:val="000000" w:themeColor="text1"/>
          <w:sz w:val="24"/>
          <w:szCs w:val="24"/>
          <w14:textFill>
            <w14:solidFill>
              <w14:schemeClr w14:val="tx1"/>
            </w14:solidFill>
          </w14:textFill>
        </w:rPr>
        <w:t>1/1000</w:t>
      </w:r>
      <w:r>
        <w:rPr>
          <w:rFonts w:hint="eastAsia" w:ascii="宋体" w:hAnsi="宋体"/>
          <w:color w:val="000000" w:themeColor="text1"/>
          <w:sz w:val="24"/>
          <w:szCs w:val="24"/>
          <w14:textFill>
            <w14:solidFill>
              <w14:schemeClr w14:val="tx1"/>
            </w14:solidFill>
          </w14:textFill>
        </w:rPr>
        <w:t>秒（半周期）；闪光频率：</w:t>
      </w:r>
      <w:r>
        <w:rPr>
          <w:rFonts w:ascii="宋体" w:hAnsi="宋体"/>
          <w:color w:val="000000" w:themeColor="text1"/>
          <w:sz w:val="24"/>
          <w:szCs w:val="24"/>
          <w14:textFill>
            <w14:solidFill>
              <w14:schemeClr w14:val="tx1"/>
            </w14:solidFill>
          </w14:textFill>
        </w:rPr>
        <w:t>0.5</w:t>
      </w:r>
      <w:r>
        <w:rPr>
          <w:rFonts w:hint="eastAsia" w:ascii="宋体" w:hAnsi="宋体"/>
          <w:color w:val="000000" w:themeColor="text1"/>
          <w:sz w:val="24"/>
          <w:szCs w:val="24"/>
          <w14:textFill>
            <w14:solidFill>
              <w14:schemeClr w14:val="tx1"/>
            </w14:solidFill>
          </w14:textFill>
        </w:rPr>
        <w:t>秒（白光），</w:t>
      </w:r>
      <w:r>
        <w:rPr>
          <w:rFonts w:ascii="宋体" w:hAnsi="宋体"/>
          <w:color w:val="000000" w:themeColor="text1"/>
          <w:sz w:val="24"/>
          <w:szCs w:val="24"/>
          <w14:textFill>
            <w14:solidFill>
              <w14:schemeClr w14:val="tx1"/>
            </w14:solidFill>
          </w14:textFill>
        </w:rPr>
        <w:t>0.7</w:t>
      </w:r>
      <w:r>
        <w:rPr>
          <w:rFonts w:hint="eastAsia" w:ascii="宋体" w:hAnsi="宋体"/>
          <w:color w:val="000000" w:themeColor="text1"/>
          <w:sz w:val="24"/>
          <w:szCs w:val="24"/>
          <w14:textFill>
            <w14:solidFill>
              <w14:schemeClr w14:val="tx1"/>
            </w14:solidFill>
          </w14:textFill>
        </w:rPr>
        <w:t>（红光）；补光范围</w:t>
      </w:r>
      <w:r>
        <w:rPr>
          <w:rFonts w:ascii="宋体" w:hAnsi="宋体"/>
          <w:color w:val="000000" w:themeColor="text1"/>
          <w:sz w:val="24"/>
          <w:szCs w:val="24"/>
          <w14:textFill>
            <w14:solidFill>
              <w14:schemeClr w14:val="tx1"/>
            </w14:solidFill>
          </w14:textFill>
        </w:rPr>
        <w:t>≥45</w:t>
      </w:r>
      <w:r>
        <w:rPr>
          <w:rFonts w:hint="eastAsia" w:ascii="宋体" w:hAnsi="宋体"/>
          <w:color w:val="000000" w:themeColor="text1"/>
          <w:sz w:val="24"/>
          <w:szCs w:val="24"/>
          <w14:textFill>
            <w14:solidFill>
              <w14:schemeClr w14:val="tx1"/>
            </w14:solidFill>
          </w14:textFill>
        </w:rPr>
        <w:t>米。</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测速箱体采用耐腐蚀的不锈钢材质，防护等级大于等于IP55，保证系统箱内温度；为保证拍摄质量，测速箱体可根据需要调整角度。</w:t>
      </w:r>
    </w:p>
    <w:p>
      <w:pPr>
        <w:pStyle w:val="2"/>
        <w:spacing w:line="360" w:lineRule="auto"/>
        <w:rPr>
          <w:rFonts w:asciiTheme="minorEastAsia" w:hAnsiTheme="minorEastAsia" w:eastAsiaTheme="minorEastAsia" w:cstheme="minorEastAsia"/>
          <w:b/>
          <w:color w:val="000000" w:themeColor="text1"/>
          <w:sz w:val="24"/>
          <w:szCs w:val="24"/>
          <w14:textFill>
            <w14:solidFill>
              <w14:schemeClr w14:val="tx1"/>
            </w14:solidFill>
          </w14:textFill>
        </w:rPr>
      </w:pPr>
    </w:p>
    <w:p>
      <w:pPr>
        <w:pStyle w:val="7"/>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4.6交通信息屏设备</w:t>
      </w:r>
    </w:p>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4.6.1、功能要求</w:t>
      </w:r>
    </w:p>
    <w:p>
      <w:pPr>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1.整体要求</w:t>
      </w:r>
    </w:p>
    <w:p>
      <w:pPr>
        <w:adjustRightInd w:val="0"/>
        <w:snapToGrid w:val="0"/>
        <w:spacing w:line="360" w:lineRule="auto"/>
        <w:ind w:firstLine="48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交通信息屏为驾驶人员提供目前道路的实时通行状况，该显示屏是交通智能管理系统中向社会信息发布的方式之一，主要作用为：一方面指挥中心根据道路监控信息向汽车驾驶员及时通报当前主要路段车辆运行状况，方便其选择最佳路径行使，减少道路阻塞；另一方面指挥中心根据天气、交通设施检修、道路施工、交通事故、特殊车辆的行驶等情况，显示有关交通警示信息、交通路况信息、旅行时间信息、非交通信息、超速等，提高驾驶员的警觉性，保障车辆的安全行驶。</w:t>
      </w:r>
    </w:p>
    <w:p>
      <w:pPr>
        <w:adjustRightInd w:val="0"/>
        <w:snapToGrid w:val="0"/>
        <w:spacing w:line="360" w:lineRule="auto"/>
        <w:ind w:firstLine="48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本项目在路泽太高架快速路</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安装</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6套主线龙门架LED</w:t>
      </w:r>
      <w:r>
        <w:rPr>
          <w:rFonts w:hint="eastAsia"/>
          <w:color w:val="000000" w:themeColor="text1"/>
          <w:sz w:val="24"/>
          <w:szCs w:val="24"/>
          <w14:textFill>
            <w14:solidFill>
              <w14:schemeClr w14:val="tx1"/>
            </w14:solidFill>
          </w14:textFill>
        </w:rPr>
        <w:t>交通信息屏</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(4套可借原有交安龙门架)、10套匝道龙门架LED</w:t>
      </w:r>
      <w:r>
        <w:rPr>
          <w:rFonts w:hint="eastAsia"/>
          <w:color w:val="000000" w:themeColor="text1"/>
          <w:sz w:val="24"/>
          <w:szCs w:val="24"/>
          <w14:textFill>
            <w14:solidFill>
              <w14:schemeClr w14:val="tx1"/>
            </w14:solidFill>
          </w14:textFill>
        </w:rPr>
        <w:t>交通信息屏</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、6套道路LED</w:t>
      </w:r>
      <w:r>
        <w:rPr>
          <w:rFonts w:hint="eastAsia"/>
          <w:color w:val="000000" w:themeColor="text1"/>
          <w:sz w:val="24"/>
          <w:szCs w:val="24"/>
          <w14:textFill>
            <w14:solidFill>
              <w14:schemeClr w14:val="tx1"/>
            </w14:solidFill>
          </w14:textFill>
        </w:rPr>
        <w:t>交通信息屏（F型）</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，以上设备需同原有交安工程建设的10套LED</w:t>
      </w:r>
      <w:r>
        <w:rPr>
          <w:rFonts w:hint="eastAsia"/>
          <w:color w:val="000000" w:themeColor="text1"/>
          <w:sz w:val="24"/>
          <w:szCs w:val="24"/>
          <w14:textFill>
            <w14:solidFill>
              <w14:schemeClr w14:val="tx1"/>
            </w14:solidFill>
          </w14:textFill>
        </w:rPr>
        <w:t>交通信息屏</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一起接入指定平台。</w:t>
      </w:r>
    </w:p>
    <w:p>
      <w:pPr>
        <w:pStyle w:val="2"/>
        <w:spacing w:line="360" w:lineRule="auto"/>
        <w:rPr>
          <w:color w:val="000000" w:themeColor="text1"/>
          <w:sz w:val="24"/>
          <w:szCs w:val="24"/>
          <w14:textFill>
            <w14:solidFill>
              <w14:schemeClr w14:val="tx1"/>
            </w14:solidFill>
          </w14:textFill>
        </w:rPr>
      </w:pPr>
    </w:p>
    <w:p>
      <w:pPr>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2.显示功能</w:t>
      </w:r>
    </w:p>
    <w:p>
      <w:pPr>
        <w:numPr>
          <w:ilvl w:val="0"/>
          <w:numId w:val="14"/>
        </w:num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观察者（正常人，矫正视力1.0以上）在环境照度大于5000lx的晴天、太阳光正射标志面的条件下，在规定的视认角内能正确认读标志内容的最大距离（静态视认距离）≥150m。</w:t>
      </w:r>
    </w:p>
    <w:p>
      <w:pPr>
        <w:numPr>
          <w:ilvl w:val="0"/>
          <w:numId w:val="14"/>
        </w:numPr>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当车辆以120km/h的速度行驶时，在环境照度大于5000lx的晴天、太阳光正射标志面的条件下，观察者（正常人，矫正视力1.0以上）能够正确认读标志内容的最大距离（动态视认距离）≥200m。</w:t>
      </w:r>
    </w:p>
    <w:p>
      <w:pPr>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3.控制系统功能</w:t>
      </w:r>
    </w:p>
    <w:p>
      <w:pPr>
        <w:autoSpaceDE w:val="0"/>
        <w:autoSpaceDN w:val="0"/>
        <w:spacing w:line="360" w:lineRule="auto"/>
        <w:ind w:right="-295"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监控中心的数据信号通过传输系统传到可变信息标志</w:t>
      </w:r>
      <w:r>
        <w:rPr>
          <w:rFonts w:hint="eastAsia" w:ascii="宋体" w:hAnsi="宋体" w:cs="宋体"/>
          <w:bCs/>
          <w:color w:val="000000" w:themeColor="text1"/>
          <w:sz w:val="24"/>
          <w:szCs w:val="24"/>
          <w:lang w:val="zh-CN"/>
          <w14:textFill>
            <w14:solidFill>
              <w14:schemeClr w14:val="tx1"/>
            </w14:solidFill>
          </w14:textFill>
        </w:rPr>
        <w:t>控制器</w:t>
      </w:r>
      <w:r>
        <w:rPr>
          <w:rFonts w:hint="eastAsia" w:ascii="宋体" w:hAnsi="宋体" w:cs="宋体"/>
          <w:color w:val="000000" w:themeColor="text1"/>
          <w:sz w:val="24"/>
          <w:szCs w:val="24"/>
          <w:lang w:val="zh-CN"/>
          <w14:textFill>
            <w14:solidFill>
              <w14:schemeClr w14:val="tx1"/>
            </w14:solidFill>
          </w14:textFill>
        </w:rPr>
        <w:t>的串行接口进入控制器，控制器将控制数据信号进行转换并发送到显示屏进行显示。亮度控制器根据显示环境的亮度状况控制显示屏的显示亮度，各种检测数据及报警信息由监测单元采集汇总后由控制器通过串行接口回传到监控中心。</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控制器采用嵌入式工控机。</w:t>
      </w:r>
    </w:p>
    <w:p>
      <w:pPr>
        <w:pStyle w:val="7"/>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4.7微波流量检测设备</w:t>
      </w:r>
    </w:p>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4.7.1、功能要求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高架卡口及平交信号灯路口设置微波流量检测设备来采集交通流量、车速、占有率等基本交通数据，并进行处理、统计分析、存储、提取控制区域内的车流量、平均车速、停车率、排队长度、饱和度等交通信息，实时了解路网的交通流运行全貌，建立交通信息通行数据，通过对数据分析，来评估区域内交通负荷情况，从而为全面交通信息分析和交通信号优化等服务提供必要数据依据，以此指引未来交通管理工作方向。</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技术要求：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1、能提供在检测区域内所有车道实时到达车辆的动态信息，包含并不仅限于以下数据（即时位置、即时速度 、目标大小 排队长度等），同时提供精准的多断面的流量 、平均速度 、占有率 、车头时距、区域车辆数等交通流统计数据；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2、检测区域内的排队拥堵异常停车、逆行、异常变道、排队溢出等异常事件报警信息</w:t>
      </w:r>
      <w:bookmarkStart w:id="75" w:name="_Toc462848036"/>
      <w:bookmarkStart w:id="76" w:name="_Toc465354312"/>
      <w:r>
        <w:rPr>
          <w:rFonts w:hint="eastAsia"/>
          <w:color w:val="000000" w:themeColor="text1"/>
          <w:sz w:val="24"/>
          <w:szCs w:val="24"/>
          <w14:textFill>
            <w14:solidFill>
              <w14:schemeClr w14:val="tx1"/>
            </w14:solidFill>
          </w14:textFill>
        </w:rPr>
        <w:t>；</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3、设备采集的流量数据准确度≥95%、速度数据准确度≥95%、占有率数据准确度≥95% 、车头时距数据准确度≥95%；</w:t>
      </w:r>
    </w:p>
    <w:p>
      <w:pPr>
        <w:adjustRightInd w:val="0"/>
        <w:snapToGrid w:val="0"/>
        <w:spacing w:line="360" w:lineRule="auto"/>
        <w:ind w:firstLine="480"/>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4、设备采集的异常事件报警违停检测准确度≥95%、拥堵排队准确度≥95%、变道检测准确度≥95%、逆行检测准确度≥95%</w:t>
      </w:r>
      <w:r>
        <w:rPr>
          <w:rFonts w:hint="eastAsia" w:ascii="宋体" w:hAnsi="宋体"/>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5、一体化复合视频≥200万像素；</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6、需要能与台州市现有信号机系统及前端信号机实现有效对接，并能为交通信息采集系统提供交通流数据；</w:t>
      </w:r>
    </w:p>
    <w:bookmarkEnd w:id="75"/>
    <w:bookmarkEnd w:id="76"/>
    <w:p>
      <w:pPr>
        <w:pStyle w:val="7"/>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4.8云存储系统设备</w:t>
      </w:r>
    </w:p>
    <w:p>
      <w:pPr>
        <w:pStyle w:val="8"/>
        <w:spacing w:line="360" w:lineRule="auto"/>
        <w:ind w:firstLine="900" w:firstLineChars="37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4.8.1、设备技术指标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云存储设备技术要求如下：</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采用存储全域虚拟化技术对具有海量存储需求的用户提供透明存储构架，可持续扩容避免瓶颈限制，可以更有效的进行资源管理，灵活增减空间，达到最大程度上合理利用空间的效果。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采用集群技术，解决单/多节点失效问题，并利用负载均衡技术充分利用各存储节点的性能，提升系统的可靠性和安全性。</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采用统一完善的接口，降低对接成本、平台维护成本和用户管理的复杂度。</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采用开放的集成构架，使其可兼容业界各类iSCSI/FC存储设备，保护用户现有存储投资资源。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w:t>
      </w:r>
      <w:r>
        <w:rPr>
          <w:color w:val="000000" w:themeColor="text1"/>
          <w:sz w:val="24"/>
          <w:szCs w:val="24"/>
          <w14:textFill>
            <w14:solidFill>
              <w14:schemeClr w14:val="tx1"/>
            </w14:solidFill>
          </w14:textFill>
        </w:rPr>
        <w:t>数据备份和容灾技术</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保证云存储中的数据不丢失，</w:t>
      </w:r>
      <w:r>
        <w:rPr>
          <w:rFonts w:hint="eastAsia"/>
          <w:color w:val="000000" w:themeColor="text1"/>
          <w:sz w:val="24"/>
          <w:szCs w:val="24"/>
          <w14:textFill>
            <w14:solidFill>
              <w14:schemeClr w14:val="tx1"/>
            </w14:solidFill>
          </w14:textFill>
        </w:rPr>
        <w:t>确</w:t>
      </w:r>
      <w:r>
        <w:rPr>
          <w:color w:val="000000" w:themeColor="text1"/>
          <w:sz w:val="24"/>
          <w:szCs w:val="24"/>
          <w14:textFill>
            <w14:solidFill>
              <w14:schemeClr w14:val="tx1"/>
            </w14:solidFill>
          </w14:textFill>
        </w:rPr>
        <w:t>证云存储</w:t>
      </w:r>
      <w:r>
        <w:rPr>
          <w:rFonts w:hint="eastAsia"/>
          <w:color w:val="000000" w:themeColor="text1"/>
          <w:sz w:val="24"/>
          <w:szCs w:val="24"/>
          <w14:textFill>
            <w14:solidFill>
              <w14:schemeClr w14:val="tx1"/>
            </w14:solidFill>
          </w14:textFill>
        </w:rPr>
        <w:t>服务</w:t>
      </w:r>
      <w:r>
        <w:rPr>
          <w:color w:val="000000" w:themeColor="text1"/>
          <w:sz w:val="24"/>
          <w:szCs w:val="24"/>
          <w14:textFill>
            <w14:solidFill>
              <w14:schemeClr w14:val="tx1"/>
            </w14:solidFill>
          </w14:textFill>
        </w:rPr>
        <w:t>的安全稳定。</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支持视频流、图片流直存和转存在同一套云存储环境混合部署。</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支持在不需要任何平台情况下，支持直接在云存储上进行前端添加、删除，配置录像存储路径、录像配额，录像计划下发，支持视频录像检索、回放转发、直播等集成视频功能；支持手动控制开启录像。</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支持多种网络部署模式,支持多网口绑定，提供带宽聚合，实现网络带宽的负载均衡；</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支持快照功能，支持卷克隆功能；</w:t>
      </w:r>
    </w:p>
    <w:tbl>
      <w:tblPr>
        <w:tblStyle w:val="23"/>
        <w:tblpPr w:leftFromText="180" w:rightFromText="180" w:vertAnchor="text" w:horzAnchor="page" w:tblpX="2160" w:tblpY="337"/>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标准机架式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0" w:hRule="atLeast"/>
        </w:trPr>
        <w:tc>
          <w:tcPr>
            <w:tcW w:w="8410" w:type="dxa"/>
            <w:vAlign w:val="center"/>
          </w:tcPr>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两颗高性能Intel 64位多核CPU;配置缓存16G</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配置2个千兆以太网口，可增配4个千兆网口或万兆口</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支持RAID0、1、3、5、6、10、50</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配置冗余电源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最小硬盘数≥48</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支持3.5"硬盘，支持1TB、2TB、3TB、4TB、6TB、8TB硬盘；</w:t>
            </w:r>
            <w:r>
              <w:rPr>
                <w:color w:val="000000" w:themeColor="text1"/>
                <w:sz w:val="24"/>
                <w:szCs w:val="24"/>
                <w14:textFill>
                  <w14:solidFill>
                    <w14:schemeClr w14:val="tx1"/>
                  </w14:solidFill>
                </w14:textFill>
              </w:rPr>
              <w:t>支持</w:t>
            </w:r>
            <w:r>
              <w:rPr>
                <w:rFonts w:hint="eastAsia"/>
                <w:color w:val="000000" w:themeColor="text1"/>
                <w:sz w:val="24"/>
                <w:szCs w:val="24"/>
                <w14:textFill>
                  <w14:solidFill>
                    <w14:schemeClr w14:val="tx1"/>
                  </w14:solidFill>
                </w14:textFill>
              </w:rPr>
              <w:t>硬盘</w:t>
            </w:r>
            <w:r>
              <w:rPr>
                <w:color w:val="000000" w:themeColor="text1"/>
                <w:sz w:val="24"/>
                <w:szCs w:val="24"/>
                <w14:textFill>
                  <w14:solidFill>
                    <w14:schemeClr w14:val="tx1"/>
                  </w14:solidFill>
                </w14:textFill>
              </w:rPr>
              <w:t>热插</w:t>
            </w:r>
            <w:r>
              <w:rPr>
                <w:rFonts w:hint="eastAsia"/>
                <w:color w:val="000000" w:themeColor="text1"/>
                <w:sz w:val="24"/>
                <w:szCs w:val="24"/>
                <w14:textFill>
                  <w14:solidFill>
                    <w14:schemeClr w14:val="tx1"/>
                  </w14:solidFill>
                </w14:textFill>
              </w:rPr>
              <w:t>拨</w:t>
            </w:r>
            <w:r>
              <w:rPr>
                <w:color w:val="000000" w:themeColor="text1"/>
                <w:sz w:val="24"/>
                <w:szCs w:val="24"/>
                <w14:textFill>
                  <w14:solidFill>
                    <w14:schemeClr w14:val="tx1"/>
                  </w14:solidFill>
                </w14:textFill>
              </w:rPr>
              <w:t>操作；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需提供产品的3C证书</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需提供“国家安全防范报警系统产品质量监督检验中心”出具的云存储系统检测报告。</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首次安装原厂工程师上门，5年原厂上门售后服务，</w:t>
            </w:r>
            <w:r>
              <w:rPr>
                <w:rFonts w:hint="eastAsia"/>
                <w:color w:val="000000" w:themeColor="text1"/>
                <w:sz w:val="24"/>
                <w:szCs w:val="24"/>
                <w:lang w:eastAsia="zh-CN"/>
                <w14:textFill>
                  <w14:solidFill>
                    <w14:schemeClr w14:val="tx1"/>
                  </w14:solidFill>
                </w14:textFill>
              </w:rPr>
              <w:t>中标后签订合同前</w:t>
            </w:r>
            <w:r>
              <w:rPr>
                <w:rFonts w:hint="eastAsia"/>
                <w:color w:val="000000" w:themeColor="text1"/>
                <w:sz w:val="24"/>
                <w:szCs w:val="24"/>
                <w14:textFill>
                  <w14:solidFill>
                    <w14:schemeClr w14:val="tx1"/>
                  </w14:solidFill>
                </w14:textFill>
              </w:rPr>
              <w:t>出具原厂售后服务承诺书。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工作温度：0℃~40℃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工作湿度：10%~80%（非凝露）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储存温度：-20℃~70℃</w:t>
            </w:r>
          </w:p>
        </w:tc>
      </w:tr>
    </w:tbl>
    <w:p>
      <w:pPr>
        <w:pStyle w:val="8"/>
        <w:spacing w:line="360" w:lineRule="auto"/>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4.8.2、数据存储策略</w:t>
      </w:r>
    </w:p>
    <w:p>
      <w:pPr>
        <w:adjustRightInd w:val="0"/>
        <w:snapToGrid w:val="0"/>
        <w:spacing w:line="360" w:lineRule="auto"/>
        <w:ind w:firstLine="482"/>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视频存储策略</w:t>
      </w:r>
    </w:p>
    <w:tbl>
      <w:tblPr>
        <w:tblStyle w:val="23"/>
        <w:tblW w:w="8303" w:type="dxa"/>
        <w:jc w:val="center"/>
        <w:tblInd w:w="0" w:type="dxa"/>
        <w:tblLayout w:type="fixed"/>
        <w:tblCellMar>
          <w:top w:w="0" w:type="dxa"/>
          <w:left w:w="0" w:type="dxa"/>
          <w:bottom w:w="0" w:type="dxa"/>
          <w:right w:w="0" w:type="dxa"/>
        </w:tblCellMar>
      </w:tblPr>
      <w:tblGrid>
        <w:gridCol w:w="4302"/>
        <w:gridCol w:w="4001"/>
      </w:tblGrid>
      <w:tr>
        <w:tblPrEx>
          <w:tblLayout w:type="fixed"/>
          <w:tblCellMar>
            <w:top w:w="0" w:type="dxa"/>
            <w:left w:w="0" w:type="dxa"/>
            <w:bottom w:w="0" w:type="dxa"/>
            <w:right w:w="0" w:type="dxa"/>
          </w:tblCellMar>
        </w:tblPrEx>
        <w:trPr>
          <w:trHeight w:val="441" w:hRule="exact"/>
          <w:jc w:val="center"/>
        </w:trPr>
        <w:tc>
          <w:tcPr>
            <w:tcW w:w="8303" w:type="dxa"/>
            <w:gridSpan w:val="2"/>
            <w:tcBorders>
              <w:top w:val="single" w:color="000000" w:sz="4" w:space="0"/>
              <w:left w:val="single" w:color="000000" w:sz="4" w:space="0"/>
              <w:bottom w:val="single" w:color="000000" w:sz="4" w:space="0"/>
              <w:right w:val="single" w:color="000000" w:sz="4" w:space="0"/>
            </w:tcBorders>
            <w:shd w:val="clear" w:color="auto" w:fill="D9D9D9"/>
          </w:tcPr>
          <w:p>
            <w:pPr>
              <w:pStyle w:val="67"/>
              <w:adjustRightInd w:val="0"/>
              <w:snapToGrid w:val="0"/>
              <w:spacing w:line="360" w:lineRule="auto"/>
              <w:ind w:firstLine="422"/>
              <w:jc w:val="center"/>
              <w:rPr>
                <w:rFonts w:ascii="宋体" w:hAnsi="宋体" w:cs="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高清视频存储策略</w:t>
            </w:r>
          </w:p>
        </w:tc>
      </w:tr>
      <w:tr>
        <w:tblPrEx>
          <w:tblLayout w:type="fixed"/>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3"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图像编码格式</w:t>
            </w:r>
          </w:p>
        </w:tc>
        <w:tc>
          <w:tcPr>
            <w:tcW w:w="4001"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2" w:firstLine="420"/>
              <w:rPr>
                <w:rFonts w:ascii="宋体" w:hAnsi="宋体" w:cs="宋体"/>
                <w:color w:val="000000" w:themeColor="text1"/>
                <w:sz w:val="24"/>
                <w:szCs w:val="24"/>
                <w:lang w:eastAsia="zh-CN"/>
                <w14:textFill>
                  <w14:solidFill>
                    <w14:schemeClr w14:val="tx1"/>
                  </w14:solidFill>
                </w14:textFill>
              </w:rPr>
            </w:pPr>
            <w:r>
              <w:rPr>
                <w:rFonts w:hint="eastAsia" w:ascii="宋体"/>
                <w:color w:val="000000" w:themeColor="text1"/>
                <w:sz w:val="24"/>
                <w:szCs w:val="24"/>
                <w:lang w:eastAsia="zh-CN"/>
                <w14:textFill>
                  <w14:solidFill>
                    <w14:schemeClr w14:val="tx1"/>
                  </w14:solidFill>
                </w14:textFill>
              </w:rPr>
              <w:t>H</w:t>
            </w:r>
            <w:r>
              <w:rPr>
                <w:rFonts w:ascii="宋体"/>
                <w:color w:val="000000" w:themeColor="text1"/>
                <w:sz w:val="24"/>
                <w:szCs w:val="24"/>
                <w14:textFill>
                  <w14:solidFill>
                    <w14:schemeClr w14:val="tx1"/>
                  </w14:solidFill>
                </w14:textFill>
              </w:rPr>
              <w:t>.265</w:t>
            </w:r>
            <w:r>
              <w:rPr>
                <w:rFonts w:hint="eastAsia" w:ascii="宋体"/>
                <w:color w:val="000000" w:themeColor="text1"/>
                <w:sz w:val="24"/>
                <w:szCs w:val="24"/>
                <w:lang w:eastAsia="zh-CN"/>
                <w14:textFill>
                  <w14:solidFill>
                    <w14:schemeClr w14:val="tx1"/>
                  </w14:solidFill>
                </w14:textFill>
              </w:rPr>
              <w:t>/</w:t>
            </w:r>
            <w:r>
              <w:rPr>
                <w:rFonts w:ascii="宋体"/>
                <w:color w:val="000000" w:themeColor="text1"/>
                <w:sz w:val="24"/>
                <w:szCs w:val="24"/>
                <w14:textFill>
                  <w14:solidFill>
                    <w14:schemeClr w14:val="tx1"/>
                  </w14:solidFill>
                </w14:textFill>
              </w:rPr>
              <w:t>H.264</w:t>
            </w:r>
            <w:r>
              <w:rPr>
                <w:rFonts w:hint="eastAsia" w:ascii="宋体"/>
                <w:color w:val="000000" w:themeColor="text1"/>
                <w:sz w:val="24"/>
                <w:szCs w:val="24"/>
                <w:lang w:eastAsia="zh-CN"/>
                <w14:textFill>
                  <w14:solidFill>
                    <w14:schemeClr w14:val="tx1"/>
                  </w14:solidFill>
                </w14:textFill>
              </w:rPr>
              <w:t>或以上</w:t>
            </w:r>
          </w:p>
        </w:tc>
      </w:tr>
      <w:tr>
        <w:tblPrEx>
          <w:tblLayout w:type="fixed"/>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3"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单路码流Mbps</w:t>
            </w:r>
          </w:p>
        </w:tc>
        <w:tc>
          <w:tcPr>
            <w:tcW w:w="4001"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2" w:firstLine="420"/>
              <w:rPr>
                <w:rFonts w:ascii="宋体" w:hAnsi="宋体" w:cs="宋体"/>
                <w:color w:val="000000" w:themeColor="text1"/>
                <w:sz w:val="24"/>
                <w:szCs w:val="24"/>
                <w:lang w:eastAsia="zh-CN"/>
                <w14:textFill>
                  <w14:solidFill>
                    <w14:schemeClr w14:val="tx1"/>
                  </w14:solidFill>
                </w14:textFill>
              </w:rPr>
            </w:pPr>
            <w:r>
              <w:rPr>
                <w:rFonts w:hint="eastAsia" w:ascii="宋体"/>
                <w:color w:val="000000" w:themeColor="text1"/>
                <w:sz w:val="24"/>
                <w:szCs w:val="24"/>
                <w:lang w:eastAsia="zh-CN"/>
                <w14:textFill>
                  <w14:solidFill>
                    <w14:schemeClr w14:val="tx1"/>
                  </w14:solidFill>
                </w14:textFill>
              </w:rPr>
              <w:t>≤4M</w:t>
            </w:r>
          </w:p>
        </w:tc>
      </w:tr>
      <w:tr>
        <w:tblPrEx>
          <w:tblLayout w:type="fixed"/>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3"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高清视频保存天数</w:t>
            </w:r>
          </w:p>
        </w:tc>
        <w:tc>
          <w:tcPr>
            <w:tcW w:w="4001"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2"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≥30</w:t>
            </w:r>
            <w:r>
              <w:rPr>
                <w:rFonts w:ascii="宋体" w:hAnsi="宋体" w:cs="宋体"/>
                <w:color w:val="000000" w:themeColor="text1"/>
                <w:sz w:val="24"/>
                <w:szCs w:val="24"/>
                <w14:textFill>
                  <w14:solidFill>
                    <w14:schemeClr w14:val="tx1"/>
                  </w14:solidFill>
                </w14:textFill>
              </w:rPr>
              <w:t>天</w:t>
            </w:r>
          </w:p>
        </w:tc>
      </w:tr>
    </w:tbl>
    <w:p>
      <w:pPr>
        <w:adjustRightInd w:val="0"/>
        <w:snapToGrid w:val="0"/>
        <w:spacing w:line="360" w:lineRule="auto"/>
        <w:ind w:firstLine="482"/>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图片存储策略</w:t>
      </w:r>
    </w:p>
    <w:tbl>
      <w:tblPr>
        <w:tblStyle w:val="23"/>
        <w:tblW w:w="8297" w:type="dxa"/>
        <w:tblInd w:w="20" w:type="dxa"/>
        <w:tblLayout w:type="fixed"/>
        <w:tblCellMar>
          <w:top w:w="0" w:type="dxa"/>
          <w:left w:w="0" w:type="dxa"/>
          <w:bottom w:w="0" w:type="dxa"/>
          <w:right w:w="0" w:type="dxa"/>
        </w:tblCellMar>
      </w:tblPr>
      <w:tblGrid>
        <w:gridCol w:w="4292"/>
        <w:gridCol w:w="4005"/>
      </w:tblGrid>
      <w:tr>
        <w:tblPrEx>
          <w:tblLayout w:type="fixed"/>
          <w:tblCellMar>
            <w:top w:w="0" w:type="dxa"/>
            <w:left w:w="0" w:type="dxa"/>
            <w:bottom w:w="0" w:type="dxa"/>
            <w:right w:w="0" w:type="dxa"/>
          </w:tblCellMar>
        </w:tblPrEx>
        <w:trPr>
          <w:trHeight w:val="441" w:hRule="exact"/>
        </w:trPr>
        <w:tc>
          <w:tcPr>
            <w:tcW w:w="8297" w:type="dxa"/>
            <w:gridSpan w:val="2"/>
            <w:tcBorders>
              <w:top w:val="single" w:color="000000" w:sz="4" w:space="0"/>
              <w:left w:val="single" w:color="000000" w:sz="4" w:space="0"/>
              <w:bottom w:val="single" w:color="000000" w:sz="4" w:space="0"/>
              <w:right w:val="single" w:color="000000" w:sz="4" w:space="0"/>
            </w:tcBorders>
            <w:shd w:val="clear" w:color="auto" w:fill="D9D9D9"/>
          </w:tcPr>
          <w:p>
            <w:pPr>
              <w:pStyle w:val="67"/>
              <w:adjustRightInd w:val="0"/>
              <w:snapToGrid w:val="0"/>
              <w:spacing w:line="360" w:lineRule="auto"/>
              <w:ind w:firstLine="422"/>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图片</w:t>
            </w:r>
            <w:r>
              <w:rPr>
                <w:rFonts w:ascii="宋体" w:hAnsi="宋体" w:cs="宋体"/>
                <w:b/>
                <w:bCs/>
                <w:color w:val="000000" w:themeColor="text1"/>
                <w:sz w:val="24"/>
                <w:szCs w:val="24"/>
                <w14:textFill>
                  <w14:solidFill>
                    <w14:schemeClr w14:val="tx1"/>
                  </w14:solidFill>
                </w14:textFill>
              </w:rPr>
              <w:t>存储策略</w:t>
            </w:r>
          </w:p>
        </w:tc>
      </w:tr>
      <w:tr>
        <w:tblPrEx>
          <w:tblLayout w:type="fixed"/>
          <w:tblCellMar>
            <w:top w:w="0" w:type="dxa"/>
            <w:left w:w="0" w:type="dxa"/>
            <w:bottom w:w="0" w:type="dxa"/>
            <w:right w:w="0" w:type="dxa"/>
          </w:tblCellMar>
        </w:tblPrEx>
        <w:trPr>
          <w:trHeight w:val="477" w:hRule="exact"/>
        </w:trPr>
        <w:tc>
          <w:tcPr>
            <w:tcW w:w="4292"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3"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图像编码格式</w:t>
            </w:r>
          </w:p>
        </w:tc>
        <w:tc>
          <w:tcPr>
            <w:tcW w:w="4005"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3" w:firstLine="420"/>
              <w:rPr>
                <w:rFonts w:ascii="宋体" w:hAnsi="宋体" w:cs="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JPEG</w:t>
            </w:r>
          </w:p>
        </w:tc>
      </w:tr>
      <w:tr>
        <w:tblPrEx>
          <w:tblLayout w:type="fixed"/>
          <w:tblCellMar>
            <w:top w:w="0" w:type="dxa"/>
            <w:left w:w="0" w:type="dxa"/>
            <w:bottom w:w="0" w:type="dxa"/>
            <w:right w:w="0" w:type="dxa"/>
          </w:tblCellMar>
        </w:tblPrEx>
        <w:trPr>
          <w:trHeight w:val="477" w:hRule="exact"/>
        </w:trPr>
        <w:tc>
          <w:tcPr>
            <w:tcW w:w="4292"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3" w:firstLine="480"/>
              <w:rPr>
                <w:rFonts w:ascii="宋体" w:hAnsi="宋体" w:cs="宋体"/>
                <w:color w:val="000000" w:themeColor="text1"/>
                <w:sz w:val="24"/>
                <w:szCs w:val="24"/>
                <w:lang w:eastAsia="zh-CN"/>
                <w14:textFill>
                  <w14:solidFill>
                    <w14:schemeClr w14:val="tx1"/>
                  </w14:solidFill>
                </w14:textFill>
              </w:rPr>
            </w:pPr>
            <w:r>
              <w:rPr>
                <w:rFonts w:ascii="宋体" w:hAnsi="宋体" w:cs="宋体"/>
                <w:color w:val="000000" w:themeColor="text1"/>
                <w:sz w:val="24"/>
                <w:szCs w:val="24"/>
                <w:lang w:eastAsia="zh-CN"/>
                <w14:textFill>
                  <w14:solidFill>
                    <w14:schemeClr w14:val="tx1"/>
                  </w14:solidFill>
                </w14:textFill>
              </w:rPr>
              <w:t>每个</w:t>
            </w:r>
            <w:r>
              <w:rPr>
                <w:rFonts w:hint="eastAsia" w:ascii="宋体" w:hAnsi="宋体" w:cs="宋体"/>
                <w:color w:val="000000" w:themeColor="text1"/>
                <w:sz w:val="24"/>
                <w:szCs w:val="24"/>
                <w:lang w:eastAsia="zh-CN"/>
                <w14:textFill>
                  <w14:solidFill>
                    <w14:schemeClr w14:val="tx1"/>
                  </w14:solidFill>
                </w14:textFill>
              </w:rPr>
              <w:t>路口</w:t>
            </w:r>
            <w:r>
              <w:rPr>
                <w:rFonts w:ascii="宋体" w:hAnsi="宋体" w:cs="宋体"/>
                <w:color w:val="000000" w:themeColor="text1"/>
                <w:sz w:val="24"/>
                <w:szCs w:val="24"/>
                <w:lang w:eastAsia="zh-CN"/>
                <w14:textFill>
                  <w14:solidFill>
                    <w14:schemeClr w14:val="tx1"/>
                  </w14:solidFill>
                </w14:textFill>
              </w:rPr>
              <w:t>一天图片数量</w:t>
            </w:r>
          </w:p>
        </w:tc>
        <w:tc>
          <w:tcPr>
            <w:tcW w:w="4005" w:type="dxa"/>
            <w:tcBorders>
              <w:top w:val="single" w:color="000000" w:sz="4" w:space="0"/>
              <w:left w:val="single" w:color="000000" w:sz="4" w:space="0"/>
              <w:bottom w:val="single" w:color="000000" w:sz="4" w:space="0"/>
              <w:right w:val="single" w:color="000000" w:sz="4" w:space="0"/>
            </w:tcBorders>
          </w:tcPr>
          <w:p>
            <w:pPr>
              <w:pStyle w:val="67"/>
              <w:adjustRightInd w:val="0"/>
              <w:snapToGrid w:val="0"/>
              <w:spacing w:line="360" w:lineRule="auto"/>
              <w:ind w:left="583" w:firstLine="420"/>
              <w:rPr>
                <w:rFonts w:ascii="宋体" w:hAnsi="宋体" w:cs="宋体"/>
                <w:color w:val="000000" w:themeColor="text1"/>
                <w:sz w:val="24"/>
                <w:szCs w:val="24"/>
                <w14:textFill>
                  <w14:solidFill>
                    <w14:schemeClr w14:val="tx1"/>
                  </w14:solidFill>
                </w14:textFill>
              </w:rPr>
            </w:pPr>
            <w:r>
              <w:rPr>
                <w:rFonts w:hint="eastAsia" w:ascii="宋体"/>
                <w:color w:val="000000" w:themeColor="text1"/>
                <w:sz w:val="24"/>
                <w:szCs w:val="24"/>
                <w:lang w:eastAsia="zh-CN"/>
                <w14:textFill>
                  <w14:solidFill>
                    <w14:schemeClr w14:val="tx1"/>
                  </w14:solidFill>
                </w14:textFill>
              </w:rPr>
              <w:t>≤50000</w:t>
            </w:r>
          </w:p>
        </w:tc>
      </w:tr>
      <w:tr>
        <w:tblPrEx>
          <w:tblLayout w:type="fixed"/>
          <w:tblCellMar>
            <w:top w:w="0" w:type="dxa"/>
            <w:left w:w="0" w:type="dxa"/>
            <w:bottom w:w="0" w:type="dxa"/>
            <w:right w:w="0" w:type="dxa"/>
          </w:tblCellMar>
        </w:tblPrEx>
        <w:trPr>
          <w:trHeight w:val="476"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67"/>
              <w:adjustRightInd w:val="0"/>
              <w:snapToGrid w:val="0"/>
              <w:spacing w:line="360" w:lineRule="auto"/>
              <w:ind w:left="583"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图片保存天数</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67"/>
              <w:adjustRightInd w:val="0"/>
              <w:snapToGrid w:val="0"/>
              <w:spacing w:line="360" w:lineRule="auto"/>
              <w:ind w:left="583"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≥180</w:t>
            </w:r>
            <w:r>
              <w:rPr>
                <w:rFonts w:ascii="宋体" w:hAnsi="宋体" w:cs="宋体"/>
                <w:color w:val="000000" w:themeColor="text1"/>
                <w:sz w:val="24"/>
                <w:szCs w:val="24"/>
                <w14:textFill>
                  <w14:solidFill>
                    <w14:schemeClr w14:val="tx1"/>
                  </w14:solidFill>
                </w14:textFill>
              </w:rPr>
              <w:t>天</w:t>
            </w:r>
          </w:p>
        </w:tc>
      </w:tr>
      <w:tr>
        <w:tblPrEx>
          <w:tblLayout w:type="fixed"/>
          <w:tblCellMar>
            <w:top w:w="0" w:type="dxa"/>
            <w:left w:w="0" w:type="dxa"/>
            <w:bottom w:w="0" w:type="dxa"/>
            <w:right w:w="0" w:type="dxa"/>
          </w:tblCellMar>
        </w:tblPrEx>
        <w:trPr>
          <w:trHeight w:val="550"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67"/>
              <w:adjustRightInd w:val="0"/>
              <w:snapToGrid w:val="0"/>
              <w:spacing w:line="360" w:lineRule="auto"/>
              <w:ind w:left="583" w:firstLine="480"/>
              <w:rPr>
                <w:rFonts w:ascii="宋体" w:hAnsi="宋体" w:cs="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校对有效违法数据的</w:t>
            </w:r>
            <w:r>
              <w:rPr>
                <w:rFonts w:ascii="宋体" w:hAnsi="宋体"/>
                <w:color w:val="000000" w:themeColor="text1"/>
                <w:sz w:val="24"/>
                <w:szCs w:val="24"/>
                <w:lang w:eastAsia="zh-CN"/>
                <w14:textFill>
                  <w14:solidFill>
                    <w14:schemeClr w14:val="tx1"/>
                  </w14:solidFill>
                </w14:textFill>
              </w:rPr>
              <w:t>短录像</w:t>
            </w:r>
            <w:r>
              <w:rPr>
                <w:rFonts w:hint="eastAsia" w:ascii="宋体" w:hAnsi="宋体"/>
                <w:color w:val="000000" w:themeColor="text1"/>
                <w:sz w:val="24"/>
                <w:szCs w:val="24"/>
                <w:lang w:eastAsia="zh-CN"/>
                <w14:textFill>
                  <w14:solidFill>
                    <w14:schemeClr w14:val="tx1"/>
                  </w14:solidFill>
                </w14:textFill>
              </w:rPr>
              <w:t>(≥12秒)</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67"/>
              <w:adjustRightInd w:val="0"/>
              <w:snapToGrid w:val="0"/>
              <w:spacing w:line="360" w:lineRule="auto"/>
              <w:ind w:left="583" w:firstLine="480"/>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≥2年</w:t>
            </w:r>
          </w:p>
        </w:tc>
      </w:tr>
      <w:tr>
        <w:tblPrEx>
          <w:tblLayout w:type="fixed"/>
          <w:tblCellMar>
            <w:top w:w="0" w:type="dxa"/>
            <w:left w:w="0" w:type="dxa"/>
            <w:bottom w:w="0" w:type="dxa"/>
            <w:right w:w="0" w:type="dxa"/>
          </w:tblCellMar>
        </w:tblPrEx>
        <w:trPr>
          <w:trHeight w:val="550"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67"/>
              <w:tabs>
                <w:tab w:val="left" w:pos="2130"/>
              </w:tabs>
              <w:adjustRightInd w:val="0"/>
              <w:snapToGrid w:val="0"/>
              <w:spacing w:line="360" w:lineRule="auto"/>
              <w:ind w:left="583" w:firstLine="480"/>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号牌特写图片</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67"/>
              <w:adjustRightInd w:val="0"/>
              <w:snapToGrid w:val="0"/>
              <w:spacing w:line="360" w:lineRule="auto"/>
              <w:ind w:left="583" w:firstLine="480"/>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≥2年</w:t>
            </w:r>
          </w:p>
        </w:tc>
      </w:tr>
    </w:tbl>
    <w:p>
      <w:pPr>
        <w:widowControl/>
        <w:adjustRightInd w:val="0"/>
        <w:snapToGrid w:val="0"/>
        <w:spacing w:line="360" w:lineRule="auto"/>
        <w:ind w:firstLine="48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视频数据(实时视频、录像文件)应与台州市公安局视频作战侦查平台属地区县分平台实现有效对接，卡口数据上传要采用交警局平台分别向台州市公安局属地区县分平台上传模式。</w:t>
      </w:r>
    </w:p>
    <w:p>
      <w:pPr>
        <w:pStyle w:val="6"/>
        <w:spacing w:line="360" w:lineRule="auto"/>
        <w:ind w:firstLine="482"/>
        <w:rPr>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鄞州至玉环公路椒江洪家至温岭城东段公路（路泽太高架</w:t>
      </w:r>
      <w:r>
        <w:rPr>
          <w:rFonts w:hint="eastAsia" w:asciiTheme="minorEastAsia" w:hAnsiTheme="minorEastAsia" w:eastAsiaTheme="minorEastAsia"/>
          <w:color w:val="000000" w:themeColor="text1"/>
          <w:kern w:val="0"/>
          <w:sz w:val="24"/>
          <w:szCs w:val="24"/>
          <w:lang w:eastAsia="zh-CN"/>
          <w14:textFill>
            <w14:solidFill>
              <w14:schemeClr w14:val="tx1"/>
            </w14:solidFill>
          </w14:textFill>
        </w:rPr>
        <w:t>快速路</w:t>
      </w:r>
      <w:r>
        <w:rPr>
          <w:rFonts w:hint="eastAsia" w:asciiTheme="minorEastAsia" w:hAnsiTheme="minorEastAsia" w:eastAsiaTheme="minorEastAsia"/>
          <w:color w:val="000000" w:themeColor="text1"/>
          <w:kern w:val="0"/>
          <w:sz w:val="24"/>
          <w:szCs w:val="24"/>
          <w14:textFill>
            <w14:solidFill>
              <w14:schemeClr w14:val="tx1"/>
            </w14:solidFill>
          </w14:textFill>
        </w:rPr>
        <w:t>）监控</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设备采购项目</w:t>
      </w:r>
      <w:r>
        <w:rPr>
          <w:rFonts w:hint="eastAsia"/>
          <w:color w:val="000000" w:themeColor="text1"/>
          <w:sz w:val="24"/>
          <w:szCs w:val="24"/>
          <w:highlight w:val="none"/>
          <w14:textFill>
            <w14:solidFill>
              <w14:schemeClr w14:val="tx1"/>
            </w14:solidFill>
          </w14:textFill>
        </w:rPr>
        <w:t>清单</w:t>
      </w:r>
    </w:p>
    <w:p>
      <w:pPr>
        <w:pStyle w:val="7"/>
        <w:numPr>
          <w:ilvl w:val="0"/>
          <w:numId w:val="0"/>
        </w:numPr>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5.1前端设备</w:t>
      </w:r>
      <w:r>
        <w:rPr>
          <w:rFonts w:hint="eastAsia" w:asciiTheme="minorEastAsia" w:hAnsiTheme="minorEastAsia" w:eastAsiaTheme="minorEastAsia"/>
          <w:color w:val="000000" w:themeColor="text1"/>
          <w:kern w:val="0"/>
          <w:lang w:eastAsia="zh-CN"/>
          <w14:textFill>
            <w14:solidFill>
              <w14:schemeClr w14:val="tx1"/>
            </w14:solidFill>
          </w14:textFill>
        </w:rPr>
        <w:t>采购</w:t>
      </w:r>
      <w:r>
        <w:rPr>
          <w:rFonts w:hint="eastAsia"/>
          <w:color w:val="000000" w:themeColor="text1"/>
          <w14:textFill>
            <w14:solidFill>
              <w14:schemeClr w14:val="tx1"/>
            </w14:solidFill>
          </w14:textFill>
        </w:rPr>
        <w:t>清单</w:t>
      </w:r>
    </w:p>
    <w:tbl>
      <w:tblPr>
        <w:tblStyle w:val="23"/>
        <w:tblW w:w="9510" w:type="dxa"/>
        <w:tblInd w:w="-700" w:type="dxa"/>
        <w:tblLayout w:type="fixed"/>
        <w:tblCellMar>
          <w:top w:w="0" w:type="dxa"/>
          <w:left w:w="0" w:type="dxa"/>
          <w:bottom w:w="0" w:type="dxa"/>
          <w:right w:w="0" w:type="dxa"/>
        </w:tblCellMar>
      </w:tblPr>
      <w:tblGrid>
        <w:gridCol w:w="474"/>
        <w:gridCol w:w="27"/>
        <w:gridCol w:w="1112"/>
        <w:gridCol w:w="5850"/>
        <w:gridCol w:w="555"/>
        <w:gridCol w:w="779"/>
        <w:gridCol w:w="713"/>
      </w:tblGrid>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一、交通信号灯设备</w:t>
            </w: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1.地面信号灯设备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481"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机动车信号灯主灯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1、机动车信号灯（满屏灯）</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 规格：Φ400mm 遮沿等尺寸符合GB14887-2011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 红、黄发光单元LED 数量不得少于250 颗，绿发光单元不少于180 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 光强：红色、黄色＞600cd；绿色＞400cd；</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 色度：符合GB14887-2011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 黄灯灯具应有9 秒倒计时。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2、机动车信号灯（箭头灯）</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 规格：￠400mm，三联横排，排列方式严格按GB14886—2016 要求设置</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 红、黄发光单元LED 数量不得少于100 颗，绿发光单元不少于72 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 亮度：红色、黄色、绿色≥4000cd/m2</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 色度：符合GB14887—2011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 重量：≤12kg</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（6） 黄灯灯具应有9 秒倒计时</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组</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31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机动车信号灯辅灯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1、机动车信号灯（满屏灯）</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 规格：Φ400mm 遮沿等尺寸符合GB14887-2011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 红、黄发光单元LED 数量不得少于250 颗，绿发光单元不少于180 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 光强：红色、黄色＞600cd；绿色＞400cd；</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 色度：符合GB14887-2011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 黄灯灯具应有9 秒倒计时。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2、机动车信号灯（箭头灯）</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 规格：￠400mm，三联横排，排列方式严格按GB14886—2016 要求设置</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 红、黄发光单元LED 数量不得少于100 颗，绿发光单元不少于72 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 亮度：红色、黄色、绿色≥4000cd/m2</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 色度：符合GB14887—2011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 重量：≤12kg</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（6） 黄灯灯具应有9 秒倒计时</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组</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1565"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LED驶入左转弯待转区显示屏</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红管单管亮度 500-700mcd；红管波长 620-625nm；绿管单管亮度 1000-1500mcd；绿管波长 520-525nm；像素点间距 16mm；像素密度 模组像素；像素组成 2红1绿；单模块尺寸 256*128mm；扫描方式 1/4扫恒流驱动；横向视角 110（±10）度；纵向视角 60（±10）度；最大亮度（新装） 4500-5000CD/m2（标准亮度）；最大亮度（使用2年后） ≥4000CD/㎡；亮度调整 16级手动或自动；</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屏体尺寸 1616*848*150mm；有效显示面积 1536*768mm；点阵数量 96*48=4608点；单体重量 ≤5</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kg；安装方式 单/双横杆安装；维修开门模式 前开门，单门向下；尺寸扩展性 横向按256mm为单位伸缩；纵向按128mm为单位伸缩；平均功耗 ≤100W；控制方式 脱机控制(自动根据前端采样切换节目)、联机控制；进入/离开动画方式 无动画、左移、右移、上移、下移、左翻转、右翻转、上翻转、下翻转、左右拉幕、左右合幕、上下拉幕、上下合幕等；</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远程通讯接口 10/100M以太网、自动定时控制、远程控制；采样端口 4路，交流220VAC ；显示帧循环方案 根据采用端口信号自动切换节目，最大支持6路IO控制；时段方案 可根据需要设置两套时段方案（工作日/节假日），每套时段方案最大可设12个时段，满足不同的显示/提示需求；后台控制软件 可通过后台设置节目，亮度调节，开关屏时间调节，节目控制方式等参数；可与交警指定业务平台对接，实现情报下发功能、绿波速度下发功能；支持诺瓦协议。平台对接，实现情报下发功能、绿波速度下发功能；支持诺瓦协议。</w:t>
            </w:r>
            <w:r>
              <w:rPr>
                <w:rFonts w:hint="eastAsia"/>
                <w:b w:val="0"/>
                <w:bCs w:val="0"/>
                <w:color w:val="000000" w:themeColor="text1"/>
                <w:lang w:eastAsia="zh-CN"/>
                <w14:textFill>
                  <w14:solidFill>
                    <w14:schemeClr w14:val="tx1"/>
                  </w14:solidFill>
                </w14:textFill>
              </w:rPr>
              <w:t>（包含传输设备、抱杆箱等）</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组</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非机动车信号灯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（1）规格：￠RX300mm，发光颜色由红、黄、绿自行车图案组成，外壳由铝或镁一次压铸而成，排列方式严格按GB14887-2011 要求设置；</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（2）发光单元发光管数量：红单元不少于75 颗，黄单元75 颗，绿单元75颗；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（3）基准轴亮度：≥600 坎德拉；</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（4）整灯使用寿命：＞100000H；</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组</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14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人行横道信号灯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（1）规格：二联组合，上联为红色人形和绿色倒计时，下联为绿人行及红色倒计时。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 外形尺寸：不小于900mm×300mm×80mm</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 显示尺寸：红人、绿人高度≥280mm；</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 亮度：红色、绿色≥4000cd/m2</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 色度：符合GB14887-2011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（6） 重量：≤9kg</w:t>
            </w:r>
          </w:p>
        </w:tc>
        <w:tc>
          <w:tcPr>
            <w:tcW w:w="5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组</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椒江、路桥辖区交通信号控制机(联网型)含落地机箱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接入台州市公安局交通警察局信号控制系统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7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温岭辖区交通信号控制机(联网型)含落地机箱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接入温岭市交警大队信号控制系统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控制机箱基础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基础应适当高出地面，根据过往积水情况，机箱抬高20cm-30cm。含做模、浇筑（C25商品砼）、平整、回填、废土清运等工作及材料费用。混凝土强度等级不得低于C25。基础大小：800mm*800*600mm。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4.608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L型立杆A</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八棱镀锌≥6.5M竖杆；立杆壁厚≥6mm；横杆4-7M；前端杆件贴反光材料，顶部带红黄绿三色防水帽；具体详见设计图纸。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L型立杆B</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八棱镀锌≥6.5M竖杆；立杆壁厚≥8mm；横杆8-12M；前端杆件贴反光材料，顶部带红黄绿三色防水帽；具体详见设计图纸。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八棱镀锌≥6.5M竖杆；立杆壁厚≥8mm；横杆13-15M；前端杆件贴反光材料，顶部带红黄绿三色防水帽；具体详见设计图纸。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T型立杆</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信号灯立杆基础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221.6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信号灯辅灯杆件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杆件工艺及样式具体详见设计图纸。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人行灯杆件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杆件工艺及样式具体详见设计图纸。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人行灯,信号灯辅灯杆件基础件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信号灯辅灯杆件基础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56.628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人行灯杆件基础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99.2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窨井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253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2.匝道信号灯设备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12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匝道进口信号灯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 规格：Φ400mm 遮沿等尺寸符合GB14887-2011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 红、黄发光单元LED 数量不得少于250 颗，绿发光单元不少于180 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 光强：红色、黄色＞600cd；绿色＞400cd；</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 色度：符合GB14887-2011 相关标准；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 黄灯灯具应有9 秒倒计时。</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组</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椒江、路桥辖区匝道信号控制机(联网型)含落地机箱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接入台州市公安局交通警察局信号控制系统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7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温岭辖区交通信号控制机(联网型)含落地机箱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接入温岭市交警大队信号控制系统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控制机箱基础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基础应适当高出地面，根据过往积水情况，机箱抬高20cm-30cm。含做模、浇筑（C25商品砼）、平整、回填、废土清运等工作及材料费用。混凝土强度等级不得低于C25。基础大小：800mm*800*600mm。具体详见设计图纸。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二、电子警察设备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电警一体化抓拍单元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摄像机像素：900W，感光器件：两个1英寸全局曝光</w:t>
            </w:r>
            <w:r>
              <w:rPr>
                <w:rFonts w:hint="eastAsia"/>
                <w:color w:val="000000" w:themeColor="text1"/>
                <w:lang w:eastAsia="zh-CN"/>
                <w14:textFill>
                  <w14:solidFill>
                    <w14:schemeClr w14:val="tx1"/>
                  </w14:solidFill>
                </w14:textFill>
              </w:rPr>
              <w:t>GMOS</w:t>
            </w:r>
            <w:r>
              <w:rPr>
                <w:rFonts w:hint="eastAsia"/>
                <w:color w:val="000000" w:themeColor="text1"/>
                <w14:textFill>
                  <w14:solidFill>
                    <w14:schemeClr w14:val="tx1"/>
                  </w14:solidFill>
                </w14:textFill>
              </w:rPr>
              <w:t>内置两个图像传感器（可分别或融合显示输出黑白及彩色图像）或1个GMOS传感器。相机可对视频图像和抓拍图片进行融合输出分辨率：最大支持4096*2160,视频帧率：在1～50fps可调;视频压缩标准：H.265/H.264/MJPEG图像输出格式：JPEG支持信号灯颜色增强功能 支持车流量检测功能，可以区分车辆是直行还是左转支持多种抓拍模式的切换，可根据应有场景的变化，实现开车打手机、不系安全带、机动车不礼让行人抓拍、非机动车载人、不戴头盔等抓拍功能。（含高清镜头、室外防护罩、防雷模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卡口一体化抓拍单元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摄像机像素：900W，感光器件：两个1英寸全局曝光</w:t>
            </w:r>
            <w:r>
              <w:rPr>
                <w:rFonts w:hint="eastAsia"/>
                <w:color w:val="000000" w:themeColor="text1"/>
                <w:lang w:eastAsia="zh-CN"/>
                <w14:textFill>
                  <w14:solidFill>
                    <w14:schemeClr w14:val="tx1"/>
                  </w14:solidFill>
                </w14:textFill>
              </w:rPr>
              <w:t>GMOS</w:t>
            </w:r>
            <w:r>
              <w:rPr>
                <w:rFonts w:hint="eastAsia"/>
                <w:color w:val="000000" w:themeColor="text1"/>
                <w14:textFill>
                  <w14:solidFill>
                    <w14:schemeClr w14:val="tx1"/>
                  </w14:solidFill>
                </w14:textFill>
              </w:rPr>
              <w:t>内置两个图像传感器（可分别或融合显示输出黑白及彩色图像）或1个GMOS传感器。相机可对视频图像和抓拍图片进行融合输出分辨率：最大支持4096*2160,视频帧率：在1～50fps可调;视频压缩支持H.265、H.264、M-JPEG、MPEG4；支持视场倾斜情况下的车辆特征识别，包括车牌、车身颜色、车型、车辆子品牌等；支持新能源车牌识别功能；可对扣取的人脸图片的像素大小、亮度、边框放大倍数进行调节，达到人脸比对的要求；支持未系安全带检测；支持驾驶员行车时打电话动作的检测，内置深度学习芯片。（含高清镜头、室外防护罩、防雷模块等）</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室外型高速球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视频分辨率≥2560×1440@30fps，摄像机靶面尺寸不小于1/1.8英寸；≥37倍光学变倍；标配雨刷；设备垂直旋转范围应达到 -35°~90°；支持自动和手动取证两种模式，自动或手动识别出监视画面中机动车辆信息并生成相应的违法图片，可通过客户端软件设置取证图片数量（1-6张可选）及抓拍图片间隔；支持区域屏蔽功能，最多可设置10个区域，该区域屏蔽对所有智能行为和违法行为的分析，支持对违章停车、掉头、压线、违法变道、逆行、机动车占用非机动车车道等行为进行抓拍并自动对目标车辆进行跟踪并识别。（含支架，抱箍，防雷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48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补光灯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白光气体爆闪，红外气体爆闪；支持红外/白光闪光，可自动切换红外和白光模式，闪光灯寿命≥1000万次。（如配有LED灯珠应为进口灯珠，支持LED频闪；含支架，抱箍）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206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智能终端管理设备</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最大支持16路高清视频，每路传输速率4mbps，嵌入式Linux操作系统/WEB方式，支持接入200万、700万、900万像素等分辨率的高清录像/2路报警输入/2路报警输出/ 4个内置SATA接口，标配硬盘容量≥4TB，最大可扩容至不少于16TB ，2个RJ45 100M/1000M自适应以太网口，16个RJ45 100M交换网络接口，1个1000M SFP光纤接口/220V±10% ，-20℃～+70℃。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传输设备A</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1个千兆光口、8个百兆电口,安装方式：工业导轨式。</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传输设备B</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光电混合型工业以太交换机，光口：</w:t>
            </w:r>
            <w:r>
              <w:rPr>
                <w:rFonts w:hint="eastAsia"/>
                <w:color w:val="000000" w:themeColor="text1"/>
                <w14:textFill>
                  <w14:solidFill>
                    <w14:schemeClr w14:val="tx1"/>
                  </w14:solidFill>
                </w14:textFill>
              </w:rPr>
              <w:t>≥5个千兆光口</w:t>
            </w:r>
            <w:r>
              <w:rPr>
                <w:rFonts w:hint="eastAsia"/>
                <w:color w:val="000000" w:themeColor="text1"/>
                <w14:textFill>
                  <w14:solidFill>
                    <w14:schemeClr w14:val="tx1"/>
                  </w14:solidFill>
                </w14:textFill>
              </w:rPr>
              <w:t>，电口：</w:t>
            </w:r>
            <w:r>
              <w:rPr>
                <w:rFonts w:hint="eastAsia"/>
                <w:color w:val="000000" w:themeColor="text1"/>
                <w14:textFill>
                  <w14:solidFill>
                    <w14:schemeClr w14:val="tx1"/>
                  </w14:solidFill>
                </w14:textFill>
              </w:rPr>
              <w:t>≥4个网口</w:t>
            </w:r>
            <w:r>
              <w:rPr>
                <w:rFonts w:hint="eastAsia"/>
                <w:color w:val="000000" w:themeColor="text1"/>
                <w14:textFill>
                  <w14:solidFill>
                    <w14:schemeClr w14:val="tx1"/>
                  </w14:solidFill>
                </w14:textFill>
              </w:rPr>
              <w:t>，安装方式：工业导轨式。</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9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信号检测器</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红/绿灯信号输入 可接入16路220V/AC红绿灯信号；红/绿灯信号检测 支持最多16个红/绿灯信号同时检测；拨码开关 1个五位拨码开关，用于参数设置； 1个RS232串口，用于系统升级； 4个RS485接口，用于信息交互；电源 1个电源接口，AC85-265V 50±2% Hz；电源开关 1个电源开关，位于后面板上；指示灯 1相电源指示灯，1个工作指标灯，16个检测指标灯；功耗 &lt;3W；使用工作温度 -30℃~+70℃；使用湿度 10%-95%。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根据实际需求配置</w:t>
            </w: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L型立杆A</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八棱镀锌≥6.5M竖杆；立杆壁厚≥6mm；横杆4-7M；前端杆件贴反光材料，顶部带红黄绿三色防水帽；具体详见设计图纸。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L型立杆B</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八棱镀锌≥6.5M竖杆；立杆壁厚≥8mm；横杆8-12M；前端杆件贴反光材料，顶部带红黄绿三色防水帽；具体详见设计图纸。。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八棱镀锌≥6.5M竖杆；立杆壁厚≥8mm；横杆13-15M；前端杆件贴反光材料，顶部带红黄绿三色防水帽；具体详见设计图纸。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T型立杆</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w:t>
            </w:r>
            <w:r>
              <w:rPr>
                <w:rFonts w:hint="eastAsia"/>
                <w:color w:val="000000" w:themeColor="text1"/>
                <w14:textFill>
                  <w14:solidFill>
                    <w14:schemeClr w14:val="tx1"/>
                  </w14:solidFill>
                </w14:textFill>
              </w:rPr>
              <w:t>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杆件移位</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立杆基础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291.864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抱杆机箱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电警控制箱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电警系统路口机箱，采用2mm热镀锌钢板，含2P空开10路，单路电流30A。带GPS模块，远程控制电源开关，内部监控。含箱体运输、基础浇筑现场安装调试。</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电警控制箱基础件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电警控制箱基础浇筑</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6.912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窨井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133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三、卡口监控设备</w:t>
            </w:r>
          </w:p>
        </w:tc>
      </w:tr>
      <w:tr>
        <w:tblPrEx>
          <w:tblLayout w:type="fixed"/>
          <w:tblCellMar>
            <w:top w:w="0" w:type="dxa"/>
            <w:left w:w="0" w:type="dxa"/>
            <w:bottom w:w="0" w:type="dxa"/>
            <w:right w:w="0" w:type="dxa"/>
          </w:tblCellMar>
        </w:tblPrEx>
        <w:trPr>
          <w:trHeight w:val="226"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1.匝道卡口监控设备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卡口一体化抓拍单元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摄像机像素：900W，感光器件：两个1英寸全局曝光</w:t>
            </w:r>
            <w:r>
              <w:rPr>
                <w:rFonts w:hint="eastAsia"/>
                <w:color w:val="000000" w:themeColor="text1"/>
                <w:lang w:eastAsia="zh-CN"/>
                <w14:textFill>
                  <w14:solidFill>
                    <w14:schemeClr w14:val="tx1"/>
                  </w14:solidFill>
                </w14:textFill>
              </w:rPr>
              <w:t>GMOS</w:t>
            </w:r>
            <w:r>
              <w:rPr>
                <w:rFonts w:hint="eastAsia"/>
                <w:color w:val="000000" w:themeColor="text1"/>
                <w14:textFill>
                  <w14:solidFill>
                    <w14:schemeClr w14:val="tx1"/>
                  </w14:solidFill>
                </w14:textFill>
              </w:rPr>
              <w:t>内置两个图像传感器（可分别或融合显示输出黑白及彩色图像）或1个GMOS传感器。相机可对视频图像和抓拍图片进行融合输出分辨率：最大支持4096*2160,视频帧率：在1～50fps可调;视频压缩支持H.265、H.264、M-JPEG、MPEG4；支持视场倾斜情况下的车辆特征识别，包括车牌、车身颜色、车型、车辆子品牌等；支持新能源车牌识别功能；可对扣取的人脸图片的像素大小、亮度、边框放大倍数进行调节，达到人脸比对的要求；支持未系安全带检测；支持驾驶员行车时打电话动作的检测，内置深度学习芯片。（含高清镜头、室外防护罩、防雷模块等）</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枪球</w:t>
            </w:r>
            <w:r>
              <w:rPr>
                <w:rFonts w:hint="eastAsia"/>
                <w:color w:val="000000" w:themeColor="text1"/>
                <w:lang w:eastAsia="zh-CN"/>
                <w14:textFill>
                  <w14:solidFill>
                    <w14:schemeClr w14:val="tx1"/>
                  </w14:solidFill>
                </w14:textFill>
              </w:rPr>
              <w:t>联动式</w:t>
            </w:r>
            <w:r>
              <w:rPr>
                <w:rFonts w:hint="eastAsia"/>
                <w:color w:val="000000" w:themeColor="text1"/>
                <w14:textFill>
                  <w14:solidFill>
                    <w14:schemeClr w14:val="tx1"/>
                  </w14:solidFill>
                </w14:textFill>
              </w:rPr>
              <w:t>监控设备</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用1球机+2枪机组成，内置高性能GPU模块组，枪球和枪机视频分辨率≥2560×1440@30fps；枪机靶面尺寸不小于1/1.8英寸，枪机≥4倍光学变倍；球机靶面尺寸不小于1/1.8英寸；球机≥37倍光学变倍；支持自动标定功能，实现枪机与球机之间检查区域的定位；设备支持对车辆实时建模比对，对黑白名单车辆进行布控跟踪，跟踪距离≥200米，跟踪过程中目标车辆的经纬度信息可以实施上传到中心平台；多个设备之间支持布控接力跟踪功能；支持对违章停车、掉头、压线、违法变道、逆行、机动车占用非机动车车道等行为进行抓拍并自动对目标车辆进行跟踪并识别。（含支架，抱箍，防雷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补光灯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白光气体爆闪，红外气体爆闪；支持红外/白光闪光，可自动切换红外和白光模式，闪光灯寿命≥1000万次。（如配有LED灯珠应为进口灯珠，支持LED频闪；含支架，抱箍）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L型立杆D</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副杆长度根据现场实际情况而定，副杆长度不小于2m,厚度不小于4mm；主杆长度不小于5.2m，厚度不小于6mm。热镀锌处理；详见设计图纸。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抱杆机箱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2.高架主线卡口监控设备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卡口一体化抓拍单元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摄像机像素：900W，感光器件：两个1英寸全局曝光</w:t>
            </w:r>
            <w:r>
              <w:rPr>
                <w:rFonts w:hint="eastAsia"/>
                <w:color w:val="000000" w:themeColor="text1"/>
                <w:lang w:eastAsia="zh-CN"/>
                <w14:textFill>
                  <w14:solidFill>
                    <w14:schemeClr w14:val="tx1"/>
                  </w14:solidFill>
                </w14:textFill>
              </w:rPr>
              <w:t>GMOS</w:t>
            </w:r>
            <w:r>
              <w:rPr>
                <w:rFonts w:hint="eastAsia"/>
                <w:color w:val="000000" w:themeColor="text1"/>
                <w14:textFill>
                  <w14:solidFill>
                    <w14:schemeClr w14:val="tx1"/>
                  </w14:solidFill>
                </w14:textFill>
              </w:rPr>
              <w:t>内置两个图像传感器（可分别或融合显示输出黑白及彩色图像）或1个GMOS传感器。相机可对视频图像和抓拍图片进行融合输出分辨率：最大支持4096*2160,视频帧率：在1～50fps可调;视频压缩支持H.265、H.264、M-JPEG、MPEG4；支持视场倾斜情况下的车辆特征识别，包括车牌、车身颜色、车型、车辆子品牌等；支持新能源车牌识别功能；可对扣取的人脸图片的像素大小、亮度、边框放大倍数进行调节，达到人脸比对的要求；支持未系安全带检测；支持驾驶员行车时打电话动作的检测，内置深度学习芯片。（含高清镜头、室外防护罩、防雷模块等）</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室外型高速球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视频分辨率≥2560×1440@30fps，摄像机靶面尺寸不小于1/1.8英寸；≥37倍光学变倍；标配雨刷；设备垂直旋转范围应达到 -35°~90°；支持自动和手动取证两种模式，自动或手动识别出监视画面中机动车辆信息并生成相应的违法图片，可通过客户端软件设置取证图片数量（1-6张可选）及抓拍图片间隔；支持区域屏蔽功能，最多可设置10个区域，该区域屏蔽对所有智能行为和违法行为的分析，支持对违章停车、掉头、压线、违法变道、逆行、机动车占用非机动车车道等行为进行抓拍并自动对目标车辆进行跟踪并识别。（含支架，抱箍，防雷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补光灯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白光气体爆闪，红外气体爆闪；支持红外/白光闪光，可自动切换红外和白光模式，闪光灯寿命≥1000万次。（如配有LED灯珠应为进口灯珠，支持LED频闪；含支架，抱箍）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抱杆机箱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87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四、交通监视设备</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87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1.高架枪球一体监控设备</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枪球</w:t>
            </w:r>
            <w:r>
              <w:rPr>
                <w:rFonts w:hint="eastAsia"/>
                <w:color w:val="000000" w:themeColor="text1"/>
                <w:lang w:eastAsia="zh-CN"/>
                <w14:textFill>
                  <w14:solidFill>
                    <w14:schemeClr w14:val="tx1"/>
                  </w14:solidFill>
                </w14:textFill>
              </w:rPr>
              <w:t>联动式</w:t>
            </w:r>
            <w:r>
              <w:rPr>
                <w:rFonts w:hint="eastAsia"/>
                <w:color w:val="000000" w:themeColor="text1"/>
                <w14:textFill>
                  <w14:solidFill>
                    <w14:schemeClr w14:val="tx1"/>
                  </w14:solidFill>
                </w14:textFill>
              </w:rPr>
              <w:t>监控设备</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用1球机+2枪机组成，内置高性能GPU模块组，枪球和枪机视频分辨率≥2560×1440@30fps；枪机靶面尺寸不小于1/1.8英寸，枪机≥4倍光学变倍；球机靶面尺寸不小于1/1.8英寸；球机≥37倍光学变倍；支持自动标定功能，实现枪机与球机之间检查区域的定位；设备支持对车辆实时建模比对，对黑白名单车辆进行布控跟踪，跟踪距离≥200米，跟踪过程中目标车辆的经纬度信息可以实施上传到中心平台；多个设备之间支持布控接力跟踪功能；支持对违章停车、掉头、压线、违法变道、逆行、机动车占用非机动车车道等行为进行抓拍并自动对目标车辆进行跟踪并识别。（含支架，抱箍，防雷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抱杆机箱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2.地面枪球一体监控设备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枪球</w:t>
            </w:r>
            <w:r>
              <w:rPr>
                <w:rFonts w:hint="eastAsia"/>
                <w:color w:val="000000" w:themeColor="text1"/>
                <w:lang w:eastAsia="zh-CN"/>
                <w14:textFill>
                  <w14:solidFill>
                    <w14:schemeClr w14:val="tx1"/>
                  </w14:solidFill>
                </w14:textFill>
              </w:rPr>
              <w:t>联动式</w:t>
            </w:r>
            <w:r>
              <w:rPr>
                <w:rFonts w:hint="eastAsia"/>
                <w:color w:val="000000" w:themeColor="text1"/>
                <w14:textFill>
                  <w14:solidFill>
                    <w14:schemeClr w14:val="tx1"/>
                  </w14:solidFill>
                </w14:textFill>
              </w:rPr>
              <w:t>监控设备</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采用1球机+2枪机组成，内置高性能GPU模块组，枪球和枪机视频分辨率≥2560×1440@30fps；枪机靶面尺寸不小于1/1.8英寸，枪机≥4倍光学变倍；球机靶面尺寸不小于1/1.8英寸；球机≥37倍光学变倍；支持自动标定功能，实现枪机与球机之间检查区域的定位；设备支持对车辆实时建模比对，对黑白名单车辆进行布控跟踪，跟踪距离≥200米，跟踪过程中目标车辆的经纬度信息可以实施上传到中心平台；多个设备之间支持布控接力跟踪功能；支持对违章停车、掉头、压线、违法变道、逆行、机动车占用非机动车车道等行为进行抓拍并自动对目标车辆进行跟踪并识别。（含支架，抱箍，防雷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抱杆机箱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L型立杆A</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八棱镀锌≥6.5M竖杆；立杆壁厚≥6mm；横杆4-7M；前端杆件贴反光材料；具体详见设计图纸。 </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窨井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60.75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3、制高点监控设备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14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制高点高清球机</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1600万360°全景一体式网络高清摄像机，全景摄像机有8个1/1.8" 2MP Progressive Scan CMOS，最高分辨率及帧率可达4096×1800@30fps，星光级超低照度，0.0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Lux/F2.2（彩色），0.00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Lux/F2.2（黑白）；特写摄像机采用1/2.8" 2MP Progressive Scan CMOS，最高分辨率及帧率可达1920×1080@30fps，水平360°连续旋转，垂直-15°-90°（自动翻转），星光级超低照度，0.00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Lux/F1.5（彩色），0.00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Lux/F1.5（黑白），≥</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00m红外照射距离，≥</w:t>
            </w:r>
            <w:r>
              <w:rPr>
                <w:rFonts w:hint="eastAsia"/>
                <w:color w:val="000000" w:themeColor="text1"/>
                <w:lang w:val="en-US" w:eastAsia="zh-CN"/>
                <w14:textFill>
                  <w14:solidFill>
                    <w14:schemeClr w14:val="tx1"/>
                  </w14:solidFill>
                </w14:textFill>
              </w:rPr>
              <w:t>37</w:t>
            </w:r>
            <w:r>
              <w:rPr>
                <w:rFonts w:hint="eastAsia"/>
                <w:color w:val="000000" w:themeColor="text1"/>
                <w14:textFill>
                  <w14:solidFill>
                    <w14:schemeClr w14:val="tx1"/>
                  </w14:solidFill>
                </w14:textFill>
              </w:rPr>
              <w:t>倍光学变倍，支持光学防抖功能；支持区域入侵、越界、进入区域、离开区域事件侦测功能；系统支持检测直径300米180°半圆形范围内运动目标，可同时检测60个目标；系统支持点击联动功能、目标自动跟踪功能、手动跟踪功能；支持强光抑制、3D数字降噪；系统支持在摄像机的实时视频画面中添加最多500个AR标签，且可实现标签与标签联动的功能。</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视频接入交警局指定平台</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抱杆机箱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高空杆件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副杆长度根据现场实际情况而定，直径不小于Φ75.7mm，厚度不小于3mm；主杆长度根据现场实际情况而定，直径不小于Φ88.5mm，厚度不小于3mm；主杆与安装位置内墙使用规格不小于150mm*Φ16mm的膨胀螺栓固定；墙面与主杆、主杆与副杆间使用壁厚不小于4mm的镀锌钢板焊接；并在墙面上安装不小于40*4mm的抱箍固定副杆；杆件热镀锌并做好防锈工作。</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五、固定式测速设备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雷达测速仪</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详见固定式测速设备功能要求。</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1022"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固定测速仪机箱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内置强电模块，能够容纳交换机、光纤收发器等；机柜采用主体焊接；门锁采用户外机柜防水锁；机柜采用柱装安装方式，具有防虫、防鼠功效；为保证拍摄质量，测速箱体可根据需要调整角度。</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14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测速车牌车速提示牌</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【雷达】参数</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最大分辨率：最大支持 2712 × 1536；视频帧率 25fps,支持双码流，支持H.264/H.265视频压缩编标；最小照度（彩色）0.1Lux@(F1.2,AGC ON)，最小照度（黑白） 0.01Lux @(F1.2,AGC ON)；支持机动车目标检测、识别，支持新能源车牌、无牌车识别；≥1 个RJ45 100M /1000M自适应以太网口；防护等级：IP66；支持正装、路侧安装。</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【测速反馈仪】参数</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产品尺寸：1120mm*1800mm*100mm</w:t>
            </w:r>
            <w:r>
              <w:rPr>
                <w:rFonts w:hint="eastAsia"/>
                <w:color w:val="000000" w:themeColor="text1"/>
                <w:lang w:eastAsia="zh-CN"/>
                <w14:textFill>
                  <w14:solidFill>
                    <w14:schemeClr w14:val="tx1"/>
                  </w14:solidFill>
                </w14:textFill>
              </w:rPr>
              <w:t>，允许</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5%偏差</w:t>
            </w:r>
            <w:r>
              <w:rPr>
                <w:rFonts w:hint="eastAsia"/>
                <w:color w:val="000000" w:themeColor="text1"/>
                <w14:textFill>
                  <w14:solidFill>
                    <w14:schemeClr w14:val="tx1"/>
                  </w14:solidFill>
                </w14:textFill>
              </w:rPr>
              <w:t>；外壳材质：铝板折边、表面喷塑贴反光膜；工作电压：AC 220V±44V，50Hz；总功率：≤25W ；通讯接口：RJ45接口；测速显示数值：红199～1；绿199～1；LED中心亮度：红&gt;5000 cd/㎡；黄&gt;5000 cd/㎡ ；绿&gt;5000 cd/㎡；LED波长：红:628nm±1nm；黄:590nm±1nm；绿:505nm±1nm；单管电流：≤20mA；LED寿命：≥100000小时；反光膜等级：3级，反光膜寿命：≥10年  ；可视距离：≥500m，可视角度：&gt;30°；防护等级：IP53；重量：≤80KG。</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【车牌显示单元】参数</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像素：96*32，像素组成：1R1G，点间距：10mm；文字内容</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可显示红、黄、绿三种颜色的任意文字；模组亮度：4500-5000cd/㎡；水平可视角度：110°±10°；垂直可视角度：60°±10°；最佳观看距离：10-100m；平均无故障时间：≥10000小时；使用寿命：≥100000小时；盲点率：小于万分之一，出厂无盲点。</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测速箱、闪光灯、车速提示牌杆件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立杆杆件φ114×6mm；高度≥1500mm;杆件应经酸洗除锈，表面热镀锌处理，详见设计图纸。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闪光灯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测速仪专用爆闪灯，适用于蓄电池单独供电接口；覆盖范围：侧装三车道回电时间：＜67ms；有效补光距离：16m～25m；寿命：≥2000万次；防护等级：IP65；要求符合GA/T1202-2014《交通技术监控成像补光装置通用技术规范》标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窨井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基础施工</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17.8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六、交通信息屏设备</w:t>
            </w: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1、主线龙门架LED交通信息屏</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615"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LED条屏</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显示尺寸：≥1m×10m；点间距：1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㎜；显示颜色：双基色；亮度：≥8000cd/㎡ ；扫描方式：静态；箱体材料：冷轧钢板，双层门；视距：图形≥200m，文字≥150m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衰减率：运行3年后≤30%；亮度调节：手动/自动</w:t>
            </w:r>
            <w:r>
              <w:rPr>
                <w:color w:val="000000" w:themeColor="text1"/>
                <w14:textFill>
                  <w14:solidFill>
                    <w14:schemeClr w14:val="tx1"/>
                  </w14:solidFill>
                </w14:textFill>
              </w:rPr>
              <w:t>32</w:t>
            </w:r>
            <w:r>
              <w:rPr>
                <w:rFonts w:hint="eastAsia"/>
                <w:color w:val="000000" w:themeColor="text1"/>
                <w14:textFill>
                  <w14:solidFill>
                    <w14:schemeClr w14:val="tx1"/>
                  </w14:solidFill>
                </w14:textFill>
              </w:rPr>
              <w:t>级；</w:t>
            </w:r>
            <w:r>
              <w:rPr>
                <w:rFonts w:hint="eastAsia"/>
                <w:color w:val="000000" w:themeColor="text1"/>
                <w:lang w:val="zh-CN"/>
                <w14:textFill>
                  <w14:solidFill>
                    <w14:schemeClr w14:val="tx1"/>
                  </w14:solidFill>
                </w14:textFill>
              </w:rPr>
              <w:t>交流功耗：显示全屏黄色，亮度为</w:t>
            </w:r>
            <w:r>
              <w:rPr>
                <w:rFonts w:hint="eastAsia"/>
                <w:color w:val="000000" w:themeColor="text1"/>
                <w14:textFill>
                  <w14:solidFill>
                    <w14:schemeClr w14:val="tx1"/>
                  </w14:solidFill>
                </w14:textFill>
              </w:rPr>
              <w:t>8000cd/㎡时，功耗≤</w:t>
            </w:r>
            <w:r>
              <w:rPr>
                <w:color w:val="000000" w:themeColor="text1"/>
                <w14:textFill>
                  <w14:solidFill>
                    <w14:schemeClr w14:val="tx1"/>
                  </w14:solidFill>
                </w14:textFill>
              </w:rPr>
              <w:t>30</w:t>
            </w:r>
            <w:r>
              <w:rPr>
                <w:rFonts w:hint="eastAsia"/>
                <w:color w:val="000000" w:themeColor="text1"/>
                <w:lang w:val="zh-CN"/>
                <w14:textFill>
                  <w14:solidFill>
                    <w14:schemeClr w14:val="tx1"/>
                  </w14:solidFill>
                </w14:textFill>
              </w:rPr>
              <w:t>0W/</w:t>
            </w:r>
            <w:r>
              <w:rPr>
                <w:rFonts w:hint="eastAsia"/>
                <w:color w:val="000000" w:themeColor="text1"/>
                <w14:textFill>
                  <w14:solidFill>
                    <w14:schemeClr w14:val="tx1"/>
                  </w14:solidFill>
                </w14:textFill>
              </w:rPr>
              <w:t>㎡；温度：-</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0℃～+50℃；湿度：</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%～90%；设备的平均无故障时间：≥10000小时；电力：AC220V（或AC380）±15%，50Hz</w:t>
            </w:r>
            <w:r>
              <w:rPr>
                <w:rFonts w:hint="eastAsia"/>
                <w:color w:val="000000" w:themeColor="text1"/>
                <w14:textFill>
                  <w14:solidFill>
                    <w14:schemeClr w14:val="tx1"/>
                  </w14:solidFill>
                </w14:textFill>
              </w:rPr>
              <w:sym w:font="Symbol" w:char="00B1"/>
            </w:r>
            <w:r>
              <w:rPr>
                <w:rFonts w:hint="eastAsia"/>
                <w:color w:val="000000" w:themeColor="text1"/>
                <w14:textFill>
                  <w14:solidFill>
                    <w14:schemeClr w14:val="tx1"/>
                  </w14:solidFill>
                </w14:textFill>
              </w:rPr>
              <w:t>3Hz ；LED采用恒电流驱动，具有过流保护功能；箱体结构：机箱全密封，防晒、</w:t>
            </w:r>
            <w:r>
              <w:rPr>
                <w:rFonts w:hint="eastAsia"/>
                <w:color w:val="000000" w:themeColor="text1"/>
                <w:lang w:val="zh-CN"/>
                <w14:textFill>
                  <w14:solidFill>
                    <w14:schemeClr w14:val="tx1"/>
                  </w14:solidFill>
                </w14:textFill>
              </w:rPr>
              <w:t>防水、防尘</w:t>
            </w:r>
            <w:r>
              <w:rPr>
                <w:rFonts w:hint="eastAsia"/>
                <w:color w:val="000000" w:themeColor="text1"/>
                <w14:textFill>
                  <w14:solidFill>
                    <w14:schemeClr w14:val="tx1"/>
                  </w14:solidFill>
                </w14:textFill>
              </w:rPr>
              <w:t>；防护等级：IP65；抗风速：40m/s；</w:t>
            </w:r>
            <w:r>
              <w:rPr>
                <w:rFonts w:hint="eastAsia"/>
                <w:color w:val="000000" w:themeColor="text1"/>
                <w:lang w:val="zh-CN"/>
                <w14:textFill>
                  <w14:solidFill>
                    <w14:schemeClr w14:val="tx1"/>
                  </w14:solidFill>
                </w14:textFill>
              </w:rPr>
              <w:t>维护方式：背后维护。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12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控制器</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机柜、20KW配电系统及诱导屏控制系统于一体，含远程上电系统、开启开关、电源防雷、网络防雷等强电部分，含LED屏多功能卡、发送卡控制部分，可接入光敏探头用于自动控制屏体亮度；</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发布信息：支持通过网络发送视频、图片及文字到诱导屏；</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支持通过网络远程升级;支持远程上电系统;支持通过手柄切换自动控制及手动控制；集成三相20KW开关，支持AC220V及380V三相电输入；工作环境：温度：-20℃～+50℃；湿度：10%～90%；支持诺瓦协议。</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配电单元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高可靠容错的开关电源系统。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龙门架杆件与预埋件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9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杆件基础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窨井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rFonts w:hint="eastAsia"/>
                <w:b/>
                <w:bCs/>
                <w:color w:val="000000" w:themeColor="text1"/>
                <w:szCs w:val="21"/>
                <w14:textFill>
                  <w14:solidFill>
                    <w14:schemeClr w14:val="tx1"/>
                  </w14:solidFill>
                </w14:textFill>
              </w:rPr>
              <w:t>匝</w:t>
            </w:r>
            <w:r>
              <w:rPr>
                <w:rFonts w:hint="eastAsia" w:asciiTheme="minorEastAsia" w:hAnsiTheme="minorEastAsia" w:eastAsiaTheme="minorEastAsia" w:cstheme="minorEastAsia"/>
                <w:b/>
                <w:bCs/>
                <w:color w:val="000000" w:themeColor="text1"/>
                <w:szCs w:val="21"/>
                <w14:textFill>
                  <w14:solidFill>
                    <w14:schemeClr w14:val="tx1"/>
                  </w14:solidFill>
                </w14:textFill>
              </w:rPr>
              <w:t>道龙门架LED</w:t>
            </w:r>
            <w:r>
              <w:rPr>
                <w:rFonts w:hint="eastAsia"/>
                <w:b/>
                <w:bCs/>
                <w:color w:val="000000" w:themeColor="text1"/>
                <w:szCs w:val="21"/>
                <w14:textFill>
                  <w14:solidFill>
                    <w14:schemeClr w14:val="tx1"/>
                  </w14:solidFill>
                </w14:textFill>
              </w:rPr>
              <w:t>交通信息屏</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12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LED条屏</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显示尺寸：≥1.m×6m；点间距：1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㎜；显示颜色：双基色；亮度：≥8000cd/㎡ ；扫描方式：静态；</w:t>
            </w:r>
          </w:p>
          <w:p>
            <w:pPr>
              <w:pStyle w:val="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箱体材料：冷轧钢板，双层门；视距：图形≥200m，文字≥150m</w:t>
            </w:r>
            <w:r>
              <w:rPr>
                <w:color w:val="000000" w:themeColor="text1"/>
                <w14:textFill>
                  <w14:solidFill>
                    <w14:schemeClr w14:val="tx1"/>
                  </w14:solidFill>
                </w14:textFill>
              </w:rPr>
              <w:t>;</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衰减率：运行3年后≤30%；亮度调节：手动/自动</w:t>
            </w:r>
            <w:r>
              <w:rPr>
                <w:color w:val="000000" w:themeColor="text1"/>
                <w14:textFill>
                  <w14:solidFill>
                    <w14:schemeClr w14:val="tx1"/>
                  </w14:solidFill>
                </w14:textFill>
              </w:rPr>
              <w:t>32</w:t>
            </w:r>
            <w:r>
              <w:rPr>
                <w:rFonts w:hint="eastAsia"/>
                <w:color w:val="000000" w:themeColor="text1"/>
                <w14:textFill>
                  <w14:solidFill>
                    <w14:schemeClr w14:val="tx1"/>
                  </w14:solidFill>
                </w14:textFill>
              </w:rPr>
              <w:t>级；</w:t>
            </w:r>
            <w:r>
              <w:rPr>
                <w:rFonts w:hint="eastAsia"/>
                <w:color w:val="000000" w:themeColor="text1"/>
                <w:lang w:val="zh-CN"/>
                <w14:textFill>
                  <w14:solidFill>
                    <w14:schemeClr w14:val="tx1"/>
                  </w14:solidFill>
                </w14:textFill>
              </w:rPr>
              <w:t>交流功耗：显示全屏黄色，亮度为</w:t>
            </w:r>
            <w:r>
              <w:rPr>
                <w:rFonts w:hint="eastAsia"/>
                <w:color w:val="000000" w:themeColor="text1"/>
                <w14:textFill>
                  <w14:solidFill>
                    <w14:schemeClr w14:val="tx1"/>
                  </w14:solidFill>
                </w14:textFill>
              </w:rPr>
              <w:t>8000cd/㎡时，功耗≤</w:t>
            </w:r>
            <w:r>
              <w:rPr>
                <w:color w:val="000000" w:themeColor="text1"/>
                <w14:textFill>
                  <w14:solidFill>
                    <w14:schemeClr w14:val="tx1"/>
                  </w14:solidFill>
                </w14:textFill>
              </w:rPr>
              <w:t>30</w:t>
            </w:r>
            <w:r>
              <w:rPr>
                <w:rFonts w:hint="eastAsia"/>
                <w:color w:val="000000" w:themeColor="text1"/>
                <w:lang w:val="zh-CN"/>
                <w14:textFill>
                  <w14:solidFill>
                    <w14:schemeClr w14:val="tx1"/>
                  </w14:solidFill>
                </w14:textFill>
              </w:rPr>
              <w:t>0W</w:t>
            </w:r>
            <w:r>
              <w:rPr>
                <w:rFonts w:hint="eastAsia"/>
                <w:color w:val="000000" w:themeColor="text1"/>
                <w14:textFill>
                  <w14:solidFill>
                    <w14:schemeClr w14:val="tx1"/>
                  </w14:solidFill>
                </w14:textFill>
              </w:rPr>
              <w:t>㎡;温度：-</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0℃～+50℃；湿度：</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%～90%；设备的平均无故障时间：≥10000小时；电力：AC220V（或AC380）±15%，50Hz</w:t>
            </w:r>
            <w:r>
              <w:rPr>
                <w:rFonts w:hint="eastAsia"/>
                <w:color w:val="000000" w:themeColor="text1"/>
                <w14:textFill>
                  <w14:solidFill>
                    <w14:schemeClr w14:val="tx1"/>
                  </w14:solidFill>
                </w14:textFill>
              </w:rPr>
              <w:sym w:font="Symbol" w:char="00B1"/>
            </w:r>
            <w:r>
              <w:rPr>
                <w:rFonts w:hint="eastAsia"/>
                <w:color w:val="000000" w:themeColor="text1"/>
                <w14:textFill>
                  <w14:solidFill>
                    <w14:schemeClr w14:val="tx1"/>
                  </w14:solidFill>
                </w14:textFill>
              </w:rPr>
              <w:t>3Hz ；LED采用恒电流驱动，具有过流保护功能；箱体结构：机箱全密封，防晒、</w:t>
            </w:r>
            <w:r>
              <w:rPr>
                <w:rFonts w:hint="eastAsia"/>
                <w:color w:val="000000" w:themeColor="text1"/>
                <w:lang w:val="zh-CN"/>
                <w14:textFill>
                  <w14:solidFill>
                    <w14:schemeClr w14:val="tx1"/>
                  </w14:solidFill>
                </w14:textFill>
              </w:rPr>
              <w:t>防水、防尘</w:t>
            </w:r>
            <w:r>
              <w:rPr>
                <w:rFonts w:hint="eastAsia"/>
                <w:color w:val="000000" w:themeColor="text1"/>
                <w14:textFill>
                  <w14:solidFill>
                    <w14:schemeClr w14:val="tx1"/>
                  </w14:solidFill>
                </w14:textFill>
              </w:rPr>
              <w:t>；防护等级：IP65；抗风速：40m/s；</w:t>
            </w:r>
            <w:r>
              <w:rPr>
                <w:rFonts w:hint="eastAsia"/>
                <w:color w:val="000000" w:themeColor="text1"/>
                <w:lang w:val="zh-CN"/>
                <w14:textFill>
                  <w14:solidFill>
                    <w14:schemeClr w14:val="tx1"/>
                  </w14:solidFill>
                </w14:textFill>
              </w:rPr>
              <w:t>维护方式：背后维护。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控制器</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机柜、20KW配电系统及诱导屏控制系统于一体，含远程上电系统、开启开关、电源防雷、网络防雷等强电部分，含LED屏多功能卡、发送卡控制部分，可接入光敏探头用于自动控制屏体亮度；发布信息：支持通过网络发送视频、图片及文字到诱导屏；支持通过网络远程升级;支持远程上电系统;支持通过手柄切换自动控制及手动控制；集成三相20KW开关，支持AC220V及380V三相电输入；工作环境：温度：-20℃～+50℃；湿度：10%～90%；支持诺瓦协议。</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配电单元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高可靠容错的开关电源系统。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龙门架杆件与预埋件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杆件基础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窨井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rFonts w:hint="eastAsia" w:asciiTheme="minorEastAsia" w:hAnsiTheme="minorEastAsia" w:eastAsiaTheme="minorEastAsia" w:cstheme="minorEastAsia"/>
                <w:b/>
                <w:color w:val="000000" w:themeColor="text1"/>
                <w:sz w:val="24"/>
                <w14:textFill>
                  <w14:solidFill>
                    <w14:schemeClr w14:val="tx1"/>
                  </w14:solidFill>
                </w14:textFill>
              </w:rPr>
              <w:t>道路LED</w:t>
            </w:r>
            <w:r>
              <w:rPr>
                <w:rFonts w:hint="eastAsia"/>
                <w:b/>
                <w:color w:val="000000" w:themeColor="text1"/>
                <w14:textFill>
                  <w14:solidFill>
                    <w14:schemeClr w14:val="tx1"/>
                  </w14:solidFill>
                </w14:textFill>
              </w:rPr>
              <w:t>交通信息屏（F型）</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14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LED诱导屏（F型）</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显示尺寸：</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3.37m*4.49</w:t>
            </w:r>
            <w:r>
              <w:rPr>
                <w:rFonts w:hint="eastAsia"/>
                <w:color w:val="000000" w:themeColor="text1"/>
                <w14:textFill>
                  <w14:solidFill>
                    <w14:schemeClr w14:val="tx1"/>
                  </w14:solidFill>
                </w14:textFill>
              </w:rPr>
              <w:t>m；</w:t>
            </w:r>
            <w:r>
              <w:rPr>
                <w:rFonts w:hint="eastAsia"/>
                <w:color w:val="000000" w:themeColor="text1"/>
                <w14:textFill>
                  <w14:solidFill>
                    <w14:schemeClr w14:val="tx1"/>
                  </w14:solidFill>
                </w14:textFill>
              </w:rPr>
              <w:t>点间距：1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㎜；显示颜色：全彩；亮度：≥8000cd/㎡ ；扫描方式：1/4扫；</w:t>
            </w:r>
          </w:p>
          <w:p>
            <w:pPr>
              <w:pStyle w:val="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箱体材料：冷轧钢板，双层门；视距：图形≥200m，文字≥150m</w:t>
            </w:r>
            <w:r>
              <w:rPr>
                <w:color w:val="000000" w:themeColor="text1"/>
                <w14:textFill>
                  <w14:solidFill>
                    <w14:schemeClr w14:val="tx1"/>
                  </w14:solidFill>
                </w14:textFill>
              </w:rPr>
              <w:t>;</w:t>
            </w:r>
          </w:p>
          <w:p>
            <w:pPr>
              <w:pStyle w:val="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衰减率：运行3年后≤30%；亮度调节：手动/自动</w:t>
            </w:r>
            <w:r>
              <w:rPr>
                <w:color w:val="000000" w:themeColor="text1"/>
                <w14:textFill>
                  <w14:solidFill>
                    <w14:schemeClr w14:val="tx1"/>
                  </w14:solidFill>
                </w14:textFill>
              </w:rPr>
              <w:t>32</w:t>
            </w:r>
            <w:r>
              <w:rPr>
                <w:rFonts w:hint="eastAsia"/>
                <w:color w:val="000000" w:themeColor="text1"/>
                <w14:textFill>
                  <w14:solidFill>
                    <w14:schemeClr w14:val="tx1"/>
                  </w14:solidFill>
                </w14:textFill>
              </w:rPr>
              <w:t>级；</w:t>
            </w:r>
            <w:r>
              <w:rPr>
                <w:rFonts w:hint="eastAsia"/>
                <w:color w:val="000000" w:themeColor="text1"/>
                <w:lang w:val="zh-CN"/>
                <w14:textFill>
                  <w14:solidFill>
                    <w14:schemeClr w14:val="tx1"/>
                  </w14:solidFill>
                </w14:textFill>
              </w:rPr>
              <w:t>交流功耗：亮度为</w:t>
            </w:r>
            <w:r>
              <w:rPr>
                <w:rFonts w:hint="eastAsia"/>
                <w:color w:val="000000" w:themeColor="text1"/>
                <w14:textFill>
                  <w14:solidFill>
                    <w14:schemeClr w14:val="tx1"/>
                  </w14:solidFill>
                </w14:textFill>
              </w:rPr>
              <w:t>8000cd/㎡时，功耗≤</w:t>
            </w:r>
            <w:r>
              <w:rPr>
                <w:color w:val="000000" w:themeColor="text1"/>
                <w14:textFill>
                  <w14:solidFill>
                    <w14:schemeClr w14:val="tx1"/>
                  </w14:solidFill>
                </w14:textFill>
              </w:rPr>
              <w:t>30</w:t>
            </w:r>
            <w:r>
              <w:rPr>
                <w:rFonts w:hint="eastAsia"/>
                <w:color w:val="000000" w:themeColor="text1"/>
                <w:lang w:val="zh-CN"/>
                <w14:textFill>
                  <w14:solidFill>
                    <w14:schemeClr w14:val="tx1"/>
                  </w14:solidFill>
                </w14:textFill>
              </w:rPr>
              <w:t>0W/</w:t>
            </w:r>
            <w:r>
              <w:rPr>
                <w:rFonts w:hint="eastAsia"/>
                <w:color w:val="000000" w:themeColor="text1"/>
                <w14:textFill>
                  <w14:solidFill>
                    <w14:schemeClr w14:val="tx1"/>
                  </w14:solidFill>
                </w14:textFill>
              </w:rPr>
              <w:t>㎡;温度：-</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0℃～+50℃；</w:t>
            </w:r>
          </w:p>
          <w:p>
            <w:pPr>
              <w:pStyle w:val="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湿度：</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%～90%；设备的平均无故障时间：≥10000小时；电力：AC220V（或AC380）±15%，50Hz</w:t>
            </w:r>
            <w:r>
              <w:rPr>
                <w:rFonts w:hint="eastAsia"/>
                <w:color w:val="000000" w:themeColor="text1"/>
                <w14:textFill>
                  <w14:solidFill>
                    <w14:schemeClr w14:val="tx1"/>
                  </w14:solidFill>
                </w14:textFill>
              </w:rPr>
              <w:sym w:font="Symbol" w:char="00B1"/>
            </w:r>
            <w:r>
              <w:rPr>
                <w:rFonts w:hint="eastAsia"/>
                <w:color w:val="000000" w:themeColor="text1"/>
                <w14:textFill>
                  <w14:solidFill>
                    <w14:schemeClr w14:val="tx1"/>
                  </w14:solidFill>
                </w14:textFill>
              </w:rPr>
              <w:t>3Hz ；LED采用恒电流驱动，具有过流保护功能；箱体结构：机箱全密封，防晒、</w:t>
            </w:r>
            <w:r>
              <w:rPr>
                <w:rFonts w:hint="eastAsia"/>
                <w:color w:val="000000" w:themeColor="text1"/>
                <w:lang w:val="zh-CN"/>
                <w14:textFill>
                  <w14:solidFill>
                    <w14:schemeClr w14:val="tx1"/>
                  </w14:solidFill>
                </w14:textFill>
              </w:rPr>
              <w:t>防水、防尘</w:t>
            </w:r>
            <w:r>
              <w:rPr>
                <w:rFonts w:hint="eastAsia"/>
                <w:color w:val="000000" w:themeColor="text1"/>
                <w14:textFill>
                  <w14:solidFill>
                    <w14:schemeClr w14:val="tx1"/>
                  </w14:solidFill>
                </w14:textFill>
              </w:rPr>
              <w:t>；</w:t>
            </w:r>
          </w:p>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防护等级：IP65；抗风速：40m/s；</w:t>
            </w:r>
            <w:r>
              <w:rPr>
                <w:rFonts w:hint="eastAsia"/>
                <w:color w:val="000000" w:themeColor="text1"/>
                <w:lang w:val="zh-CN"/>
                <w14:textFill>
                  <w14:solidFill>
                    <w14:schemeClr w14:val="tx1"/>
                  </w14:solidFill>
                </w14:textFill>
              </w:rPr>
              <w:t>维护方式：背后维护。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控制器</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机柜、20KW配电系统及诱导屏控制系统于一体，含远程上电系统、开启开关、电源防雷、网络防雷等强电部分，含诱导屏多功能卡、发送卡控制部分，可接入光敏探头用于自动控制屏体亮度；发布信息：支持通过网络发送视频、图片及文字到诱导屏；支持通过网络远程升级;支持远程上电系统;支持通过手柄切换自动控制及手动控制；集成三相20KW开关，支持AC220V及380V三相电输入；工作环境：温度：-20℃～+50℃；湿度：10%～90%；支持诺瓦协议。</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配电单元</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高可靠容错的开关电源系统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杆件与预埋件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杆件基础</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立方米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102.384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窨井</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32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4、原有交安工程建设的10套LED</w:t>
            </w:r>
            <w:r>
              <w:rPr>
                <w:rFonts w:hint="eastAsia"/>
                <w:b/>
                <w:color w:val="000000" w:themeColor="text1"/>
                <w14:textFill>
                  <w14:solidFill>
                    <w14:schemeClr w14:val="tx1"/>
                  </w14:solidFill>
                </w14:textFill>
              </w:rPr>
              <w:t>交通信息屏</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b/>
                <w:color w:val="000000" w:themeColor="text1"/>
                <w14:textFill>
                  <w14:solidFill>
                    <w14:schemeClr w14:val="tx1"/>
                  </w14:solidFill>
                </w14:textFill>
              </w:rPr>
              <w:t>交通信息屏接入及配置设备</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含接入设备（支持诺瓦协议）、传输链路、软件开发等</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七、微波流量检测设备</w:t>
            </w: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微波雷达车辆检测器</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可跟踪≥100个目标，检测目标的即时位置和即时速度；检测范围：来车方向最大检测区域≥200米，同时检测≥6 个车道；检测≥4个断面；可检测范围内事件，车流量，车辆排队长度信息；内置高清摄像头模块，同时支持正向或侧向安装。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接入交警局指定平台</w:t>
            </w:r>
          </w:p>
        </w:tc>
      </w:tr>
      <w:tr>
        <w:tblPrEx>
          <w:tblLayout w:type="fixed"/>
          <w:tblCellMar>
            <w:top w:w="0" w:type="dxa"/>
            <w:left w:w="0" w:type="dxa"/>
            <w:bottom w:w="0" w:type="dxa"/>
            <w:right w:w="0"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抱杆机箱</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传输设备A</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1个千兆光口、8个百兆电口,安装方式：工业导轨式。</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传输设备B</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光口：5个千兆光口，电口：4个网口；安装方式：工业导轨式。</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传输设备C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用于前端路口管理型，≥2个千兆光口，≥ 2个百兆电口，可通过telnet远程管理，支持vlan、LLDP、ACL、QoS，支持STP、RSTP、MSTP。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rPr>
        <w:tc>
          <w:tcPr>
            <w:tcW w:w="9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八、其他材料</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Layout w:type="fixed"/>
          <w:tblCellMar>
            <w:top w:w="0" w:type="dxa"/>
            <w:left w:w="0" w:type="dxa"/>
            <w:bottom w:w="0" w:type="dxa"/>
            <w:right w:w="0" w:type="dxa"/>
          </w:tblCellMar>
        </w:tblPrEx>
        <w:trPr>
          <w:trHeight w:val="654"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3芯电源线A</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RVV3芯*1.5mm²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10480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72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3芯电源线B</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RVV3芯*2.5mm²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3芯电源线C</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RVV3芯*6.0mm²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3芯电源线D</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RVV3芯*10.0mm²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4芯电源线</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4芯*1.5mm²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5240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18芯电源线</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18芯*1.5mm²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5240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2芯控制线</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RVVSP2芯*1.0mm²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630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光纤</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室外单模光缆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室外超五类网线</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室外超五类防水UTP</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12480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接地线</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2*10.0mm²</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非横跨道路管</w:t>
            </w:r>
            <w:r>
              <w:rPr>
                <w:rFonts w:hint="eastAsia"/>
                <w:color w:val="000000" w:themeColor="text1"/>
                <w:lang w:eastAsia="zh-CN"/>
                <w14:textFill>
                  <w14:solidFill>
                    <w14:schemeClr w14:val="tx1"/>
                  </w14:solidFill>
                </w14:textFill>
              </w:rPr>
              <w:t>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非横跨道路管</w:t>
            </w:r>
            <w:r>
              <w:rPr>
                <w:rFonts w:hint="eastAsia"/>
                <w:color w:val="000000" w:themeColor="text1"/>
                <w:lang w:eastAsia="zh-CN"/>
                <w14:textFill>
                  <w14:solidFill>
                    <w14:schemeClr w14:val="tx1"/>
                  </w14:solidFill>
                </w14:textFill>
              </w:rPr>
              <w:t>路</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详见设计图纸</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横跨道路管</w:t>
            </w:r>
            <w:r>
              <w:rPr>
                <w:rFonts w:hint="eastAsia"/>
                <w:color w:val="000000" w:themeColor="text1"/>
                <w:lang w:eastAsia="zh-CN"/>
                <w14:textFill>
                  <w14:solidFill>
                    <w14:schemeClr w14:val="tx1"/>
                  </w14:solidFill>
                </w14:textFill>
              </w:rPr>
              <w:t>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横跨道路管</w:t>
            </w:r>
            <w:r>
              <w:rPr>
                <w:rFonts w:hint="eastAsia"/>
                <w:color w:val="000000" w:themeColor="text1"/>
                <w:lang w:eastAsia="zh-CN"/>
                <w14:textFill>
                  <w14:solidFill>
                    <w14:schemeClr w14:val="tx1"/>
                  </w14:solidFill>
                </w14:textFill>
              </w:rPr>
              <w:t>路</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详见设计图纸</w:t>
            </w:r>
            <w:r>
              <w:rPr>
                <w:rFonts w:hint="eastAsia"/>
                <w:color w:val="000000" w:themeColor="text1"/>
                <w14:textFill>
                  <w14:solidFill>
                    <w14:schemeClr w14:val="tx1"/>
                  </w14:solidFill>
                </w14:textFill>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顶管</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详见设计图纸</w:t>
            </w:r>
            <w:r>
              <w:rPr>
                <w:rFonts w:hint="eastAsia"/>
                <w:color w:val="000000" w:themeColor="text1"/>
                <w14:textFill>
                  <w14:solidFill>
                    <w14:schemeClr w14:val="tx1"/>
                  </w14:solidFill>
                </w14:textFill>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高密度聚乙烯管（DN75）</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壁厚要求不低于4.5mm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高密度聚乙烯管（DN100）</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壁厚要求不低于4.5mm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镀锌钢管（DN100）</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壁厚要求不低于4mm</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米</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按实结算</w:t>
            </w:r>
          </w:p>
        </w:tc>
      </w:tr>
      <w:tr>
        <w:tblPrEx>
          <w:tblLayout w:type="fixed"/>
          <w:tblCellMar>
            <w:top w:w="0" w:type="dxa"/>
            <w:left w:w="0" w:type="dxa"/>
            <w:bottom w:w="0" w:type="dxa"/>
            <w:right w:w="0" w:type="dxa"/>
          </w:tblCellMar>
        </w:tblPrEx>
        <w:trPr>
          <w:trHeight w:val="240" w:hRule="atLeast"/>
        </w:trPr>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光纤链路费</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安装</w:t>
            </w:r>
            <w:r>
              <w:rPr>
                <w:rFonts w:hint="eastAsia"/>
                <w:color w:val="000000" w:themeColor="text1"/>
                <w14:textFill>
                  <w14:solidFill>
                    <w14:schemeClr w14:val="tx1"/>
                  </w14:solidFill>
                </w14:textFill>
              </w:rPr>
              <w:t>期间</w:t>
            </w:r>
            <w:r>
              <w:rPr>
                <w:rFonts w:hint="eastAsia"/>
                <w:color w:val="000000" w:themeColor="text1"/>
                <w:lang w:eastAsia="zh-CN"/>
                <w14:textFill>
                  <w14:solidFill>
                    <w14:schemeClr w14:val="tx1"/>
                  </w14:solidFill>
                </w14:textFill>
              </w:rPr>
              <w:t>、</w:t>
            </w:r>
            <w:r>
              <w:rPr>
                <w:rFonts w:hint="eastAsia" w:ascii="宋体" w:hAnsi="宋体" w:cs="宋体"/>
                <w:b w:val="0"/>
                <w:snapToGrid/>
                <w:color w:val="000000" w:themeColor="text1"/>
                <w:highlight w:val="none"/>
                <w14:textFill>
                  <w14:solidFill>
                    <w14:schemeClr w14:val="tx1"/>
                  </w14:solidFill>
                </w14:textFill>
              </w:rPr>
              <w:t>缺陷责任期</w:t>
            </w:r>
            <w:r>
              <w:rPr>
                <w:rFonts w:hint="eastAsia" w:ascii="宋体" w:hAnsi="宋体" w:cs="宋体"/>
                <w:b w:val="0"/>
                <w:snapToGrid/>
                <w:color w:val="000000" w:themeColor="text1"/>
                <w:highlight w:val="none"/>
                <w:lang w:eastAsia="zh-CN"/>
                <w14:textFill>
                  <w14:solidFill>
                    <w14:schemeClr w14:val="tx1"/>
                  </w14:solidFill>
                </w14:textFill>
              </w:rPr>
              <w:t>和</w:t>
            </w:r>
            <w:r>
              <w:rPr>
                <w:rFonts w:hint="eastAsia"/>
                <w:color w:val="000000" w:themeColor="text1"/>
                <w14:textFill>
                  <w14:solidFill>
                    <w14:schemeClr w14:val="tx1"/>
                  </w14:solidFill>
                </w14:textFill>
              </w:rPr>
              <w:t>质保期内光纤链路</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14:textFill>
                  <w14:solidFill>
                    <w14:schemeClr w14:val="tx1"/>
                  </w14:solidFill>
                </w14:textFill>
              </w:rPr>
            </w:pPr>
          </w:p>
        </w:tc>
      </w:tr>
    </w:tbl>
    <w:p>
      <w:pPr>
        <w:pStyle w:val="2"/>
        <w:rPr>
          <w:color w:val="000000" w:themeColor="text1"/>
          <w14:textFill>
            <w14:solidFill>
              <w14:schemeClr w14:val="tx1"/>
            </w14:solidFill>
          </w14:textFill>
        </w:rPr>
      </w:pPr>
    </w:p>
    <w:p>
      <w:pPr>
        <w:pStyle w:val="7"/>
        <w:numPr>
          <w:ilvl w:val="0"/>
          <w:numId w:val="0"/>
        </w:numPr>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5.2项目后端设备清单</w:t>
      </w:r>
    </w:p>
    <w:tbl>
      <w:tblPr>
        <w:tblStyle w:val="23"/>
        <w:tblW w:w="8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465"/>
        <w:gridCol w:w="5450"/>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11" w:type="dxa"/>
            <w:vAlign w:val="center"/>
          </w:tcPr>
          <w:p>
            <w:pPr>
              <w:pStyle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465" w:type="dxa"/>
            <w:vAlign w:val="center"/>
          </w:tcPr>
          <w:p>
            <w:pPr>
              <w:pStyle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设备名称</w:t>
            </w:r>
          </w:p>
        </w:tc>
        <w:tc>
          <w:tcPr>
            <w:tcW w:w="5450" w:type="dxa"/>
            <w:vAlign w:val="center"/>
          </w:tcPr>
          <w:p>
            <w:pPr>
              <w:pStyle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技术参数</w:t>
            </w:r>
          </w:p>
        </w:tc>
        <w:tc>
          <w:tcPr>
            <w:tcW w:w="612" w:type="dxa"/>
            <w:vAlign w:val="center"/>
          </w:tcPr>
          <w:p>
            <w:pPr>
              <w:pStyle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单位</w:t>
            </w:r>
          </w:p>
        </w:tc>
        <w:tc>
          <w:tcPr>
            <w:tcW w:w="612" w:type="dxa"/>
            <w:vAlign w:val="center"/>
          </w:tcPr>
          <w:p>
            <w:pPr>
              <w:pStyle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611"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65"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云存储</w:t>
            </w:r>
          </w:p>
        </w:tc>
        <w:tc>
          <w:tcPr>
            <w:tcW w:w="5450"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含云存储管理软件，详见招标文件。</w:t>
            </w:r>
          </w:p>
        </w:tc>
        <w:tc>
          <w:tcPr>
            <w:tcW w:w="612"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612"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11"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65"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5450"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企业级存储专业硬盘，8T</w:t>
            </w:r>
          </w:p>
        </w:tc>
        <w:tc>
          <w:tcPr>
            <w:tcW w:w="612"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块</w:t>
            </w:r>
          </w:p>
        </w:tc>
        <w:tc>
          <w:tcPr>
            <w:tcW w:w="612"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r>
    </w:tbl>
    <w:p>
      <w:pPr>
        <w:pStyle w:val="6"/>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三、商务条款：</w:t>
      </w:r>
    </w:p>
    <w:p>
      <w:pPr>
        <w:adjustRightInd w:val="0"/>
        <w:snapToGrid w:val="0"/>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本次</w:t>
      </w:r>
      <w:r>
        <w:rPr>
          <w:rFonts w:hint="eastAsia" w:ascii="宋体" w:hAnsi="宋体" w:cs="宋体"/>
          <w:color w:val="000000" w:themeColor="text1"/>
          <w:sz w:val="24"/>
          <w:szCs w:val="24"/>
          <w:highlight w:val="none"/>
          <w:lang w:val="en-US" w:eastAsia="zh-CN"/>
          <w14:textFill>
            <w14:solidFill>
              <w14:schemeClr w14:val="tx1"/>
            </w14:solidFill>
          </w14:textFill>
        </w:rPr>
        <w:t>设备采购买</w:t>
      </w:r>
      <w:r>
        <w:rPr>
          <w:rFonts w:hint="eastAsia" w:ascii="宋体" w:hAnsi="宋体" w:cs="宋体"/>
          <w:color w:val="000000" w:themeColor="text1"/>
          <w:sz w:val="24"/>
          <w:szCs w:val="24"/>
          <w:highlight w:val="none"/>
          <w14:textFill>
            <w14:solidFill>
              <w14:schemeClr w14:val="tx1"/>
            </w14:solidFill>
          </w14:textFill>
        </w:rPr>
        <w:t>项目总费用包含实现</w:t>
      </w:r>
      <w:r>
        <w:rPr>
          <w:rFonts w:hint="eastAsia" w:ascii="宋体" w:hAnsi="宋体" w:cs="宋体"/>
          <w:color w:val="000000" w:themeColor="text1"/>
          <w:sz w:val="24"/>
          <w:szCs w:val="24"/>
          <w:highlight w:val="none"/>
          <w:lang w:eastAsia="zh-CN"/>
          <w14:textFill>
            <w14:solidFill>
              <w14:schemeClr w14:val="tx1"/>
            </w14:solidFill>
          </w14:textFill>
        </w:rPr>
        <w:t>技术要求</w:t>
      </w:r>
      <w:r>
        <w:rPr>
          <w:rFonts w:hint="eastAsia" w:ascii="宋体" w:hAnsi="宋体" w:cs="宋体"/>
          <w:color w:val="000000" w:themeColor="text1"/>
          <w:sz w:val="24"/>
          <w:szCs w:val="24"/>
          <w:highlight w:val="none"/>
          <w14:textFill>
            <w14:solidFill>
              <w14:schemeClr w14:val="tx1"/>
            </w14:solidFill>
          </w14:textFill>
        </w:rPr>
        <w:t>所有功能的一切费用，含软件、全部附件、辅材、备品备件、专用工具等整套设备及售后服务等，对于其他没有列入招标技术资料清单，且是</w:t>
      </w:r>
      <w:r>
        <w:rPr>
          <w:rFonts w:hint="eastAsia" w:ascii="宋体" w:hAnsi="宋体" w:cs="宋体"/>
          <w:color w:val="000000" w:themeColor="text1"/>
          <w:sz w:val="24"/>
          <w:szCs w:val="24"/>
          <w:highlight w:val="none"/>
          <w:lang w:eastAsia="zh-CN"/>
          <w14:textFill>
            <w14:solidFill>
              <w14:schemeClr w14:val="tx1"/>
            </w14:solidFill>
          </w14:textFill>
        </w:rPr>
        <w:t>设备清单配套</w:t>
      </w:r>
      <w:r>
        <w:rPr>
          <w:rFonts w:hint="eastAsia" w:ascii="宋体" w:hAnsi="宋体" w:cs="宋体"/>
          <w:color w:val="000000" w:themeColor="text1"/>
          <w:sz w:val="24"/>
          <w:szCs w:val="24"/>
          <w:highlight w:val="none"/>
          <w14:textFill>
            <w14:solidFill>
              <w14:schemeClr w14:val="tx1"/>
            </w14:solidFill>
          </w14:textFill>
        </w:rPr>
        <w:t>所必需的文件、资料、设备等，中标人也应免费提供。</w:t>
      </w:r>
    </w:p>
    <w:p>
      <w:pPr>
        <w:spacing w:line="360" w:lineRule="auto"/>
        <w:ind w:firstLine="482"/>
        <w:rPr>
          <w:color w:val="000000" w:themeColor="text1"/>
          <w:sz w:val="24"/>
          <w:szCs w:val="24"/>
          <w:highlight w:val="none"/>
          <w14:textFill>
            <w14:solidFill>
              <w14:schemeClr w14:val="tx1"/>
            </w14:solidFill>
          </w14:textFill>
        </w:rPr>
      </w:pPr>
      <w:r>
        <w:rPr>
          <w:rFonts w:hint="eastAsia" w:ascii="宋体" w:hAnsi="宋体"/>
          <w:b/>
          <w:snapToGrid w:val="0"/>
          <w:color w:val="000000" w:themeColor="text1"/>
          <w:sz w:val="24"/>
          <w:szCs w:val="24"/>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未经</w:t>
      </w:r>
      <w:r>
        <w:rPr>
          <w:rFonts w:hint="eastAsia"/>
          <w:color w:val="000000" w:themeColor="text1"/>
          <w:sz w:val="24"/>
          <w:szCs w:val="24"/>
          <w:highlight w:val="none"/>
          <w:lang w:eastAsia="zh-CN"/>
          <w14:textFill>
            <w14:solidFill>
              <w14:schemeClr w14:val="tx1"/>
            </w14:solidFill>
          </w14:textFill>
        </w:rPr>
        <w:t>采购人</w:t>
      </w:r>
      <w:r>
        <w:rPr>
          <w:rFonts w:hint="eastAsia"/>
          <w:color w:val="000000" w:themeColor="text1"/>
          <w:sz w:val="24"/>
          <w:szCs w:val="24"/>
          <w:highlight w:val="none"/>
          <w14:textFill>
            <w14:solidFill>
              <w14:schemeClr w14:val="tx1"/>
            </w14:solidFill>
          </w14:textFill>
        </w:rPr>
        <w:t>事先书面同意，中标人不得部分转让、全部转让或委托其应履行的合同义务。否则取消其资格并要求赔偿相关损失。</w:t>
      </w:r>
    </w:p>
    <w:p>
      <w:pPr>
        <w:adjustRightInd w:val="0"/>
        <w:snapToGrid w:val="0"/>
        <w:spacing w:line="360" w:lineRule="auto"/>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val="0"/>
          <w:snapToGrid/>
          <w:color w:val="000000" w:themeColor="text1"/>
          <w:sz w:val="24"/>
          <w:szCs w:val="24"/>
          <w:highlight w:val="none"/>
          <w14:textFill>
            <w14:solidFill>
              <w14:schemeClr w14:val="tx1"/>
            </w14:solidFill>
          </w14:textFill>
        </w:rPr>
        <w:t>3、本项目缺陷责任期</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2年（</w:t>
      </w:r>
      <w:r>
        <w:rPr>
          <w:rFonts w:hint="eastAsia" w:ascii="宋体" w:hAnsi="宋体" w:cs="宋体"/>
          <w:b w:val="0"/>
          <w:snapToGrid/>
          <w:color w:val="000000" w:themeColor="text1"/>
          <w:sz w:val="24"/>
          <w:szCs w:val="24"/>
          <w:highlight w:val="none"/>
          <w14:textFill>
            <w14:solidFill>
              <w14:schemeClr w14:val="tx1"/>
            </w14:solidFill>
          </w14:textFill>
        </w:rPr>
        <w:t>自</w:t>
      </w:r>
      <w:r>
        <w:rPr>
          <w:rFonts w:hint="eastAsia" w:ascii="宋体" w:hAnsi="宋体" w:cs="宋体"/>
          <w:b w:val="0"/>
          <w:snapToGrid/>
          <w:color w:val="000000" w:themeColor="text1"/>
          <w:sz w:val="24"/>
          <w:szCs w:val="24"/>
          <w:highlight w:val="none"/>
          <w:lang w:eastAsia="zh-CN"/>
          <w14:textFill>
            <w14:solidFill>
              <w14:schemeClr w14:val="tx1"/>
            </w14:solidFill>
          </w14:textFill>
        </w:rPr>
        <w:t>初步</w:t>
      </w:r>
      <w:r>
        <w:rPr>
          <w:rFonts w:hint="eastAsia" w:ascii="宋体" w:hAnsi="宋体" w:cs="宋体"/>
          <w:b w:val="0"/>
          <w:snapToGrid/>
          <w:color w:val="000000" w:themeColor="text1"/>
          <w:sz w:val="24"/>
          <w:szCs w:val="24"/>
          <w:highlight w:val="none"/>
          <w14:textFill>
            <w14:solidFill>
              <w14:schemeClr w14:val="tx1"/>
            </w14:solidFill>
          </w14:textFill>
        </w:rPr>
        <w:t>验收合格通过之日计起</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w:t>
      </w:r>
      <w:r>
        <w:rPr>
          <w:rFonts w:hint="eastAsia" w:ascii="宋体" w:hAnsi="宋体" w:cs="宋体"/>
          <w:b w:val="0"/>
          <w:snapToGrid/>
          <w:color w:val="000000" w:themeColor="text1"/>
          <w:sz w:val="24"/>
          <w:szCs w:val="24"/>
          <w:highlight w:val="none"/>
          <w14:textFill>
            <w14:solidFill>
              <w14:schemeClr w14:val="tx1"/>
            </w14:solidFill>
          </w14:textFill>
        </w:rPr>
        <w:t>整体质</w:t>
      </w:r>
      <w:r>
        <w:rPr>
          <w:rFonts w:hint="eastAsia" w:ascii="宋体" w:hAnsi="宋体" w:cs="宋体"/>
          <w:b w:val="0"/>
          <w:snapToGrid/>
          <w:color w:val="000000" w:themeColor="text1"/>
          <w:sz w:val="24"/>
          <w:szCs w:val="24"/>
          <w:highlight w:val="none"/>
          <w:lang w:eastAsia="zh-CN"/>
          <w14:textFill>
            <w14:solidFill>
              <w14:schemeClr w14:val="tx1"/>
            </w14:solidFill>
          </w14:textFill>
        </w:rPr>
        <w:t>量</w:t>
      </w:r>
      <w:r>
        <w:rPr>
          <w:rFonts w:hint="eastAsia" w:ascii="宋体" w:hAnsi="宋体" w:cs="宋体"/>
          <w:b w:val="0"/>
          <w:snapToGrid/>
          <w:color w:val="000000" w:themeColor="text1"/>
          <w:sz w:val="24"/>
          <w:szCs w:val="24"/>
          <w:highlight w:val="none"/>
          <w14:textFill>
            <w14:solidFill>
              <w14:schemeClr w14:val="tx1"/>
            </w14:solidFill>
          </w14:textFill>
        </w:rPr>
        <w:t>保</w:t>
      </w:r>
      <w:r>
        <w:rPr>
          <w:rFonts w:hint="eastAsia" w:ascii="宋体" w:hAnsi="宋体" w:cs="宋体"/>
          <w:b w:val="0"/>
          <w:snapToGrid/>
          <w:color w:val="000000" w:themeColor="text1"/>
          <w:sz w:val="24"/>
          <w:szCs w:val="24"/>
          <w:highlight w:val="none"/>
          <w:lang w:eastAsia="zh-CN"/>
          <w14:textFill>
            <w14:solidFill>
              <w14:schemeClr w14:val="tx1"/>
            </w14:solidFill>
          </w14:textFill>
        </w:rPr>
        <w:t>修</w:t>
      </w:r>
      <w:r>
        <w:rPr>
          <w:rFonts w:hint="eastAsia" w:ascii="宋体" w:hAnsi="宋体" w:cs="宋体"/>
          <w:b w:val="0"/>
          <w:snapToGrid/>
          <w:color w:val="000000" w:themeColor="text1"/>
          <w:sz w:val="24"/>
          <w:szCs w:val="24"/>
          <w:highlight w:val="none"/>
          <w14:textFill>
            <w14:solidFill>
              <w14:schemeClr w14:val="tx1"/>
            </w14:solidFill>
          </w14:textFill>
        </w:rPr>
        <w:t>期</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3</w:t>
      </w:r>
      <w:r>
        <w:rPr>
          <w:rFonts w:hint="eastAsia" w:ascii="宋体" w:hAnsi="宋体" w:cs="宋体"/>
          <w:b w:val="0"/>
          <w:snapToGrid/>
          <w:color w:val="000000" w:themeColor="text1"/>
          <w:sz w:val="24"/>
          <w:szCs w:val="24"/>
          <w:highlight w:val="none"/>
          <w14:textFill>
            <w14:solidFill>
              <w14:schemeClr w14:val="tx1"/>
            </w14:solidFill>
          </w14:textFill>
        </w:rPr>
        <w:t>年（自</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最终验收通过</w:t>
      </w:r>
      <w:r>
        <w:rPr>
          <w:rFonts w:hint="eastAsia" w:ascii="宋体" w:hAnsi="宋体" w:cs="宋体"/>
          <w:b w:val="0"/>
          <w:snapToGrid/>
          <w:color w:val="000000" w:themeColor="text1"/>
          <w:sz w:val="24"/>
          <w:szCs w:val="24"/>
          <w:highlight w:val="none"/>
          <w:lang w:eastAsia="zh-CN"/>
          <w14:textFill>
            <w14:solidFill>
              <w14:schemeClr w14:val="tx1"/>
            </w14:solidFill>
          </w14:textFill>
        </w:rPr>
        <w:t>之</w:t>
      </w:r>
      <w:r>
        <w:rPr>
          <w:rFonts w:hint="eastAsia" w:ascii="宋体" w:hAnsi="宋体" w:cs="宋体"/>
          <w:b w:val="0"/>
          <w:snapToGrid/>
          <w:color w:val="000000" w:themeColor="text1"/>
          <w:sz w:val="24"/>
          <w:szCs w:val="24"/>
          <w:highlight w:val="none"/>
          <w14:textFill>
            <w14:solidFill>
              <w14:schemeClr w14:val="tx1"/>
            </w14:solidFill>
          </w14:textFill>
        </w:rPr>
        <w:t>日计起）</w:t>
      </w:r>
      <w:r>
        <w:rPr>
          <w:rFonts w:hint="eastAsia" w:ascii="宋体" w:hAnsi="宋体" w:cs="宋体"/>
          <w:b w:val="0"/>
          <w:snapToGrid/>
          <w:color w:val="000000" w:themeColor="text1"/>
          <w:sz w:val="24"/>
          <w:szCs w:val="24"/>
          <w:highlight w:val="none"/>
          <w:lang w:eastAsia="zh-CN"/>
          <w14:textFill>
            <w14:solidFill>
              <w14:schemeClr w14:val="tx1"/>
            </w14:solidFill>
          </w14:textFill>
        </w:rPr>
        <w:t>。</w:t>
      </w:r>
      <w:r>
        <w:rPr>
          <w:rFonts w:hint="eastAsia" w:ascii="宋体" w:hAnsi="宋体" w:cs="宋体"/>
          <w:b w:val="0"/>
          <w:snapToGrid/>
          <w:color w:val="000000" w:themeColor="text1"/>
          <w:sz w:val="24"/>
          <w:szCs w:val="24"/>
          <w:highlight w:val="none"/>
          <w14:textFill>
            <w14:solidFill>
              <w14:schemeClr w14:val="tx1"/>
            </w14:solidFill>
          </w14:textFill>
        </w:rPr>
        <w:t>缺陷责任期</w:t>
      </w:r>
      <w:r>
        <w:rPr>
          <w:rFonts w:hint="eastAsia" w:ascii="宋体" w:hAnsi="宋体" w:cs="宋体"/>
          <w:b w:val="0"/>
          <w:snapToGrid/>
          <w:color w:val="000000" w:themeColor="text1"/>
          <w:sz w:val="24"/>
          <w:szCs w:val="24"/>
          <w:highlight w:val="none"/>
          <w:lang w:eastAsia="zh-CN"/>
          <w14:textFill>
            <w14:solidFill>
              <w14:schemeClr w14:val="tx1"/>
            </w14:solidFill>
          </w14:textFill>
        </w:rPr>
        <w:t>和</w:t>
      </w:r>
      <w:r>
        <w:rPr>
          <w:rFonts w:hint="eastAsia" w:ascii="宋体" w:hAnsi="宋体" w:cs="宋体"/>
          <w:b w:val="0"/>
          <w:snapToGrid/>
          <w:color w:val="000000" w:themeColor="text1"/>
          <w:sz w:val="24"/>
          <w:szCs w:val="24"/>
          <w:highlight w:val="none"/>
          <w14:textFill>
            <w14:solidFill>
              <w14:schemeClr w14:val="tx1"/>
            </w14:solidFill>
          </w14:textFill>
        </w:rPr>
        <w:t>质</w:t>
      </w:r>
      <w:r>
        <w:rPr>
          <w:rFonts w:hint="eastAsia" w:ascii="宋体" w:hAnsi="宋体" w:cs="宋体"/>
          <w:b w:val="0"/>
          <w:snapToGrid/>
          <w:color w:val="000000" w:themeColor="text1"/>
          <w:sz w:val="24"/>
          <w:szCs w:val="24"/>
          <w:highlight w:val="none"/>
          <w:lang w:eastAsia="zh-CN"/>
          <w14:textFill>
            <w14:solidFill>
              <w14:schemeClr w14:val="tx1"/>
            </w14:solidFill>
          </w14:textFill>
        </w:rPr>
        <w:t>量</w:t>
      </w:r>
      <w:r>
        <w:rPr>
          <w:rFonts w:hint="eastAsia" w:ascii="宋体" w:hAnsi="宋体" w:cs="宋体"/>
          <w:b w:val="0"/>
          <w:snapToGrid/>
          <w:color w:val="000000" w:themeColor="text1"/>
          <w:sz w:val="24"/>
          <w:szCs w:val="24"/>
          <w:highlight w:val="none"/>
          <w14:textFill>
            <w14:solidFill>
              <w14:schemeClr w14:val="tx1"/>
            </w14:solidFill>
          </w14:textFill>
        </w:rPr>
        <w:t>保</w:t>
      </w:r>
      <w:r>
        <w:rPr>
          <w:rFonts w:hint="eastAsia" w:ascii="宋体" w:hAnsi="宋体" w:cs="宋体"/>
          <w:b w:val="0"/>
          <w:snapToGrid/>
          <w:color w:val="000000" w:themeColor="text1"/>
          <w:sz w:val="24"/>
          <w:szCs w:val="24"/>
          <w:highlight w:val="none"/>
          <w:lang w:eastAsia="zh-CN"/>
          <w14:textFill>
            <w14:solidFill>
              <w14:schemeClr w14:val="tx1"/>
            </w14:solidFill>
          </w14:textFill>
        </w:rPr>
        <w:t>修</w:t>
      </w:r>
      <w:r>
        <w:rPr>
          <w:rFonts w:hint="eastAsia" w:ascii="宋体" w:hAnsi="宋体" w:cs="宋体"/>
          <w:b w:val="0"/>
          <w:snapToGrid/>
          <w:color w:val="000000" w:themeColor="text1"/>
          <w:sz w:val="24"/>
          <w:szCs w:val="24"/>
          <w:highlight w:val="none"/>
          <w14:textFill>
            <w14:solidFill>
              <w14:schemeClr w14:val="tx1"/>
            </w14:solidFill>
          </w14:textFill>
        </w:rPr>
        <w:t>期</w:t>
      </w:r>
      <w:r>
        <w:rPr>
          <w:rFonts w:hint="eastAsia" w:ascii="宋体" w:hAnsi="宋体" w:cs="宋体"/>
          <w:b w:val="0"/>
          <w:snapToGrid/>
          <w:color w:val="000000" w:themeColor="text1"/>
          <w:sz w:val="24"/>
          <w:szCs w:val="24"/>
          <w:highlight w:val="none"/>
          <w:lang w:eastAsia="zh-CN"/>
          <w14:textFill>
            <w14:solidFill>
              <w14:schemeClr w14:val="tx1"/>
            </w14:solidFill>
          </w14:textFill>
        </w:rPr>
        <w:t>内中标人</w:t>
      </w:r>
      <w:r>
        <w:rPr>
          <w:rFonts w:hint="eastAsia" w:ascii="宋体" w:hAnsi="宋体" w:cs="宋体"/>
          <w:color w:val="000000" w:themeColor="text1"/>
          <w:sz w:val="24"/>
          <w:szCs w:val="24"/>
          <w:highlight w:val="none"/>
          <w14:textFill>
            <w14:solidFill>
              <w14:schemeClr w14:val="tx1"/>
            </w14:solidFill>
          </w14:textFill>
        </w:rPr>
        <w:t>免费</w:t>
      </w:r>
      <w:r>
        <w:rPr>
          <w:rFonts w:hint="eastAsia" w:ascii="宋体" w:hAnsi="宋体" w:cs="宋体"/>
          <w:color w:val="000000" w:themeColor="text1"/>
          <w:sz w:val="24"/>
          <w:szCs w:val="24"/>
          <w:highlight w:val="none"/>
          <w:lang w:eastAsia="zh-CN"/>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维护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免费</w:t>
      </w:r>
      <w:r>
        <w:rPr>
          <w:rFonts w:hint="eastAsia" w:ascii="宋体" w:hAnsi="宋体"/>
          <w:color w:val="000000" w:themeColor="text1"/>
          <w:sz w:val="24"/>
          <w:szCs w:val="24"/>
          <w:highlight w:val="none"/>
          <w14:textFill>
            <w14:solidFill>
              <w14:schemeClr w14:val="tx1"/>
            </w14:solidFill>
          </w14:textFill>
        </w:rPr>
        <w:t>维护是指为了保证系统正常</w:t>
      </w:r>
      <w:r>
        <w:rPr>
          <w:rFonts w:hint="eastAsia" w:ascii="宋体" w:hAnsi="宋体" w:cs="宋体"/>
          <w:color w:val="000000" w:themeColor="text1"/>
          <w:sz w:val="24"/>
          <w:szCs w:val="24"/>
          <w:highlight w:val="none"/>
          <w14:textFill>
            <w14:solidFill>
              <w14:schemeClr w14:val="tx1"/>
            </w14:solidFill>
          </w14:textFill>
        </w:rPr>
        <w:t>运行、而发生的一切修复保养维护的工作(路口整体拆迁除外)，交通事故、道路施工、敲砸、偷盗等人为破坏及台风、地震等不可抗力造成破坏的修复不在免费维保范围内。交通事故、道路施工、敲砸、偷盗等人为因素所造成的破坏如能确定责任人的，使用人将协助一起追回损失，不能追回的，修复费用由业主承担。原有配件因供货商停产不再销售造成故障无法修复，中标人应为</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（或使用人）免费提供升级产品配件，使设备能够正常稳定工作。</w:t>
      </w:r>
    </w:p>
    <w:p>
      <w:pPr>
        <w:adjustRightInd w:val="0"/>
        <w:snapToGrid w:val="0"/>
        <w:spacing w:line="360" w:lineRule="auto"/>
        <w:ind w:firstLine="480"/>
        <w:rPr>
          <w:rFonts w:ascii="宋体" w:hAnsi="宋体"/>
          <w:snapToGrid w:val="0"/>
          <w:color w:val="000000" w:themeColor="text1"/>
          <w:sz w:val="24"/>
          <w:szCs w:val="24"/>
          <w:highlight w:val="none"/>
          <w14:textFill>
            <w14:solidFill>
              <w14:schemeClr w14:val="tx1"/>
            </w14:solidFill>
          </w14:textFill>
        </w:rPr>
      </w:pPr>
      <w:r>
        <w:rPr>
          <w:rFonts w:hint="eastAsia" w:ascii="宋体" w:hAnsi="宋体"/>
          <w:snapToGrid w:val="0"/>
          <w:color w:val="000000" w:themeColor="text1"/>
          <w:sz w:val="24"/>
          <w:szCs w:val="24"/>
          <w:highlight w:val="none"/>
          <w:lang w:val="en-US" w:eastAsia="zh-CN"/>
          <w14:textFill>
            <w14:solidFill>
              <w14:schemeClr w14:val="tx1"/>
            </w14:solidFill>
          </w14:textFill>
        </w:rPr>
        <w:t>4</w:t>
      </w:r>
      <w:r>
        <w:rPr>
          <w:rFonts w:hint="eastAsia" w:ascii="宋体" w:hAnsi="宋体"/>
          <w:snapToGrid w:val="0"/>
          <w:color w:val="000000" w:themeColor="text1"/>
          <w:sz w:val="24"/>
          <w:szCs w:val="24"/>
          <w:highlight w:val="none"/>
          <w14:textFill>
            <w14:solidFill>
              <w14:schemeClr w14:val="tx1"/>
            </w14:solidFill>
          </w14:textFill>
        </w:rPr>
        <w:t>、中标人</w:t>
      </w:r>
      <w:r>
        <w:rPr>
          <w:rFonts w:hint="eastAsia" w:ascii="宋体" w:hAnsi="宋体"/>
          <w:bCs/>
          <w:snapToGrid w:val="0"/>
          <w:color w:val="000000" w:themeColor="text1"/>
          <w:sz w:val="24"/>
          <w:szCs w:val="24"/>
          <w:highlight w:val="none"/>
          <w14:textFill>
            <w14:solidFill>
              <w14:schemeClr w14:val="tx1"/>
            </w14:solidFill>
          </w14:textFill>
        </w:rPr>
        <w:t>至少提供1名常驻人员专用本项目设备维修和日常巡检</w:t>
      </w:r>
      <w:r>
        <w:rPr>
          <w:rFonts w:hint="eastAsia" w:ascii="宋体" w:hAnsi="宋体"/>
          <w:bCs/>
          <w:snapToGrid w:val="0"/>
          <w:color w:val="000000" w:themeColor="text1"/>
          <w:sz w:val="24"/>
          <w:szCs w:val="24"/>
          <w:highlight w:val="none"/>
          <w:lang w:eastAsia="zh-CN"/>
          <w14:textFill>
            <w14:solidFill>
              <w14:schemeClr w14:val="tx1"/>
            </w14:solidFill>
          </w14:textFill>
        </w:rPr>
        <w:t>（包含节假日）</w:t>
      </w:r>
      <w:r>
        <w:rPr>
          <w:rFonts w:hint="eastAsia" w:ascii="宋体" w:hAnsi="宋体"/>
          <w:bCs/>
          <w:snapToGrid w:val="0"/>
          <w:color w:val="000000" w:themeColor="text1"/>
          <w:sz w:val="24"/>
          <w:szCs w:val="24"/>
          <w:highlight w:val="none"/>
          <w14:textFill>
            <w14:solidFill>
              <w14:schemeClr w14:val="tx1"/>
            </w14:solidFill>
          </w14:textFill>
        </w:rPr>
        <w:t>，</w:t>
      </w:r>
      <w:r>
        <w:rPr>
          <w:rFonts w:hint="eastAsia" w:ascii="宋体" w:hAnsi="宋体"/>
          <w:snapToGrid w:val="0"/>
          <w:color w:val="000000" w:themeColor="text1"/>
          <w:sz w:val="24"/>
          <w:szCs w:val="24"/>
          <w:highlight w:val="none"/>
          <w14:textFill>
            <w14:solidFill>
              <w14:schemeClr w14:val="tx1"/>
            </w14:solidFill>
          </w14:textFill>
        </w:rPr>
        <w:t>并提供技术后援支持，采购人将协助中标人共同监督管理驻点工作人员的日常出勤与工作情况，并进行考核。中标人因工作关系需要变动调离驻点工作人员的，应提前一个月告知采购人，并将变动后的方案上报采购人，经采购人同意后方可调整。</w:t>
      </w:r>
    </w:p>
    <w:p>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、质保期内维护响应要求：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摄像机或其他设备（除信号灯及信号控制主机）出现故障，在接到</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或使用人）或监理单位的维修通知后，应在30分钟内响应，并在2小时内赶到现场维修，4小时恢复正常工作。若问题不能现场解决，也将采取相应措施以保证设备正常运行，必要时包括更换必要的软件、硬件或切换线路。维护结束恢复正常后须由</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（或使用人）或监理单位书面确认，维护维修记录应当做记录（一式两份），未履行的每次扣款1000元。故障超过24小时仍</w:t>
      </w:r>
      <w:r>
        <w:rPr>
          <w:rFonts w:hint="eastAsia" w:ascii="宋体" w:hAnsi="宋体" w:cs="宋体"/>
          <w:color w:val="000000" w:themeColor="text1"/>
          <w:sz w:val="24"/>
          <w:szCs w:val="24"/>
          <w14:textFill>
            <w14:solidFill>
              <w14:schemeClr w14:val="tx1"/>
            </w14:solidFill>
          </w14:textFill>
        </w:rPr>
        <w:t>未解决的，另按每个相机500元/天扣除费用，直至故障修复为止。有特殊情况的，经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（或使用人）同意，可以延长修复时间。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信号灯及信号控制主机等维护要求：</w:t>
      </w:r>
      <w:r>
        <w:rPr>
          <w:rFonts w:ascii="宋体" w:hAnsi="宋体" w:cs="宋体"/>
          <w:color w:val="000000" w:themeColor="text1"/>
          <w:sz w:val="24"/>
          <w:szCs w:val="24"/>
          <w14:textFill>
            <w14:solidFill>
              <w14:schemeClr w14:val="tx1"/>
            </w14:solidFill>
          </w14:textFill>
        </w:rPr>
        <w:t>如在使用过程中发生设备和系统运行故障及交通管理需求响应服务的，</w:t>
      </w:r>
      <w:r>
        <w:rPr>
          <w:rFonts w:hint="eastAsia" w:ascii="宋体" w:hAnsi="宋体" w:cs="宋体"/>
          <w:color w:val="000000" w:themeColor="text1"/>
          <w:sz w:val="24"/>
          <w:szCs w:val="24"/>
          <w14:textFill>
            <w14:solidFill>
              <w14:schemeClr w14:val="tx1"/>
            </w14:solidFill>
          </w14:textFill>
        </w:rPr>
        <w:t>中标方</w:t>
      </w:r>
      <w:r>
        <w:rPr>
          <w:rFonts w:ascii="宋体" w:hAnsi="宋体" w:cs="宋体"/>
          <w:color w:val="000000" w:themeColor="text1"/>
          <w:sz w:val="24"/>
          <w:szCs w:val="24"/>
          <w14:textFill>
            <w14:solidFill>
              <w14:schemeClr w14:val="tx1"/>
            </w14:solidFill>
          </w14:textFill>
        </w:rPr>
        <w:t>提供24小时电话服务响应。</w:t>
      </w:r>
      <w:r>
        <w:rPr>
          <w:rFonts w:hint="eastAsia" w:ascii="宋体" w:hAnsi="宋体" w:cs="宋体"/>
          <w:color w:val="000000" w:themeColor="text1"/>
          <w:sz w:val="24"/>
          <w:szCs w:val="24"/>
          <w14:textFill>
            <w14:solidFill>
              <w14:schemeClr w14:val="tx1"/>
            </w14:solidFill>
          </w14:textFill>
        </w:rPr>
        <w:t>中标方</w:t>
      </w:r>
      <w:r>
        <w:rPr>
          <w:rFonts w:ascii="宋体" w:hAnsi="宋体" w:cs="宋体"/>
          <w:color w:val="000000" w:themeColor="text1"/>
          <w:sz w:val="24"/>
          <w:szCs w:val="24"/>
          <w14:textFill>
            <w14:solidFill>
              <w14:schemeClr w14:val="tx1"/>
            </w14:solidFill>
          </w14:textFill>
        </w:rPr>
        <w:t>接到维护通知后，10分钟内做出响应，1小时内到达现场，2小时内抢修或服务完毕（遇不可抗力或第三方等原因抢修时间可适当顺延）</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质保期内，</w:t>
      </w:r>
      <w:r>
        <w:rPr>
          <w:rFonts w:hint="eastAsia" w:ascii="宋体" w:hAnsi="宋体" w:cs="宋体"/>
          <w:color w:val="000000" w:themeColor="text1"/>
          <w:sz w:val="24"/>
          <w:szCs w:val="24"/>
          <w14:textFill>
            <w14:solidFill>
              <w14:schemeClr w14:val="tx1"/>
            </w14:solidFill>
          </w14:textFill>
        </w:rPr>
        <w:t>中标方</w:t>
      </w:r>
      <w:r>
        <w:rPr>
          <w:rFonts w:ascii="宋体" w:hAnsi="宋体" w:cs="宋体"/>
          <w:color w:val="000000" w:themeColor="text1"/>
          <w:sz w:val="24"/>
          <w:szCs w:val="24"/>
          <w14:textFill>
            <w14:solidFill>
              <w14:schemeClr w14:val="tx1"/>
            </w14:solidFill>
          </w14:textFill>
        </w:rPr>
        <w:t>应加强日常巡查，确保管道、基础、窨井、线缆、反光膜等不被破坏，如发现被其它</w:t>
      </w:r>
      <w:r>
        <w:rPr>
          <w:rFonts w:hint="eastAsia" w:ascii="宋体" w:hAnsi="宋体" w:cs="宋体"/>
          <w:color w:val="000000" w:themeColor="text1"/>
          <w:sz w:val="24"/>
          <w:szCs w:val="24"/>
          <w14:textFill>
            <w14:solidFill>
              <w14:schemeClr w14:val="tx1"/>
            </w14:solidFill>
          </w14:textFill>
        </w:rPr>
        <w:t>单位</w:t>
      </w:r>
      <w:r>
        <w:rPr>
          <w:rFonts w:ascii="宋体" w:hAnsi="宋体" w:cs="宋体"/>
          <w:color w:val="000000" w:themeColor="text1"/>
          <w:sz w:val="24"/>
          <w:szCs w:val="24"/>
          <w14:textFill>
            <w14:solidFill>
              <w14:schemeClr w14:val="tx1"/>
            </w14:solidFill>
          </w14:textFill>
        </w:rPr>
        <w:t>挖掘</w:t>
      </w:r>
      <w:r>
        <w:rPr>
          <w:rFonts w:hint="eastAsia" w:ascii="宋体" w:hAnsi="宋体" w:cs="宋体"/>
          <w:color w:val="000000" w:themeColor="text1"/>
          <w:sz w:val="24"/>
          <w:szCs w:val="24"/>
          <w14:textFill>
            <w14:solidFill>
              <w14:schemeClr w14:val="tx1"/>
            </w14:solidFill>
          </w14:textFill>
        </w:rPr>
        <w:t>等</w:t>
      </w:r>
      <w:r>
        <w:rPr>
          <w:rFonts w:ascii="宋体" w:hAnsi="宋体" w:cs="宋体"/>
          <w:color w:val="000000" w:themeColor="text1"/>
          <w:sz w:val="24"/>
          <w:szCs w:val="24"/>
          <w14:textFill>
            <w14:solidFill>
              <w14:schemeClr w14:val="tx1"/>
            </w14:solidFill>
          </w14:textFill>
        </w:rPr>
        <w:t>引起的管道、窨井损坏的应及时告知</w:t>
      </w:r>
      <w:r>
        <w:rPr>
          <w:rFonts w:hint="eastAsia" w:ascii="宋体" w:hAnsi="宋体" w:cs="宋体"/>
          <w:color w:val="000000" w:themeColor="text1"/>
          <w:sz w:val="24"/>
          <w:szCs w:val="24"/>
          <w14:textFill>
            <w14:solidFill>
              <w14:schemeClr w14:val="tx1"/>
            </w14:solidFill>
          </w14:textFill>
        </w:rPr>
        <w:t>中标方或使用人</w:t>
      </w:r>
      <w:r>
        <w:rPr>
          <w:rFonts w:ascii="宋体" w:hAnsi="宋体" w:cs="宋体"/>
          <w:color w:val="000000" w:themeColor="text1"/>
          <w:sz w:val="24"/>
          <w:szCs w:val="24"/>
          <w14:textFill>
            <w14:solidFill>
              <w14:schemeClr w14:val="tx1"/>
            </w14:solidFill>
          </w14:textFill>
        </w:rPr>
        <w:t>并</w:t>
      </w:r>
      <w:r>
        <w:rPr>
          <w:rFonts w:hint="eastAsia" w:ascii="宋体" w:hAnsi="宋体" w:cs="宋体"/>
          <w:color w:val="000000" w:themeColor="text1"/>
          <w:sz w:val="24"/>
          <w:szCs w:val="24"/>
          <w14:textFill>
            <w14:solidFill>
              <w14:schemeClr w14:val="tx1"/>
            </w14:solidFill>
          </w14:textFill>
        </w:rPr>
        <w:t>在</w:t>
      </w:r>
      <w:r>
        <w:rPr>
          <w:rFonts w:ascii="宋体" w:hAnsi="宋体" w:cs="宋体"/>
          <w:color w:val="000000" w:themeColor="text1"/>
          <w:sz w:val="24"/>
          <w:szCs w:val="24"/>
          <w14:textFill>
            <w14:solidFill>
              <w14:schemeClr w14:val="tx1"/>
            </w14:solidFill>
          </w14:textFill>
        </w:rPr>
        <w:t>2小时内响应，36小时内修复，未履行的每次扣除6000元；同时</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w:t>
      </w:r>
      <w:r>
        <w:rPr>
          <w:rFonts w:ascii="宋体" w:hAnsi="宋体" w:cs="宋体"/>
          <w:color w:val="000000" w:themeColor="text1"/>
          <w:sz w:val="24"/>
          <w:szCs w:val="24"/>
          <w14:textFill>
            <w14:solidFill>
              <w14:schemeClr w14:val="tx1"/>
            </w14:solidFill>
          </w14:textFill>
        </w:rPr>
        <w:t>协助</w:t>
      </w:r>
      <w:r>
        <w:rPr>
          <w:rFonts w:hint="eastAsia" w:ascii="宋体" w:hAnsi="宋体" w:cs="宋体"/>
          <w:color w:val="000000" w:themeColor="text1"/>
          <w:sz w:val="24"/>
          <w:szCs w:val="24"/>
          <w14:textFill>
            <w14:solidFill>
              <w14:schemeClr w14:val="tx1"/>
            </w14:solidFill>
          </w14:textFill>
        </w:rPr>
        <w:t>中标方</w:t>
      </w:r>
      <w:r>
        <w:rPr>
          <w:rFonts w:ascii="宋体" w:hAnsi="宋体" w:cs="宋体"/>
          <w:color w:val="000000" w:themeColor="text1"/>
          <w:sz w:val="24"/>
          <w:szCs w:val="24"/>
          <w14:textFill>
            <w14:solidFill>
              <w14:schemeClr w14:val="tx1"/>
            </w14:solidFill>
          </w14:textFill>
        </w:rPr>
        <w:t>索赔；特殊情况，经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或或使用人</w:t>
      </w:r>
      <w:r>
        <w:rPr>
          <w:rFonts w:ascii="宋体" w:hAnsi="宋体" w:cs="宋体"/>
          <w:color w:val="000000" w:themeColor="text1"/>
          <w:sz w:val="24"/>
          <w:szCs w:val="24"/>
          <w14:textFill>
            <w14:solidFill>
              <w14:schemeClr w14:val="tx1"/>
            </w14:solidFill>
          </w14:textFill>
        </w:rPr>
        <w:t>书面同意，可以延长修复时间。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中标人每日应当对所有摄像机等设备运行情况进行检查，并生成每日巡检结果报告，在当日提交业主方或监理单位，每月第一周星期五提交上月巡检结果及运行情况分析，中标人需要对所提交报告的真实性负责，如发现有弄虚作假等行为按10000元/次扣除费用。</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中标人至少每月对每个点位进行一次定期巡检，并记录相关报告（一式两份），由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w:t>
      </w:r>
      <w:r>
        <w:rPr>
          <w:rFonts w:hint="eastAsia" w:ascii="宋体" w:hAnsi="宋体"/>
          <w:color w:val="000000" w:themeColor="text1"/>
          <w:sz w:val="24"/>
          <w:szCs w:val="24"/>
          <w14:textFill>
            <w14:solidFill>
              <w14:schemeClr w14:val="tx1"/>
            </w14:solidFill>
          </w14:textFill>
        </w:rPr>
        <w:t>和监理单位书面签字确认，未履行的每次扣款3000元，并补交巡检报告。应对所有设备做到保养维护、性能测试工作，对系统进行优化等，记录维护报告，由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w:t>
      </w:r>
      <w:r>
        <w:rPr>
          <w:rFonts w:hint="eastAsia" w:ascii="宋体" w:hAnsi="宋体"/>
          <w:color w:val="000000" w:themeColor="text1"/>
          <w:sz w:val="24"/>
          <w:szCs w:val="24"/>
          <w14:textFill>
            <w14:solidFill>
              <w14:schemeClr w14:val="tx1"/>
            </w14:solidFill>
          </w14:textFill>
        </w:rPr>
        <w:t>和监理单位书面签字确认，未履行的每次扣款5000元，并补交维护报告。</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、平时在日常巡检过程中，摄像机的图像效果因灰尘等影响造成不清晰的，中标人应在接到故障申告24小时内排除故障，未履行的每次每个摄像机扣款1000元，如遇树枝遮挡等问题造成不清晰的，中标人应配合</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（或使用人）排除故障，不配合的每次扣款500元。</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管道、基础、窨井、线缆等破损的（排除不可抗力及人为破坏造成的情况），应2小时内响应，并在48小时内修复，未履行的每次扣款5000元，故障超过48小时仍未解决的，另按500元/天扣除费用，直至故障修复为止。特殊情况，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（或使用人）同意，可以延长修复时间。</w:t>
      </w:r>
    </w:p>
    <w:p>
      <w:pPr>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、设备修复后，中标人须提供一式两份报告给</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（或使用人）或监理单位，包括故障原因，解决措施完成修理所需时间及恢复正常运行日期。</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、中标人应从召开项目启动会次日起至项目通过验收止，按</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（或使用人）要求在每日19时前通过微信工作群上报截止当日17时的工作进度，不汇报工作进度的</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（或使用人）有权每次扣除1000元/次维护费用，不按时汇报工作进度的</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（或使用人）有权每次扣除500元/次维护费用。中标人需按招、投标文件等要求做好相应工作及配合</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（或使用人）完成相关建设项目的档案管理工作，否则</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 xml:space="preserve">（或使用人）有权扣除500元/次/天维护费用。  </w:t>
      </w:r>
    </w:p>
    <w:p>
      <w:pPr>
        <w:spacing w:line="360" w:lineRule="auto"/>
        <w:ind w:left="174" w:leftChars="83" w:firstLine="240" w:firstLineChars="100"/>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中标人</w:t>
      </w:r>
      <w:r>
        <w:rPr>
          <w:rFonts w:hint="eastAsia" w:ascii="宋体" w:hAnsi="宋体" w:cs="宋体"/>
          <w:color w:val="000000" w:themeColor="text1"/>
          <w:sz w:val="24"/>
          <w:szCs w:val="24"/>
          <w:lang w:eastAsia="zh-CN"/>
          <w14:textFill>
            <w14:solidFill>
              <w14:schemeClr w14:val="tx1"/>
            </w14:solidFill>
          </w14:textFill>
        </w:rPr>
        <w:t>应配合采购人将原有信号灯及配套设备进行拆除（费用包含在报价内），并将相应</w:t>
      </w:r>
      <w:r>
        <w:rPr>
          <w:rFonts w:hint="eastAsia" w:ascii="宋体" w:hAnsi="宋体" w:cs="宋体"/>
          <w:color w:val="000000" w:themeColor="text1"/>
          <w:sz w:val="24"/>
          <w:szCs w:val="24"/>
          <w:lang w:val="en-US" w:eastAsia="zh-CN"/>
          <w14:textFill>
            <w14:solidFill>
              <w14:schemeClr w14:val="tx1"/>
            </w14:solidFill>
          </w14:textFill>
        </w:rPr>
        <w:t>无法利旧的</w:t>
      </w:r>
      <w:r>
        <w:rPr>
          <w:rFonts w:hint="eastAsia" w:ascii="宋体" w:hAnsi="宋体" w:cs="宋体"/>
          <w:color w:val="000000" w:themeColor="text1"/>
          <w:sz w:val="24"/>
          <w:szCs w:val="24"/>
          <w:lang w:eastAsia="zh-CN"/>
          <w14:textFill>
            <w14:solidFill>
              <w14:schemeClr w14:val="tx1"/>
            </w14:solidFill>
          </w14:textFill>
        </w:rPr>
        <w:t>设备移交</w:t>
      </w:r>
      <w:r>
        <w:rPr>
          <w:rFonts w:hint="eastAsia" w:asciiTheme="minorEastAsia" w:hAnsiTheme="minorEastAsia" w:eastAsiaTheme="minorEastAsia"/>
          <w:color w:val="000000" w:themeColor="text1"/>
          <w:kern w:val="0"/>
          <w:sz w:val="24"/>
          <w:szCs w:val="24"/>
          <w14:textFill>
            <w14:solidFill>
              <w14:schemeClr w14:val="tx1"/>
            </w14:solidFill>
          </w14:textFill>
        </w:rPr>
        <w:t>台州市路泽太高架快速路有限公司</w:t>
      </w:r>
      <w:r>
        <w:rPr>
          <w:rFonts w:hint="eastAsia" w:asciiTheme="minorEastAsia" w:hAnsiTheme="minorEastAsia" w:eastAsiaTheme="minorEastAsia"/>
          <w:color w:val="000000" w:themeColor="text1"/>
          <w:kern w:val="0"/>
          <w:sz w:val="24"/>
          <w:szCs w:val="24"/>
          <w:lang w:eastAsia="zh-CN"/>
          <w14:textFill>
            <w14:solidFill>
              <w14:schemeClr w14:val="tx1"/>
            </w14:solidFill>
          </w14:textFill>
        </w:rPr>
        <w:t>处理</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w:t>
      </w:r>
      <w:r>
        <w:rPr>
          <w:rFonts w:hint="eastAsia"/>
          <w:color w:val="000000" w:themeColor="text1"/>
          <w:sz w:val="24"/>
          <w:szCs w:val="24"/>
          <w:lang w:val="zh-CN"/>
          <w14:textFill>
            <w14:solidFill>
              <w14:schemeClr w14:val="tx1"/>
            </w14:solidFill>
          </w14:textFill>
        </w:rPr>
        <w:t>合同签订、工期及</w:t>
      </w:r>
      <w:r>
        <w:rPr>
          <w:rFonts w:hint="eastAsia" w:ascii="宋体" w:hAnsi="宋体" w:cs="宋体"/>
          <w:color w:val="000000" w:themeColor="text1"/>
          <w:sz w:val="24"/>
          <w:szCs w:val="24"/>
          <w:lang w:val="zh-CN"/>
          <w14:textFill>
            <w14:solidFill>
              <w14:schemeClr w14:val="tx1"/>
            </w14:solidFill>
          </w14:textFill>
        </w:rPr>
        <w:t>履约保证金</w:t>
      </w:r>
    </w:p>
    <w:p>
      <w:pPr>
        <w:numPr>
          <w:ilvl w:val="0"/>
          <w:numId w:val="0"/>
        </w:numPr>
        <w:spacing w:line="360" w:lineRule="auto"/>
        <w:ind w:firstLine="482" w:firstLineChars="200"/>
        <w:rPr>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根据台州市人民政府[2020]24号专题会议纪要的要求，本项目所需经费由台州市路泽太高架快速路有限公司支出，中标人需与台州市公安局交通警察局及台州市路泽太高架快速路有限公司签订三方合同。</w:t>
      </w:r>
      <w:r>
        <w:rPr>
          <w:rFonts w:hint="eastAsia"/>
          <w:b/>
          <w:bCs/>
          <w:color w:val="000000" w:themeColor="text1"/>
          <w:sz w:val="24"/>
          <w:szCs w:val="24"/>
          <w:highlight w:val="none"/>
          <w14:textFill>
            <w14:solidFill>
              <w14:schemeClr w14:val="tx1"/>
            </w14:solidFill>
          </w14:textFill>
        </w:rPr>
        <w:t>本项目需在2020年12月20日通过初验，</w:t>
      </w:r>
      <w:r>
        <w:rPr>
          <w:rFonts w:hint="eastAsia"/>
          <w:b/>
          <w:bCs/>
          <w:color w:val="000000" w:themeColor="text1"/>
          <w:sz w:val="24"/>
          <w:szCs w:val="24"/>
          <w:highlight w:val="none"/>
          <w:lang w:eastAsia="zh-CN"/>
          <w14:textFill>
            <w14:solidFill>
              <w14:schemeClr w14:val="tx1"/>
            </w14:solidFill>
          </w14:textFill>
        </w:rPr>
        <w:t>经试运行</w:t>
      </w:r>
      <w:r>
        <w:rPr>
          <w:rFonts w:hint="eastAsia"/>
          <w:b/>
          <w:bCs/>
          <w:color w:val="000000" w:themeColor="text1"/>
          <w:sz w:val="24"/>
          <w:szCs w:val="24"/>
          <w:highlight w:val="none"/>
          <w:lang w:val="en-US" w:eastAsia="zh-CN"/>
          <w14:textFill>
            <w14:solidFill>
              <w14:schemeClr w14:val="tx1"/>
            </w14:solidFill>
          </w14:textFill>
        </w:rPr>
        <w:t>2年后，进行项目最终验收。</w:t>
      </w:r>
      <w:r>
        <w:rPr>
          <w:rFonts w:hint="eastAsia" w:ascii="宋体" w:hAnsi="宋体" w:cs="宋体"/>
          <w:b/>
          <w:bCs/>
          <w:color w:val="000000" w:themeColor="text1"/>
          <w:sz w:val="24"/>
          <w:szCs w:val="24"/>
          <w:highlight w:val="none"/>
          <w14:textFill>
            <w14:solidFill>
              <w14:schemeClr w14:val="tx1"/>
            </w14:solidFill>
          </w14:textFill>
        </w:rPr>
        <w:t>本项目</w:t>
      </w:r>
      <w:r>
        <w:rPr>
          <w:rFonts w:hint="eastAsia" w:ascii="宋体" w:hAnsi="宋体" w:cs="宋体"/>
          <w:b/>
          <w:bCs/>
          <w:color w:val="000000" w:themeColor="text1"/>
          <w:sz w:val="24"/>
          <w:szCs w:val="24"/>
          <w:highlight w:val="none"/>
          <w:lang w:val="zh-CN"/>
          <w14:textFill>
            <w14:solidFill>
              <w14:schemeClr w14:val="tx1"/>
            </w14:solidFill>
          </w14:textFill>
        </w:rPr>
        <w:t>履约保证金为合同金额的</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%，在</w:t>
      </w:r>
      <w:r>
        <w:rPr>
          <w:rFonts w:hint="eastAsia" w:hAnsi="宋体" w:cs="宋体"/>
          <w:b/>
          <w:bCs/>
          <w:color w:val="000000" w:themeColor="text1"/>
          <w:sz w:val="24"/>
          <w:szCs w:val="24"/>
          <w:highlight w:val="none"/>
          <w14:textFill>
            <w14:solidFill>
              <w14:schemeClr w14:val="tx1"/>
            </w14:solidFill>
          </w14:textFill>
        </w:rPr>
        <w:t>合同签订后30日内提交</w:t>
      </w:r>
      <w:r>
        <w:rPr>
          <w:rFonts w:hint="eastAsia" w:hAnsi="宋体" w:cs="宋体"/>
          <w:b/>
          <w:bCs/>
          <w:color w:val="000000" w:themeColor="text1"/>
          <w:sz w:val="24"/>
          <w:szCs w:val="24"/>
          <w:highlight w:val="none"/>
          <w:lang w:eastAsia="zh-CN"/>
          <w14:textFill>
            <w14:solidFill>
              <w14:schemeClr w14:val="tx1"/>
            </w14:solidFill>
          </w14:textFill>
        </w:rPr>
        <w:t>采购人</w:t>
      </w:r>
      <w:r>
        <w:rPr>
          <w:rFonts w:hint="eastAsia" w:hAnsi="宋体" w:cs="宋体"/>
          <w:b/>
          <w:bCs/>
          <w:color w:val="000000" w:themeColor="text1"/>
          <w:sz w:val="24"/>
          <w:szCs w:val="24"/>
          <w:highlight w:val="none"/>
          <w14:textFill>
            <w14:solidFill>
              <w14:schemeClr w14:val="tx1"/>
            </w14:solidFill>
          </w14:textFill>
        </w:rPr>
        <w:t>。</w:t>
      </w:r>
    </w:p>
    <w:p>
      <w:pPr>
        <w:rPr>
          <w:rFonts w:hint="eastAsia" w:hAnsi="宋体" w:cs="宋体"/>
          <w:b/>
          <w:bCs/>
          <w:color w:val="000000" w:themeColor="text1"/>
          <w:sz w:val="24"/>
          <w:szCs w:val="24"/>
          <w:highlight w:val="none"/>
          <w:lang w:eastAsia="zh-CN"/>
          <w14:textFill>
            <w14:solidFill>
              <w14:schemeClr w14:val="tx1"/>
            </w14:solidFill>
          </w14:textFill>
        </w:rPr>
      </w:pPr>
    </w:p>
    <w:p>
      <w:pPr>
        <w:pStyle w:val="6"/>
        <w:numPr>
          <w:ilvl w:val="0"/>
          <w:numId w:val="15"/>
        </w:numPr>
        <w:ind w:left="420" w:leftChars="200"/>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项目点位清单（具体详见设计图纸）</w:t>
      </w:r>
    </w:p>
    <w:p>
      <w:pPr>
        <w:pStyle w:val="8"/>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1、高架点位</w:t>
      </w:r>
    </w:p>
    <w:tbl>
      <w:tblPr>
        <w:tblStyle w:val="23"/>
        <w:tblW w:w="8333" w:type="dxa"/>
        <w:jc w:val="center"/>
        <w:tblInd w:w="0" w:type="dxa"/>
        <w:tblLayout w:type="fixed"/>
        <w:tblCellMar>
          <w:top w:w="0" w:type="dxa"/>
          <w:left w:w="0" w:type="dxa"/>
          <w:bottom w:w="0" w:type="dxa"/>
          <w:right w:w="0" w:type="dxa"/>
        </w:tblCellMar>
      </w:tblPr>
      <w:tblGrid>
        <w:gridCol w:w="730"/>
        <w:gridCol w:w="3096"/>
        <w:gridCol w:w="3063"/>
        <w:gridCol w:w="1444"/>
      </w:tblGrid>
      <w:tr>
        <w:tblPrEx>
          <w:tblLayout w:type="fixed"/>
          <w:tblCellMar>
            <w:top w:w="0" w:type="dxa"/>
            <w:left w:w="0" w:type="dxa"/>
            <w:bottom w:w="0" w:type="dxa"/>
            <w:right w:w="0" w:type="dxa"/>
          </w:tblCellMar>
        </w:tblPrEx>
        <w:trPr>
          <w:trHeight w:val="77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点位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建设类型</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k0+770北往南上匝道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K1+180南往北下匝道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K1+442主线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K1+578北往南下匝道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K1+922主线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K2+015南往北上匝道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K2+440北往南上匝道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K2+807南往北下匝道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64"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K3+080主线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K3+080主线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卡口监控、微波流量监测</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K3+992主线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K4+050主线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固定式测速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K4+301主线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卡口监控、微波流量监测</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K4+528北往南下匝道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K4+915 南往北上匝道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K5+335北往南上匝道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卡口监控屏、交通信号灯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K5+777南往北下匝道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K6+024主线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K6+780南往北下匝道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WNK1+100机场枢纽</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K7+050机场枢纽</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K7+100机场枢纽</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K7+200机场枢纽</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K7+250机场枢纽</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K7+515主线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K7+515南往北下匝道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ESK1+100主线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K8+000主线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K8+000北往南下匝道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K8+050南往北测速</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固定式测速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K8+432南往北上匝道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K8+500主线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K11+032.5主线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K11+500主线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K12+010主线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K12+050主线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固定式测速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K12+610北往南下匝道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K12+997南往北上匝道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K13+000主线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K13+433北往南上匝道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K13+500主线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K13+822南往北下匝道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K14+054主线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K14+054主线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卡口监控、微波流量监测</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K15+025主线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K15+362主线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卡口监控、微波流量监测</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K15+362主线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K15+525北往南下匝道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K15+890南往北上匝道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K16+050主线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固定式测速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K18+000主线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K18+500主线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K18+785南往北上匝道</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卡口监控、交通信号灯</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K18+868主线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K18+868主线</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卡口监视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bl>
    <w:p>
      <w:pPr>
        <w:pStyle w:val="8"/>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2、地面点位</w:t>
      </w:r>
    </w:p>
    <w:tbl>
      <w:tblPr>
        <w:tblStyle w:val="23"/>
        <w:tblW w:w="8333" w:type="dxa"/>
        <w:jc w:val="center"/>
        <w:tblInd w:w="0" w:type="dxa"/>
        <w:tblLayout w:type="fixed"/>
        <w:tblCellMar>
          <w:top w:w="0" w:type="dxa"/>
          <w:left w:w="0" w:type="dxa"/>
          <w:bottom w:w="0" w:type="dxa"/>
          <w:right w:w="0" w:type="dxa"/>
        </w:tblCellMar>
      </w:tblPr>
      <w:tblGrid>
        <w:gridCol w:w="730"/>
        <w:gridCol w:w="3096"/>
        <w:gridCol w:w="3063"/>
        <w:gridCol w:w="1444"/>
      </w:tblGrid>
      <w:tr>
        <w:tblPrEx>
          <w:tblLayout w:type="fixed"/>
          <w:tblCellMar>
            <w:top w:w="0" w:type="dxa"/>
            <w:left w:w="0" w:type="dxa"/>
            <w:bottom w:w="0" w:type="dxa"/>
            <w:right w:w="0" w:type="dxa"/>
          </w:tblCellMar>
        </w:tblPrEx>
        <w:trPr>
          <w:trHeight w:val="77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点位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建设类型</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K1+064主线北往南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K1+082主线南往北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K1+850主线北往南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K1+860主线南往北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K2+500主线北往南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K2+500地面南往北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K3+046主线北往南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K3+046主线南往北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K3+689主线北往南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64"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K3+689主线南往北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K3+983主线北往南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K3+983主线南往北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K4+690主线北往南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K4+695主线南往北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K5+700主线北往南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K5+657主线南往北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K5+967主线北往南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K5+967主线南往北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K6+742主线北往南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K6+742主线南往北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K7+637主线北往南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K7+637主线南往北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K9+065主线北往南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K9+065主线南往北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K9+400主线北往南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K9+400主线南往北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K9+450主线北往南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固定式测速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K9+727主线北往南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K9+727主线南往北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K10+062主线北往南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K10+062主线南往北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K10+839主线北往南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K10+839主线南往北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K11+166主线北往南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K11+166主线南往北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K12+162主线北往南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K12+162主线南往北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K12+545主线北往南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K12+545主线南往北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K12+900主线北往南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K12+900主线南往北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K13+850主线北往南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K13+850主线南往北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K14+110主线北往南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K14+110主线南往北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K14+768主线北往南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K14+768主线南往北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K15+035主线北往南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K15+035主线南往北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K15+750主线北往南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K15+750主线南往北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K16+060主线北往南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K16+060主线南往北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K16+350主线北往南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K16+350主线南往北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K16+657主线北往南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K16+657主线南往北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K16+960主线北往南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K16+960主线南往北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K17+258主线北往南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K17+258主线南往北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K17+460主线南往北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固定式测速</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K17+560主线北往南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K17+560主线南往北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K17+860主线北往南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K17+860主线南往北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K18+145主线北往南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K18+145主线南往北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YK19+400主线北往南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ZK19+400主线南往北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YK20+000主线北往南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ZK20+000主线南往北</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交通监视</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bl>
    <w:p>
      <w:pPr>
        <w:pStyle w:val="8"/>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3、地面水平交叉口点位</w:t>
      </w:r>
    </w:p>
    <w:tbl>
      <w:tblPr>
        <w:tblStyle w:val="23"/>
        <w:tblW w:w="8793" w:type="dxa"/>
        <w:jc w:val="center"/>
        <w:tblInd w:w="0" w:type="dxa"/>
        <w:tblLayout w:type="fixed"/>
        <w:tblCellMar>
          <w:top w:w="0" w:type="dxa"/>
          <w:left w:w="0" w:type="dxa"/>
          <w:bottom w:w="0" w:type="dxa"/>
          <w:right w:w="0" w:type="dxa"/>
        </w:tblCellMar>
      </w:tblPr>
      <w:tblGrid>
        <w:gridCol w:w="591"/>
        <w:gridCol w:w="4439"/>
        <w:gridCol w:w="3184"/>
        <w:gridCol w:w="579"/>
      </w:tblGrid>
      <w:tr>
        <w:tblPrEx>
          <w:tblLayout w:type="fixed"/>
          <w:tblCellMar>
            <w:top w:w="0" w:type="dxa"/>
            <w:left w:w="0" w:type="dxa"/>
            <w:bottom w:w="0" w:type="dxa"/>
            <w:right w:w="0" w:type="dxa"/>
          </w:tblCellMar>
        </w:tblPrEx>
        <w:trPr>
          <w:trHeight w:val="771"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w:t>
            </w:r>
          </w:p>
        </w:tc>
        <w:tc>
          <w:tcPr>
            <w:tcW w:w="3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建设类型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55"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K0+000东环大道与路泽太一级公路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K1+506腾达路与路泽太一级公路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K2+206东路桥大道与路泽太一级公路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89"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K2+759卖芝桥路与路泽太一级公路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K3+342下里桥路与路泽太一级公路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K4+355老机场路与路泽太一级公路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K5+100迎宾大道与路泽太一级公路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K6+387下陶与路泽太一级公路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K7+154南山与洋屿与路泽太一级公路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64"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K8+017路桥区路泽太一级公路与花木城路口</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K8+633白剑线与路泽太一级公路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K10+450钟家村与路泽太一级公路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K11+619幸福路与路泽太一级公路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K13+209泽国复线与路泽太一级公路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K14+402乡道（中心大道）与路泽太一级公路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K15+389牧联路（双峰大道）与路泽太一级公路</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K16+757麻车大道与路泽太一级公路与路口</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w:t>
            </w:r>
          </w:p>
        </w:tc>
        <w:tc>
          <w:tcPr>
            <w:tcW w:w="4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K18+497双南路与路泽太一级公路路口</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信号灯、电子警察、微波流量监测</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bl>
    <w:p>
      <w:pPr>
        <w:pStyle w:val="8"/>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4、其他点位</w:t>
      </w:r>
    </w:p>
    <w:p>
      <w:pPr>
        <w:pStyle w:val="9"/>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4.1、主线龙门架LED条屏点位</w:t>
      </w:r>
    </w:p>
    <w:tbl>
      <w:tblPr>
        <w:tblStyle w:val="23"/>
        <w:tblW w:w="8333" w:type="dxa"/>
        <w:tblInd w:w="0" w:type="dxa"/>
        <w:tblLayout w:type="fixed"/>
        <w:tblCellMar>
          <w:top w:w="0" w:type="dxa"/>
          <w:left w:w="0" w:type="dxa"/>
          <w:bottom w:w="0" w:type="dxa"/>
          <w:right w:w="0" w:type="dxa"/>
        </w:tblCellMar>
      </w:tblPr>
      <w:tblGrid>
        <w:gridCol w:w="452"/>
        <w:gridCol w:w="2506"/>
        <w:gridCol w:w="3393"/>
        <w:gridCol w:w="1982"/>
      </w:tblGrid>
      <w:tr>
        <w:tblPrEx>
          <w:tblLayout w:type="fixed"/>
          <w:tblCellMar>
            <w:top w:w="0" w:type="dxa"/>
            <w:left w:w="0" w:type="dxa"/>
            <w:bottom w:w="0" w:type="dxa"/>
            <w:right w:w="0" w:type="dxa"/>
          </w:tblCellMar>
        </w:tblPrEx>
        <w:trPr>
          <w:trHeight w:val="81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名称</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桩号</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1号高架主线LED条屏</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南往北K1+801</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借用交安龙门架</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2号高架主线LED条屏</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北往南K2+001</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借用交安龙门架</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3号高架主线LED条屏</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南往北K10+932.5</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借用交安龙门架</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4号高架主线LED条屏</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北往南K11+132.5</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借用交安龙门架</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5号地面主线LED条屏</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北往南K18+868</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6号地面主线LED条屏</w:t>
            </w:r>
          </w:p>
        </w:tc>
        <w:tc>
          <w:tcPr>
            <w:tcW w:w="3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南往北K18+868</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bl>
    <w:p>
      <w:pPr>
        <w:pStyle w:val="9"/>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4.2、匝道龙门架LED条屏点位</w:t>
      </w:r>
    </w:p>
    <w:tbl>
      <w:tblPr>
        <w:tblStyle w:val="23"/>
        <w:tblW w:w="8333" w:type="dxa"/>
        <w:tblInd w:w="0" w:type="dxa"/>
        <w:tblLayout w:type="fixed"/>
        <w:tblCellMar>
          <w:top w:w="0" w:type="dxa"/>
          <w:left w:w="0" w:type="dxa"/>
          <w:bottom w:w="0" w:type="dxa"/>
          <w:right w:w="0" w:type="dxa"/>
        </w:tblCellMar>
      </w:tblPr>
      <w:tblGrid>
        <w:gridCol w:w="452"/>
        <w:gridCol w:w="2449"/>
        <w:gridCol w:w="3468"/>
        <w:gridCol w:w="1964"/>
      </w:tblGrid>
      <w:tr>
        <w:tblPrEx>
          <w:tblLayout w:type="fixed"/>
          <w:tblCellMar>
            <w:top w:w="0" w:type="dxa"/>
            <w:left w:w="0" w:type="dxa"/>
            <w:bottom w:w="0" w:type="dxa"/>
            <w:right w:w="0" w:type="dxa"/>
          </w:tblCellMar>
        </w:tblPrEx>
        <w:trPr>
          <w:trHeight w:val="81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名称</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桩号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北往南上匝道k0+770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南往北上匝道K2+015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北往南上匝道K2+440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南往北上匝道K4+915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北往南上匝道K5+335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南往北上匝道K8+432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南往北上匝道K12+997</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北往南上匝道K13+433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南往北上匝道K15+890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r>
        <w:tblPrEx>
          <w:tblLayout w:type="fixed"/>
          <w:tblCellMar>
            <w:top w:w="0" w:type="dxa"/>
            <w:left w:w="0" w:type="dxa"/>
            <w:bottom w:w="0" w:type="dxa"/>
            <w:right w:w="0" w:type="dxa"/>
          </w:tblCellMar>
        </w:tblPrEx>
        <w:trPr>
          <w:trHeight w:val="40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10号高架匝道LED条屏</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南往北上匝道K18+785</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龙门架自建</w:t>
            </w:r>
          </w:p>
        </w:tc>
      </w:tr>
    </w:tbl>
    <w:p>
      <w:pPr>
        <w:pStyle w:val="9"/>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4.3、道路交通LED诱导屏（F型）点位</w:t>
      </w:r>
    </w:p>
    <w:tbl>
      <w:tblPr>
        <w:tblStyle w:val="23"/>
        <w:tblW w:w="8333" w:type="dxa"/>
        <w:tblInd w:w="0" w:type="dxa"/>
        <w:tblLayout w:type="fixed"/>
        <w:tblCellMar>
          <w:top w:w="0" w:type="dxa"/>
          <w:left w:w="0" w:type="dxa"/>
          <w:bottom w:w="0" w:type="dxa"/>
          <w:right w:w="0" w:type="dxa"/>
        </w:tblCellMar>
      </w:tblPr>
      <w:tblGrid>
        <w:gridCol w:w="1252"/>
        <w:gridCol w:w="2172"/>
        <w:gridCol w:w="4909"/>
      </w:tblGrid>
      <w:tr>
        <w:tblPrEx>
          <w:tblLayout w:type="fixed"/>
          <w:tblCellMar>
            <w:top w:w="0" w:type="dxa"/>
            <w:left w:w="0" w:type="dxa"/>
            <w:bottom w:w="0" w:type="dxa"/>
            <w:right w:w="0" w:type="dxa"/>
          </w:tblCellMar>
        </w:tblPrEx>
        <w:trPr>
          <w:trHeight w:val="402" w:hRule="atLeast"/>
        </w:trPr>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1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名称</w:t>
            </w:r>
          </w:p>
        </w:tc>
        <w:tc>
          <w:tcPr>
            <w:tcW w:w="49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02" w:hRule="atLeast"/>
        </w:trPr>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c>
          <w:tcPr>
            <w:tcW w:w="49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1号LED诱导屏</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杆件自建、点位根据道路开通后实际情况调整</w:t>
            </w:r>
          </w:p>
        </w:tc>
      </w:tr>
      <w:tr>
        <w:tblPrEx>
          <w:tblLayout w:type="fixed"/>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2号LED诱导屏</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杆件自建、点位根据道路开通后实际情况调整</w:t>
            </w:r>
          </w:p>
        </w:tc>
      </w:tr>
      <w:tr>
        <w:tblPrEx>
          <w:tblLayout w:type="fixed"/>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3号LED诱导屏</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杆件自建、点位根据道路开通后实际情况调整</w:t>
            </w:r>
          </w:p>
        </w:tc>
      </w:tr>
      <w:tr>
        <w:tblPrEx>
          <w:tblLayout w:type="fixed"/>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4号LED诱导屏</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杆件自建、点位根据道路开通后实际情况调整</w:t>
            </w:r>
          </w:p>
        </w:tc>
      </w:tr>
      <w:tr>
        <w:tblPrEx>
          <w:tblLayout w:type="fixed"/>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5号LED诱导屏</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杆件自建、点位根据道路开通后实际情况调整</w:t>
            </w:r>
          </w:p>
        </w:tc>
      </w:tr>
      <w:tr>
        <w:tblPrEx>
          <w:tblLayout w:type="fixed"/>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6号LED诱导屏</w:t>
            </w:r>
          </w:p>
        </w:tc>
        <w:tc>
          <w:tcPr>
            <w:tcW w:w="4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杆件自建、点位根据道路开通后实际情况调整</w:t>
            </w:r>
          </w:p>
        </w:tc>
      </w:tr>
    </w:tbl>
    <w:p>
      <w:pPr>
        <w:pStyle w:val="9"/>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w:t>
      </w:r>
      <w:r>
        <w:rPr>
          <w:rFonts w:hint="eastAsia" w:asciiTheme="minorEastAsia" w:hAnsiTheme="minorEastAsia" w:eastAsiaTheme="minorEastAsia" w:cstheme="minorEastAsia"/>
          <w:color w:val="000000" w:themeColor="text1"/>
          <w:sz w:val="24"/>
          <w:szCs w:val="24"/>
          <w14:textFill>
            <w14:solidFill>
              <w14:schemeClr w14:val="tx1"/>
            </w14:solidFill>
          </w14:textFill>
        </w:rPr>
        <w:t>交安工程建设</w:t>
      </w:r>
      <w:r>
        <w:rPr>
          <w:rFonts w:hint="eastAsia"/>
          <w:color w:val="000000" w:themeColor="text1"/>
          <w:sz w:val="24"/>
          <w:szCs w:val="24"/>
          <w14:textFill>
            <w14:solidFill>
              <w14:schemeClr w14:val="tx1"/>
            </w14:solidFill>
          </w14:textFill>
        </w:rPr>
        <w:t>高架LED诱导屏（F型）接入</w:t>
      </w:r>
    </w:p>
    <w:tbl>
      <w:tblPr>
        <w:tblStyle w:val="23"/>
        <w:tblW w:w="8336" w:type="dxa"/>
        <w:tblInd w:w="0" w:type="dxa"/>
        <w:tblLayout w:type="fixed"/>
        <w:tblCellMar>
          <w:top w:w="0" w:type="dxa"/>
          <w:left w:w="0" w:type="dxa"/>
          <w:bottom w:w="0" w:type="dxa"/>
          <w:right w:w="0" w:type="dxa"/>
        </w:tblCellMar>
      </w:tblPr>
      <w:tblGrid>
        <w:gridCol w:w="999"/>
        <w:gridCol w:w="3139"/>
        <w:gridCol w:w="2849"/>
        <w:gridCol w:w="1349"/>
      </w:tblGrid>
      <w:tr>
        <w:tblPrEx>
          <w:tblLayout w:type="fixed"/>
          <w:tblCellMar>
            <w:top w:w="0" w:type="dxa"/>
            <w:left w:w="0" w:type="dxa"/>
            <w:bottom w:w="0" w:type="dxa"/>
            <w:right w:w="0" w:type="dxa"/>
          </w:tblCellMar>
        </w:tblPrEx>
        <w:trPr>
          <w:trHeight w:val="489"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2"/>
              <w:jc w:val="center"/>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lang w:bidi="ar"/>
                <w14:textFill>
                  <w14:solidFill>
                    <w14:schemeClr w14:val="tx1"/>
                  </w14:solidFill>
                </w14:textFill>
              </w:rPr>
              <w:t>序号</w:t>
            </w:r>
          </w:p>
        </w:tc>
        <w:tc>
          <w:tcPr>
            <w:tcW w:w="31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2"/>
              <w:jc w:val="center"/>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lang w:bidi="ar"/>
                <w14:textFill>
                  <w14:solidFill>
                    <w14:schemeClr w14:val="tx1"/>
                  </w14:solidFill>
                </w14:textFill>
              </w:rPr>
              <w:t>名称</w:t>
            </w:r>
          </w:p>
        </w:tc>
        <w:tc>
          <w:tcPr>
            <w:tcW w:w="28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2"/>
              <w:jc w:val="center"/>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lang w:bidi="ar"/>
                <w14:textFill>
                  <w14:solidFill>
                    <w14:schemeClr w14:val="tx1"/>
                  </w14:solidFill>
                </w14:textFill>
              </w:rPr>
              <w:t>备注</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2"/>
              <w:jc w:val="center"/>
              <w:textAlignment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0"/>
                <w:sz w:val="24"/>
                <w:szCs w:val="24"/>
                <w:lang w:bidi="ar"/>
                <w14:textFill>
                  <w14:solidFill>
                    <w14:schemeClr w14:val="tx1"/>
                  </w14:solidFill>
                </w14:textFill>
              </w:rPr>
              <w:t>桩号</w:t>
            </w:r>
          </w:p>
        </w:tc>
      </w:tr>
      <w:tr>
        <w:tblPrEx>
          <w:tblLayout w:type="fixed"/>
          <w:tblCellMar>
            <w:top w:w="0" w:type="dxa"/>
            <w:left w:w="0" w:type="dxa"/>
            <w:bottom w:w="0" w:type="dxa"/>
            <w:right w:w="0" w:type="dxa"/>
          </w:tblCellMar>
        </w:tblPrEx>
        <w:trPr>
          <w:trHeight w:val="489"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2"/>
              <w:jc w:val="center"/>
              <w:rPr>
                <w:rFonts w:ascii="宋体" w:hAnsi="宋体" w:cs="宋体"/>
                <w:b/>
                <w:color w:val="000000" w:themeColor="text1"/>
                <w:sz w:val="24"/>
                <w:szCs w:val="24"/>
                <w14:textFill>
                  <w14:solidFill>
                    <w14:schemeClr w14:val="tx1"/>
                  </w14:solidFill>
                </w14:textFill>
              </w:rPr>
            </w:pPr>
          </w:p>
        </w:tc>
        <w:tc>
          <w:tcPr>
            <w:tcW w:w="31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2"/>
              <w:jc w:val="center"/>
              <w:rPr>
                <w:rFonts w:ascii="宋体" w:hAnsi="宋体" w:cs="宋体"/>
                <w:b/>
                <w:color w:val="000000" w:themeColor="text1"/>
                <w:sz w:val="24"/>
                <w:szCs w:val="24"/>
                <w14:textFill>
                  <w14:solidFill>
                    <w14:schemeClr w14:val="tx1"/>
                  </w14:solidFill>
                </w14:textFill>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2"/>
              <w:jc w:val="center"/>
              <w:rPr>
                <w:rFonts w:ascii="宋体" w:hAnsi="宋体" w:cs="宋体"/>
                <w:b/>
                <w:color w:val="000000" w:themeColor="text1"/>
                <w:sz w:val="24"/>
                <w:szCs w:val="24"/>
                <w14:textFill>
                  <w14:solidFill>
                    <w14:schemeClr w14:val="tx1"/>
                  </w14:solidFill>
                </w14:textFill>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2"/>
              <w:jc w:val="center"/>
              <w:rPr>
                <w:rFonts w:ascii="宋体" w:hAnsi="宋体" w:cs="宋体"/>
                <w:b/>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1号</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交安工程建设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K1+620</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K3+247</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K4+052</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K6+210</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K6+340</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K7+560</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K7+940</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K12+070</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K14+262</w:t>
            </w:r>
          </w:p>
        </w:tc>
      </w:tr>
      <w:tr>
        <w:tblPrEx>
          <w:tblLayout w:type="fixed"/>
          <w:tblCellMar>
            <w:top w:w="0" w:type="dxa"/>
            <w:left w:w="0" w:type="dxa"/>
            <w:bottom w:w="0" w:type="dxa"/>
            <w:right w:w="0" w:type="dxa"/>
          </w:tblCellMar>
        </w:tblPrEx>
        <w:trPr>
          <w:trHeight w:val="402"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10号交安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工程建设</w:t>
            </w:r>
            <w:r>
              <w:rPr>
                <w:rFonts w:hint="eastAsia"/>
                <w:color w:val="000000" w:themeColor="text1"/>
                <w:sz w:val="24"/>
                <w:szCs w:val="24"/>
                <w14:textFill>
                  <w14:solidFill>
                    <w14:schemeClr w14:val="tx1"/>
                  </w14:solidFill>
                </w14:textFill>
              </w:rPr>
              <w:t>LED信息屏</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需接入交警局指定平台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K15+085</w:t>
            </w:r>
          </w:p>
        </w:tc>
      </w:tr>
    </w:tbl>
    <w:p>
      <w:pPr>
        <w:pStyle w:val="9"/>
        <w:ind w:firstLine="48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4.5、制高点监控点位</w:t>
      </w:r>
    </w:p>
    <w:tbl>
      <w:tblPr>
        <w:tblStyle w:val="23"/>
        <w:tblW w:w="8333" w:type="dxa"/>
        <w:tblInd w:w="0" w:type="dxa"/>
        <w:tblLayout w:type="fixed"/>
        <w:tblCellMar>
          <w:top w:w="0" w:type="dxa"/>
          <w:left w:w="0" w:type="dxa"/>
          <w:bottom w:w="0" w:type="dxa"/>
          <w:right w:w="0" w:type="dxa"/>
        </w:tblCellMar>
      </w:tblPr>
      <w:tblGrid>
        <w:gridCol w:w="1232"/>
        <w:gridCol w:w="2999"/>
        <w:gridCol w:w="4102"/>
      </w:tblGrid>
      <w:tr>
        <w:tblPrEx>
          <w:tblLayout w:type="fixed"/>
          <w:tblCellMar>
            <w:top w:w="0" w:type="dxa"/>
            <w:left w:w="0" w:type="dxa"/>
            <w:bottom w:w="0" w:type="dxa"/>
            <w:right w:w="0" w:type="dxa"/>
          </w:tblCellMar>
        </w:tblPrEx>
        <w:trPr>
          <w:trHeight w:val="814"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名称</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r>
        <w:tblPrEx>
          <w:tblLayout w:type="fixed"/>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点位根据道路开通后实际情况调整</w:t>
            </w:r>
          </w:p>
        </w:tc>
      </w:tr>
    </w:tbl>
    <w:p>
      <w:pPr>
        <w:pStyle w:val="6"/>
        <w:numPr>
          <w:ilvl w:val="0"/>
          <w:numId w:val="0"/>
        </w:numPr>
        <w:ind w:firstLine="0" w:firstLineChars="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五</w:t>
      </w:r>
      <w:r>
        <w:rPr>
          <w:rFonts w:hint="eastAsia"/>
          <w:color w:val="000000" w:themeColor="text1"/>
          <w:sz w:val="24"/>
          <w:szCs w:val="24"/>
          <w14:textFill>
            <w14:solidFill>
              <w14:schemeClr w14:val="tx1"/>
            </w14:solidFill>
          </w14:textFill>
        </w:rPr>
        <w:t>、外场设施</w:t>
      </w:r>
      <w:r>
        <w:rPr>
          <w:rFonts w:hint="eastAsia"/>
          <w:color w:val="000000" w:themeColor="text1"/>
          <w:sz w:val="24"/>
          <w:szCs w:val="24"/>
          <w:lang w:eastAsia="zh-CN"/>
          <w14:textFill>
            <w14:solidFill>
              <w14:schemeClr w14:val="tx1"/>
            </w14:solidFill>
          </w14:textFill>
        </w:rPr>
        <w:t>安装技术要求</w:t>
      </w:r>
      <w:r>
        <w:rPr>
          <w:rFonts w:hint="eastAsia"/>
          <w:color w:val="000000" w:themeColor="text1"/>
          <w:sz w:val="24"/>
          <w:szCs w:val="24"/>
          <w14:textFill>
            <w14:solidFill>
              <w14:schemeClr w14:val="tx1"/>
            </w14:solidFill>
          </w14:textFill>
        </w:rPr>
        <w:t>（参</w:t>
      </w:r>
      <w:r>
        <w:rPr>
          <w:rFonts w:hint="eastAsia"/>
          <w:color w:val="000000" w:themeColor="text1"/>
          <w:sz w:val="24"/>
          <w:szCs w:val="24"/>
          <w:lang w:eastAsia="zh-CN"/>
          <w14:textFill>
            <w14:solidFill>
              <w14:schemeClr w14:val="tx1"/>
            </w14:solidFill>
          </w14:textFill>
        </w:rPr>
        <w:t>照</w:t>
      </w:r>
      <w:r>
        <w:rPr>
          <w:rFonts w:hint="eastAsia"/>
          <w:color w:val="000000" w:themeColor="text1"/>
          <w:sz w:val="24"/>
          <w:szCs w:val="24"/>
          <w14:textFill>
            <w14:solidFill>
              <w14:schemeClr w14:val="tx1"/>
            </w14:solidFill>
          </w14:textFill>
        </w:rPr>
        <w:t>）</w:t>
      </w:r>
    </w:p>
    <w:p>
      <w:pPr>
        <w:pStyle w:val="4"/>
        <w:ind w:firstLine="6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1、杆件</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1.1杆件质量与规格要求</w:t>
      </w:r>
    </w:p>
    <w:p>
      <w:pPr>
        <w:numPr>
          <w:ilvl w:val="0"/>
          <w:numId w:val="16"/>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杆件的材质要求为Q235钢板经模压形成，杆件所有焊缝无烧穿、夹渣、气孔等，焊接后敲清焊渣，打磨飞溅物，校正杆件的焊接变形，杆件</w:t>
      </w:r>
      <w:r>
        <w:rPr>
          <w:rFonts w:hint="eastAsia" w:ascii="宋体" w:hAnsi="宋体" w:cs="宋体"/>
          <w:color w:val="000000" w:themeColor="text1"/>
          <w:sz w:val="24"/>
          <w:szCs w:val="24"/>
          <w14:textFill>
            <w14:solidFill>
              <w14:schemeClr w14:val="tx1"/>
            </w14:solidFill>
          </w14:textFill>
        </w:rPr>
        <w:t>整体热镀锌处理后外涂二层灰色的镀锌漆</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杆件为八角形锥形镀锌钢管，对接处采用自动焊接。杆件用于固定的螺帽须热镀锌。</w:t>
      </w:r>
    </w:p>
    <w:p>
      <w:pPr>
        <w:numPr>
          <w:ilvl w:val="0"/>
          <w:numId w:val="17"/>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L型杆件规格要求：</w:t>
      </w:r>
    </w:p>
    <w:p>
      <w:pPr>
        <w:numPr>
          <w:ilvl w:val="0"/>
          <w:numId w:val="18"/>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副杆长4米至7米的L型杆件：主杆壁厚≥6mm，副杆壁厚≥4mm，</w:t>
      </w:r>
      <w:r>
        <w:rPr>
          <w:rFonts w:hint="eastAsia" w:ascii="宋体" w:hAnsi="宋体" w:cs="宋体"/>
          <w:color w:val="000000" w:themeColor="text1"/>
          <w:sz w:val="24"/>
          <w:szCs w:val="24"/>
          <w14:textFill>
            <w14:solidFill>
              <w14:schemeClr w14:val="tx1"/>
            </w14:solidFill>
          </w14:textFill>
        </w:rPr>
        <w:t>主杆的高度不低于6.5米，主杆下（外）口径不小于300 mm，上（外）口径不小于250 mm，副杆大头（外）口径不小于220 mm，小头（外）口径不小于110 mm。</w:t>
      </w:r>
    </w:p>
    <w:p>
      <w:pPr>
        <w:numPr>
          <w:ilvl w:val="0"/>
          <w:numId w:val="18"/>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副杆长度8米至12米的L型杆件：主杆壁厚≥8mm，副杆壁厚≥4mm，</w:t>
      </w:r>
      <w:r>
        <w:rPr>
          <w:rFonts w:hint="eastAsia" w:ascii="宋体" w:hAnsi="宋体" w:cs="宋体"/>
          <w:color w:val="000000" w:themeColor="text1"/>
          <w:sz w:val="24"/>
          <w:szCs w:val="24"/>
          <w14:textFill>
            <w14:solidFill>
              <w14:schemeClr w14:val="tx1"/>
            </w14:solidFill>
          </w14:textFill>
        </w:rPr>
        <w:t>主杆的高度不低于6.5米，主杆下（外）口径不小于320 mm，上（外）口径不小于280 mm，副杆大头（外）口径不小于240 mm，小头（外）口径不小于110 mm；</w:t>
      </w:r>
    </w:p>
    <w:p>
      <w:pPr>
        <w:numPr>
          <w:ilvl w:val="0"/>
          <w:numId w:val="18"/>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副杆长度13米至15米的L型杆件：主杆壁厚≥8mm，副杆壁厚≥6mm，</w:t>
      </w:r>
      <w:r>
        <w:rPr>
          <w:rFonts w:hint="eastAsia" w:ascii="宋体" w:hAnsi="宋体" w:cs="宋体"/>
          <w:color w:val="000000" w:themeColor="text1"/>
          <w:sz w:val="24"/>
          <w:szCs w:val="24"/>
          <w14:textFill>
            <w14:solidFill>
              <w14:schemeClr w14:val="tx1"/>
            </w14:solidFill>
          </w14:textFill>
        </w:rPr>
        <w:t>主杆的高度不低于6.5米，主杆下（外）口径不小于370 mm，上（外）口径不小于320 mm，副杆大头（外）口径不小于320 mm，小头（外）口径不小于110 mm；。</w:t>
      </w:r>
    </w:p>
    <w:p>
      <w:pPr>
        <w:numPr>
          <w:ilvl w:val="0"/>
          <w:numId w:val="18"/>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副杆4米至7米的L型杆件：杆底盘法兰底平面直径≥550mm，螺丝孔位置直径≥450mm钢板厚度≥20 mm，法兰底盘与主杆的支撑板（五边梯形）≥8块，高度≥250 mm，厚度≥16mm，梯形上部份≥20mm，下部分≥100mm；主杆与副杆的法兰盘尺寸≥400mm*400mm，厚度不小于16mm，支撑板（五边梯形）≥8块，高度≥200 mm，厚度≥12mm，梯形上部份≥20mm下部分≥100mm。</w:t>
      </w:r>
    </w:p>
    <w:p>
      <w:pPr>
        <w:numPr>
          <w:ilvl w:val="0"/>
          <w:numId w:val="18"/>
        </w:numPr>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副杆8米至12米的L型杆件：杆底盘法兰底平面直径≥550mm，螺丝孔位置直径≥450mm钢板厚度≥20 mm，法兰底盘与主杆的支撑板（五边梯形）≥8块，高度≥250 mm，厚度≥16mm，梯形上部份≥20mm，下部分≥90mm；主杆与副杆的法兰盘尺寸≥450mm*450mm，厚度不小于20mm，支撑板（五边梯形）≥8块，高度≥200 mm，厚度≥12mm，梯形上部份≥20mm下部分≥100mm。</w:t>
      </w:r>
    </w:p>
    <w:p>
      <w:pPr>
        <w:numPr>
          <w:ilvl w:val="0"/>
          <w:numId w:val="18"/>
        </w:numPr>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副杆13米至15的L型杆件杆底盘法兰底平面直径≥650mm，螺丝孔位置直径≥550mm钢板厚度≥20mm，法兰底盘与主杆的支撑板（五边梯形）≥8块，高度≥300 mm，厚度≥16mm，梯形上部份≥20mm，下部分≥110mm；主杆与副杆的法兰盘尺寸≥520mm*520mm，厚度不小于20mm，支撑板（五边梯形）≥8块，高度≥200 mm，厚度≥12mm，梯形上部份≥20mm下部分≥100mm。</w:t>
      </w:r>
    </w:p>
    <w:p>
      <w:pPr>
        <w:numPr>
          <w:ilvl w:val="0"/>
          <w:numId w:val="17"/>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T型杆件规格要求：</w:t>
      </w:r>
    </w:p>
    <w:p>
      <w:pPr>
        <w:numPr>
          <w:ilvl w:val="0"/>
          <w:numId w:val="19"/>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副杆长度≤8的T型杆件：主杆壁厚≥8mm，副杆壁厚≥4mm，</w:t>
      </w:r>
      <w:r>
        <w:rPr>
          <w:rFonts w:hint="eastAsia" w:ascii="宋体" w:hAnsi="宋体" w:cs="宋体"/>
          <w:color w:val="000000" w:themeColor="text1"/>
          <w:sz w:val="24"/>
          <w:szCs w:val="24"/>
          <w14:textFill>
            <w14:solidFill>
              <w14:schemeClr w14:val="tx1"/>
            </w14:solidFill>
          </w14:textFill>
        </w:rPr>
        <w:t>主杆的高度不低于6.5米，主杆下（外）口径不小于350 mm，上（外）口径不小于300 mm，副杆大头（外）口径不小于250 mm，小头（外）口径不小于100 mm；</w:t>
      </w:r>
    </w:p>
    <w:p>
      <w:pPr>
        <w:numPr>
          <w:ilvl w:val="0"/>
          <w:numId w:val="19"/>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副杆长度9米至11米的T型杆件：主杆壁厚≥8mm，副杆壁厚≥5mm，</w:t>
      </w:r>
      <w:r>
        <w:rPr>
          <w:rFonts w:hint="eastAsia" w:ascii="宋体" w:hAnsi="宋体" w:cs="宋体"/>
          <w:color w:val="000000" w:themeColor="text1"/>
          <w:sz w:val="24"/>
          <w:szCs w:val="24"/>
          <w14:textFill>
            <w14:solidFill>
              <w14:schemeClr w14:val="tx1"/>
            </w14:solidFill>
          </w14:textFill>
        </w:rPr>
        <w:t>主杆的高度不低于6.5米，主杆下（外）口径不小于360 mm，上（外）口径不小于310 mm，副杆大头（外）口径不小于280 mm，小头（外）口径不小于110 mm；</w:t>
      </w:r>
    </w:p>
    <w:p>
      <w:pPr>
        <w:numPr>
          <w:ilvl w:val="0"/>
          <w:numId w:val="19"/>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副杆长度12米至15米的T型杆件：主杆壁厚≥10mm，副杆壁厚≥6mm，</w:t>
      </w:r>
      <w:r>
        <w:rPr>
          <w:rFonts w:hint="eastAsia" w:ascii="宋体" w:hAnsi="宋体" w:cs="宋体"/>
          <w:color w:val="000000" w:themeColor="text1"/>
          <w:sz w:val="24"/>
          <w:szCs w:val="24"/>
          <w14:textFill>
            <w14:solidFill>
              <w14:schemeClr w14:val="tx1"/>
            </w14:solidFill>
          </w14:textFill>
        </w:rPr>
        <w:t xml:space="preserve">主杆的高度不低于6.5米，主杆下（外）口径不小于370 mm，上（外）口径不小于320 mm，副杆大头（外）口径不小于320 mm，小头（外）口径不小于110 mm； </w:t>
      </w:r>
    </w:p>
    <w:p>
      <w:pPr>
        <w:numPr>
          <w:ilvl w:val="0"/>
          <w:numId w:val="19"/>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副杆≤11米的T型杆件杆底盘法兰底平面直径≥600mm，螺丝孔位置直径≥450mm钢板厚度≥20 mm，法兰底盘与主杆的支撑板（五边梯形）≥8块，高度≥250 mm，厚度≥16mm，梯形上部份≥20mm，下部分≥110mm；主杆与副杆的法兰盘尺寸≥450mm*450mm，厚度不小于20mm，支撑板（五边梯形）≥8块，高度≥200 mm，厚度≥12mm，梯形上部份≥20mm下部分≥100mm；</w:t>
      </w:r>
    </w:p>
    <w:p>
      <w:pPr>
        <w:numPr>
          <w:ilvl w:val="0"/>
          <w:numId w:val="19"/>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副杆12米至15的T型杆件:杆底盘法兰底平面直径≥700mm，螺丝孔位置直径≥550mm钢板厚度≥22 mm，法兰底盘与主杆的支撑板（五边梯形）≥8块，高度≥300 mm，厚度≥16mm，梯形上部份≥20mm，下部分≥110mm；主杆与副杆的法兰盘尺寸≥520mm*520mm，厚度不小于20mm，支撑板（五边梯形）≥8块，高度≥200 mm，厚度≥12mm，梯形上部份≥20mm下部分≥100mm，固定螺帽须热镀锌</w:t>
      </w:r>
      <w:r>
        <w:rPr>
          <w:rFonts w:hint="eastAsia" w:ascii="宋体" w:hAnsi="宋体" w:cs="宋体"/>
          <w:color w:val="000000" w:themeColor="text1"/>
          <w:sz w:val="24"/>
          <w:szCs w:val="24"/>
          <w14:textFill>
            <w14:solidFill>
              <w14:schemeClr w14:val="tx1"/>
            </w14:solidFill>
          </w14:textFill>
        </w:rPr>
        <w:t>。</w:t>
      </w:r>
    </w:p>
    <w:p>
      <w:pPr>
        <w:numPr>
          <w:ilvl w:val="0"/>
          <w:numId w:val="17"/>
        </w:numPr>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直立杆规格要求：杆体不小于1600mm*Φ114,杆底盘法兰底平面直径不小于300mm，螺丝孔位置直径不小于180mm钢板厚度不小于12 mm，法兰底盘与主杆的支撑板（五边梯形）不小于6块，高度不小于165 mm，厚度不小于10mm，梯形上部份不小于20mm，下部分不小于100mm,含活动支架360度旋转可调节。</w:t>
      </w:r>
    </w:p>
    <w:p>
      <w:pPr>
        <w:numPr>
          <w:ilvl w:val="0"/>
          <w:numId w:val="17"/>
        </w:numPr>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空球机杆件规格要求：副杆长度根据现场实际情况而定，直径不小于Φ75.7mm，厚度不小于3.75mm；主杆长度根据现场实际情况而定，直径不小于Φ88.5mm，厚度不小于4mm；主杆与安装位置内墙使用规格不小于150mm*Φ16mm的膨胀螺栓固定；墙面与主杆、主杆与副杆间使用壁厚不小于4mm的镀锌钢板焊接，并做好防锈工作；并在墙面上安装不小于40*4mm的抱箍固定副杆。</w:t>
      </w:r>
    </w:p>
    <w:p>
      <w:pPr>
        <w:numPr>
          <w:ilvl w:val="0"/>
          <w:numId w:val="17"/>
        </w:numPr>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F型杆件规格要求：</w:t>
      </w:r>
    </w:p>
    <w:p>
      <w:pPr>
        <w:numPr>
          <w:ilvl w:val="0"/>
          <w:numId w:val="20"/>
        </w:numPr>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钢材全部采用Q235钢，立柱，横梁及其他外露钢构件防腐，应采用热镀锌处理，锌附着量不低6</w:t>
      </w:r>
      <w:r>
        <w:rPr>
          <w:rFonts w:ascii="宋体" w:hAnsi="宋体" w:cs="宋体"/>
          <w:color w:val="000000" w:themeColor="text1"/>
          <w:kern w:val="0"/>
          <w:sz w:val="24"/>
          <w:szCs w:val="24"/>
          <w14:textFill>
            <w14:solidFill>
              <w14:schemeClr w14:val="tx1"/>
            </w14:solidFill>
          </w14:textFill>
        </w:rPr>
        <w:t>00g/㎡</w:t>
      </w:r>
      <w:r>
        <w:rPr>
          <w:rFonts w:hint="eastAsia" w:ascii="宋体" w:hAnsi="宋体" w:cs="宋体"/>
          <w:color w:val="000000" w:themeColor="text1"/>
          <w:kern w:val="0"/>
          <w:sz w:val="24"/>
          <w:szCs w:val="24"/>
          <w14:textFill>
            <w14:solidFill>
              <w14:schemeClr w14:val="tx1"/>
            </w14:solidFill>
          </w14:textFill>
        </w:rPr>
        <w:t>,螺栓等紧固件表面镀锌不低于35</w:t>
      </w:r>
      <w:r>
        <w:rPr>
          <w:rFonts w:ascii="宋体" w:hAnsi="宋体" w:cs="宋体"/>
          <w:color w:val="000000" w:themeColor="text1"/>
          <w:kern w:val="0"/>
          <w:sz w:val="24"/>
          <w:szCs w:val="24"/>
          <w14:textFill>
            <w14:solidFill>
              <w14:schemeClr w14:val="tx1"/>
            </w14:solidFill>
          </w14:textFill>
        </w:rPr>
        <w:t>0g/㎡</w:t>
      </w:r>
      <w:r>
        <w:rPr>
          <w:rFonts w:hint="eastAsia" w:ascii="宋体" w:hAnsi="宋体" w:cs="宋体"/>
          <w:color w:val="000000" w:themeColor="text1"/>
          <w:kern w:val="0"/>
          <w:sz w:val="24"/>
          <w:szCs w:val="24"/>
          <w14:textFill>
            <w14:solidFill>
              <w14:schemeClr w14:val="tx1"/>
            </w14:solidFill>
          </w14:textFill>
        </w:rPr>
        <w:t>。</w:t>
      </w:r>
    </w:p>
    <w:p>
      <w:pPr>
        <w:numPr>
          <w:ilvl w:val="0"/>
          <w:numId w:val="20"/>
        </w:numPr>
        <w:spacing w:line="360" w:lineRule="auto"/>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所有构件镀完锌后喷一道环氧富锌底漆（漆膜干厚为40μm），一道云铁中间漆做过渡漆（漆膜干厚为30μm），两道氯化橡胶面漆（漆膜干厚为70μm）。面漆颜色为中灰色。</w:t>
      </w:r>
    </w:p>
    <w:p>
      <w:pPr>
        <w:numPr>
          <w:ilvl w:val="0"/>
          <w:numId w:val="20"/>
        </w:numPr>
        <w:spacing w:line="360" w:lineRule="auto"/>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立柱顶部及横梁外侧端部均需用6mm厚钢板作封板。且下横梁外侧端部封板中央需开∅80孔位以便穿电缆时使用。</w:t>
      </w:r>
    </w:p>
    <w:p>
      <w:pPr>
        <w:numPr>
          <w:ilvl w:val="0"/>
          <w:numId w:val="17"/>
        </w:num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信号灯</w:t>
      </w:r>
      <w:r>
        <w:rPr>
          <w:rFonts w:hint="eastAsia" w:ascii="宋体" w:hAnsi="宋体" w:cs="宋体"/>
          <w:color w:val="000000" w:themeColor="text1"/>
          <w:kern w:val="0"/>
          <w:sz w:val="24"/>
          <w:szCs w:val="24"/>
          <w14:textFill>
            <w14:solidFill>
              <w14:schemeClr w14:val="tx1"/>
            </w14:solidFill>
          </w14:textFill>
        </w:rPr>
        <w:t>杆件要求</w:t>
      </w:r>
    </w:p>
    <w:p>
      <w:pPr>
        <w:spacing w:line="360" w:lineRule="auto"/>
        <w:ind w:left="420" w:leftChars="20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1、非机动车信号灯</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杆件高度不少于</w:t>
      </w:r>
      <w:r>
        <w:rPr>
          <w:color w:val="000000" w:themeColor="text1"/>
          <w:sz w:val="24"/>
          <w:szCs w:val="24"/>
          <w14:textFill>
            <w14:solidFill>
              <w14:schemeClr w14:val="tx1"/>
            </w14:solidFill>
          </w14:textFill>
        </w:rPr>
        <w:t>3.5</w:t>
      </w:r>
      <w:r>
        <w:rPr>
          <w:rFonts w:hint="eastAsia"/>
          <w:color w:val="000000" w:themeColor="text1"/>
          <w:sz w:val="24"/>
          <w:szCs w:val="24"/>
          <w14:textFill>
            <w14:solidFill>
              <w14:schemeClr w14:val="tx1"/>
            </w14:solidFill>
          </w14:textFill>
        </w:rPr>
        <w:t>M，安装非机动车信号灯后保证灯下边缘净空不少于</w:t>
      </w:r>
      <w:r>
        <w:rPr>
          <w:color w:val="000000" w:themeColor="text1"/>
          <w:sz w:val="24"/>
          <w:szCs w:val="24"/>
          <w14:textFill>
            <w14:solidFill>
              <w14:schemeClr w14:val="tx1"/>
            </w14:solidFill>
          </w14:textFill>
        </w:rPr>
        <w:t xml:space="preserve">2.5 </w:t>
      </w:r>
      <w:r>
        <w:rPr>
          <w:rFonts w:hint="eastAsia"/>
          <w:color w:val="000000" w:themeColor="text1"/>
          <w:sz w:val="24"/>
          <w:szCs w:val="24"/>
          <w14:textFill>
            <w14:solidFill>
              <w14:schemeClr w14:val="tx1"/>
            </w14:solidFill>
          </w14:textFill>
        </w:rPr>
        <w:t>M，灯杆直径不小于</w:t>
      </w:r>
      <w:r>
        <w:rPr>
          <w:color w:val="000000" w:themeColor="text1"/>
          <w:sz w:val="24"/>
          <w:szCs w:val="24"/>
          <w14:textFill>
            <w14:solidFill>
              <w14:schemeClr w14:val="tx1"/>
            </w14:solidFill>
          </w14:textFill>
        </w:rPr>
        <w:t>90mm</w:t>
      </w:r>
      <w:r>
        <w:rPr>
          <w:rFonts w:hint="eastAsia"/>
          <w:color w:val="000000" w:themeColor="text1"/>
          <w:sz w:val="24"/>
          <w:szCs w:val="24"/>
          <w14:textFill>
            <w14:solidFill>
              <w14:schemeClr w14:val="tx1"/>
            </w14:solidFill>
          </w14:textFill>
        </w:rPr>
        <w:t>，厚度不小于</w:t>
      </w:r>
      <w:r>
        <w:rPr>
          <w:color w:val="000000" w:themeColor="text1"/>
          <w:sz w:val="24"/>
          <w:szCs w:val="24"/>
          <w14:textFill>
            <w14:solidFill>
              <w14:schemeClr w14:val="tx1"/>
            </w14:solidFill>
          </w14:textFill>
        </w:rPr>
        <w:t>4MM</w:t>
      </w:r>
      <w:r>
        <w:rPr>
          <w:rFonts w:hint="eastAsia"/>
          <w:color w:val="000000" w:themeColor="text1"/>
          <w:sz w:val="24"/>
          <w:szCs w:val="24"/>
          <w14:textFill>
            <w14:solidFill>
              <w14:schemeClr w14:val="tx1"/>
            </w14:solidFill>
          </w14:textFill>
        </w:rPr>
        <w:t>，杆体距地面</w:t>
      </w:r>
      <w:r>
        <w:rPr>
          <w:color w:val="000000" w:themeColor="text1"/>
          <w:sz w:val="24"/>
          <w:szCs w:val="24"/>
          <w14:textFill>
            <w14:solidFill>
              <w14:schemeClr w14:val="tx1"/>
            </w14:solidFill>
          </w14:textFill>
        </w:rPr>
        <w:t xml:space="preserve">0.3m-0.8m </w:t>
      </w:r>
      <w:r>
        <w:rPr>
          <w:rFonts w:hint="eastAsia"/>
          <w:color w:val="000000" w:themeColor="text1"/>
          <w:sz w:val="24"/>
          <w:szCs w:val="24"/>
          <w14:textFill>
            <w14:solidFill>
              <w14:schemeClr w14:val="tx1"/>
            </w14:solidFill>
          </w14:textFill>
        </w:rPr>
        <w:t>处留有穿线孔。如与人行横道灯安装在同一杆件，杆件高度不少于4</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M。</w:t>
      </w:r>
    </w:p>
    <w:p>
      <w:pPr>
        <w:numPr>
          <w:ilvl w:val="0"/>
          <w:numId w:val="21"/>
        </w:num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立柱式信号灯（辅助信号灯）: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安装信号灯后保证立柱式信号灯灯下边缘净空不少于</w:t>
      </w:r>
      <w:r>
        <w:rPr>
          <w:color w:val="000000" w:themeColor="text1"/>
          <w:sz w:val="24"/>
          <w:szCs w:val="24"/>
          <w14:textFill>
            <w14:solidFill>
              <w14:schemeClr w14:val="tx1"/>
            </w14:solidFill>
          </w14:textFill>
        </w:rPr>
        <w:t xml:space="preserve">3 </w:t>
      </w:r>
      <w:r>
        <w:rPr>
          <w:rFonts w:hint="eastAsia"/>
          <w:color w:val="000000" w:themeColor="text1"/>
          <w:sz w:val="24"/>
          <w:szCs w:val="24"/>
          <w14:textFill>
            <w14:solidFill>
              <w14:schemeClr w14:val="tx1"/>
            </w14:solidFill>
          </w14:textFill>
        </w:rPr>
        <w:t>M上。杆体在</w:t>
      </w:r>
      <w:r>
        <w:rPr>
          <w:color w:val="000000" w:themeColor="text1"/>
          <w:sz w:val="24"/>
          <w:szCs w:val="24"/>
          <w14:textFill>
            <w14:solidFill>
              <w14:schemeClr w14:val="tx1"/>
            </w14:solidFill>
          </w14:textFill>
        </w:rPr>
        <w:t xml:space="preserve">40 </w:t>
      </w:r>
      <w:r>
        <w:rPr>
          <w:rFonts w:hint="eastAsia"/>
          <w:color w:val="000000" w:themeColor="text1"/>
          <w:sz w:val="24"/>
          <w:szCs w:val="24"/>
          <w14:textFill>
            <w14:solidFill>
              <w14:schemeClr w14:val="tx1"/>
            </w14:solidFill>
          </w14:textFill>
        </w:rPr>
        <w:t>米</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秒的风速条件下，不应发生严重歪斜与永久性变形。杆体颜色按用户要求制作。</w:t>
      </w:r>
    </w:p>
    <w:p>
      <w:pPr>
        <w:pStyle w:val="2"/>
        <w:spacing w:line="360" w:lineRule="auto"/>
        <w:jc w:val="both"/>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     3、人行灯</w:t>
      </w:r>
      <w:r>
        <w:rPr>
          <w:rFonts w:hint="eastAsia"/>
          <w:color w:val="000000" w:themeColor="text1"/>
          <w:sz w:val="24"/>
          <w:szCs w:val="24"/>
          <w:lang w:eastAsia="zh-CN"/>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人行灯杆高不少于</w:t>
      </w:r>
      <w:r>
        <w:rPr>
          <w:color w:val="000000" w:themeColor="text1"/>
          <w:sz w:val="24"/>
          <w:szCs w:val="24"/>
          <w14:textFill>
            <w14:solidFill>
              <w14:schemeClr w14:val="tx1"/>
            </w14:solidFill>
          </w14:textFill>
        </w:rPr>
        <w:t xml:space="preserve">3.5 </w:t>
      </w:r>
      <w:r>
        <w:rPr>
          <w:rFonts w:hint="eastAsia"/>
          <w:color w:val="000000" w:themeColor="text1"/>
          <w:sz w:val="24"/>
          <w:szCs w:val="24"/>
          <w14:textFill>
            <w14:solidFill>
              <w14:schemeClr w14:val="tx1"/>
            </w14:solidFill>
          </w14:textFill>
        </w:rPr>
        <w:t>M，安装人行灯后保证灯下边缘净空不少于</w:t>
      </w:r>
      <w:r>
        <w:rPr>
          <w:color w:val="000000" w:themeColor="text1"/>
          <w:sz w:val="24"/>
          <w:szCs w:val="24"/>
          <w14:textFill>
            <w14:solidFill>
              <w14:schemeClr w14:val="tx1"/>
            </w14:solidFill>
          </w14:textFill>
        </w:rPr>
        <w:t xml:space="preserve">2.5 </w:t>
      </w:r>
      <w:r>
        <w:rPr>
          <w:rFonts w:hint="eastAsia"/>
          <w:color w:val="000000" w:themeColor="text1"/>
          <w:sz w:val="24"/>
          <w:szCs w:val="24"/>
          <w14:textFill>
            <w14:solidFill>
              <w14:schemeClr w14:val="tx1"/>
            </w14:solidFill>
          </w14:textFill>
        </w:rPr>
        <w:t>M。</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灯杆由钢管与铝合金型材组成。钢结构应经热镀锌处理；铝合金外壳壁厚不小于</w:t>
      </w:r>
      <w:r>
        <w:rPr>
          <w:color w:val="000000" w:themeColor="text1"/>
          <w:sz w:val="24"/>
          <w:szCs w:val="24"/>
          <w14:textFill>
            <w14:solidFill>
              <w14:schemeClr w14:val="tx1"/>
            </w14:solidFill>
          </w14:textFill>
        </w:rPr>
        <w:t>2mm</w:t>
      </w:r>
      <w:r>
        <w:rPr>
          <w:rFonts w:hint="eastAsia"/>
          <w:color w:val="000000" w:themeColor="text1"/>
          <w:sz w:val="24"/>
          <w:szCs w:val="24"/>
          <w14:textFill>
            <w14:solidFill>
              <w14:schemeClr w14:val="tx1"/>
            </w14:solidFill>
          </w14:textFill>
        </w:rPr>
        <w:t>，表面须经静电喷塑处理。灯具安装连接环在灯杆上可在</w:t>
      </w:r>
      <w:r>
        <w:rPr>
          <w:color w:val="000000" w:themeColor="text1"/>
          <w:sz w:val="24"/>
          <w:szCs w:val="24"/>
          <w14:textFill>
            <w14:solidFill>
              <w14:schemeClr w14:val="tx1"/>
            </w14:solidFill>
          </w14:textFill>
        </w:rPr>
        <w:t>360</w:t>
      </w:r>
      <w:r>
        <w:rPr>
          <w:rFonts w:hint="eastAsia"/>
          <w:color w:val="000000" w:themeColor="text1"/>
          <w:sz w:val="24"/>
          <w:szCs w:val="24"/>
          <w14:textFill>
            <w14:solidFill>
              <w14:schemeClr w14:val="tx1"/>
            </w14:solidFill>
          </w14:textFill>
        </w:rPr>
        <w:t>°范围内任意调整并固定，在同一层面上可满足在不同角度安装两组灯具。灯杆颜色按用户要求制作。</w:t>
      </w:r>
    </w:p>
    <w:p>
      <w:pPr>
        <w:pStyle w:val="2"/>
        <w:spacing w:line="360" w:lineRule="auto"/>
        <w:jc w:val="both"/>
        <w:rPr>
          <w:color w:val="000000" w:themeColor="text1"/>
          <w:sz w:val="24"/>
          <w:szCs w:val="24"/>
          <w14:textFill>
            <w14:solidFill>
              <w14:schemeClr w14:val="tx1"/>
            </w14:solidFill>
          </w14:textFill>
        </w:rPr>
      </w:pP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1.2杆件安装要求</w:t>
      </w:r>
    </w:p>
    <w:p>
      <w:pPr>
        <w:numPr>
          <w:ilvl w:val="0"/>
          <w:numId w:val="22"/>
        </w:numPr>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笼预埋时其方向应与底座法兰盘保持垂直。施工时如遇有平曲线路段，应调整预埋法兰盘的方向，使其纵向中心线与行车方向保持一致。基础施工完毕，地脚螺栓外露长度不低于50mm（地脚螺栓应排列成圆形），并对外露螺部分加以妥善保护。</w:t>
      </w:r>
    </w:p>
    <w:p>
      <w:pPr>
        <w:numPr>
          <w:ilvl w:val="0"/>
          <w:numId w:val="22"/>
        </w:numPr>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杆件安装时，支柱应处于正常工作位置，起吊点应位于支柱底部；安装完成后，支柱专用接地螺栓与保护地线应做可靠电气连接。杆件及杆件上所有设备安装后，杆件立柱臂应与地面垂直，杆件悬臂应与道路中心走向呈90度直角，杆件悬臂与立柱臂呈91度-92度夹角，同时杆件横臂及设备组成的整体下边缘距离地面净空不低于6米，安装后的设备和机箱不得侵入机动车道建筑界限以内，不得影响车辆正常通行。整根杆（含基础）及其上配件应能抗14级以上台风。</w:t>
      </w:r>
    </w:p>
    <w:p>
      <w:pPr>
        <w:numPr>
          <w:ilvl w:val="0"/>
          <w:numId w:val="22"/>
        </w:numPr>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前端杆件应贴反光材料，防止杆件被撞及提醒驾驶人、行人避让。</w:t>
      </w:r>
    </w:p>
    <w:p>
      <w:pPr>
        <w:numPr>
          <w:ilvl w:val="0"/>
          <w:numId w:val="22"/>
        </w:numPr>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顶端应设计喷涂红黄绿三种颜色组成的防水帽，用以区分是否为交警杆件。</w:t>
      </w:r>
    </w:p>
    <w:p>
      <w:pPr>
        <w:numPr>
          <w:ilvl w:val="0"/>
          <w:numId w:val="22"/>
        </w:numPr>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所有相机要按照下图样式要求在杆件两侧粘贴标牌，编号由交警部门提供。</w:t>
      </w:r>
    </w:p>
    <w:p>
      <w:pPr>
        <w:pStyle w:val="2"/>
        <w:rPr>
          <w:color w:val="000000" w:themeColor="text1"/>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drawing>
          <wp:anchor distT="0" distB="0" distL="114935" distR="114935" simplePos="0" relativeHeight="251671552" behindDoc="0" locked="0" layoutInCell="1" allowOverlap="1">
            <wp:simplePos x="0" y="0"/>
            <wp:positionH relativeFrom="column">
              <wp:posOffset>570865</wp:posOffset>
            </wp:positionH>
            <wp:positionV relativeFrom="paragraph">
              <wp:posOffset>142240</wp:posOffset>
            </wp:positionV>
            <wp:extent cx="2309495" cy="1148080"/>
            <wp:effectExtent l="0" t="0" r="14605" b="13970"/>
            <wp:wrapTopAndBottom/>
            <wp:docPr id="4" name="图片 0" descr="相机编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相机编号.jpg"/>
                    <pic:cNvPicPr>
                      <a:picLocks noChangeAspect="1"/>
                    </pic:cNvPicPr>
                  </pic:nvPicPr>
                  <pic:blipFill>
                    <a:blip r:embed="rId9"/>
                    <a:stretch>
                      <a:fillRect/>
                    </a:stretch>
                  </pic:blipFill>
                  <pic:spPr>
                    <a:xfrm>
                      <a:off x="0" y="0"/>
                      <a:ext cx="2309495" cy="1148080"/>
                    </a:xfrm>
                    <a:prstGeom prst="rect">
                      <a:avLst/>
                    </a:prstGeom>
                    <a:noFill/>
                    <a:ln>
                      <a:noFill/>
                    </a:ln>
                  </pic:spPr>
                </pic:pic>
              </a:graphicData>
            </a:graphic>
          </wp:anchor>
        </w:drawing>
      </w:r>
    </w:p>
    <w:p>
      <w:pPr>
        <w:pStyle w:val="4"/>
        <w:ind w:firstLine="6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2、前端落地机柜及悬挂式机柜</w:t>
      </w:r>
    </w:p>
    <w:p>
      <w:pPr>
        <w:pStyle w:val="6"/>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2.1前端落地机柜质量与规格要求</w:t>
      </w:r>
    </w:p>
    <w:p>
      <w:pPr>
        <w:numPr>
          <w:ilvl w:val="0"/>
          <w:numId w:val="23"/>
        </w:numPr>
        <w:spacing w:line="360" w:lineRule="auto"/>
        <w:ind w:firstLine="48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落地机柜采用</w:t>
      </w:r>
      <w:r>
        <w:rPr>
          <w:rFonts w:hAnsi="宋体" w:cs="Arial"/>
          <w:color w:val="000000" w:themeColor="text1"/>
          <w:sz w:val="24"/>
          <w:szCs w:val="24"/>
          <w14:textFill>
            <w14:solidFill>
              <w14:schemeClr w14:val="tx1"/>
            </w14:solidFill>
          </w14:textFill>
        </w:rPr>
        <w:t>19"</w:t>
      </w:r>
      <w:r>
        <w:rPr>
          <w:rFonts w:hint="eastAsia" w:hAnsi="宋体" w:cs="Arial"/>
          <w:color w:val="000000" w:themeColor="text1"/>
          <w:sz w:val="24"/>
          <w:szCs w:val="24"/>
          <w14:textFill>
            <w14:solidFill>
              <w14:schemeClr w14:val="tx1"/>
            </w14:solidFill>
          </w14:textFill>
        </w:rPr>
        <w:t>标准机柜，高度≥</w:t>
      </w:r>
      <w:r>
        <w:rPr>
          <w:rFonts w:hAnsi="宋体" w:cs="Arial"/>
          <w:color w:val="000000" w:themeColor="text1"/>
          <w:sz w:val="24"/>
          <w:szCs w:val="24"/>
          <w14:textFill>
            <w14:solidFill>
              <w14:schemeClr w14:val="tx1"/>
            </w14:solidFill>
          </w14:textFill>
        </w:rPr>
        <w:t>24U</w:t>
      </w:r>
      <w:r>
        <w:rPr>
          <w:rFonts w:hint="eastAsia" w:hAnsi="宋体" w:cs="Arial"/>
          <w:color w:val="000000" w:themeColor="text1"/>
          <w:sz w:val="24"/>
          <w:szCs w:val="24"/>
          <w14:textFill>
            <w14:solidFill>
              <w14:schemeClr w14:val="tx1"/>
            </w14:solidFill>
          </w14:textFill>
        </w:rPr>
        <w:t>，机柜设计具有可靠的密封性能，达到</w:t>
      </w:r>
      <w:r>
        <w:rPr>
          <w:rFonts w:hAnsi="宋体" w:cs="Arial"/>
          <w:color w:val="000000" w:themeColor="text1"/>
          <w:sz w:val="24"/>
          <w:szCs w:val="24"/>
          <w14:textFill>
            <w14:solidFill>
              <w14:schemeClr w14:val="tx1"/>
            </w14:solidFill>
          </w14:textFill>
        </w:rPr>
        <w:t>GB4208</w:t>
      </w:r>
      <w:r>
        <w:rPr>
          <w:rFonts w:hint="eastAsia" w:hAnsi="宋体" w:cs="Arial"/>
          <w:color w:val="000000" w:themeColor="text1"/>
          <w:sz w:val="24"/>
          <w:szCs w:val="24"/>
          <w14:textFill>
            <w14:solidFill>
              <w14:schemeClr w14:val="tx1"/>
            </w14:solidFill>
          </w14:textFill>
        </w:rPr>
        <w:t>—2017中</w:t>
      </w:r>
      <w:r>
        <w:rPr>
          <w:rFonts w:hAnsi="宋体" w:cs="Arial"/>
          <w:color w:val="000000" w:themeColor="text1"/>
          <w:sz w:val="24"/>
          <w:szCs w:val="24"/>
          <w14:textFill>
            <w14:solidFill>
              <w14:schemeClr w14:val="tx1"/>
            </w14:solidFill>
          </w14:textFill>
        </w:rPr>
        <w:t>IP65</w:t>
      </w:r>
      <w:r>
        <w:rPr>
          <w:rFonts w:hint="eastAsia" w:hAnsi="宋体" w:cs="Arial"/>
          <w:color w:val="000000" w:themeColor="text1"/>
          <w:sz w:val="24"/>
          <w:szCs w:val="24"/>
          <w14:textFill>
            <w14:solidFill>
              <w14:schemeClr w14:val="tx1"/>
            </w14:solidFill>
          </w14:textFill>
        </w:rPr>
        <w:t>级要求</w:t>
      </w:r>
      <w:r>
        <w:rPr>
          <w:rFonts w:hAnsi="宋体" w:cs="Arial"/>
          <w:color w:val="000000" w:themeColor="text1"/>
          <w:sz w:val="24"/>
          <w:szCs w:val="24"/>
          <w14:textFill>
            <w14:solidFill>
              <w14:schemeClr w14:val="tx1"/>
            </w14:solidFill>
          </w14:textFill>
        </w:rPr>
        <w:t>,</w:t>
      </w:r>
      <w:r>
        <w:rPr>
          <w:rFonts w:hint="eastAsia" w:hAnsi="宋体" w:cs="Arial"/>
          <w:color w:val="000000" w:themeColor="text1"/>
          <w:sz w:val="24"/>
          <w:szCs w:val="24"/>
          <w14:textFill>
            <w14:solidFill>
              <w14:schemeClr w14:val="tx1"/>
            </w14:solidFill>
          </w14:textFill>
        </w:rPr>
        <w:t>门缝安装密封胶条可使柜体密封更可靠，防止粉尘进入</w:t>
      </w:r>
      <w:r>
        <w:rPr>
          <w:rFonts w:hAnsi="宋体" w:cs="Arial"/>
          <w:color w:val="000000" w:themeColor="text1"/>
          <w:sz w:val="24"/>
          <w:szCs w:val="24"/>
          <w14:textFill>
            <w14:solidFill>
              <w14:schemeClr w14:val="tx1"/>
            </w14:solidFill>
          </w14:textFill>
        </w:rPr>
        <w:t>,</w:t>
      </w:r>
      <w:r>
        <w:rPr>
          <w:rFonts w:hint="eastAsia" w:hAnsi="宋体" w:cs="Arial"/>
          <w:color w:val="000000" w:themeColor="text1"/>
          <w:sz w:val="24"/>
          <w:szCs w:val="24"/>
          <w14:textFill>
            <w14:solidFill>
              <w14:schemeClr w14:val="tx1"/>
            </w14:solidFill>
          </w14:textFill>
        </w:rPr>
        <w:t>用水冲洗无任何伤害；机柜的结构设计具有足够的机械强度，能承受正常条件下可预料到的运输、安装、搬运、维护等过程中的操作。机柜应采用柜体材料选用优质冷轧钢板，机柜整体表面酸洗、磷化、高温静电喷粉。内部的电路板材料及部件应进行防潮、防腐、防盐雾的处理。室外机柜采用过滤进风、温控强制通风的结构，并在顶部设置隔热层，降低机柜内部温升，保证箱内主机和其他辅助设备在夏季高温下正常工作。保证在盐、酸环境下不被腐蚀。</w:t>
      </w:r>
    </w:p>
    <w:p>
      <w:pPr>
        <w:numPr>
          <w:ilvl w:val="0"/>
          <w:numId w:val="23"/>
        </w:numPr>
        <w:spacing w:line="360" w:lineRule="auto"/>
        <w:ind w:firstLine="48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室外机柜门的尺寸应尽可能接近机柜的外部尺寸。门应设有牢固的门锁以防止被非法使用者打开，同时机柜具有开门报警功能。门锁上应有保护装置，机柜门接缝处应有耐久并且有弹性的密封垫，密封垫应连续设置，不得有间断缺口。机柜表面采用喷塑工艺处理；锁具、门轴坚实牢固，机柜门锁上之后，不应有松动、变形现象；所有锁具可由一把钥匙打开。为了防止违法犯罪分子破坏，机箱门锁及把手应采用防盗设计，同时设备具备防盗检测功能，设备应对机箱进行声音报警保护，当机箱门被强烈敲打或者非正常打开时，能够进行声音报警，阻吓犯罪分子，并具备将报警信息传输到中心平台中。</w:t>
      </w:r>
    </w:p>
    <w:p>
      <w:pPr>
        <w:numPr>
          <w:ilvl w:val="0"/>
          <w:numId w:val="23"/>
        </w:numPr>
        <w:spacing w:line="360" w:lineRule="auto"/>
        <w:ind w:firstLine="48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机柜内含电源防雷、插排、空气开关等；含公牛防静电插座，插座数≥</w:t>
      </w:r>
      <w:r>
        <w:rPr>
          <w:rFonts w:hAnsi="宋体" w:cs="Arial"/>
          <w:color w:val="000000" w:themeColor="text1"/>
          <w:sz w:val="24"/>
          <w:szCs w:val="24"/>
          <w14:textFill>
            <w14:solidFill>
              <w14:schemeClr w14:val="tx1"/>
            </w14:solidFill>
          </w14:textFill>
        </w:rPr>
        <w:t>3</w:t>
      </w:r>
      <w:r>
        <w:rPr>
          <w:rFonts w:hint="eastAsia" w:hAnsi="宋体" w:cs="Arial"/>
          <w:color w:val="000000" w:themeColor="text1"/>
          <w:sz w:val="24"/>
          <w:szCs w:val="24"/>
          <w14:textFill>
            <w14:solidFill>
              <w14:schemeClr w14:val="tx1"/>
            </w14:solidFill>
          </w14:textFill>
        </w:rPr>
        <w:t>个</w:t>
      </w:r>
      <w:r>
        <w:rPr>
          <w:rFonts w:hAnsi="宋体" w:cs="Arial"/>
          <w:color w:val="000000" w:themeColor="text1"/>
          <w:sz w:val="24"/>
          <w:szCs w:val="24"/>
          <w14:textFill>
            <w14:solidFill>
              <w14:schemeClr w14:val="tx1"/>
            </w14:solidFill>
          </w14:textFill>
        </w:rPr>
        <w:t>(</w:t>
      </w:r>
      <w:r>
        <w:rPr>
          <w:rFonts w:hint="eastAsia" w:hAnsi="宋体" w:cs="Arial"/>
          <w:color w:val="000000" w:themeColor="text1"/>
          <w:sz w:val="24"/>
          <w:szCs w:val="24"/>
          <w14:textFill>
            <w14:solidFill>
              <w14:schemeClr w14:val="tx1"/>
            </w14:solidFill>
          </w14:textFill>
        </w:rPr>
        <w:t>国标</w:t>
      </w:r>
      <w:r>
        <w:rPr>
          <w:rFonts w:hAnsi="宋体" w:cs="Arial"/>
          <w:color w:val="000000" w:themeColor="text1"/>
          <w:sz w:val="24"/>
          <w:szCs w:val="24"/>
          <w14:textFill>
            <w14:solidFill>
              <w14:schemeClr w14:val="tx1"/>
            </w14:solidFill>
          </w14:textFill>
        </w:rPr>
        <w:t>)</w:t>
      </w:r>
      <w:r>
        <w:rPr>
          <w:rFonts w:hint="eastAsia" w:hAnsi="宋体" w:cs="Arial"/>
          <w:color w:val="000000" w:themeColor="text1"/>
          <w:sz w:val="24"/>
          <w:szCs w:val="24"/>
          <w14:textFill>
            <w14:solidFill>
              <w14:schemeClr w14:val="tx1"/>
            </w14:solidFill>
          </w14:textFill>
        </w:rPr>
        <w:t>。机柜内侧应设有存放说明书、接线图、维修记录等资料的存储位置。机柜所有门上喷涂“交警”字样。</w:t>
      </w:r>
    </w:p>
    <w:p>
      <w:pPr>
        <w:pStyle w:val="6"/>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2.2前端落地机柜安装要求</w:t>
      </w:r>
    </w:p>
    <w:p>
      <w:pPr>
        <w:pStyle w:val="31"/>
        <w:widowControl/>
        <w:numPr>
          <w:ilvl w:val="0"/>
          <w:numId w:val="24"/>
        </w:numPr>
        <w:adjustRightInd w:val="0"/>
        <w:snapToGrid w:val="0"/>
        <w:spacing w:line="360" w:lineRule="auto"/>
        <w:ind w:firstLineChars="0"/>
        <w:jc w:val="left"/>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机柜安装应稳固，垂直度允许偏差为</w:t>
      </w:r>
      <w:r>
        <w:rPr>
          <w:rFonts w:hAnsi="宋体" w:cs="Arial"/>
          <w:color w:val="000000" w:themeColor="text1"/>
          <w:sz w:val="24"/>
          <w:szCs w:val="24"/>
          <w14:textFill>
            <w14:solidFill>
              <w14:schemeClr w14:val="tx1"/>
            </w14:solidFill>
          </w14:textFill>
        </w:rPr>
        <w:t>0.2%</w:t>
      </w:r>
      <w:r>
        <w:rPr>
          <w:rFonts w:hint="eastAsia" w:hAnsi="宋体" w:cs="Arial"/>
          <w:color w:val="000000" w:themeColor="text1"/>
          <w:sz w:val="24"/>
          <w:szCs w:val="24"/>
          <w14:textFill>
            <w14:solidFill>
              <w14:schemeClr w14:val="tx1"/>
            </w14:solidFill>
          </w14:textFill>
        </w:rPr>
        <w:t>，并</w:t>
      </w:r>
      <w:r>
        <w:rPr>
          <w:rFonts w:hint="eastAsia" w:ascii="宋体" w:hAnsi="宋体" w:cs="Arial"/>
          <w:color w:val="000000" w:themeColor="text1"/>
          <w:sz w:val="24"/>
          <w:szCs w:val="24"/>
          <w14:textFill>
            <w14:solidFill>
              <w14:schemeClr w14:val="tx1"/>
            </w14:solidFill>
          </w14:textFill>
        </w:rPr>
        <w:t>根据现场实际情况选择机柜大门开启方向，当机柜安装在路边绿化带时，机柜门面向机动车道；当机柜安装在机非隔离带时，机柜门面向非机动车道。</w:t>
      </w:r>
    </w:p>
    <w:p>
      <w:pPr>
        <w:pStyle w:val="31"/>
        <w:widowControl/>
        <w:numPr>
          <w:ilvl w:val="0"/>
          <w:numId w:val="24"/>
        </w:numPr>
        <w:adjustRightInd w:val="0"/>
        <w:snapToGrid w:val="0"/>
        <w:spacing w:line="360" w:lineRule="auto"/>
        <w:ind w:firstLineChars="0"/>
        <w:jc w:val="left"/>
        <w:rPr>
          <w:rFonts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机柜与底座之间连接紧固，</w:t>
      </w:r>
      <w:r>
        <w:rPr>
          <w:rFonts w:hint="eastAsia" w:hAnsi="宋体" w:cs="Arial"/>
          <w:color w:val="000000" w:themeColor="text1"/>
          <w:sz w:val="24"/>
          <w:szCs w:val="24"/>
          <w14:textFill>
            <w14:solidFill>
              <w14:schemeClr w14:val="tx1"/>
            </w14:solidFill>
          </w14:textFill>
        </w:rPr>
        <w:t>需有一定离地高度及防撞防护措施，避免机柜外壳因雨季地面积水浸泡或被车辆碰撞而损坏，同时</w:t>
      </w:r>
      <w:r>
        <w:rPr>
          <w:rFonts w:hint="eastAsia" w:ascii="宋体" w:hAnsi="宋体" w:cs="Arial"/>
          <w:color w:val="000000" w:themeColor="text1"/>
          <w:sz w:val="24"/>
          <w:szCs w:val="24"/>
          <w14:textFill>
            <w14:solidFill>
              <w14:schemeClr w14:val="tx1"/>
            </w14:solidFill>
          </w14:textFill>
        </w:rPr>
        <w:t>机柜的安装位置尽量靠近信号机柜、交警岗亭、变电箱等方便获取电源、光缆资源的地方。</w:t>
      </w:r>
    </w:p>
    <w:p>
      <w:pPr>
        <w:pStyle w:val="31"/>
        <w:widowControl/>
        <w:numPr>
          <w:ilvl w:val="0"/>
          <w:numId w:val="24"/>
        </w:numPr>
        <w:adjustRightInd w:val="0"/>
        <w:snapToGrid w:val="0"/>
        <w:spacing w:line="360" w:lineRule="auto"/>
        <w:ind w:firstLineChars="0"/>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与其它机柜并排时，要求做到整齐、一致，包括机柜门的开关方向。当若干机柜并排安装时，为了方便机柜小门的开启，要求小门位于开箱人的右手侧，并且两个机柜之间边沿间隔0.5米。</w:t>
      </w:r>
    </w:p>
    <w:p>
      <w:pPr>
        <w:pStyle w:val="6"/>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2.3前端落地机柜基础要求</w:t>
      </w:r>
    </w:p>
    <w:p>
      <w:pPr>
        <w:numPr>
          <w:ilvl w:val="0"/>
          <w:numId w:val="25"/>
        </w:numPr>
        <w:spacing w:line="360" w:lineRule="auto"/>
        <w:ind w:firstLine="48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设备机箱基础埋入地下的深度大于3</w:t>
      </w:r>
      <w:r>
        <w:rPr>
          <w:rFonts w:hAnsi="宋体" w:cs="Arial"/>
          <w:color w:val="000000" w:themeColor="text1"/>
          <w:sz w:val="24"/>
          <w:szCs w:val="24"/>
          <w14:textFill>
            <w14:solidFill>
              <w14:schemeClr w14:val="tx1"/>
            </w14:solidFill>
          </w14:textFill>
        </w:rPr>
        <w:t>00mm</w:t>
      </w:r>
      <w:r>
        <w:rPr>
          <w:rFonts w:hint="eastAsia" w:hAnsi="宋体" w:cs="Arial"/>
          <w:color w:val="000000" w:themeColor="text1"/>
          <w:sz w:val="24"/>
          <w:szCs w:val="24"/>
          <w14:textFill>
            <w14:solidFill>
              <w14:schemeClr w14:val="tx1"/>
            </w14:solidFill>
          </w14:textFill>
        </w:rPr>
        <w:t>，突出地面高度大于2</w:t>
      </w:r>
      <w:r>
        <w:rPr>
          <w:rFonts w:hAnsi="宋体" w:cs="Arial"/>
          <w:color w:val="000000" w:themeColor="text1"/>
          <w:sz w:val="24"/>
          <w:szCs w:val="24"/>
          <w14:textFill>
            <w14:solidFill>
              <w14:schemeClr w14:val="tx1"/>
            </w14:solidFill>
          </w14:textFill>
        </w:rPr>
        <w:t>00mm</w:t>
      </w:r>
      <w:r>
        <w:rPr>
          <w:rFonts w:hint="eastAsia" w:hAnsi="宋体" w:cs="Arial"/>
          <w:color w:val="000000" w:themeColor="text1"/>
          <w:sz w:val="24"/>
          <w:szCs w:val="24"/>
          <w14:textFill>
            <w14:solidFill>
              <w14:schemeClr w14:val="tx1"/>
            </w14:solidFill>
          </w14:textFill>
        </w:rPr>
        <w:t>。采用地锚混凝土式基础，地脚螺栓上端为螺纹，下端为夹角小于</w:t>
      </w:r>
      <w:r>
        <w:rPr>
          <w:rFonts w:hAnsi="宋体" w:cs="Arial"/>
          <w:color w:val="000000" w:themeColor="text1"/>
          <w:sz w:val="24"/>
          <w:szCs w:val="24"/>
          <w14:textFill>
            <w14:solidFill>
              <w14:schemeClr w14:val="tx1"/>
            </w14:solidFill>
          </w14:textFill>
        </w:rPr>
        <w:t>60</w:t>
      </w:r>
      <w:r>
        <w:rPr>
          <w:rFonts w:hint="eastAsia" w:hAnsi="宋体" w:cs="Arial"/>
          <w:color w:val="000000" w:themeColor="text1"/>
          <w:sz w:val="24"/>
          <w:szCs w:val="24"/>
          <w14:textFill>
            <w14:solidFill>
              <w14:schemeClr w14:val="tx1"/>
            </w14:solidFill>
          </w14:textFill>
        </w:rPr>
        <w:t>°的折弯，地脚螺栓焊接在下法兰盘上。所用机柜基础混凝土</w:t>
      </w:r>
      <w:r>
        <w:rPr>
          <w:rFonts w:hint="eastAsia" w:ascii="宋体" w:hAnsi="宋体" w:cs="宋体"/>
          <w:color w:val="000000" w:themeColor="text1"/>
          <w:sz w:val="24"/>
          <w:szCs w:val="24"/>
          <w14:textFill>
            <w14:solidFill>
              <w14:schemeClr w14:val="tx1"/>
            </w14:solidFill>
          </w14:textFill>
        </w:rPr>
        <w:t>标号</w:t>
      </w:r>
      <w:r>
        <w:rPr>
          <w:rFonts w:hint="eastAsia" w:hAnsi="宋体" w:cs="Arial"/>
          <w:color w:val="000000" w:themeColor="text1"/>
          <w:sz w:val="24"/>
          <w:szCs w:val="24"/>
          <w14:textFill>
            <w14:solidFill>
              <w14:schemeClr w14:val="tx1"/>
            </w14:solidFill>
          </w14:textFill>
        </w:rPr>
        <w:t>不低于C</w:t>
      </w:r>
      <w:r>
        <w:rPr>
          <w:rFonts w:hAnsi="宋体" w:cs="Arial"/>
          <w:color w:val="000000" w:themeColor="text1"/>
          <w:sz w:val="24"/>
          <w:szCs w:val="24"/>
          <w14:textFill>
            <w14:solidFill>
              <w14:schemeClr w14:val="tx1"/>
            </w14:solidFill>
          </w14:textFill>
        </w:rPr>
        <w:t>25</w:t>
      </w:r>
      <w:r>
        <w:rPr>
          <w:rFonts w:hint="eastAsia" w:hAnsi="宋体" w:cs="Arial"/>
          <w:color w:val="000000" w:themeColor="text1"/>
          <w:sz w:val="24"/>
          <w:szCs w:val="24"/>
          <w14:textFill>
            <w14:solidFill>
              <w14:schemeClr w14:val="tx1"/>
            </w14:solidFill>
          </w14:textFill>
        </w:rPr>
        <w:t>。</w:t>
      </w:r>
    </w:p>
    <w:p>
      <w:pPr>
        <w:numPr>
          <w:ilvl w:val="0"/>
          <w:numId w:val="25"/>
        </w:numPr>
        <w:spacing w:line="360" w:lineRule="auto"/>
        <w:ind w:firstLine="48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预埋穿线管内径应大于Ф75</w:t>
      </w:r>
      <w:r>
        <w:rPr>
          <w:rFonts w:hAnsi="宋体" w:cs="Arial"/>
          <w:color w:val="000000" w:themeColor="text1"/>
          <w:sz w:val="24"/>
          <w:szCs w:val="24"/>
          <w14:textFill>
            <w14:solidFill>
              <w14:schemeClr w14:val="tx1"/>
            </w14:solidFill>
          </w14:textFill>
        </w:rPr>
        <w:t>mm</w:t>
      </w:r>
      <w:r>
        <w:rPr>
          <w:rFonts w:hint="eastAsia" w:hAnsi="宋体" w:cs="Arial"/>
          <w:color w:val="000000" w:themeColor="text1"/>
          <w:sz w:val="24"/>
          <w:szCs w:val="24"/>
          <w14:textFill>
            <w14:solidFill>
              <w14:schemeClr w14:val="tx1"/>
            </w14:solidFill>
          </w14:textFill>
        </w:rPr>
        <w:t>，数量为2根</w:t>
      </w:r>
      <w:r>
        <w:rPr>
          <w:rFonts w:hAnsi="宋体" w:cs="Arial"/>
          <w:color w:val="000000" w:themeColor="text1"/>
          <w:sz w:val="24"/>
          <w:szCs w:val="24"/>
          <w14:textFill>
            <w14:solidFill>
              <w14:schemeClr w14:val="tx1"/>
            </w14:solidFill>
          </w14:textFill>
        </w:rPr>
        <w:t>,</w:t>
      </w:r>
      <w:r>
        <w:rPr>
          <w:rFonts w:hint="eastAsia" w:hAnsi="宋体" w:cs="Arial"/>
          <w:color w:val="000000" w:themeColor="text1"/>
          <w:sz w:val="24"/>
          <w:szCs w:val="24"/>
          <w14:textFill>
            <w14:solidFill>
              <w14:schemeClr w14:val="tx1"/>
            </w14:solidFill>
          </w14:textFill>
        </w:rPr>
        <w:t>弯曲角度应大于</w:t>
      </w:r>
      <w:r>
        <w:rPr>
          <w:rFonts w:hAnsi="宋体" w:cs="Arial"/>
          <w:color w:val="000000" w:themeColor="text1"/>
          <w:sz w:val="24"/>
          <w:szCs w:val="24"/>
          <w14:textFill>
            <w14:solidFill>
              <w14:schemeClr w14:val="tx1"/>
            </w14:solidFill>
          </w14:textFill>
        </w:rPr>
        <w:t>120</w:t>
      </w:r>
      <w:r>
        <w:rPr>
          <w:rFonts w:hint="eastAsia" w:hAnsi="宋体" w:cs="Arial"/>
          <w:color w:val="000000" w:themeColor="text1"/>
          <w:sz w:val="24"/>
          <w:szCs w:val="24"/>
          <w14:textFill>
            <w14:solidFill>
              <w14:schemeClr w14:val="tx1"/>
            </w14:solidFill>
          </w14:textFill>
        </w:rPr>
        <w:t>°，机箱基础保护接地电阻应小于</w:t>
      </w:r>
      <w:r>
        <w:rPr>
          <w:rFonts w:hAnsi="宋体" w:cs="Arial"/>
          <w:color w:val="000000" w:themeColor="text1"/>
          <w:sz w:val="24"/>
          <w:szCs w:val="24"/>
          <w14:textFill>
            <w14:solidFill>
              <w14:schemeClr w14:val="tx1"/>
            </w14:solidFill>
          </w14:textFill>
        </w:rPr>
        <w:t>10</w:t>
      </w:r>
      <w:r>
        <w:rPr>
          <w:rFonts w:hint="eastAsia" w:hAnsi="宋体" w:cs="Arial"/>
          <w:color w:val="000000" w:themeColor="text1"/>
          <w:sz w:val="24"/>
          <w:szCs w:val="24"/>
          <w14:textFill>
            <w14:solidFill>
              <w14:schemeClr w14:val="tx1"/>
            </w14:solidFill>
          </w14:textFill>
        </w:rPr>
        <w:t>Ω。预埋件地脚螺栓法兰盘以上的螺纹在机箱安装前必须包扎好，以防损坏螺纹。</w:t>
      </w:r>
    </w:p>
    <w:p>
      <w:pPr>
        <w:pStyle w:val="6"/>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2.4悬挂式机柜安装要求</w:t>
      </w:r>
    </w:p>
    <w:p>
      <w:pPr>
        <w:numPr>
          <w:ilvl w:val="0"/>
          <w:numId w:val="26"/>
        </w:num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悬挂式机柜应通过机柜抱箍将控制机柜固定于指定立杆上，</w:t>
      </w:r>
      <w:r>
        <w:rPr>
          <w:rFonts w:hint="eastAsia"/>
          <w:color w:val="000000" w:themeColor="text1"/>
          <w:sz w:val="24"/>
          <w:szCs w:val="24"/>
          <w14:textFill>
            <w14:solidFill>
              <w14:schemeClr w14:val="tx1"/>
            </w14:solidFill>
          </w14:textFill>
        </w:rPr>
        <w:t>进出机箱线缆需套管并呈U型防积水。</w:t>
      </w:r>
    </w:p>
    <w:p>
      <w:pPr>
        <w:numPr>
          <w:ilvl w:val="0"/>
          <w:numId w:val="26"/>
        </w:num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机柜安装平整，无倾斜或左右不对称现象。根据现场实际情况选择机柜大门开启方向，</w:t>
      </w:r>
      <w:r>
        <w:rPr>
          <w:rFonts w:hint="eastAsia"/>
          <w:color w:val="000000" w:themeColor="text1"/>
          <w:sz w:val="24"/>
          <w:szCs w:val="24"/>
          <w14:textFill>
            <w14:solidFill>
              <w14:schemeClr w14:val="tx1"/>
            </w14:solidFill>
          </w14:textFill>
        </w:rPr>
        <w:t>机柜安装净空3米以上，安装位置原则上避开行车区域</w:t>
      </w:r>
      <w:r>
        <w:rPr>
          <w:rFonts w:hint="eastAsia" w:ascii="Arial" w:hAnsi="宋体" w:cs="Arial"/>
          <w:color w:val="000000" w:themeColor="text1"/>
          <w:sz w:val="24"/>
          <w:szCs w:val="24"/>
          <w14:textFill>
            <w14:solidFill>
              <w14:schemeClr w14:val="tx1"/>
            </w14:solidFill>
          </w14:textFill>
        </w:rPr>
        <w:t>，不影响车辆、行人通行。</w:t>
      </w:r>
    </w:p>
    <w:p>
      <w:pPr>
        <w:numPr>
          <w:ilvl w:val="0"/>
          <w:numId w:val="26"/>
        </w:numPr>
        <w:adjustRightInd w:val="0"/>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机柜内应放置该杆件设备的接线图（注明标签扎带上线缆代号的具体含义）。机柜内接线对于多余的线缆要绑扎固定，线缆接线要美观，设备应用螺丝固定。所有的机柜内设备摆放、接线要规范统一。机柜内不放置多功能插座，正常运行的相关设备电源线应按电器要求分类接于机柜内各1P单级电源空开下端。</w:t>
      </w:r>
    </w:p>
    <w:p>
      <w:pPr>
        <w:pStyle w:val="4"/>
        <w:ind w:firstLine="6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3、基础</w:t>
      </w:r>
    </w:p>
    <w:p>
      <w:pPr>
        <w:pStyle w:val="6"/>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3.1基础施工要求</w:t>
      </w:r>
    </w:p>
    <w:p>
      <w:pPr>
        <w:numPr>
          <w:ilvl w:val="0"/>
          <w:numId w:val="27"/>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础应采用地锚混凝土式基础浇筑，所用混凝土标号不低于C25。地脚螺栓上端为螺纹，下端为夹角小于60°的折弯，地脚螺栓焊接在下法兰盘上。基础内预埋2根穿线管，材料使用PE管，内径应大于Ф50mm。预埋件地脚螺栓法兰盘以上的螺纹在杆件安装前必须包扎好，以防损坏螺纹。</w:t>
      </w:r>
    </w:p>
    <w:p>
      <w:pPr>
        <w:numPr>
          <w:ilvl w:val="0"/>
          <w:numId w:val="27"/>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浇筑混凝土时，不得污染路面。为保证钢筋笼不被混凝土冲歪，须将混凝土从钢筋笼中间倒入基础坑内，在倒入1/3部分后用振动棒震实，再倒入1/3部分后用振动棒震实，全部倒入后再震实，保证混凝土均匀没有蜂窝、空鼓。为保证混凝土质量，浇筑的混凝土不能出现离析现象，如果出现应该重新搅拌监控立杆预埋件基础混凝土浇捣必须密实，禁止混凝土有空鼓。</w:t>
      </w:r>
    </w:p>
    <w:p>
      <w:pPr>
        <w:numPr>
          <w:ilvl w:val="0"/>
          <w:numId w:val="27"/>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基础在混凝土浇筑完成后养护期不得低于15天。</w:t>
      </w:r>
    </w:p>
    <w:p>
      <w:pPr>
        <w:pStyle w:val="6"/>
        <w:numPr>
          <w:ilvl w:val="0"/>
          <w:numId w:val="0"/>
        </w:numPr>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3.2基础规格要求</w:t>
      </w:r>
    </w:p>
    <w:p>
      <w:pPr>
        <w:numPr>
          <w:ilvl w:val="0"/>
          <w:numId w:val="28"/>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L型杆件基础开挖要求：</w:t>
      </w:r>
    </w:p>
    <w:p>
      <w:pPr>
        <w:numPr>
          <w:ilvl w:val="0"/>
          <w:numId w:val="29"/>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副杆4米至7米L型杆件的基础开挖不小于1.5*1.5*1.8m,预埋件的大小不小于M30*8*2000 mm；灌砼础地层要保持水平,然后在放入Φ16@200网板。地脚螺栓底层与地网拼接采用焊接，基底尺寸为1500MM×1500MM。</w:t>
      </w:r>
    </w:p>
    <w:p>
      <w:pPr>
        <w:numPr>
          <w:ilvl w:val="0"/>
          <w:numId w:val="29"/>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副杆8至12米L型杆件的基础开挖不小于1.6*1.6*2.0m,预埋件的大小不小于M30*8*2200 mm；灌砼础地层要保持水平,然后在放入Φ16@200网板。地脚螺栓底层与地网拼接采用焊接。基底尺寸为1600MM×1600MM。</w:t>
      </w:r>
    </w:p>
    <w:p>
      <w:pPr>
        <w:numPr>
          <w:ilvl w:val="0"/>
          <w:numId w:val="29"/>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副杆13至15米L型杆件的基础开挖不小于1.8*1.8*2.1m,预埋件的大小不小于M36*8*2400 mm；灌砼础地层要保持水平,然后在放入Φ16@200网板。地脚螺栓底层与地网拼接采用焊接。基底尺寸为1800MM×1800MM。</w:t>
      </w:r>
    </w:p>
    <w:p>
      <w:pPr>
        <w:numPr>
          <w:ilvl w:val="0"/>
          <w:numId w:val="28"/>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T型杆件基础开挖要求：</w:t>
      </w:r>
    </w:p>
    <w:p>
      <w:pPr>
        <w:numPr>
          <w:ilvl w:val="0"/>
          <w:numId w:val="30"/>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副杆≤8米T型杆件的基础开挖不小于1.6*1.6*2.1m,预埋件不小于M30*8*2000 mm；灌砼础地层要保持水平,然后在放入Φ16@200网板，地脚螺栓底层与地网拼接采用焊接。</w:t>
      </w:r>
    </w:p>
    <w:p>
      <w:pPr>
        <w:numPr>
          <w:ilvl w:val="0"/>
          <w:numId w:val="30"/>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副杆9至11米T型杆件的基础开挖不小于1.8*1.8*2.3m,预埋件不小于M30*8*2200 mm；灌砼础地层要保持水平,然后在放入Φ16@200网板，地脚螺栓底层与地网拼接采用焊接。</w:t>
      </w:r>
    </w:p>
    <w:p>
      <w:pPr>
        <w:numPr>
          <w:ilvl w:val="0"/>
          <w:numId w:val="30"/>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副杆13至15米T型杆件的基础开挖不小于2.0*2.0*2.5m,预埋件不小于M36*8*2400 mm；灌砼础地层要保持水平,然后在放入Φ16@200网板，地脚螺栓底层与地网拼接采用焊接。</w:t>
      </w:r>
    </w:p>
    <w:p>
      <w:pPr>
        <w:numPr>
          <w:ilvl w:val="0"/>
          <w:numId w:val="28"/>
        </w:num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直立杆基础要求：基础开挖不小于1.0*1.0*1.0m,预埋件不小于M20*4*800 mm，基底尺寸为1000mm×1000mm。</w:t>
      </w:r>
    </w:p>
    <w:p>
      <w:pPr>
        <w:numPr>
          <w:ilvl w:val="0"/>
          <w:numId w:val="27"/>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F型杆件基础开挖要求：基础开挖不小于2.7*2.7*2.7m,预埋件不小于M30*20*2000mm，基底为2700mm×2700mm。</w:t>
      </w:r>
    </w:p>
    <w:p>
      <w:pPr>
        <w:pStyle w:val="4"/>
        <w:ind w:firstLine="6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4、管道及窨井</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4.1穿越机动车道的地下管道埋设</w:t>
      </w:r>
    </w:p>
    <w:p>
      <w:pPr>
        <w:numPr>
          <w:ilvl w:val="0"/>
          <w:numId w:val="31"/>
        </w:numPr>
        <w:adjustRightInd w:val="0"/>
        <w:snapToGrid w:val="0"/>
        <w:spacing w:line="360" w:lineRule="auto"/>
        <w:ind w:firstLine="480"/>
        <w:jc w:val="left"/>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穿越机动车道的地下管道沟的宽度不小于400mm，深度以管道理置后其顶部距路面的距离不小于500mm。管道沟要求平直敷设，或略呈倒“U”字型，所有碎屑清理干净并填上50mm的细软沙土，管道周围须包有足够强度的混凝土防护层。管道施工路面恢复材料与道路建设材料一致，恢复后施工作业面平整度与路面平整度保持一致。</w:t>
      </w:r>
    </w:p>
    <w:p>
      <w:pPr>
        <w:numPr>
          <w:ilvl w:val="0"/>
          <w:numId w:val="31"/>
        </w:numPr>
        <w:adjustRightInd w:val="0"/>
        <w:snapToGrid w:val="0"/>
        <w:spacing w:line="360" w:lineRule="auto"/>
        <w:ind w:firstLine="480"/>
        <w:jc w:val="left"/>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穿越机动车道的地下管道采用镀锌钢管。每方向须埋设每段≥2根独立管道，管的公称口径应≥Ф75mm，并穿好铁丝。管与管的接头处应焊接好，并作防锈处理。</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4.2非机动车道、人行道或绿化带下的地下管道埋设</w:t>
      </w:r>
    </w:p>
    <w:p>
      <w:pPr>
        <w:numPr>
          <w:ilvl w:val="0"/>
          <w:numId w:val="32"/>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穿越非机动车道、人行道或绿化带下的地下管道沟的宽度不小于300mm，深度以管道理置后其顶部距路面的距离不小于400mm。管道沟要求平直敷设，或略呈倒“U”字型。沟底部要求平整，所有碎屑清理干净并填上不低于50mm的细软沙土。不设手孔井的拐弯处线管的圆角半径要求R≥20D（D为电缆外径），且线管转向应圆滑、流畅。</w:t>
      </w:r>
    </w:p>
    <w:p>
      <w:pPr>
        <w:numPr>
          <w:ilvl w:val="0"/>
          <w:numId w:val="32"/>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穿越非机动车道、人行道或绿化带下的地下管道采用高强度的PE管，数量为每段≥2根。管的公称口径≥Ф75mm，并穿好铁丝。管与管的接头处使用套管固定，在管道端口处使用防鼠护套。管道施工路面恢复材料与道路建设材料一致，恢复后施工作业面平整度与路面平整度保持一致。</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4.3高架桥管道敷设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本项目高架桥两侧光缆管道需采用高强度的PE管，数量为每段≥1根，管的公称口径≥</w:t>
      </w:r>
      <w:r>
        <w:rPr>
          <w:rFonts w:hint="eastAsia" w:ascii="Arial" w:hAnsi="宋体" w:cs="Arial"/>
          <w:color w:val="000000" w:themeColor="text1"/>
          <w:sz w:val="24"/>
          <w:szCs w:val="24"/>
          <w14:textFill>
            <w14:solidFill>
              <w14:schemeClr w14:val="tx1"/>
            </w14:solidFill>
          </w14:textFill>
        </w:rPr>
        <w:t>Ф7</w:t>
      </w:r>
      <w:r>
        <w:rPr>
          <w:rFonts w:hint="eastAsia"/>
          <w:color w:val="000000" w:themeColor="text1"/>
          <w:sz w:val="24"/>
          <w:szCs w:val="24"/>
          <w14:textFill>
            <w14:solidFill>
              <w14:schemeClr w14:val="tx1"/>
            </w14:solidFill>
          </w14:textFill>
        </w:rPr>
        <w:t>5mm，光缆管道距离电缆管道≥200mm。</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4.4管道借用原则</w:t>
      </w:r>
    </w:p>
    <w:p>
      <w:pPr>
        <w:adjustRightInd w:val="0"/>
        <w:snapToGrid w:val="0"/>
        <w:spacing w:line="360" w:lineRule="auto"/>
        <w:ind w:firstLine="482" w:firstLineChars="201"/>
        <w:rPr>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如在路口勘察过程中，遇管路不通或旧管道无多余空间（小于三分之一），需重新敷设管道，敷设要求参考3.3.1及3.3.2两项。</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4.5窨井要求</w:t>
      </w:r>
    </w:p>
    <w:p>
      <w:pPr>
        <w:numPr>
          <w:ilvl w:val="0"/>
          <w:numId w:val="33"/>
        </w:numPr>
        <w:adjustRightInd w:val="0"/>
        <w:snapToGrid w:val="0"/>
        <w:spacing w:line="360" w:lineRule="auto"/>
        <w:ind w:firstLine="482" w:firstLineChars="201"/>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杆件旁、电缆拐弯处、电缆管直线长度超过50米或两端电缆管不在同一平面相距100mm以上时，须设置窨井。</w:t>
      </w:r>
    </w:p>
    <w:p>
      <w:pPr>
        <w:numPr>
          <w:ilvl w:val="0"/>
          <w:numId w:val="33"/>
        </w:numPr>
        <w:adjustRightInd w:val="0"/>
        <w:snapToGrid w:val="0"/>
        <w:spacing w:line="360" w:lineRule="auto"/>
        <w:ind w:firstLine="482" w:firstLineChars="201"/>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小窨井</w:t>
      </w:r>
      <w:r>
        <w:rPr>
          <w:rFonts w:hint="eastAsia"/>
          <w:color w:val="000000" w:themeColor="text1"/>
          <w:sz w:val="24"/>
          <w:szCs w:val="24"/>
          <w14:textFill>
            <w14:solidFill>
              <w14:schemeClr w14:val="tx1"/>
            </w14:solidFill>
          </w14:textFill>
        </w:rPr>
        <w:t>内径</w:t>
      </w:r>
      <w:r>
        <w:rPr>
          <w:color w:val="000000" w:themeColor="text1"/>
          <w:sz w:val="24"/>
          <w:szCs w:val="24"/>
          <w14:textFill>
            <w14:solidFill>
              <w14:schemeClr w14:val="tx1"/>
            </w14:solidFill>
          </w14:textFill>
        </w:rPr>
        <w:t>尺寸不小于</w:t>
      </w:r>
      <w:r>
        <w:rPr>
          <w:rFonts w:hint="eastAsia"/>
          <w:color w:val="000000" w:themeColor="text1"/>
          <w:sz w:val="24"/>
          <w:szCs w:val="24"/>
          <w14:textFill>
            <w14:solidFill>
              <w14:schemeClr w14:val="tx1"/>
            </w14:solidFill>
          </w14:textFill>
        </w:rPr>
        <w:t>40</w:t>
      </w:r>
      <w:r>
        <w:rPr>
          <w:color w:val="000000" w:themeColor="text1"/>
          <w:sz w:val="24"/>
          <w:szCs w:val="24"/>
          <w14:textFill>
            <w14:solidFill>
              <w14:schemeClr w14:val="tx1"/>
            </w14:solidFill>
          </w14:textFill>
        </w:rPr>
        <w:t>0mm*</w:t>
      </w:r>
      <w:r>
        <w:rPr>
          <w:rFonts w:hint="eastAsia"/>
          <w:color w:val="000000" w:themeColor="text1"/>
          <w:sz w:val="24"/>
          <w:szCs w:val="24"/>
          <w14:textFill>
            <w14:solidFill>
              <w14:schemeClr w14:val="tx1"/>
            </w14:solidFill>
          </w14:textFill>
        </w:rPr>
        <w:t>40</w:t>
      </w:r>
      <w:r>
        <w:rPr>
          <w:color w:val="000000" w:themeColor="text1"/>
          <w:sz w:val="24"/>
          <w:szCs w:val="24"/>
          <w14:textFill>
            <w14:solidFill>
              <w14:schemeClr w14:val="tx1"/>
            </w14:solidFill>
          </w14:textFill>
        </w:rPr>
        <w:t>0mm*600mm，大窨井</w:t>
      </w:r>
      <w:r>
        <w:rPr>
          <w:rFonts w:hint="eastAsia"/>
          <w:color w:val="000000" w:themeColor="text1"/>
          <w:sz w:val="24"/>
          <w:szCs w:val="24"/>
          <w14:textFill>
            <w14:solidFill>
              <w14:schemeClr w14:val="tx1"/>
            </w14:solidFill>
          </w14:textFill>
        </w:rPr>
        <w:t>内径</w:t>
      </w:r>
      <w:r>
        <w:rPr>
          <w:color w:val="000000" w:themeColor="text1"/>
          <w:sz w:val="24"/>
          <w:szCs w:val="24"/>
          <w14:textFill>
            <w14:solidFill>
              <w14:schemeClr w14:val="tx1"/>
            </w14:solidFill>
          </w14:textFill>
        </w:rPr>
        <w:t>尺寸不小于</w:t>
      </w: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00mm*</w:t>
      </w: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00mm*</w:t>
      </w: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00mm。窨井盖材质应采用复合</w:t>
      </w:r>
      <w:r>
        <w:rPr>
          <w:rFonts w:hint="eastAsia"/>
          <w:color w:val="000000" w:themeColor="text1"/>
          <w:sz w:val="24"/>
          <w:szCs w:val="24"/>
          <w14:textFill>
            <w14:solidFill>
              <w14:schemeClr w14:val="tx1"/>
            </w14:solidFill>
          </w14:textFill>
        </w:rPr>
        <w:t>或水泥</w:t>
      </w:r>
      <w:r>
        <w:rPr>
          <w:color w:val="000000" w:themeColor="text1"/>
          <w:sz w:val="24"/>
          <w:szCs w:val="24"/>
          <w14:textFill>
            <w14:solidFill>
              <w14:schemeClr w14:val="tx1"/>
            </w14:solidFill>
          </w14:textFill>
        </w:rPr>
        <w:t>材料，并标有“</w:t>
      </w:r>
      <w:r>
        <w:rPr>
          <w:rFonts w:hint="eastAsia"/>
          <w:color w:val="000000" w:themeColor="text1"/>
          <w:sz w:val="24"/>
          <w:szCs w:val="24"/>
          <w14:textFill>
            <w14:solidFill>
              <w14:schemeClr w14:val="tx1"/>
            </w14:solidFill>
          </w14:textFill>
        </w:rPr>
        <w:t>台州</w:t>
      </w:r>
      <w:r>
        <w:rPr>
          <w:color w:val="000000" w:themeColor="text1"/>
          <w:sz w:val="24"/>
          <w:szCs w:val="24"/>
          <w14:textFill>
            <w14:solidFill>
              <w14:schemeClr w14:val="tx1"/>
            </w14:solidFill>
          </w14:textFill>
        </w:rPr>
        <w:t>交警”字样。</w:t>
      </w:r>
    </w:p>
    <w:p>
      <w:pPr>
        <w:pStyle w:val="4"/>
        <w:ind w:firstLine="602"/>
        <w:rPr>
          <w:color w:val="000000" w:themeColor="text1"/>
          <w:sz w:val="24"/>
          <w:szCs w:val="24"/>
          <w14:textFill>
            <w14:solidFill>
              <w14:schemeClr w14:val="tx1"/>
            </w14:solidFill>
          </w14:textFill>
        </w:rPr>
      </w:pPr>
      <w:bookmarkStart w:id="77" w:name="_Toc499797730"/>
      <w:bookmarkStart w:id="78" w:name="_Toc497438459"/>
      <w:r>
        <w:rPr>
          <w:rFonts w:hint="eastAsia"/>
          <w:color w:val="000000" w:themeColor="text1"/>
          <w:sz w:val="24"/>
          <w:szCs w:val="24"/>
          <w14:textFill>
            <w14:solidFill>
              <w14:schemeClr w14:val="tx1"/>
            </w14:solidFill>
          </w14:textFill>
        </w:rPr>
        <w:t>5、线缆及敷设</w:t>
      </w:r>
      <w:bookmarkEnd w:id="77"/>
      <w:bookmarkEnd w:id="78"/>
      <w:r>
        <w:rPr>
          <w:rFonts w:hint="eastAsia"/>
          <w:color w:val="000000" w:themeColor="text1"/>
          <w:sz w:val="24"/>
          <w:szCs w:val="24"/>
          <w14:textFill>
            <w14:solidFill>
              <w14:schemeClr w14:val="tx1"/>
            </w14:solidFill>
          </w14:textFill>
        </w:rPr>
        <w:t>要求</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5.1线缆规格要求</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电源线缆：前端取电电源线规格不小于RVV3*6mm2，用于路口落地主主机柜至路口电表总电源的接电， 各方向抱杆机柜至路口落地主机柜电源的接电用电源线≥RVV3*2.5mm2 ，抱杆机柜至前端设备的接电电源线规格不小于RVV3*1.5mm2。</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补光灯控制线缆：采用铜芯聚氯乙烯绝缘护套两芯平行软线，每根电缆线为2芯，线缆规格不小于RVVSP2*1.0mm2。</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485控制线缆：采用铜芯聚氯乙烯绝缘护套绞型屏蔽软电缆，每根电缆线为2芯，线缆规格不小于RVVSP2*1.0mm2型线缆或同等性能的其它规格线缆。</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通信线缆：采用4对超五类阻燃双绞线，传输速率达到1000Mbps，使用要求：传输距离在100米内。</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光纤光缆：用于方向设备机箱内通讯设备与路口设备机柜内通信设备之间的信息交互。采用单模光纤光缆，芯数不少于4芯，同时须完成光纤光缆与光纤收发器尾纤的的熔接。</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网线：采用4对芯径不小于24AWG单股裸铜线，外包阻水带，外被为PE聚酯薄膜及耐气候黑色聚乙烯护套；非屏蔽双绞线。</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地接线：设备保护接地线和防雷接地线使用软铜绞线，其截面不小于10mm2。</w:t>
      </w:r>
    </w:p>
    <w:p>
      <w:pPr>
        <w:numPr>
          <w:ilvl w:val="0"/>
          <w:numId w:val="34"/>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红绿灯检测线：路口信号机和红灯检测器使用2芯RVVP接线，其截面不小于1.0 mm²。</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5.2线缆敷设要求</w:t>
      </w:r>
    </w:p>
    <w:p>
      <w:pPr>
        <w:numPr>
          <w:ilvl w:val="0"/>
          <w:numId w:val="35"/>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线缆敷设方式：</w:t>
      </w:r>
    </w:p>
    <w:p>
      <w:pPr>
        <w:numPr>
          <w:ilvl w:val="0"/>
          <w:numId w:val="36"/>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横穿机动车道的强电电缆与弱电线缆、通信光缆应在不同的管线中敷设。</w:t>
      </w:r>
    </w:p>
    <w:p>
      <w:pPr>
        <w:numPr>
          <w:ilvl w:val="0"/>
          <w:numId w:val="36"/>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同时，根据路口实际、功能要求等，横跨过机动车道、非机动车道、柏油路基、水泥路基的管路必须顶管。</w:t>
      </w:r>
    </w:p>
    <w:p>
      <w:pPr>
        <w:numPr>
          <w:ilvl w:val="0"/>
          <w:numId w:val="36"/>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线缆穿入管道时，出入口应封闭，管道内敷设的线缆无接头，且每根线缆在每个窨井中应留有不小于2m的余量。</w:t>
      </w:r>
    </w:p>
    <w:p>
      <w:pPr>
        <w:numPr>
          <w:ilvl w:val="0"/>
          <w:numId w:val="35"/>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线缆安装要求：</w:t>
      </w:r>
    </w:p>
    <w:p>
      <w:pPr>
        <w:numPr>
          <w:ilvl w:val="0"/>
          <w:numId w:val="37"/>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导线应具备有效保护，保证导线不会接触到易引起导线绝缘部分损伤的部件。</w:t>
      </w:r>
    </w:p>
    <w:p>
      <w:pPr>
        <w:numPr>
          <w:ilvl w:val="0"/>
          <w:numId w:val="37"/>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当导线需穿越金属孔时，金属穿线孔应进行倒角，不得有锋利的边缘，导线应装有衬套。</w:t>
      </w:r>
    </w:p>
    <w:p>
      <w:pPr>
        <w:numPr>
          <w:ilvl w:val="0"/>
          <w:numId w:val="37"/>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所有接线要布置整齐，使用线夹、电缆套、电缆卷或管道固定好，线束内的线路要编扎好，走线安排要做到任何接线总成的拆除不会影响到与该总成无关的线缆。</w:t>
      </w:r>
    </w:p>
    <w:p>
      <w:pPr>
        <w:numPr>
          <w:ilvl w:val="0"/>
          <w:numId w:val="37"/>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监控设备至抱柜光纤收发器采用超五类阻燃非屏蔽双绞网线，抱柜至落地机柜的通信信息采用单模光纤（芯数大于4芯）连接。</w:t>
      </w:r>
    </w:p>
    <w:p>
      <w:pPr>
        <w:numPr>
          <w:ilvl w:val="0"/>
          <w:numId w:val="37"/>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线缆安装时应做到杆件内部穿线，如外部跳线必须套管并同杆件固定，线缆施工时禁止飞线。</w:t>
      </w:r>
    </w:p>
    <w:p>
      <w:pPr>
        <w:numPr>
          <w:ilvl w:val="0"/>
          <w:numId w:val="37"/>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如借用旧管路，线缆敷设过程中需谨慎，不得破坏原有线路。</w:t>
      </w:r>
    </w:p>
    <w:p>
      <w:pPr>
        <w:numPr>
          <w:ilvl w:val="0"/>
          <w:numId w:val="35"/>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线缆标识要求：</w:t>
      </w:r>
    </w:p>
    <w:p>
      <w:pPr>
        <w:numPr>
          <w:ilvl w:val="0"/>
          <w:numId w:val="38"/>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在线缆终端头、接头、拐弯处、管道的两端、窨井内等处的线缆上装设标识。</w:t>
      </w:r>
    </w:p>
    <w:p>
      <w:pPr>
        <w:numPr>
          <w:ilvl w:val="0"/>
          <w:numId w:val="38"/>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标识上注明线路编号，无编号时，注明起迄地点，并联使用的线缆设有顺序号。</w:t>
      </w:r>
    </w:p>
    <w:p>
      <w:pPr>
        <w:numPr>
          <w:ilvl w:val="0"/>
          <w:numId w:val="38"/>
        </w:numPr>
        <w:adjustRightInd w:val="0"/>
        <w:snapToGrid w:val="0"/>
        <w:spacing w:line="360" w:lineRule="auto"/>
        <w:ind w:firstLine="480"/>
        <w:rPr>
          <w:rFonts w:ascii="Arial" w:hAnsi="宋体" w:cs="Arial"/>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标识的字迹清晰不易脱落。</w:t>
      </w:r>
    </w:p>
    <w:p>
      <w:pPr>
        <w:pStyle w:val="4"/>
        <w:spacing w:line="360" w:lineRule="auto"/>
        <w:ind w:firstLine="6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6、供电</w:t>
      </w:r>
    </w:p>
    <w:p>
      <w:pPr>
        <w:numPr>
          <w:ilvl w:val="0"/>
          <w:numId w:val="39"/>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施工内容：供电应包含供电接驳点报建、电表及电表安装、电源接驳点至设备机箱之间管道连接、电源接驳点至设备机箱之间电源线缆提供及连接。</w:t>
      </w:r>
    </w:p>
    <w:p>
      <w:pPr>
        <w:numPr>
          <w:ilvl w:val="0"/>
          <w:numId w:val="39"/>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供电要求为：电压为AC 220V±10%；频率为50Hz±2Hz；额定功率至少满足单个点位设备正常工作所需的额定功率,并另提供100%容量冗余。稳定性达到常年稳定正常供电，年平均断电时间不超过1小时。</w:t>
      </w:r>
    </w:p>
    <w:p>
      <w:pPr>
        <w:numPr>
          <w:ilvl w:val="0"/>
          <w:numId w:val="39"/>
        </w:num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凡涉及地面信号灯、LED信息屏点位需单独敷设不小于3*10mm²电源线。</w:t>
      </w:r>
    </w:p>
    <w:p>
      <w:pPr>
        <w:pStyle w:val="4"/>
        <w:spacing w:line="360" w:lineRule="auto"/>
        <w:ind w:firstLine="602"/>
        <w:rPr>
          <w:rFonts w:hint="eastAsia"/>
          <w:color w:val="000000" w:themeColor="text1"/>
          <w:sz w:val="24"/>
          <w:szCs w:val="24"/>
          <w14:textFill>
            <w14:solidFill>
              <w14:schemeClr w14:val="tx1"/>
            </w14:solidFill>
          </w14:textFill>
        </w:rPr>
      </w:pPr>
    </w:p>
    <w:p>
      <w:pPr>
        <w:pStyle w:val="4"/>
        <w:spacing w:line="360" w:lineRule="auto"/>
        <w:ind w:firstLine="6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7、防雷与接地</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7.1杆件接地要求</w:t>
      </w:r>
    </w:p>
    <w:p>
      <w:pPr>
        <w:numPr>
          <w:ilvl w:val="0"/>
          <w:numId w:val="40"/>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杆件应安装保护地线，保护地线可使用规格为40mm×4mm以上的镀锌扁钢制作，焊接到每个钢制杆件的法兰盘上。</w:t>
      </w:r>
    </w:p>
    <w:p>
      <w:pPr>
        <w:numPr>
          <w:ilvl w:val="0"/>
          <w:numId w:val="40"/>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焊接处应作防腐处理。</w:t>
      </w:r>
    </w:p>
    <w:p>
      <w:pPr>
        <w:numPr>
          <w:ilvl w:val="0"/>
          <w:numId w:val="40"/>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保护地线应与接地体有效连接，接地电阻小于10Ω。</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7.2设备机柜接地</w:t>
      </w:r>
    </w:p>
    <w:p>
      <w:pPr>
        <w:numPr>
          <w:ilvl w:val="0"/>
          <w:numId w:val="41"/>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设备机箱的专用接地铜排应与接地体有效连接，接地电阻应小于10Ω。</w:t>
      </w:r>
    </w:p>
    <w:p>
      <w:pPr>
        <w:numPr>
          <w:ilvl w:val="0"/>
          <w:numId w:val="41"/>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引入设备机箱的接地线应使用软铜绞线，其截面不得小于10mm</w:t>
      </w:r>
      <w:r>
        <w:rPr>
          <w:rFonts w:hint="eastAsia" w:ascii="宋体" w:hAnsi="宋体" w:cs="宋体"/>
          <w:color w:val="000000" w:themeColor="text1"/>
          <w:sz w:val="24"/>
          <w:szCs w:val="24"/>
          <w:vertAlign w:val="superscript"/>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numPr>
          <w:ilvl w:val="0"/>
          <w:numId w:val="41"/>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接地体施工应符合《电气装置安装工程 接地装置施工及验收规范 GB50169—2016》的规定。</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7.3接地体要求</w:t>
      </w:r>
    </w:p>
    <w:p>
      <w:pPr>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接地体用于防止外界电压危害人身安全和对设备的损害，抑制电气干扰，保证设备正常工作，应满足如下安装要求；</w:t>
      </w:r>
    </w:p>
    <w:p>
      <w:pPr>
        <w:numPr>
          <w:ilvl w:val="0"/>
          <w:numId w:val="42"/>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应符合现行国家标准的有关规定。</w:t>
      </w:r>
    </w:p>
    <w:p>
      <w:pPr>
        <w:numPr>
          <w:ilvl w:val="0"/>
          <w:numId w:val="42"/>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接地使用接地体/接地棒。接地体的焊接应采用搭焊，搭焊长度为角钢直径宽度的4倍；距设备杆的距离不得超过3m。接地体安装点下方应无任何管道、线缆经过。</w:t>
      </w:r>
    </w:p>
    <w:p>
      <w:pPr>
        <w:numPr>
          <w:ilvl w:val="0"/>
          <w:numId w:val="42"/>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每根杆件应安装保护接地，保护接地应使用规格为50mm×50mm以上的镀锌扁角钢打入杆件开挖的基础坑底部以下不小于2米，然后用规格为40mm×4mm以上的镀锌扁钢与角钢妥善焊接,扁钢再焊接到每个钢制杆件的法兰盘上，焊接处应作防腐处理，接地电阻应小于10Ω。采用与接地体/接地棒有效连接的软铜绞线引入设备机柜的专用接地端子，导线护套颜色应为黄、绿双色，其截面不得小于6mm</w:t>
      </w:r>
      <w:r>
        <w:rPr>
          <w:rFonts w:hint="eastAsia" w:ascii="宋体" w:hAnsi="宋体" w:cs="宋体"/>
          <w:color w:val="000000" w:themeColor="text1"/>
          <w:sz w:val="24"/>
          <w:szCs w:val="24"/>
          <w:vertAlign w:val="superscript"/>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p>
    <w:p>
      <w:pPr>
        <w:pStyle w:val="6"/>
        <w:numPr>
          <w:ilvl w:val="0"/>
          <w:numId w:val="0"/>
        </w:numPr>
        <w:spacing w:line="360" w:lineRule="auto"/>
        <w:ind w:left="420" w:left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7.4摄像机防雷</w:t>
      </w:r>
    </w:p>
    <w:p>
      <w:pPr>
        <w:spacing w:line="360" w:lineRule="auto"/>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在每台摄像机电源入口处采用过电压保护器作为电源防护，并注意防水、防潮、防尘。接地电阻小于10欧姆。</w:t>
      </w:r>
    </w:p>
    <w:p>
      <w:pPr>
        <w:pStyle w:val="4"/>
        <w:spacing w:line="360" w:lineRule="auto"/>
        <w:ind w:firstLine="6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8.施工安全防护要求</w:t>
      </w:r>
    </w:p>
    <w:p>
      <w:pPr>
        <w:numPr>
          <w:ilvl w:val="0"/>
          <w:numId w:val="43"/>
        </w:numPr>
        <w:adjustRightInd w:val="0"/>
        <w:snapToGrid w:val="0"/>
        <w:spacing w:line="360" w:lineRule="auto"/>
        <w:ind w:firstLine="480"/>
        <w:rPr>
          <w:color w:val="000000" w:themeColor="text1"/>
          <w:sz w:val="24"/>
          <w:szCs w:val="24"/>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管路开挖敷设、基础开挖及浇筑过程中，施工区域需按要求设置安全防护措施，做到全封闭施工，如：水马、圆锥筒、施工警示牌、爆闪灯、导流牌等，施工人员需穿反光背心佩戴安全帽。路面施工时，在来车方向30-50米处须放置施工警示牌并使用圆锥筒设置缓冲区域，提醒过往车辆注意安全。在城市快速路，缓冲区域应距离施工区域50米以上。</w:t>
      </w:r>
    </w:p>
    <w:p>
      <w:pPr>
        <w:widowControl/>
        <w:spacing w:line="360" w:lineRule="auto"/>
        <w:ind w:firstLine="480"/>
        <w:jc w:val="left"/>
        <w:rPr>
          <w:rFonts w:ascii="Arial" w:hAnsi="宋体" w:cs="Arial"/>
          <w:color w:val="000000" w:themeColor="text1"/>
          <w:sz w:val="24"/>
          <w:szCs w:val="24"/>
          <w:lang w:val="en-GB"/>
          <w14:textFill>
            <w14:solidFill>
              <w14:schemeClr w14:val="tx1"/>
            </w14:solidFill>
          </w14:textFill>
        </w:rPr>
      </w:pPr>
      <w:r>
        <w:rPr>
          <w:rFonts w:hint="eastAsia" w:ascii="Arial" w:hAnsi="宋体" w:cs="Arial"/>
          <w:color w:val="000000" w:themeColor="text1"/>
          <w:sz w:val="24"/>
          <w:szCs w:val="24"/>
          <w14:textFill>
            <w14:solidFill>
              <w14:schemeClr w14:val="tx1"/>
            </w14:solidFill>
          </w14:textFill>
        </w:rPr>
        <w:t>设备安装及调试阶段，使用登高车时，施工人员需穿戴反光背心、安全帽，并系安全绳，在来车方向30-50米处须放置施工警示牌并设置缓冲区域，提醒过往车辆注意安全。在城市快速路，缓冲区域应距离施工区域50米以上。</w:t>
      </w:r>
    </w:p>
    <w:p>
      <w:pPr>
        <w:pStyle w:val="2"/>
        <w:rPr>
          <w:rFonts w:hint="eastAsia"/>
          <w:color w:val="000000" w:themeColor="text1"/>
          <w14:textFill>
            <w14:solidFill>
              <w14:schemeClr w14:val="tx1"/>
            </w14:solidFill>
          </w14:textFill>
        </w:rPr>
      </w:pPr>
    </w:p>
    <w:p>
      <w:pPr>
        <w:numPr>
          <w:ilvl w:val="0"/>
          <w:numId w:val="0"/>
        </w:numPr>
        <w:spacing w:line="360" w:lineRule="auto"/>
        <w:ind w:leftChars="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四</w:t>
      </w:r>
      <w:r>
        <w:rPr>
          <w:rFonts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b/>
          <w:color w:val="000000" w:themeColor="text1"/>
          <w:sz w:val="24"/>
          <w:szCs w:val="24"/>
          <w14:textFill>
            <w14:solidFill>
              <w14:schemeClr w14:val="tx1"/>
            </w14:solidFill>
          </w14:textFill>
        </w:rPr>
        <w:t>商务需求</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w:t>
      </w:r>
      <w:r>
        <w:rPr>
          <w:rFonts w:hint="eastAsia" w:asciiTheme="minorEastAsia" w:hAnsiTheme="minorEastAsia" w:eastAsiaTheme="minorEastAsia"/>
          <w:b/>
          <w:color w:val="000000" w:themeColor="text1"/>
          <w:sz w:val="24"/>
          <w:szCs w:val="24"/>
          <w:lang w:eastAsia="zh-CN"/>
          <w14:textFill>
            <w14:solidFill>
              <w14:schemeClr w14:val="tx1"/>
            </w14:solidFill>
          </w14:textFill>
        </w:rPr>
        <w:t>服务期</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ascii="宋体" w:hAnsi="宋体" w:cs="宋体"/>
          <w:b w:val="0"/>
          <w:snapToGrid/>
          <w:color w:val="000000" w:themeColor="text1"/>
          <w:sz w:val="24"/>
          <w:szCs w:val="24"/>
          <w:highlight w:val="none"/>
          <w14:textFill>
            <w14:solidFill>
              <w14:schemeClr w14:val="tx1"/>
            </w14:solidFill>
          </w14:textFill>
        </w:rPr>
        <w:t>本项目缺陷责任期</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2年（</w:t>
      </w:r>
      <w:r>
        <w:rPr>
          <w:rFonts w:hint="eastAsia" w:ascii="宋体" w:hAnsi="宋体" w:cs="宋体"/>
          <w:b w:val="0"/>
          <w:snapToGrid/>
          <w:color w:val="000000" w:themeColor="text1"/>
          <w:sz w:val="24"/>
          <w:szCs w:val="24"/>
          <w:highlight w:val="none"/>
          <w14:textFill>
            <w14:solidFill>
              <w14:schemeClr w14:val="tx1"/>
            </w14:solidFill>
          </w14:textFill>
        </w:rPr>
        <w:t>自</w:t>
      </w:r>
      <w:r>
        <w:rPr>
          <w:rFonts w:hint="eastAsia" w:ascii="宋体" w:hAnsi="宋体" w:cs="宋体"/>
          <w:b w:val="0"/>
          <w:snapToGrid/>
          <w:color w:val="000000" w:themeColor="text1"/>
          <w:sz w:val="24"/>
          <w:szCs w:val="24"/>
          <w:highlight w:val="none"/>
          <w:lang w:eastAsia="zh-CN"/>
          <w14:textFill>
            <w14:solidFill>
              <w14:schemeClr w14:val="tx1"/>
            </w14:solidFill>
          </w14:textFill>
        </w:rPr>
        <w:t>初步</w:t>
      </w:r>
      <w:r>
        <w:rPr>
          <w:rFonts w:hint="eastAsia" w:ascii="宋体" w:hAnsi="宋体" w:cs="宋体"/>
          <w:b w:val="0"/>
          <w:snapToGrid/>
          <w:color w:val="000000" w:themeColor="text1"/>
          <w:sz w:val="24"/>
          <w:szCs w:val="24"/>
          <w:highlight w:val="none"/>
          <w14:textFill>
            <w14:solidFill>
              <w14:schemeClr w14:val="tx1"/>
            </w14:solidFill>
          </w14:textFill>
        </w:rPr>
        <w:t>验收合格通过之日计起</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w:t>
      </w:r>
      <w:r>
        <w:rPr>
          <w:rFonts w:hint="eastAsia" w:ascii="宋体" w:hAnsi="宋体" w:cs="宋体"/>
          <w:b w:val="0"/>
          <w:snapToGrid/>
          <w:color w:val="000000" w:themeColor="text1"/>
          <w:sz w:val="24"/>
          <w:szCs w:val="24"/>
          <w:highlight w:val="none"/>
          <w14:textFill>
            <w14:solidFill>
              <w14:schemeClr w14:val="tx1"/>
            </w14:solidFill>
          </w14:textFill>
        </w:rPr>
        <w:t>整体质</w:t>
      </w:r>
      <w:r>
        <w:rPr>
          <w:rFonts w:hint="eastAsia" w:ascii="宋体" w:hAnsi="宋体" w:cs="宋体"/>
          <w:b w:val="0"/>
          <w:snapToGrid/>
          <w:color w:val="000000" w:themeColor="text1"/>
          <w:sz w:val="24"/>
          <w:szCs w:val="24"/>
          <w:highlight w:val="none"/>
          <w:lang w:eastAsia="zh-CN"/>
          <w14:textFill>
            <w14:solidFill>
              <w14:schemeClr w14:val="tx1"/>
            </w14:solidFill>
          </w14:textFill>
        </w:rPr>
        <w:t>量</w:t>
      </w:r>
      <w:r>
        <w:rPr>
          <w:rFonts w:hint="eastAsia" w:ascii="宋体" w:hAnsi="宋体" w:cs="宋体"/>
          <w:b w:val="0"/>
          <w:snapToGrid/>
          <w:color w:val="000000" w:themeColor="text1"/>
          <w:sz w:val="24"/>
          <w:szCs w:val="24"/>
          <w:highlight w:val="none"/>
          <w14:textFill>
            <w14:solidFill>
              <w14:schemeClr w14:val="tx1"/>
            </w14:solidFill>
          </w14:textFill>
        </w:rPr>
        <w:t>保</w:t>
      </w:r>
      <w:r>
        <w:rPr>
          <w:rFonts w:hint="eastAsia" w:ascii="宋体" w:hAnsi="宋体" w:cs="宋体"/>
          <w:b w:val="0"/>
          <w:snapToGrid/>
          <w:color w:val="000000" w:themeColor="text1"/>
          <w:sz w:val="24"/>
          <w:szCs w:val="24"/>
          <w:highlight w:val="none"/>
          <w:lang w:eastAsia="zh-CN"/>
          <w14:textFill>
            <w14:solidFill>
              <w14:schemeClr w14:val="tx1"/>
            </w14:solidFill>
          </w14:textFill>
        </w:rPr>
        <w:t>修</w:t>
      </w:r>
      <w:r>
        <w:rPr>
          <w:rFonts w:hint="eastAsia" w:ascii="宋体" w:hAnsi="宋体" w:cs="宋体"/>
          <w:b w:val="0"/>
          <w:snapToGrid/>
          <w:color w:val="000000" w:themeColor="text1"/>
          <w:sz w:val="24"/>
          <w:szCs w:val="24"/>
          <w:highlight w:val="none"/>
          <w14:textFill>
            <w14:solidFill>
              <w14:schemeClr w14:val="tx1"/>
            </w14:solidFill>
          </w14:textFill>
        </w:rPr>
        <w:t>期</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3</w:t>
      </w:r>
      <w:r>
        <w:rPr>
          <w:rFonts w:hint="eastAsia" w:ascii="宋体" w:hAnsi="宋体" w:cs="宋体"/>
          <w:b w:val="0"/>
          <w:snapToGrid/>
          <w:color w:val="000000" w:themeColor="text1"/>
          <w:sz w:val="24"/>
          <w:szCs w:val="24"/>
          <w:highlight w:val="none"/>
          <w14:textFill>
            <w14:solidFill>
              <w14:schemeClr w14:val="tx1"/>
            </w14:solidFill>
          </w14:textFill>
        </w:rPr>
        <w:t>年（</w:t>
      </w:r>
      <w:r>
        <w:rPr>
          <w:rFonts w:hint="eastAsia" w:ascii="宋体" w:hAnsi="宋体" w:cs="宋体"/>
          <w:b w:val="0"/>
          <w:snapToGrid/>
          <w:color w:val="000000" w:themeColor="text1"/>
          <w:sz w:val="24"/>
          <w:szCs w:val="24"/>
          <w:highlight w:val="none"/>
          <w:lang w:eastAsia="zh-CN"/>
          <w14:textFill>
            <w14:solidFill>
              <w14:schemeClr w14:val="tx1"/>
            </w14:solidFill>
          </w14:textFill>
        </w:rPr>
        <w:t>自</w:t>
      </w:r>
      <w:r>
        <w:rPr>
          <w:rFonts w:hint="eastAsia" w:ascii="宋体" w:hAnsi="宋体" w:cs="宋体"/>
          <w:b w:val="0"/>
          <w:snapToGrid/>
          <w:color w:val="000000" w:themeColor="text1"/>
          <w:sz w:val="24"/>
          <w:szCs w:val="24"/>
          <w:highlight w:val="none"/>
          <w:lang w:val="en-US" w:eastAsia="zh-CN"/>
          <w14:textFill>
            <w14:solidFill>
              <w14:schemeClr w14:val="tx1"/>
            </w14:solidFill>
          </w14:textFill>
        </w:rPr>
        <w:t>最终验收通过</w:t>
      </w:r>
      <w:r>
        <w:rPr>
          <w:rFonts w:hint="eastAsia" w:ascii="宋体" w:hAnsi="宋体" w:cs="宋体"/>
          <w:b w:val="0"/>
          <w:snapToGrid/>
          <w:color w:val="000000" w:themeColor="text1"/>
          <w:sz w:val="24"/>
          <w:szCs w:val="24"/>
          <w:highlight w:val="none"/>
          <w:lang w:eastAsia="zh-CN"/>
          <w14:textFill>
            <w14:solidFill>
              <w14:schemeClr w14:val="tx1"/>
            </w14:solidFill>
          </w14:textFill>
        </w:rPr>
        <w:t>之日计起</w:t>
      </w:r>
      <w:r>
        <w:rPr>
          <w:rFonts w:hint="eastAsia" w:ascii="宋体" w:hAnsi="宋体" w:cs="宋体"/>
          <w:b w:val="0"/>
          <w:snapToGrid/>
          <w:color w:val="000000" w:themeColor="text1"/>
          <w:sz w:val="24"/>
          <w:szCs w:val="24"/>
          <w:highlight w:val="none"/>
          <w14:textFill>
            <w14:solidFill>
              <w14:schemeClr w14:val="tx1"/>
            </w14:solidFill>
          </w14:textFill>
        </w:rPr>
        <w:t>）</w:t>
      </w:r>
      <w:r>
        <w:rPr>
          <w:rFonts w:hint="eastAsia" w:ascii="宋体" w:hAnsi="宋体" w:cs="宋体"/>
          <w:b w:val="0"/>
          <w:snapToGrid/>
          <w:color w:val="000000" w:themeColor="text1"/>
          <w:sz w:val="24"/>
          <w:szCs w:val="24"/>
          <w:highlight w:val="none"/>
          <w:lang w:eastAsia="zh-CN"/>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2、交货时间及地点：</w:t>
      </w:r>
      <w:r>
        <w:rPr>
          <w:rFonts w:hint="eastAsia" w:asciiTheme="minorEastAsia" w:hAnsiTheme="minorEastAsia" w:eastAsiaTheme="minorEastAsia"/>
          <w:color w:val="000000" w:themeColor="text1"/>
          <w:kern w:val="0"/>
          <w:sz w:val="24"/>
          <w:szCs w:val="24"/>
          <w14:textFill>
            <w14:solidFill>
              <w14:schemeClr w14:val="tx1"/>
            </w14:solidFill>
          </w14:textFill>
        </w:rPr>
        <w:t>同前面“招标项目一览表”内所填的相关内容。</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hAnsi="宋体" w:cs="宋体"/>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付款条件：</w:t>
      </w:r>
      <w:r>
        <w:rPr>
          <w:rFonts w:hint="eastAsia" w:ascii="宋体" w:hAnsi="宋体" w:eastAsiaTheme="minorEastAsia"/>
          <w:b w:val="0"/>
          <w:bCs w:val="0"/>
          <w:color w:val="000000" w:themeColor="text1"/>
          <w:sz w:val="24"/>
          <w:lang w:val="en-US" w:eastAsia="zh-CN"/>
          <w14:textFill>
            <w14:solidFill>
              <w14:schemeClr w14:val="tx1"/>
            </w14:solidFill>
          </w14:textFill>
        </w:rPr>
        <w:t xml:space="preserve"> </w:t>
      </w:r>
      <w:r>
        <w:rPr>
          <w:rFonts w:hint="eastAsia" w:hAnsi="宋体" w:cs="宋体"/>
          <w:b w:val="0"/>
          <w:bCs w:val="0"/>
          <w:color w:val="000000" w:themeColor="text1"/>
          <w:sz w:val="24"/>
          <w:szCs w:val="24"/>
          <w:highlight w:val="none"/>
          <w14:textFill>
            <w14:solidFill>
              <w14:schemeClr w14:val="tx1"/>
            </w14:solidFill>
          </w14:textFill>
        </w:rPr>
        <w:t>合同签订后收到履约保证金30日内支付合同金额</w:t>
      </w:r>
      <w:r>
        <w:rPr>
          <w:rFonts w:hint="eastAsia" w:hAnsi="宋体" w:cs="宋体"/>
          <w:b w:val="0"/>
          <w:bCs w:val="0"/>
          <w:color w:val="000000" w:themeColor="text1"/>
          <w:sz w:val="24"/>
          <w:szCs w:val="24"/>
          <w:highlight w:val="none"/>
          <w:lang w:eastAsia="zh-CN"/>
          <w14:textFill>
            <w14:solidFill>
              <w14:schemeClr w14:val="tx1"/>
            </w14:solidFill>
          </w14:textFill>
        </w:rPr>
        <w:t>的</w:t>
      </w:r>
      <w:r>
        <w:rPr>
          <w:rFonts w:hint="eastAsia" w:hAnsi="宋体" w:cs="宋体"/>
          <w:b w:val="0"/>
          <w:bCs w:val="0"/>
          <w:color w:val="000000" w:themeColor="text1"/>
          <w:sz w:val="24"/>
          <w:szCs w:val="24"/>
          <w:highlight w:val="none"/>
          <w14:textFill>
            <w14:solidFill>
              <w14:schemeClr w14:val="tx1"/>
            </w14:solidFill>
          </w14:textFill>
        </w:rPr>
        <w:t>30%；项目</w:t>
      </w:r>
      <w:r>
        <w:rPr>
          <w:rFonts w:hint="eastAsia" w:hAnsi="宋体" w:cs="宋体"/>
          <w:b w:val="0"/>
          <w:bCs w:val="0"/>
          <w:color w:val="000000" w:themeColor="text1"/>
          <w:sz w:val="24"/>
          <w:szCs w:val="24"/>
          <w:highlight w:val="none"/>
          <w:lang w:val="en-US" w:eastAsia="zh-CN"/>
          <w14:textFill>
            <w14:solidFill>
              <w14:schemeClr w14:val="tx1"/>
            </w14:solidFill>
          </w14:textFill>
        </w:rPr>
        <w:t>初</w:t>
      </w:r>
      <w:r>
        <w:rPr>
          <w:rFonts w:hint="eastAsia" w:hAnsi="宋体" w:cs="宋体"/>
          <w:b w:val="0"/>
          <w:bCs w:val="0"/>
          <w:color w:val="000000" w:themeColor="text1"/>
          <w:sz w:val="24"/>
          <w:szCs w:val="24"/>
          <w:highlight w:val="none"/>
          <w14:textFill>
            <w14:solidFill>
              <w14:schemeClr w14:val="tx1"/>
            </w14:solidFill>
          </w14:textFill>
        </w:rPr>
        <w:t>验合格后30日内</w:t>
      </w:r>
      <w:r>
        <w:rPr>
          <w:rFonts w:hint="eastAsia"/>
          <w:b w:val="0"/>
          <w:bCs w:val="0"/>
          <w:color w:val="000000" w:themeColor="text1"/>
          <w:sz w:val="24"/>
          <w:szCs w:val="24"/>
          <w:highlight w:val="none"/>
          <w14:textFill>
            <w14:solidFill>
              <w14:schemeClr w14:val="tx1"/>
            </w14:solidFill>
          </w14:textFill>
        </w:rPr>
        <w:t>支付</w:t>
      </w:r>
      <w:r>
        <w:rPr>
          <w:rFonts w:hint="eastAsia" w:hAnsi="宋体" w:cs="宋体"/>
          <w:b w:val="0"/>
          <w:bCs w:val="0"/>
          <w:color w:val="000000" w:themeColor="text1"/>
          <w:sz w:val="24"/>
          <w:szCs w:val="24"/>
          <w:highlight w:val="none"/>
          <w14:textFill>
            <w14:solidFill>
              <w14:schemeClr w14:val="tx1"/>
            </w14:solidFill>
          </w14:textFill>
        </w:rPr>
        <w:t>合同金额</w:t>
      </w:r>
      <w:r>
        <w:rPr>
          <w:rFonts w:hint="eastAsia" w:hAnsi="宋体" w:cs="宋体"/>
          <w:b w:val="0"/>
          <w:bCs w:val="0"/>
          <w:color w:val="000000" w:themeColor="text1"/>
          <w:sz w:val="24"/>
          <w:szCs w:val="24"/>
          <w:highlight w:val="none"/>
          <w:lang w:eastAsia="zh-CN"/>
          <w14:textFill>
            <w14:solidFill>
              <w14:schemeClr w14:val="tx1"/>
            </w14:solidFill>
          </w14:textFill>
        </w:rPr>
        <w:t>的</w:t>
      </w:r>
      <w:r>
        <w:rPr>
          <w:rFonts w:hint="eastAsia" w:hAnsi="宋体" w:cs="宋体"/>
          <w:b w:val="0"/>
          <w:bCs w:val="0"/>
          <w:color w:val="000000" w:themeColor="text1"/>
          <w:sz w:val="24"/>
          <w:szCs w:val="24"/>
          <w:highlight w:val="none"/>
          <w:lang w:val="en-US" w:eastAsia="zh-CN"/>
          <w14:textFill>
            <w14:solidFill>
              <w14:schemeClr w14:val="tx1"/>
            </w14:solidFill>
          </w14:textFill>
        </w:rPr>
        <w:t>50</w:t>
      </w:r>
      <w:r>
        <w:rPr>
          <w:rFonts w:hint="eastAsia" w:hAnsi="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14:textFill>
            <w14:solidFill>
              <w14:schemeClr w14:val="tx1"/>
            </w14:solidFill>
          </w14:textFill>
        </w:rPr>
        <w:t>；</w:t>
      </w:r>
      <w:r>
        <w:rPr>
          <w:rFonts w:hint="eastAsia" w:hAnsi="宋体" w:cs="宋体"/>
          <w:b w:val="0"/>
          <w:bCs w:val="0"/>
          <w:color w:val="000000" w:themeColor="text1"/>
          <w:sz w:val="24"/>
          <w:szCs w:val="24"/>
          <w:highlight w:val="none"/>
          <w14:textFill>
            <w14:solidFill>
              <w14:schemeClr w14:val="tx1"/>
            </w14:solidFill>
          </w14:textFill>
        </w:rPr>
        <w:t>项目</w:t>
      </w:r>
      <w:r>
        <w:rPr>
          <w:rFonts w:hint="eastAsia" w:hAnsi="宋体" w:cs="宋体"/>
          <w:b w:val="0"/>
          <w:bCs w:val="0"/>
          <w:color w:val="000000" w:themeColor="text1"/>
          <w:sz w:val="24"/>
          <w:szCs w:val="24"/>
          <w:highlight w:val="none"/>
          <w:lang w:eastAsia="zh-CN"/>
          <w14:textFill>
            <w14:solidFill>
              <w14:schemeClr w14:val="tx1"/>
            </w14:solidFill>
          </w14:textFill>
        </w:rPr>
        <w:t>终</w:t>
      </w:r>
      <w:r>
        <w:rPr>
          <w:rFonts w:hint="eastAsia" w:hAnsi="宋体" w:cs="宋体"/>
          <w:b w:val="0"/>
          <w:bCs w:val="0"/>
          <w:color w:val="000000" w:themeColor="text1"/>
          <w:sz w:val="24"/>
          <w:szCs w:val="24"/>
          <w:highlight w:val="none"/>
          <w14:textFill>
            <w14:solidFill>
              <w14:schemeClr w14:val="tx1"/>
            </w14:solidFill>
          </w14:textFill>
        </w:rPr>
        <w:t>验合格</w:t>
      </w:r>
      <w:r>
        <w:rPr>
          <w:rFonts w:hint="eastAsia" w:hAnsi="宋体" w:cs="宋体"/>
          <w:b w:val="0"/>
          <w:bCs w:val="0"/>
          <w:color w:val="000000" w:themeColor="text1"/>
          <w:sz w:val="24"/>
          <w:szCs w:val="24"/>
          <w:highlight w:val="none"/>
          <w:lang w:eastAsia="zh-CN"/>
          <w14:textFill>
            <w14:solidFill>
              <w14:schemeClr w14:val="tx1"/>
            </w14:solidFill>
          </w14:textFill>
        </w:rPr>
        <w:t>并</w:t>
      </w:r>
      <w:r>
        <w:rPr>
          <w:rFonts w:hint="eastAsia" w:hAnsi="Times New Roman"/>
          <w:b w:val="0"/>
          <w:bCs w:val="0"/>
          <w:color w:val="000000" w:themeColor="text1"/>
          <w:sz w:val="24"/>
          <w:lang w:val="zh-CN"/>
          <w14:textFill>
            <w14:solidFill>
              <w14:schemeClr w14:val="tx1"/>
            </w14:solidFill>
          </w14:textFill>
        </w:rPr>
        <w:t>最终结算后，</w:t>
      </w:r>
      <w:r>
        <w:rPr>
          <w:rFonts w:hint="eastAsia"/>
          <w:b w:val="0"/>
          <w:bCs w:val="0"/>
          <w:color w:val="000000" w:themeColor="text1"/>
          <w:sz w:val="24"/>
          <w:szCs w:val="24"/>
          <w:highlight w:val="none"/>
          <w14:textFill>
            <w14:solidFill>
              <w14:schemeClr w14:val="tx1"/>
            </w14:solidFill>
          </w14:textFill>
        </w:rPr>
        <w:t>支付</w:t>
      </w:r>
      <w:r>
        <w:rPr>
          <w:rFonts w:hint="eastAsia" w:hAnsi="宋体" w:cs="宋体"/>
          <w:b w:val="0"/>
          <w:bCs w:val="0"/>
          <w:color w:val="000000" w:themeColor="text1"/>
          <w:sz w:val="24"/>
          <w:szCs w:val="24"/>
          <w:highlight w:val="none"/>
          <w:lang w:eastAsia="zh-CN"/>
          <w14:textFill>
            <w14:solidFill>
              <w14:schemeClr w14:val="tx1"/>
            </w14:solidFill>
          </w14:textFill>
        </w:rPr>
        <w:t>剩余金额；</w:t>
      </w:r>
      <w:r>
        <w:rPr>
          <w:rFonts w:hint="eastAsia" w:ascii="宋体" w:hAnsi="宋体" w:cs="宋体"/>
          <w:b w:val="0"/>
          <w:bCs w:val="0"/>
          <w:color w:val="000000" w:themeColor="text1"/>
          <w:sz w:val="24"/>
          <w:szCs w:val="24"/>
          <w:highlight w:val="none"/>
          <w:lang w:val="zh-CN"/>
          <w14:textFill>
            <w14:solidFill>
              <w14:schemeClr w14:val="tx1"/>
            </w14:solidFill>
          </w14:textFill>
        </w:rPr>
        <w:t>履约保证金三年</w:t>
      </w:r>
      <w:r>
        <w:rPr>
          <w:rFonts w:hint="eastAsia" w:ascii="宋体" w:hAnsi="宋体" w:cs="宋体"/>
          <w:b w:val="0"/>
          <w:bCs w:val="0"/>
          <w:snapToGrid/>
          <w:color w:val="000000" w:themeColor="text1"/>
          <w:sz w:val="24"/>
          <w:szCs w:val="24"/>
          <w:highlight w:val="none"/>
          <w14:textFill>
            <w14:solidFill>
              <w14:schemeClr w14:val="tx1"/>
            </w14:solidFill>
          </w14:textFill>
        </w:rPr>
        <w:t>质</w:t>
      </w:r>
      <w:r>
        <w:rPr>
          <w:rFonts w:hint="eastAsia" w:ascii="宋体" w:hAnsi="宋体" w:cs="宋体"/>
          <w:b w:val="0"/>
          <w:bCs w:val="0"/>
          <w:snapToGrid/>
          <w:color w:val="000000" w:themeColor="text1"/>
          <w:sz w:val="24"/>
          <w:szCs w:val="24"/>
          <w:highlight w:val="none"/>
          <w:lang w:eastAsia="zh-CN"/>
          <w14:textFill>
            <w14:solidFill>
              <w14:schemeClr w14:val="tx1"/>
            </w14:solidFill>
          </w14:textFill>
        </w:rPr>
        <w:t>量</w:t>
      </w:r>
      <w:r>
        <w:rPr>
          <w:rFonts w:hint="eastAsia" w:ascii="宋体" w:hAnsi="宋体" w:cs="宋体"/>
          <w:b w:val="0"/>
          <w:bCs w:val="0"/>
          <w:snapToGrid/>
          <w:color w:val="000000" w:themeColor="text1"/>
          <w:sz w:val="24"/>
          <w:szCs w:val="24"/>
          <w:highlight w:val="none"/>
          <w14:textFill>
            <w14:solidFill>
              <w14:schemeClr w14:val="tx1"/>
            </w14:solidFill>
          </w14:textFill>
        </w:rPr>
        <w:t>保</w:t>
      </w:r>
      <w:r>
        <w:rPr>
          <w:rFonts w:hint="eastAsia" w:ascii="宋体" w:hAnsi="宋体" w:cs="宋体"/>
          <w:b w:val="0"/>
          <w:bCs w:val="0"/>
          <w:snapToGrid/>
          <w:color w:val="000000" w:themeColor="text1"/>
          <w:sz w:val="24"/>
          <w:szCs w:val="24"/>
          <w:highlight w:val="none"/>
          <w:lang w:eastAsia="zh-CN"/>
          <w14:textFill>
            <w14:solidFill>
              <w14:schemeClr w14:val="tx1"/>
            </w14:solidFill>
          </w14:textFill>
        </w:rPr>
        <w:t>修</w:t>
      </w:r>
      <w:r>
        <w:rPr>
          <w:rFonts w:hint="eastAsia" w:ascii="宋体" w:hAnsi="宋体" w:cs="宋体"/>
          <w:b w:val="0"/>
          <w:bCs w:val="0"/>
          <w:snapToGrid/>
          <w:color w:val="000000" w:themeColor="text1"/>
          <w:sz w:val="24"/>
          <w:szCs w:val="24"/>
          <w:highlight w:val="none"/>
          <w14:textFill>
            <w14:solidFill>
              <w14:schemeClr w14:val="tx1"/>
            </w14:solidFill>
          </w14:textFill>
        </w:rPr>
        <w:t>期</w:t>
      </w:r>
      <w:r>
        <w:rPr>
          <w:rFonts w:hint="eastAsia" w:ascii="宋体" w:hAnsi="宋体" w:cs="宋体"/>
          <w:b w:val="0"/>
          <w:bCs w:val="0"/>
          <w:snapToGrid/>
          <w:color w:val="000000" w:themeColor="text1"/>
          <w:sz w:val="24"/>
          <w:szCs w:val="24"/>
          <w:highlight w:val="none"/>
          <w:lang w:eastAsia="zh-CN"/>
          <w14:textFill>
            <w14:solidFill>
              <w14:schemeClr w14:val="tx1"/>
            </w14:solidFill>
          </w14:textFill>
        </w:rPr>
        <w:t>满后</w:t>
      </w:r>
      <w:r>
        <w:rPr>
          <w:rFonts w:hint="eastAsia" w:hAnsi="宋体" w:cs="宋体"/>
          <w:b w:val="0"/>
          <w:bCs w:val="0"/>
          <w:color w:val="000000" w:themeColor="text1"/>
          <w:sz w:val="24"/>
          <w:szCs w:val="24"/>
          <w:highlight w:val="none"/>
          <w14:textFill>
            <w14:solidFill>
              <w14:schemeClr w14:val="tx1"/>
            </w14:solidFill>
          </w14:textFill>
        </w:rPr>
        <w:t>30日内</w:t>
      </w:r>
      <w:r>
        <w:rPr>
          <w:rFonts w:hint="eastAsia" w:hAnsi="宋体" w:cs="宋体"/>
          <w:b w:val="0"/>
          <w:bCs w:val="0"/>
          <w:color w:val="000000" w:themeColor="text1"/>
          <w:sz w:val="24"/>
          <w:szCs w:val="24"/>
          <w:highlight w:val="none"/>
          <w:lang w:eastAsia="zh-CN"/>
          <w14:textFill>
            <w14:solidFill>
              <w14:schemeClr w14:val="tx1"/>
            </w14:solidFill>
          </w14:textFill>
        </w:rPr>
        <w:t>退还。</w:t>
      </w:r>
    </w:p>
    <w:p>
      <w:pPr>
        <w:pStyle w:val="21"/>
        <w:numPr>
          <w:ilvl w:val="0"/>
          <w:numId w:val="0"/>
        </w:numPr>
        <w:spacing w:line="360" w:lineRule="auto"/>
        <w:rPr>
          <w:rFonts w:hint="eastAsia" w:ascii="宋体" w:hAnsi="宋体" w:eastAsiaTheme="minorEastAsia"/>
          <w:b w:val="0"/>
          <w:bCs w:val="0"/>
          <w:color w:val="000000" w:themeColor="text1"/>
          <w:sz w:val="24"/>
          <w:lang w:val="en-US" w:eastAsia="zh-CN"/>
          <w14:textFill>
            <w14:solidFill>
              <w14:schemeClr w14:val="tx1"/>
            </w14:solidFill>
          </w14:textFill>
        </w:rPr>
      </w:pPr>
    </w:p>
    <w:p>
      <w:pPr>
        <w:pStyle w:val="21"/>
        <w:spacing w:line="360" w:lineRule="auto"/>
        <w:ind w:left="120" w:firstLine="480"/>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zCs w:val="24"/>
          <w:lang w:val="en-US" w:eastAsia="zh-CN" w:bidi="ar-SA"/>
          <w14:textFill>
            <w14:solidFill>
              <w14:schemeClr w14:val="tx1"/>
            </w14:solidFill>
          </w14:textFill>
        </w:rPr>
        <w:br w:type="page"/>
      </w:r>
    </w:p>
    <w:p>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政府采购合同主要条款指引</w:t>
      </w:r>
    </w:p>
    <w:p>
      <w:pPr>
        <w:snapToGrid w:val="0"/>
        <w:spacing w:before="156" w:beforeLines="50" w:after="156" w:afterLines="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货物类</w:t>
      </w:r>
    </w:p>
    <w:p>
      <w:pPr>
        <w:widowControl/>
        <w:shd w:val="clear" w:color="auto" w:fill="FFFFFF"/>
        <w:spacing w:after="150" w:line="360" w:lineRule="auto"/>
        <w:ind w:firstLine="48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项目名称：                                       项目编号：</w:t>
      </w:r>
    </w:p>
    <w:p>
      <w:pPr>
        <w:pStyle w:val="14"/>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pPr>
        <w:pStyle w:val="14"/>
        <w:snapToGrid w:val="0"/>
        <w:spacing w:before="120" w:after="120" w:line="360" w:lineRule="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中标供应商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pPr>
        <w:pStyle w:val="14"/>
        <w:snapToGrid w:val="0"/>
        <w:spacing w:before="120" w:after="120" w:line="360" w:lineRule="auto"/>
        <w:rPr>
          <w:rFonts w:hint="eastAsia" w:hAnsi="宋体"/>
          <w:color w:val="000000" w:themeColor="text1"/>
          <w:sz w:val="24"/>
          <w14:textFill>
            <w14:solidFill>
              <w14:schemeClr w14:val="tx1"/>
            </w14:solidFill>
          </w14:textFill>
        </w:rPr>
      </w:pPr>
      <w:r>
        <w:rPr>
          <w:rFonts w:hint="eastAsia"/>
          <w:color w:val="000000" w:themeColor="text1"/>
          <w:lang w:eastAsia="zh-CN"/>
          <w14:textFill>
            <w14:solidFill>
              <w14:schemeClr w14:val="tx1"/>
            </w14:solidFill>
          </w14:textFill>
        </w:rPr>
        <w:t>丙</w:t>
      </w:r>
      <w:r>
        <w:rPr>
          <w:rFonts w:hAnsi="宋体"/>
          <w:color w:val="000000" w:themeColor="text1"/>
          <w:sz w:val="24"/>
          <w14:textFill>
            <w14:solidFill>
              <w14:schemeClr w14:val="tx1"/>
            </w14:solidFill>
          </w14:textFill>
        </w:rPr>
        <w:t>方：（</w:t>
      </w:r>
      <w:r>
        <w:rPr>
          <w:rFonts w:hint="eastAsia" w:hAnsi="宋体"/>
          <w:color w:val="000000" w:themeColor="text1"/>
          <w:sz w:val="24"/>
          <w:lang w:eastAsia="zh-CN"/>
          <w14:textFill>
            <w14:solidFill>
              <w14:schemeClr w14:val="tx1"/>
            </w14:solidFill>
          </w14:textFill>
        </w:rPr>
        <w:t>出资单位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所在地：</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甲、乙</w:t>
      </w:r>
      <w:r>
        <w:rPr>
          <w:rFonts w:hint="eastAsia" w:asciiTheme="minorEastAsia" w:hAnsiTheme="minorEastAsia" w:eastAsiaTheme="minorEastAsia"/>
          <w:color w:val="000000" w:themeColor="text1"/>
          <w:sz w:val="24"/>
          <w:lang w:eastAsia="zh-CN"/>
          <w14:textFill>
            <w14:solidFill>
              <w14:schemeClr w14:val="tx1"/>
            </w14:solidFill>
          </w14:textFill>
        </w:rPr>
        <w:t>、丙三</w:t>
      </w:r>
      <w:r>
        <w:rPr>
          <w:rFonts w:asciiTheme="minorEastAsia" w:hAnsiTheme="minorEastAsia" w:eastAsiaTheme="minorEastAsia"/>
          <w:color w:val="000000" w:themeColor="text1"/>
          <w:sz w:val="24"/>
          <w14:textFill>
            <w14:solidFill>
              <w14:schemeClr w14:val="tx1"/>
            </w14:solidFill>
          </w14:textFill>
        </w:rPr>
        <w:t>双方根据</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asciiTheme="minorEastAsia" w:hAnsiTheme="minorEastAsia" w:eastAsiaTheme="minorEastAsia"/>
          <w:color w:val="000000" w:themeColor="text1"/>
          <w:sz w:val="24"/>
          <w14:textFill>
            <w14:solidFill>
              <w14:schemeClr w14:val="tx1"/>
            </w14:solidFill>
          </w14:textFill>
        </w:rPr>
        <w:t>关于</w:t>
      </w:r>
      <w:r>
        <w:rPr>
          <w:rFonts w:hint="eastAsia" w:cs="Arial"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单位</w:t>
      </w:r>
      <w:r>
        <w:rPr>
          <w:rFonts w:hint="eastAsia" w:cs="Arial"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项目公开招标的结果，签署本合同。</w:t>
      </w:r>
    </w:p>
    <w:p>
      <w:p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2.中标通知书。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4.招标文件。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5.中标供应商投标文件。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pPr>
        <w:pStyle w:val="14"/>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、货物内容</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 货物名称：</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 型号规格：</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 技术参数：</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数量（单位）：</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、合同金额</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本合同金额为（大写）：____________________________________元（￥_______________元）人民币。</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w:t>
      </w:r>
      <w:r>
        <w:rPr>
          <w:rFonts w:asciiTheme="minorEastAsia" w:hAnsiTheme="minorEastAsia" w:eastAsiaTheme="minorEastAsia"/>
          <w:b/>
          <w:color w:val="000000" w:themeColor="text1"/>
          <w:sz w:val="24"/>
          <w14:textFill>
            <w14:solidFill>
              <w14:schemeClr w14:val="tx1"/>
            </w14:solidFill>
          </w14:textFill>
        </w:rPr>
        <w:t>、技术资料</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乙方应按招标文件规定的时间向甲方提供使用货物的有关技术资料。</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3.乙方应根据甲、丙方关于文件格式、份数等方面的要求提供与本项目相关的存档资料。</w:t>
      </w:r>
    </w:p>
    <w:p>
      <w:pPr>
        <w:pStyle w:val="14"/>
        <w:snapToGrid w:val="0"/>
        <w:spacing w:before="120" w:after="120" w:line="360" w:lineRule="auto"/>
        <w:ind w:left="412" w:hanging="412" w:hangingChars="17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w:t>
      </w:r>
      <w:r>
        <w:rPr>
          <w:rFonts w:asciiTheme="minorEastAsia" w:hAnsiTheme="minorEastAsia" w:eastAsiaTheme="minorEastAsia"/>
          <w:b/>
          <w:color w:val="000000" w:themeColor="text1"/>
          <w:sz w:val="24"/>
          <w14:textFill>
            <w14:solidFill>
              <w14:schemeClr w14:val="tx1"/>
            </w14:solidFill>
          </w14:textFill>
        </w:rPr>
        <w:t>、知识产权</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乙方应保证所提供的货物或其任何一部分均不会侵犯任何第三方的知识产权。</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2.若侵犯,由乙方赔偿甲方因此遭受的损失（包括但不限于应对及追偿过程中所支付的律师费、差旅费、诉讼费、保全费、鉴定费、评估费等）。</w:t>
      </w:r>
    </w:p>
    <w:p>
      <w:pPr>
        <w:pStyle w:val="14"/>
        <w:snapToGrid w:val="0"/>
        <w:spacing w:before="120" w:after="120" w:line="36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六</w:t>
      </w:r>
      <w:r>
        <w:rPr>
          <w:rFonts w:asciiTheme="minorEastAsia" w:hAnsiTheme="minorEastAsia" w:eastAsiaTheme="minorEastAsia"/>
          <w:b/>
          <w:color w:val="000000" w:themeColor="text1"/>
          <w:sz w:val="24"/>
          <w14:textFill>
            <w14:solidFill>
              <w14:schemeClr w14:val="tx1"/>
            </w14:solidFill>
          </w14:textFill>
        </w:rPr>
        <w:t>、产权担保</w:t>
      </w:r>
    </w:p>
    <w:p>
      <w:pPr>
        <w:pStyle w:val="14"/>
        <w:snapToGrid w:val="0"/>
        <w:spacing w:before="120" w:after="120" w:line="360" w:lineRule="auto"/>
        <w:rPr>
          <w:rFonts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乙方保证所交付的货物的所有权完全属于乙方且无任何抵押、查封等产权瑕疵。</w:t>
      </w:r>
    </w:p>
    <w:p>
      <w:pPr>
        <w:pStyle w:val="14"/>
        <w:snapToGrid w:val="0"/>
        <w:spacing w:before="120" w:after="120" w:line="360" w:lineRule="auto"/>
        <w:ind w:left="410" w:hanging="410" w:hangingChars="17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本项目履约保证金为合同金额的</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Bidi"/>
          <w:color w:val="000000" w:themeColor="text1"/>
          <w:sz w:val="24"/>
          <w14:textFill>
            <w14:solidFill>
              <w14:schemeClr w14:val="tx1"/>
            </w14:solidFill>
          </w14:textFill>
        </w:rPr>
        <w:t>%。</w:t>
      </w:r>
      <w:r>
        <w:rPr>
          <w:rFonts w:hint="eastAsia" w:asciiTheme="minorEastAsia" w:hAnsiTheme="minorEastAsia" w:eastAsiaTheme="minorEastAsia" w:cstheme="minorBidi"/>
          <w:color w:val="000000" w:themeColor="text1"/>
          <w:sz w:val="24"/>
          <w:lang w:val="zh-CN"/>
          <w14:textFill>
            <w14:solidFill>
              <w14:schemeClr w14:val="tx1"/>
            </w14:solidFill>
          </w14:textFill>
        </w:rPr>
        <w:t>[</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合同签订前</w:t>
      </w:r>
      <w:r>
        <w:rPr>
          <w:rFonts w:hint="eastAsia" w:asciiTheme="minorEastAsia" w:hAnsiTheme="minorEastAsia" w:eastAsiaTheme="minorEastAsia" w:cstheme="minorBidi"/>
          <w:color w:val="000000" w:themeColor="text1"/>
          <w:sz w:val="24"/>
          <w:lang w:val="zh-CN"/>
          <w14:textFill>
            <w14:solidFill>
              <w14:schemeClr w14:val="tx1"/>
            </w14:solidFill>
          </w14:textFill>
        </w:rPr>
        <w:t>交至采购人处，</w:t>
      </w:r>
      <w:r>
        <w:rPr>
          <w:rFonts w:hint="eastAsia" w:asciiTheme="minorEastAsia" w:hAnsiTheme="minorEastAsia" w:eastAsiaTheme="minorEastAsia" w:cstheme="minorBidi"/>
          <w:color w:val="000000" w:themeColor="text1"/>
          <w:sz w:val="24"/>
          <w:lang w:val="en-US" w:eastAsia="zh-CN"/>
          <w14:textFill>
            <w14:solidFill>
              <w14:schemeClr w14:val="tx1"/>
            </w14:solidFill>
          </w14:textFill>
        </w:rPr>
        <w:t>质保期满1年后</w:t>
      </w:r>
      <w:r>
        <w:rPr>
          <w:rFonts w:hint="eastAsia" w:asciiTheme="minorEastAsia" w:hAnsiTheme="minorEastAsia" w:eastAsiaTheme="minorEastAsia" w:cstheme="minorBidi"/>
          <w:color w:val="000000" w:themeColor="text1"/>
          <w:sz w:val="24"/>
          <w:lang w:val="zh-CN"/>
          <w14:textFill>
            <w14:solidFill>
              <w14:schemeClr w14:val="tx1"/>
            </w14:solidFill>
          </w14:textFill>
        </w:rPr>
        <w:t>无息退还。]</w:t>
      </w:r>
    </w:p>
    <w:p>
      <w:pPr>
        <w:pStyle w:val="14"/>
        <w:snapToGrid w:val="0"/>
        <w:spacing w:before="120" w:after="120" w:line="360" w:lineRule="auto"/>
        <w:ind w:left="410" w:hanging="410" w:hangingChars="17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八、转包或分包</w:t>
      </w:r>
    </w:p>
    <w:p>
      <w:pPr>
        <w:snapToGrid w:val="0"/>
        <w:spacing w:before="156" w:beforeLines="50" w:after="156" w:afterLines="5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.本合同范围的货物，应由</w:t>
      </w:r>
      <w:r>
        <w:rPr>
          <w:rFonts w:asciiTheme="minorEastAsia" w:hAnsiTheme="minorEastAsia" w:eastAsiaTheme="minorEastAsia"/>
          <w:color w:val="000000" w:themeColor="text1"/>
          <w:sz w:val="24"/>
          <w14:textFill>
            <w14:solidFill>
              <w14:schemeClr w14:val="tx1"/>
            </w14:solidFill>
          </w14:textFill>
        </w:rPr>
        <w:t>乙</w:t>
      </w:r>
      <w:r>
        <w:rPr>
          <w:rFonts w:hint="eastAsia" w:asciiTheme="minorEastAsia" w:hAnsiTheme="minorEastAsia" w:eastAsiaTheme="minorEastAsia"/>
          <w:color w:val="000000" w:themeColor="text1"/>
          <w:sz w:val="24"/>
          <w14:textFill>
            <w14:solidFill>
              <w14:schemeClr w14:val="tx1"/>
            </w14:solidFill>
          </w14:textFill>
        </w:rPr>
        <w:t>方直接供应，不得转让他人供应；</w:t>
      </w:r>
    </w:p>
    <w:p>
      <w:pPr>
        <w:snapToGrid w:val="0"/>
        <w:spacing w:before="156" w:beforeLines="50" w:after="156" w:afterLines="5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.除非得到</w:t>
      </w:r>
      <w:r>
        <w:rPr>
          <w:rFonts w:asciiTheme="minorEastAsia" w:hAnsiTheme="minorEastAsia" w:eastAsiaTheme="minorEastAsia"/>
          <w:color w:val="000000" w:themeColor="text1"/>
          <w:sz w:val="24"/>
          <w14:textFill>
            <w14:solidFill>
              <w14:schemeClr w14:val="tx1"/>
            </w14:solidFill>
          </w14:textFill>
        </w:rPr>
        <w:t>甲</w:t>
      </w:r>
      <w:r>
        <w:rPr>
          <w:rFonts w:hint="eastAsia" w:asciiTheme="minorEastAsia" w:hAnsiTheme="minorEastAsia" w:eastAsiaTheme="minorEastAsia"/>
          <w:color w:val="000000" w:themeColor="text1"/>
          <w:sz w:val="24"/>
          <w14:textFill>
            <w14:solidFill>
              <w14:schemeClr w14:val="tx1"/>
            </w14:solidFill>
          </w14:textFill>
        </w:rPr>
        <w:t>方的书面同意，</w:t>
      </w:r>
      <w:r>
        <w:rPr>
          <w:rFonts w:asciiTheme="minorEastAsia" w:hAnsiTheme="minorEastAsia" w:eastAsiaTheme="minorEastAsia"/>
          <w:color w:val="000000" w:themeColor="text1"/>
          <w:sz w:val="24"/>
          <w14:textFill>
            <w14:solidFill>
              <w14:schemeClr w14:val="tx1"/>
            </w14:solidFill>
          </w14:textFill>
        </w:rPr>
        <w:t>乙</w:t>
      </w:r>
      <w:r>
        <w:rPr>
          <w:rFonts w:hint="eastAsia" w:asciiTheme="minorEastAsia" w:hAnsiTheme="minorEastAsia" w:eastAsiaTheme="minorEastAsia"/>
          <w:color w:val="000000" w:themeColor="text1"/>
          <w:sz w:val="24"/>
          <w14:textFill>
            <w14:solidFill>
              <w14:schemeClr w14:val="tx1"/>
            </w14:solidFill>
          </w14:textFill>
        </w:rPr>
        <w:t>方不得将本合同范围的货物全部或部分分包给他人供应；</w:t>
      </w:r>
    </w:p>
    <w:p>
      <w:pPr>
        <w:snapToGrid w:val="0"/>
        <w:spacing w:before="156" w:beforeLines="50" w:after="156" w:afterLines="5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.如有转让和未经</w:t>
      </w:r>
      <w:r>
        <w:rPr>
          <w:rFonts w:asciiTheme="minorEastAsia" w:hAnsiTheme="minorEastAsia" w:eastAsiaTheme="minorEastAsia"/>
          <w:color w:val="000000" w:themeColor="text1"/>
          <w:sz w:val="24"/>
          <w14:textFill>
            <w14:solidFill>
              <w14:schemeClr w14:val="tx1"/>
            </w14:solidFill>
          </w14:textFill>
        </w:rPr>
        <w:t>甲</w:t>
      </w:r>
      <w:r>
        <w:rPr>
          <w:rFonts w:hint="eastAsia" w:asciiTheme="minorEastAsia" w:hAnsiTheme="minorEastAsia" w:eastAsiaTheme="minorEastAsia"/>
          <w:color w:val="000000" w:themeColor="text1"/>
          <w:sz w:val="24"/>
          <w14:textFill>
            <w14:solidFill>
              <w14:schemeClr w14:val="tx1"/>
            </w14:solidFill>
          </w14:textFill>
        </w:rPr>
        <w:t>方同意的分包行为，</w:t>
      </w:r>
      <w:r>
        <w:rPr>
          <w:rFonts w:asciiTheme="minorEastAsia" w:hAnsiTheme="minorEastAsia" w:eastAsiaTheme="minorEastAsia"/>
          <w:color w:val="000000" w:themeColor="text1"/>
          <w:sz w:val="24"/>
          <w14:textFill>
            <w14:solidFill>
              <w14:schemeClr w14:val="tx1"/>
            </w14:solidFill>
          </w14:textFill>
        </w:rPr>
        <w:t>甲</w:t>
      </w:r>
      <w:r>
        <w:rPr>
          <w:rFonts w:hint="eastAsia" w:asciiTheme="minorEastAsia" w:hAnsiTheme="minorEastAsia" w:eastAsiaTheme="minorEastAsia"/>
          <w:color w:val="000000" w:themeColor="text1"/>
          <w:sz w:val="24"/>
          <w14:textFill>
            <w14:solidFill>
              <w14:schemeClr w14:val="tx1"/>
            </w14:solidFill>
          </w14:textFill>
        </w:rPr>
        <w:t>方有权解除合同，没收履约保证金并追究乙方的违约责任。</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九</w:t>
      </w:r>
      <w:r>
        <w:rPr>
          <w:rFonts w:asciiTheme="minorEastAsia" w:hAnsiTheme="minorEastAsia" w:eastAsiaTheme="minorEastAsia"/>
          <w:b/>
          <w:color w:val="000000" w:themeColor="text1"/>
          <w:sz w:val="24"/>
          <w14:textFill>
            <w14:solidFill>
              <w14:schemeClr w14:val="tx1"/>
            </w14:solidFill>
          </w14:textFill>
        </w:rPr>
        <w:t>、质保期</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质保期</w:t>
      </w:r>
      <w:r>
        <w:rPr>
          <w:rFonts w:hAnsi="宋体" w:cs="Times New Roman"/>
          <w:color w:val="000000" w:themeColor="text1"/>
          <w:sz w:val="24"/>
          <w14:textFill>
            <w14:solidFill>
              <w14:schemeClr w14:val="tx1"/>
            </w14:solidFill>
          </w14:textFill>
        </w:rPr>
        <w:t>___</w:t>
      </w:r>
      <w:r>
        <w:rPr>
          <w:rFonts w:asciiTheme="minorEastAsia" w:hAnsiTheme="minorEastAsia" w:eastAsiaTheme="minorEastAsia"/>
          <w:color w:val="000000" w:themeColor="text1"/>
          <w:sz w:val="24"/>
          <w14:textFill>
            <w14:solidFill>
              <w14:schemeClr w14:val="tx1"/>
            </w14:solidFill>
          </w14:textFill>
        </w:rPr>
        <w:t>年。（自交货验收合格之日起计）</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十</w:t>
      </w:r>
      <w:r>
        <w:rPr>
          <w:rFonts w:asciiTheme="minorEastAsia" w:hAnsiTheme="minorEastAsia" w:eastAsiaTheme="minorEastAsia"/>
          <w:b/>
          <w:color w:val="000000" w:themeColor="text1"/>
          <w:sz w:val="24"/>
          <w14:textFill>
            <w14:solidFill>
              <w14:schemeClr w14:val="tx1"/>
            </w14:solidFill>
          </w14:textFill>
        </w:rPr>
        <w:t>、交货期、交货方式及交货地点</w:t>
      </w:r>
    </w:p>
    <w:p>
      <w:pPr>
        <w:pStyle w:val="14"/>
        <w:snapToGrid w:val="0"/>
        <w:spacing w:before="120" w:after="120"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交货期：</w:t>
      </w:r>
    </w:p>
    <w:p>
      <w:pPr>
        <w:pStyle w:val="14"/>
        <w:snapToGrid w:val="0"/>
        <w:spacing w:before="120" w:after="120"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2</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交货方式：</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交货地点：</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、货款支付</w:t>
      </w:r>
    </w:p>
    <w:p>
      <w:pPr>
        <w:pStyle w:val="14"/>
        <w:snapToGrid w:val="0"/>
        <w:spacing w:before="120" w:after="120" w:line="360" w:lineRule="auto"/>
        <w:rPr>
          <w:rFonts w:hint="eastAsia" w:asciiTheme="minorEastAsia" w:hAnsiTheme="minorEastAsia" w:eastAsiaTheme="minorEastAsia"/>
          <w:bCs/>
          <w:color w:val="000000" w:themeColor="text1"/>
          <w:sz w:val="24"/>
          <w:lang w:eastAsia="zh-CN"/>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 xml:space="preserve"> 付款方式：</w:t>
      </w: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1</w:t>
      </w:r>
      <w:r>
        <w:rPr>
          <w:rFonts w:hint="eastAsia" w:asciiTheme="minorEastAsia" w:hAnsiTheme="minorEastAsia" w:eastAsiaTheme="minorEastAsia"/>
          <w:bCs/>
          <w:color w:val="000000" w:themeColor="text1"/>
          <w:sz w:val="24"/>
          <w:lang w:eastAsia="zh-CN"/>
          <w14:textFill>
            <w14:solidFill>
              <w14:schemeClr w14:val="tx1"/>
            </w14:solidFill>
          </w14:textFill>
        </w:rPr>
        <w:t>）丙方向乙方支付货物款项。</w:t>
      </w:r>
    </w:p>
    <w:p>
      <w:pPr>
        <w:pStyle w:val="14"/>
        <w:snapToGrid w:val="0"/>
        <w:spacing w:before="0" w:after="0" w:line="360" w:lineRule="auto"/>
        <w:rPr>
          <w:rFonts w:hint="eastAsia" w:hAnsi="Times New Roman" w:cstheme="minorBidi"/>
          <w:b w:val="0"/>
          <w:bCs w:val="0"/>
          <w:color w:val="000000" w:themeColor="text1"/>
          <w:sz w:val="24"/>
          <w:szCs w:val="24"/>
          <w:highlight w:val="none"/>
          <w:lang w:val="zh-CN" w:eastAsia="zh-CN"/>
          <w14:textFill>
            <w14:solidFill>
              <w14:schemeClr w14:val="tx1"/>
            </w14:solidFill>
          </w14:textFill>
        </w:rPr>
      </w:pP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（2）分期支付</w:t>
      </w:r>
    </w:p>
    <w:p>
      <w:pPr>
        <w:pStyle w:val="14"/>
        <w:snapToGrid w:val="0"/>
        <w:spacing w:before="0" w:after="0" w:line="360" w:lineRule="auto"/>
        <w:rPr>
          <w:rFonts w:hint="eastAsia" w:hAnsi="Times New Roman" w:cstheme="minorBidi"/>
          <w:b w:val="0"/>
          <w:bCs w:val="0"/>
          <w:color w:val="000000" w:themeColor="text1"/>
          <w:sz w:val="24"/>
          <w:szCs w:val="24"/>
          <w:highlight w:val="none"/>
          <w:lang w:val="zh-CN"/>
          <w14:textFill>
            <w14:solidFill>
              <w14:schemeClr w14:val="tx1"/>
            </w14:solidFill>
          </w14:textFill>
        </w:rPr>
      </w:pP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1）</w:t>
      </w:r>
      <w:r>
        <w:rPr>
          <w:rFonts w:hint="eastAsia" w:hAnsi="Times New Roman" w:cstheme="minorBidi"/>
          <w:b w:val="0"/>
          <w:bCs w:val="0"/>
          <w:color w:val="000000" w:themeColor="text1"/>
          <w:sz w:val="24"/>
          <w:szCs w:val="24"/>
          <w:highlight w:val="none"/>
          <w:lang w:val="zh-CN"/>
          <w14:textFill>
            <w14:solidFill>
              <w14:schemeClr w14:val="tx1"/>
            </w14:solidFill>
          </w14:textFill>
        </w:rPr>
        <w:t>合同签订后收到履约保证金30日内支付合同金额</w:t>
      </w: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的</w:t>
      </w:r>
      <w:r>
        <w:rPr>
          <w:rFonts w:hint="eastAsia" w:hAnsi="Times New Roman" w:cstheme="minorBidi"/>
          <w:b w:val="0"/>
          <w:bCs w:val="0"/>
          <w:color w:val="000000" w:themeColor="text1"/>
          <w:sz w:val="24"/>
          <w:szCs w:val="24"/>
          <w:highlight w:val="none"/>
          <w:lang w:val="zh-CN"/>
          <w14:textFill>
            <w14:solidFill>
              <w14:schemeClr w14:val="tx1"/>
            </w14:solidFill>
          </w14:textFill>
        </w:rPr>
        <w:t>30%；</w:t>
      </w:r>
    </w:p>
    <w:p>
      <w:pPr>
        <w:pStyle w:val="14"/>
        <w:snapToGrid w:val="0"/>
        <w:spacing w:before="0" w:after="0" w:line="360" w:lineRule="auto"/>
        <w:rPr>
          <w:rFonts w:hint="eastAsia" w:ascii="宋体" w:hAnsi="Times New Roman" w:cstheme="minorBidi"/>
          <w:b w:val="0"/>
          <w:bCs w:val="0"/>
          <w:color w:val="000000" w:themeColor="text1"/>
          <w:sz w:val="24"/>
          <w:szCs w:val="24"/>
          <w:highlight w:val="none"/>
          <w:lang w:val="zh-CN"/>
          <w14:textFill>
            <w14:solidFill>
              <w14:schemeClr w14:val="tx1"/>
            </w14:solidFill>
          </w14:textFill>
        </w:rPr>
      </w:pP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2）</w:t>
      </w:r>
      <w:r>
        <w:rPr>
          <w:rFonts w:hint="eastAsia" w:hAnsi="Times New Roman" w:cstheme="minorBidi"/>
          <w:b w:val="0"/>
          <w:bCs w:val="0"/>
          <w:color w:val="000000" w:themeColor="text1"/>
          <w:sz w:val="24"/>
          <w:szCs w:val="24"/>
          <w:highlight w:val="none"/>
          <w:lang w:val="zh-CN"/>
          <w14:textFill>
            <w14:solidFill>
              <w14:schemeClr w14:val="tx1"/>
            </w14:solidFill>
          </w14:textFill>
        </w:rPr>
        <w:t>项目</w:t>
      </w: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初</w:t>
      </w:r>
      <w:r>
        <w:rPr>
          <w:rFonts w:hint="eastAsia" w:hAnsi="Times New Roman" w:cstheme="minorBidi"/>
          <w:b w:val="0"/>
          <w:bCs w:val="0"/>
          <w:color w:val="000000" w:themeColor="text1"/>
          <w:sz w:val="24"/>
          <w:szCs w:val="24"/>
          <w:highlight w:val="none"/>
          <w:lang w:val="zh-CN"/>
          <w14:textFill>
            <w14:solidFill>
              <w14:schemeClr w14:val="tx1"/>
            </w14:solidFill>
          </w14:textFill>
        </w:rPr>
        <w:t>验合格后30日内</w:t>
      </w:r>
      <w:r>
        <w:rPr>
          <w:rFonts w:hint="eastAsia" w:hAnsi="Times New Roman"/>
          <w:b w:val="0"/>
          <w:bCs w:val="0"/>
          <w:color w:val="000000" w:themeColor="text1"/>
          <w:sz w:val="24"/>
          <w:szCs w:val="24"/>
          <w:highlight w:val="none"/>
          <w:lang w:val="zh-CN"/>
          <w14:textFill>
            <w14:solidFill>
              <w14:schemeClr w14:val="tx1"/>
            </w14:solidFill>
          </w14:textFill>
        </w:rPr>
        <w:t>支付</w:t>
      </w:r>
      <w:r>
        <w:rPr>
          <w:rFonts w:hint="eastAsia" w:hAnsi="Times New Roman" w:cstheme="minorBidi"/>
          <w:b w:val="0"/>
          <w:bCs w:val="0"/>
          <w:color w:val="000000" w:themeColor="text1"/>
          <w:sz w:val="24"/>
          <w:szCs w:val="24"/>
          <w:highlight w:val="none"/>
          <w:lang w:val="zh-CN"/>
          <w14:textFill>
            <w14:solidFill>
              <w14:schemeClr w14:val="tx1"/>
            </w14:solidFill>
          </w14:textFill>
        </w:rPr>
        <w:t>合同金额</w:t>
      </w: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的50</w:t>
      </w:r>
      <w:r>
        <w:rPr>
          <w:rFonts w:hint="eastAsia" w:hAnsi="Times New Roman" w:cstheme="minorBidi"/>
          <w:b w:val="0"/>
          <w:bCs w:val="0"/>
          <w:color w:val="000000" w:themeColor="text1"/>
          <w:sz w:val="24"/>
          <w:szCs w:val="24"/>
          <w:highlight w:val="none"/>
          <w:lang w:val="zh-CN"/>
          <w14:textFill>
            <w14:solidFill>
              <w14:schemeClr w14:val="tx1"/>
            </w14:solidFill>
          </w14:textFill>
        </w:rPr>
        <w:t>%</w:t>
      </w:r>
      <w:r>
        <w:rPr>
          <w:rFonts w:hint="eastAsia" w:ascii="宋体" w:hAnsi="Times New Roman" w:cstheme="minorBidi"/>
          <w:b w:val="0"/>
          <w:bCs w:val="0"/>
          <w:color w:val="000000" w:themeColor="text1"/>
          <w:sz w:val="24"/>
          <w:szCs w:val="24"/>
          <w:highlight w:val="none"/>
          <w:lang w:val="zh-CN"/>
          <w14:textFill>
            <w14:solidFill>
              <w14:schemeClr w14:val="tx1"/>
            </w14:solidFill>
          </w14:textFill>
        </w:rPr>
        <w:t>；</w:t>
      </w:r>
    </w:p>
    <w:p>
      <w:pPr>
        <w:pStyle w:val="14"/>
        <w:snapToGrid w:val="0"/>
        <w:spacing w:before="0" w:after="0"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3）</w:t>
      </w:r>
      <w:r>
        <w:rPr>
          <w:rFonts w:hint="eastAsia" w:hAnsi="Times New Roman" w:cstheme="minorBidi"/>
          <w:b w:val="0"/>
          <w:bCs w:val="0"/>
          <w:color w:val="000000" w:themeColor="text1"/>
          <w:sz w:val="24"/>
          <w:szCs w:val="24"/>
          <w:highlight w:val="none"/>
          <w:lang w:val="zh-CN"/>
          <w14:textFill>
            <w14:solidFill>
              <w14:schemeClr w14:val="tx1"/>
            </w14:solidFill>
          </w14:textFill>
        </w:rPr>
        <w:t>项目</w:t>
      </w: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终</w:t>
      </w:r>
      <w:r>
        <w:rPr>
          <w:rFonts w:hint="eastAsia" w:hAnsi="Times New Roman" w:cstheme="minorBidi"/>
          <w:b w:val="0"/>
          <w:bCs w:val="0"/>
          <w:color w:val="000000" w:themeColor="text1"/>
          <w:sz w:val="24"/>
          <w:szCs w:val="24"/>
          <w:highlight w:val="none"/>
          <w:lang w:val="zh-CN"/>
          <w14:textFill>
            <w14:solidFill>
              <w14:schemeClr w14:val="tx1"/>
            </w14:solidFill>
          </w14:textFill>
        </w:rPr>
        <w:t>验合格</w:t>
      </w: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并经</w:t>
      </w:r>
      <w:r>
        <w:rPr>
          <w:rFonts w:hint="eastAsia" w:hAnsi="Times New Roman"/>
          <w:color w:val="000000" w:themeColor="text1"/>
          <w:sz w:val="24"/>
          <w:lang w:val="zh-CN"/>
          <w14:textFill>
            <w14:solidFill>
              <w14:schemeClr w14:val="tx1"/>
            </w14:solidFill>
          </w14:textFill>
        </w:rPr>
        <w:t>最终结算后，</w:t>
      </w:r>
      <w:r>
        <w:rPr>
          <w:rFonts w:hint="eastAsia" w:hAnsi="Times New Roman"/>
          <w:b w:val="0"/>
          <w:bCs w:val="0"/>
          <w:color w:val="000000" w:themeColor="text1"/>
          <w:sz w:val="24"/>
          <w:szCs w:val="24"/>
          <w:highlight w:val="none"/>
          <w:lang w:val="zh-CN"/>
          <w14:textFill>
            <w14:solidFill>
              <w14:schemeClr w14:val="tx1"/>
            </w14:solidFill>
          </w14:textFill>
        </w:rPr>
        <w:t>支付</w:t>
      </w:r>
      <w:r>
        <w:rPr>
          <w:rFonts w:hint="eastAsia" w:hAnsi="Times New Roman" w:cstheme="minorBidi"/>
          <w:b w:val="0"/>
          <w:bCs w:val="0"/>
          <w:color w:val="000000" w:themeColor="text1"/>
          <w:sz w:val="24"/>
          <w:szCs w:val="24"/>
          <w:highlight w:val="none"/>
          <w:lang w:val="zh-CN" w:eastAsia="zh-CN"/>
          <w14:textFill>
            <w14:solidFill>
              <w14:schemeClr w14:val="tx1"/>
            </w14:solidFill>
          </w14:textFill>
        </w:rPr>
        <w:t>剩余金额。</w:t>
      </w:r>
    </w:p>
    <w:p>
      <w:pPr>
        <w:pStyle w:val="14"/>
        <w:snapToGrid w:val="0"/>
        <w:spacing w:line="360" w:lineRule="auto"/>
        <w:rPr>
          <w:rFonts w:hint="eastAsia" w:hAnsi="Times New Roman"/>
          <w:color w:val="000000" w:themeColor="text1"/>
          <w:sz w:val="24"/>
          <w:lang w:val="zh-CN"/>
          <w14:textFill>
            <w14:solidFill>
              <w14:schemeClr w14:val="tx1"/>
            </w14:solidFill>
          </w14:textFill>
        </w:rPr>
      </w:pPr>
      <w:r>
        <w:rPr>
          <w:rFonts w:hint="eastAsia" w:hAnsi="Times New Roman"/>
          <w:color w:val="000000" w:themeColor="text1"/>
          <w:sz w:val="24"/>
          <w:lang w:val="zh-CN"/>
          <w14:textFill>
            <w14:solidFill>
              <w14:schemeClr w14:val="tx1"/>
            </w14:solidFill>
          </w14:textFill>
        </w:rPr>
        <w:t>2.当采购数量与实际使用数量不一致时，由采购单位向同级财政部门申请并经批准后，可以由乙方根据实际使用量供货，合同的最终结算金额按实际使用量乘以成交单价进行计算。</w:t>
      </w:r>
    </w:p>
    <w:p>
      <w:pPr>
        <w:pStyle w:val="14"/>
        <w:snapToGrid w:val="0"/>
        <w:spacing w:line="360" w:lineRule="auto"/>
        <w:rPr>
          <w:rFonts w:hint="eastAsia" w:hAnsi="Times New Roman"/>
          <w:color w:val="000000" w:themeColor="text1"/>
          <w:sz w:val="24"/>
          <w:lang w:val="zh-CN"/>
          <w14:textFill>
            <w14:solidFill>
              <w14:schemeClr w14:val="tx1"/>
            </w14:solidFill>
          </w14:textFill>
        </w:rPr>
      </w:pPr>
      <w:r>
        <w:rPr>
          <w:rFonts w:hint="eastAsia" w:hAnsi="Times New Roman" w:eastAsiaTheme="minorEastAsia"/>
          <w:color w:val="000000" w:themeColor="text1"/>
          <w:sz w:val="24"/>
          <w:lang w:val="en-US" w:eastAsia="zh-CN"/>
          <w14:textFill>
            <w14:solidFill>
              <w14:schemeClr w14:val="tx1"/>
            </w14:solidFill>
          </w14:textFill>
        </w:rPr>
        <w:t>3.每次货物款项支付时，乙方上报的货物款项支付申请均须先经甲方书面确认，并提供满足丙方财务要求的正规发票。丙方收到经甲方确认的支付申请及满足要求的发票后支付相应款项。</w:t>
      </w:r>
    </w:p>
    <w:p>
      <w:pPr>
        <w:snapToGrid w:val="0"/>
        <w:spacing w:before="156" w:beforeLines="50" w:after="156" w:afterLines="5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十二、税费</w:t>
      </w:r>
    </w:p>
    <w:p>
      <w:pPr>
        <w:snapToGrid w:val="0"/>
        <w:spacing w:before="156" w:beforeLines="50" w:after="156" w:afterLines="50"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本合同执行中相关的一切税费均由</w:t>
      </w:r>
      <w:r>
        <w:rPr>
          <w:rFonts w:asciiTheme="minorEastAsia" w:hAnsiTheme="minorEastAsia" w:eastAsiaTheme="minorEastAsia"/>
          <w:color w:val="000000" w:themeColor="text1"/>
          <w:sz w:val="24"/>
          <w14:textFill>
            <w14:solidFill>
              <w14:schemeClr w14:val="tx1"/>
            </w14:solidFill>
          </w14:textFill>
        </w:rPr>
        <w:t>乙</w:t>
      </w:r>
      <w:r>
        <w:rPr>
          <w:rFonts w:hint="eastAsia" w:asciiTheme="minorEastAsia" w:hAnsiTheme="minorEastAsia" w:eastAsiaTheme="minorEastAsia"/>
          <w:color w:val="000000" w:themeColor="text1"/>
          <w:sz w:val="24"/>
          <w14:textFill>
            <w14:solidFill>
              <w14:schemeClr w14:val="tx1"/>
            </w14:solidFill>
          </w14:textFill>
        </w:rPr>
        <w:t>方负担。</w:t>
      </w:r>
    </w:p>
    <w:p>
      <w:pPr>
        <w:pStyle w:val="14"/>
        <w:snapToGrid w:val="0"/>
        <w:spacing w:before="120" w:after="120" w:line="360" w:lineRule="auto"/>
        <w:ind w:left="412" w:hanging="412"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、质量保证及售后服务</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乙方应按招标文件规定的货物性能、技术要求、质量标准向甲方提供未经使用的全新产品。</w:t>
      </w:r>
    </w:p>
    <w:p>
      <w:pPr>
        <w:pStyle w:val="14"/>
        <w:snapToGrid w:val="0"/>
        <w:spacing w:before="120" w:after="120" w:line="360" w:lineRule="auto"/>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乙方提供的货物在质</w:t>
      </w:r>
      <w:r>
        <w:rPr>
          <w:rFonts w:hint="eastAsia" w:asciiTheme="minorEastAsia" w:hAnsiTheme="minorEastAsia" w:eastAsiaTheme="minorEastAsia"/>
          <w:color w:val="000000" w:themeColor="text1"/>
          <w:sz w:val="24"/>
          <w14:textFill>
            <w14:solidFill>
              <w14:schemeClr w14:val="tx1"/>
            </w14:solidFill>
          </w14:textFill>
        </w:rPr>
        <w:t>保</w:t>
      </w:r>
      <w:r>
        <w:rPr>
          <w:rFonts w:asciiTheme="minorEastAsia" w:hAnsiTheme="minorEastAsia" w:eastAsiaTheme="minorEastAsia"/>
          <w:color w:val="000000" w:themeColor="text1"/>
          <w:sz w:val="24"/>
          <w14:textFill>
            <w14:solidFill>
              <w14:schemeClr w14:val="tx1"/>
            </w14:solidFill>
          </w14:textFill>
        </w:rPr>
        <w:t>期内因货物本身的质量问题发生故障，乙方应负责免费更换。对达不到技术要求者，根据实际情况，经双方协商，可按以下办法处理：</w:t>
      </w:r>
    </w:p>
    <w:p>
      <w:pPr>
        <w:pStyle w:val="14"/>
        <w:snapToGrid w:val="0"/>
        <w:spacing w:before="120" w:after="120" w:line="360" w:lineRule="auto"/>
        <w:ind w:firstLine="42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⑴更换：由乙方承担所发生的全部费用。</w:t>
      </w:r>
    </w:p>
    <w:p>
      <w:pPr>
        <w:pStyle w:val="14"/>
        <w:snapToGrid w:val="0"/>
        <w:spacing w:before="120" w:after="120" w:line="360" w:lineRule="auto"/>
        <w:ind w:firstLine="42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⑵贬值处理：由甲乙双方合议定价。</w:t>
      </w:r>
    </w:p>
    <w:p>
      <w:pPr>
        <w:pStyle w:val="14"/>
        <w:snapToGrid w:val="0"/>
        <w:spacing w:before="120" w:after="120" w:line="360" w:lineRule="auto"/>
        <w:ind w:left="420" w:left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如在使用过程中发生质量问题，乙方在接到甲方通知后</w:t>
      </w:r>
      <w:r>
        <w:rPr>
          <w:rFonts w:asciiTheme="minorEastAsia" w:hAnsiTheme="minorEastAsia" w:eastAsiaTheme="minorEastAsia"/>
          <w:color w:val="000000" w:themeColor="text1"/>
          <w:sz w:val="24"/>
          <w14:textFill>
            <w14:solidFill>
              <w14:schemeClr w14:val="tx1"/>
            </w14:solidFill>
          </w14:textFill>
        </w:rPr>
        <w:t>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小时</w:t>
      </w:r>
      <w:r>
        <w:rPr>
          <w:rFonts w:asciiTheme="minorEastAsia" w:hAnsiTheme="minorEastAsia" w:eastAsiaTheme="minorEastAsia"/>
          <w:color w:val="000000" w:themeColor="text1"/>
          <w:sz w:val="24"/>
          <w14:textFill>
            <w14:solidFill>
              <w14:schemeClr w14:val="tx1"/>
            </w14:solidFill>
          </w14:textFill>
        </w:rPr>
        <w:t>内到达甲方</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现场。</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在质保期内，乙方应对货物出现的质量及安全问题负责处理解决并承担一切</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费用。</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上述的</w:t>
      </w:r>
      <w:r>
        <w:rPr>
          <w:rFonts w:asciiTheme="minorEastAsia" w:hAnsiTheme="minorEastAsia" w:eastAsiaTheme="minorEastAsia"/>
          <w:color w:val="000000" w:themeColor="text1"/>
          <w:sz w:val="24"/>
          <w14:textFill>
            <w14:solidFill>
              <w14:schemeClr w14:val="tx1"/>
            </w14:solidFill>
          </w14:textFill>
        </w:rPr>
        <w:t>货物</w:t>
      </w:r>
      <w:r>
        <w:rPr>
          <w:rFonts w:asciiTheme="minorEastAsia" w:hAnsiTheme="minorEastAsia" w:eastAsiaTheme="minorEastAsia"/>
          <w:color w:val="000000" w:themeColor="text1"/>
          <w:sz w:val="24"/>
          <w14:textFill>
            <w14:solidFill>
              <w14:schemeClr w14:val="tx1"/>
            </w14:solidFill>
          </w14:textFill>
        </w:rPr>
        <w:t>免费保修期为年，因人为因素出现的故障不在免费保修范围</w:t>
      </w:r>
    </w:p>
    <w:p>
      <w:pPr>
        <w:pStyle w:val="14"/>
        <w:snapToGrid w:val="0"/>
        <w:spacing w:before="120" w:after="120" w:line="360" w:lineRule="auto"/>
        <w:ind w:firstLine="240" w:firstLineChars="1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内。超过保修期的机器设备，终生维修，维修时只收部件成本费。</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四</w:t>
      </w:r>
      <w:r>
        <w:rPr>
          <w:rFonts w:asciiTheme="minorEastAsia" w:hAnsiTheme="minorEastAsia" w:eastAsiaTheme="minorEastAsia"/>
          <w:b/>
          <w:color w:val="000000" w:themeColor="text1"/>
          <w:sz w:val="24"/>
          <w14:textFill>
            <w14:solidFill>
              <w14:schemeClr w14:val="tx1"/>
            </w14:solidFill>
          </w14:textFill>
        </w:rPr>
        <w:t>、调试和验收</w:t>
      </w:r>
    </w:p>
    <w:p>
      <w:pPr>
        <w:pStyle w:val="14"/>
        <w:snapToGrid w:val="0"/>
        <w:spacing w:before="120" w:after="120" w:line="360" w:lineRule="auto"/>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甲方对乙方提交的货物依据招标文件上的技术规格要求和国家有关质量标准</w:t>
      </w:r>
    </w:p>
    <w:p>
      <w:pPr>
        <w:pStyle w:val="14"/>
        <w:snapToGrid w:val="0"/>
        <w:spacing w:before="120" w:after="120" w:line="360" w:lineRule="auto"/>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进行现场初步验收，外观、说明书符合招标文件技术要求的，给予签收，初</w:t>
      </w:r>
    </w:p>
    <w:p>
      <w:pPr>
        <w:pStyle w:val="14"/>
        <w:snapToGrid w:val="0"/>
        <w:spacing w:before="120" w:after="120" w:line="360" w:lineRule="auto"/>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五</w:t>
      </w:r>
      <w:r>
        <w:rPr>
          <w:rFonts w:hint="eastAsia" w:asciiTheme="minorEastAsia" w:hAnsiTheme="minorEastAsia" w:eastAsiaTheme="minorEastAsia"/>
          <w:color w:val="000000" w:themeColor="text1"/>
          <w:sz w:val="24"/>
          <w14:textFill>
            <w14:solidFill>
              <w14:schemeClr w14:val="tx1"/>
            </w14:solidFill>
          </w14:textFill>
        </w:rPr>
        <w:t>个</w:t>
      </w:r>
      <w:r>
        <w:rPr>
          <w:rFonts w:asciiTheme="minorEastAsia" w:hAnsiTheme="minorEastAsia" w:eastAsiaTheme="minorEastAsia"/>
          <w:color w:val="000000" w:themeColor="text1"/>
          <w:sz w:val="24"/>
          <w14:textFill>
            <w14:solidFill>
              <w14:schemeClr w14:val="tx1"/>
            </w14:solidFill>
          </w14:textFill>
        </w:rPr>
        <w:t>工作日内验收。</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乙方交货前应对产品作出全面检查和对验收文件进行整理，并列出清单，作</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为甲方收货验收和使用的技术条件依据，检验的结果应随货物交甲方。</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甲方对乙方提供的货物在使用前进行调试时，乙方需负责安装并培训甲方的</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使用操作人员，并协助甲方一起调试，直到符合技术要求，甲方才做最终验</w:t>
      </w:r>
    </w:p>
    <w:p>
      <w:pPr>
        <w:pStyle w:val="14"/>
        <w:snapToGrid w:val="0"/>
        <w:spacing w:before="120" w:after="120" w:line="360" w:lineRule="auto"/>
        <w:ind w:firstLine="360" w:firstLineChars="150"/>
        <w:rPr>
          <w:rFonts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收。</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对技术复杂的货物，甲方应请国家认可的专业检测机构参与初步验收及最终</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验收，并由其出具质量检测报告。</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验收时乙方必须在现场，验收完毕后作出验收结果报告；验收费用由</w:t>
      </w:r>
      <w:r>
        <w:rPr>
          <w:rFonts w:hint="eastAsia" w:asciiTheme="minorEastAsia" w:hAnsiTheme="minorEastAsia" w:eastAsiaTheme="minorEastAsia"/>
          <w:color w:val="000000" w:themeColor="text1"/>
          <w:sz w:val="24"/>
          <w14:textFill>
            <w14:solidFill>
              <w14:schemeClr w14:val="tx1"/>
            </w14:solidFill>
          </w14:textFill>
        </w:rPr>
        <w:t>甲</w:t>
      </w:r>
      <w:r>
        <w:rPr>
          <w:rFonts w:asciiTheme="minorEastAsia" w:hAnsiTheme="minorEastAsia" w:eastAsiaTheme="minorEastAsia"/>
          <w:color w:val="000000" w:themeColor="text1"/>
          <w:sz w:val="24"/>
          <w14:textFill>
            <w14:solidFill>
              <w14:schemeClr w14:val="tx1"/>
            </w14:solidFill>
          </w14:textFill>
        </w:rPr>
        <w:t>方负</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责。</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五</w:t>
      </w:r>
      <w:r>
        <w:rPr>
          <w:rFonts w:asciiTheme="minorEastAsia" w:hAnsiTheme="minorEastAsia" w:eastAsiaTheme="minorEastAsia"/>
          <w:b/>
          <w:color w:val="000000" w:themeColor="text1"/>
          <w:sz w:val="24"/>
          <w14:textFill>
            <w14:solidFill>
              <w14:schemeClr w14:val="tx1"/>
            </w14:solidFill>
          </w14:textFill>
        </w:rPr>
        <w:t>、货物包装、发运及运输</w:t>
      </w:r>
    </w:p>
    <w:p>
      <w:pPr>
        <w:pStyle w:val="14"/>
        <w:snapToGrid w:val="0"/>
        <w:spacing w:before="120" w:after="120" w:line="360" w:lineRule="auto"/>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4"/>
        <w:snapToGrid w:val="0"/>
        <w:spacing w:before="120" w:after="120" w:line="360" w:lineRule="auto"/>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使用说明书、质量检验证明书、随配附件和工具以及清单一并附于货物内。</w:t>
      </w:r>
    </w:p>
    <w:p>
      <w:pPr>
        <w:pStyle w:val="14"/>
        <w:snapToGrid w:val="0"/>
        <w:spacing w:before="120" w:after="120" w:line="360" w:lineRule="auto"/>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乙方在货物发运手续办理完毕后24小时内或货到甲方48小时前通知甲方，以准备接货。</w:t>
      </w:r>
    </w:p>
    <w:p>
      <w:pPr>
        <w:pStyle w:val="14"/>
        <w:snapToGrid w:val="0"/>
        <w:spacing w:before="120" w:after="120" w:line="360" w:lineRule="auto"/>
        <w:ind w:left="480"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货物在交付甲方前发生的风险均由乙方负责。</w:t>
      </w:r>
    </w:p>
    <w:p>
      <w:pPr>
        <w:pStyle w:val="14"/>
        <w:snapToGrid w:val="0"/>
        <w:spacing w:line="360" w:lineRule="auto"/>
        <w:ind w:left="480" w:right="26" w:hanging="480" w:hanging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货物在规定的交付期限内由乙方送达甲方指定的地点视为交付，乙方同时需</w:t>
      </w:r>
    </w:p>
    <w:p>
      <w:pPr>
        <w:pStyle w:val="14"/>
        <w:snapToGrid w:val="0"/>
        <w:spacing w:line="360" w:lineRule="auto"/>
        <w:ind w:left="479" w:leftChars="171" w:right="26" w:hanging="120" w:hangingChars="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通知甲方货物已送达。</w:t>
      </w:r>
    </w:p>
    <w:p>
      <w:pPr>
        <w:pStyle w:val="14"/>
        <w:numPr>
          <w:ilvl w:val="0"/>
          <w:numId w:val="44"/>
        </w:numPr>
        <w:snapToGrid w:val="0"/>
        <w:spacing w:before="120" w:after="120" w:line="360" w:lineRule="auto"/>
        <w:ind w:left="420" w:leftChars="0" w:hanging="420" w:hangingChars="175"/>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乙方运送的货物涉及商品包装和快递包装的，参考《商品包装政府采购需求标准（试行）》、《快递包装政府采购需求标准（试行）》（财办库［2020］123号）</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六</w:t>
      </w:r>
      <w:r>
        <w:rPr>
          <w:rFonts w:asciiTheme="minorEastAsia" w:hAnsiTheme="minorEastAsia" w:eastAsiaTheme="minorEastAsia"/>
          <w:b/>
          <w:color w:val="000000" w:themeColor="text1"/>
          <w:sz w:val="24"/>
          <w14:textFill>
            <w14:solidFill>
              <w14:schemeClr w14:val="tx1"/>
            </w14:solidFill>
          </w14:textFill>
        </w:rPr>
        <w:t>、违约责任</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甲方无正当理由拒收货物的，甲方向乙方偿付拒收货款总值的</w:t>
      </w:r>
      <w:r>
        <w:rPr>
          <w:rFonts w:asciiTheme="minorEastAsia" w:hAnsiTheme="minorEastAsia" w:eastAsiaTheme="minorEastAsia"/>
          <w:color w:val="000000" w:themeColor="text1"/>
          <w:sz w:val="24"/>
          <w:u w:val="single"/>
          <w14:textFill>
            <w14:solidFill>
              <w14:schemeClr w14:val="tx1"/>
            </w14:solidFill>
          </w14:textFill>
        </w:rPr>
        <w:t>百分之五</w:t>
      </w:r>
      <w:r>
        <w:rPr>
          <w:rFonts w:asciiTheme="minorEastAsia" w:hAnsiTheme="minorEastAsia" w:eastAsiaTheme="minorEastAsia"/>
          <w:color w:val="000000" w:themeColor="text1"/>
          <w:sz w:val="24"/>
          <w14:textFill>
            <w14:solidFill>
              <w14:schemeClr w14:val="tx1"/>
            </w14:solidFill>
          </w14:textFill>
        </w:rPr>
        <w:t>违约金。</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甲方无故逾期验收和办理货款支付手续的,甲方应按逾期付款总额每日</w:t>
      </w:r>
      <w:r>
        <w:rPr>
          <w:rFonts w:asciiTheme="minorEastAsia" w:hAnsiTheme="minorEastAsia" w:eastAsiaTheme="minorEastAsia"/>
          <w:color w:val="000000" w:themeColor="text1"/>
          <w:sz w:val="24"/>
          <w:u w:val="single"/>
          <w14:textFill>
            <w14:solidFill>
              <w14:schemeClr w14:val="tx1"/>
            </w14:solidFill>
          </w14:textFill>
        </w:rPr>
        <w:t>万分之五</w:t>
      </w:r>
      <w:r>
        <w:rPr>
          <w:rFonts w:asciiTheme="minorEastAsia" w:hAnsiTheme="minorEastAsia" w:eastAsiaTheme="minorEastAsia"/>
          <w:color w:val="000000" w:themeColor="text1"/>
          <w:sz w:val="24"/>
          <w14:textFill>
            <w14:solidFill>
              <w14:schemeClr w14:val="tx1"/>
            </w14:solidFill>
          </w14:textFill>
        </w:rPr>
        <w:t>向乙方支付违约金。</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乙方逾期交付货物的，乙方应按逾期交货总额每日</w:t>
      </w:r>
      <w:r>
        <w:rPr>
          <w:rFonts w:asciiTheme="minorEastAsia" w:hAnsiTheme="minorEastAsia" w:eastAsiaTheme="minorEastAsia"/>
          <w:color w:val="000000" w:themeColor="text1"/>
          <w:sz w:val="24"/>
          <w:u w:val="single"/>
          <w14:textFill>
            <w14:solidFill>
              <w14:schemeClr w14:val="tx1"/>
            </w14:solidFill>
          </w14:textFill>
        </w:rPr>
        <w:t>千分之六</w:t>
      </w:r>
      <w:r>
        <w:rPr>
          <w:rFonts w:asciiTheme="minorEastAsia" w:hAnsiTheme="minorEastAsia" w:eastAsiaTheme="minorEastAsia"/>
          <w:color w:val="000000" w:themeColor="text1"/>
          <w:sz w:val="24"/>
          <w14:textFill>
            <w14:solidFill>
              <w14:schemeClr w14:val="tx1"/>
            </w14:solidFill>
          </w14:textFill>
        </w:rPr>
        <w:t>向甲方支付违约金，由甲方从待付货款中扣除。逾期超过约定日期</w:t>
      </w:r>
      <w:r>
        <w:rPr>
          <w:rFonts w:asciiTheme="minorEastAsia" w:hAnsiTheme="minorEastAsia" w:eastAsiaTheme="minorEastAsia"/>
          <w:color w:val="000000" w:themeColor="text1"/>
          <w:sz w:val="24"/>
          <w:u w:val="single"/>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个工作日不能交货的，甲方可解除本合同。乙方因逾期交货或因其他违约行为导致甲方解除合同的，乙方应向甲方支付合同总值</w:t>
      </w:r>
      <w:r>
        <w:rPr>
          <w:rFonts w:asciiTheme="minorEastAsia" w:hAnsiTheme="minorEastAsia" w:eastAsiaTheme="minorEastAsia"/>
          <w:color w:val="000000" w:themeColor="text1"/>
          <w:sz w:val="24"/>
          <w:u w:val="single"/>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 xml:space="preserve">的违约金，如造成甲方损失超过违约金的，超出部分由乙方继续承担赔偿责任。 </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120" w:after="120" w:line="360" w:lineRule="auto"/>
        <w:ind w:left="410" w:hanging="410" w:hangingChars="17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5.若发生纠纷，由违约方赔偿守约方因纠纷所支付的费用（包括但不限于律师费、差旅费、诉讼费、保全费、鉴定费、评估费等）</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、不可抗力事件处理</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在合同有效期内，任何一方因不可抗力事件导致不能履行合同，则合同履行</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期可延长，其延长期与不可抗力影响期相同。</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不可抗力事件发生后，应立即通知对方，并寄送有关权威机构出具的证明。</w:t>
      </w:r>
    </w:p>
    <w:p>
      <w:pPr>
        <w:pStyle w:val="14"/>
        <w:snapToGrid w:val="0"/>
        <w:spacing w:before="120" w:after="120"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不可抗力事件延续120天以上，</w:t>
      </w:r>
      <w:r>
        <w:rPr>
          <w:rFonts w:hint="eastAsia" w:asciiTheme="minorEastAsia" w:hAnsiTheme="minorEastAsia" w:eastAsiaTheme="minorEastAsia"/>
          <w:color w:val="000000" w:themeColor="text1"/>
          <w:sz w:val="24"/>
          <w:lang w:val="en-US" w:eastAsia="zh-CN"/>
          <w14:textFill>
            <w14:solidFill>
              <w14:schemeClr w14:val="tx1"/>
            </w14:solidFill>
          </w14:textFill>
        </w:rPr>
        <w:t>三</w:t>
      </w:r>
      <w:r>
        <w:rPr>
          <w:rFonts w:asciiTheme="minorEastAsia" w:hAnsiTheme="minorEastAsia" w:eastAsiaTheme="minorEastAsia"/>
          <w:color w:val="000000" w:themeColor="text1"/>
          <w:sz w:val="24"/>
          <w14:textFill>
            <w14:solidFill>
              <w14:schemeClr w14:val="tx1"/>
            </w14:solidFill>
          </w14:textFill>
        </w:rPr>
        <w:t>方应通过友好协商，确定是否继续履行合</w:t>
      </w:r>
    </w:p>
    <w:p>
      <w:pPr>
        <w:pStyle w:val="14"/>
        <w:snapToGrid w:val="0"/>
        <w:spacing w:before="120" w:after="120"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同。</w:t>
      </w:r>
    </w:p>
    <w:p>
      <w:pPr>
        <w:pStyle w:val="14"/>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pPr>
        <w:widowControl/>
        <w:spacing w:line="360" w:lineRule="auto"/>
        <w:jc w:val="left"/>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ascii="宋体" w:hAnsi="宋体" w:cs="宋体"/>
          <w:color w:val="000000" w:themeColor="text1"/>
          <w:kern w:val="0"/>
          <w:sz w:val="24"/>
          <w14:textFill>
            <w14:solidFill>
              <w14:schemeClr w14:val="tx1"/>
            </w14:solidFill>
          </w14:textFill>
        </w:rPr>
        <w:t>如</w:t>
      </w:r>
      <w:r>
        <w:rPr>
          <w:rFonts w:hint="eastAsia" w:ascii="宋体" w:hAnsi="宋体" w:cs="宋体"/>
          <w:color w:val="000000" w:themeColor="text1"/>
          <w:kern w:val="0"/>
          <w:sz w:val="24"/>
          <w:lang w:eastAsia="zh-CN"/>
          <w14:textFill>
            <w14:solidFill>
              <w14:schemeClr w14:val="tx1"/>
            </w14:solidFill>
          </w14:textFill>
        </w:rPr>
        <w:t>三</w:t>
      </w:r>
      <w:r>
        <w:rPr>
          <w:rFonts w:ascii="宋体" w:hAnsi="宋体" w:cs="宋体"/>
          <w:color w:val="000000" w:themeColor="text1"/>
          <w:kern w:val="0"/>
          <w:sz w:val="24"/>
          <w14:textFill>
            <w14:solidFill>
              <w14:schemeClr w14:val="tx1"/>
            </w14:solidFill>
          </w14:textFill>
        </w:rPr>
        <w:t>方在履行合同时发生纠纷，应协商解决；协商不成时，可提请政府采购管理部门调解；调解不成的通过以下</w:t>
      </w:r>
      <w:r>
        <w:rPr>
          <w:rFonts w:hint="eastAsia" w:ascii="宋体" w:hAnsi="宋体" w:cs="宋体"/>
          <w:color w:val="000000" w:themeColor="text1"/>
          <w:kern w:val="0"/>
          <w:sz w:val="24"/>
          <w:lang w:eastAsia="zh-CN"/>
          <w14:textFill>
            <w14:solidFill>
              <w14:schemeClr w14:val="tx1"/>
            </w14:solidFill>
          </w14:textFill>
        </w:rPr>
        <w:t>第（</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eastAsia="zh-CN"/>
          <w14:textFill>
            <w14:solidFill>
              <w14:schemeClr w14:val="tx1"/>
            </w14:solidFill>
          </w14:textFill>
        </w:rPr>
        <w:t>）</w:t>
      </w:r>
      <w:r>
        <w:rPr>
          <w:rFonts w:ascii="宋体" w:hAnsi="宋体" w:cs="宋体"/>
          <w:color w:val="000000" w:themeColor="text1"/>
          <w:kern w:val="0"/>
          <w:sz w:val="24"/>
          <w14:textFill>
            <w14:solidFill>
              <w14:schemeClr w14:val="tx1"/>
            </w14:solidFill>
          </w14:textFill>
        </w:rPr>
        <w:t>方式解决（两种解决方式只能择其一）：</w:t>
      </w:r>
      <w:r>
        <w:rPr>
          <w:rFonts w:ascii="宋体" w:hAnsi="宋体" w:cs="宋体"/>
          <w:color w:val="000000" w:themeColor="text1"/>
          <w:kern w:val="0"/>
          <w:sz w:val="24"/>
          <w14:textFill>
            <w14:solidFill>
              <w14:schemeClr w14:val="tx1"/>
            </w14:solidFill>
          </w14:textFill>
        </w:rPr>
        <w:br w:type="textWrapping"/>
      </w:r>
      <w:r>
        <w:rPr>
          <w:rFonts w:ascii="宋体" w:hAnsi="宋体" w:cs="宋体"/>
          <w:color w:val="000000" w:themeColor="text1"/>
          <w:kern w:val="0"/>
          <w:sz w:val="24"/>
          <w14:textFill>
            <w14:solidFill>
              <w14:schemeClr w14:val="tx1"/>
            </w14:solidFill>
          </w14:textFill>
        </w:rPr>
        <w:t>（1） 提交</w:t>
      </w:r>
      <w:r>
        <w:rPr>
          <w:rFonts w:hAnsi="宋体"/>
          <w:color w:val="000000" w:themeColor="text1"/>
          <w:sz w:val="24"/>
          <w:u w:val="single"/>
          <w14:textFill>
            <w14:solidFill>
              <w14:schemeClr w14:val="tx1"/>
            </w14:solidFill>
          </w14:textFill>
        </w:rPr>
        <w:t>台州</w:t>
      </w:r>
      <w:r>
        <w:rPr>
          <w:rFonts w:ascii="宋体" w:hAnsi="宋体" w:cs="宋体"/>
          <w:color w:val="000000" w:themeColor="text1"/>
          <w:kern w:val="0"/>
          <w:sz w:val="24"/>
          <w14:textFill>
            <w14:solidFill>
              <w14:schemeClr w14:val="tx1"/>
            </w14:solidFill>
          </w14:textFill>
        </w:rPr>
        <w:t>仲裁委员会仲裁。</w:t>
      </w:r>
      <w:r>
        <w:rPr>
          <w:rFonts w:ascii="宋体" w:hAnsi="宋体" w:cs="宋体"/>
          <w:color w:val="000000" w:themeColor="text1"/>
          <w:kern w:val="0"/>
          <w:sz w:val="24"/>
          <w14:textFill>
            <w14:solidFill>
              <w14:schemeClr w14:val="tx1"/>
            </w14:solidFill>
          </w14:textFill>
        </w:rPr>
        <w:br w:type="textWrapping"/>
      </w:r>
      <w:r>
        <w:rPr>
          <w:rFonts w:ascii="宋体" w:hAnsi="宋体" w:cs="宋体"/>
          <w:color w:val="000000" w:themeColor="text1"/>
          <w:kern w:val="0"/>
          <w:sz w:val="24"/>
          <w14:textFill>
            <w14:solidFill>
              <w14:schemeClr w14:val="tx1"/>
            </w14:solidFill>
          </w14:textFill>
        </w:rPr>
        <w:t xml:space="preserve">（2） 依法向人民法院提起诉讼。 </w:t>
      </w:r>
    </w:p>
    <w:p>
      <w:pPr>
        <w:pStyle w:val="14"/>
        <w:tabs>
          <w:tab w:val="left" w:pos="5790"/>
        </w:tabs>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九</w:t>
      </w:r>
      <w:r>
        <w:rPr>
          <w:rFonts w:asciiTheme="minorEastAsia" w:hAnsiTheme="minorEastAsia" w:eastAsiaTheme="minorEastAsia"/>
          <w:b/>
          <w:color w:val="000000" w:themeColor="text1"/>
          <w:sz w:val="24"/>
          <w14:textFill>
            <w14:solidFill>
              <w14:schemeClr w14:val="tx1"/>
            </w14:solidFill>
          </w14:textFill>
        </w:rPr>
        <w:t>、合同生效及其它</w:t>
      </w:r>
      <w:r>
        <w:rPr>
          <w:rFonts w:asciiTheme="minorEastAsia" w:hAnsiTheme="minorEastAsia" w:eastAsiaTheme="minorEastAsia"/>
          <w:b/>
          <w:color w:val="000000" w:themeColor="text1"/>
          <w:sz w:val="24"/>
          <w14:textFill>
            <w14:solidFill>
              <w14:schemeClr w14:val="tx1"/>
            </w14:solidFill>
          </w14:textFill>
        </w:rPr>
        <w:tab/>
      </w:r>
    </w:p>
    <w:p>
      <w:pPr>
        <w:pStyle w:val="2"/>
        <w:widowControl/>
        <w:spacing w:line="360" w:lineRule="auto"/>
        <w:ind w:right="-88"/>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 xml:space="preserve"> 合同经</w:t>
      </w:r>
      <w:r>
        <w:rPr>
          <w:rFonts w:hint="eastAsia" w:asciiTheme="minorEastAsia" w:hAnsiTheme="minorEastAsia" w:eastAsiaTheme="minorEastAsia"/>
          <w:color w:val="000000" w:themeColor="text1"/>
          <w:lang w:eastAsia="zh-CN"/>
          <w14:textFill>
            <w14:solidFill>
              <w14:schemeClr w14:val="tx1"/>
            </w14:solidFill>
          </w14:textFill>
        </w:rPr>
        <w:t>三</w:t>
      </w:r>
      <w:r>
        <w:rPr>
          <w:rFonts w:asciiTheme="minorEastAsia" w:hAnsiTheme="minorEastAsia" w:eastAsiaTheme="minorEastAsia"/>
          <w:color w:val="000000" w:themeColor="text1"/>
          <w14:textFill>
            <w14:solidFill>
              <w14:schemeClr w14:val="tx1"/>
            </w14:solidFill>
          </w14:textFill>
        </w:rPr>
        <w:t>方法定代表人或授权代表</w:t>
      </w:r>
      <w:r>
        <w:rPr>
          <w:rFonts w:hint="eastAsia" w:asciiTheme="minorEastAsia" w:hAnsiTheme="minorEastAsia" w:eastAsiaTheme="minorEastAsia"/>
          <w:color w:val="000000" w:themeColor="text1"/>
          <w14:textFill>
            <w14:solidFill>
              <w14:schemeClr w14:val="tx1"/>
            </w14:solidFill>
          </w14:textFill>
        </w:rPr>
        <w:t>签字</w:t>
      </w:r>
      <w:r>
        <w:rPr>
          <w:rFonts w:asciiTheme="minorEastAsia" w:hAnsiTheme="minorEastAsia" w:eastAsiaTheme="minorEastAsia"/>
          <w:color w:val="000000" w:themeColor="text1"/>
          <w14:textFill>
            <w14:solidFill>
              <w14:schemeClr w14:val="tx1"/>
            </w14:solidFill>
          </w14:textFill>
        </w:rPr>
        <w:t>并加盖单位公章后生效。</w:t>
      </w:r>
    </w:p>
    <w:p>
      <w:pPr>
        <w:pStyle w:val="2"/>
        <w:widowControl/>
        <w:spacing w:line="360" w:lineRule="auto"/>
        <w:ind w:right="-88"/>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 </w:t>
      </w:r>
      <w:r>
        <w:rPr>
          <w:rFonts w:asciiTheme="minorEastAsia" w:hAnsiTheme="minorEastAsia" w:eastAsiaTheme="minorEastAsia"/>
          <w:color w:val="000000" w:themeColor="text1"/>
          <w14:textFill>
            <w14:solidFill>
              <w14:schemeClr w14:val="tx1"/>
            </w14:solidFill>
          </w14:textFill>
        </w:rPr>
        <w:t>本合同未尽事宜，遵照《合同法》有关条文执行。</w:t>
      </w:r>
    </w:p>
    <w:p>
      <w:pPr>
        <w:pStyle w:val="2"/>
        <w:widowControl/>
        <w:spacing w:line="360" w:lineRule="auto"/>
        <w:ind w:right="-88"/>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本合同一式</w:t>
      </w:r>
      <w:r>
        <w:rPr>
          <w:rFonts w:hint="eastAsia" w:asciiTheme="minorEastAsia" w:hAnsiTheme="minorEastAsia" w:eastAsiaTheme="minorEastAsia"/>
          <w:color w:val="000000" w:themeColor="text1"/>
          <w:lang w:eastAsia="zh-CN"/>
          <w14:textFill>
            <w14:solidFill>
              <w14:schemeClr w14:val="tx1"/>
            </w14:solidFill>
          </w14:textFill>
        </w:rPr>
        <w:t>十四</w:t>
      </w:r>
      <w:r>
        <w:rPr>
          <w:rFonts w:hint="eastAsia" w:asciiTheme="minorEastAsia" w:hAnsiTheme="minorEastAsia" w:eastAsiaTheme="minorEastAsia"/>
          <w:color w:val="000000" w:themeColor="text1"/>
          <w14:textFill>
            <w14:solidFill>
              <w14:schemeClr w14:val="tx1"/>
            </w14:solidFill>
          </w14:textFill>
        </w:rPr>
        <w:t>份。甲、乙</w:t>
      </w:r>
      <w:r>
        <w:rPr>
          <w:rFonts w:hint="eastAsia"/>
          <w:color w:val="000000" w:themeColor="text1"/>
          <w:lang w:eastAsia="zh-CN"/>
          <w14:textFill>
            <w14:solidFill>
              <w14:schemeClr w14:val="tx1"/>
            </w14:solidFill>
          </w14:textFill>
        </w:rPr>
        <w:t>、丙</w:t>
      </w:r>
      <w:r>
        <w:rPr>
          <w:rFonts w:hint="eastAsia" w:asciiTheme="minorEastAsia" w:hAnsiTheme="minorEastAsia" w:eastAsiaTheme="minorEastAsia"/>
          <w:color w:val="000000" w:themeColor="text1"/>
          <w:lang w:eastAsia="zh-CN"/>
          <w14:textFill>
            <w14:solidFill>
              <w14:schemeClr w14:val="tx1"/>
            </w14:solidFill>
          </w14:textFill>
        </w:rPr>
        <w:t>三</w:t>
      </w:r>
      <w:r>
        <w:rPr>
          <w:rFonts w:hint="eastAsia" w:asciiTheme="minorEastAsia" w:hAnsiTheme="minorEastAsia" w:eastAsiaTheme="minorEastAsia"/>
          <w:color w:val="000000" w:themeColor="text1"/>
          <w14:textFill>
            <w14:solidFill>
              <w14:schemeClr w14:val="tx1"/>
            </w14:solidFill>
          </w14:textFill>
        </w:rPr>
        <w:t>方各执</w:t>
      </w:r>
      <w:r>
        <w:rPr>
          <w:rFonts w:hint="eastAsia" w:asciiTheme="minorEastAsia" w:hAnsiTheme="minorEastAsia" w:eastAsiaTheme="minorEastAsia"/>
          <w:color w:val="000000" w:themeColor="text1"/>
          <w:lang w:eastAsia="zh-CN"/>
          <w14:textFill>
            <w14:solidFill>
              <w14:schemeClr w14:val="tx1"/>
            </w14:solidFill>
          </w14:textFill>
        </w:rPr>
        <w:t>四</w:t>
      </w:r>
      <w:r>
        <w:rPr>
          <w:rFonts w:hint="eastAsia" w:asciiTheme="minorEastAsia" w:hAnsiTheme="minorEastAsia" w:eastAsiaTheme="minorEastAsia"/>
          <w:color w:val="000000" w:themeColor="text1"/>
          <w14:textFill>
            <w14:solidFill>
              <w14:schemeClr w14:val="tx1"/>
            </w14:solidFill>
          </w14:textFill>
        </w:rPr>
        <w:t>份，</w:t>
      </w:r>
      <w:r>
        <w:rPr>
          <w:rFonts w:hint="eastAsia" w:ascii="宋体" w:hAnsi="宋体"/>
          <w:color w:val="000000" w:themeColor="text1"/>
          <w14:textFill>
            <w14:solidFill>
              <w14:schemeClr w14:val="tx1"/>
            </w14:solidFill>
          </w14:textFill>
        </w:rPr>
        <w:t>采购组织机构及同级人民政府财政部门各执一份</w:t>
      </w:r>
      <w:r>
        <w:rPr>
          <w:rFonts w:hint="eastAsia" w:asciiTheme="minorEastAsia" w:hAnsiTheme="minorEastAsia" w:eastAsiaTheme="minorEastAsia"/>
          <w:color w:val="000000" w:themeColor="text1"/>
          <w14:textFill>
            <w14:solidFill>
              <w14:schemeClr w14:val="tx1"/>
            </w14:solidFill>
          </w14:textFill>
        </w:rPr>
        <w:t>。本项目未尽事宜以招标文件、投标文件及澄清文件等为准。</w:t>
      </w:r>
    </w:p>
    <w:p>
      <w:pPr>
        <w:widowControl/>
        <w:spacing w:line="360" w:lineRule="auto"/>
        <w:rPr>
          <w:rFonts w:asciiTheme="minorEastAsia" w:hAnsiTheme="minorEastAsia" w:eastAsiaTheme="minorEastAsia"/>
          <w:b/>
          <w:color w:val="000000" w:themeColor="text1"/>
          <w:sz w:val="24"/>
          <w14:textFill>
            <w14:solidFill>
              <w14:schemeClr w14:val="tx1"/>
            </w14:solidFill>
          </w14:textFill>
        </w:rPr>
      </w:pPr>
    </w:p>
    <w:p>
      <w:pPr>
        <w:widowControl/>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甲方（公章）                                     乙方（公章）</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                                     法定代表人：</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委托代理人：                                     委托代理人：</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                                       联系电话：</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开户银行：                                       开户银行：</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帐号：                                           帐号：</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地址及邮编：                                     地址及邮编：</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丙</w:t>
      </w:r>
      <w:r>
        <w:rPr>
          <w:rFonts w:hint="eastAsia" w:asciiTheme="minorEastAsia" w:hAnsiTheme="minorEastAsia" w:eastAsiaTheme="minorEastAsia"/>
          <w:color w:val="000000" w:themeColor="text1"/>
          <w:sz w:val="24"/>
          <w14:textFill>
            <w14:solidFill>
              <w14:schemeClr w14:val="tx1"/>
            </w14:solidFill>
          </w14:textFill>
        </w:rPr>
        <w:t>方（公章</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p>
    <w:p>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委托代理人：                                    </w:t>
      </w:r>
    </w:p>
    <w:p>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联系电话：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开户银行：                                 </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帐号：                                           </w:t>
      </w:r>
    </w:p>
    <w:p>
      <w:pPr>
        <w:spacing w:line="360" w:lineRule="auto"/>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地址及邮编：                                    </w:t>
      </w:r>
    </w:p>
    <w:p>
      <w:pPr>
        <w:pStyle w:val="2"/>
        <w:rPr>
          <w:color w:val="000000" w:themeColor="text1"/>
          <w14:textFill>
            <w14:solidFill>
              <w14:schemeClr w14:val="tx1"/>
            </w14:solidFill>
          </w14:textFill>
        </w:rPr>
      </w:pPr>
    </w:p>
    <w:p>
      <w:pPr>
        <w:spacing w:line="360" w:lineRule="auto"/>
        <w:ind w:firstLine="4920" w:firstLineChars="20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签订时间：    年   月    日</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36"/>
          <w14:textFill>
            <w14:solidFill>
              <w14:schemeClr w14:val="tx1"/>
            </w14:solidFill>
          </w14:textFill>
        </w:rPr>
      </w:pPr>
      <w:r>
        <w:rPr>
          <w:rFonts w:hint="eastAsia" w:asciiTheme="majorEastAsia" w:hAnsiTheme="majorEastAsia" w:eastAsiaTheme="majorEastAsia"/>
          <w:b/>
          <w:color w:val="000000" w:themeColor="text1"/>
          <w:sz w:val="36"/>
          <w:lang w:eastAsia="zh-CN"/>
          <w14:textFill>
            <w14:solidFill>
              <w14:schemeClr w14:val="tx1"/>
            </w14:solidFill>
          </w14:textFill>
        </w:rPr>
        <w:t>合同特殊</w:t>
      </w:r>
      <w:r>
        <w:rPr>
          <w:rFonts w:hint="eastAsia" w:asciiTheme="majorEastAsia" w:hAnsiTheme="majorEastAsia" w:eastAsiaTheme="majorEastAsia"/>
          <w:b/>
          <w:color w:val="000000" w:themeColor="text1"/>
          <w:sz w:val="36"/>
          <w14:textFill>
            <w14:solidFill>
              <w14:schemeClr w14:val="tx1"/>
            </w14:solidFill>
          </w14:textFill>
        </w:rPr>
        <w:t>条款</w:t>
      </w:r>
    </w:p>
    <w:p>
      <w:pPr>
        <w:pStyle w:val="2"/>
        <w:rPr>
          <w:color w:val="000000" w:themeColor="text1"/>
          <w14:textFill>
            <w14:solidFill>
              <w14:schemeClr w14:val="tx1"/>
            </w14:solidFill>
          </w14:textFill>
        </w:rPr>
      </w:pPr>
    </w:p>
    <w:p>
      <w:pPr>
        <w:numPr>
          <w:ilvl w:val="0"/>
          <w:numId w:val="45"/>
        </w:numPr>
        <w:spacing w:line="360" w:lineRule="auto"/>
        <w:ind w:firstLine="482"/>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乙方必须</w:t>
      </w:r>
      <w:r>
        <w:rPr>
          <w:rFonts w:hint="eastAsia"/>
          <w:b/>
          <w:bCs/>
          <w:color w:val="000000" w:themeColor="text1"/>
          <w:sz w:val="24"/>
          <w:szCs w:val="24"/>
          <w:highlight w:val="none"/>
          <w14:textFill>
            <w14:solidFill>
              <w14:schemeClr w14:val="tx1"/>
            </w14:solidFill>
          </w14:textFill>
        </w:rPr>
        <w:t>在2020年12月</w:t>
      </w:r>
      <w:r>
        <w:rPr>
          <w:rFonts w:hint="eastAsia"/>
          <w:b/>
          <w:bCs/>
          <w:color w:val="000000" w:themeColor="text1"/>
          <w:sz w:val="24"/>
          <w:szCs w:val="24"/>
          <w:highlight w:val="none"/>
          <w:lang w:val="en-US" w:eastAsia="zh-CN"/>
          <w14:textFill>
            <w14:solidFill>
              <w14:schemeClr w14:val="tx1"/>
            </w14:solidFill>
          </w14:textFill>
        </w:rPr>
        <w:t>20</w:t>
      </w:r>
      <w:r>
        <w:rPr>
          <w:rFonts w:hint="eastAsia"/>
          <w:b/>
          <w:bCs/>
          <w:color w:val="000000" w:themeColor="text1"/>
          <w:sz w:val="24"/>
          <w:szCs w:val="24"/>
          <w:highlight w:val="none"/>
          <w14:textFill>
            <w14:solidFill>
              <w14:schemeClr w14:val="tx1"/>
            </w14:solidFill>
          </w14:textFill>
        </w:rPr>
        <w:t>日前完成所有</w:t>
      </w:r>
      <w:r>
        <w:rPr>
          <w:rFonts w:hint="eastAsia"/>
          <w:b/>
          <w:bCs/>
          <w:color w:val="000000" w:themeColor="text1"/>
          <w:sz w:val="24"/>
          <w:szCs w:val="24"/>
          <w:highlight w:val="none"/>
          <w:lang w:eastAsia="zh-CN"/>
          <w14:textFill>
            <w14:solidFill>
              <w14:schemeClr w14:val="tx1"/>
            </w14:solidFill>
          </w14:textFill>
        </w:rPr>
        <w:t>设备的采购及配套安装</w:t>
      </w:r>
      <w:r>
        <w:rPr>
          <w:rFonts w:hint="eastAsia"/>
          <w:b/>
          <w:bCs/>
          <w:color w:val="000000" w:themeColor="text1"/>
          <w:sz w:val="24"/>
          <w:szCs w:val="24"/>
          <w:highlight w:val="none"/>
          <w14:textFill>
            <w14:solidFill>
              <w14:schemeClr w14:val="tx1"/>
            </w14:solidFill>
          </w14:textFill>
        </w:rPr>
        <w:t>任务，并初验通过(摄像机能抓拍过车和各类交通违法行为，交通信息屏及信号灯能正常工作，其他设备能正常工作）</w:t>
      </w:r>
      <w:r>
        <w:rPr>
          <w:rFonts w:hint="eastAsia"/>
          <w:b/>
          <w:bCs/>
          <w:color w:val="000000" w:themeColor="text1"/>
          <w:sz w:val="24"/>
          <w:szCs w:val="24"/>
          <w:highlight w:val="none"/>
          <w:lang w:eastAsia="zh-CN"/>
          <w14:textFill>
            <w14:solidFill>
              <w14:schemeClr w14:val="tx1"/>
            </w14:solidFill>
          </w14:textFill>
        </w:rPr>
        <w:t>。</w:t>
      </w:r>
    </w:p>
    <w:p>
      <w:pPr>
        <w:numPr>
          <w:ilvl w:val="0"/>
          <w:numId w:val="45"/>
        </w:numPr>
        <w:spacing w:line="360" w:lineRule="auto"/>
        <w:ind w:firstLine="482"/>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若因乙方原因导致未按期完成初验</w:t>
      </w:r>
      <w:r>
        <w:rPr>
          <w:rFonts w:hint="eastAsia"/>
          <w:b/>
          <w:bCs/>
          <w:color w:val="000000" w:themeColor="text1"/>
          <w:sz w:val="24"/>
          <w:szCs w:val="24"/>
          <w:highlight w:val="none"/>
          <w14:textFill>
            <w14:solidFill>
              <w14:schemeClr w14:val="tx1"/>
            </w14:solidFill>
          </w14:textFill>
        </w:rPr>
        <w:t>的</w:t>
      </w:r>
      <w:r>
        <w:rPr>
          <w:rFonts w:hint="eastAsia"/>
          <w:b/>
          <w:bCs/>
          <w:color w:val="000000" w:themeColor="text1"/>
          <w:sz w:val="24"/>
          <w:szCs w:val="24"/>
          <w:highlight w:val="none"/>
          <w:lang w:eastAsia="zh-CN"/>
          <w14:textFill>
            <w14:solidFill>
              <w14:schemeClr w14:val="tx1"/>
            </w14:solidFill>
          </w14:textFill>
        </w:rPr>
        <w:t>，每逾期一天，甲方有权通过在最近一期款项支付时扣除</w:t>
      </w:r>
      <w:r>
        <w:rPr>
          <w:rFonts w:hint="eastAsia"/>
          <w:b/>
          <w:bCs/>
          <w:color w:val="000000" w:themeColor="text1"/>
          <w:sz w:val="24"/>
          <w:szCs w:val="24"/>
          <w:highlight w:val="none"/>
          <w:lang w:val="en-US" w:eastAsia="zh-CN"/>
          <w14:textFill>
            <w14:solidFill>
              <w14:schemeClr w14:val="tx1"/>
            </w14:solidFill>
          </w14:textFill>
        </w:rPr>
        <w:t>10</w:t>
      </w:r>
      <w:r>
        <w:rPr>
          <w:rFonts w:hint="eastAsia"/>
          <w:b/>
          <w:bCs/>
          <w:color w:val="000000" w:themeColor="text1"/>
          <w:sz w:val="24"/>
          <w:szCs w:val="24"/>
          <w:highlight w:val="none"/>
          <w14:textFill>
            <w14:solidFill>
              <w14:schemeClr w14:val="tx1"/>
            </w14:solidFill>
          </w14:textFill>
        </w:rPr>
        <w:t>万元</w:t>
      </w:r>
      <w:r>
        <w:rPr>
          <w:rFonts w:hint="eastAsia"/>
          <w:b/>
          <w:bCs/>
          <w:color w:val="000000" w:themeColor="text1"/>
          <w:sz w:val="24"/>
          <w:szCs w:val="24"/>
          <w:highlight w:val="none"/>
          <w:lang w:eastAsia="zh-CN"/>
          <w14:textFill>
            <w14:solidFill>
              <w14:schemeClr w14:val="tx1"/>
            </w14:solidFill>
          </w14:textFill>
        </w:rPr>
        <w:t>作为违约赔偿</w:t>
      </w:r>
      <w:r>
        <w:rPr>
          <w:rFonts w:hint="eastAsia"/>
          <w:b/>
          <w:bCs/>
          <w:color w:val="000000" w:themeColor="text1"/>
          <w:sz w:val="24"/>
          <w:szCs w:val="24"/>
          <w:highlight w:val="none"/>
          <w:lang w:val="en-US" w:eastAsia="zh-CN"/>
          <w14:textFill>
            <w14:solidFill>
              <w14:schemeClr w14:val="tx1"/>
            </w14:solidFill>
          </w14:textFill>
        </w:rPr>
        <w:t>，逾期违约金限额为10%的签约合同价。同时，甲方有权视具体逾期情节</w:t>
      </w:r>
      <w:r>
        <w:rPr>
          <w:rFonts w:hint="eastAsia"/>
          <w:b/>
          <w:bCs/>
          <w:color w:val="000000" w:themeColor="text1"/>
          <w:sz w:val="24"/>
          <w:szCs w:val="24"/>
          <w:highlight w:val="none"/>
          <w:lang w:eastAsia="zh-CN"/>
          <w14:textFill>
            <w14:solidFill>
              <w14:schemeClr w14:val="tx1"/>
            </w14:solidFill>
          </w14:textFill>
        </w:rPr>
        <w:t>上报监管部门，</w:t>
      </w:r>
      <w:r>
        <w:rPr>
          <w:rFonts w:hint="eastAsia"/>
          <w:b/>
          <w:bCs/>
          <w:color w:val="000000" w:themeColor="text1"/>
          <w:sz w:val="24"/>
          <w:szCs w:val="24"/>
          <w:highlight w:val="none"/>
          <w14:textFill>
            <w14:solidFill>
              <w14:schemeClr w14:val="tx1"/>
            </w14:solidFill>
          </w14:textFill>
        </w:rPr>
        <w:t>建议</w:t>
      </w:r>
      <w:r>
        <w:rPr>
          <w:rFonts w:hint="eastAsia"/>
          <w:b/>
          <w:bCs/>
          <w:color w:val="000000" w:themeColor="text1"/>
          <w:sz w:val="24"/>
          <w:szCs w:val="24"/>
          <w:highlight w:val="none"/>
          <w:lang w:eastAsia="zh-CN"/>
          <w14:textFill>
            <w14:solidFill>
              <w14:schemeClr w14:val="tx1"/>
            </w14:solidFill>
          </w14:textFill>
        </w:rPr>
        <w:t>将中标人</w:t>
      </w:r>
      <w:r>
        <w:rPr>
          <w:rFonts w:hint="eastAsia"/>
          <w:b/>
          <w:bCs/>
          <w:color w:val="000000" w:themeColor="text1"/>
          <w:sz w:val="24"/>
          <w:szCs w:val="24"/>
          <w:highlight w:val="none"/>
          <w14:textFill>
            <w14:solidFill>
              <w14:schemeClr w14:val="tx1"/>
            </w14:solidFill>
          </w14:textFill>
        </w:rPr>
        <w:t>列入政府采购供应商“黑名单”。</w:t>
      </w:r>
    </w:p>
    <w:p>
      <w:pPr>
        <w:spacing w:line="360" w:lineRule="auto"/>
        <w:jc w:val="left"/>
        <w:rPr>
          <w:rFonts w:hint="eastAsia" w:asciiTheme="majorEastAsia" w:hAnsiTheme="majorEastAsia" w:eastAsiaTheme="majorEastAsia"/>
          <w:color w:val="000000" w:themeColor="text1"/>
          <w:sz w:val="28"/>
          <w:szCs w:val="28"/>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0"/>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pStyle w:val="29"/>
        <w:rPr>
          <w:rFonts w:asciiTheme="majorEastAsia" w:hAnsiTheme="majorEastAsia" w:eastAsiaTheme="majorEastAsia"/>
          <w:color w:val="000000" w:themeColor="text1"/>
          <w:sz w:val="28"/>
          <w:szCs w:val="28"/>
          <w14:textFill>
            <w14:solidFill>
              <w14:schemeClr w14:val="tx1"/>
            </w14:solidFill>
          </w14:textFill>
        </w:rPr>
      </w:pPr>
    </w:p>
    <w:p>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投标文件格式附件</w:t>
      </w:r>
    </w:p>
    <w:p>
      <w:pP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项目编号：（标段）</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pacing w:val="40"/>
          <w:sz w:val="28"/>
          <w:szCs w:val="28"/>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w:t>
      </w:r>
      <w:r>
        <w:rPr>
          <w:rFonts w:hint="eastAsia" w:ascii="宋体" w:hAnsi="宋体"/>
          <w:color w:val="000000" w:themeColor="text1"/>
          <w:sz w:val="36"/>
          <w:szCs w:val="36"/>
          <w:lang w:eastAsia="zh-CN"/>
          <w14:textFill>
            <w14:solidFill>
              <w14:schemeClr w14:val="tx1"/>
            </w14:solidFill>
          </w14:textFill>
        </w:rPr>
        <w:t>电子印章</w:t>
      </w:r>
      <w:r>
        <w:rPr>
          <w:rFonts w:hint="eastAsia" w:ascii="宋体" w:hAnsi="宋体"/>
          <w:color w:val="000000" w:themeColor="text1"/>
          <w:sz w:val="36"/>
          <w:szCs w:val="36"/>
          <w14:textFill>
            <w14:solidFill>
              <w14:schemeClr w14:val="tx1"/>
            </w14:solidFill>
          </w14:textFill>
        </w:rPr>
        <w:t>）：</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14:textFill>
            <w14:solidFill>
              <w14:schemeClr w14:val="tx1"/>
            </w14:solidFill>
          </w14:textFill>
        </w:rPr>
      </w:pPr>
    </w:p>
    <w:p>
      <w:pPr>
        <w:numPr>
          <w:ilvl w:val="0"/>
          <w:numId w:val="46"/>
        </w:numPr>
        <w:snapToGrid w:val="0"/>
        <w:spacing w:line="360" w:lineRule="auto"/>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声明书（附件2）</w:t>
      </w:r>
    </w:p>
    <w:p>
      <w:pPr>
        <w:numPr>
          <w:ilvl w:val="0"/>
          <w:numId w:val="46"/>
        </w:num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bCs/>
          <w:color w:val="000000" w:themeColor="text1"/>
          <w:sz w:val="28"/>
          <w:szCs w:val="28"/>
          <w14:textFill>
            <w14:solidFill>
              <w14:schemeClr w14:val="tx1"/>
            </w14:solidFill>
          </w14:textFill>
        </w:rPr>
        <w:t>授权</w:t>
      </w:r>
      <w:r>
        <w:rPr>
          <w:rFonts w:hint="eastAsia"/>
          <w:bCs/>
          <w:color w:val="000000" w:themeColor="text1"/>
          <w:sz w:val="28"/>
          <w:szCs w:val="28"/>
          <w14:textFill>
            <w14:solidFill>
              <w14:schemeClr w14:val="tx1"/>
            </w14:solidFill>
          </w14:textFill>
        </w:rPr>
        <w:t>委托</w:t>
      </w:r>
      <w:r>
        <w:rPr>
          <w:bCs/>
          <w:color w:val="000000" w:themeColor="text1"/>
          <w:sz w:val="28"/>
          <w:szCs w:val="28"/>
          <w14:textFill>
            <w14:solidFill>
              <w14:schemeClr w14:val="tx1"/>
            </w14:solidFill>
          </w14:textFill>
        </w:rPr>
        <w:t>书</w:t>
      </w:r>
      <w:r>
        <w:rPr>
          <w:rFonts w:hint="eastAsia" w:ascii="宋体" w:hAnsi="宋体"/>
          <w:bCs/>
          <w:color w:val="000000" w:themeColor="text1"/>
          <w:sz w:val="28"/>
          <w:szCs w:val="28"/>
          <w14:textFill>
            <w14:solidFill>
              <w14:schemeClr w14:val="tx1"/>
            </w14:solidFill>
          </w14:textFill>
        </w:rPr>
        <w:t>（附件3）</w:t>
      </w:r>
    </w:p>
    <w:p>
      <w:pPr>
        <w:numPr>
          <w:ilvl w:val="0"/>
          <w:numId w:val="46"/>
        </w:numPr>
        <w:snapToGrid w:val="0"/>
        <w:spacing w:line="360" w:lineRule="auto"/>
        <w:ind w:left="1050" w:leftChars="259" w:hanging="506" w:hangingChars="181"/>
        <w:rPr>
          <w:rFonts w:ascii="宋体" w:hAnsi="宋体"/>
          <w:color w:val="000000" w:themeColor="text1"/>
          <w:kern w:val="0"/>
          <w:sz w:val="28"/>
          <w:szCs w:val="28"/>
          <w14:textFill>
            <w14:solidFill>
              <w14:schemeClr w14:val="tx1"/>
            </w14:solidFill>
          </w14:textFill>
        </w:rPr>
      </w:pPr>
      <w:r>
        <w:rPr>
          <w:color w:val="000000" w:themeColor="text1"/>
          <w:sz w:val="28"/>
          <w:szCs w:val="28"/>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w:t>
      </w:r>
      <w:r>
        <w:rPr>
          <w:color w:val="000000" w:themeColor="text1"/>
          <w:sz w:val="28"/>
          <w:szCs w:val="28"/>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hint="eastAsia" w:ascii="宋体" w:hAnsi="宋体"/>
          <w:color w:val="000000" w:themeColor="text1"/>
          <w:kern w:val="0"/>
          <w:sz w:val="28"/>
          <w:szCs w:val="28"/>
          <w14:textFill>
            <w14:solidFill>
              <w14:schemeClr w14:val="tx1"/>
            </w14:solidFill>
          </w14:textFill>
        </w:rPr>
        <w:t>本项目要求的特定资质证书</w:t>
      </w:r>
    </w:p>
    <w:p>
      <w:pPr>
        <w:spacing w:line="360" w:lineRule="auto"/>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spacing w:line="312" w:lineRule="auto"/>
        <w:textAlignment w:val="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val="0"/>
        <w:snapToGrid w:val="0"/>
        <w:spacing w:line="312" w:lineRule="auto"/>
        <w:ind w:right="480"/>
        <w:jc w:val="center"/>
        <w:textAlignment w:val="auto"/>
        <w:rPr>
          <w:rFonts w:ascii="宋体" w:hAns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投标声明书</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w:t>
      </w:r>
      <w:r>
        <w:rPr>
          <w:rFonts w:hint="eastAsia" w:hAnsi="宋体" w:cs="宋体"/>
          <w:color w:val="000000" w:themeColor="text1"/>
          <w:kern w:val="0"/>
          <w:sz w:val="24"/>
          <w14:textFill>
            <w14:solidFill>
              <w14:schemeClr w14:val="tx1"/>
            </w14:solidFill>
          </w14:textFill>
        </w:rPr>
        <w:t>构</w:t>
      </w:r>
      <w:r>
        <w:rPr>
          <w:rFonts w:hint="eastAsia" w:ascii="宋体" w:hAnsi="宋体" w:cs="宋体"/>
          <w:color w:val="000000" w:themeColor="text1"/>
          <w:kern w:val="0"/>
          <w:sz w:val="24"/>
          <w14:textFill>
            <w14:solidFill>
              <w14:schemeClr w14:val="tx1"/>
            </w14:solidFill>
          </w14:textFill>
        </w:rPr>
        <w:t>机构/采购代理机构名称）：</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招标项目名称</w:t>
      </w:r>
      <w:r>
        <w:rPr>
          <w:rFonts w:hint="eastAsia" w:ascii="宋体" w:hAnsi="宋体" w:cs="宋体"/>
          <w:color w:val="000000" w:themeColor="text1"/>
          <w:kern w:val="0"/>
          <w:sz w:val="24"/>
          <w14:textFill>
            <w14:solidFill>
              <w14:schemeClr w14:val="tx1"/>
            </w14:solidFill>
          </w14:textFill>
        </w:rPr>
        <w:t>）（编号为）的投标，为此，我公司就本次投标有关事项郑重声明如下：</w:t>
      </w:r>
    </w:p>
    <w:p>
      <w:pPr>
        <w:keepNext w:val="0"/>
        <w:keepLines w:val="0"/>
        <w:pageBreakBefore w:val="0"/>
        <w:widowControl w:val="0"/>
        <w:numPr>
          <w:ilvl w:val="0"/>
          <w:numId w:val="47"/>
        </w:numPr>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投标时间近三年以来：未被列入失信被执行人、重大税收违法案件当事人名单、政府采购严重违法失信行为记录名单及其他不符合《中华人民共和国政府采购法》第二十二条规定的条件。【说明：供应商在截止投标时间近三年以来，如有上述所列情形，但限制期届满的，可按实陈述，并提供相应证明文件。】</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2、我公司</w:t>
      </w:r>
      <w:r>
        <w:rPr>
          <w:rFonts w:ascii="宋体" w:hAnsi="宋体" w:cs="宋体"/>
          <w:color w:val="000000" w:themeColor="text1"/>
          <w:kern w:val="0"/>
          <w:sz w:val="24"/>
          <w14:textFill>
            <w14:solidFill>
              <w14:schemeClr w14:val="tx1"/>
            </w14:solidFill>
          </w14:textFill>
        </w:rPr>
        <w:t>在参与投标前已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14:textFill>
            <w14:solidFill>
              <w14:schemeClr w14:val="tx1"/>
            </w14:solidFill>
          </w14:textFill>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仿宋_GB2312"/>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312" w:lineRule="auto"/>
        <w:ind w:firstLine="4680" w:firstLineChars="1950"/>
        <w:textAlignment w:val="auto"/>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投标人名称(电子印章)：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312" w:lineRule="auto"/>
        <w:ind w:right="480"/>
        <w:jc w:val="center"/>
        <w:textAlignment w:val="auto"/>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lang w:val="en-US" w:eastAsia="zh-CN"/>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 日期：</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月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日</w:t>
      </w:r>
    </w:p>
    <w:p>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snapToGrid w:val="0"/>
        <w:spacing w:before="156" w:beforeLines="50" w:after="50"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w:t>
      </w:r>
      <w:r>
        <w:rPr>
          <w:rFonts w:hint="eastAsia" w:hAnsi="宋体" w:cs="宋体"/>
          <w:color w:val="000000" w:themeColor="text1"/>
          <w:kern w:val="0"/>
          <w:sz w:val="24"/>
          <w14:textFill>
            <w14:solidFill>
              <w14:schemeClr w14:val="tx1"/>
            </w14:solidFill>
          </w14:textFill>
        </w:rPr>
        <w:t>构</w:t>
      </w:r>
      <w:r>
        <w:rPr>
          <w:rFonts w:hint="eastAsia" w:ascii="宋体" w:hAnsi="宋体" w:cs="宋体"/>
          <w:color w:val="000000" w:themeColor="text1"/>
          <w:kern w:val="0"/>
          <w:sz w:val="24"/>
          <w14:textFill>
            <w14:solidFill>
              <w14:schemeClr w14:val="tx1"/>
            </w14:solidFill>
          </w14:textFill>
        </w:rPr>
        <w:t>机构/采购代理机构名称）：</w:t>
      </w:r>
    </w:p>
    <w:p>
      <w:pPr>
        <w:pStyle w:val="14"/>
        <w:spacing w:line="500" w:lineRule="exac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4"/>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w:t>
      </w:r>
      <w:r>
        <w:rPr>
          <w:rFonts w:hint="eastAsia" w:ascii="宋体"/>
          <w:color w:val="000000" w:themeColor="text1"/>
          <w:sz w:val="24"/>
          <w:lang w:eastAsia="zh-CN"/>
          <w14:textFill>
            <w14:solidFill>
              <w14:schemeClr w14:val="tx1"/>
            </w14:solidFill>
          </w14:textFill>
        </w:rPr>
        <w:t>电子印章</w:t>
      </w:r>
      <w:r>
        <w:rPr>
          <w:rFonts w:hint="eastAsia" w:ascii="宋体"/>
          <w:color w:val="000000" w:themeColor="text1"/>
          <w:sz w:val="24"/>
          <w14:textFill>
            <w14:solidFill>
              <w14:schemeClr w14:val="tx1"/>
            </w14:solidFill>
          </w14:textFill>
        </w:rPr>
        <w:t>）：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napToGrid w:val="0"/>
        <w:spacing w:before="156" w:beforeLines="50" w:after="50" w:line="360" w:lineRule="auto"/>
        <w:rPr>
          <w:rFonts w:ascii="仿宋_GB2312" w:hAnsi="宋体" w:eastAsia="仿宋_GB2312"/>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项目编号：（标段）</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color w:val="000000" w:themeColor="text1"/>
          <w:spacing w:val="40"/>
          <w:sz w:val="28"/>
          <w:szCs w:val="28"/>
          <w14:textFill>
            <w14:solidFill>
              <w14:schemeClr w14:val="tx1"/>
            </w14:solidFill>
          </w14:textFill>
        </w:rPr>
        <w:t>）</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w:t>
      </w:r>
      <w:r>
        <w:rPr>
          <w:rFonts w:hint="eastAsia" w:ascii="宋体" w:hAnsi="宋体"/>
          <w:color w:val="000000" w:themeColor="text1"/>
          <w:sz w:val="36"/>
          <w:szCs w:val="36"/>
          <w:lang w:eastAsia="zh-CN"/>
          <w14:textFill>
            <w14:solidFill>
              <w14:schemeClr w14:val="tx1"/>
            </w14:solidFill>
          </w14:textFill>
        </w:rPr>
        <w:t>电子印章</w:t>
      </w:r>
      <w:r>
        <w:rPr>
          <w:rFonts w:hint="eastAsia" w:ascii="宋体" w:hAnsi="宋体"/>
          <w:color w:val="000000" w:themeColor="text1"/>
          <w:sz w:val="36"/>
          <w:szCs w:val="36"/>
          <w14:textFill>
            <w14:solidFill>
              <w14:schemeClr w14:val="tx1"/>
            </w14:solidFill>
          </w14:textFill>
        </w:rPr>
        <w:t>）：</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投标人情况介绍</w:t>
      </w:r>
      <w:r>
        <w:rPr>
          <w:rFonts w:hint="eastAsia" w:ascii="宋体" w:hAnsi="宋体"/>
          <w:color w:val="000000" w:themeColor="text1"/>
          <w:sz w:val="28"/>
          <w:szCs w:val="28"/>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项目组织实施方案(可视情选用附件6、附件7)</w:t>
      </w:r>
      <w:r>
        <w:rPr>
          <w:rFonts w:ascii="宋体" w:hAnsi="宋体"/>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Theme="minorEastAsia" w:hAnsiTheme="minorEastAsia" w:eastAsiaTheme="minorEastAsia"/>
          <w:color w:val="000000" w:themeColor="text1"/>
          <w:kern w:val="0"/>
          <w:sz w:val="28"/>
          <w:szCs w:val="28"/>
          <w14:textFill>
            <w14:solidFill>
              <w14:schemeClr w14:val="tx1"/>
            </w14:solidFill>
          </w14:textFill>
        </w:rPr>
        <w:t>安装、调试及验收方案</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投标产品描述及相关资料（</w:t>
      </w:r>
      <w:r>
        <w:rPr>
          <w:rFonts w:hint="eastAsia" w:ascii="宋体" w:hAnsi="宋体" w:cs="宋体"/>
          <w:color w:val="000000" w:themeColor="text1"/>
          <w:sz w:val="28"/>
          <w:szCs w:val="28"/>
          <w14:textFill>
            <w14:solidFill>
              <w14:schemeClr w14:val="tx1"/>
            </w14:solidFill>
          </w14:textFill>
        </w:rPr>
        <w:t>可视情选用附件8、附件9</w:t>
      </w:r>
      <w:r>
        <w:rPr>
          <w:rFonts w:hint="eastAsia" w:ascii="宋体" w:hAnsi="宋体"/>
          <w:color w:val="000000" w:themeColor="text1"/>
          <w:kern w:val="0"/>
          <w:sz w:val="28"/>
          <w:szCs w:val="28"/>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14:textFill>
            <w14:solidFill>
              <w14:schemeClr w14:val="tx1"/>
            </w14:solidFill>
          </w14:textFill>
        </w:rPr>
        <w:t>需要说明的其他</w:t>
      </w:r>
      <w:r>
        <w:rPr>
          <w:rFonts w:hint="eastAsia" w:ascii="宋体" w:hAnsi="宋体"/>
          <w:color w:val="000000" w:themeColor="text1"/>
          <w:sz w:val="28"/>
          <w:szCs w:val="28"/>
          <w14:textFill>
            <w14:solidFill>
              <w14:schemeClr w14:val="tx1"/>
            </w14:solidFill>
          </w14:textFill>
        </w:rPr>
        <w:t>内容</w:t>
      </w:r>
      <w:r>
        <w:rPr>
          <w:rFonts w:hint="eastAsia"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3、售后服务描述及承诺（可视情选用附件12，附件13）；</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1、主要货物用材响应表(类似家具类货物采用，附件14)</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（以上内容具体描述详见“第三部分投标人须知”中“三、投标文件”的组成说明）</w:t>
      </w:r>
    </w:p>
    <w:p>
      <w:pPr>
        <w:pStyle w:val="34"/>
        <w:shd w:val="clear" w:color="auto" w:fill="FFFFFF"/>
        <w:spacing w:before="0" w:beforeAutospacing="0" w:after="0" w:afterAutospacing="0" w:line="360" w:lineRule="auto"/>
        <w:rPr>
          <w:b/>
          <w:color w:val="000000" w:themeColor="text1"/>
          <w:sz w:val="28"/>
          <w14:textFill>
            <w14:solidFill>
              <w14:schemeClr w14:val="tx1"/>
            </w14:solidFill>
          </w14:textFill>
        </w:rPr>
      </w:pPr>
    </w:p>
    <w:p>
      <w:pPr>
        <w:pStyle w:val="34"/>
        <w:shd w:val="clear" w:color="auto" w:fill="FFFFFF"/>
        <w:spacing w:before="0" w:beforeAutospacing="0" w:after="0" w:afterAutospacing="0" w:line="360" w:lineRule="auto"/>
        <w:rPr>
          <w:b/>
          <w:color w:val="000000" w:themeColor="text1"/>
          <w:sz w:val="28"/>
          <w14:textFill>
            <w14:solidFill>
              <w14:schemeClr w14:val="tx1"/>
            </w14:solidFill>
          </w14:textFill>
        </w:rPr>
      </w:pPr>
    </w:p>
    <w:p>
      <w:pPr>
        <w:pStyle w:val="34"/>
        <w:shd w:val="clear" w:color="auto" w:fill="FFFFFF"/>
        <w:spacing w:before="0" w:beforeAutospacing="0" w:after="0" w:afterAutospacing="0" w:line="360" w:lineRule="auto"/>
        <w:rPr>
          <w:b/>
          <w:color w:val="000000" w:themeColor="text1"/>
          <w:sz w:val="28"/>
          <w14:textFill>
            <w14:solidFill>
              <w14:schemeClr w14:val="tx1"/>
            </w14:solidFill>
          </w14:textFill>
        </w:rPr>
      </w:pPr>
    </w:p>
    <w:p>
      <w:pPr>
        <w:pStyle w:val="34"/>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pPr>
        <w:pStyle w:val="34"/>
        <w:shd w:val="clear" w:color="auto" w:fill="FFFFFF"/>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r>
        <w:rPr>
          <w:rFonts w:hint="eastAsia"/>
          <w:b/>
          <w:color w:val="000000" w:themeColor="text1"/>
          <w:sz w:val="32"/>
          <w:szCs w:val="32"/>
          <w14:textFill>
            <w14:solidFill>
              <w14:schemeClr w14:val="tx1"/>
            </w14:solidFill>
          </w14:textFill>
        </w:rPr>
        <w:t xml:space="preserve">  投标</w:t>
      </w:r>
      <w:r>
        <w:rPr>
          <w:rFonts w:hint="eastAsia"/>
          <w:b/>
          <w:bCs/>
          <w:color w:val="000000" w:themeColor="text1"/>
          <w:spacing w:val="21"/>
          <w:sz w:val="32"/>
          <w:szCs w:val="32"/>
          <w14:textFill>
            <w14:solidFill>
              <w14:schemeClr w14:val="tx1"/>
            </w14:solidFill>
          </w14:textFill>
        </w:rPr>
        <w:t>人基本</w:t>
      </w:r>
      <w:r>
        <w:rPr>
          <w:rFonts w:hint="eastAsia"/>
          <w:b/>
          <w:bCs/>
          <w:color w:val="000000" w:themeColor="text1"/>
          <w:spacing w:val="21"/>
          <w:sz w:val="32"/>
          <w:szCs w:val="32"/>
          <w14:textFill>
            <w14:solidFill>
              <w14:schemeClr w14:val="tx1"/>
            </w14:solidFill>
          </w14:textFill>
        </w:rPr>
        <w:t>情况表</w:t>
      </w:r>
    </w:p>
    <w:tbl>
      <w:tblPr>
        <w:tblStyle w:val="23"/>
        <w:tblW w:w="8954"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3" w:type="dxa"/>
          </w:tcPr>
          <w:p>
            <w:pPr>
              <w:pStyle w:val="34"/>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34"/>
              <w:shd w:val="clear" w:color="auto" w:fill="FFFFFF"/>
              <w:spacing w:line="360" w:lineRule="auto"/>
              <w:rPr>
                <w:bCs/>
                <w:color w:val="000000" w:themeColor="text1"/>
                <w14:textFill>
                  <w14:solidFill>
                    <w14:schemeClr w14:val="tx1"/>
                  </w14:solidFill>
                </w14:textFill>
              </w:rPr>
            </w:pPr>
          </w:p>
        </w:tc>
        <w:tc>
          <w:tcPr>
            <w:tcW w:w="2001" w:type="dxa"/>
            <w:gridSpan w:val="3"/>
          </w:tcPr>
          <w:p>
            <w:pPr>
              <w:pStyle w:val="34"/>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34"/>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23" w:type="dxa"/>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34"/>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34"/>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3" w:type="dxa"/>
            <w:tcBorders>
              <w:bottom w:val="single" w:color="auto" w:sz="4" w:space="0"/>
            </w:tcBorders>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34"/>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4"/>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4"/>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34"/>
              <w:shd w:val="clear" w:color="auto" w:fill="FFFFFF"/>
              <w:spacing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23" w:type="dxa"/>
            <w:vMerge w:val="restart"/>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34"/>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4"/>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34"/>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34"/>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23" w:type="dxa"/>
            <w:vMerge w:val="continue"/>
            <w:tcBorders>
              <w:bottom w:val="single" w:color="auto" w:sz="4" w:space="0"/>
            </w:tcBorders>
          </w:tcPr>
          <w:p>
            <w:pPr>
              <w:pStyle w:val="34"/>
              <w:shd w:val="clear" w:color="auto" w:fill="FFFFFF"/>
              <w:spacing w:line="360"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34"/>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34"/>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Pr>
          <w:p>
            <w:pPr>
              <w:pStyle w:val="34"/>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Pr>
          <w:p>
            <w:pPr>
              <w:pStyle w:val="34"/>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23" w:type="dxa"/>
            <w:vMerge w:val="restart"/>
          </w:tcPr>
          <w:p>
            <w:pPr>
              <w:pStyle w:val="34"/>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34"/>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34"/>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34"/>
              <w:shd w:val="clear" w:color="auto" w:fill="FFFFFF"/>
              <w:spacing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34"/>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nil"/>
            </w:tcBorders>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nil"/>
            </w:tcBorders>
          </w:tcPr>
          <w:p>
            <w:pPr>
              <w:pStyle w:val="34"/>
              <w:shd w:val="clear" w:color="auto" w:fill="FFFFFF"/>
              <w:spacing w:line="360" w:lineRule="auto"/>
              <w:rPr>
                <w:bCs/>
                <w:color w:val="000000" w:themeColor="text1"/>
                <w:spacing w:val="16"/>
                <w14:textFill>
                  <w14:solidFill>
                    <w14:schemeClr w14:val="tx1"/>
                  </w14:solidFill>
                </w14:textFill>
              </w:rPr>
            </w:pPr>
          </w:p>
        </w:tc>
        <w:tc>
          <w:tcPr>
            <w:tcW w:w="1163" w:type="dxa"/>
            <w:tcBorders>
              <w:top w:val="nil"/>
            </w:tcBorders>
          </w:tcPr>
          <w:p>
            <w:pPr>
              <w:pStyle w:val="34"/>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4"/>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4"/>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823" w:type="dxa"/>
            <w:vMerge w:val="continue"/>
          </w:tcPr>
          <w:p>
            <w:pPr>
              <w:pStyle w:val="34"/>
              <w:shd w:val="clear" w:color="auto" w:fill="FFFFFF"/>
              <w:spacing w:line="360" w:lineRule="auto"/>
              <w:ind w:left="107"/>
              <w:rPr>
                <w:bCs/>
                <w:color w:val="000000" w:themeColor="text1"/>
                <w14:textFill>
                  <w14:solidFill>
                    <w14:schemeClr w14:val="tx1"/>
                  </w14:solidFill>
                </w14:textFill>
              </w:rPr>
            </w:pPr>
          </w:p>
        </w:tc>
        <w:tc>
          <w:tcPr>
            <w:tcW w:w="701" w:type="dxa"/>
          </w:tcPr>
          <w:p>
            <w:pPr>
              <w:pStyle w:val="34"/>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34"/>
              <w:shd w:val="clear" w:color="auto" w:fill="FFFFFF"/>
              <w:spacing w:line="360" w:lineRule="auto"/>
              <w:rPr>
                <w:bCs/>
                <w:color w:val="000000" w:themeColor="text1"/>
                <w14:textFill>
                  <w14:solidFill>
                    <w14:schemeClr w14:val="tx1"/>
                  </w14:solidFill>
                </w14:textFill>
              </w:rPr>
            </w:pPr>
          </w:p>
        </w:tc>
        <w:tc>
          <w:tcPr>
            <w:tcW w:w="1163" w:type="dxa"/>
          </w:tcPr>
          <w:p>
            <w:pPr>
              <w:pStyle w:val="34"/>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34"/>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平方米 </w:t>
            </w:r>
          </w:p>
          <w:p>
            <w:pPr>
              <w:pStyle w:val="34"/>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34"/>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34"/>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23" w:type="dxa"/>
            <w:vMerge w:val="continue"/>
          </w:tcPr>
          <w:p>
            <w:pPr>
              <w:pStyle w:val="34"/>
              <w:shd w:val="clear" w:color="auto" w:fill="FFFFFF"/>
              <w:spacing w:line="360" w:lineRule="auto"/>
              <w:ind w:left="107"/>
              <w:rPr>
                <w:bCs/>
                <w:color w:val="000000" w:themeColor="text1"/>
                <w14:textFill>
                  <w14:solidFill>
                    <w14:schemeClr w14:val="tx1"/>
                  </w14:solidFill>
                </w14:textFill>
              </w:rPr>
            </w:pPr>
          </w:p>
        </w:tc>
        <w:tc>
          <w:tcPr>
            <w:tcW w:w="701" w:type="dxa"/>
          </w:tcPr>
          <w:p>
            <w:pPr>
              <w:pStyle w:val="34"/>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34"/>
              <w:shd w:val="clear" w:color="auto" w:fill="FFFFFF"/>
              <w:spacing w:line="360" w:lineRule="auto"/>
              <w:ind w:left="2"/>
              <w:rPr>
                <w:bCs/>
                <w:color w:val="000000" w:themeColor="text1"/>
                <w14:textFill>
                  <w14:solidFill>
                    <w14:schemeClr w14:val="tx1"/>
                  </w14:solidFill>
                </w14:textFill>
              </w:rPr>
            </w:pPr>
          </w:p>
        </w:tc>
        <w:tc>
          <w:tcPr>
            <w:tcW w:w="1163" w:type="dxa"/>
          </w:tcPr>
          <w:p>
            <w:pPr>
              <w:pStyle w:val="34"/>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14:textFill>
                  <w14:solidFill>
                    <w14:schemeClr w14:val="tx1"/>
                  </w14:solidFill>
                </w14:textFill>
              </w:rPr>
            </w:pPr>
          </w:p>
          <w:p>
            <w:pPr>
              <w:pStyle w:val="34"/>
              <w:shd w:val="clear" w:color="auto" w:fill="FFFFFF"/>
              <w:spacing w:line="360" w:lineRule="auto"/>
              <w:ind w:left="107"/>
              <w:rPr>
                <w:bCs/>
                <w:color w:val="000000" w:themeColor="text1"/>
                <w14:textFill>
                  <w14:solidFill>
                    <w14:schemeClr w14:val="tx1"/>
                  </w14:solidFill>
                </w14:textFill>
              </w:rPr>
            </w:pPr>
          </w:p>
        </w:tc>
        <w:tc>
          <w:tcPr>
            <w:tcW w:w="1218" w:type="dxa"/>
          </w:tcPr>
          <w:p>
            <w:pPr>
              <w:pStyle w:val="34"/>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34"/>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23" w:type="dxa"/>
            <w:vMerge w:val="continue"/>
          </w:tcPr>
          <w:p>
            <w:pPr>
              <w:pStyle w:val="34"/>
              <w:shd w:val="clear" w:color="auto" w:fill="FFFFFF"/>
              <w:spacing w:line="360" w:lineRule="auto"/>
              <w:ind w:left="107"/>
              <w:rPr>
                <w:bCs/>
                <w:color w:val="000000" w:themeColor="text1"/>
                <w14:textFill>
                  <w14:solidFill>
                    <w14:schemeClr w14:val="tx1"/>
                  </w14:solidFill>
                </w14:textFill>
              </w:rPr>
            </w:pPr>
          </w:p>
        </w:tc>
        <w:tc>
          <w:tcPr>
            <w:tcW w:w="701" w:type="dxa"/>
          </w:tcPr>
          <w:p>
            <w:pPr>
              <w:pStyle w:val="34"/>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34"/>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23" w:type="dxa"/>
            <w:vMerge w:val="continue"/>
          </w:tcPr>
          <w:p>
            <w:pPr>
              <w:pStyle w:val="34"/>
              <w:shd w:val="clear" w:color="auto" w:fill="FFFFFF"/>
              <w:spacing w:line="360" w:lineRule="auto"/>
              <w:ind w:left="107"/>
              <w:rPr>
                <w:bCs/>
                <w:color w:val="000000" w:themeColor="text1"/>
                <w14:textFill>
                  <w14:solidFill>
                    <w14:schemeClr w14:val="tx1"/>
                  </w14:solidFill>
                </w14:textFill>
              </w:rPr>
            </w:pPr>
          </w:p>
        </w:tc>
        <w:tc>
          <w:tcPr>
            <w:tcW w:w="8131" w:type="dxa"/>
            <w:gridSpan w:val="11"/>
          </w:tcPr>
          <w:p>
            <w:pPr>
              <w:pStyle w:val="34"/>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3" w:type="dxa"/>
            <w:vMerge w:val="restart"/>
          </w:tcPr>
          <w:p>
            <w:pPr>
              <w:pStyle w:val="34"/>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34"/>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34"/>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34"/>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34"/>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34"/>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34"/>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34"/>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23" w:type="dxa"/>
            <w:vMerge w:val="continue"/>
          </w:tcPr>
          <w:p>
            <w:pPr>
              <w:pStyle w:val="34"/>
              <w:shd w:val="clear" w:color="auto" w:fill="FFFFFF"/>
              <w:spacing w:line="360" w:lineRule="auto"/>
              <w:ind w:left="107"/>
              <w:rPr>
                <w:bCs/>
                <w:color w:val="000000" w:themeColor="text1"/>
                <w14:textFill>
                  <w14:solidFill>
                    <w14:schemeClr w14:val="tx1"/>
                  </w14:solidFill>
                </w14:textFill>
              </w:rPr>
            </w:pPr>
          </w:p>
        </w:tc>
        <w:tc>
          <w:tcPr>
            <w:tcW w:w="1553" w:type="dxa"/>
            <w:gridSpan w:val="2"/>
            <w:vMerge w:val="continue"/>
          </w:tcPr>
          <w:p>
            <w:pPr>
              <w:pStyle w:val="34"/>
              <w:shd w:val="clear" w:color="auto" w:fill="FFFFFF"/>
              <w:spacing w:line="360" w:lineRule="auto"/>
              <w:rPr>
                <w:bCs/>
                <w:color w:val="000000" w:themeColor="text1"/>
                <w14:textFill>
                  <w14:solidFill>
                    <w14:schemeClr w14:val="tx1"/>
                  </w14:solidFill>
                </w14:textFill>
              </w:rPr>
            </w:pPr>
          </w:p>
        </w:tc>
        <w:tc>
          <w:tcPr>
            <w:tcW w:w="1333" w:type="dxa"/>
            <w:gridSpan w:val="3"/>
          </w:tcPr>
          <w:p>
            <w:pPr>
              <w:pStyle w:val="34"/>
              <w:shd w:val="clear" w:color="auto" w:fill="FFFFFF"/>
              <w:spacing w:line="360" w:lineRule="auto"/>
              <w:rPr>
                <w:bCs/>
                <w:color w:val="000000" w:themeColor="text1"/>
                <w14:textFill>
                  <w14:solidFill>
                    <w14:schemeClr w14:val="tx1"/>
                  </w14:solidFill>
                </w14:textFill>
              </w:rPr>
            </w:pPr>
          </w:p>
        </w:tc>
        <w:tc>
          <w:tcPr>
            <w:tcW w:w="1418" w:type="dxa"/>
            <w:gridSpan w:val="2"/>
          </w:tcPr>
          <w:p>
            <w:pPr>
              <w:pStyle w:val="34"/>
              <w:shd w:val="clear" w:color="auto" w:fill="FFFFFF"/>
              <w:spacing w:line="360" w:lineRule="auto"/>
              <w:rPr>
                <w:bCs/>
                <w:color w:val="000000" w:themeColor="text1"/>
                <w14:textFill>
                  <w14:solidFill>
                    <w14:schemeClr w14:val="tx1"/>
                  </w14:solidFill>
                </w14:textFill>
              </w:rPr>
            </w:pPr>
          </w:p>
        </w:tc>
        <w:tc>
          <w:tcPr>
            <w:tcW w:w="1276" w:type="dxa"/>
          </w:tcPr>
          <w:p>
            <w:pPr>
              <w:pStyle w:val="34"/>
              <w:shd w:val="clear" w:color="auto" w:fill="FFFFFF"/>
              <w:spacing w:line="360" w:lineRule="auto"/>
              <w:rPr>
                <w:bCs/>
                <w:color w:val="000000" w:themeColor="text1"/>
                <w14:textFill>
                  <w14:solidFill>
                    <w14:schemeClr w14:val="tx1"/>
                  </w14:solidFill>
                </w14:textFill>
              </w:rPr>
            </w:pPr>
          </w:p>
        </w:tc>
        <w:tc>
          <w:tcPr>
            <w:tcW w:w="2551" w:type="dxa"/>
            <w:gridSpan w:val="3"/>
          </w:tcPr>
          <w:p>
            <w:pPr>
              <w:pStyle w:val="34"/>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23" w:type="dxa"/>
            <w:vMerge w:val="continue"/>
          </w:tcPr>
          <w:p>
            <w:pPr>
              <w:pStyle w:val="34"/>
              <w:shd w:val="clear" w:color="auto" w:fill="FFFFFF"/>
              <w:spacing w:line="360" w:lineRule="auto"/>
              <w:ind w:left="107"/>
              <w:rPr>
                <w:bCs/>
                <w:color w:val="000000" w:themeColor="text1"/>
                <w:spacing w:val="16"/>
                <w14:textFill>
                  <w14:solidFill>
                    <w14:schemeClr w14:val="tx1"/>
                  </w14:solidFill>
                </w14:textFill>
              </w:rPr>
            </w:pPr>
          </w:p>
        </w:tc>
        <w:tc>
          <w:tcPr>
            <w:tcW w:w="1553" w:type="dxa"/>
            <w:gridSpan w:val="2"/>
          </w:tcPr>
          <w:p>
            <w:pPr>
              <w:pStyle w:val="34"/>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34"/>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23" w:type="dxa"/>
            <w:vMerge w:val="continue"/>
          </w:tcPr>
          <w:p>
            <w:pPr>
              <w:pStyle w:val="34"/>
              <w:shd w:val="clear" w:color="auto" w:fill="FFFFFF"/>
              <w:spacing w:line="360" w:lineRule="auto"/>
              <w:ind w:left="107"/>
              <w:rPr>
                <w:bCs/>
                <w:color w:val="000000" w:themeColor="text1"/>
                <w:spacing w:val="27"/>
                <w14:textFill>
                  <w14:solidFill>
                    <w14:schemeClr w14:val="tx1"/>
                  </w14:solidFill>
                </w14:textFill>
              </w:rPr>
            </w:pPr>
          </w:p>
        </w:tc>
        <w:tc>
          <w:tcPr>
            <w:tcW w:w="1553" w:type="dxa"/>
            <w:gridSpan w:val="2"/>
          </w:tcPr>
          <w:p>
            <w:pPr>
              <w:pStyle w:val="34"/>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34"/>
              <w:shd w:val="clear" w:color="auto" w:fill="FFFFFF"/>
              <w:spacing w:line="360" w:lineRule="auto"/>
              <w:rPr>
                <w:bCs/>
                <w:color w:val="000000" w:themeColor="text1"/>
                <w:spacing w:val="16"/>
                <w14:textFill>
                  <w14:solidFill>
                    <w14:schemeClr w14:val="tx1"/>
                  </w14:solidFill>
                </w14:textFill>
              </w:rPr>
            </w:pPr>
          </w:p>
        </w:tc>
      </w:tr>
    </w:tbl>
    <w:p>
      <w:pPr>
        <w:pStyle w:val="34"/>
        <w:shd w:val="clear" w:color="auto" w:fill="FFFFFF"/>
        <w:spacing w:before="0" w:beforeAutospacing="0" w:after="0" w:afterAutospacing="0" w:line="360" w:lineRule="auto"/>
        <w:rPr>
          <w:rFonts w:ascii="仿宋_GB2312" w:eastAsia="仿宋_GB2312"/>
          <w:color w:val="000000" w:themeColor="text1"/>
          <w14:textFill>
            <w14:solidFill>
              <w14:schemeClr w14:val="tx1"/>
            </w14:solidFill>
          </w14:textFill>
        </w:rPr>
      </w:pPr>
    </w:p>
    <w:p>
      <w:pPr>
        <w:pStyle w:val="34"/>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34"/>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34"/>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14:textFill>
            <w14:solidFill>
              <w14:schemeClr w14:val="tx1"/>
            </w14:solidFill>
          </w14:textFill>
        </w:rPr>
        <w:t>：</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r>
        <w:rPr>
          <w:rFonts w:hint="eastAsia" w:ascii="宋体" w:hAnsi="宋体"/>
          <w:b/>
          <w:color w:val="000000" w:themeColor="text1"/>
          <w:sz w:val="32"/>
          <w:szCs w:val="32"/>
          <w14:textFill>
            <w14:solidFill>
              <w14:schemeClr w14:val="tx1"/>
            </w14:solidFill>
          </w14:textFill>
        </w:rPr>
        <w:t>（第 标）</w:t>
      </w:r>
    </w:p>
    <w:p>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color w:val="000000" w:themeColor="text1"/>
                <w:sz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35"/>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35"/>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r>
        <w:rPr>
          <w:rFonts w:hint="eastAsia" w:ascii="宋体" w:hAnsi="宋体"/>
          <w:b/>
          <w:color w:val="000000" w:themeColor="text1"/>
          <w:sz w:val="32"/>
          <w:szCs w:val="32"/>
          <w14:textFill>
            <w14:solidFill>
              <w14:schemeClr w14:val="tx1"/>
            </w14:solidFill>
          </w14:textFill>
        </w:rPr>
        <w:t xml:space="preserve"> (第 标)</w:t>
      </w:r>
    </w:p>
    <w:p>
      <w:pPr>
        <w:spacing w:line="360" w:lineRule="auto"/>
        <w:ind w:left="480"/>
        <w:rPr>
          <w:rFonts w:ascii="宋体" w:hAnsi="宋体"/>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p>
    <w:p>
      <w:pPr>
        <w:spacing w:line="360" w:lineRule="auto"/>
        <w:ind w:left="420"/>
        <w:rPr>
          <w:rFonts w:ascii="宋体" w:hAnsi="宋体"/>
          <w:color w:val="000000" w:themeColor="text1"/>
          <w:sz w:val="24"/>
          <w14:textFill>
            <w14:solidFill>
              <w14:schemeClr w14:val="tx1"/>
            </w14:solidFill>
          </w14:textFil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spacing w:line="360" w:lineRule="auto"/>
        <w:ind w:left="480"/>
        <w:jc w:val="center"/>
        <w:rPr>
          <w:rFonts w:ascii="宋体" w:hAnsi="宋体"/>
          <w:b/>
          <w:color w:val="000000" w:themeColor="text1"/>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技术</w:t>
      </w:r>
      <w:r>
        <w:rPr>
          <w:rFonts w:hint="eastAsia" w:ascii="宋体" w:hAnsi="宋体"/>
          <w:color w:val="000000" w:themeColor="text1"/>
          <w:kern w:val="0"/>
          <w:sz w:val="32"/>
          <w:szCs w:val="32"/>
          <w14:textFill>
            <w14:solidFill>
              <w14:schemeClr w14:val="tx1"/>
            </w14:solidFill>
          </w14:textFill>
        </w:rPr>
        <w:t>需求</w:t>
      </w:r>
      <w:r>
        <w:rPr>
          <w:rFonts w:ascii="宋体" w:hAnsi="宋体"/>
          <w:color w:val="000000" w:themeColor="text1"/>
          <w:kern w:val="0"/>
          <w:sz w:val="32"/>
          <w:szCs w:val="32"/>
          <w14:textFill>
            <w14:solidFill>
              <w14:schemeClr w14:val="tx1"/>
            </w14:solidFill>
          </w14:textFill>
        </w:rPr>
        <w:t>响应表</w:t>
      </w:r>
      <w:r>
        <w:rPr>
          <w:rFonts w:hint="eastAsia" w:ascii="宋体" w:hAnsi="宋体"/>
          <w:b/>
          <w:color w:val="000000" w:themeColor="text1"/>
          <w:sz w:val="32"/>
          <w:szCs w:val="32"/>
          <w14:textFill>
            <w14:solidFill>
              <w14:schemeClr w14:val="tx1"/>
            </w14:solidFill>
          </w14:textFill>
        </w:rPr>
        <w:t>(第 标)</w:t>
      </w:r>
    </w:p>
    <w:p>
      <w:pPr>
        <w:spacing w:line="360" w:lineRule="auto"/>
        <w:rPr>
          <w:rFonts w:ascii="宋体" w:hAnsi="宋体"/>
          <w:color w:val="000000" w:themeColor="text1"/>
          <w:sz w:val="24"/>
          <w14:textFill>
            <w14:solidFill>
              <w14:schemeClr w14:val="tx1"/>
            </w14:solidFill>
          </w14:textFill>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bl>
    <w:p>
      <w:pPr>
        <w:pStyle w:val="36"/>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36"/>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36"/>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2.本表参照本招标文件第二部分“招标需求”内第二条“具体技术需求”填制，投标人应根据投标设备的性能指标、服务指标，对照招标文件要求在“偏离情况”栏注明“正偏离”、“负偏离”或“无偏离”。</w:t>
      </w:r>
    </w:p>
    <w:p>
      <w:pPr>
        <w:pStyle w:val="36"/>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37"/>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38"/>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38"/>
        <w:spacing w:line="360" w:lineRule="auto"/>
        <w:jc w:val="center"/>
        <w:rPr>
          <w:rFonts w:ascii="宋体" w:hAnsi="宋体" w:cs="Arial"/>
          <w:color w:val="000000" w:themeColor="text1"/>
          <w:sz w:val="28"/>
          <w:szCs w:val="28"/>
          <w14:textFill>
            <w14:solidFill>
              <w14:schemeClr w14:val="tx1"/>
            </w14:solidFill>
          </w14:textFill>
        </w:rPr>
      </w:pPr>
    </w:p>
    <w:tbl>
      <w:tblPr>
        <w:tblStyle w:val="23"/>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8"/>
              <w:spacing w:line="360" w:lineRule="auto"/>
              <w:jc w:val="center"/>
              <w:rPr>
                <w:rFonts w:ascii="宋体" w:hAnsi="宋体" w:cs="Arial"/>
                <w:color w:val="000000" w:themeColor="text1"/>
                <w:szCs w:val="21"/>
                <w14:textFill>
                  <w14:solidFill>
                    <w14:schemeClr w14:val="tx1"/>
                  </w14:solidFill>
                </w14:textFill>
              </w:rPr>
            </w:pPr>
          </w:p>
        </w:tc>
      </w:tr>
    </w:tbl>
    <w:p>
      <w:pPr>
        <w:pStyle w:val="38"/>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8"/>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8"/>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38"/>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8"/>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8"/>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8"/>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34"/>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pPr>
        <w:pStyle w:val="37"/>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投标人类似项目实施情况一览表</w:t>
      </w:r>
    </w:p>
    <w:p>
      <w:pPr>
        <w:pStyle w:val="37"/>
        <w:spacing w:line="360" w:lineRule="auto"/>
        <w:jc w:val="center"/>
        <w:rPr>
          <w:rFonts w:ascii="仿宋_GB2312" w:eastAsia="仿宋_GB2312"/>
          <w:b/>
          <w:color w:val="000000" w:themeColor="text1"/>
          <w:sz w:val="28"/>
          <w:szCs w:val="28"/>
          <w14:textFill>
            <w14:solidFill>
              <w14:schemeClr w14:val="tx1"/>
            </w14:solidFill>
          </w14:textFill>
        </w:rPr>
      </w:pPr>
    </w:p>
    <w:tbl>
      <w:tblPr>
        <w:tblStyle w:val="23"/>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复印件可只提供首页、含金额页、盖章页并加盖投标人</w:t>
      </w:r>
      <w:r>
        <w:rPr>
          <w:rFonts w:hint="eastAsia" w:ascii="宋体" w:hAnsi="宋体" w:cs="Arial"/>
          <w:color w:val="000000" w:themeColor="text1"/>
          <w:szCs w:val="21"/>
          <w:lang w:eastAsia="zh-CN"/>
          <w14:textFill>
            <w14:solidFill>
              <w14:schemeClr w14:val="tx1"/>
            </w14:solidFill>
          </w14:textFill>
        </w:rPr>
        <w:t>电子印章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38"/>
        <w:tabs>
          <w:tab w:val="left" w:pos="1050"/>
        </w:tabs>
        <w:spacing w:line="360" w:lineRule="auto"/>
        <w:rPr>
          <w:rFonts w:ascii="仿宋_GB2312" w:hAnsi="宋体" w:eastAsia="仿宋_GB2312"/>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资信及商务需求响应表(第 标)</w:t>
      </w:r>
    </w:p>
    <w:p>
      <w:pPr>
        <w:spacing w:line="360" w:lineRule="auto"/>
        <w:ind w:left="481" w:leftChars="229" w:firstLine="813" w:firstLineChars="450"/>
        <w:rPr>
          <w:rFonts w:ascii="宋体" w:hAnsi="宋体"/>
          <w:b/>
          <w:color w:val="000000" w:themeColor="text1"/>
          <w:sz w:val="18"/>
          <w:szCs w:val="18"/>
          <w14:textFill>
            <w14:solidFill>
              <w14:schemeClr w14:val="tx1"/>
            </w14:solidFill>
          </w14:textFill>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售后服务保障要求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备品备件及耗材等要求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交货和服务</w:t>
            </w:r>
          </w:p>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时间及地点</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r>
        <w:rPr>
          <w:rFonts w:ascii="宋体" w:hAnsi="宋体"/>
          <w:b/>
          <w:color w:val="000000" w:themeColor="text1"/>
          <w:sz w:val="28"/>
          <w14:textFill>
            <w14:solidFill>
              <w14:schemeClr w14:val="tx1"/>
            </w14:solidFill>
          </w14:textFill>
        </w:rPr>
        <w:tab/>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23"/>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9"/>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vAlign w:val="center"/>
          </w:tcPr>
          <w:p>
            <w:pPr>
              <w:pStyle w:val="39"/>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vAlign w:val="center"/>
          </w:tcPr>
          <w:p>
            <w:pPr>
              <w:pStyle w:val="39"/>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投标人情况</w:t>
            </w:r>
          </w:p>
        </w:tc>
        <w:tc>
          <w:tcPr>
            <w:tcW w:w="1373" w:type="dxa"/>
            <w:vAlign w:val="center"/>
          </w:tcPr>
          <w:p>
            <w:pPr>
              <w:pStyle w:val="39"/>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9"/>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55" w:type="dxa"/>
            <w:vMerge w:val="restart"/>
            <w:vAlign w:val="center"/>
          </w:tcPr>
          <w:p>
            <w:pPr>
              <w:pStyle w:val="39"/>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061" w:type="dxa"/>
          </w:tcPr>
          <w:p>
            <w:pPr>
              <w:pStyle w:val="39"/>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pPr>
              <w:pStyle w:val="39"/>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9"/>
              <w:widowControl/>
              <w:spacing w:line="360" w:lineRule="auto"/>
              <w:jc w:val="left"/>
              <w:rPr>
                <w:rFonts w:ascii="宋体" w:hAnsi="宋体" w:cs="Arial"/>
                <w:bCs/>
                <w:color w:val="000000" w:themeColor="text1"/>
                <w:sz w:val="24"/>
                <w14:textFill>
                  <w14:solidFill>
                    <w14:schemeClr w14:val="tx1"/>
                  </w14:solidFill>
                </w14:textFill>
              </w:rPr>
            </w:pPr>
          </w:p>
        </w:tc>
        <w:tc>
          <w:tcPr>
            <w:tcW w:w="2355" w:type="dxa"/>
            <w:vMerge w:val="continue"/>
            <w:vAlign w:val="center"/>
          </w:tcPr>
          <w:p>
            <w:pPr>
              <w:pStyle w:val="39"/>
              <w:widowControl/>
              <w:spacing w:line="360" w:lineRule="auto"/>
              <w:jc w:val="left"/>
              <w:rPr>
                <w:rFonts w:ascii="宋体" w:hAnsi="宋体" w:cs="Arial"/>
                <w:bCs/>
                <w:color w:val="000000" w:themeColor="text1"/>
                <w:sz w:val="24"/>
                <w14:textFill>
                  <w14:solidFill>
                    <w14:schemeClr w14:val="tx1"/>
                  </w14:solidFill>
                </w14:textFill>
              </w:rPr>
            </w:pPr>
          </w:p>
        </w:tc>
        <w:tc>
          <w:tcPr>
            <w:tcW w:w="4061" w:type="dxa"/>
          </w:tcPr>
          <w:p>
            <w:pPr>
              <w:pStyle w:val="39"/>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1373" w:type="dxa"/>
          </w:tcPr>
          <w:p>
            <w:pPr>
              <w:pStyle w:val="39"/>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9"/>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55" w:type="dxa"/>
            <w:vAlign w:val="center"/>
          </w:tcPr>
          <w:p>
            <w:pPr>
              <w:pStyle w:val="39"/>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39"/>
              <w:widowControl/>
              <w:spacing w:line="360" w:lineRule="auto"/>
              <w:jc w:val="left"/>
              <w:rPr>
                <w:rFonts w:ascii="宋体" w:hAnsi="宋体" w:cs="Arial"/>
                <w:bCs/>
                <w:color w:val="000000" w:themeColor="text1"/>
                <w:sz w:val="24"/>
                <w14:textFill>
                  <w14:solidFill>
                    <w14:schemeClr w14:val="tx1"/>
                  </w14:solidFill>
                </w14:textFill>
              </w:rPr>
            </w:pPr>
          </w:p>
          <w:p>
            <w:pPr>
              <w:pStyle w:val="39"/>
              <w:widowControl/>
              <w:spacing w:line="360" w:lineRule="auto"/>
              <w:jc w:val="left"/>
              <w:rPr>
                <w:rFonts w:ascii="宋体" w:hAnsi="宋体" w:cs="Arial"/>
                <w:bCs/>
                <w:color w:val="000000" w:themeColor="text1"/>
                <w:sz w:val="24"/>
                <w14:textFill>
                  <w14:solidFill>
                    <w14:schemeClr w14:val="tx1"/>
                  </w14:solidFill>
                </w14:textFill>
              </w:rPr>
            </w:pPr>
          </w:p>
          <w:p>
            <w:pPr>
              <w:pStyle w:val="39"/>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9"/>
              <w:widowControl/>
              <w:spacing w:line="360" w:lineRule="auto"/>
              <w:jc w:val="left"/>
              <w:rPr>
                <w:rFonts w:ascii="宋体" w:hAnsi="宋体" w:cs="Arial"/>
                <w:bCs/>
                <w:color w:val="000000" w:themeColor="text1"/>
                <w:sz w:val="24"/>
                <w14:textFill>
                  <w14:solidFill>
                    <w14:schemeClr w14:val="tx1"/>
                  </w14:solidFill>
                </w14:textFill>
              </w:rPr>
            </w:pPr>
          </w:p>
          <w:p>
            <w:pPr>
              <w:pStyle w:val="39"/>
              <w:widowControl/>
              <w:spacing w:line="360" w:lineRule="auto"/>
              <w:jc w:val="left"/>
              <w:rPr>
                <w:rFonts w:ascii="宋体" w:hAnsi="宋体" w:cs="Arial"/>
                <w:bCs/>
                <w:color w:val="000000" w:themeColor="text1"/>
                <w:sz w:val="24"/>
                <w14:textFill>
                  <w14:solidFill>
                    <w14:schemeClr w14:val="tx1"/>
                  </w14:solidFill>
                </w14:textFill>
              </w:rPr>
            </w:pPr>
          </w:p>
          <w:p>
            <w:pPr>
              <w:pStyle w:val="39"/>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9"/>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55" w:type="dxa"/>
            <w:vAlign w:val="center"/>
          </w:tcPr>
          <w:p>
            <w:pPr>
              <w:pStyle w:val="39"/>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39"/>
              <w:widowControl/>
              <w:spacing w:line="360" w:lineRule="auto"/>
              <w:jc w:val="left"/>
              <w:rPr>
                <w:rFonts w:ascii="宋体" w:hAnsi="宋体" w:cs="Arial"/>
                <w:bCs/>
                <w:i/>
                <w:color w:val="000000" w:themeColor="text1"/>
                <w:sz w:val="24"/>
                <w14:textFill>
                  <w14:solidFill>
                    <w14:schemeClr w14:val="tx1"/>
                  </w14:solidFill>
                </w14:textFill>
              </w:rPr>
            </w:pPr>
          </w:p>
          <w:p>
            <w:pPr>
              <w:pStyle w:val="39"/>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pPr>
              <w:pStyle w:val="39"/>
              <w:widowControl/>
              <w:spacing w:line="360" w:lineRule="auto"/>
              <w:jc w:val="left"/>
              <w:rPr>
                <w:rFonts w:ascii="宋体" w:hAnsi="宋体" w:cs="Arial"/>
                <w:bCs/>
                <w:i/>
                <w:color w:val="000000" w:themeColor="text1"/>
                <w:sz w:val="24"/>
                <w14:textFill>
                  <w14:solidFill>
                    <w14:schemeClr w14:val="tx1"/>
                  </w14:solidFill>
                </w14:textFill>
              </w:rPr>
            </w:pPr>
          </w:p>
          <w:p>
            <w:pPr>
              <w:pStyle w:val="39"/>
              <w:widowControl/>
              <w:spacing w:line="360" w:lineRule="auto"/>
              <w:jc w:val="left"/>
              <w:rPr>
                <w:rFonts w:ascii="宋体" w:hAnsi="宋体" w:cs="Arial"/>
                <w:bCs/>
                <w:i/>
                <w:color w:val="000000" w:themeColor="text1"/>
                <w:sz w:val="24"/>
                <w14:textFill>
                  <w14:solidFill>
                    <w14:schemeClr w14:val="tx1"/>
                  </w14:solidFill>
                </w14:textFill>
              </w:rPr>
            </w:pPr>
          </w:p>
          <w:p>
            <w:pPr>
              <w:pStyle w:val="39"/>
              <w:widowControl/>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9"/>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55" w:type="dxa"/>
            <w:vAlign w:val="center"/>
          </w:tcPr>
          <w:p>
            <w:pPr>
              <w:pStyle w:val="39"/>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061" w:type="dxa"/>
          </w:tcPr>
          <w:p>
            <w:pPr>
              <w:pStyle w:val="39"/>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pPr>
              <w:pStyle w:val="39"/>
              <w:widowControl/>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u w:val="single"/>
          <w14:textFill>
            <w14:solidFill>
              <w14:schemeClr w14:val="tx1"/>
            </w14:solidFill>
          </w14:textFill>
        </w:rPr>
      </w:pPr>
    </w:p>
    <w:p>
      <w:pPr>
        <w:pStyle w:val="11"/>
        <w:rPr>
          <w:rFonts w:ascii="宋体" w:hAnsi="宋体"/>
          <w:color w:val="000000" w:themeColor="text1"/>
          <w:sz w:val="24"/>
          <w:u w:val="single"/>
          <w14:textFill>
            <w14:solidFill>
              <w14:schemeClr w14:val="tx1"/>
            </w14:solidFill>
          </w14:textFill>
        </w:rPr>
      </w:pPr>
    </w:p>
    <w:p>
      <w:pPr>
        <w:pStyle w:val="11"/>
        <w:rPr>
          <w:rFonts w:ascii="宋体" w:hAnsi="宋体"/>
          <w:color w:val="000000" w:themeColor="text1"/>
          <w:sz w:val="24"/>
          <w:u w:val="single"/>
          <w14:textFill>
            <w14:solidFill>
              <w14:schemeClr w14:val="tx1"/>
            </w14:solidFill>
          </w14:textFill>
        </w:rPr>
      </w:pPr>
    </w:p>
    <w:p>
      <w:pPr>
        <w:pStyle w:val="11"/>
        <w:rPr>
          <w:rFonts w:ascii="宋体" w:hAnsi="宋体"/>
          <w:color w:val="000000" w:themeColor="text1"/>
          <w:sz w:val="24"/>
          <w:u w:val="single"/>
          <w14:textFill>
            <w14:solidFill>
              <w14:schemeClr w14:val="tx1"/>
            </w14:solidFill>
          </w14:textFill>
        </w:rPr>
      </w:pPr>
    </w:p>
    <w:p>
      <w:pPr>
        <w:pStyle w:val="11"/>
        <w:rPr>
          <w:rFonts w:ascii="宋体" w:hAnsi="宋体"/>
          <w:color w:val="000000" w:themeColor="text1"/>
          <w:sz w:val="24"/>
          <w:u w:val="single"/>
          <w14:textFill>
            <w14:solidFill>
              <w14:schemeClr w14:val="tx1"/>
            </w14:solidFill>
          </w14:textFill>
        </w:rPr>
      </w:pPr>
    </w:p>
    <w:p>
      <w:pPr>
        <w:pStyle w:val="40"/>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附件14</w:t>
      </w:r>
    </w:p>
    <w:p>
      <w:pPr>
        <w:pStyle w:val="40"/>
        <w:spacing w:line="360" w:lineRule="auto"/>
        <w:jc w:val="center"/>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14:textFill>
            <w14:solidFill>
              <w14:schemeClr w14:val="tx1"/>
            </w14:solidFill>
          </w14:textFill>
        </w:rPr>
        <w:t>主要货物用材响应表(类似家具类货物采用)</w:t>
      </w:r>
    </w:p>
    <w:tbl>
      <w:tblPr>
        <w:tblStyle w:val="23"/>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品牌</w:t>
            </w:r>
          </w:p>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9"/>
        <w:spacing w:line="360" w:lineRule="auto"/>
        <w:ind w:left="719" w:leftChars="228" w:hanging="240" w:hangingChars="100"/>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1.请列出以上</w:t>
      </w:r>
      <w:r>
        <w:rPr>
          <w:rFonts w:hint="eastAsia" w:ascii="仿宋_GB2312" w:hAnsi="宋体" w:eastAsia="仿宋_GB2312"/>
          <w:color w:val="000000" w:themeColor="text1"/>
          <w:sz w:val="24"/>
          <w14:textFill>
            <w14:solidFill>
              <w14:schemeClr w14:val="tx1"/>
            </w14:solidFill>
          </w14:textFill>
        </w:rPr>
        <w:t>产品的各项主要用材、辅料、油漆、五金件等。</w:t>
      </w:r>
    </w:p>
    <w:p>
      <w:pPr>
        <w:pStyle w:val="39"/>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color w:val="000000" w:themeColor="text1"/>
          <w:spacing w:val="40"/>
          <w:sz w:val="52"/>
          <w:szCs w:val="52"/>
          <w14:textFill>
            <w14:solidFill>
              <w14:schemeClr w14:val="tx1"/>
            </w14:solidFill>
          </w14:textFill>
        </w:rPr>
      </w:pPr>
      <w:r>
        <w:rPr>
          <w:rFonts w:hint="eastAsia" w:ascii="宋体" w:hAnsi="宋体"/>
          <w:b/>
          <w:color w:val="000000" w:themeColor="text1"/>
          <w:sz w:val="28"/>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项目编号：（标段）</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rPr>
          <w:rFonts w:ascii="宋体" w:hAnsi="宋体"/>
          <w:color w:val="000000" w:themeColor="text1"/>
          <w:sz w:val="36"/>
          <w:szCs w:val="36"/>
          <w14:textFill>
            <w14:solidFill>
              <w14:schemeClr w14:val="tx1"/>
            </w14:solidFill>
          </w14:textFill>
        </w:rPr>
      </w:pP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lang w:eastAsia="zh-CN"/>
          <w14:textFill>
            <w14:solidFill>
              <w14:schemeClr w14:val="tx1"/>
            </w14:solidFill>
          </w14:textFill>
        </w:rPr>
        <w:t>电子印章</w:t>
      </w:r>
      <w:r>
        <w:rPr>
          <w:rFonts w:hint="eastAsia" w:ascii="宋体" w:hAnsi="宋体"/>
          <w:color w:val="000000" w:themeColor="text1"/>
          <w:sz w:val="36"/>
          <w:szCs w:val="36"/>
          <w14:textFill>
            <w14:solidFill>
              <w14:schemeClr w14:val="tx1"/>
            </w14:solidFill>
          </w14:textFill>
        </w:rPr>
        <w:t>）：</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spacing w:line="360" w:lineRule="auto"/>
        <w:ind w:right="-108"/>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1、开标一览表（附件16）；</w:t>
      </w:r>
    </w:p>
    <w:p>
      <w:pPr>
        <w:pStyle w:val="15"/>
        <w:snapToGrid w:val="0"/>
        <w:spacing w:line="360" w:lineRule="auto"/>
        <w:ind w:left="0" w:left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2、报价明细表</w:t>
      </w:r>
      <w:r>
        <w:rPr>
          <w:rFonts w:hint="eastAsia" w:ascii="宋体" w:hAnsi="宋体"/>
          <w:color w:val="000000" w:themeColor="text1"/>
          <w:sz w:val="24"/>
          <w14:textFill>
            <w14:solidFill>
              <w14:schemeClr w14:val="tx1"/>
            </w14:solidFill>
          </w14:textFill>
        </w:rPr>
        <w:t>（附件17）</w:t>
      </w:r>
      <w:r>
        <w:rPr>
          <w:rFonts w:hint="eastAsia" w:ascii="宋体" w:hAnsi="宋体" w:eastAsia="宋体"/>
          <w:color w:val="000000" w:themeColor="text1"/>
          <w:sz w:val="24"/>
          <w:szCs w:val="24"/>
          <w14:textFill>
            <w14:solidFill>
              <w14:schemeClr w14:val="tx1"/>
            </w14:solidFill>
          </w14:textFill>
        </w:rPr>
        <w:t>；</w:t>
      </w:r>
    </w:p>
    <w:p>
      <w:pPr>
        <w:snapToGrid w:val="0"/>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针对报价投标人认为其他需要说明的；</w:t>
      </w:r>
    </w:p>
    <w:p>
      <w:pPr>
        <w:pStyle w:val="41"/>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小微企业</w:t>
      </w:r>
      <w:r>
        <w:rPr>
          <w:rFonts w:hint="eastAsia" w:hAnsi="宋体"/>
          <w:color w:val="000000" w:themeColor="text1"/>
          <w:sz w:val="24"/>
          <w14:textFill>
            <w14:solidFill>
              <w14:schemeClr w14:val="tx1"/>
            </w14:solidFill>
          </w14:textFill>
        </w:rPr>
        <w:t>等</w:t>
      </w:r>
      <w:r>
        <w:rPr>
          <w:rFonts w:hAnsi="宋体"/>
          <w:color w:val="000000" w:themeColor="text1"/>
          <w:sz w:val="24"/>
          <w14:textFill>
            <w14:solidFill>
              <w14:schemeClr w14:val="tx1"/>
            </w14:solidFill>
          </w14:textFill>
        </w:rPr>
        <w:t>声明函</w:t>
      </w:r>
      <w:r>
        <w:rPr>
          <w:rFonts w:hint="eastAsia" w:hAnsi="宋体"/>
          <w:color w:val="000000" w:themeColor="text1"/>
          <w:sz w:val="24"/>
          <w14:textFill>
            <w14:solidFill>
              <w14:schemeClr w14:val="tx1"/>
            </w14:solidFill>
          </w14:textFill>
        </w:rPr>
        <w:t>（附件18）；</w:t>
      </w:r>
    </w:p>
    <w:p>
      <w:pPr>
        <w:pStyle w:val="4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5、产品适用政府采购政策情况表</w:t>
      </w:r>
      <w:r>
        <w:rPr>
          <w:rFonts w:hint="eastAsia" w:ascii="宋体" w:hAnsi="宋体"/>
          <w:color w:val="000000" w:themeColor="text1"/>
          <w:sz w:val="24"/>
          <w14:textFill>
            <w14:solidFill>
              <w14:schemeClr w14:val="tx1"/>
            </w14:solidFill>
          </w14:textFill>
        </w:rPr>
        <w:t>（附件19）</w:t>
      </w:r>
      <w:r>
        <w:rPr>
          <w:rFonts w:hint="eastAsia" w:ascii="宋体" w:hAnsi="宋体"/>
          <w:color w:val="000000" w:themeColor="text1"/>
          <w:kern w:val="0"/>
          <w:sz w:val="24"/>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附件16</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开标一览表</w:t>
      </w:r>
      <w:r>
        <w:rPr>
          <w:rFonts w:hint="eastAsia" w:ascii="宋体" w:hAnsi="宋体"/>
          <w:b/>
          <w:color w:val="000000" w:themeColor="text1"/>
          <w:sz w:val="32"/>
          <w:szCs w:val="32"/>
          <w14:textFill>
            <w14:solidFill>
              <w14:schemeClr w14:val="tx1"/>
            </w14:solidFill>
          </w14:textFill>
        </w:rPr>
        <w:t xml:space="preserve"> (第 标)</w:t>
      </w:r>
    </w:p>
    <w:p>
      <w:pPr>
        <w:spacing w:line="360" w:lineRule="auto"/>
        <w:ind w:left="-2" w:hanging="2"/>
        <w:jc w:val="center"/>
        <w:rPr>
          <w:rFonts w:ascii="宋体" w:hAnsi="宋体"/>
          <w:b/>
          <w:color w:val="000000" w:themeColor="text1"/>
          <w:sz w:val="32"/>
          <w:szCs w:val="32"/>
          <w14:textFill>
            <w14:solidFill>
              <w14:schemeClr w14:val="tx1"/>
            </w14:solidFill>
          </w14:textFill>
        </w:rPr>
      </w:pPr>
    </w:p>
    <w:p>
      <w:pPr>
        <w:pStyle w:val="14"/>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43"/>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23"/>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11"/>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附件17</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r>
        <w:rPr>
          <w:rFonts w:hint="eastAsia" w:ascii="宋体" w:hAnsi="宋体"/>
          <w:b/>
          <w:color w:val="000000" w:themeColor="text1"/>
          <w:sz w:val="32"/>
          <w:szCs w:val="32"/>
          <w14:textFill>
            <w14:solidFill>
              <w14:schemeClr w14:val="tx1"/>
            </w14:solidFill>
          </w14:textFill>
        </w:rPr>
        <w:t xml:space="preserve"> (第 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1460"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c>
          <w:tcPr>
            <w:tcW w:w="851"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合计人民币：大写                               小写</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▲4. 本表中的型号规格必须明确，招标文件中明确要求定制的除外。</w:t>
      </w:r>
    </w:p>
    <w:p>
      <w:pPr>
        <w:spacing w:line="360" w:lineRule="auto"/>
        <w:rPr>
          <w:rFonts w:hint="eastAsia" w:ascii="宋体" w:hAnsi="宋体" w:cs="宋体"/>
          <w:color w:val="000000" w:themeColor="text1"/>
          <w:kern w:val="0"/>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156" w:beforeLines="50" w:after="50" w:line="360" w:lineRule="auto"/>
        <w:rPr>
          <w:rFonts w:ascii="仿宋_GB2312" w:hAnsi="宋体" w:eastAsia="仿宋_GB2312"/>
          <w:bCs/>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附件18</w:t>
      </w: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小</w:t>
      </w:r>
      <w:r>
        <w:rPr>
          <w:rFonts w:hint="eastAsia" w:ascii="宋体" w:hAnsi="宋体"/>
          <w:b/>
          <w:color w:val="000000" w:themeColor="text1"/>
          <w:sz w:val="32"/>
          <w:szCs w:val="32"/>
          <w:lang w:val="en-GB"/>
          <w14:textFill>
            <w14:solidFill>
              <w14:schemeClr w14:val="tx1"/>
            </w14:solidFill>
          </w14:textFill>
        </w:rPr>
        <w:t>微</w:t>
      </w:r>
      <w:r>
        <w:rPr>
          <w:rFonts w:hint="eastAsia" w:ascii="宋体" w:hAnsi="宋体"/>
          <w:b/>
          <w:color w:val="000000" w:themeColor="text1"/>
          <w:sz w:val="32"/>
          <w:szCs w:val="32"/>
          <w14:textFill>
            <w14:solidFill>
              <w14:schemeClr w14:val="tx1"/>
            </w14:solidFill>
          </w14:textFill>
        </w:rPr>
        <w:t>企业声明函</w:t>
      </w:r>
    </w:p>
    <w:p>
      <w:pPr>
        <w:pStyle w:val="44"/>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4"/>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u w:val="dash"/>
          <w14:textFill>
            <w14:solidFill>
              <w14:schemeClr w14:val="tx1"/>
            </w14:solidFill>
          </w14:textFill>
        </w:rPr>
        <w:t>（此处填写从业人员和营业收入的具体数据）</w:t>
      </w:r>
      <w:r>
        <w:rPr>
          <w:rFonts w:hint="eastAsia" w:ascii="宋体" w:hAnsi="宋体"/>
          <w:color w:val="000000" w:themeColor="text1"/>
          <w:spacing w:val="6"/>
          <w:sz w:val="24"/>
          <w14:textFill>
            <w14:solidFill>
              <w14:schemeClr w14:val="tx1"/>
            </w14:solidFill>
          </w14:textFill>
        </w:rPr>
        <w:t>，为______（请填写：小型、微型）企业。</w:t>
      </w:r>
    </w:p>
    <w:p>
      <w:pPr>
        <w:pStyle w:val="44"/>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2.本公司参加</w:t>
      </w:r>
      <w:r>
        <w:rPr>
          <w:rFonts w:hint="eastAsia" w:ascii="宋体" w:hAnsi="宋体"/>
          <w:color w:val="000000" w:themeColor="text1"/>
          <w:sz w:val="24"/>
          <w14:textFill>
            <w14:solidFill>
              <w14:schemeClr w14:val="tx1"/>
            </w14:solidFill>
          </w14:textFill>
        </w:rPr>
        <w:t>×××政府采购中心组织</w:t>
      </w:r>
      <w:r>
        <w:rPr>
          <w:rFonts w:hint="eastAsia" w:ascii="宋体" w:hAnsi="宋体"/>
          <w:color w:val="000000" w:themeColor="text1"/>
          <w:spacing w:val="6"/>
          <w:sz w:val="24"/>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4"/>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p>
    <w:p>
      <w:pPr>
        <w:pStyle w:val="44"/>
        <w:spacing w:line="360" w:lineRule="auto"/>
        <w:ind w:firstLine="504" w:firstLineChars="200"/>
        <w:rPr>
          <w:rFonts w:ascii="宋体" w:hAnsi="宋体"/>
          <w:color w:val="000000" w:themeColor="text1"/>
          <w:spacing w:val="6"/>
          <w:sz w:val="24"/>
          <w14:textFill>
            <w14:solidFill>
              <w14:schemeClr w14:val="tx1"/>
            </w14:solidFill>
          </w14:textFill>
        </w:rPr>
      </w:pPr>
    </w:p>
    <w:p>
      <w:pPr>
        <w:pStyle w:val="44"/>
        <w:spacing w:line="360" w:lineRule="auto"/>
        <w:ind w:left="4253" w:leftChars="20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人（单位</w:t>
      </w:r>
      <w:r>
        <w:rPr>
          <w:rFonts w:hint="eastAsia" w:ascii="宋体" w:hAnsi="宋体"/>
          <w:color w:val="000000" w:themeColor="text1"/>
          <w:sz w:val="24"/>
          <w:lang w:eastAsia="zh-CN"/>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p>
    <w:p>
      <w:pPr>
        <w:pStyle w:val="44"/>
        <w:spacing w:line="360" w:lineRule="auto"/>
        <w:ind w:left="4253" w:leftChars="2025" w:right="360"/>
        <w:jc w:val="right"/>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年</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pStyle w:val="44"/>
        <w:spacing w:line="360" w:lineRule="auto"/>
        <w:rPr>
          <w:rFonts w:ascii="宋体" w:hAnsi="宋体"/>
          <w:color w:val="000000" w:themeColor="text1"/>
          <w:sz w:val="24"/>
          <w14:textFill>
            <w14:solidFill>
              <w14:schemeClr w14:val="tx1"/>
            </w14:solidFill>
          </w14:textFill>
        </w:rPr>
      </w:pPr>
    </w:p>
    <w:p>
      <w:pPr>
        <w:pStyle w:val="44"/>
        <w:spacing w:line="360" w:lineRule="auto"/>
        <w:jc w:val="center"/>
        <w:rPr>
          <w:rFonts w:ascii="宋体" w:hAnsi="宋体"/>
          <w:b/>
          <w:color w:val="000000" w:themeColor="text1"/>
          <w:spacing w:val="6"/>
          <w:sz w:val="32"/>
          <w:szCs w:val="32"/>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小微企业声明函（制造商）</w:t>
      </w:r>
    </w:p>
    <w:p>
      <w:pPr>
        <w:pStyle w:val="44"/>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4"/>
        <w:spacing w:line="360" w:lineRule="auto"/>
        <w:ind w:firstLine="504" w:firstLineChars="200"/>
        <w:rPr>
          <w:rFonts w:hint="default" w:ascii="宋体" w:hAnsi="宋体" w:eastAsia="宋体"/>
          <w:color w:val="000000" w:themeColor="text1"/>
          <w:spacing w:val="6"/>
          <w:sz w:val="24"/>
          <w:lang w:val="en-US" w:eastAsia="zh-CN"/>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r>
        <w:rPr>
          <w:rFonts w:hint="eastAsia" w:ascii="宋体" w:hAnsi="宋体"/>
          <w:color w:val="000000" w:themeColor="text1"/>
          <w:spacing w:val="6"/>
          <w:sz w:val="24"/>
          <w:lang w:val="en-US" w:eastAsia="zh-CN"/>
          <w14:textFill>
            <w14:solidFill>
              <w14:schemeClr w14:val="tx1"/>
            </w14:solidFill>
          </w14:textFill>
        </w:rPr>
        <w:t xml:space="preserve">                </w:t>
      </w:r>
    </w:p>
    <w:p>
      <w:pPr>
        <w:pStyle w:val="44"/>
        <w:spacing w:line="360" w:lineRule="auto"/>
        <w:ind w:firstLine="504" w:firstLineChars="20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lang w:val="en-US" w:eastAsia="zh-CN"/>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企业名称（单位</w:t>
      </w:r>
      <w:r>
        <w:rPr>
          <w:rFonts w:hint="eastAsia" w:ascii="宋体" w:hAnsi="宋体"/>
          <w:color w:val="000000" w:themeColor="text1"/>
          <w:spacing w:val="6"/>
          <w:sz w:val="24"/>
          <w:lang w:eastAsia="zh-CN"/>
          <w14:textFill>
            <w14:solidFill>
              <w14:schemeClr w14:val="tx1"/>
            </w14:solidFill>
          </w14:textFill>
        </w:rPr>
        <w:t>电子印章</w:t>
      </w:r>
      <w:r>
        <w:rPr>
          <w:rFonts w:hint="eastAsia" w:ascii="宋体" w:hAnsi="宋体"/>
          <w:color w:val="000000" w:themeColor="text1"/>
          <w:spacing w:val="6"/>
          <w:sz w:val="24"/>
          <w14:textFill>
            <w14:solidFill>
              <w14:schemeClr w14:val="tx1"/>
            </w14:solidFill>
          </w14:textFill>
        </w:rPr>
        <w:t>）：</w:t>
      </w:r>
    </w:p>
    <w:p>
      <w:pPr>
        <w:pStyle w:val="44"/>
        <w:spacing w:line="360" w:lineRule="auto"/>
        <w:ind w:left="4253" w:leftChars="2025" w:right="36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年</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pStyle w:val="14"/>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单位名称（</w:t>
      </w:r>
      <w:r>
        <w:rPr>
          <w:rFonts w:hint="eastAsia" w:ascii="宋体" w:hAnsi="宋体"/>
          <w:color w:val="000000" w:themeColor="text1"/>
          <w:spacing w:val="6"/>
          <w:sz w:val="24"/>
          <w:lang w:eastAsia="zh-CN"/>
          <w14:textFill>
            <w14:solidFill>
              <w14:schemeClr w14:val="tx1"/>
            </w14:solidFill>
          </w14:textFill>
        </w:rPr>
        <w:t>电子印章</w:t>
      </w:r>
      <w:r>
        <w:rPr>
          <w:rFonts w:hint="eastAsia" w:ascii="宋体" w:hAnsi="宋体"/>
          <w:color w:val="000000" w:themeColor="text1"/>
          <w:spacing w:val="6"/>
          <w:sz w:val="24"/>
          <w14:textFill>
            <w14:solidFill>
              <w14:schemeClr w14:val="tx1"/>
            </w14:solidFill>
          </w14:textFill>
        </w:rPr>
        <w:t>）：</w:t>
      </w:r>
    </w:p>
    <w:p>
      <w:pPr>
        <w:tabs>
          <w:tab w:val="left" w:pos="4860"/>
        </w:tabs>
        <w:spacing w:line="588" w:lineRule="exact"/>
        <w:ind w:right="1560" w:firstLine="504"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日  期：</w:t>
      </w: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p>
    <w:p>
      <w:pPr>
        <w:pStyle w:val="44"/>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附件19</w:t>
      </w:r>
    </w:p>
    <w:p>
      <w:pPr>
        <w:pStyle w:val="45"/>
        <w:spacing w:line="360" w:lineRule="auto"/>
        <w:rPr>
          <w:color w:val="000000" w:themeColor="text1"/>
          <w14:textFill>
            <w14:solidFill>
              <w14:schemeClr w14:val="tx1"/>
            </w14:solidFill>
          </w14:textFill>
        </w:rPr>
      </w:pPr>
    </w:p>
    <w:p>
      <w:pPr>
        <w:pStyle w:val="42"/>
        <w:spacing w:line="360" w:lineRule="auto"/>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产品适用政府采购政策情况表</w:t>
      </w:r>
    </w:p>
    <w:p>
      <w:pPr>
        <w:pStyle w:val="42"/>
        <w:spacing w:line="360" w:lineRule="auto"/>
        <w:jc w:val="center"/>
        <w:rPr>
          <w:rFonts w:ascii="宋体" w:hAnsi="宋体"/>
          <w:b/>
          <w:color w:val="000000" w:themeColor="text1"/>
          <w:sz w:val="32"/>
          <w:szCs w:val="32"/>
          <w:lang w:val="en-GB"/>
          <w14:textFill>
            <w14:solidFill>
              <w14:schemeClr w14:val="tx1"/>
            </w14:solidFill>
          </w14:textFill>
        </w:rPr>
      </w:pPr>
    </w:p>
    <w:tbl>
      <w:tblPr>
        <w:tblStyle w:val="23"/>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小微企业扶持政策</w:t>
            </w:r>
          </w:p>
        </w:tc>
        <w:tc>
          <w:tcPr>
            <w:tcW w:w="8111" w:type="dxa"/>
            <w:gridSpan w:val="3"/>
            <w:vAlign w:val="center"/>
          </w:tcPr>
          <w:tbl>
            <w:tblPr>
              <w:tblStyle w:val="23"/>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42"/>
                    <w:tabs>
                      <w:tab w:val="left" w:pos="1260"/>
                    </w:tabs>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lang w:val="en-GB"/>
                      <w14:textFill>
                        <w14:solidFill>
                          <w14:schemeClr w14:val="tx1"/>
                        </w14:solidFill>
                      </w14:textFill>
                    </w:rPr>
                    <w:t>按要求列出具体产品与金额。</w:t>
                  </w:r>
                </w:p>
              </w:tc>
            </w:tr>
          </w:tbl>
          <w:p>
            <w:pPr>
              <w:pStyle w:val="42"/>
              <w:tabs>
                <w:tab w:val="left" w:pos="1260"/>
              </w:tabs>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产品名称（品牌、型号）</w:t>
            </w:r>
          </w:p>
        </w:tc>
        <w:tc>
          <w:tcPr>
            <w:tcW w:w="381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制造企业名称</w:t>
            </w:r>
          </w:p>
        </w:tc>
        <w:tc>
          <w:tcPr>
            <w:tcW w:w="162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2679"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381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162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c>
          <w:tcPr>
            <w:tcW w:w="6490" w:type="dxa"/>
            <w:gridSpan w:val="2"/>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小型、微型企业产品</w:t>
            </w:r>
            <w:r>
              <w:rPr>
                <w:rFonts w:hint="eastAsia" w:ascii="宋体" w:hAnsi="宋体"/>
                <w:color w:val="000000" w:themeColor="text1"/>
                <w:sz w:val="24"/>
                <w:lang w:val="en-GB"/>
                <w14:textFill>
                  <w14:solidFill>
                    <w14:schemeClr w14:val="tx1"/>
                  </w14:solidFill>
                </w14:textFill>
              </w:rPr>
              <w:t>金额合计（元）</w:t>
            </w:r>
          </w:p>
          <w:p>
            <w:pPr>
              <w:rPr>
                <w:color w:val="000000" w:themeColor="text1"/>
                <w14:textFill>
                  <w14:solidFill>
                    <w14:schemeClr w14:val="tx1"/>
                  </w14:solidFill>
                </w14:textFill>
              </w:rPr>
            </w:pPr>
          </w:p>
        </w:tc>
        <w:tc>
          <w:tcPr>
            <w:tcW w:w="1621" w:type="dxa"/>
            <w:vAlign w:val="center"/>
          </w:tcPr>
          <w:p>
            <w:pPr>
              <w:pStyle w:val="42"/>
              <w:tabs>
                <w:tab w:val="left" w:pos="1260"/>
              </w:tabs>
              <w:jc w:val="center"/>
              <w:rPr>
                <w:rFonts w:ascii="宋体" w:hAnsi="宋体"/>
                <w:color w:val="000000" w:themeColor="text1"/>
                <w:sz w:val="24"/>
                <w:lang w:val="en-GB"/>
                <w14:textFill>
                  <w14:solidFill>
                    <w14:schemeClr w14:val="tx1"/>
                  </w14:solidFill>
                </w14:textFill>
              </w:rPr>
            </w:pPr>
          </w:p>
        </w:tc>
      </w:tr>
    </w:tbl>
    <w:p>
      <w:pPr>
        <w:pStyle w:val="42"/>
        <w:spacing w:line="360" w:lineRule="auto"/>
        <w:rPr>
          <w:rFonts w:ascii="宋体" w:hAnsi="宋体"/>
          <w:color w:val="000000" w:themeColor="text1"/>
          <w:szCs w:val="21"/>
          <w:lang w:val="en-GB"/>
          <w14:textFill>
            <w14:solidFill>
              <w14:schemeClr w14:val="tx1"/>
            </w14:solidFill>
          </w14:textFill>
        </w:rPr>
      </w:pPr>
    </w:p>
    <w:p>
      <w:pPr>
        <w:pStyle w:val="42"/>
        <w:spacing w:line="360" w:lineRule="auto"/>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填报要求：</w:t>
      </w:r>
    </w:p>
    <w:p>
      <w:pPr>
        <w:pStyle w:val="42"/>
        <w:widowControl/>
        <w:numPr>
          <w:ilvl w:val="0"/>
          <w:numId w:val="48"/>
        </w:numPr>
        <w:spacing w:line="360" w:lineRule="auto"/>
        <w:ind w:right="84" w:rightChars="4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本表的产品名称、规格型号和注册商标、金额要与《报价明细表》一致。</w:t>
      </w:r>
    </w:p>
    <w:p>
      <w:pPr>
        <w:pStyle w:val="42"/>
        <w:widowControl/>
        <w:numPr>
          <w:ilvl w:val="0"/>
          <w:numId w:val="48"/>
        </w:numPr>
        <w:tabs>
          <w:tab w:val="left" w:pos="360"/>
        </w:tabs>
        <w:spacing w:line="360" w:lineRule="auto"/>
        <w:ind w:left="360" w:right="84" w:rightChars="40" w:hanging="36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制造商为小型或微型企业时才需要填“制造商企业类型”栏，填写内容为“小型”或“微型”。</w:t>
      </w:r>
    </w:p>
    <w:p>
      <w:pPr>
        <w:pStyle w:val="42"/>
        <w:widowControl/>
        <w:numPr>
          <w:ilvl w:val="0"/>
          <w:numId w:val="48"/>
        </w:numPr>
        <w:spacing w:line="360" w:lineRule="auto"/>
        <w:ind w:right="84" w:rightChars="40"/>
        <w:jc w:val="left"/>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lang w:val="en-GB"/>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瀹嬩綋">
    <w:altName w:val="Latha"/>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w:t>
    </w:r>
    <w:r>
      <w:rPr>
        <w:rFonts w:hint="eastAsia"/>
        <w:b/>
        <w:i/>
        <w:color w:val="000000" w:themeColor="text1"/>
        <w:kern w:val="0"/>
        <w:sz w:val="18"/>
        <w:u w:val="single"/>
        <w14:textFill>
          <w14:solidFill>
            <w14:schemeClr w14:val="tx1"/>
          </w14:solidFill>
        </w14:textFill>
      </w:rPr>
      <w:t xml:space="preserve">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B53C753"/>
    <w:multiLevelType w:val="singleLevel"/>
    <w:tmpl w:val="8B53C753"/>
    <w:lvl w:ilvl="0" w:tentative="0">
      <w:start w:val="1"/>
      <w:numFmt w:val="decimal"/>
      <w:lvlText w:val="(%1)"/>
      <w:lvlJc w:val="left"/>
      <w:pPr>
        <w:ind w:left="425" w:hanging="425"/>
      </w:pPr>
      <w:rPr>
        <w:rFonts w:hint="default"/>
      </w:rPr>
    </w:lvl>
  </w:abstractNum>
  <w:abstractNum w:abstractNumId="2">
    <w:nsid w:val="95CFA382"/>
    <w:multiLevelType w:val="singleLevel"/>
    <w:tmpl w:val="95CFA382"/>
    <w:lvl w:ilvl="0" w:tentative="0">
      <w:start w:val="1"/>
      <w:numFmt w:val="decimal"/>
      <w:suff w:val="nothing"/>
      <w:lvlText w:val="%1、"/>
      <w:lvlJc w:val="left"/>
    </w:lvl>
  </w:abstractNum>
  <w:abstractNum w:abstractNumId="3">
    <w:nsid w:val="974AEB30"/>
    <w:multiLevelType w:val="singleLevel"/>
    <w:tmpl w:val="974AEB30"/>
    <w:lvl w:ilvl="0" w:tentative="0">
      <w:start w:val="1"/>
      <w:numFmt w:val="decimalEnclosedCircleChinese"/>
      <w:suff w:val="nothing"/>
      <w:lvlText w:val="%1　"/>
      <w:lvlJc w:val="left"/>
      <w:pPr>
        <w:ind w:left="0" w:firstLine="400"/>
      </w:pPr>
      <w:rPr>
        <w:rFonts w:hint="eastAsia"/>
      </w:rPr>
    </w:lvl>
  </w:abstractNum>
  <w:abstractNum w:abstractNumId="4">
    <w:nsid w:val="A1201BBF"/>
    <w:multiLevelType w:val="singleLevel"/>
    <w:tmpl w:val="A1201BBF"/>
    <w:lvl w:ilvl="0" w:tentative="0">
      <w:start w:val="1"/>
      <w:numFmt w:val="decimalEnclosedCircleChinese"/>
      <w:suff w:val="nothing"/>
      <w:lvlText w:val="%1　"/>
      <w:lvlJc w:val="left"/>
      <w:pPr>
        <w:ind w:left="0" w:firstLine="400"/>
      </w:pPr>
      <w:rPr>
        <w:rFonts w:hint="eastAsia"/>
      </w:rPr>
    </w:lvl>
  </w:abstractNum>
  <w:abstractNum w:abstractNumId="5">
    <w:nsid w:val="A9E765D8"/>
    <w:multiLevelType w:val="singleLevel"/>
    <w:tmpl w:val="A9E765D8"/>
    <w:lvl w:ilvl="0" w:tentative="0">
      <w:start w:val="1"/>
      <w:numFmt w:val="chineseCounting"/>
      <w:suff w:val="nothing"/>
      <w:lvlText w:val="%1、"/>
      <w:lvlJc w:val="left"/>
      <w:rPr>
        <w:rFonts w:hint="eastAsia"/>
      </w:rPr>
    </w:lvl>
  </w:abstractNum>
  <w:abstractNum w:abstractNumId="6">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7">
    <w:nsid w:val="AF3E1766"/>
    <w:multiLevelType w:val="singleLevel"/>
    <w:tmpl w:val="AF3E1766"/>
    <w:lvl w:ilvl="0" w:tentative="0">
      <w:start w:val="1"/>
      <w:numFmt w:val="decimal"/>
      <w:suff w:val="nothing"/>
      <w:lvlText w:val="（%1）"/>
      <w:lvlJc w:val="left"/>
    </w:lvl>
  </w:abstractNum>
  <w:abstractNum w:abstractNumId="8">
    <w:nsid w:val="C8A3F0D0"/>
    <w:multiLevelType w:val="singleLevel"/>
    <w:tmpl w:val="C8A3F0D0"/>
    <w:lvl w:ilvl="0" w:tentative="0">
      <w:start w:val="2"/>
      <w:numFmt w:val="chineseCounting"/>
      <w:suff w:val="nothing"/>
      <w:lvlText w:val="（%1）"/>
      <w:lvlJc w:val="left"/>
      <w:pPr>
        <w:ind w:left="210" w:firstLine="0"/>
      </w:pPr>
      <w:rPr>
        <w:rFonts w:hint="eastAsia"/>
      </w:rPr>
    </w:lvl>
  </w:abstractNum>
  <w:abstractNum w:abstractNumId="9">
    <w:nsid w:val="E737D8BC"/>
    <w:multiLevelType w:val="singleLevel"/>
    <w:tmpl w:val="E737D8BC"/>
    <w:lvl w:ilvl="0" w:tentative="0">
      <w:start w:val="2"/>
      <w:numFmt w:val="decimal"/>
      <w:suff w:val="nothing"/>
      <w:lvlText w:val="%1、"/>
      <w:lvlJc w:val="left"/>
    </w:lvl>
  </w:abstractNum>
  <w:abstractNum w:abstractNumId="10">
    <w:nsid w:val="E80A2DFF"/>
    <w:multiLevelType w:val="singleLevel"/>
    <w:tmpl w:val="E80A2DFF"/>
    <w:lvl w:ilvl="0" w:tentative="0">
      <w:start w:val="1"/>
      <w:numFmt w:val="decimal"/>
      <w:suff w:val="nothing"/>
      <w:lvlText w:val="%1．"/>
      <w:lvlJc w:val="left"/>
      <w:pPr>
        <w:ind w:left="0" w:firstLine="400"/>
      </w:pPr>
      <w:rPr>
        <w:rFonts w:hint="default"/>
      </w:rPr>
    </w:lvl>
  </w:abstractNum>
  <w:abstractNum w:abstractNumId="11">
    <w:nsid w:val="E9CBAF48"/>
    <w:multiLevelType w:val="singleLevel"/>
    <w:tmpl w:val="E9CBAF48"/>
    <w:lvl w:ilvl="0" w:tentative="0">
      <w:start w:val="1"/>
      <w:numFmt w:val="decimal"/>
      <w:suff w:val="nothing"/>
      <w:lvlText w:val="（%1）"/>
      <w:lvlJc w:val="left"/>
    </w:lvl>
  </w:abstractNum>
  <w:abstractNum w:abstractNumId="12">
    <w:nsid w:val="EEAFAC12"/>
    <w:multiLevelType w:val="singleLevel"/>
    <w:tmpl w:val="EEAFAC12"/>
    <w:lvl w:ilvl="0" w:tentative="0">
      <w:start w:val="12"/>
      <w:numFmt w:val="decimal"/>
      <w:suff w:val="nothing"/>
      <w:lvlText w:val="%1、"/>
      <w:lvlJc w:val="left"/>
      <w:pPr>
        <w:ind w:left="-60"/>
      </w:pPr>
    </w:lvl>
  </w:abstractNum>
  <w:abstractNum w:abstractNumId="13">
    <w:nsid w:val="F2B9595C"/>
    <w:multiLevelType w:val="singleLevel"/>
    <w:tmpl w:val="F2B9595C"/>
    <w:lvl w:ilvl="0" w:tentative="0">
      <w:start w:val="1"/>
      <w:numFmt w:val="decimalEnclosedCircleChinese"/>
      <w:suff w:val="nothing"/>
      <w:lvlText w:val="%1　"/>
      <w:lvlJc w:val="left"/>
      <w:pPr>
        <w:ind w:left="0" w:firstLine="400"/>
      </w:pPr>
      <w:rPr>
        <w:rFonts w:hint="eastAsia"/>
      </w:rPr>
    </w:lvl>
  </w:abstractNum>
  <w:abstractNum w:abstractNumId="14">
    <w:nsid w:val="023419C9"/>
    <w:multiLevelType w:val="singleLevel"/>
    <w:tmpl w:val="023419C9"/>
    <w:lvl w:ilvl="0" w:tentative="0">
      <w:start w:val="2"/>
      <w:numFmt w:val="decimal"/>
      <w:suff w:val="nothing"/>
      <w:lvlText w:val="%1、"/>
      <w:lvlJc w:val="left"/>
    </w:lvl>
  </w:abstractNum>
  <w:abstractNum w:abstractNumId="15">
    <w:nsid w:val="0C01A527"/>
    <w:multiLevelType w:val="singleLevel"/>
    <w:tmpl w:val="0C01A527"/>
    <w:lvl w:ilvl="0" w:tentative="0">
      <w:start w:val="12"/>
      <w:numFmt w:val="decimal"/>
      <w:suff w:val="nothing"/>
      <w:lvlText w:val="（%1）"/>
      <w:lvlJc w:val="left"/>
    </w:lvl>
  </w:abstractNum>
  <w:abstractNum w:abstractNumId="16">
    <w:nsid w:val="0FA753CB"/>
    <w:multiLevelType w:val="singleLevel"/>
    <w:tmpl w:val="0FA753CB"/>
    <w:lvl w:ilvl="0" w:tentative="0">
      <w:start w:val="1"/>
      <w:numFmt w:val="decimalEnclosedCircleChinese"/>
      <w:suff w:val="nothing"/>
      <w:lvlText w:val="%1　"/>
      <w:lvlJc w:val="left"/>
      <w:pPr>
        <w:ind w:left="0" w:firstLine="400"/>
      </w:pPr>
      <w:rPr>
        <w:rFonts w:hint="eastAsia"/>
      </w:rPr>
    </w:lvl>
  </w:abstractNum>
  <w:abstractNum w:abstractNumId="17">
    <w:nsid w:val="1F913DB7"/>
    <w:multiLevelType w:val="singleLevel"/>
    <w:tmpl w:val="1F913DB7"/>
    <w:lvl w:ilvl="0" w:tentative="0">
      <w:start w:val="6"/>
      <w:numFmt w:val="decimal"/>
      <w:suff w:val="space"/>
      <w:lvlText w:val="%1."/>
      <w:lvlJc w:val="left"/>
    </w:lvl>
  </w:abstractNum>
  <w:abstractNum w:abstractNumId="18">
    <w:nsid w:val="3271BC30"/>
    <w:multiLevelType w:val="singleLevel"/>
    <w:tmpl w:val="3271BC30"/>
    <w:lvl w:ilvl="0" w:tentative="0">
      <w:start w:val="1"/>
      <w:numFmt w:val="decimalEnclosedCircleChinese"/>
      <w:suff w:val="nothing"/>
      <w:lvlText w:val="%1　"/>
      <w:lvlJc w:val="left"/>
      <w:pPr>
        <w:ind w:left="0" w:firstLine="400"/>
      </w:pPr>
      <w:rPr>
        <w:rFonts w:hint="eastAsia"/>
      </w:rPr>
    </w:lvl>
  </w:abstractNum>
  <w:abstractNum w:abstractNumId="19">
    <w:nsid w:val="34596603"/>
    <w:multiLevelType w:val="singleLevel"/>
    <w:tmpl w:val="34596603"/>
    <w:lvl w:ilvl="0" w:tentative="0">
      <w:start w:val="4"/>
      <w:numFmt w:val="chineseCounting"/>
      <w:suff w:val="nothing"/>
      <w:lvlText w:val="%1、"/>
      <w:lvlJc w:val="left"/>
      <w:rPr>
        <w:rFonts w:hint="eastAsia"/>
      </w:rPr>
    </w:lvl>
  </w:abstractNum>
  <w:abstractNum w:abstractNumId="20">
    <w:nsid w:val="3BC9436D"/>
    <w:multiLevelType w:val="singleLevel"/>
    <w:tmpl w:val="3BC9436D"/>
    <w:lvl w:ilvl="0" w:tentative="0">
      <w:start w:val="1"/>
      <w:numFmt w:val="decimal"/>
      <w:suff w:val="nothing"/>
      <w:lvlText w:val="%1、"/>
      <w:lvlJc w:val="left"/>
    </w:lvl>
  </w:abstractNum>
  <w:abstractNum w:abstractNumId="21">
    <w:nsid w:val="461E5E94"/>
    <w:multiLevelType w:val="singleLevel"/>
    <w:tmpl w:val="461E5E94"/>
    <w:lvl w:ilvl="0" w:tentative="0">
      <w:start w:val="2"/>
      <w:numFmt w:val="chineseCounting"/>
      <w:suff w:val="space"/>
      <w:lvlText w:val="第%1章"/>
      <w:lvlJc w:val="left"/>
      <w:rPr>
        <w:rFonts w:hint="eastAsia"/>
      </w:rPr>
    </w:lvl>
  </w:abstractNum>
  <w:abstractNum w:abstractNumId="22">
    <w:nsid w:val="46CFDAFE"/>
    <w:multiLevelType w:val="singleLevel"/>
    <w:tmpl w:val="46CFDAFE"/>
    <w:lvl w:ilvl="0" w:tentative="0">
      <w:start w:val="1"/>
      <w:numFmt w:val="decimal"/>
      <w:suff w:val="nothing"/>
      <w:lvlText w:val="%1．"/>
      <w:lvlJc w:val="left"/>
      <w:pPr>
        <w:ind w:left="0" w:firstLine="400"/>
      </w:pPr>
      <w:rPr>
        <w:rFonts w:hint="default"/>
      </w:rPr>
    </w:lvl>
  </w:abstractNum>
  <w:abstractNum w:abstractNumId="2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4">
    <w:nsid w:val="4B8A8F08"/>
    <w:multiLevelType w:val="singleLevel"/>
    <w:tmpl w:val="4B8A8F08"/>
    <w:lvl w:ilvl="0" w:tentative="0">
      <w:start w:val="1"/>
      <w:numFmt w:val="chineseCounting"/>
      <w:suff w:val="nothing"/>
      <w:lvlText w:val="%1、"/>
      <w:lvlJc w:val="left"/>
      <w:rPr>
        <w:rFonts w:hint="eastAsia"/>
      </w:rPr>
    </w:lvl>
  </w:abstractNum>
  <w:abstractNum w:abstractNumId="25">
    <w:nsid w:val="5175DE8B"/>
    <w:multiLevelType w:val="singleLevel"/>
    <w:tmpl w:val="5175DE8B"/>
    <w:lvl w:ilvl="0" w:tentative="0">
      <w:start w:val="2"/>
      <w:numFmt w:val="decimal"/>
      <w:suff w:val="nothing"/>
      <w:lvlText w:val="%1、"/>
      <w:lvlJc w:val="left"/>
    </w:lvl>
  </w:abstractNum>
  <w:abstractNum w:abstractNumId="26">
    <w:nsid w:val="5B0EAADA"/>
    <w:multiLevelType w:val="singleLevel"/>
    <w:tmpl w:val="5B0EAADA"/>
    <w:lvl w:ilvl="0" w:tentative="0">
      <w:start w:val="1"/>
      <w:numFmt w:val="decimal"/>
      <w:suff w:val="nothing"/>
      <w:lvlText w:val="%1．"/>
      <w:lvlJc w:val="left"/>
      <w:pPr>
        <w:ind w:left="0" w:firstLine="400"/>
      </w:pPr>
      <w:rPr>
        <w:rFonts w:hint="default"/>
      </w:rPr>
    </w:lvl>
  </w:abstractNum>
  <w:abstractNum w:abstractNumId="27">
    <w:nsid w:val="5B0EAB01"/>
    <w:multiLevelType w:val="singleLevel"/>
    <w:tmpl w:val="5B0EAB01"/>
    <w:lvl w:ilvl="0" w:tentative="0">
      <w:start w:val="1"/>
      <w:numFmt w:val="decimal"/>
      <w:suff w:val="nothing"/>
      <w:lvlText w:val="%1．"/>
      <w:lvlJc w:val="left"/>
      <w:pPr>
        <w:ind w:left="0" w:firstLine="400"/>
      </w:pPr>
      <w:rPr>
        <w:rFonts w:hint="default"/>
      </w:rPr>
    </w:lvl>
  </w:abstractNum>
  <w:abstractNum w:abstractNumId="28">
    <w:nsid w:val="5B0EAB9B"/>
    <w:multiLevelType w:val="singleLevel"/>
    <w:tmpl w:val="5B0EAB9B"/>
    <w:lvl w:ilvl="0" w:tentative="0">
      <w:start w:val="1"/>
      <w:numFmt w:val="decimal"/>
      <w:suff w:val="nothing"/>
      <w:lvlText w:val="%1．"/>
      <w:lvlJc w:val="left"/>
      <w:pPr>
        <w:ind w:left="0" w:firstLine="400"/>
      </w:pPr>
      <w:rPr>
        <w:rFonts w:hint="default"/>
      </w:rPr>
    </w:lvl>
  </w:abstractNum>
  <w:abstractNum w:abstractNumId="29">
    <w:nsid w:val="5B0EAC1E"/>
    <w:multiLevelType w:val="singleLevel"/>
    <w:tmpl w:val="5B0EAC1E"/>
    <w:lvl w:ilvl="0" w:tentative="0">
      <w:start w:val="1"/>
      <w:numFmt w:val="decimal"/>
      <w:suff w:val="nothing"/>
      <w:lvlText w:val="%1．"/>
      <w:lvlJc w:val="left"/>
      <w:pPr>
        <w:ind w:left="0" w:firstLine="400"/>
      </w:pPr>
      <w:rPr>
        <w:rFonts w:hint="default"/>
      </w:rPr>
    </w:lvl>
  </w:abstractNum>
  <w:abstractNum w:abstractNumId="30">
    <w:nsid w:val="5B0EACC6"/>
    <w:multiLevelType w:val="singleLevel"/>
    <w:tmpl w:val="5B0EACC6"/>
    <w:lvl w:ilvl="0" w:tentative="0">
      <w:start w:val="1"/>
      <w:numFmt w:val="decimal"/>
      <w:suff w:val="nothing"/>
      <w:lvlText w:val="%1．"/>
      <w:lvlJc w:val="left"/>
      <w:pPr>
        <w:ind w:left="0" w:firstLine="400"/>
      </w:pPr>
      <w:rPr>
        <w:rFonts w:hint="default"/>
      </w:rPr>
    </w:lvl>
  </w:abstractNum>
  <w:abstractNum w:abstractNumId="31">
    <w:nsid w:val="5B0EACE0"/>
    <w:multiLevelType w:val="singleLevel"/>
    <w:tmpl w:val="5B0EACE0"/>
    <w:lvl w:ilvl="0" w:tentative="0">
      <w:start w:val="1"/>
      <w:numFmt w:val="decimal"/>
      <w:suff w:val="nothing"/>
      <w:lvlText w:val="%1．"/>
      <w:lvlJc w:val="left"/>
      <w:pPr>
        <w:ind w:left="0" w:firstLine="400"/>
      </w:pPr>
      <w:rPr>
        <w:rFonts w:hint="default"/>
      </w:rPr>
    </w:lvl>
  </w:abstractNum>
  <w:abstractNum w:abstractNumId="32">
    <w:nsid w:val="5B0EAED7"/>
    <w:multiLevelType w:val="singleLevel"/>
    <w:tmpl w:val="5B0EAED7"/>
    <w:lvl w:ilvl="0" w:tentative="0">
      <w:start w:val="1"/>
      <w:numFmt w:val="decimal"/>
      <w:suff w:val="nothing"/>
      <w:lvlText w:val="%1．"/>
      <w:lvlJc w:val="left"/>
      <w:pPr>
        <w:ind w:left="0" w:firstLine="400"/>
      </w:pPr>
      <w:rPr>
        <w:rFonts w:hint="default"/>
      </w:rPr>
    </w:lvl>
  </w:abstractNum>
  <w:abstractNum w:abstractNumId="33">
    <w:nsid w:val="5B0EAF26"/>
    <w:multiLevelType w:val="singleLevel"/>
    <w:tmpl w:val="5B0EAF26"/>
    <w:lvl w:ilvl="0" w:tentative="0">
      <w:start w:val="1"/>
      <w:numFmt w:val="decimal"/>
      <w:suff w:val="nothing"/>
      <w:lvlText w:val="%1．"/>
      <w:lvlJc w:val="left"/>
      <w:pPr>
        <w:ind w:left="0" w:firstLine="400"/>
      </w:pPr>
      <w:rPr>
        <w:rFonts w:hint="default"/>
      </w:rPr>
    </w:lvl>
  </w:abstractNum>
  <w:abstractNum w:abstractNumId="34">
    <w:nsid w:val="5B0EB579"/>
    <w:multiLevelType w:val="singleLevel"/>
    <w:tmpl w:val="5B0EB579"/>
    <w:lvl w:ilvl="0" w:tentative="0">
      <w:start w:val="1"/>
      <w:numFmt w:val="decimal"/>
      <w:suff w:val="nothing"/>
      <w:lvlText w:val="%1．"/>
      <w:lvlJc w:val="left"/>
      <w:pPr>
        <w:ind w:left="0" w:firstLine="400"/>
      </w:pPr>
      <w:rPr>
        <w:rFonts w:hint="default"/>
      </w:rPr>
    </w:lvl>
  </w:abstractNum>
  <w:abstractNum w:abstractNumId="35">
    <w:nsid w:val="5B0EB5AA"/>
    <w:multiLevelType w:val="singleLevel"/>
    <w:tmpl w:val="5B0EB5AA"/>
    <w:lvl w:ilvl="0" w:tentative="0">
      <w:start w:val="1"/>
      <w:numFmt w:val="decimal"/>
      <w:suff w:val="nothing"/>
      <w:lvlText w:val="%1．"/>
      <w:lvlJc w:val="left"/>
      <w:pPr>
        <w:ind w:left="0" w:firstLine="400"/>
      </w:pPr>
      <w:rPr>
        <w:rFonts w:hint="default"/>
      </w:rPr>
    </w:lvl>
  </w:abstractNum>
  <w:abstractNum w:abstractNumId="36">
    <w:nsid w:val="5B0EB5BE"/>
    <w:multiLevelType w:val="singleLevel"/>
    <w:tmpl w:val="5B0EB5BE"/>
    <w:lvl w:ilvl="0" w:tentative="0">
      <w:start w:val="1"/>
      <w:numFmt w:val="decimal"/>
      <w:suff w:val="nothing"/>
      <w:lvlText w:val="%1．"/>
      <w:lvlJc w:val="left"/>
      <w:pPr>
        <w:ind w:left="0" w:firstLine="400"/>
      </w:pPr>
      <w:rPr>
        <w:rFonts w:hint="default"/>
      </w:rPr>
    </w:lvl>
  </w:abstractNum>
  <w:abstractNum w:abstractNumId="37">
    <w:nsid w:val="5B0EB5DE"/>
    <w:multiLevelType w:val="singleLevel"/>
    <w:tmpl w:val="5B0EB5DE"/>
    <w:lvl w:ilvl="0" w:tentative="0">
      <w:start w:val="1"/>
      <w:numFmt w:val="decimal"/>
      <w:suff w:val="nothing"/>
      <w:lvlText w:val="%1．"/>
      <w:lvlJc w:val="left"/>
      <w:pPr>
        <w:ind w:left="0" w:firstLine="400"/>
      </w:pPr>
      <w:rPr>
        <w:rFonts w:hint="default"/>
      </w:rPr>
    </w:lvl>
  </w:abstractNum>
  <w:abstractNum w:abstractNumId="38">
    <w:nsid w:val="5B0EB613"/>
    <w:multiLevelType w:val="singleLevel"/>
    <w:tmpl w:val="5B0EB613"/>
    <w:lvl w:ilvl="0" w:tentative="0">
      <w:start w:val="1"/>
      <w:numFmt w:val="decimal"/>
      <w:suff w:val="nothing"/>
      <w:lvlText w:val="%1．"/>
      <w:lvlJc w:val="left"/>
      <w:pPr>
        <w:ind w:left="0" w:firstLine="400"/>
      </w:pPr>
      <w:rPr>
        <w:rFonts w:hint="default"/>
      </w:rPr>
    </w:lvl>
  </w:abstractNum>
  <w:abstractNum w:abstractNumId="39">
    <w:nsid w:val="5B0EB7B5"/>
    <w:multiLevelType w:val="singleLevel"/>
    <w:tmpl w:val="5B0EB7B5"/>
    <w:lvl w:ilvl="0" w:tentative="0">
      <w:start w:val="1"/>
      <w:numFmt w:val="decimal"/>
      <w:suff w:val="nothing"/>
      <w:lvlText w:val="%1．"/>
      <w:lvlJc w:val="left"/>
      <w:pPr>
        <w:ind w:left="0" w:firstLine="400"/>
      </w:pPr>
      <w:rPr>
        <w:rFonts w:hint="default"/>
      </w:rPr>
    </w:lvl>
  </w:abstractNum>
  <w:abstractNum w:abstractNumId="40">
    <w:nsid w:val="5B0FEA89"/>
    <w:multiLevelType w:val="singleLevel"/>
    <w:tmpl w:val="5B0FEA89"/>
    <w:lvl w:ilvl="0" w:tentative="0">
      <w:start w:val="1"/>
      <w:numFmt w:val="decimal"/>
      <w:suff w:val="nothing"/>
      <w:lvlText w:val="%1．"/>
      <w:lvlJc w:val="left"/>
      <w:pPr>
        <w:ind w:left="4845" w:firstLine="400"/>
      </w:pPr>
      <w:rPr>
        <w:rFonts w:hint="default"/>
      </w:rPr>
    </w:lvl>
  </w:abstractNum>
  <w:abstractNum w:abstractNumId="4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42">
    <w:nsid w:val="640205DE"/>
    <w:multiLevelType w:val="singleLevel"/>
    <w:tmpl w:val="640205DE"/>
    <w:lvl w:ilvl="0" w:tentative="0">
      <w:start w:val="1"/>
      <w:numFmt w:val="decimalEnclosedCircleChinese"/>
      <w:suff w:val="nothing"/>
      <w:lvlText w:val="%1　"/>
      <w:lvlJc w:val="left"/>
      <w:pPr>
        <w:ind w:left="0" w:firstLine="400"/>
      </w:pPr>
      <w:rPr>
        <w:rFonts w:hint="eastAsia"/>
      </w:rPr>
    </w:lvl>
  </w:abstractNum>
  <w:abstractNum w:abstractNumId="43">
    <w:nsid w:val="66DDD653"/>
    <w:multiLevelType w:val="singleLevel"/>
    <w:tmpl w:val="66DDD653"/>
    <w:lvl w:ilvl="0" w:tentative="0">
      <w:start w:val="1"/>
      <w:numFmt w:val="chineseCounting"/>
      <w:suff w:val="space"/>
      <w:lvlText w:val="第%1章"/>
      <w:lvlJc w:val="left"/>
      <w:rPr>
        <w:rFonts w:hint="eastAsia"/>
      </w:rPr>
    </w:lvl>
  </w:abstractNum>
  <w:abstractNum w:abstractNumId="44">
    <w:nsid w:val="68EE9180"/>
    <w:multiLevelType w:val="singleLevel"/>
    <w:tmpl w:val="68EE9180"/>
    <w:lvl w:ilvl="0" w:tentative="0">
      <w:start w:val="1"/>
      <w:numFmt w:val="decimalEnclosedCircleChinese"/>
      <w:suff w:val="nothing"/>
      <w:lvlText w:val="%1　"/>
      <w:lvlJc w:val="left"/>
      <w:pPr>
        <w:ind w:left="0" w:firstLine="400"/>
      </w:pPr>
      <w:rPr>
        <w:rFonts w:hint="eastAsia"/>
      </w:rPr>
    </w:lvl>
  </w:abstractNum>
  <w:abstractNum w:abstractNumId="45">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46">
    <w:nsid w:val="75623B39"/>
    <w:multiLevelType w:val="singleLevel"/>
    <w:tmpl w:val="75623B39"/>
    <w:lvl w:ilvl="0" w:tentative="0">
      <w:start w:val="1"/>
      <w:numFmt w:val="decimalEnclosedCircleChinese"/>
      <w:suff w:val="nothing"/>
      <w:lvlText w:val="%1　"/>
      <w:lvlJc w:val="left"/>
      <w:pPr>
        <w:ind w:left="0" w:firstLine="400"/>
      </w:pPr>
      <w:rPr>
        <w:rFonts w:hint="eastAsia"/>
      </w:rPr>
    </w:lvl>
  </w:abstractNum>
  <w:abstractNum w:abstractNumId="47">
    <w:nsid w:val="7891884D"/>
    <w:multiLevelType w:val="singleLevel"/>
    <w:tmpl w:val="7891884D"/>
    <w:lvl w:ilvl="0" w:tentative="0">
      <w:start w:val="1"/>
      <w:numFmt w:val="decimal"/>
      <w:suff w:val="nothing"/>
      <w:lvlText w:val="%1．"/>
      <w:lvlJc w:val="left"/>
      <w:pPr>
        <w:ind w:left="0" w:firstLine="400"/>
      </w:pPr>
      <w:rPr>
        <w:rFonts w:hint="default"/>
      </w:rPr>
    </w:lvl>
  </w:abstractNum>
  <w:num w:numId="1">
    <w:abstractNumId w:val="41"/>
  </w:num>
  <w:num w:numId="2">
    <w:abstractNumId w:val="6"/>
  </w:num>
  <w:num w:numId="3">
    <w:abstractNumId w:val="23"/>
  </w:num>
  <w:num w:numId="4">
    <w:abstractNumId w:val="43"/>
  </w:num>
  <w:num w:numId="5">
    <w:abstractNumId w:val="21"/>
  </w:num>
  <w:num w:numId="6">
    <w:abstractNumId w:val="7"/>
  </w:num>
  <w:num w:numId="7">
    <w:abstractNumId w:val="8"/>
  </w:num>
  <w:num w:numId="8">
    <w:abstractNumId w:val="11"/>
  </w:num>
  <w:num w:numId="9">
    <w:abstractNumId w:val="14"/>
  </w:num>
  <w:num w:numId="10">
    <w:abstractNumId w:val="12"/>
  </w:num>
  <w:num w:numId="11">
    <w:abstractNumId w:val="5"/>
  </w:num>
  <w:num w:numId="12">
    <w:abstractNumId w:val="1"/>
  </w:num>
  <w:num w:numId="13">
    <w:abstractNumId w:val="15"/>
  </w:num>
  <w:num w:numId="14">
    <w:abstractNumId w:val="10"/>
  </w:num>
  <w:num w:numId="15">
    <w:abstractNumId w:val="19"/>
  </w:num>
  <w:num w:numId="16">
    <w:abstractNumId w:val="47"/>
  </w:num>
  <w:num w:numId="17">
    <w:abstractNumId w:val="9"/>
  </w:num>
  <w:num w:numId="18">
    <w:abstractNumId w:val="3"/>
  </w:num>
  <w:num w:numId="19">
    <w:abstractNumId w:val="4"/>
  </w:num>
  <w:num w:numId="20">
    <w:abstractNumId w:val="13"/>
  </w:num>
  <w:num w:numId="21">
    <w:abstractNumId w:val="25"/>
  </w:num>
  <w:num w:numId="22">
    <w:abstractNumId w:val="40"/>
  </w:num>
  <w:num w:numId="23">
    <w:abstractNumId w:val="26"/>
  </w:num>
  <w:num w:numId="24">
    <w:abstractNumId w:val="27"/>
  </w:num>
  <w:num w:numId="25">
    <w:abstractNumId w:val="28"/>
  </w:num>
  <w:num w:numId="26">
    <w:abstractNumId w:val="29"/>
  </w:num>
  <w:num w:numId="27">
    <w:abstractNumId w:val="31"/>
  </w:num>
  <w:num w:numId="28">
    <w:abstractNumId w:val="30"/>
  </w:num>
  <w:num w:numId="29">
    <w:abstractNumId w:val="42"/>
  </w:num>
  <w:num w:numId="30">
    <w:abstractNumId w:val="18"/>
  </w:num>
  <w:num w:numId="31">
    <w:abstractNumId w:val="32"/>
  </w:num>
  <w:num w:numId="32">
    <w:abstractNumId w:val="33"/>
  </w:num>
  <w:num w:numId="33">
    <w:abstractNumId w:val="20"/>
  </w:num>
  <w:num w:numId="34">
    <w:abstractNumId w:val="36"/>
  </w:num>
  <w:num w:numId="35">
    <w:abstractNumId w:val="35"/>
  </w:num>
  <w:num w:numId="36">
    <w:abstractNumId w:val="44"/>
  </w:num>
  <w:num w:numId="37">
    <w:abstractNumId w:val="46"/>
  </w:num>
  <w:num w:numId="38">
    <w:abstractNumId w:val="16"/>
  </w:num>
  <w:num w:numId="39">
    <w:abstractNumId w:val="34"/>
  </w:num>
  <w:num w:numId="40">
    <w:abstractNumId w:val="37"/>
  </w:num>
  <w:num w:numId="41">
    <w:abstractNumId w:val="38"/>
  </w:num>
  <w:num w:numId="42">
    <w:abstractNumId w:val="22"/>
  </w:num>
  <w:num w:numId="43">
    <w:abstractNumId w:val="39"/>
  </w:num>
  <w:num w:numId="44">
    <w:abstractNumId w:val="17"/>
  </w:num>
  <w:num w:numId="45">
    <w:abstractNumId w:val="24"/>
  </w:num>
  <w:num w:numId="46">
    <w:abstractNumId w:val="0"/>
  </w:num>
  <w:num w:numId="47">
    <w:abstractNumId w:val="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6294D"/>
    <w:rsid w:val="00062AB3"/>
    <w:rsid w:val="000B6EB6"/>
    <w:rsid w:val="000D4942"/>
    <w:rsid w:val="00107BF6"/>
    <w:rsid w:val="00165F2A"/>
    <w:rsid w:val="001B5BCA"/>
    <w:rsid w:val="00201D62"/>
    <w:rsid w:val="0021318F"/>
    <w:rsid w:val="002A1620"/>
    <w:rsid w:val="002D7F8A"/>
    <w:rsid w:val="003102FB"/>
    <w:rsid w:val="00332E30"/>
    <w:rsid w:val="003C5E00"/>
    <w:rsid w:val="003F595C"/>
    <w:rsid w:val="003F78E0"/>
    <w:rsid w:val="0043046A"/>
    <w:rsid w:val="00441FAE"/>
    <w:rsid w:val="00446CEF"/>
    <w:rsid w:val="00482879"/>
    <w:rsid w:val="00491BDF"/>
    <w:rsid w:val="004B4165"/>
    <w:rsid w:val="00527EFD"/>
    <w:rsid w:val="00616E31"/>
    <w:rsid w:val="00655E3C"/>
    <w:rsid w:val="00674C42"/>
    <w:rsid w:val="006F4DFE"/>
    <w:rsid w:val="007A2629"/>
    <w:rsid w:val="007C1005"/>
    <w:rsid w:val="00802325"/>
    <w:rsid w:val="00847BE5"/>
    <w:rsid w:val="0088066B"/>
    <w:rsid w:val="00901D6C"/>
    <w:rsid w:val="00912983"/>
    <w:rsid w:val="00934C69"/>
    <w:rsid w:val="009875E3"/>
    <w:rsid w:val="009B3E22"/>
    <w:rsid w:val="009F3459"/>
    <w:rsid w:val="00A05DA7"/>
    <w:rsid w:val="00A30B75"/>
    <w:rsid w:val="00A730CA"/>
    <w:rsid w:val="00BA25A5"/>
    <w:rsid w:val="00BB201C"/>
    <w:rsid w:val="00C376DF"/>
    <w:rsid w:val="00C52E14"/>
    <w:rsid w:val="00C767D4"/>
    <w:rsid w:val="00CC232E"/>
    <w:rsid w:val="00CD1804"/>
    <w:rsid w:val="00D559AE"/>
    <w:rsid w:val="00DF7014"/>
    <w:rsid w:val="00E319E7"/>
    <w:rsid w:val="00EF2797"/>
    <w:rsid w:val="00F127FF"/>
    <w:rsid w:val="0118771F"/>
    <w:rsid w:val="014011E2"/>
    <w:rsid w:val="01935887"/>
    <w:rsid w:val="01A82F36"/>
    <w:rsid w:val="01AD7B32"/>
    <w:rsid w:val="01BD7005"/>
    <w:rsid w:val="01D25630"/>
    <w:rsid w:val="01D435FB"/>
    <w:rsid w:val="01ED7D22"/>
    <w:rsid w:val="023B4212"/>
    <w:rsid w:val="027638E8"/>
    <w:rsid w:val="02782E93"/>
    <w:rsid w:val="02945C00"/>
    <w:rsid w:val="02D9074F"/>
    <w:rsid w:val="030D5E47"/>
    <w:rsid w:val="0311374C"/>
    <w:rsid w:val="0336696D"/>
    <w:rsid w:val="034628D3"/>
    <w:rsid w:val="035F6A7D"/>
    <w:rsid w:val="03975E79"/>
    <w:rsid w:val="04162490"/>
    <w:rsid w:val="041C127C"/>
    <w:rsid w:val="044405B7"/>
    <w:rsid w:val="0470673A"/>
    <w:rsid w:val="04A33DD1"/>
    <w:rsid w:val="04CC341D"/>
    <w:rsid w:val="05137CD7"/>
    <w:rsid w:val="05855436"/>
    <w:rsid w:val="0586417A"/>
    <w:rsid w:val="058E2529"/>
    <w:rsid w:val="05A50164"/>
    <w:rsid w:val="05B43C6D"/>
    <w:rsid w:val="05D92A57"/>
    <w:rsid w:val="05DD68BD"/>
    <w:rsid w:val="05E70F70"/>
    <w:rsid w:val="05EA7A8F"/>
    <w:rsid w:val="05F50E9D"/>
    <w:rsid w:val="060B26E0"/>
    <w:rsid w:val="061E403C"/>
    <w:rsid w:val="067C192C"/>
    <w:rsid w:val="06D52D47"/>
    <w:rsid w:val="06E40CB7"/>
    <w:rsid w:val="070122F0"/>
    <w:rsid w:val="072F0F7B"/>
    <w:rsid w:val="075E4944"/>
    <w:rsid w:val="075F7318"/>
    <w:rsid w:val="079C4ADE"/>
    <w:rsid w:val="07BD0726"/>
    <w:rsid w:val="07FC1B3E"/>
    <w:rsid w:val="080F2FE4"/>
    <w:rsid w:val="084F68CB"/>
    <w:rsid w:val="085A1BE1"/>
    <w:rsid w:val="086A431A"/>
    <w:rsid w:val="08A9367B"/>
    <w:rsid w:val="08D86E72"/>
    <w:rsid w:val="093D06B0"/>
    <w:rsid w:val="09591108"/>
    <w:rsid w:val="098951A5"/>
    <w:rsid w:val="09DC400A"/>
    <w:rsid w:val="0A096EBC"/>
    <w:rsid w:val="0A1357D4"/>
    <w:rsid w:val="0A3B11A3"/>
    <w:rsid w:val="0A6A2A5E"/>
    <w:rsid w:val="0AB2466D"/>
    <w:rsid w:val="0AB66338"/>
    <w:rsid w:val="0AE67587"/>
    <w:rsid w:val="0B3A4CFE"/>
    <w:rsid w:val="0B631F3C"/>
    <w:rsid w:val="0B636CC1"/>
    <w:rsid w:val="0BB96227"/>
    <w:rsid w:val="0BCA1551"/>
    <w:rsid w:val="0BF02F5F"/>
    <w:rsid w:val="0C1205E8"/>
    <w:rsid w:val="0C1E2BA0"/>
    <w:rsid w:val="0C21217E"/>
    <w:rsid w:val="0C240CE5"/>
    <w:rsid w:val="0C3F6D5B"/>
    <w:rsid w:val="0C765CB2"/>
    <w:rsid w:val="0C8602C4"/>
    <w:rsid w:val="0CDA4F6D"/>
    <w:rsid w:val="0CDF43DD"/>
    <w:rsid w:val="0CFB3563"/>
    <w:rsid w:val="0D0475F6"/>
    <w:rsid w:val="0D373669"/>
    <w:rsid w:val="0D764E12"/>
    <w:rsid w:val="0D7D3EC3"/>
    <w:rsid w:val="0D937226"/>
    <w:rsid w:val="0DEB19AF"/>
    <w:rsid w:val="0E2D7F14"/>
    <w:rsid w:val="0E3627D0"/>
    <w:rsid w:val="0E422197"/>
    <w:rsid w:val="0E615169"/>
    <w:rsid w:val="0E970358"/>
    <w:rsid w:val="0EAE4C53"/>
    <w:rsid w:val="0EDE4D61"/>
    <w:rsid w:val="0EF27825"/>
    <w:rsid w:val="0F1747D0"/>
    <w:rsid w:val="0F361AD2"/>
    <w:rsid w:val="0F766D8E"/>
    <w:rsid w:val="0F884221"/>
    <w:rsid w:val="101355CD"/>
    <w:rsid w:val="10392EAE"/>
    <w:rsid w:val="106C2B22"/>
    <w:rsid w:val="10706EC2"/>
    <w:rsid w:val="10801E69"/>
    <w:rsid w:val="10A11DDD"/>
    <w:rsid w:val="10A4463E"/>
    <w:rsid w:val="10E94F29"/>
    <w:rsid w:val="11067BAF"/>
    <w:rsid w:val="11394306"/>
    <w:rsid w:val="11405A21"/>
    <w:rsid w:val="115E5333"/>
    <w:rsid w:val="119E054E"/>
    <w:rsid w:val="11E338D3"/>
    <w:rsid w:val="1224063D"/>
    <w:rsid w:val="12807280"/>
    <w:rsid w:val="13030129"/>
    <w:rsid w:val="13215400"/>
    <w:rsid w:val="133305EC"/>
    <w:rsid w:val="13440195"/>
    <w:rsid w:val="138B2D26"/>
    <w:rsid w:val="13A13753"/>
    <w:rsid w:val="13A81874"/>
    <w:rsid w:val="13C77E0B"/>
    <w:rsid w:val="13CB2484"/>
    <w:rsid w:val="14093B52"/>
    <w:rsid w:val="141C7045"/>
    <w:rsid w:val="14721148"/>
    <w:rsid w:val="148463E6"/>
    <w:rsid w:val="14972906"/>
    <w:rsid w:val="14B71FA9"/>
    <w:rsid w:val="14D20D9B"/>
    <w:rsid w:val="14E73786"/>
    <w:rsid w:val="15170D44"/>
    <w:rsid w:val="15771668"/>
    <w:rsid w:val="15901FEA"/>
    <w:rsid w:val="159077C1"/>
    <w:rsid w:val="15993E16"/>
    <w:rsid w:val="15A72BED"/>
    <w:rsid w:val="15B03AAF"/>
    <w:rsid w:val="15CF7A2F"/>
    <w:rsid w:val="1608185A"/>
    <w:rsid w:val="1621170E"/>
    <w:rsid w:val="16332332"/>
    <w:rsid w:val="16A71BB1"/>
    <w:rsid w:val="16F23890"/>
    <w:rsid w:val="17200067"/>
    <w:rsid w:val="175F2BE6"/>
    <w:rsid w:val="177A072A"/>
    <w:rsid w:val="17A8137B"/>
    <w:rsid w:val="17AA759A"/>
    <w:rsid w:val="17B4164A"/>
    <w:rsid w:val="17C4052C"/>
    <w:rsid w:val="17C86B7D"/>
    <w:rsid w:val="17D021D2"/>
    <w:rsid w:val="17E13854"/>
    <w:rsid w:val="17F032A2"/>
    <w:rsid w:val="18593EEB"/>
    <w:rsid w:val="188C12FA"/>
    <w:rsid w:val="18B91D2B"/>
    <w:rsid w:val="18BC2176"/>
    <w:rsid w:val="18BD0806"/>
    <w:rsid w:val="18C40414"/>
    <w:rsid w:val="191C4FE8"/>
    <w:rsid w:val="192720E3"/>
    <w:rsid w:val="19584E18"/>
    <w:rsid w:val="198620BB"/>
    <w:rsid w:val="19DE4711"/>
    <w:rsid w:val="19F1626B"/>
    <w:rsid w:val="1A604B05"/>
    <w:rsid w:val="1A6A6D44"/>
    <w:rsid w:val="1A817123"/>
    <w:rsid w:val="1AFB0E51"/>
    <w:rsid w:val="1B474104"/>
    <w:rsid w:val="1B4C0B5A"/>
    <w:rsid w:val="1B595DCE"/>
    <w:rsid w:val="1C093ECB"/>
    <w:rsid w:val="1C9B76A0"/>
    <w:rsid w:val="1CDD0584"/>
    <w:rsid w:val="1CE4433A"/>
    <w:rsid w:val="1CF666F0"/>
    <w:rsid w:val="1D4B5507"/>
    <w:rsid w:val="1D54609B"/>
    <w:rsid w:val="1D561465"/>
    <w:rsid w:val="1DA31ABA"/>
    <w:rsid w:val="1DA8229F"/>
    <w:rsid w:val="1DD21BF3"/>
    <w:rsid w:val="1DEB7E6D"/>
    <w:rsid w:val="1E0E2DF3"/>
    <w:rsid w:val="1E0F1FD7"/>
    <w:rsid w:val="1E2018BE"/>
    <w:rsid w:val="1E6A78CD"/>
    <w:rsid w:val="1E9001D9"/>
    <w:rsid w:val="1EA30B4C"/>
    <w:rsid w:val="1EA47357"/>
    <w:rsid w:val="1EE84AA8"/>
    <w:rsid w:val="1EFB2392"/>
    <w:rsid w:val="1F2F271A"/>
    <w:rsid w:val="1F6E52A2"/>
    <w:rsid w:val="1F735B62"/>
    <w:rsid w:val="1FB549C6"/>
    <w:rsid w:val="1FB57D4D"/>
    <w:rsid w:val="1FC80796"/>
    <w:rsid w:val="1FD11350"/>
    <w:rsid w:val="204A1E13"/>
    <w:rsid w:val="2054394A"/>
    <w:rsid w:val="209025EE"/>
    <w:rsid w:val="20AE3204"/>
    <w:rsid w:val="20D40F99"/>
    <w:rsid w:val="214624ED"/>
    <w:rsid w:val="215819F6"/>
    <w:rsid w:val="218D4481"/>
    <w:rsid w:val="21AD3B83"/>
    <w:rsid w:val="21FA01A1"/>
    <w:rsid w:val="221D5E85"/>
    <w:rsid w:val="222C1CC0"/>
    <w:rsid w:val="222E2931"/>
    <w:rsid w:val="22484E58"/>
    <w:rsid w:val="227C0DCD"/>
    <w:rsid w:val="228447E5"/>
    <w:rsid w:val="22A95544"/>
    <w:rsid w:val="23422BB0"/>
    <w:rsid w:val="23424F53"/>
    <w:rsid w:val="234A5F84"/>
    <w:rsid w:val="23582408"/>
    <w:rsid w:val="23660707"/>
    <w:rsid w:val="236E14E2"/>
    <w:rsid w:val="237D0FC2"/>
    <w:rsid w:val="238F7DCE"/>
    <w:rsid w:val="23970167"/>
    <w:rsid w:val="24147F1D"/>
    <w:rsid w:val="24244D92"/>
    <w:rsid w:val="24296133"/>
    <w:rsid w:val="242F631F"/>
    <w:rsid w:val="244E66FF"/>
    <w:rsid w:val="24577DE4"/>
    <w:rsid w:val="24783194"/>
    <w:rsid w:val="248C5BBA"/>
    <w:rsid w:val="24CE3BAF"/>
    <w:rsid w:val="24D92305"/>
    <w:rsid w:val="24D96B70"/>
    <w:rsid w:val="24E21308"/>
    <w:rsid w:val="2519505F"/>
    <w:rsid w:val="25671AF5"/>
    <w:rsid w:val="25821982"/>
    <w:rsid w:val="25A242DE"/>
    <w:rsid w:val="25D60AD2"/>
    <w:rsid w:val="25D65461"/>
    <w:rsid w:val="25DF39E7"/>
    <w:rsid w:val="25E3371B"/>
    <w:rsid w:val="25E76D27"/>
    <w:rsid w:val="261F0C17"/>
    <w:rsid w:val="266B421D"/>
    <w:rsid w:val="266E24FE"/>
    <w:rsid w:val="267252A4"/>
    <w:rsid w:val="268400FD"/>
    <w:rsid w:val="26CA6350"/>
    <w:rsid w:val="26CE19BE"/>
    <w:rsid w:val="26E00FED"/>
    <w:rsid w:val="27117EDE"/>
    <w:rsid w:val="27731F31"/>
    <w:rsid w:val="27A7080A"/>
    <w:rsid w:val="28546E15"/>
    <w:rsid w:val="289E691E"/>
    <w:rsid w:val="28CF1D74"/>
    <w:rsid w:val="295802C0"/>
    <w:rsid w:val="29BB5D7A"/>
    <w:rsid w:val="29C57527"/>
    <w:rsid w:val="29C857FB"/>
    <w:rsid w:val="29D148D0"/>
    <w:rsid w:val="29E00A69"/>
    <w:rsid w:val="2A0F0F76"/>
    <w:rsid w:val="2A492AF2"/>
    <w:rsid w:val="2A703A89"/>
    <w:rsid w:val="2A7C3B5D"/>
    <w:rsid w:val="2AB76578"/>
    <w:rsid w:val="2AC803DC"/>
    <w:rsid w:val="2AF9481A"/>
    <w:rsid w:val="2AFE711F"/>
    <w:rsid w:val="2B00287F"/>
    <w:rsid w:val="2B071159"/>
    <w:rsid w:val="2B092FB2"/>
    <w:rsid w:val="2B1023C9"/>
    <w:rsid w:val="2B9C69B1"/>
    <w:rsid w:val="2BA2013E"/>
    <w:rsid w:val="2BC417BC"/>
    <w:rsid w:val="2BE766BB"/>
    <w:rsid w:val="2C0A7A1A"/>
    <w:rsid w:val="2C5222A1"/>
    <w:rsid w:val="2CA6260C"/>
    <w:rsid w:val="2CA70812"/>
    <w:rsid w:val="2CB108D7"/>
    <w:rsid w:val="2CDA24DC"/>
    <w:rsid w:val="2D33402D"/>
    <w:rsid w:val="2D54010B"/>
    <w:rsid w:val="2D8D51DC"/>
    <w:rsid w:val="2D912C47"/>
    <w:rsid w:val="2DB71FAC"/>
    <w:rsid w:val="2DD1427F"/>
    <w:rsid w:val="2DD268C9"/>
    <w:rsid w:val="2E0D1401"/>
    <w:rsid w:val="2EA2717F"/>
    <w:rsid w:val="2EBA077D"/>
    <w:rsid w:val="2EBC618D"/>
    <w:rsid w:val="2ED222F3"/>
    <w:rsid w:val="2EF726B0"/>
    <w:rsid w:val="2EF97816"/>
    <w:rsid w:val="2F237FB3"/>
    <w:rsid w:val="2F266F50"/>
    <w:rsid w:val="2F720999"/>
    <w:rsid w:val="2F84259E"/>
    <w:rsid w:val="2F8B40F9"/>
    <w:rsid w:val="2FA50222"/>
    <w:rsid w:val="2FD752A5"/>
    <w:rsid w:val="2FDE6467"/>
    <w:rsid w:val="30036AAC"/>
    <w:rsid w:val="30143D85"/>
    <w:rsid w:val="30692C3D"/>
    <w:rsid w:val="312668F0"/>
    <w:rsid w:val="31752B09"/>
    <w:rsid w:val="31894973"/>
    <w:rsid w:val="31FD2290"/>
    <w:rsid w:val="320202A4"/>
    <w:rsid w:val="32152C33"/>
    <w:rsid w:val="324B117A"/>
    <w:rsid w:val="32614BF6"/>
    <w:rsid w:val="3295270B"/>
    <w:rsid w:val="32D55D51"/>
    <w:rsid w:val="32E81934"/>
    <w:rsid w:val="332F7BA5"/>
    <w:rsid w:val="335F3046"/>
    <w:rsid w:val="337D122C"/>
    <w:rsid w:val="33E1098E"/>
    <w:rsid w:val="34015A86"/>
    <w:rsid w:val="341548E3"/>
    <w:rsid w:val="341C73AD"/>
    <w:rsid w:val="34685578"/>
    <w:rsid w:val="3477614B"/>
    <w:rsid w:val="3487190D"/>
    <w:rsid w:val="34AD403F"/>
    <w:rsid w:val="34FD7B2D"/>
    <w:rsid w:val="350A5F01"/>
    <w:rsid w:val="35375367"/>
    <w:rsid w:val="35880431"/>
    <w:rsid w:val="35AB7A5F"/>
    <w:rsid w:val="35BF1C6E"/>
    <w:rsid w:val="35D57D5C"/>
    <w:rsid w:val="35EC203E"/>
    <w:rsid w:val="36115A29"/>
    <w:rsid w:val="3651686F"/>
    <w:rsid w:val="367D48AA"/>
    <w:rsid w:val="3756612A"/>
    <w:rsid w:val="37712A39"/>
    <w:rsid w:val="379646A6"/>
    <w:rsid w:val="379E03C0"/>
    <w:rsid w:val="37B24C52"/>
    <w:rsid w:val="37DD1C48"/>
    <w:rsid w:val="38160592"/>
    <w:rsid w:val="38271A77"/>
    <w:rsid w:val="38644486"/>
    <w:rsid w:val="390471EE"/>
    <w:rsid w:val="390F3C45"/>
    <w:rsid w:val="391A3788"/>
    <w:rsid w:val="39577F6A"/>
    <w:rsid w:val="39920EA7"/>
    <w:rsid w:val="39C30F5C"/>
    <w:rsid w:val="39F367FB"/>
    <w:rsid w:val="3A1447B7"/>
    <w:rsid w:val="3A350059"/>
    <w:rsid w:val="3A992A50"/>
    <w:rsid w:val="3AD01DBA"/>
    <w:rsid w:val="3AE50133"/>
    <w:rsid w:val="3AEF184B"/>
    <w:rsid w:val="3AF65D65"/>
    <w:rsid w:val="3B103EC0"/>
    <w:rsid w:val="3B25794D"/>
    <w:rsid w:val="3B345EA5"/>
    <w:rsid w:val="3B491C1C"/>
    <w:rsid w:val="3B6E61A1"/>
    <w:rsid w:val="3B7A083A"/>
    <w:rsid w:val="3B837FF9"/>
    <w:rsid w:val="3BD94BB0"/>
    <w:rsid w:val="3BF12A1E"/>
    <w:rsid w:val="3C6148EE"/>
    <w:rsid w:val="3C84357F"/>
    <w:rsid w:val="3C871D6F"/>
    <w:rsid w:val="3C9514F9"/>
    <w:rsid w:val="3CAC27E0"/>
    <w:rsid w:val="3CD55589"/>
    <w:rsid w:val="3D332F79"/>
    <w:rsid w:val="3D445AEB"/>
    <w:rsid w:val="3D7413A5"/>
    <w:rsid w:val="3D7C4212"/>
    <w:rsid w:val="3D856805"/>
    <w:rsid w:val="3DB531EC"/>
    <w:rsid w:val="3E147F83"/>
    <w:rsid w:val="3E5F5711"/>
    <w:rsid w:val="3E6924FD"/>
    <w:rsid w:val="3E805EFA"/>
    <w:rsid w:val="3EAD7AA4"/>
    <w:rsid w:val="3ECA4CC1"/>
    <w:rsid w:val="3F4262D2"/>
    <w:rsid w:val="3F5D3F9F"/>
    <w:rsid w:val="3FCA392F"/>
    <w:rsid w:val="4023400E"/>
    <w:rsid w:val="402F540C"/>
    <w:rsid w:val="40643820"/>
    <w:rsid w:val="4079502C"/>
    <w:rsid w:val="40A146E6"/>
    <w:rsid w:val="40C76003"/>
    <w:rsid w:val="40DA19A4"/>
    <w:rsid w:val="40F02A6D"/>
    <w:rsid w:val="41296B9A"/>
    <w:rsid w:val="41745EF0"/>
    <w:rsid w:val="41884255"/>
    <w:rsid w:val="41986365"/>
    <w:rsid w:val="419B35F4"/>
    <w:rsid w:val="41E559E6"/>
    <w:rsid w:val="426B3BFD"/>
    <w:rsid w:val="42910AC3"/>
    <w:rsid w:val="42A6641E"/>
    <w:rsid w:val="42AD5EB0"/>
    <w:rsid w:val="42B30059"/>
    <w:rsid w:val="42CA3562"/>
    <w:rsid w:val="42D4753C"/>
    <w:rsid w:val="42D65CE3"/>
    <w:rsid w:val="43036342"/>
    <w:rsid w:val="431C50CE"/>
    <w:rsid w:val="43467841"/>
    <w:rsid w:val="438E57BC"/>
    <w:rsid w:val="43BA688B"/>
    <w:rsid w:val="43BD3B11"/>
    <w:rsid w:val="43C326B1"/>
    <w:rsid w:val="43C93DA7"/>
    <w:rsid w:val="43E63F63"/>
    <w:rsid w:val="43F47D4D"/>
    <w:rsid w:val="43FA1665"/>
    <w:rsid w:val="440F6EBE"/>
    <w:rsid w:val="4487596E"/>
    <w:rsid w:val="449065E4"/>
    <w:rsid w:val="44C52600"/>
    <w:rsid w:val="451E7709"/>
    <w:rsid w:val="452A27C4"/>
    <w:rsid w:val="4559551E"/>
    <w:rsid w:val="455A0DA3"/>
    <w:rsid w:val="4563730C"/>
    <w:rsid w:val="45D83A86"/>
    <w:rsid w:val="45ED1351"/>
    <w:rsid w:val="46037123"/>
    <w:rsid w:val="46224E26"/>
    <w:rsid w:val="467472CC"/>
    <w:rsid w:val="46997F5B"/>
    <w:rsid w:val="46B55E43"/>
    <w:rsid w:val="46DD0EA4"/>
    <w:rsid w:val="46DF04B4"/>
    <w:rsid w:val="46ED47E4"/>
    <w:rsid w:val="471932DC"/>
    <w:rsid w:val="475C6D86"/>
    <w:rsid w:val="47732475"/>
    <w:rsid w:val="477E6769"/>
    <w:rsid w:val="47BB49A9"/>
    <w:rsid w:val="47E278F4"/>
    <w:rsid w:val="47E44CE0"/>
    <w:rsid w:val="48193EDE"/>
    <w:rsid w:val="48694FA0"/>
    <w:rsid w:val="488E768B"/>
    <w:rsid w:val="48BB264B"/>
    <w:rsid w:val="493D0335"/>
    <w:rsid w:val="49676AC2"/>
    <w:rsid w:val="4976578C"/>
    <w:rsid w:val="498F4936"/>
    <w:rsid w:val="499B6233"/>
    <w:rsid w:val="49D1074D"/>
    <w:rsid w:val="49E67D8E"/>
    <w:rsid w:val="49F41D5E"/>
    <w:rsid w:val="4A047D76"/>
    <w:rsid w:val="4A1A61CA"/>
    <w:rsid w:val="4A327238"/>
    <w:rsid w:val="4A903713"/>
    <w:rsid w:val="4A943C10"/>
    <w:rsid w:val="4AA92CE9"/>
    <w:rsid w:val="4AC41DB7"/>
    <w:rsid w:val="4B1E31F7"/>
    <w:rsid w:val="4B3E700B"/>
    <w:rsid w:val="4B3F1232"/>
    <w:rsid w:val="4B57703E"/>
    <w:rsid w:val="4B662107"/>
    <w:rsid w:val="4B9A0561"/>
    <w:rsid w:val="4BCB3573"/>
    <w:rsid w:val="4C035F37"/>
    <w:rsid w:val="4C212DEA"/>
    <w:rsid w:val="4C22747C"/>
    <w:rsid w:val="4C483FCB"/>
    <w:rsid w:val="4C514E97"/>
    <w:rsid w:val="4CB90340"/>
    <w:rsid w:val="4CE75373"/>
    <w:rsid w:val="4D097EF2"/>
    <w:rsid w:val="4D0A2A52"/>
    <w:rsid w:val="4D3747FF"/>
    <w:rsid w:val="4D543359"/>
    <w:rsid w:val="4DB67461"/>
    <w:rsid w:val="4E0C268A"/>
    <w:rsid w:val="4E765E5A"/>
    <w:rsid w:val="4E7D7DAC"/>
    <w:rsid w:val="4E8318E1"/>
    <w:rsid w:val="4EAE23AB"/>
    <w:rsid w:val="4EDE2EB6"/>
    <w:rsid w:val="4EEE29D8"/>
    <w:rsid w:val="4EF633AB"/>
    <w:rsid w:val="4F106249"/>
    <w:rsid w:val="4F1670CF"/>
    <w:rsid w:val="4F384879"/>
    <w:rsid w:val="4F55729E"/>
    <w:rsid w:val="4FC06E79"/>
    <w:rsid w:val="4FFE6E2E"/>
    <w:rsid w:val="503E32E5"/>
    <w:rsid w:val="50513BF5"/>
    <w:rsid w:val="50675DFF"/>
    <w:rsid w:val="509A2890"/>
    <w:rsid w:val="50B924A3"/>
    <w:rsid w:val="50F857A1"/>
    <w:rsid w:val="514756C4"/>
    <w:rsid w:val="514B75E8"/>
    <w:rsid w:val="51737993"/>
    <w:rsid w:val="5194469F"/>
    <w:rsid w:val="519D0DB4"/>
    <w:rsid w:val="51A53B14"/>
    <w:rsid w:val="51AF1C3C"/>
    <w:rsid w:val="51BE4911"/>
    <w:rsid w:val="51D239AD"/>
    <w:rsid w:val="51EF2E47"/>
    <w:rsid w:val="5200122E"/>
    <w:rsid w:val="52121EAC"/>
    <w:rsid w:val="52215111"/>
    <w:rsid w:val="524D44B3"/>
    <w:rsid w:val="525F4868"/>
    <w:rsid w:val="531F30C4"/>
    <w:rsid w:val="538748A2"/>
    <w:rsid w:val="538F5E1B"/>
    <w:rsid w:val="53DF0AB7"/>
    <w:rsid w:val="53FB2D98"/>
    <w:rsid w:val="54371409"/>
    <w:rsid w:val="544F049A"/>
    <w:rsid w:val="54796757"/>
    <w:rsid w:val="547D2BB1"/>
    <w:rsid w:val="54955562"/>
    <w:rsid w:val="549B6672"/>
    <w:rsid w:val="54A91F22"/>
    <w:rsid w:val="54BD4069"/>
    <w:rsid w:val="54EE0FF2"/>
    <w:rsid w:val="54F27CFD"/>
    <w:rsid w:val="55230FD0"/>
    <w:rsid w:val="553B0BD0"/>
    <w:rsid w:val="555C3C85"/>
    <w:rsid w:val="55633F28"/>
    <w:rsid w:val="5576168A"/>
    <w:rsid w:val="55B24F2B"/>
    <w:rsid w:val="55D12532"/>
    <w:rsid w:val="5601257D"/>
    <w:rsid w:val="563C5D54"/>
    <w:rsid w:val="565114E3"/>
    <w:rsid w:val="566D4B95"/>
    <w:rsid w:val="567C7800"/>
    <w:rsid w:val="568D6638"/>
    <w:rsid w:val="56BF11D0"/>
    <w:rsid w:val="56FF1D12"/>
    <w:rsid w:val="570E2A22"/>
    <w:rsid w:val="572656D4"/>
    <w:rsid w:val="57462C31"/>
    <w:rsid w:val="57DF4914"/>
    <w:rsid w:val="581B2431"/>
    <w:rsid w:val="5836129D"/>
    <w:rsid w:val="58532F1B"/>
    <w:rsid w:val="58951701"/>
    <w:rsid w:val="58C12419"/>
    <w:rsid w:val="58DE7069"/>
    <w:rsid w:val="58F62B5D"/>
    <w:rsid w:val="58F816CA"/>
    <w:rsid w:val="58FA36D0"/>
    <w:rsid w:val="593F52E8"/>
    <w:rsid w:val="59595C46"/>
    <w:rsid w:val="59AD06A4"/>
    <w:rsid w:val="5A1E4155"/>
    <w:rsid w:val="5A3938A1"/>
    <w:rsid w:val="5A395D10"/>
    <w:rsid w:val="5A4D586D"/>
    <w:rsid w:val="5A6249B0"/>
    <w:rsid w:val="5A964AB8"/>
    <w:rsid w:val="5AC97447"/>
    <w:rsid w:val="5AD4643E"/>
    <w:rsid w:val="5B333C3C"/>
    <w:rsid w:val="5B8E16C2"/>
    <w:rsid w:val="5B9966B4"/>
    <w:rsid w:val="5CA34613"/>
    <w:rsid w:val="5CF47D0C"/>
    <w:rsid w:val="5CF52A1F"/>
    <w:rsid w:val="5D08610F"/>
    <w:rsid w:val="5D0C0B25"/>
    <w:rsid w:val="5D1E702C"/>
    <w:rsid w:val="5DA43012"/>
    <w:rsid w:val="5DBC31B1"/>
    <w:rsid w:val="5DCD78A7"/>
    <w:rsid w:val="5E0F09F4"/>
    <w:rsid w:val="5E173FF3"/>
    <w:rsid w:val="5E3374E6"/>
    <w:rsid w:val="5E603F7F"/>
    <w:rsid w:val="5ECE7578"/>
    <w:rsid w:val="5EE84C68"/>
    <w:rsid w:val="5F0626B0"/>
    <w:rsid w:val="5F1B0044"/>
    <w:rsid w:val="5F8F0673"/>
    <w:rsid w:val="5FC97FEB"/>
    <w:rsid w:val="606301FB"/>
    <w:rsid w:val="60D8319C"/>
    <w:rsid w:val="60E42E34"/>
    <w:rsid w:val="60F31D14"/>
    <w:rsid w:val="61014D78"/>
    <w:rsid w:val="611932AF"/>
    <w:rsid w:val="614B69BA"/>
    <w:rsid w:val="614B72AC"/>
    <w:rsid w:val="614C3C26"/>
    <w:rsid w:val="6165708A"/>
    <w:rsid w:val="617102D4"/>
    <w:rsid w:val="618133B1"/>
    <w:rsid w:val="61AD61D0"/>
    <w:rsid w:val="61E2672A"/>
    <w:rsid w:val="621D5BA4"/>
    <w:rsid w:val="622215D8"/>
    <w:rsid w:val="622F0005"/>
    <w:rsid w:val="625E2024"/>
    <w:rsid w:val="631A6DAA"/>
    <w:rsid w:val="63256512"/>
    <w:rsid w:val="632D4A3C"/>
    <w:rsid w:val="633E23DD"/>
    <w:rsid w:val="634D4ADC"/>
    <w:rsid w:val="635B6748"/>
    <w:rsid w:val="635C429C"/>
    <w:rsid w:val="6385270B"/>
    <w:rsid w:val="63947A95"/>
    <w:rsid w:val="63995DF3"/>
    <w:rsid w:val="63D0057D"/>
    <w:rsid w:val="6433403C"/>
    <w:rsid w:val="645D5A93"/>
    <w:rsid w:val="645E43BF"/>
    <w:rsid w:val="646225C9"/>
    <w:rsid w:val="64935C1B"/>
    <w:rsid w:val="64A94977"/>
    <w:rsid w:val="65194FD3"/>
    <w:rsid w:val="657C0DAF"/>
    <w:rsid w:val="65B9511C"/>
    <w:rsid w:val="660C7F20"/>
    <w:rsid w:val="66361B8F"/>
    <w:rsid w:val="666A0D6A"/>
    <w:rsid w:val="66A65BCB"/>
    <w:rsid w:val="66B479A6"/>
    <w:rsid w:val="66BA70A7"/>
    <w:rsid w:val="66D85417"/>
    <w:rsid w:val="66DC2963"/>
    <w:rsid w:val="66E57B77"/>
    <w:rsid w:val="6727655C"/>
    <w:rsid w:val="6748037B"/>
    <w:rsid w:val="678A5484"/>
    <w:rsid w:val="678F10A0"/>
    <w:rsid w:val="67967995"/>
    <w:rsid w:val="679B1417"/>
    <w:rsid w:val="67B167D1"/>
    <w:rsid w:val="67B8730F"/>
    <w:rsid w:val="68077B91"/>
    <w:rsid w:val="68315DA2"/>
    <w:rsid w:val="68446CCF"/>
    <w:rsid w:val="68482DB3"/>
    <w:rsid w:val="685E0FB6"/>
    <w:rsid w:val="685F0E50"/>
    <w:rsid w:val="685F1C50"/>
    <w:rsid w:val="68B61411"/>
    <w:rsid w:val="68CA6271"/>
    <w:rsid w:val="68CD7322"/>
    <w:rsid w:val="68D67C69"/>
    <w:rsid w:val="68D81E4F"/>
    <w:rsid w:val="68FD31D7"/>
    <w:rsid w:val="693636EF"/>
    <w:rsid w:val="69410BEE"/>
    <w:rsid w:val="695125CA"/>
    <w:rsid w:val="69680525"/>
    <w:rsid w:val="699022E9"/>
    <w:rsid w:val="6A2C3949"/>
    <w:rsid w:val="6A35559C"/>
    <w:rsid w:val="6A4F6B08"/>
    <w:rsid w:val="6A714498"/>
    <w:rsid w:val="6AA74D9D"/>
    <w:rsid w:val="6AC3299D"/>
    <w:rsid w:val="6ACF57D2"/>
    <w:rsid w:val="6B2C481B"/>
    <w:rsid w:val="6B4B5E14"/>
    <w:rsid w:val="6B4C4CC5"/>
    <w:rsid w:val="6B6F2C4D"/>
    <w:rsid w:val="6B725792"/>
    <w:rsid w:val="6B8F62FC"/>
    <w:rsid w:val="6B976CB9"/>
    <w:rsid w:val="6BE7576E"/>
    <w:rsid w:val="6BEC5F07"/>
    <w:rsid w:val="6BF27B2F"/>
    <w:rsid w:val="6C0D0E79"/>
    <w:rsid w:val="6C1F6AA2"/>
    <w:rsid w:val="6C2755B4"/>
    <w:rsid w:val="6C6C35F5"/>
    <w:rsid w:val="6CB87D98"/>
    <w:rsid w:val="6CB95A74"/>
    <w:rsid w:val="6CE21AC1"/>
    <w:rsid w:val="6CFC1CBF"/>
    <w:rsid w:val="6D5D3196"/>
    <w:rsid w:val="6D664EE6"/>
    <w:rsid w:val="6D862606"/>
    <w:rsid w:val="6DA13C29"/>
    <w:rsid w:val="6DF93C55"/>
    <w:rsid w:val="6E140C84"/>
    <w:rsid w:val="6E7F3835"/>
    <w:rsid w:val="6EA56F68"/>
    <w:rsid w:val="6EFC549E"/>
    <w:rsid w:val="6F3A2165"/>
    <w:rsid w:val="6FBC78F1"/>
    <w:rsid w:val="6FF84FF4"/>
    <w:rsid w:val="70060541"/>
    <w:rsid w:val="703665DE"/>
    <w:rsid w:val="706104F8"/>
    <w:rsid w:val="706A3279"/>
    <w:rsid w:val="70795A00"/>
    <w:rsid w:val="70807B3E"/>
    <w:rsid w:val="71280F29"/>
    <w:rsid w:val="7139565E"/>
    <w:rsid w:val="715F5AC0"/>
    <w:rsid w:val="716440FB"/>
    <w:rsid w:val="717B1A6C"/>
    <w:rsid w:val="71A04FFD"/>
    <w:rsid w:val="720B6D0C"/>
    <w:rsid w:val="720F4CA0"/>
    <w:rsid w:val="72162671"/>
    <w:rsid w:val="721D01CC"/>
    <w:rsid w:val="727C06F2"/>
    <w:rsid w:val="72A24297"/>
    <w:rsid w:val="72B7064C"/>
    <w:rsid w:val="72D36F5F"/>
    <w:rsid w:val="72EB61AE"/>
    <w:rsid w:val="72FA6C48"/>
    <w:rsid w:val="73591ED0"/>
    <w:rsid w:val="7360126A"/>
    <w:rsid w:val="73803F85"/>
    <w:rsid w:val="73A0232C"/>
    <w:rsid w:val="73A77F04"/>
    <w:rsid w:val="73B175BA"/>
    <w:rsid w:val="73E90A84"/>
    <w:rsid w:val="73F43BF0"/>
    <w:rsid w:val="741929F9"/>
    <w:rsid w:val="74375E04"/>
    <w:rsid w:val="745919C6"/>
    <w:rsid w:val="74702A9A"/>
    <w:rsid w:val="74C90CFC"/>
    <w:rsid w:val="74CB2564"/>
    <w:rsid w:val="74FE3D65"/>
    <w:rsid w:val="7540712D"/>
    <w:rsid w:val="7587153D"/>
    <w:rsid w:val="75B55A08"/>
    <w:rsid w:val="75D6706B"/>
    <w:rsid w:val="75E13EAC"/>
    <w:rsid w:val="75F107FD"/>
    <w:rsid w:val="7608791A"/>
    <w:rsid w:val="761C2BBB"/>
    <w:rsid w:val="7631361A"/>
    <w:rsid w:val="76476BA1"/>
    <w:rsid w:val="7664068F"/>
    <w:rsid w:val="766B3623"/>
    <w:rsid w:val="7677643E"/>
    <w:rsid w:val="767C2539"/>
    <w:rsid w:val="76F24F99"/>
    <w:rsid w:val="774114F6"/>
    <w:rsid w:val="776A1DE8"/>
    <w:rsid w:val="778D0586"/>
    <w:rsid w:val="780C2D10"/>
    <w:rsid w:val="783252F2"/>
    <w:rsid w:val="785D00CA"/>
    <w:rsid w:val="785E76E8"/>
    <w:rsid w:val="786C062C"/>
    <w:rsid w:val="78E36E01"/>
    <w:rsid w:val="78F364A9"/>
    <w:rsid w:val="78FE4D83"/>
    <w:rsid w:val="79212831"/>
    <w:rsid w:val="792A1A22"/>
    <w:rsid w:val="793B5C30"/>
    <w:rsid w:val="7980797E"/>
    <w:rsid w:val="79822868"/>
    <w:rsid w:val="79C17EE8"/>
    <w:rsid w:val="79D15FE4"/>
    <w:rsid w:val="79F07533"/>
    <w:rsid w:val="79F36117"/>
    <w:rsid w:val="7A3F692E"/>
    <w:rsid w:val="7A6A3672"/>
    <w:rsid w:val="7A8D09B0"/>
    <w:rsid w:val="7AA21ED1"/>
    <w:rsid w:val="7AAE6128"/>
    <w:rsid w:val="7AAF78BB"/>
    <w:rsid w:val="7AB948B6"/>
    <w:rsid w:val="7AE107C6"/>
    <w:rsid w:val="7AEE350D"/>
    <w:rsid w:val="7B170A0B"/>
    <w:rsid w:val="7B3C2695"/>
    <w:rsid w:val="7B3C2E48"/>
    <w:rsid w:val="7B792F7C"/>
    <w:rsid w:val="7C0D2D6E"/>
    <w:rsid w:val="7C767CAC"/>
    <w:rsid w:val="7C7C10D6"/>
    <w:rsid w:val="7C807EF4"/>
    <w:rsid w:val="7CAF0AA9"/>
    <w:rsid w:val="7CC62A72"/>
    <w:rsid w:val="7D153328"/>
    <w:rsid w:val="7DDD6CEA"/>
    <w:rsid w:val="7DE84E24"/>
    <w:rsid w:val="7DEF588E"/>
    <w:rsid w:val="7E064E23"/>
    <w:rsid w:val="7E4E4DF5"/>
    <w:rsid w:val="7E565841"/>
    <w:rsid w:val="7E636E14"/>
    <w:rsid w:val="7E753189"/>
    <w:rsid w:val="7E7C533B"/>
    <w:rsid w:val="7EF41B6E"/>
    <w:rsid w:val="7EFE7741"/>
    <w:rsid w:val="7F6874AC"/>
    <w:rsid w:val="7F6B4AD7"/>
    <w:rsid w:val="7F891C56"/>
    <w:rsid w:val="7FB7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Chars="0"/>
      <w:jc w:val="center"/>
      <w:outlineLvl w:val="0"/>
    </w:pPr>
    <w:rPr>
      <w:b/>
      <w:bCs/>
      <w:kern w:val="44"/>
      <w:sz w:val="44"/>
      <w:szCs w:val="44"/>
    </w:rPr>
  </w:style>
  <w:style w:type="paragraph" w:styleId="4">
    <w:name w:val="heading 2"/>
    <w:basedOn w:val="1"/>
    <w:next w:val="5"/>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qFormat/>
    <w:uiPriority w:val="0"/>
    <w:pPr>
      <w:keepNext/>
      <w:keepLines/>
      <w:tabs>
        <w:tab w:val="left" w:pos="142"/>
        <w:tab w:val="left" w:pos="993"/>
        <w:tab w:val="left" w:pos="1418"/>
        <w:tab w:val="left" w:pos="1560"/>
      </w:tabs>
      <w:adjustRightInd w:val="0"/>
      <w:spacing w:line="377" w:lineRule="auto"/>
      <w:outlineLvl w:val="3"/>
    </w:pPr>
    <w:rPr>
      <w:rFonts w:asciiTheme="majorEastAsia" w:hAnsiTheme="majorEastAsia" w:eastAsiaTheme="majorEastAsia"/>
      <w:b/>
      <w:sz w:val="24"/>
    </w:rPr>
  </w:style>
  <w:style w:type="paragraph" w:styleId="8">
    <w:name w:val="heading 5"/>
    <w:basedOn w:val="1"/>
    <w:next w:val="1"/>
    <w:unhideWhenUsed/>
    <w:qFormat/>
    <w:uiPriority w:val="0"/>
    <w:pPr>
      <w:keepNext/>
      <w:keepLines/>
      <w:spacing w:line="372" w:lineRule="auto"/>
      <w:outlineLvl w:val="4"/>
    </w:pPr>
    <w:rPr>
      <w:rFonts w:asciiTheme="majorEastAsia" w:hAnsiTheme="majorEastAsia" w:eastAsiaTheme="majorEastAsia"/>
      <w:bCs/>
      <w:sz w:val="24"/>
    </w:rPr>
  </w:style>
  <w:style w:type="paragraph" w:styleId="9">
    <w:name w:val="heading 6"/>
    <w:basedOn w:val="1"/>
    <w:next w:val="1"/>
    <w:unhideWhenUsed/>
    <w:qFormat/>
    <w:uiPriority w:val="0"/>
    <w:pPr>
      <w:keepNext/>
      <w:keepLines/>
      <w:widowControl/>
      <w:tabs>
        <w:tab w:val="left" w:pos="1440"/>
      </w:tabs>
      <w:ind w:firstLine="883"/>
      <w:jc w:val="left"/>
      <w:outlineLvl w:val="5"/>
    </w:pPr>
    <w:rPr>
      <w:rFonts w:ascii="Arial" w:hAnsi="Arial"/>
      <w:b/>
      <w:bCs/>
      <w:kern w:val="0"/>
    </w:rPr>
  </w:style>
  <w:style w:type="character" w:default="1" w:styleId="25">
    <w:name w:val="Default Paragraph Font"/>
    <w:link w:val="26"/>
    <w:semiHidden/>
    <w:unhideWhenUsed/>
    <w:qFormat/>
    <w:uiPriority w:val="1"/>
    <w:rPr>
      <w:rFonts w:ascii="Tahoma" w:hAnsi="Tahoma"/>
      <w:sz w:val="24"/>
      <w:szCs w:val="20"/>
    </w:rPr>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customStyle="1" w:styleId="5">
    <w:name w:val="正文格式（小四）"/>
    <w:basedOn w:val="1"/>
    <w:qFormat/>
    <w:uiPriority w:val="0"/>
    <w:pPr>
      <w:widowControl/>
      <w:adjustRightInd w:val="0"/>
      <w:snapToGrid w:val="0"/>
      <w:ind w:firstLine="482"/>
      <w:jc w:val="left"/>
      <w:textAlignment w:val="baseline"/>
    </w:pPr>
    <w:rPr>
      <w:kern w:val="24"/>
    </w:rPr>
  </w:style>
  <w:style w:type="paragraph" w:styleId="10">
    <w:name w:val="List Number"/>
    <w:basedOn w:val="1"/>
    <w:link w:val="65"/>
    <w:qFormat/>
    <w:uiPriority w:val="0"/>
    <w:pPr>
      <w:numPr>
        <w:ilvl w:val="0"/>
        <w:numId w:val="2"/>
      </w:numPr>
    </w:pPr>
  </w:style>
  <w:style w:type="paragraph" w:styleId="11">
    <w:name w:val="Normal Indent"/>
    <w:basedOn w:val="1"/>
    <w:qFormat/>
    <w:uiPriority w:val="0"/>
    <w:pPr>
      <w:ind w:firstLine="420"/>
    </w:pPr>
    <w:rPr>
      <w:szCs w:val="20"/>
    </w:rPr>
  </w:style>
  <w:style w:type="paragraph" w:styleId="12">
    <w:name w:val="annotation text"/>
    <w:basedOn w:val="1"/>
    <w:link w:val="46"/>
    <w:qFormat/>
    <w:uiPriority w:val="0"/>
    <w:pPr>
      <w:jc w:val="left"/>
    </w:pPr>
  </w:style>
  <w:style w:type="paragraph" w:styleId="13">
    <w:name w:val="Body Text Indent"/>
    <w:basedOn w:val="1"/>
    <w:next w:val="1"/>
    <w:link w:val="49"/>
    <w:qFormat/>
    <w:uiPriority w:val="0"/>
    <w:pPr>
      <w:spacing w:after="120"/>
      <w:ind w:left="420" w:leftChars="200"/>
    </w:p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4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2"/>
    <w:next w:val="12"/>
    <w:link w:val="47"/>
    <w:qFormat/>
    <w:uiPriority w:val="0"/>
    <w:rPr>
      <w:b/>
      <w:bCs/>
    </w:rPr>
  </w:style>
  <w:style w:type="paragraph" w:styleId="21">
    <w:name w:val="Body Text First Indent"/>
    <w:basedOn w:val="1"/>
    <w:qFormat/>
    <w:uiPriority w:val="0"/>
    <w:pPr>
      <w:ind w:firstLine="200" w:firstLineChars="200"/>
    </w:pPr>
    <w:rPr>
      <w:sz w:val="21"/>
    </w:rPr>
  </w:style>
  <w:style w:type="paragraph" w:styleId="22">
    <w:name w:val="Body Text First Indent 2"/>
    <w:basedOn w:val="13"/>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26">
    <w:name w:val="Char1"/>
    <w:basedOn w:val="1"/>
    <w:link w:val="25"/>
    <w:qFormat/>
    <w:uiPriority w:val="0"/>
    <w:rPr>
      <w:rFonts w:ascii="Tahoma" w:hAnsi="Tahoma"/>
      <w:sz w:val="24"/>
      <w:szCs w:val="20"/>
    </w:rPr>
  </w:style>
  <w:style w:type="character" w:styleId="27">
    <w:name w:val="Hyperlink"/>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列出段落1"/>
    <w:basedOn w:val="1"/>
    <w:qFormat/>
    <w:uiPriority w:val="0"/>
    <w:pPr>
      <w:ind w:firstLine="420" w:firstLineChars="200"/>
    </w:pPr>
    <w:rPr>
      <w:rFonts w:ascii="Calibri" w:hAnsi="Calibri"/>
      <w:kern w:val="0"/>
      <w:szCs w:val="20"/>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批注文字 字符"/>
    <w:basedOn w:val="25"/>
    <w:link w:val="12"/>
    <w:qFormat/>
    <w:uiPriority w:val="0"/>
    <w:rPr>
      <w:rFonts w:ascii="Times New Roman" w:hAnsi="Times New Roman" w:eastAsia="宋体" w:cs="Times New Roman"/>
      <w:kern w:val="2"/>
      <w:sz w:val="21"/>
      <w:szCs w:val="24"/>
    </w:rPr>
  </w:style>
  <w:style w:type="character" w:customStyle="1" w:styleId="47">
    <w:name w:val="批注主题 字符"/>
    <w:basedOn w:val="46"/>
    <w:link w:val="20"/>
    <w:qFormat/>
    <w:uiPriority w:val="0"/>
    <w:rPr>
      <w:rFonts w:ascii="Times New Roman" w:hAnsi="Times New Roman" w:eastAsia="宋体" w:cs="Times New Roman"/>
      <w:b/>
      <w:bCs/>
      <w:kern w:val="2"/>
      <w:sz w:val="21"/>
      <w:szCs w:val="24"/>
    </w:rPr>
  </w:style>
  <w:style w:type="character" w:customStyle="1" w:styleId="48">
    <w:name w:val="批注框文本 字符"/>
    <w:basedOn w:val="25"/>
    <w:link w:val="16"/>
    <w:qFormat/>
    <w:uiPriority w:val="0"/>
    <w:rPr>
      <w:rFonts w:ascii="Times New Roman" w:hAnsi="Times New Roman" w:eastAsia="宋体" w:cs="Times New Roman"/>
      <w:kern w:val="2"/>
      <w:sz w:val="18"/>
      <w:szCs w:val="18"/>
    </w:rPr>
  </w:style>
  <w:style w:type="character" w:customStyle="1" w:styleId="49">
    <w:name w:val="正文文本缩进 字符"/>
    <w:basedOn w:val="25"/>
    <w:link w:val="13"/>
    <w:qFormat/>
    <w:uiPriority w:val="0"/>
    <w:rPr>
      <w:kern w:val="2"/>
      <w:sz w:val="21"/>
      <w:szCs w:val="24"/>
    </w:rPr>
  </w:style>
  <w:style w:type="paragraph" w:customStyle="1" w:styleId="5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2">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53">
    <w:name w:val="正文首行缩进（绿盟科技）"/>
    <w:basedOn w:val="54"/>
    <w:qFormat/>
    <w:uiPriority w:val="0"/>
    <w:pPr>
      <w:spacing w:after="50"/>
      <w:ind w:firstLine="200" w:firstLineChars="200"/>
    </w:pPr>
  </w:style>
  <w:style w:type="paragraph" w:customStyle="1" w:styleId="5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5">
    <w:name w:val="无"/>
    <w:qFormat/>
    <w:uiPriority w:val="0"/>
  </w:style>
  <w:style w:type="character" w:customStyle="1" w:styleId="56">
    <w:name w:val="标题 1 Char Char"/>
    <w:basedOn w:val="25"/>
    <w:qFormat/>
    <w:uiPriority w:val="0"/>
    <w:rPr>
      <w:rFonts w:eastAsia="宋体"/>
      <w:b/>
      <w:spacing w:val="-2"/>
      <w:sz w:val="24"/>
      <w:lang w:val="en-US" w:eastAsia="zh-CN" w:bidi="ar-SA"/>
    </w:rPr>
  </w:style>
  <w:style w:type="character" w:customStyle="1" w:styleId="57">
    <w:name w:val="font51"/>
    <w:basedOn w:val="25"/>
    <w:qFormat/>
    <w:uiPriority w:val="0"/>
    <w:rPr>
      <w:rFonts w:hint="eastAsia" w:ascii="宋体" w:hAnsi="宋体" w:eastAsia="宋体" w:cs="宋体"/>
      <w:color w:val="000000"/>
      <w:sz w:val="18"/>
      <w:szCs w:val="18"/>
      <w:u w:val="none"/>
    </w:rPr>
  </w:style>
  <w:style w:type="character" w:customStyle="1" w:styleId="58">
    <w:name w:val="font61"/>
    <w:basedOn w:val="25"/>
    <w:qFormat/>
    <w:uiPriority w:val="0"/>
    <w:rPr>
      <w:rFonts w:hint="eastAsia" w:ascii="宋体" w:hAnsi="宋体" w:eastAsia="宋体" w:cs="宋体"/>
      <w:b/>
      <w:color w:val="FF0000"/>
      <w:sz w:val="18"/>
      <w:szCs w:val="18"/>
      <w:u w:val="none"/>
    </w:rPr>
  </w:style>
  <w:style w:type="character" w:customStyle="1" w:styleId="59">
    <w:name w:val="font41"/>
    <w:basedOn w:val="25"/>
    <w:qFormat/>
    <w:uiPriority w:val="0"/>
    <w:rPr>
      <w:rFonts w:hint="eastAsia" w:ascii="宋体" w:hAnsi="宋体" w:eastAsia="宋体" w:cs="宋体"/>
      <w:color w:val="000000"/>
      <w:sz w:val="18"/>
      <w:szCs w:val="18"/>
      <w:u w:val="none"/>
    </w:rPr>
  </w:style>
  <w:style w:type="character" w:customStyle="1" w:styleId="60">
    <w:name w:val="font01"/>
    <w:basedOn w:val="25"/>
    <w:qFormat/>
    <w:uiPriority w:val="0"/>
    <w:rPr>
      <w:rFonts w:hint="eastAsia" w:ascii="宋体" w:hAnsi="宋体" w:eastAsia="宋体" w:cs="宋体"/>
      <w:color w:val="000000"/>
      <w:sz w:val="24"/>
      <w:szCs w:val="24"/>
      <w:u w:val="none"/>
    </w:rPr>
  </w:style>
  <w:style w:type="paragraph" w:customStyle="1" w:styleId="61">
    <w:name w:val="_Style 253"/>
    <w:basedOn w:val="1"/>
    <w:next w:val="21"/>
    <w:qFormat/>
    <w:uiPriority w:val="99"/>
  </w:style>
  <w:style w:type="paragraph" w:customStyle="1" w:styleId="62">
    <w:name w:val="*正文"/>
    <w:basedOn w:val="1"/>
    <w:qFormat/>
    <w:uiPriority w:val="0"/>
    <w:pPr>
      <w:spacing w:line="300" w:lineRule="auto"/>
      <w:ind w:firstLine="480" w:firstLineChars="200"/>
    </w:pPr>
    <w:rPr>
      <w:rFonts w:ascii="宋体" w:hAnsi="宋体"/>
      <w:bCs/>
      <w:color w:val="auto"/>
    </w:rPr>
  </w:style>
  <w:style w:type="paragraph" w:customStyle="1" w:styleId="63">
    <w:name w:val="缩进"/>
    <w:basedOn w:val="1"/>
    <w:qFormat/>
    <w:uiPriority w:val="0"/>
    <w:pPr>
      <w:adjustRightInd w:val="0"/>
      <w:snapToGrid w:val="0"/>
      <w:ind w:firstLine="480"/>
    </w:pPr>
    <w:rPr>
      <w:kern w:val="0"/>
    </w:rPr>
  </w:style>
  <w:style w:type="paragraph" w:customStyle="1" w:styleId="64">
    <w:name w:val="列出段落11"/>
    <w:basedOn w:val="1"/>
    <w:qFormat/>
    <w:uiPriority w:val="0"/>
    <w:pPr>
      <w:ind w:firstLine="420"/>
    </w:pPr>
    <w:rPr>
      <w:rFonts w:ascii="Calibri" w:hAnsi="Calibri"/>
      <w:szCs w:val="22"/>
    </w:rPr>
  </w:style>
  <w:style w:type="character" w:customStyle="1" w:styleId="65">
    <w:name w:val="列表编号 字符"/>
    <w:link w:val="10"/>
    <w:qFormat/>
    <w:uiPriority w:val="0"/>
  </w:style>
  <w:style w:type="paragraph" w:customStyle="1" w:styleId="66">
    <w:name w:val="表格内正文"/>
    <w:basedOn w:val="2"/>
    <w:qFormat/>
    <w:uiPriority w:val="0"/>
  </w:style>
  <w:style w:type="paragraph" w:customStyle="1" w:styleId="67">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77</Pages>
  <Words>6855</Words>
  <Characters>39079</Characters>
  <Lines>325</Lines>
  <Paragraphs>91</Paragraphs>
  <TotalTime>36</TotalTime>
  <ScaleCrop>false</ScaleCrop>
  <LinksUpToDate>false</LinksUpToDate>
  <CharactersWithSpaces>45843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2019-07-25T01:04:00Z</dcterms:created>
  <dc:creator>S-mile</dc:creator>
  <cp:lastModifiedBy>梨</cp:lastModifiedBy>
  <cp:lastPrinted>2019-07-03T07:20:00Z</cp:lastPrinted>
  <dcterms:modified xsi:type="dcterms:W3CDTF">2020-09-10T07:29:57Z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