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宋体" w:eastAsia="宋体"/>
          <w:b/>
          <w:color w:val="auto"/>
          <w:kern w:val="0"/>
          <w:sz w:val="52"/>
          <w:szCs w:val="52"/>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auto"/>
          <w:kern w:val="0"/>
          <w:sz w:val="32"/>
        </w:rPr>
      </w:pPr>
      <w:r>
        <w:rPr>
          <w:rFonts w:hint="eastAsia" w:ascii="宋体"/>
          <w:b/>
          <w:color w:val="auto"/>
          <w:kern w:val="0"/>
          <w:sz w:val="32"/>
        </w:rPr>
        <w:t>TZ</w:t>
      </w:r>
      <w:r>
        <w:rPr>
          <w:rFonts w:ascii="宋体"/>
          <w:b/>
          <w:color w:val="auto"/>
          <w:kern w:val="0"/>
          <w:sz w:val="32"/>
        </w:rPr>
        <w:t>CG-20</w:t>
      </w:r>
      <w:r>
        <w:rPr>
          <w:rFonts w:hint="eastAsia" w:ascii="宋体"/>
          <w:b/>
          <w:color w:val="auto"/>
          <w:kern w:val="0"/>
          <w:sz w:val="32"/>
          <w:lang w:val="en-US" w:eastAsia="zh-CN"/>
        </w:rPr>
        <w:t>20</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035D</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rPr>
      </w:pPr>
    </w:p>
    <w:p>
      <w:pPr>
        <w:autoSpaceDE w:val="0"/>
        <w:autoSpaceDN w:val="0"/>
        <w:adjustRightInd w:val="0"/>
        <w:spacing w:line="360" w:lineRule="auto"/>
        <w:rPr>
          <w:rFonts w:ascii="宋体"/>
          <w:b/>
          <w:color w:val="auto"/>
          <w:kern w:val="0"/>
          <w:sz w:val="52"/>
          <w:szCs w:val="52"/>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2077" w:firstLineChars="742"/>
        <w:jc w:val="left"/>
        <w:rPr>
          <w:rFonts w:hint="default" w:ascii="宋体" w:eastAsia="宋体"/>
          <w:color w:val="auto"/>
          <w:kern w:val="0"/>
          <w:sz w:val="28"/>
          <w:lang w:val="en-US" w:eastAsia="zh-CN"/>
        </w:rPr>
      </w:pPr>
      <w:r>
        <w:rPr>
          <w:rFonts w:hint="eastAsia" w:ascii="宋体"/>
          <w:color w:val="auto"/>
          <w:kern w:val="0"/>
          <w:sz w:val="28"/>
        </w:rPr>
        <w:t>采购项目：</w:t>
      </w:r>
      <w:r>
        <w:rPr>
          <w:rFonts w:hint="eastAsia" w:ascii="宋体"/>
          <w:color w:val="auto"/>
          <w:kern w:val="0"/>
          <w:sz w:val="28"/>
          <w:lang w:eastAsia="zh-CN"/>
        </w:rPr>
        <w:t>救护车</w:t>
      </w:r>
      <w:r>
        <w:rPr>
          <w:rFonts w:hint="eastAsia" w:ascii="宋体"/>
          <w:color w:val="auto"/>
          <w:kern w:val="0"/>
          <w:sz w:val="28"/>
          <w:lang w:val="en-US" w:eastAsia="zh-CN"/>
        </w:rPr>
        <w:t xml:space="preserve"> </w:t>
      </w:r>
    </w:p>
    <w:p>
      <w:pPr>
        <w:autoSpaceDE w:val="0"/>
        <w:autoSpaceDN w:val="0"/>
        <w:adjustRightInd w:val="0"/>
        <w:spacing w:line="360" w:lineRule="auto"/>
        <w:ind w:firstLine="2077" w:firstLineChars="742"/>
        <w:jc w:val="left"/>
        <w:rPr>
          <w:rFonts w:hint="eastAsia" w:ascii="宋体" w:eastAsia="宋体"/>
          <w:color w:val="auto"/>
          <w:kern w:val="0"/>
          <w:sz w:val="28"/>
          <w:lang w:val="en-US" w:eastAsia="zh-CN"/>
        </w:rPr>
      </w:pPr>
      <w:r>
        <w:rPr>
          <w:rFonts w:hint="eastAsia" w:ascii="宋体"/>
          <w:color w:val="auto"/>
          <w:kern w:val="0"/>
          <w:sz w:val="28"/>
        </w:rPr>
        <w:t>采购</w:t>
      </w:r>
      <w:r>
        <w:rPr>
          <w:rFonts w:hint="eastAsia" w:ascii="宋体"/>
          <w:color w:val="auto"/>
          <w:kern w:val="0"/>
          <w:sz w:val="28"/>
          <w:lang w:eastAsia="zh-CN"/>
        </w:rPr>
        <w:t>人</w:t>
      </w:r>
      <w:r>
        <w:rPr>
          <w:rFonts w:hint="eastAsia" w:ascii="宋体"/>
          <w:color w:val="auto"/>
          <w:kern w:val="0"/>
          <w:sz w:val="28"/>
        </w:rPr>
        <w:t>：</w:t>
      </w:r>
      <w:r>
        <w:rPr>
          <w:rFonts w:hint="eastAsia" w:ascii="宋体"/>
          <w:color w:val="auto"/>
          <w:kern w:val="0"/>
          <w:sz w:val="28"/>
          <w:lang w:eastAsia="zh-CN"/>
        </w:rPr>
        <w:t>台州市紧急救援中心</w:t>
      </w:r>
    </w:p>
    <w:p>
      <w:pPr>
        <w:autoSpaceDE w:val="0"/>
        <w:autoSpaceDN w:val="0"/>
        <w:adjustRightInd w:val="0"/>
        <w:spacing w:line="360" w:lineRule="auto"/>
        <w:rPr>
          <w:rFonts w:ascii="宋体"/>
          <w:color w:val="auto"/>
          <w:kern w:val="0"/>
          <w:sz w:val="28"/>
        </w:rPr>
      </w:pPr>
    </w:p>
    <w:p>
      <w:pPr>
        <w:autoSpaceDE w:val="0"/>
        <w:autoSpaceDN w:val="0"/>
        <w:adjustRightInd w:val="0"/>
        <w:spacing w:line="360" w:lineRule="auto"/>
        <w:rPr>
          <w:rFonts w:ascii="宋体"/>
          <w:color w:val="auto"/>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 xml:space="preserve">  2020</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日</w:t>
      </w:r>
    </w:p>
    <w:p>
      <w:pPr>
        <w:spacing w:line="360" w:lineRule="auto"/>
        <w:rPr>
          <w:color w:val="auto"/>
        </w:rPr>
      </w:pPr>
    </w:p>
    <w:p>
      <w:pPr>
        <w:pStyle w:val="28"/>
        <w:rPr>
          <w:color w:val="auto"/>
        </w:rPr>
      </w:pPr>
    </w:p>
    <w:p>
      <w:pPr>
        <w:spacing w:line="360" w:lineRule="auto"/>
        <w:rPr>
          <w:color w:val="auto"/>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rPr>
      </w:pPr>
    </w:p>
    <w:p>
      <w:pPr>
        <w:spacing w:line="360" w:lineRule="auto"/>
        <w:rPr>
          <w:rFonts w:ascii="新宋体" w:hAnsi="新宋体" w:eastAsia="新宋体"/>
          <w:color w:val="auto"/>
          <w:sz w:val="28"/>
          <w:szCs w:val="28"/>
        </w:rPr>
      </w:pP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公开招标采购公告</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投标人须知</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评标办法及评分标准</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公开招标需求</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政府采购合同主要条款指引</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eastAsia="zh-CN"/>
        </w:rPr>
        <w:t>电子投标文件</w:t>
      </w:r>
      <w:r>
        <w:rPr>
          <w:rFonts w:hint="eastAsia" w:asciiTheme="minorEastAsia" w:hAnsiTheme="minorEastAsia" w:eastAsiaTheme="minorEastAsia"/>
          <w:b/>
          <w:color w:val="auto"/>
          <w:sz w:val="28"/>
          <w:szCs w:val="28"/>
        </w:rPr>
        <w:t>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t xml:space="preserve"> 公开</w:t>
      </w:r>
      <w:r>
        <w:rPr>
          <w:rFonts w:hint="eastAsia" w:asciiTheme="majorEastAsia" w:hAnsiTheme="majorEastAsia" w:eastAsiaTheme="majorEastAsia"/>
          <w:b/>
          <w:color w:val="auto"/>
          <w:sz w:val="36"/>
          <w:szCs w:val="36"/>
        </w:rPr>
        <w:t>招标采购公告</w:t>
      </w:r>
    </w:p>
    <w:p>
      <w:pPr>
        <w:pStyle w:val="11"/>
        <w:widowControl w:val="0"/>
        <w:numPr>
          <w:ilvl w:val="0"/>
          <w:numId w:val="0"/>
        </w:numPr>
        <w:jc w:val="both"/>
      </w:pPr>
    </w:p>
    <w:p>
      <w:pPr>
        <w:pStyle w:val="5"/>
        <w:numPr>
          <w:ilvl w:val="0"/>
          <w:numId w:val="0"/>
        </w:numPr>
        <w:tabs>
          <w:tab w:val="left" w:pos="0"/>
          <w:tab w:val="left" w:pos="3165"/>
          <w:tab w:val="center" w:pos="4153"/>
        </w:tabs>
        <w:autoSpaceDE w:val="0"/>
        <w:autoSpaceDN w:val="0"/>
        <w:adjustRightInd w:val="0"/>
        <w:spacing w:before="0" w:after="0" w:line="360" w:lineRule="auto"/>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Theme="minorEastAsia" w:hAnsiTheme="minorEastAsia" w:eastAsiaTheme="minorEastAsia" w:cstheme="minorEastAsia"/>
          <w:sz w:val="28"/>
          <w:szCs w:val="28"/>
        </w:rPr>
      </w:pPr>
      <w:r>
        <w:rPr>
          <w:rFonts w:hint="eastAsia" w:cs="Arial" w:asciiTheme="minorEastAsia" w:hAnsiTheme="minorEastAsia" w:eastAsiaTheme="minorEastAsia"/>
          <w:color w:val="auto"/>
          <w:sz w:val="28"/>
          <w:szCs w:val="28"/>
          <w:lang w:eastAsia="zh-CN"/>
        </w:rPr>
        <w:t xml:space="preserve"> 台州市紧急救援中心救护车招标项目的潜在投标人应在“浙江省政府采购网”（http:// www.zjzfcg.gov.cn）和“台州市公共资源交易中心”（ </w:t>
      </w:r>
      <w:r>
        <w:rPr>
          <w:rFonts w:hint="eastAsia" w:cs="Arial" w:asciiTheme="minorEastAsia" w:hAnsiTheme="minorEastAsia" w:eastAsiaTheme="minorEastAsia"/>
          <w:color w:val="auto"/>
          <w:sz w:val="28"/>
          <w:szCs w:val="28"/>
          <w:lang w:eastAsia="zh-CN"/>
        </w:rPr>
        <w:fldChar w:fldCharType="begin"/>
      </w:r>
      <w:r>
        <w:rPr>
          <w:rFonts w:hint="eastAsia" w:cs="Arial" w:asciiTheme="minorEastAsia" w:hAnsiTheme="minorEastAsia" w:eastAsiaTheme="minorEastAsia"/>
          <w:color w:val="auto"/>
          <w:sz w:val="28"/>
          <w:szCs w:val="28"/>
          <w:lang w:eastAsia="zh-CN"/>
        </w:rPr>
        <w:instrText xml:space="preserve"> HYPERLINK "http://www.xjztb.cn" </w:instrText>
      </w:r>
      <w:r>
        <w:rPr>
          <w:rFonts w:hint="eastAsia" w:cs="Arial" w:asciiTheme="minorEastAsia" w:hAnsiTheme="minorEastAsia" w:eastAsiaTheme="minorEastAsia"/>
          <w:color w:val="auto"/>
          <w:sz w:val="28"/>
          <w:szCs w:val="28"/>
          <w:lang w:eastAsia="zh-CN"/>
        </w:rPr>
        <w:fldChar w:fldCharType="separate"/>
      </w:r>
      <w:r>
        <w:rPr>
          <w:rFonts w:hint="eastAsia" w:cs="Arial" w:asciiTheme="minorEastAsia" w:hAnsiTheme="minorEastAsia" w:eastAsiaTheme="minorEastAsia"/>
          <w:color w:val="auto"/>
          <w:sz w:val="28"/>
          <w:szCs w:val="28"/>
          <w:lang w:eastAsia="zh-CN"/>
        </w:rPr>
        <w:t>http://www.tzztb.com</w:t>
      </w:r>
      <w:r>
        <w:rPr>
          <w:rFonts w:hint="eastAsia" w:cs="Arial" w:asciiTheme="minorEastAsia" w:hAnsiTheme="minorEastAsia" w:eastAsiaTheme="minorEastAsia"/>
          <w:color w:val="auto"/>
          <w:sz w:val="28"/>
          <w:szCs w:val="28"/>
          <w:lang w:eastAsia="zh-CN"/>
        </w:rPr>
        <w:fldChar w:fldCharType="end"/>
      </w:r>
      <w:r>
        <w:rPr>
          <w:rFonts w:hint="eastAsia" w:cs="Arial" w:asciiTheme="minorEastAsia" w:hAnsiTheme="minorEastAsia" w:eastAsiaTheme="minorEastAsia"/>
          <w:color w:val="auto"/>
          <w:sz w:val="28"/>
          <w:szCs w:val="28"/>
          <w:lang w:eastAsia="zh-CN"/>
        </w:rPr>
        <w:t>）获取招标文件，并于</w:t>
      </w:r>
      <w:r>
        <w:rPr>
          <w:rFonts w:hint="eastAsia" w:cs="Arial" w:asciiTheme="minorEastAsia" w:hAnsiTheme="minorEastAsia" w:eastAsiaTheme="minorEastAsia"/>
          <w:color w:val="auto"/>
          <w:sz w:val="28"/>
          <w:szCs w:val="28"/>
          <w:lang w:val="en-US" w:eastAsia="zh-CN"/>
        </w:rPr>
        <w:t>2020</w:t>
      </w:r>
      <w:r>
        <w:rPr>
          <w:rFonts w:hint="eastAsia" w:cs="Arial" w:asciiTheme="minorEastAsia" w:hAnsiTheme="minorEastAsia" w:eastAsiaTheme="minorEastAsia"/>
          <w:color w:val="auto"/>
          <w:sz w:val="28"/>
          <w:szCs w:val="28"/>
          <w:lang w:eastAsia="zh-CN"/>
        </w:rPr>
        <w:t>年</w:t>
      </w:r>
      <w:r>
        <w:rPr>
          <w:rFonts w:hint="eastAsia" w:cs="Arial" w:asciiTheme="minorEastAsia" w:hAnsiTheme="minorEastAsia" w:eastAsiaTheme="minorEastAsia"/>
          <w:color w:val="auto"/>
          <w:sz w:val="28"/>
          <w:szCs w:val="28"/>
          <w:lang w:val="en-US" w:eastAsia="zh-CN"/>
        </w:rPr>
        <w:t>2</w:t>
      </w:r>
      <w:r>
        <w:rPr>
          <w:rFonts w:hint="eastAsia" w:cs="Arial" w:asciiTheme="minorEastAsia" w:hAnsiTheme="minorEastAsia" w:eastAsiaTheme="minorEastAsia"/>
          <w:color w:val="auto"/>
          <w:sz w:val="28"/>
          <w:szCs w:val="28"/>
          <w:lang w:eastAsia="zh-CN"/>
        </w:rPr>
        <w:t>月</w:t>
      </w:r>
      <w:r>
        <w:rPr>
          <w:rFonts w:hint="eastAsia" w:cs="Arial" w:asciiTheme="minorEastAsia" w:hAnsiTheme="minorEastAsia" w:eastAsiaTheme="minorEastAsia"/>
          <w:color w:val="auto"/>
          <w:sz w:val="28"/>
          <w:szCs w:val="28"/>
          <w:lang w:val="en-US" w:eastAsia="zh-CN"/>
        </w:rPr>
        <w:t>2</w:t>
      </w:r>
      <w:r>
        <w:rPr>
          <w:rFonts w:hint="eastAsia" w:cs="Arial" w:asciiTheme="minorEastAsia" w:hAnsiTheme="minorEastAsia" w:eastAsiaTheme="minorEastAsia"/>
          <w:color w:val="auto"/>
          <w:sz w:val="28"/>
          <w:szCs w:val="28"/>
          <w:lang w:eastAsia="zh-CN"/>
        </w:rPr>
        <w:t>日</w:t>
      </w:r>
      <w:r>
        <w:rPr>
          <w:rFonts w:hint="eastAsia" w:cs="Arial" w:asciiTheme="minorEastAsia" w:hAnsiTheme="minorEastAsia" w:eastAsiaTheme="minorEastAsia"/>
          <w:color w:val="auto"/>
          <w:sz w:val="28"/>
          <w:szCs w:val="28"/>
          <w:lang w:val="en-US" w:eastAsia="zh-CN"/>
        </w:rPr>
        <w:t>09</w:t>
      </w:r>
      <w:r>
        <w:rPr>
          <w:rFonts w:hint="eastAsia" w:cs="Arial" w:asciiTheme="minorEastAsia" w:hAnsiTheme="minorEastAsia" w:eastAsiaTheme="minorEastAsia"/>
          <w:color w:val="auto"/>
          <w:sz w:val="28"/>
          <w:szCs w:val="28"/>
          <w:lang w:eastAsia="zh-CN"/>
        </w:rPr>
        <w:t>点整（北京时间）前在浙江政府采购云平台递</w:t>
      </w:r>
      <w:r>
        <w:rPr>
          <w:rFonts w:hint="eastAsia"/>
          <w:sz w:val="28"/>
          <w:szCs w:val="28"/>
          <w:lang w:eastAsia="zh-CN"/>
        </w:rPr>
        <w:t>交电</w:t>
      </w:r>
      <w:r>
        <w:rPr>
          <w:rFonts w:hint="eastAsia" w:cs="Arial" w:asciiTheme="minorEastAsia" w:hAnsiTheme="minorEastAsia" w:eastAsiaTheme="minorEastAsia"/>
          <w:color w:val="auto"/>
          <w:sz w:val="28"/>
          <w:szCs w:val="28"/>
          <w:lang w:eastAsia="zh-CN"/>
        </w:rPr>
        <w:t>子投标文件。</w:t>
      </w:r>
    </w:p>
    <w:p>
      <w:pPr>
        <w:pStyle w:val="6"/>
        <w:spacing w:line="360" w:lineRule="auto"/>
        <w:rPr>
          <w:rFonts w:hint="eastAsia" w:asciiTheme="minorEastAsia" w:hAnsiTheme="minorEastAsia" w:eastAsiaTheme="minorEastAsia" w:cstheme="minorEastAsia"/>
          <w:b w:val="0"/>
          <w:sz w:val="28"/>
          <w:szCs w:val="28"/>
        </w:rPr>
      </w:pPr>
      <w:bookmarkStart w:id="0" w:name="_Toc28359079"/>
      <w:bookmarkStart w:id="1" w:name="_Toc35393790"/>
      <w:bookmarkStart w:id="2" w:name="_Toc35393621"/>
      <w:bookmarkStart w:id="3" w:name="_Toc28359002"/>
      <w:bookmarkStart w:id="4" w:name="_Hlk24379207"/>
    </w:p>
    <w:p>
      <w:pPr>
        <w:pStyle w:val="6"/>
        <w:spacing w:line="360" w:lineRule="auto"/>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一、项目基本情况</w:t>
      </w:r>
      <w:bookmarkEnd w:id="0"/>
      <w:bookmarkEnd w:id="1"/>
      <w:bookmarkEnd w:id="2"/>
      <w:bookmarkEnd w:id="3"/>
    </w:p>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项目编号：TZCG-2020-GK035D</w:t>
      </w:r>
    </w:p>
    <w:bookmarkEnd w:id="4"/>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项目名称：</w:t>
      </w:r>
    </w:p>
    <w:tbl>
      <w:tblPr>
        <w:tblStyle w:val="22"/>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179"/>
        <w:gridCol w:w="1151"/>
        <w:gridCol w:w="898"/>
        <w:gridCol w:w="549"/>
        <w:gridCol w:w="957"/>
        <w:gridCol w:w="1051"/>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89"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标段号</w:t>
            </w:r>
          </w:p>
        </w:tc>
        <w:tc>
          <w:tcPr>
            <w:tcW w:w="1179"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项目名称</w:t>
            </w:r>
          </w:p>
        </w:tc>
        <w:tc>
          <w:tcPr>
            <w:tcW w:w="1151"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简要技术要求服务要求等</w:t>
            </w:r>
          </w:p>
        </w:tc>
        <w:tc>
          <w:tcPr>
            <w:tcW w:w="898"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数量</w:t>
            </w:r>
          </w:p>
        </w:tc>
        <w:tc>
          <w:tcPr>
            <w:tcW w:w="549"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单位</w:t>
            </w:r>
          </w:p>
        </w:tc>
        <w:tc>
          <w:tcPr>
            <w:tcW w:w="957"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预算（万元）</w:t>
            </w:r>
          </w:p>
        </w:tc>
        <w:tc>
          <w:tcPr>
            <w:tcW w:w="1051"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最高限价</w:t>
            </w:r>
            <w:r>
              <w:rPr>
                <w:rFonts w:hint="eastAsia" w:asciiTheme="minorEastAsia" w:hAnsiTheme="minorEastAsia" w:eastAsiaTheme="minorEastAsia" w:cstheme="minorEastAsia"/>
                <w:b/>
                <w:color w:val="auto"/>
                <w:sz w:val="24"/>
                <w:szCs w:val="24"/>
              </w:rPr>
              <w:t>（万元）</w:t>
            </w:r>
          </w:p>
        </w:tc>
        <w:tc>
          <w:tcPr>
            <w:tcW w:w="2144" w:type="dxa"/>
            <w:vAlign w:val="center"/>
          </w:tcPr>
          <w:p>
            <w:pPr>
              <w:tabs>
                <w:tab w:val="left" w:pos="8280"/>
              </w:tabs>
              <w:autoSpaceDE w:val="0"/>
              <w:autoSpaceDN w:val="0"/>
              <w:adjustRightInd w:val="0"/>
              <w:spacing w:line="360" w:lineRule="auto"/>
              <w:ind w:right="25" w:firstLine="240"/>
              <w:jc w:val="both"/>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589"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一</w:t>
            </w:r>
          </w:p>
        </w:tc>
        <w:tc>
          <w:tcPr>
            <w:tcW w:w="1179"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救护车</w:t>
            </w:r>
          </w:p>
        </w:tc>
        <w:tc>
          <w:tcPr>
            <w:tcW w:w="1151"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详见技术需求</w:t>
            </w:r>
          </w:p>
        </w:tc>
        <w:tc>
          <w:tcPr>
            <w:tcW w:w="898" w:type="dxa"/>
            <w:vAlign w:val="center"/>
          </w:tcPr>
          <w:p>
            <w:pPr>
              <w:tabs>
                <w:tab w:val="left" w:pos="8280"/>
              </w:tabs>
              <w:autoSpaceDE w:val="0"/>
              <w:autoSpaceDN w:val="0"/>
              <w:adjustRightInd w:val="0"/>
              <w:spacing w:line="360" w:lineRule="auto"/>
              <w:ind w:right="25"/>
              <w:jc w:val="both"/>
              <w:rPr>
                <w:rFonts w:hint="default"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3</w:t>
            </w:r>
          </w:p>
        </w:tc>
        <w:tc>
          <w:tcPr>
            <w:tcW w:w="549" w:type="dxa"/>
            <w:vAlign w:val="center"/>
          </w:tcPr>
          <w:p>
            <w:pPr>
              <w:tabs>
                <w:tab w:val="left" w:pos="8280"/>
              </w:tabs>
              <w:autoSpaceDE w:val="0"/>
              <w:autoSpaceDN w:val="0"/>
              <w:adjustRightInd w:val="0"/>
              <w:spacing w:line="360" w:lineRule="auto"/>
              <w:ind w:right="25"/>
              <w:jc w:val="both"/>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辆</w:t>
            </w:r>
          </w:p>
        </w:tc>
        <w:tc>
          <w:tcPr>
            <w:tcW w:w="957"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366</w:t>
            </w:r>
          </w:p>
        </w:tc>
        <w:tc>
          <w:tcPr>
            <w:tcW w:w="1051"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357</w:t>
            </w:r>
          </w:p>
        </w:tc>
        <w:tc>
          <w:tcPr>
            <w:tcW w:w="2144" w:type="dxa"/>
            <w:vAlign w:val="center"/>
          </w:tcPr>
          <w:p>
            <w:pPr>
              <w:tabs>
                <w:tab w:val="left" w:pos="8280"/>
              </w:tabs>
              <w:autoSpaceDE w:val="0"/>
              <w:autoSpaceDN w:val="0"/>
              <w:adjustRightInd w:val="0"/>
              <w:spacing w:line="360" w:lineRule="auto"/>
              <w:ind w:right="25"/>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台州市紧急救援中心</w:t>
            </w:r>
          </w:p>
        </w:tc>
      </w:tr>
    </w:tbl>
    <w:p>
      <w:pPr>
        <w:widowControl/>
        <w:tabs>
          <w:tab w:val="left" w:pos="0"/>
        </w:tabs>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本次采购产品为非进口产品。</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sz w:val="28"/>
          <w:szCs w:val="28"/>
          <w:lang w:eastAsia="zh-CN"/>
        </w:rPr>
        <w:t>不</w:t>
      </w:r>
      <w:r>
        <w:rPr>
          <w:rFonts w:hint="eastAsia" w:asciiTheme="minorEastAsia" w:hAnsiTheme="minorEastAsia" w:eastAsiaTheme="minorEastAsia" w:cstheme="minorEastAsia"/>
          <w:sz w:val="28"/>
          <w:szCs w:val="28"/>
        </w:rPr>
        <w:t>接受联合体投标。</w:t>
      </w:r>
    </w:p>
    <w:p>
      <w:pPr>
        <w:pStyle w:val="6"/>
        <w:spacing w:line="360" w:lineRule="auto"/>
        <w:rPr>
          <w:rFonts w:hint="eastAsia" w:asciiTheme="minorEastAsia" w:hAnsiTheme="minorEastAsia" w:eastAsiaTheme="minorEastAsia" w:cstheme="minorEastAsia"/>
          <w:b w:val="0"/>
          <w:sz w:val="28"/>
          <w:szCs w:val="28"/>
        </w:rPr>
      </w:pPr>
      <w:bookmarkStart w:id="5" w:name="_Toc28359080"/>
      <w:bookmarkStart w:id="6" w:name="_Toc28359003"/>
      <w:bookmarkStart w:id="7" w:name="_Toc35393791"/>
      <w:bookmarkStart w:id="8" w:name="_Toc35393622"/>
      <w:r>
        <w:rPr>
          <w:rFonts w:hint="eastAsia" w:asciiTheme="minorEastAsia" w:hAnsiTheme="minorEastAsia" w:eastAsiaTheme="minorEastAsia" w:cstheme="minorEastAsia"/>
          <w:b w:val="0"/>
          <w:sz w:val="28"/>
          <w:szCs w:val="28"/>
        </w:rPr>
        <w:t>二、申请人的资格要求：</w:t>
      </w:r>
      <w:bookmarkEnd w:id="5"/>
      <w:bookmarkEnd w:id="6"/>
      <w:bookmarkEnd w:id="7"/>
      <w:bookmarkEnd w:id="8"/>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hint="eastAsia" w:asciiTheme="minorEastAsia" w:hAnsiTheme="minorEastAsia" w:eastAsiaTheme="minorEastAsia" w:cstheme="minorEastAsia"/>
          <w:sz w:val="28"/>
          <w:szCs w:val="28"/>
          <w:lang w:eastAsia="zh-CN"/>
        </w:rPr>
      </w:pPr>
      <w:bookmarkStart w:id="9" w:name="_Toc28359081"/>
      <w:bookmarkStart w:id="10" w:name="_Toc28359004"/>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.本项目的特定资格要求：投标人需具备汽车经营资质及三类医疗器械经营许可证，可开据机动车专用销售发票及医疗器械发票，确保车辆正常上牌及通过年审（以营业执照经营范围为准）</w:t>
      </w:r>
    </w:p>
    <w:p>
      <w:pPr>
        <w:pStyle w:val="6"/>
        <w:spacing w:line="360" w:lineRule="auto"/>
        <w:rPr>
          <w:rFonts w:hint="eastAsia" w:asciiTheme="minorEastAsia" w:hAnsiTheme="minorEastAsia" w:eastAsiaTheme="minorEastAsia" w:cstheme="minorEastAsia"/>
          <w:b w:val="0"/>
          <w:sz w:val="28"/>
          <w:szCs w:val="28"/>
        </w:rPr>
      </w:pPr>
      <w:bookmarkStart w:id="11" w:name="_Toc35393623"/>
      <w:bookmarkStart w:id="12" w:name="_Toc35393792"/>
      <w:r>
        <w:rPr>
          <w:rFonts w:hint="eastAsia" w:asciiTheme="minorEastAsia" w:hAnsiTheme="minorEastAsia" w:eastAsiaTheme="minorEastAsia" w:cstheme="minorEastAsia"/>
          <w:b w:val="0"/>
          <w:sz w:val="28"/>
          <w:szCs w:val="28"/>
        </w:rPr>
        <w:t>三、获取招标文件</w:t>
      </w:r>
      <w:bookmarkEnd w:id="9"/>
      <w:bookmarkEnd w:id="10"/>
      <w:bookmarkEnd w:id="11"/>
      <w:bookmarkEnd w:id="12"/>
    </w:p>
    <w:p>
      <w:pPr>
        <w:spacing w:line="360" w:lineRule="auto"/>
        <w:ind w:firstLine="540"/>
        <w:rPr>
          <w:rFonts w:hint="eastAsia" w:asciiTheme="minorEastAsia" w:hAnsiTheme="minorEastAsia" w:eastAsiaTheme="minorEastAsia" w:cstheme="minorEastAsia"/>
          <w:i w:val="0"/>
          <w:iCs w:val="0"/>
          <w:sz w:val="28"/>
          <w:szCs w:val="28"/>
        </w:rPr>
      </w:pPr>
      <w:r>
        <w:rPr>
          <w:rFonts w:hint="eastAsia" w:asciiTheme="minorEastAsia" w:hAnsiTheme="minorEastAsia" w:eastAsiaTheme="minorEastAsia" w:cstheme="minorEastAsia"/>
          <w:i w:val="0"/>
          <w:iCs w:val="0"/>
          <w:sz w:val="28"/>
          <w:szCs w:val="28"/>
        </w:rPr>
        <w:t>时间：</w:t>
      </w:r>
      <w:r>
        <w:rPr>
          <w:rFonts w:hint="eastAsia" w:asciiTheme="minorEastAsia" w:hAnsiTheme="minorEastAsia" w:eastAsiaTheme="minorEastAsia" w:cstheme="minorEastAsia"/>
          <w:i w:val="0"/>
          <w:iCs w:val="0"/>
          <w:sz w:val="28"/>
          <w:szCs w:val="28"/>
          <w:u w:val="single"/>
          <w:lang w:val="en-US" w:eastAsia="zh-CN"/>
        </w:rPr>
        <w:t>2020</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sz w:val="28"/>
          <w:szCs w:val="28"/>
          <w:u w:val="single"/>
          <w:lang w:val="en-US" w:eastAsia="zh-CN"/>
        </w:rPr>
        <w:t>1</w:t>
      </w:r>
      <w:r>
        <w:rPr>
          <w:rFonts w:hint="eastAsia" w:asciiTheme="minorEastAsia" w:hAnsiTheme="minorEastAsia" w:eastAsiaTheme="minorEastAsia" w:cstheme="minorEastAsia"/>
          <w:i w:val="0"/>
          <w:iCs w:val="0"/>
          <w:sz w:val="28"/>
          <w:szCs w:val="28"/>
          <w:u w:val="single"/>
        </w:rPr>
        <w:t>月</w:t>
      </w:r>
      <w:r>
        <w:rPr>
          <w:rFonts w:hint="eastAsia" w:asciiTheme="minorEastAsia" w:hAnsiTheme="minorEastAsia" w:eastAsiaTheme="minorEastAsia" w:cstheme="minorEastAsia"/>
          <w:i w:val="0"/>
          <w:iCs w:val="0"/>
          <w:sz w:val="28"/>
          <w:szCs w:val="28"/>
          <w:u w:val="single"/>
          <w:lang w:val="en-US" w:eastAsia="zh-CN"/>
        </w:rPr>
        <w:t>11</w:t>
      </w:r>
      <w:r>
        <w:rPr>
          <w:rFonts w:hint="eastAsia" w:asciiTheme="minorEastAsia" w:hAnsiTheme="minorEastAsia" w:eastAsiaTheme="minorEastAsia" w:cstheme="minorEastAsia"/>
          <w:i w:val="0"/>
          <w:iCs w:val="0"/>
          <w:sz w:val="28"/>
          <w:szCs w:val="28"/>
          <w:u w:val="single"/>
        </w:rPr>
        <w:t>日</w:t>
      </w:r>
      <w:r>
        <w:rPr>
          <w:rFonts w:hint="eastAsia" w:asciiTheme="minorEastAsia" w:hAnsiTheme="minorEastAsia" w:eastAsiaTheme="minorEastAsia" w:cstheme="minorEastAsia"/>
          <w:i w:val="0"/>
          <w:iCs w:val="0"/>
          <w:sz w:val="28"/>
          <w:szCs w:val="28"/>
        </w:rPr>
        <w:t>至</w:t>
      </w:r>
      <w:r>
        <w:rPr>
          <w:rFonts w:hint="eastAsia" w:asciiTheme="minorEastAsia" w:hAnsiTheme="minorEastAsia" w:eastAsiaTheme="minorEastAsia" w:cstheme="minorEastAsia"/>
          <w:i w:val="0"/>
          <w:iCs w:val="0"/>
          <w:sz w:val="28"/>
          <w:szCs w:val="28"/>
          <w:u w:val="single"/>
          <w:lang w:val="en-US" w:eastAsia="zh-CN"/>
        </w:rPr>
        <w:t>2020</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sz w:val="28"/>
          <w:szCs w:val="28"/>
          <w:u w:val="single"/>
          <w:lang w:val="en-US" w:eastAsia="zh-CN"/>
        </w:rPr>
        <w:t>1</w:t>
      </w:r>
      <w:r>
        <w:rPr>
          <w:rFonts w:hint="eastAsia" w:asciiTheme="minorEastAsia" w:hAnsiTheme="minorEastAsia" w:eastAsiaTheme="minorEastAsia" w:cstheme="minorEastAsia"/>
          <w:i w:val="0"/>
          <w:iCs w:val="0"/>
          <w:sz w:val="28"/>
          <w:szCs w:val="28"/>
          <w:u w:val="single"/>
        </w:rPr>
        <w:t>月</w:t>
      </w:r>
      <w:r>
        <w:rPr>
          <w:rFonts w:hint="eastAsia" w:asciiTheme="minorEastAsia" w:hAnsiTheme="minorEastAsia" w:eastAsiaTheme="minorEastAsia" w:cstheme="minorEastAsia"/>
          <w:i w:val="0"/>
          <w:iCs w:val="0"/>
          <w:sz w:val="28"/>
          <w:szCs w:val="28"/>
          <w:u w:val="single"/>
          <w:lang w:val="en-US" w:eastAsia="zh-CN"/>
        </w:rPr>
        <w:t>18</w:t>
      </w:r>
      <w:r>
        <w:rPr>
          <w:rFonts w:hint="eastAsia" w:asciiTheme="minorEastAsia" w:hAnsiTheme="minorEastAsia" w:eastAsiaTheme="minorEastAsia" w:cstheme="minorEastAsia"/>
          <w:i w:val="0"/>
          <w:iCs w:val="0"/>
          <w:sz w:val="28"/>
          <w:szCs w:val="28"/>
          <w:u w:val="single"/>
        </w:rPr>
        <w:t>日（提供期限自本公告发布之日起不得少于5个工作日）</w:t>
      </w:r>
    </w:p>
    <w:p>
      <w:pPr>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sz w:val="28"/>
          <w:szCs w:val="28"/>
        </w:rPr>
        <w:t>方式：</w:t>
      </w:r>
      <w:r>
        <w:rPr>
          <w:rFonts w:hint="eastAsia" w:asciiTheme="minorEastAsia" w:hAnsiTheme="minorEastAsia" w:eastAsiaTheme="minorEastAsia" w:cstheme="minorEastAsia"/>
          <w:color w:val="auto"/>
          <w:sz w:val="28"/>
          <w:szCs w:val="28"/>
          <w:lang w:eastAsia="zh-CN"/>
        </w:rPr>
        <w:t>投标人在浙江政府采购云平台（</w:t>
      </w:r>
      <w:r>
        <w:rPr>
          <w:rStyle w:val="26"/>
          <w:rFonts w:hint="eastAsia" w:asciiTheme="minorEastAsia" w:hAnsiTheme="minorEastAsia" w:eastAsiaTheme="minorEastAsia" w:cstheme="minorEastAsia"/>
          <w:bCs/>
          <w:color w:val="auto"/>
          <w:sz w:val="28"/>
          <w:szCs w:val="28"/>
        </w:rPr>
        <w:t>http://www.zcygov.cn</w:t>
      </w:r>
      <w:r>
        <w:rPr>
          <w:rStyle w:val="26"/>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color w:val="auto"/>
          <w:sz w:val="28"/>
          <w:szCs w:val="28"/>
          <w:lang w:eastAsia="zh-CN"/>
        </w:rPr>
        <w:t>进行网上报名后可</w:t>
      </w:r>
      <w:r>
        <w:rPr>
          <w:rFonts w:hint="eastAsia" w:asciiTheme="minorEastAsia" w:hAnsiTheme="minorEastAsia" w:eastAsiaTheme="minorEastAsia" w:cstheme="minorEastAsia"/>
          <w:color w:val="auto"/>
          <w:sz w:val="28"/>
          <w:szCs w:val="28"/>
        </w:rPr>
        <w:t>免费下载</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b/>
          <w:bCs/>
          <w:color w:val="auto"/>
          <w:sz w:val="28"/>
          <w:szCs w:val="28"/>
          <w:lang w:eastAsia="zh-CN"/>
        </w:rPr>
        <w:t>提示：采购机构将拒绝非报名供应商的电子投标文件。</w:t>
      </w:r>
    </w:p>
    <w:p>
      <w:pPr>
        <w:pStyle w:val="6"/>
        <w:spacing w:line="360" w:lineRule="auto"/>
        <w:rPr>
          <w:rFonts w:hint="eastAsia" w:asciiTheme="minorEastAsia" w:hAnsiTheme="minorEastAsia" w:eastAsiaTheme="minorEastAsia" w:cstheme="minorEastAsia"/>
          <w:b w:val="0"/>
          <w:sz w:val="28"/>
          <w:szCs w:val="28"/>
        </w:rPr>
      </w:pPr>
      <w:bookmarkStart w:id="13" w:name="_Toc28359005"/>
      <w:bookmarkStart w:id="14" w:name="_Toc28359082"/>
      <w:bookmarkStart w:id="15" w:name="_Toc35393624"/>
      <w:bookmarkStart w:id="16" w:name="_Toc35393793"/>
      <w:r>
        <w:rPr>
          <w:rFonts w:hint="eastAsia" w:asciiTheme="minorEastAsia" w:hAnsiTheme="minorEastAsia" w:eastAsiaTheme="minorEastAsia" w:cstheme="minorEastAsia"/>
          <w:b w:val="0"/>
          <w:sz w:val="28"/>
          <w:szCs w:val="28"/>
        </w:rPr>
        <w:t>四、提交投标文件</w:t>
      </w:r>
      <w:bookmarkEnd w:id="13"/>
      <w:bookmarkEnd w:id="14"/>
      <w:r>
        <w:rPr>
          <w:rFonts w:hint="eastAsia" w:asciiTheme="minorEastAsia" w:hAnsiTheme="minorEastAsia" w:eastAsiaTheme="minorEastAsia" w:cstheme="minorEastAsia"/>
          <w:b w:val="0"/>
          <w:sz w:val="28"/>
          <w:szCs w:val="28"/>
        </w:rPr>
        <w:t>截止时间、开标时间和地点</w:t>
      </w:r>
      <w:bookmarkEnd w:id="15"/>
      <w:bookmarkEnd w:id="16"/>
    </w:p>
    <w:p>
      <w:pPr>
        <w:spacing w:line="360" w:lineRule="auto"/>
        <w:ind w:firstLine="560" w:firstLineChars="200"/>
        <w:rPr>
          <w:rFonts w:hint="eastAsia" w:asciiTheme="minorEastAsia" w:hAnsiTheme="minorEastAsia" w:eastAsiaTheme="minorEastAsia" w:cstheme="minorEastAsia"/>
          <w:i w:val="0"/>
          <w:iCs/>
          <w:sz w:val="28"/>
          <w:szCs w:val="28"/>
          <w:u w:val="single"/>
        </w:rPr>
      </w:pP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u w:val="single"/>
          <w:lang w:val="en-US" w:eastAsia="zh-CN"/>
        </w:rPr>
        <w:t>2020</w:t>
      </w:r>
      <w:r>
        <w:rPr>
          <w:rFonts w:hint="eastAsia" w:asciiTheme="minorEastAsia" w:hAnsiTheme="minorEastAsia" w:eastAsiaTheme="minorEastAsia" w:cstheme="minorEastAsia"/>
          <w:bCs/>
          <w:sz w:val="28"/>
          <w:szCs w:val="28"/>
          <w:u w:val="single"/>
        </w:rPr>
        <w:t>年</w:t>
      </w:r>
      <w:r>
        <w:rPr>
          <w:rFonts w:hint="eastAsia" w:asciiTheme="minorEastAsia" w:hAnsiTheme="minorEastAsia" w:eastAsiaTheme="minorEastAsia" w:cstheme="minorEastAsia"/>
          <w:bCs/>
          <w:sz w:val="28"/>
          <w:szCs w:val="28"/>
          <w:u w:val="single"/>
          <w:lang w:val="en-US" w:eastAsia="zh-CN"/>
        </w:rPr>
        <w:t>2</w:t>
      </w:r>
      <w:r>
        <w:rPr>
          <w:rFonts w:hint="eastAsia" w:asciiTheme="minorEastAsia" w:hAnsiTheme="minorEastAsia" w:eastAsiaTheme="minorEastAsia" w:cstheme="minorEastAsia"/>
          <w:bCs/>
          <w:sz w:val="28"/>
          <w:szCs w:val="28"/>
          <w:u w:val="single"/>
        </w:rPr>
        <w:t>月</w:t>
      </w:r>
      <w:r>
        <w:rPr>
          <w:rFonts w:hint="eastAsia" w:asciiTheme="minorEastAsia" w:hAnsiTheme="minorEastAsia" w:eastAsiaTheme="minorEastAsia" w:cstheme="minorEastAsia"/>
          <w:bCs/>
          <w:sz w:val="28"/>
          <w:szCs w:val="28"/>
          <w:u w:val="single"/>
          <w:lang w:val="en-US" w:eastAsia="zh-CN"/>
        </w:rPr>
        <w:t>2</w:t>
      </w:r>
      <w:r>
        <w:rPr>
          <w:rFonts w:hint="eastAsia" w:asciiTheme="minorEastAsia" w:hAnsiTheme="minorEastAsia" w:eastAsiaTheme="minorEastAsia" w:cstheme="minorEastAsia"/>
          <w:bCs/>
          <w:sz w:val="28"/>
          <w:szCs w:val="28"/>
          <w:u w:val="single"/>
        </w:rPr>
        <w:t>日</w:t>
      </w:r>
      <w:r>
        <w:rPr>
          <w:rFonts w:hint="eastAsia" w:asciiTheme="minorEastAsia" w:hAnsiTheme="minorEastAsia" w:eastAsiaTheme="minorEastAsia" w:cstheme="minorEastAsia"/>
          <w:bCs/>
          <w:sz w:val="28"/>
          <w:szCs w:val="28"/>
          <w:u w:val="single"/>
          <w:lang w:val="en-US" w:eastAsia="zh-CN"/>
        </w:rPr>
        <w:t>9</w:t>
      </w:r>
      <w:r>
        <w:rPr>
          <w:rFonts w:hint="eastAsia" w:asciiTheme="minorEastAsia" w:hAnsiTheme="minorEastAsia" w:eastAsiaTheme="minorEastAsia" w:cstheme="minorEastAsia"/>
          <w:bCs/>
          <w:sz w:val="28"/>
          <w:szCs w:val="28"/>
          <w:u w:val="single"/>
        </w:rPr>
        <w:t>点</w:t>
      </w:r>
      <w:r>
        <w:rPr>
          <w:rFonts w:hint="eastAsia" w:asciiTheme="minorEastAsia" w:hAnsiTheme="minorEastAsia" w:eastAsiaTheme="minorEastAsia" w:cstheme="minorEastAsia"/>
          <w:bCs/>
          <w:sz w:val="28"/>
          <w:szCs w:val="28"/>
          <w:u w:val="single"/>
          <w:lang w:eastAsia="zh-CN"/>
        </w:rPr>
        <w:t>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 w:val="0"/>
          <w:iCs/>
          <w:sz w:val="28"/>
          <w:szCs w:val="28"/>
          <w:u w:val="single"/>
        </w:rPr>
        <w:t>（自招标文件开始发出之日起至投标人提交投标文件截止之日止，不得少于20日）</w:t>
      </w:r>
    </w:p>
    <w:p>
      <w:pPr>
        <w:pStyle w:val="11"/>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投标网址：浙江政府采购云平台（</w:t>
      </w:r>
      <w:r>
        <w:rPr>
          <w:rFonts w:hint="eastAsia" w:asciiTheme="minorEastAsia" w:hAnsiTheme="minorEastAsia" w:eastAsiaTheme="minorEastAsia" w:cstheme="minorEastAsia"/>
          <w:color w:val="auto"/>
          <w:kern w:val="2"/>
          <w:sz w:val="28"/>
          <w:szCs w:val="28"/>
          <w:lang w:val="en-US" w:eastAsia="zh-CN" w:bidi="ar-SA"/>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2"/>
          <w:sz w:val="28"/>
          <w:szCs w:val="28"/>
          <w:lang w:val="en-US" w:eastAsia="zh-CN" w:bidi="ar-SA"/>
        </w:rPr>
        <w:t>http://www.zcygov.cn）。</w:t>
      </w:r>
      <w:r>
        <w:rPr>
          <w:rFonts w:hint="eastAsia" w:asciiTheme="minorEastAsia" w:hAnsiTheme="minorEastAsia" w:eastAsiaTheme="minorEastAsia" w:cstheme="minorEastAsia"/>
          <w:color w:val="auto"/>
          <w:kern w:val="2"/>
          <w:sz w:val="28"/>
          <w:szCs w:val="28"/>
          <w:lang w:val="en-US" w:eastAsia="zh-CN" w:bidi="ar-SA"/>
        </w:rPr>
        <w:br w:type="textWrapping"/>
      </w:r>
      <w:r>
        <w:rPr>
          <w:rFonts w:hint="eastAsia" w:asciiTheme="minorEastAsia" w:hAnsiTheme="minorEastAsia" w:eastAsiaTheme="minorEastAsia" w:cstheme="minorEastAsia"/>
          <w:color w:val="auto"/>
          <w:kern w:val="2"/>
          <w:sz w:val="28"/>
          <w:szCs w:val="28"/>
          <w:lang w:val="en-US" w:eastAsia="zh-CN" w:bidi="ar-SA"/>
        </w:rPr>
        <w:t>本项目只接受电子投标文件，具体操作要求见前附表。请在开标当日09:00至09:30完成电子投标文件解密。</w:t>
      </w:r>
    </w:p>
    <w:p>
      <w:pPr>
        <w:pStyle w:val="6"/>
        <w:spacing w:line="360" w:lineRule="auto"/>
        <w:rPr>
          <w:rFonts w:hint="eastAsia" w:asciiTheme="minorEastAsia" w:hAnsiTheme="minorEastAsia" w:eastAsiaTheme="minorEastAsia" w:cstheme="minorEastAsia"/>
          <w:b w:val="0"/>
          <w:sz w:val="28"/>
          <w:szCs w:val="28"/>
        </w:rPr>
      </w:pPr>
      <w:bookmarkStart w:id="17" w:name="_Toc35393794"/>
      <w:bookmarkStart w:id="18" w:name="_Toc28359084"/>
      <w:bookmarkStart w:id="19" w:name="_Toc35393625"/>
      <w:bookmarkStart w:id="20" w:name="_Toc28359007"/>
      <w:r>
        <w:rPr>
          <w:rFonts w:hint="eastAsia" w:asciiTheme="minorEastAsia" w:hAnsiTheme="minorEastAsia" w:eastAsiaTheme="minorEastAsia" w:cstheme="minorEastAsia"/>
          <w:b w:val="0"/>
          <w:sz w:val="28"/>
          <w:szCs w:val="28"/>
        </w:rPr>
        <w:t>五、公告期限</w:t>
      </w:r>
      <w:bookmarkEnd w:id="17"/>
      <w:bookmarkEnd w:id="18"/>
      <w:bookmarkEnd w:id="19"/>
      <w:bookmarkEnd w:id="20"/>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6"/>
        <w:numPr>
          <w:ilvl w:val="0"/>
          <w:numId w:val="0"/>
        </w:numPr>
        <w:spacing w:line="360" w:lineRule="auto"/>
        <w:ind w:right="25" w:rightChars="0"/>
        <w:rPr>
          <w:rFonts w:hint="eastAsia" w:asciiTheme="minorEastAsia" w:hAnsiTheme="minorEastAsia" w:eastAsiaTheme="minorEastAsia" w:cstheme="minorEastAsia"/>
          <w:b w:val="0"/>
          <w:sz w:val="28"/>
          <w:szCs w:val="28"/>
        </w:rPr>
      </w:pPr>
      <w:bookmarkStart w:id="21" w:name="_Toc35393626"/>
      <w:bookmarkStart w:id="22" w:name="_Toc35393795"/>
      <w:r>
        <w:rPr>
          <w:rFonts w:hint="eastAsia" w:asciiTheme="minorEastAsia" w:hAnsiTheme="minorEastAsia" w:eastAsiaTheme="minorEastAsia" w:cstheme="minorEastAsia"/>
          <w:b w:val="0"/>
          <w:sz w:val="28"/>
          <w:szCs w:val="28"/>
          <w:lang w:eastAsia="zh-CN"/>
        </w:rPr>
        <w:t>六、</w:t>
      </w:r>
      <w:r>
        <w:rPr>
          <w:rFonts w:hint="eastAsia" w:asciiTheme="minorEastAsia" w:hAnsiTheme="minorEastAsia" w:eastAsiaTheme="minorEastAsia" w:cstheme="minorEastAsia"/>
          <w:b w:val="0"/>
          <w:sz w:val="28"/>
          <w:szCs w:val="28"/>
        </w:rPr>
        <w:t>其他补充事宜</w:t>
      </w:r>
      <w:bookmarkEnd w:id="21"/>
      <w:bookmarkEnd w:id="22"/>
    </w:p>
    <w:p>
      <w:pPr>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1、供应商认为采购文件使自己的权益受到损害的，可以自收到采购文件之日（获取截止日之后收到采购文件的，以获取截止日为准）起7个工作日内且应当在采购</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3、参与政府采购项目的注册供应商，需登录浙江省政府采购网（</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"http://www.tzztb.com/tzcms/zfcg.jhtml"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http://www.zjzfcg.gov.cn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）进行网上报名；尚未注册的供应商应当先在浙江政府采购网上申请注册，注册后再进行网上报名。</w:t>
      </w:r>
    </w:p>
    <w:p>
      <w:pPr>
        <w:pStyle w:val="6"/>
        <w:spacing w:line="360" w:lineRule="auto"/>
        <w:rPr>
          <w:rFonts w:hint="eastAsia" w:asciiTheme="minorEastAsia" w:hAnsiTheme="minorEastAsia" w:eastAsiaTheme="minorEastAsia" w:cstheme="minorEastAsia"/>
          <w:b w:val="0"/>
          <w:sz w:val="28"/>
          <w:szCs w:val="28"/>
        </w:rPr>
      </w:pPr>
      <w:bookmarkStart w:id="23" w:name="_Toc28359008"/>
      <w:bookmarkStart w:id="24" w:name="_Toc35393627"/>
      <w:bookmarkStart w:id="25" w:name="_Toc28359085"/>
      <w:bookmarkStart w:id="26" w:name="_Toc35393796"/>
      <w:r>
        <w:rPr>
          <w:rFonts w:hint="eastAsia" w:asciiTheme="minorEastAsia" w:hAnsiTheme="minorEastAsia" w:eastAsiaTheme="minorEastAsia" w:cstheme="minorEastAsia"/>
          <w:b w:val="0"/>
          <w:sz w:val="28"/>
          <w:szCs w:val="28"/>
        </w:rPr>
        <w:t>七、对本次招标提出询问，请按以下方式联系。</w:t>
      </w:r>
      <w:bookmarkEnd w:id="23"/>
      <w:bookmarkEnd w:id="24"/>
      <w:bookmarkEnd w:id="25"/>
      <w:bookmarkEnd w:id="26"/>
    </w:p>
    <w:p>
      <w:pPr>
        <w:snapToGrid w:val="0"/>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1.采购人</w:t>
      </w:r>
      <w:r>
        <w:rPr>
          <w:rFonts w:hint="eastAsia" w:asciiTheme="minorEastAsia" w:hAnsiTheme="minorEastAsia" w:eastAsiaTheme="minorEastAsia" w:cstheme="minorEastAsia"/>
          <w:b/>
          <w:bCs/>
          <w:color w:val="auto"/>
          <w:sz w:val="28"/>
          <w:szCs w:val="28"/>
        </w:rPr>
        <w:t>（受理</w:t>
      </w:r>
      <w:r>
        <w:rPr>
          <w:rFonts w:hint="eastAsia" w:asciiTheme="minorEastAsia" w:hAnsiTheme="minorEastAsia" w:eastAsiaTheme="minorEastAsia" w:cstheme="minorEastAsia"/>
          <w:b/>
          <w:bCs/>
          <w:color w:val="auto"/>
          <w:sz w:val="28"/>
          <w:szCs w:val="28"/>
          <w:lang w:eastAsia="zh-CN"/>
        </w:rPr>
        <w:t>采购</w:t>
      </w:r>
      <w:r>
        <w:rPr>
          <w:rFonts w:hint="eastAsia" w:asciiTheme="minorEastAsia" w:hAnsiTheme="minorEastAsia" w:eastAsiaTheme="minorEastAsia" w:cstheme="minorEastAsia"/>
          <w:b/>
          <w:bCs/>
          <w:color w:val="auto"/>
          <w:sz w:val="28"/>
          <w:szCs w:val="28"/>
        </w:rPr>
        <w:t xml:space="preserve">文件相关质疑及答复） </w:t>
      </w:r>
    </w:p>
    <w:p>
      <w:pPr>
        <w:spacing w:line="360" w:lineRule="auto"/>
        <w:ind w:left="1129" w:leftChars="371" w:hanging="350" w:hangingChars="12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eastAsia="zh-CN"/>
        </w:rPr>
        <w:t>台州市紧急救援中心</w:t>
      </w:r>
      <w:r>
        <w:rPr>
          <w:rFonts w:hint="eastAsia" w:asciiTheme="minorEastAsia" w:hAnsiTheme="minorEastAsia" w:eastAsiaTheme="minorEastAsia" w:cstheme="minorEastAsia"/>
          <w:sz w:val="28"/>
          <w:szCs w:val="28"/>
          <w:u w:val="single"/>
        </w:rPr>
        <w:t>　</w:t>
      </w:r>
    </w:p>
    <w:p>
      <w:pPr>
        <w:spacing w:line="360" w:lineRule="auto"/>
        <w:ind w:left="1129" w:leftChars="371" w:hanging="350" w:hangingChars="12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eastAsia="zh-CN"/>
        </w:rPr>
        <w:t>台州经济开发区界牌路</w:t>
      </w:r>
      <w:r>
        <w:rPr>
          <w:rFonts w:hint="eastAsia" w:asciiTheme="minorEastAsia" w:hAnsiTheme="minorEastAsia" w:eastAsiaTheme="minorEastAsia" w:cstheme="minorEastAsia"/>
          <w:sz w:val="28"/>
          <w:szCs w:val="28"/>
          <w:u w:val="single"/>
          <w:lang w:val="en-US" w:eastAsia="zh-CN"/>
        </w:rPr>
        <w:t>114</w:t>
      </w:r>
      <w:r>
        <w:rPr>
          <w:rFonts w:hint="eastAsia" w:asciiTheme="minorEastAsia" w:hAnsiTheme="minorEastAsia" w:eastAsiaTheme="minorEastAsia" w:cstheme="minorEastAsia"/>
          <w:sz w:val="28"/>
          <w:szCs w:val="28"/>
          <w:u w:val="single"/>
          <w:lang w:eastAsia="zh-CN"/>
        </w:rPr>
        <w:t>号　</w:t>
      </w:r>
    </w:p>
    <w:p>
      <w:pPr>
        <w:spacing w:line="360" w:lineRule="auto"/>
        <w:ind w:left="1129" w:leftChars="371" w:hanging="350" w:hangingChars="125"/>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eastAsia="zh-CN"/>
        </w:rPr>
        <w:t>郭老师</w:t>
      </w:r>
      <w:r>
        <w:rPr>
          <w:rFonts w:hint="eastAsia" w:asciiTheme="minorEastAsia" w:hAnsiTheme="minorEastAsia" w:eastAsiaTheme="minorEastAsia" w:cstheme="minorEastAsia"/>
          <w:sz w:val="28"/>
          <w:szCs w:val="28"/>
          <w:u w:val="single"/>
        </w:rPr>
        <w:t xml:space="preserve">　　　　　　　 </w:t>
      </w:r>
      <w:bookmarkStart w:id="27" w:name="_Toc28359086"/>
      <w:bookmarkStart w:id="28" w:name="_Toc28359009"/>
    </w:p>
    <w:p>
      <w:pPr>
        <w:spacing w:line="360" w:lineRule="auto"/>
        <w:ind w:left="1129" w:leftChars="371" w:hanging="350" w:hangingChars="125"/>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val="en-US" w:eastAsia="zh-CN"/>
        </w:rPr>
        <w:t>13750636739</w:t>
      </w:r>
      <w:r>
        <w:rPr>
          <w:rFonts w:hint="eastAsia" w:asciiTheme="minorEastAsia" w:hAnsiTheme="minorEastAsia" w:eastAsiaTheme="minorEastAsia" w:cstheme="minorEastAsia"/>
          <w:sz w:val="28"/>
          <w:szCs w:val="28"/>
          <w:u w:val="single"/>
        </w:rPr>
        <w:t xml:space="preserve">　　　　　　 </w:t>
      </w:r>
    </w:p>
    <w:p>
      <w:pPr>
        <w:pStyle w:val="11"/>
        <w:rPr>
          <w:rFonts w:hint="eastAsia"/>
        </w:rPr>
      </w:pPr>
    </w:p>
    <w:p>
      <w:pPr>
        <w:spacing w:line="360" w:lineRule="auto"/>
        <w:ind w:firstLine="840" w:firstLineChars="300"/>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color w:val="auto"/>
          <w:sz w:val="28"/>
          <w:szCs w:val="28"/>
        </w:rPr>
        <w:t>集中采购机构</w:t>
      </w:r>
    </w:p>
    <w:p>
      <w:pPr>
        <w:spacing w:line="360" w:lineRule="auto"/>
        <w:ind w:firstLine="840" w:firstLineChars="300"/>
        <w:rPr>
          <w:rFonts w:hint="eastAsia" w:asciiTheme="minorEastAsia" w:hAnsiTheme="minorEastAsia" w:eastAsiaTheme="minorEastAsia" w:cstheme="minorEastAsia"/>
          <w:sz w:val="28"/>
          <w:szCs w:val="28"/>
        </w:rPr>
      </w:pPr>
      <w:bookmarkStart w:id="29" w:name="_Toc28359087"/>
      <w:bookmarkStart w:id="30" w:name="_Toc28359010"/>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eastAsia="zh-CN"/>
        </w:rPr>
        <w:t>台州市政府采购中心</w:t>
      </w:r>
      <w:r>
        <w:rPr>
          <w:rFonts w:hint="eastAsia" w:asciiTheme="minorEastAsia" w:hAnsiTheme="minorEastAsia" w:eastAsiaTheme="minorEastAsia" w:cstheme="minorEastAsia"/>
          <w:sz w:val="28"/>
          <w:szCs w:val="28"/>
          <w:u w:val="single"/>
        </w:rPr>
        <w:t>　</w:t>
      </w:r>
    </w:p>
    <w:p>
      <w:pPr>
        <w:spacing w:line="360" w:lineRule="auto"/>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lang w:eastAsia="zh-CN"/>
        </w:rPr>
        <w:t>台州市公共资源交易中心</w:t>
      </w:r>
      <w:r>
        <w:rPr>
          <w:rFonts w:hint="eastAsia" w:asciiTheme="minorEastAsia" w:hAnsiTheme="minorEastAsia" w:eastAsiaTheme="minorEastAsia" w:cstheme="minorEastAsia"/>
          <w:sz w:val="28"/>
          <w:szCs w:val="28"/>
          <w:u w:val="single"/>
        </w:rPr>
        <w:t>　</w:t>
      </w:r>
    </w:p>
    <w:p>
      <w:pPr>
        <w:spacing w:line="360" w:lineRule="auto"/>
        <w:ind w:firstLine="840" w:firstLineChars="3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项目联系人：</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eastAsia="zh-CN"/>
        </w:rPr>
        <w:t>叶女士</w:t>
      </w:r>
      <w:r>
        <w:rPr>
          <w:rFonts w:hint="eastAsia" w:asciiTheme="minorEastAsia" w:hAnsiTheme="minorEastAsia" w:eastAsiaTheme="minorEastAsia" w:cstheme="minorEastAsia"/>
          <w:sz w:val="28"/>
          <w:szCs w:val="28"/>
          <w:u w:val="single"/>
        </w:rPr>
        <w:t>　　</w:t>
      </w:r>
    </w:p>
    <w:p>
      <w:pPr>
        <w:spacing w:line="360" w:lineRule="auto"/>
        <w:ind w:firstLine="840" w:firstLineChars="3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val="en-US" w:eastAsia="zh-CN"/>
        </w:rPr>
        <w:t>0576-88685171</w:t>
      </w:r>
      <w:r>
        <w:rPr>
          <w:rFonts w:hint="eastAsia" w:asciiTheme="minorEastAsia" w:hAnsiTheme="minorEastAsia" w:eastAsiaTheme="minorEastAsia" w:cstheme="minorEastAsia"/>
          <w:sz w:val="28"/>
          <w:szCs w:val="28"/>
          <w:u w:val="single"/>
        </w:rPr>
        <w:t>　</w:t>
      </w:r>
    </w:p>
    <w:p>
      <w:pPr>
        <w:spacing w:line="360" w:lineRule="auto"/>
        <w:ind w:left="1678" w:leftChars="399" w:hanging="840" w:hangingChars="3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rPr>
        <w:t>窗口联系人：</w:t>
      </w:r>
      <w:r>
        <w:rPr>
          <w:rFonts w:hint="eastAsia" w:asciiTheme="minorEastAsia" w:hAnsiTheme="minorEastAsia" w:eastAsiaTheme="minorEastAsia" w:cstheme="minorEastAsia"/>
          <w:sz w:val="28"/>
          <w:szCs w:val="28"/>
          <w:lang w:eastAsia="zh-CN"/>
        </w:rPr>
        <w:t>候女士</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4"/>
          <w:szCs w:val="24"/>
        </w:rPr>
        <w:t>受理供应商注册、中标结果相关质疑及答复）</w:t>
      </w:r>
    </w:p>
    <w:p>
      <w:pPr>
        <w:spacing w:line="360" w:lineRule="auto"/>
        <w:ind w:firstLine="840"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0576-88685121</w:t>
      </w:r>
      <w:r>
        <w:rPr>
          <w:rFonts w:hint="eastAsia" w:asciiTheme="minorEastAsia" w:hAnsiTheme="minorEastAsia" w:eastAsiaTheme="minorEastAsia" w:cstheme="minorEastAsia"/>
          <w:sz w:val="28"/>
          <w:szCs w:val="28"/>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台州市政府采购中心</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eastAsia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eastAsiaTheme="minorEastAsia" w:cstheme="minorEastAsia"/>
          <w:color w:val="auto"/>
          <w:kern w:val="0"/>
          <w:sz w:val="28"/>
          <w:szCs w:val="28"/>
          <w:lang w:val="en-US" w:eastAsia="zh-CN"/>
        </w:rPr>
        <w:t xml:space="preserve">                                             2020</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kern w:val="0"/>
          <w:sz w:val="28"/>
          <w:szCs w:val="28"/>
        </w:rPr>
        <w:t>日</w:t>
      </w:r>
    </w:p>
    <w:p>
      <w:pPr>
        <w:pStyle w:val="11"/>
        <w:rPr>
          <w:rFonts w:hint="default" w:eastAsiaTheme="minorEastAsia"/>
          <w:lang w:val="en-US" w:eastAsia="zh-CN"/>
        </w:rPr>
      </w:pPr>
    </w:p>
    <w:p>
      <w:pPr>
        <w:pStyle w:val="11"/>
        <w:rPr>
          <w:rFonts w:hint="default" w:eastAsiaTheme="minorEastAsia"/>
          <w:lang w:val="en-US" w:eastAsia="zh-CN"/>
        </w:rPr>
      </w:pPr>
    </w:p>
    <w:bookmarkEnd w:id="29"/>
    <w:bookmarkEnd w:id="30"/>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投标人须知</w:t>
      </w:r>
    </w:p>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前附表</w:t>
      </w:r>
    </w:p>
    <w:tbl>
      <w:tblPr>
        <w:tblStyle w:val="22"/>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供应商特定</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答疑会或</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sz w:val="24"/>
                <w:lang w:eastAsia="zh-CN"/>
              </w:rPr>
              <w:t>电子</w:t>
            </w:r>
            <w:r>
              <w:rPr>
                <w:rFonts w:hint="eastAsia" w:asciiTheme="majorEastAsia" w:hAnsiTheme="majorEastAsia" w:eastAsiaTheme="majorEastAsia" w:cstheme="majorEastAsia"/>
                <w:color w:val="auto"/>
                <w:sz w:val="24"/>
              </w:rPr>
              <w:t>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auto"/>
                <w:sz w:val="24"/>
                <w:lang w:val="en-US"/>
              </w:rPr>
            </w:pPr>
            <w:r>
              <w:rPr>
                <w:rFonts w:hint="eastAsia" w:ascii="宋体" w:hAnsi="宋体" w:cs="宋体"/>
                <w:color w:val="auto"/>
                <w:sz w:val="24"/>
                <w:lang w:eastAsia="zh-CN"/>
              </w:rPr>
              <w:t>投标</w:t>
            </w:r>
            <w:r>
              <w:rPr>
                <w:rFonts w:hint="eastAsia" w:ascii="宋体" w:hAnsi="宋体" w:eastAsia="宋体" w:cs="宋体"/>
                <w:color w:val="auto"/>
                <w:sz w:val="24"/>
                <w:lang w:eastAsia="zh-CN"/>
              </w:rPr>
              <w:t>人须</w:t>
            </w:r>
            <w:r>
              <w:rPr>
                <w:rFonts w:hint="eastAsia" w:ascii="宋体" w:hAnsi="宋体" w:eastAsia="宋体" w:cs="宋体"/>
                <w:color w:val="auto"/>
                <w:sz w:val="24"/>
                <w:szCs w:val="24"/>
              </w:rPr>
              <w:t>按照采购文件和电子交易平台的要求编制并加密</w:t>
            </w:r>
            <w:r>
              <w:rPr>
                <w:rFonts w:hint="eastAsia" w:ascii="宋体" w:hAnsi="宋体" w:eastAsia="宋体" w:cs="宋体"/>
                <w:color w:val="auto"/>
                <w:sz w:val="24"/>
                <w:szCs w:val="24"/>
                <w:lang w:eastAsia="zh-CN"/>
              </w:rPr>
              <w:t>电子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r>
              <w:rPr>
                <w:rFonts w:hint="eastAsia" w:ascii="宋体" w:hAnsi="宋体" w:eastAsia="宋体" w:cs="宋体"/>
                <w:color w:val="auto"/>
                <w:sz w:val="24"/>
              </w:rPr>
              <w:t>截止时间：北京时间20</w:t>
            </w:r>
            <w:r>
              <w:rPr>
                <w:rFonts w:hint="eastAsia" w:ascii="宋体" w:hAnsi="宋体" w:eastAsia="宋体" w:cs="Arial"/>
                <w:color w:val="auto"/>
                <w:sz w:val="24"/>
                <w:lang w:val="en-US" w:eastAsia="zh-CN"/>
              </w:rPr>
              <w:t>20</w:t>
            </w:r>
            <w:r>
              <w:rPr>
                <w:rFonts w:hint="eastAsia" w:ascii="宋体" w:hAnsi="宋体" w:cs="宋体"/>
                <w:color w:val="auto"/>
                <w:sz w:val="24"/>
              </w:rPr>
              <w:t>年</w:t>
            </w:r>
            <w:r>
              <w:rPr>
                <w:rFonts w:hint="eastAsia" w:ascii="宋体" w:hAnsi="宋体" w:cs="宋体"/>
                <w:color w:val="auto"/>
                <w:sz w:val="24"/>
                <w:lang w:val="en-US" w:eastAsia="zh-CN"/>
              </w:rPr>
              <w:t>2</w:t>
            </w:r>
            <w:r>
              <w:rPr>
                <w:rFonts w:hint="eastAsia" w:ascii="宋体" w:hAnsi="宋体" w:cs="Arial"/>
                <w:color w:val="auto"/>
                <w:sz w:val="24"/>
              </w:rPr>
              <w:t>月</w:t>
            </w:r>
            <w:r>
              <w:rPr>
                <w:rFonts w:hint="eastAsia" w:ascii="宋体" w:hAnsi="宋体" w:cs="Arial"/>
                <w:color w:val="auto"/>
                <w:sz w:val="24"/>
                <w:lang w:val="en-US" w:eastAsia="zh-CN"/>
              </w:rPr>
              <w:t>2</w:t>
            </w:r>
            <w:r>
              <w:rPr>
                <w:rFonts w:hint="eastAsia" w:ascii="宋体" w:hAnsi="宋体" w:cs="Arial"/>
                <w:color w:val="auto"/>
                <w:sz w:val="24"/>
              </w:rPr>
              <w:t>日0</w:t>
            </w:r>
            <w:r>
              <w:rPr>
                <w:rFonts w:hint="eastAsia" w:ascii="宋体" w:hAnsi="宋体" w:cs="Arial"/>
                <w:color w:val="auto"/>
                <w:sz w:val="24"/>
                <w:lang w:val="en-US" w:eastAsia="zh-CN"/>
              </w:rPr>
              <w:t>9</w:t>
            </w:r>
            <w:r>
              <w:rPr>
                <w:rFonts w:hint="eastAsia" w:ascii="宋体" w:hAnsi="宋体" w:cs="Arial"/>
                <w:color w:val="auto"/>
                <w:sz w:val="24"/>
              </w:rPr>
              <w:t>:</w:t>
            </w:r>
            <w:r>
              <w:rPr>
                <w:rFonts w:hint="eastAsia" w:ascii="宋体" w:hAnsi="宋体" w:cs="Arial"/>
                <w:color w:val="auto"/>
                <w:sz w:val="24"/>
                <w:lang w:val="en-US" w:eastAsia="zh-CN"/>
              </w:rPr>
              <w:t>00</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投标人应当在投标截止时间前完成</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恕不接受。</w:t>
            </w:r>
          </w:p>
          <w:p>
            <w:pPr>
              <w:pStyle w:val="12"/>
              <w:spacing w:line="360" w:lineRule="auto"/>
              <w:rPr>
                <w:rFonts w:hint="eastAsia"/>
                <w:color w:val="auto"/>
                <w:lang w:eastAsia="zh-CN"/>
              </w:rPr>
            </w:pPr>
            <w:r>
              <w:rPr>
                <w:rFonts w:hint="eastAsia"/>
                <w:b/>
                <w:bCs/>
                <w:color w:val="auto"/>
                <w:sz w:val="24"/>
                <w:szCs w:val="24"/>
                <w:lang w:val="en-US" w:eastAsia="zh-CN"/>
              </w:rPr>
              <w:t>温馨提醒：供应商应提前上传，以便在上传时遇到技术问题，有充足的时间请教平台的技术人员。</w:t>
            </w:r>
            <w:r>
              <w:rPr>
                <w:rFonts w:hint="eastAsia"/>
                <w:color w:val="auto"/>
                <w:sz w:val="24"/>
                <w:szCs w:val="24"/>
                <w:lang w:val="en-US" w:eastAsia="zh-CN"/>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电子投标文件在线解密时间：北京时间2020年</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日09:00至09:30；</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备份电子投标</w:t>
            </w:r>
          </w:p>
          <w:p>
            <w:pPr>
              <w:pStyle w:val="21"/>
              <w:spacing w:line="360" w:lineRule="auto"/>
              <w:ind w:left="0" w:leftChars="0" w:firstLine="0" w:firstLineChars="0"/>
              <w:jc w:val="left"/>
              <w:rPr>
                <w:rFonts w:hint="eastAsia" w:asciiTheme="majorEastAsia" w:hAnsiTheme="majorEastAsia" w:eastAsiaTheme="majorEastAsia" w:cstheme="majorEastAsia"/>
                <w:color w:val="auto"/>
                <w:sz w:val="24"/>
                <w:lang w:eastAsia="zh-CN"/>
              </w:rPr>
            </w:pPr>
            <w:r>
              <w:rPr>
                <w:rFonts w:hint="eastAsia" w:ascii="宋体" w:hAnsi="宋体" w:eastAsia="宋体" w:cs="宋体"/>
                <w:color w:val="auto"/>
                <w:kern w:val="2"/>
                <w:sz w:val="24"/>
                <w:szCs w:val="24"/>
                <w:lang w:val="en-US" w:eastAsia="zh-CN" w:bidi="ar-SA"/>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default" w:asciiTheme="majorEastAsia" w:hAnsiTheme="majorEastAsia" w:eastAsiaTheme="majorEastAsia" w:cstheme="majorEastAsia"/>
                <w:b/>
                <w:bCs/>
                <w:color w:val="auto"/>
                <w:sz w:val="24"/>
                <w:lang w:val="en-US"/>
              </w:rPr>
            </w:pPr>
            <w:r>
              <w:rPr>
                <w:rFonts w:hint="eastAsia" w:ascii="宋体" w:hAnsi="宋体" w:eastAsia="宋体" w:cs="宋体"/>
                <w:color w:val="auto"/>
                <w:kern w:val="2"/>
                <w:sz w:val="24"/>
                <w:szCs w:val="24"/>
                <w:lang w:val="en-US" w:eastAsia="zh-CN" w:bidi="ar-SA"/>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宋体" w:hAnsi="宋体" w:eastAsia="宋体" w:cs="宋体"/>
                <w:color w:val="auto"/>
                <w:kern w:val="2"/>
                <w:sz w:val="24"/>
                <w:szCs w:val="24"/>
                <w:lang w:val="en-US" w:eastAsia="zh-CN" w:bidi="ar-SA"/>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1.使用前提：投标人自行在线解密操作失败无法按时寻求技术人员帮助解密，或者投标人寻求技术人员帮助仍无法按时完成解密；</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2.递交截止时间：</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2</w:t>
            </w:r>
            <w:bookmarkStart w:id="33" w:name="_GoBack"/>
            <w:bookmarkEnd w:id="33"/>
            <w:r>
              <w:rPr>
                <w:rFonts w:hint="eastAsia" w:ascii="宋体" w:hAnsi="宋体" w:eastAsia="宋体" w:cs="宋体"/>
                <w:color w:val="auto"/>
                <w:kern w:val="2"/>
                <w:sz w:val="24"/>
                <w:szCs w:val="24"/>
                <w:lang w:val="en-US" w:eastAsia="zh-CN" w:bidi="ar-SA"/>
              </w:rPr>
              <w:t>日09:50；</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3.投递邮箱：开标当日钉钉直播群公布的指定邮箱；</w:t>
            </w:r>
          </w:p>
          <w:p>
            <w:pPr>
              <w:pStyle w:val="21"/>
              <w:spacing w:line="360" w:lineRule="auto"/>
              <w:ind w:left="0" w:leftChars="0" w:firstLine="0" w:firstLineChars="0"/>
              <w:jc w:val="left"/>
              <w:rPr>
                <w:rFonts w:hint="default" w:ascii="宋体" w:hAnsi="宋体" w:cs="宋体"/>
                <w:color w:val="auto"/>
                <w:sz w:val="24"/>
                <w:lang w:val="en-US" w:eastAsia="zh-CN"/>
              </w:rPr>
            </w:pPr>
            <w:r>
              <w:rPr>
                <w:rFonts w:hint="eastAsia" w:ascii="宋体" w:hAnsi="宋体" w:eastAsia="宋体" w:cs="宋体"/>
                <w:color w:val="auto"/>
                <w:kern w:val="2"/>
                <w:sz w:val="24"/>
                <w:szCs w:val="24"/>
                <w:lang w:val="en-US" w:eastAsia="zh-CN" w:bidi="ar-SA"/>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FF0000"/>
                <w:sz w:val="24"/>
              </w:rPr>
              <w:t>远程在线演示要求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eastAsia="宋体"/>
                <w:color w:val="auto"/>
                <w:sz w:val="24"/>
                <w:szCs w:val="24"/>
                <w:lang w:val="en-US" w:eastAsia="zh-CN"/>
              </w:rPr>
            </w:pPr>
            <w:r>
              <w:rPr>
                <w:rFonts w:hint="eastAsia" w:ascii="宋体" w:hAnsi="宋体" w:cs="宋体"/>
                <w:color w:val="FF000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FF0000"/>
                <w:sz w:val="24"/>
              </w:rPr>
              <w:t>演示直播群的设置要求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default" w:ascii="Times New Roman" w:hAnsi="Times New Roman" w:eastAsia="宋体" w:cs="Times New Roman"/>
                <w:color w:val="auto"/>
                <w:kern w:val="2"/>
                <w:sz w:val="24"/>
                <w:szCs w:val="24"/>
                <w:lang w:val="en-US" w:eastAsia="zh-CN" w:bidi="ar-SA"/>
              </w:rPr>
            </w:pPr>
            <w:r>
              <w:rPr>
                <w:rFonts w:hint="eastAsia" w:ascii="宋体" w:hAnsi="宋体" w:cs="宋体"/>
                <w:color w:val="FF0000"/>
                <w:sz w:val="24"/>
              </w:rPr>
              <w:t>按照《投标人演示直播指南》操作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投标有效期为开标后90天，</w:t>
            </w:r>
            <w:r>
              <w:rPr>
                <w:rFonts w:hint="eastAsia" w:asciiTheme="majorEastAsia" w:hAnsiTheme="majorEastAsia" w:eastAsiaTheme="majorEastAsia" w:cstheme="majorEastAsia"/>
                <w:color w:val="auto"/>
                <w:kern w:val="0"/>
                <w:sz w:val="24"/>
              </w:rPr>
              <w:t>投标有效期从提交</w:t>
            </w:r>
            <w:r>
              <w:rPr>
                <w:rFonts w:hint="eastAsia" w:asciiTheme="majorEastAsia" w:hAnsiTheme="majorEastAsia" w:eastAsiaTheme="majorEastAsia" w:cstheme="majorEastAsia"/>
                <w:color w:val="auto"/>
                <w:kern w:val="0"/>
                <w:sz w:val="24"/>
                <w:lang w:eastAsia="zh-CN"/>
              </w:rPr>
              <w:t>电子投标文件</w:t>
            </w:r>
            <w:r>
              <w:rPr>
                <w:rFonts w:hint="eastAsia" w:asciiTheme="majorEastAsia" w:hAnsiTheme="majorEastAsia" w:eastAsiaTheme="majorEastAsia" w:cstheme="majorEastAsia"/>
                <w:color w:val="auto"/>
                <w:kern w:val="0"/>
                <w:sz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pStyle w:val="11"/>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asciiTheme="majorEastAsia" w:hAnsiTheme="majorEastAsia" w:eastAsiaTheme="majorEastAsia" w:cstheme="majorEastAsia"/>
                <w:color w:val="auto"/>
                <w:sz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本项目开评标环节实行全流程电子化，采取不见面钉钉直播开标，投标人可自行下载“钉钉软件”观看。（钉钉直播群号为：</w:t>
            </w:r>
            <w:r>
              <w:rPr>
                <w:rFonts w:hint="eastAsia" w:cs="宋体"/>
                <w:color w:val="auto"/>
                <w:sz w:val="24"/>
                <w:szCs w:val="24"/>
                <w:lang w:val="en-US" w:eastAsia="zh-CN"/>
              </w:rPr>
              <w:t>33326327</w:t>
            </w:r>
            <w:r>
              <w:rPr>
                <w:rFonts w:hint="eastAsia" w:ascii="宋体" w:hAnsi="宋体" w:eastAsia="宋体" w:cs="宋体"/>
                <w:color w:val="auto"/>
                <w:sz w:val="24"/>
                <w:szCs w:val="24"/>
                <w:lang w:val="en-US" w:eastAsia="zh-CN"/>
              </w:rPr>
              <w:t>，投标人只能于开标当天</w:t>
            </w:r>
            <w:r>
              <w:rPr>
                <w:rFonts w:hint="eastAsia"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hAnsi="宋体" w:cs="宋体"/>
                <w:color w:val="auto"/>
                <w:sz w:val="24"/>
                <w:szCs w:val="24"/>
                <w:lang w:val="en-US" w:eastAsia="zh-CN"/>
              </w:rPr>
              <w:t>30</w:t>
            </w:r>
            <w:r>
              <w:rPr>
                <w:rFonts w:hint="eastAsia" w:ascii="宋体" w:hAnsi="宋体" w:eastAsia="宋体" w:cs="宋体"/>
                <w:color w:val="auto"/>
                <w:sz w:val="24"/>
                <w:szCs w:val="24"/>
                <w:lang w:val="en-US" w:eastAsia="zh-CN"/>
              </w:rPr>
              <w:t>以后搜索到群号，并申请进群。采购组织机构按照采购文件规定的时间通过电子交易平台组织开标、开启响应文件，所有供应商均应当准时在线参加。</w:t>
            </w:r>
            <w:r>
              <w:rPr>
                <w:rFonts w:hint="eastAsia" w:hAnsi="宋体" w:cs="宋体"/>
                <w:color w:val="FF0000"/>
                <w:sz w:val="24"/>
                <w:szCs w:val="24"/>
                <w:lang w:val="en-US" w:eastAsia="zh-CN"/>
              </w:rPr>
              <w:t>如未参加，</w:t>
            </w:r>
            <w:r>
              <w:rPr>
                <w:rFonts w:hint="eastAsia" w:ascii="宋体" w:hAnsi="宋体" w:eastAsia="宋体" w:cs="宋体"/>
                <w:bCs/>
                <w:color w:val="FF0000"/>
                <w:sz w:val="24"/>
              </w:rPr>
              <w:t>造成无法投标或投标失败等后果由供应商自行承担</w:t>
            </w:r>
            <w:r>
              <w:rPr>
                <w:rFonts w:hint="eastAsia" w:hAnsi="宋体" w:cs="宋体"/>
                <w:bCs/>
                <w:color w:val="FF0000"/>
                <w:sz w:val="24"/>
                <w:lang w:eastAsia="zh-CN"/>
              </w:rPr>
              <w:t>。</w:t>
            </w:r>
            <w:r>
              <w:rPr>
                <w:rFonts w:hint="eastAsia" w:ascii="宋体" w:hAnsi="宋体" w:eastAsia="宋体" w:cs="宋体"/>
                <w:color w:val="FF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cs="Arial" w:asciiTheme="minorEastAsia" w:hAnsiTheme="minorEastAsia" w:eastAsiaTheme="minorEastAsia"/>
                <w:color w:val="auto"/>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1.本项目实行</w:t>
            </w:r>
            <w:r>
              <w:rPr>
                <w:rFonts w:hint="eastAsia" w:hAnsi="宋体" w:eastAsia="宋体" w:cs="宋体"/>
                <w:bCs/>
                <w:color w:val="auto"/>
                <w:sz w:val="24"/>
                <w:lang w:eastAsia="zh-CN"/>
              </w:rPr>
              <w:t>电子采购</w:t>
            </w:r>
            <w:r>
              <w:rPr>
                <w:rFonts w:hint="eastAsia" w:ascii="宋体" w:hAnsi="宋体" w:eastAsia="宋体" w:cs="宋体"/>
                <w:bCs/>
                <w:color w:val="auto"/>
                <w:sz w:val="24"/>
              </w:rPr>
              <w:t>，采用电子投标文件。若供应商参与投标，自行承担投标一切费用。</w:t>
            </w:r>
          </w:p>
          <w:p>
            <w:pPr>
              <w:pStyle w:val="14"/>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3.1应按照本项目招标文件和政采云平台的要求编制、加密并递交</w:t>
            </w:r>
            <w:r>
              <w:rPr>
                <w:rFonts w:hint="eastAsia" w:ascii="宋体" w:hAnsi="宋体" w:cs="宋体"/>
                <w:bCs/>
                <w:color w:val="auto"/>
                <w:sz w:val="24"/>
                <w:lang w:eastAsia="zh-CN"/>
              </w:rPr>
              <w:t>电子投标文件</w:t>
            </w:r>
            <w:r>
              <w:rPr>
                <w:rFonts w:hint="eastAsia" w:ascii="宋体" w:hAnsi="宋体" w:eastAsia="宋体" w:cs="宋体"/>
                <w:bCs/>
                <w:color w:val="auto"/>
                <w:sz w:val="24"/>
              </w:rPr>
              <w:t>。供应商在使用系统进行投标的过程中遇到涉及平台使用的任何问题，可致电政采云平台技术支持热线咨询，联系方式：400-881-7190。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color w:val="auto"/>
                <w:sz w:val="24"/>
              </w:rPr>
            </w:pPr>
            <w:r>
              <w:rPr>
                <w:rFonts w:hint="eastAsia" w:ascii="宋体" w:hAnsi="宋体" w:eastAsia="宋体" w:cs="宋体"/>
                <w:bCs/>
                <w:color w:val="auto"/>
                <w:sz w:val="24"/>
              </w:rPr>
              <w:t>3.2投标人通过“政采云”平台电子投标工具制作</w:t>
            </w:r>
            <w:r>
              <w:rPr>
                <w:rFonts w:hint="eastAsia" w:ascii="宋体" w:hAnsi="宋体" w:cs="宋体"/>
                <w:bCs/>
                <w:color w:val="auto"/>
                <w:sz w:val="24"/>
                <w:lang w:eastAsia="zh-CN"/>
              </w:rPr>
              <w:t>电子投标文件</w:t>
            </w:r>
            <w:r>
              <w:rPr>
                <w:rFonts w:hint="eastAsia" w:ascii="宋体" w:hAnsi="宋体" w:eastAsia="宋体" w:cs="宋体"/>
                <w:bCs/>
                <w:color w:val="auto"/>
                <w:sz w:val="24"/>
              </w:rPr>
              <w:t>，电子投标工具请供应商自行前往浙江省政府采购网下载并安装，（下载网址：http://www.zjzfcg.gov.cn/bidClientTemplate/2019-09-24/12975.html），</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12</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 w:val="0"/>
                <w:bCs/>
                <w:color w:val="auto"/>
                <w:sz w:val="24"/>
              </w:rPr>
            </w:pPr>
            <w:r>
              <w:rPr>
                <w:rFonts w:cs="Arial" w:asciiTheme="minorEastAsia" w:hAnsiTheme="minorEastAsia" w:eastAsiaTheme="minorEastAsia"/>
                <w:b w:val="0"/>
                <w:bCs/>
                <w:color w:val="auto"/>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color w:val="auto"/>
                <w:sz w:val="24"/>
              </w:rPr>
            </w:pPr>
            <w:r>
              <w:rPr>
                <w:rFonts w:hint="eastAsia" w:cs="Arial" w:asciiTheme="minorEastAsia" w:hAnsiTheme="minorEastAsia" w:eastAsiaTheme="minorEastAsia"/>
                <w:color w:val="auto"/>
                <w:sz w:val="24"/>
              </w:rPr>
              <w:t>1、查询渠道：信用中国（网址：</w:t>
            </w:r>
            <w:r>
              <w:rPr>
                <w:color w:val="auto"/>
              </w:rPr>
              <w:fldChar w:fldCharType="begin"/>
            </w:r>
            <w:r>
              <w:rPr>
                <w:color w:val="auto"/>
              </w:rPr>
              <w:instrText xml:space="preserve"> HYPERLINK "http://www.creditchina.gov.cn" </w:instrText>
            </w:r>
            <w:r>
              <w:rPr>
                <w:color w:val="auto"/>
              </w:rPr>
              <w:fldChar w:fldCharType="separate"/>
            </w:r>
            <w:r>
              <w:rPr>
                <w:rFonts w:cs="Arial" w:asciiTheme="minorEastAsia" w:hAnsiTheme="minorEastAsia" w:eastAsiaTheme="minorEastAsia"/>
                <w:color w:val="auto"/>
                <w:sz w:val="24"/>
              </w:rPr>
              <w:t>http://www.creditchina.gov.cn</w:t>
            </w:r>
            <w:r>
              <w:rPr>
                <w:rFonts w:cs="Arial" w:asciiTheme="minorEastAsia" w:hAnsiTheme="minorEastAsia" w:eastAsiaTheme="minorEastAsia"/>
                <w:color w:val="auto"/>
                <w:sz w:val="24"/>
              </w:rPr>
              <w:fldChar w:fldCharType="end"/>
            </w:r>
            <w:r>
              <w:rPr>
                <w:rFonts w:hint="eastAsia" w:cs="Arial" w:asciiTheme="minorEastAsia" w:hAnsiTheme="minorEastAsia" w:eastAsiaTheme="minorEastAsia"/>
                <w:color w:val="auto"/>
                <w:sz w:val="24"/>
              </w:rPr>
              <w:t>）、中国政府采购网(网址：</w:t>
            </w:r>
            <w:r>
              <w:rPr>
                <w:rFonts w:cs="Arial" w:asciiTheme="minorEastAsia" w:hAnsiTheme="minorEastAsia" w:eastAsiaTheme="minorEastAsia"/>
                <w:color w:val="auto"/>
                <w:sz w:val="24"/>
              </w:rPr>
              <w:t>http://www.ccgp.gov.cn</w:t>
            </w:r>
            <w:r>
              <w:rPr>
                <w:rFonts w:hint="eastAsia" w:cs="Arial" w:asciiTheme="minorEastAsia" w:hAnsiTheme="minorEastAsia" w:eastAsiaTheme="minorEastAsia"/>
                <w:color w:val="auto"/>
                <w:sz w:val="24"/>
              </w:rPr>
              <w:t>）、</w:t>
            </w:r>
            <w:r>
              <w:rPr>
                <w:rFonts w:hint="eastAsia" w:ascii="宋体" w:hAnsi="宋体" w:cs="Arial"/>
                <w:color w:val="auto"/>
                <w:sz w:val="24"/>
              </w:rPr>
              <w:t>国家企业信用信息公示系统（http://www.gsxt.gov.cn/index.html）</w:t>
            </w:r>
            <w:r>
              <w:rPr>
                <w:rFonts w:hint="eastAsia" w:ascii="宋体" w:hAnsi="宋体" w:cs="Arial"/>
                <w:color w:val="auto"/>
                <w:sz w:val="24"/>
                <w:lang w:val="en-US" w:eastAsia="zh-CN"/>
              </w:rPr>
              <w:t>等</w:t>
            </w:r>
            <w:r>
              <w:rPr>
                <w:rFonts w:hint="eastAsia" w:ascii="宋体" w:hAnsi="宋体" w:cs="Arial"/>
                <w:color w:val="auto"/>
                <w:sz w:val="24"/>
              </w:rPr>
              <w:t>。</w:t>
            </w:r>
          </w:p>
          <w:p>
            <w:pPr>
              <w:snapToGrid w:val="0"/>
              <w:spacing w:line="360" w:lineRule="auto"/>
              <w:rPr>
                <w:rFonts w:cs="Arial" w:asciiTheme="minorEastAsia" w:hAnsiTheme="minorEastAsia" w:eastAsiaTheme="minorEastAsia"/>
                <w:b/>
                <w:bCs/>
                <w:color w:val="auto"/>
                <w:sz w:val="24"/>
                <w:shd w:val="clear" w:color="FFFFFF" w:fill="D9D9D9"/>
              </w:rPr>
            </w:pPr>
            <w:r>
              <w:rPr>
                <w:rFonts w:hint="eastAsia" w:cs="Arial" w:asciiTheme="minorEastAsia" w:hAnsiTheme="minorEastAsia" w:eastAsiaTheme="minorEastAsia"/>
                <w:color w:val="auto"/>
                <w:sz w:val="24"/>
              </w:rPr>
              <w:t>2、截止时点：</w:t>
            </w:r>
            <w:r>
              <w:rPr>
                <w:rFonts w:hint="eastAsia" w:cs="Arial" w:asciiTheme="minorEastAsia" w:hAnsiTheme="minorEastAsia" w:eastAsiaTheme="minorEastAsia"/>
                <w:color w:val="auto"/>
                <w:sz w:val="24"/>
                <w:lang w:val="en-US" w:eastAsia="zh-CN"/>
              </w:rPr>
              <w:t>评审结束</w:t>
            </w:r>
            <w:r>
              <w:rPr>
                <w:rFonts w:hint="eastAsia" w:cs="Arial" w:asciiTheme="minorEastAsia" w:hAnsiTheme="minorEastAsia" w:eastAsiaTheme="minorEastAsia"/>
                <w:color w:val="auto"/>
                <w:sz w:val="24"/>
              </w:rPr>
              <w:t>前。</w:t>
            </w:r>
          </w:p>
          <w:p>
            <w:pPr>
              <w:snapToGrid w:val="0"/>
              <w:spacing w:line="360" w:lineRule="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w:t>
            </w:r>
            <w:r>
              <w:rPr>
                <w:rFonts w:cs="Arial" w:asciiTheme="minorEastAsia" w:hAnsiTheme="minorEastAsia" w:eastAsiaTheme="minorEastAsia"/>
                <w:color w:val="auto"/>
                <w:sz w:val="24"/>
              </w:rPr>
              <w:t>信用信息查询记录和证据留存的具体方式</w:t>
            </w:r>
            <w:r>
              <w:rPr>
                <w:rFonts w:hint="eastAsia" w:cs="Arial" w:asciiTheme="minorEastAsia" w:hAnsiTheme="minorEastAsia" w:eastAsiaTheme="minorEastAsia"/>
                <w:color w:val="auto"/>
                <w:sz w:val="24"/>
              </w:rPr>
              <w:t>：由采购组织机构在规定查询时间内打印信用信息查询记录并归入项目档案。</w:t>
            </w:r>
          </w:p>
          <w:p>
            <w:pPr>
              <w:snapToGrid w:val="0"/>
              <w:spacing w:line="360" w:lineRule="auto"/>
              <w:rPr>
                <w:rFonts w:hint="default" w:eastAsia="宋体" w:asciiTheme="majorEastAsia" w:hAnsiTheme="majorEastAsia" w:cstheme="majorEastAsia"/>
                <w:color w:val="auto"/>
                <w:sz w:val="24"/>
                <w:szCs w:val="24"/>
                <w:lang w:val="en-US" w:eastAsia="zh-CN"/>
              </w:rPr>
            </w:pPr>
            <w:r>
              <w:rPr>
                <w:rFonts w:hint="eastAsia" w:cs="Arial" w:asciiTheme="minorEastAsia" w:hAnsiTheme="minorEastAsia" w:eastAsiaTheme="minorEastAsia"/>
                <w:color w:val="auto"/>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auto"/>
                <w:sz w:val="24"/>
              </w:rPr>
              <w:t>将被</w:t>
            </w:r>
            <w:r>
              <w:rPr>
                <w:rFonts w:hint="eastAsia" w:cs="Arial" w:asciiTheme="minorEastAsia" w:hAnsiTheme="minorEastAsia" w:eastAsiaTheme="minorEastAsia"/>
                <w:color w:val="auto"/>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cs="Arial" w:asciiTheme="minorEastAsia" w:hAnsiTheme="minorEastAsia" w:eastAsiaTheme="minorEastAsia"/>
                <w:color w:val="auto"/>
                <w:sz w:val="24"/>
              </w:rPr>
            </w:pPr>
            <w:r>
              <w:rPr>
                <w:rFonts w:hint="eastAsia" w:cs="Arial" w:asciiTheme="minorEastAsia" w:hAnsiTheme="minorEastAsia" w:eastAsiaTheme="minorEastAsia"/>
                <w:color w:val="FF0000"/>
                <w:sz w:val="24"/>
                <w:lang w:val="en-US" w:eastAsia="zh-CN"/>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kern w:val="0"/>
                <w:sz w:val="24"/>
                <w:lang w:val="zh-CN"/>
              </w:rPr>
            </w:pPr>
            <w:r>
              <w:rPr>
                <w:rFonts w:hint="eastAsia" w:asciiTheme="majorEastAsia" w:hAnsiTheme="majorEastAsia" w:eastAsiaTheme="majorEastAsia" w:cstheme="majorEastAsia"/>
                <w:color w:val="auto"/>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2"/>
              <w:rPr>
                <w:rFonts w:hint="default" w:eastAsia="宋体" w:asciiTheme="majorEastAsia" w:hAnsiTheme="majorEastAsia" w:cstheme="majorEastAsia"/>
                <w:color w:val="auto"/>
                <w:sz w:val="24"/>
                <w:lang w:val="en-US" w:eastAsia="zh-CN"/>
              </w:rPr>
            </w:pPr>
            <w:r>
              <w:rPr>
                <w:rFonts w:hint="eastAsia" w:asciiTheme="majorEastAsia" w:hAnsiTheme="majorEastAsia" w:cstheme="majorEastAsia"/>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16</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 w:val="24"/>
                <w:lang w:val="zh-CN"/>
              </w:rPr>
              <w:t>带“</w:t>
            </w:r>
            <w:r>
              <w:rPr>
                <w:rFonts w:hint="eastAsia" w:asciiTheme="majorEastAsia" w:hAnsiTheme="majorEastAsia" w:eastAsiaTheme="majorEastAsia" w:cstheme="majorEastAsia"/>
                <w:bCs/>
                <w:color w:val="auto"/>
                <w:sz w:val="24"/>
              </w:rPr>
              <w:t>▲”的条款是实质性条款，</w:t>
            </w:r>
            <w:r>
              <w:rPr>
                <w:rFonts w:hint="eastAsia" w:asciiTheme="majorEastAsia" w:hAnsiTheme="majorEastAsia" w:eastAsiaTheme="majorEastAsia" w:cstheme="majorEastAsia"/>
                <w:bCs/>
                <w:color w:val="auto"/>
                <w:sz w:val="24"/>
                <w:lang w:eastAsia="zh-CN"/>
              </w:rPr>
              <w:t>电子投标文件</w:t>
            </w:r>
            <w:r>
              <w:rPr>
                <w:rFonts w:hint="eastAsia" w:asciiTheme="majorEastAsia" w:hAnsiTheme="majorEastAsia" w:eastAsiaTheme="majorEastAsia" w:cstheme="majorEastAsia"/>
                <w:bCs/>
                <w:color w:val="auto"/>
                <w:sz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17</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本招标文件解释权属于采购人和</w:t>
            </w:r>
            <w:r>
              <w:rPr>
                <w:rFonts w:hint="eastAsia" w:ascii="宋体" w:hAnsi="宋体" w:cs="Arial"/>
                <w:color w:val="auto"/>
                <w:sz w:val="24"/>
              </w:rPr>
              <w:t>台州市政府采购中心</w:t>
            </w:r>
          </w:p>
        </w:tc>
      </w:tr>
    </w:tbl>
    <w:p>
      <w:pPr>
        <w:pStyle w:val="12"/>
        <w:spacing w:line="360" w:lineRule="auto"/>
        <w:ind w:firstLine="480" w:firstLineChars="200"/>
        <w:rPr>
          <w:rFonts w:hint="eastAsia" w:ascii="宋体" w:hAnsi="宋体" w:eastAsia="宋体" w:cs="Arial"/>
          <w:color w:val="auto"/>
          <w:sz w:val="24"/>
          <w:lang w:eastAsia="zh-CN"/>
        </w:rPr>
      </w:pP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7"/>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4"/>
        <w:snapToGrid w:val="0"/>
        <w:spacing w:line="360" w:lineRule="auto"/>
        <w:ind w:left="2" w:leftChars="1" w:firstLine="482" w:firstLineChars="200"/>
        <w:rPr>
          <w:rFonts w:hAnsi="宋体"/>
          <w:b/>
          <w:sz w:val="24"/>
        </w:rPr>
      </w:pPr>
      <w:r>
        <w:rPr>
          <w:rFonts w:hint="eastAsia" w:hAnsi="宋体"/>
          <w:b/>
          <w:sz w:val="24"/>
        </w:rPr>
        <w:t>（四）特别说明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0"/>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7"/>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7"/>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7"/>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7"/>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7"/>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7"/>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11"/>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11"/>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11"/>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11"/>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11"/>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11"/>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2"/>
        <w:ind w:firstLine="480" w:firstLineChars="200"/>
        <w:rPr>
          <w:rFonts w:hint="eastAsia" w:cs="Times New Roman" w:asciiTheme="minorEastAsia" w:hAnsiTheme="minorEastAsia" w:eastAsiaTheme="minorEastAsia"/>
          <w:kern w:val="0"/>
          <w:sz w:val="24"/>
          <w:szCs w:val="24"/>
          <w:lang w:val="en-US" w:eastAsia="zh-CN" w:bidi="ar-SA"/>
        </w:rPr>
      </w:pPr>
      <w:r>
        <w:rPr>
          <w:rFonts w:hint="eastAsia" w:asciiTheme="minorEastAsia" w:hAnsiTheme="minorEastAsia" w:eastAsiaTheme="minorEastAsia"/>
          <w:kern w:val="0"/>
          <w:sz w:val="24"/>
        </w:rPr>
        <w:t>（5）</w:t>
      </w:r>
      <w:r>
        <w:rPr>
          <w:rFonts w:hint="eastAsia" w:cs="Times New Roman" w:asciiTheme="minorEastAsia" w:hAnsiTheme="minorEastAsia" w:eastAsiaTheme="minorEastAsia"/>
          <w:kern w:val="0"/>
          <w:sz w:val="24"/>
          <w:szCs w:val="24"/>
          <w:lang w:val="en-US" w:eastAsia="zh-CN" w:bidi="ar-SA"/>
        </w:rPr>
        <w:t>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7"/>
        </w:numPr>
        <w:ind w:left="210" w:leftChars="0" w:firstLineChars="0"/>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2"/>
        <w:spacing w:line="360" w:lineRule="auto"/>
        <w:ind w:firstLine="480" w:firstLineChars="200"/>
      </w:pPr>
      <w:r>
        <w:rPr>
          <w:rFonts w:hint="eastAsia" w:ascii="宋体" w:hAnsi="宋体"/>
          <w:sz w:val="24"/>
        </w:rPr>
        <w:t>（2）投标人应对所提供的全部资料的真实性、有效性承担法律责任，电子投标文件中盖章之处必须加盖</w:t>
      </w:r>
      <w:r>
        <w:rPr>
          <w:rFonts w:hint="eastAsia" w:ascii="宋体" w:hAnsi="宋体"/>
          <w:sz w:val="24"/>
          <w:lang w:eastAsia="zh-CN"/>
        </w:rPr>
        <w:t>电子印章</w:t>
      </w:r>
      <w:r>
        <w:rPr>
          <w:rFonts w:hint="eastAsia" w:ascii="宋体" w:hAnsi="宋体"/>
          <w:sz w:val="24"/>
        </w:rPr>
        <w:t>。</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10"/>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10"/>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4"/>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8"/>
        </w:numPr>
        <w:snapToGrid w:val="0"/>
        <w:spacing w:line="480" w:lineRule="exact"/>
        <w:ind w:firstLine="480" w:firstLineChars="200"/>
        <w:jc w:val="left"/>
        <w:rPr>
          <w:rFonts w:ascii="宋体" w:hAnsi="宋体" w:cs="宋体"/>
          <w:sz w:val="24"/>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陈工：15167606512）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4"/>
        <w:snapToGrid w:val="0"/>
        <w:spacing w:line="360" w:lineRule="auto"/>
        <w:ind w:firstLine="420" w:firstLineChars="200"/>
      </w:pPr>
    </w:p>
    <w:p>
      <w:pPr>
        <w:pStyle w:val="14"/>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2"/>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2"/>
        <w:numPr>
          <w:ilvl w:val="0"/>
          <w:numId w:val="9"/>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12"/>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9"/>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9"/>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4"/>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9"/>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4"/>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9"/>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11"/>
        <w:rPr>
          <w:rFonts w:eastAsiaTheme="minorEastAsia"/>
        </w:rPr>
      </w:pPr>
      <w:r>
        <w:rPr>
          <w:rFonts w:hint="eastAsia" w:asciiTheme="minorEastAsia" w:hAnsiTheme="minorEastAsia" w:eastAsiaTheme="minorEastAsia"/>
          <w:kern w:val="0"/>
          <w:sz w:val="24"/>
        </w:rPr>
        <w:t>11、商务条款不响应。</w:t>
      </w:r>
    </w:p>
    <w:p>
      <w:pPr>
        <w:numPr>
          <w:ilvl w:val="0"/>
          <w:numId w:val="10"/>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9"/>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4"/>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4"/>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9"/>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2"/>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szCs w:val="24"/>
          <w:lang w:eastAsia="zh-CN"/>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9"/>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9"/>
        <w:spacing w:before="0" w:beforeAutospacing="0" w:after="0" w:afterAutospacing="0" w:line="360" w:lineRule="auto"/>
        <w:ind w:firstLine="420" w:firstLineChars="175"/>
        <w:jc w:val="both"/>
        <w:rPr>
          <w:rFonts w:hint="default"/>
        </w:rPr>
      </w:pPr>
      <w:r>
        <w:t>3、中标供应商无故拖延、拒签合同的,将取消中标资格。</w:t>
      </w:r>
    </w:p>
    <w:p>
      <w:pPr>
        <w:pStyle w:val="19"/>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9"/>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9"/>
        <w:spacing w:line="360" w:lineRule="auto"/>
        <w:ind w:firstLine="424" w:firstLineChars="176"/>
        <w:rPr>
          <w:rFonts w:hint="default" w:cs="仿宋_GB2312"/>
          <w:b/>
        </w:rPr>
      </w:pPr>
      <w:r>
        <w:rPr>
          <w:b/>
        </w:rPr>
        <w:t>（二）合同公告及备案</w:t>
      </w:r>
    </w:p>
    <w:p>
      <w:pPr>
        <w:pStyle w:val="13"/>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2"/>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pStyle w:val="12"/>
        <w:spacing w:line="360" w:lineRule="auto"/>
        <w:rPr>
          <w:rFonts w:hint="eastAsia" w:ascii="宋体" w:hAnsi="宋体"/>
          <w:color w:val="auto"/>
          <w:sz w:val="24"/>
          <w:szCs w:val="24"/>
          <w:lang w:eastAsia="zh-CN"/>
        </w:rPr>
      </w:pP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color w:val="auto"/>
          <w:kern w:val="0"/>
          <w:sz w:val="24"/>
        </w:rPr>
      </w:pPr>
      <w:r>
        <w:rPr>
          <w:rFonts w:hint="eastAsia" w:asciiTheme="minorEastAsia" w:hAnsiTheme="minorEastAsia" w:eastAsiaTheme="minorEastAsia"/>
          <w:color w:val="auto"/>
          <w:kern w:val="0"/>
          <w:sz w:val="24"/>
        </w:rPr>
        <w:t>一、采购组织机构将组织评标委员会，对投标人提供的</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进行综合评审。</w:t>
      </w:r>
    </w:p>
    <w:p>
      <w:pPr>
        <w:autoSpaceDE w:val="0"/>
        <w:autoSpaceDN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二、本次招标项目的评标方法为综合评分法，总计100分。评标标准按以下</w:t>
      </w:r>
      <w:r>
        <w:rPr>
          <w:rFonts w:hint="eastAsia" w:asciiTheme="minorEastAsia" w:hAnsiTheme="minorEastAsia" w:eastAsiaTheme="minorEastAsia"/>
          <w:color w:val="auto"/>
          <w:kern w:val="0"/>
          <w:sz w:val="24"/>
          <w:lang w:val="en-US" w:eastAsia="zh-CN"/>
        </w:rPr>
        <w:t>5</w:t>
      </w:r>
      <w:r>
        <w:rPr>
          <w:rFonts w:hint="eastAsia" w:asciiTheme="minorEastAsia" w:hAnsiTheme="minorEastAsia" w:eastAsiaTheme="minorEastAsia"/>
          <w:color w:val="auto"/>
          <w:kern w:val="0"/>
          <w:sz w:val="24"/>
        </w:rPr>
        <w:t>项内容及分值进行评审。</w:t>
      </w:r>
    </w:p>
    <w:tbl>
      <w:tblPr>
        <w:tblStyle w:val="22"/>
        <w:tblW w:w="6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666" w:type="dxa"/>
            <w:tcBorders>
              <w:tl2br w:val="single" w:color="auto" w:sz="4" w:space="0"/>
            </w:tcBorders>
          </w:tcPr>
          <w:p>
            <w:pPr>
              <w:autoSpaceDE w:val="0"/>
              <w:autoSpaceDN w:val="0"/>
              <w:adjustRightInd w:val="0"/>
              <w:jc w:val="left"/>
              <w:rPr>
                <w:rFonts w:ascii="宋体" w:hAnsi="宋体" w:cs="Arial"/>
                <w:color w:val="auto"/>
                <w:sz w:val="24"/>
              </w:rPr>
            </w:pPr>
            <w:r>
              <w:rPr>
                <w:rFonts w:hint="eastAsia" w:ascii="宋体" w:hAnsi="宋体" w:cs="Arial"/>
                <w:color w:val="auto"/>
                <w:sz w:val="24"/>
              </w:rPr>
              <w:t xml:space="preserve">          标段</w:t>
            </w:r>
          </w:p>
          <w:p>
            <w:pPr>
              <w:autoSpaceDE w:val="0"/>
              <w:autoSpaceDN w:val="0"/>
              <w:adjustRightInd w:val="0"/>
              <w:jc w:val="left"/>
              <w:rPr>
                <w:rFonts w:ascii="宋体" w:hAnsi="宋体" w:cs="Arial"/>
                <w:color w:val="auto"/>
                <w:sz w:val="24"/>
              </w:rPr>
            </w:pPr>
            <w:r>
              <w:rPr>
                <w:rFonts w:hint="eastAsia" w:ascii="宋体" w:hAnsi="宋体" w:cs="Arial"/>
                <w:color w:val="auto"/>
                <w:sz w:val="24"/>
              </w:rPr>
              <w:t>类别</w:t>
            </w:r>
          </w:p>
        </w:tc>
        <w:tc>
          <w:tcPr>
            <w:tcW w:w="4054" w:type="dxa"/>
            <w:vAlign w:val="center"/>
          </w:tcPr>
          <w:p>
            <w:pPr>
              <w:autoSpaceDE w:val="0"/>
              <w:autoSpaceDN w:val="0"/>
              <w:adjustRightInd w:val="0"/>
              <w:spacing w:line="480" w:lineRule="auto"/>
              <w:jc w:val="center"/>
              <w:rPr>
                <w:rFonts w:hint="eastAsia" w:ascii="宋体" w:hAnsi="宋体" w:eastAsia="宋体" w:cs="Arial"/>
                <w:color w:val="auto"/>
                <w:sz w:val="24"/>
                <w:lang w:eastAsia="zh-CN"/>
              </w:rPr>
            </w:pPr>
            <w:r>
              <w:rPr>
                <w:rFonts w:hint="eastAsia" w:ascii="宋体" w:hAnsi="宋体" w:cs="Arial"/>
                <w:color w:val="auto"/>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技术评分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实力信誉及业绩评分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eastAsia="zh-CN"/>
              </w:rPr>
              <w:t>售后服务评分</w:t>
            </w:r>
          </w:p>
        </w:tc>
        <w:tc>
          <w:tcPr>
            <w:tcW w:w="405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eastAsia="zh-CN"/>
              </w:rPr>
            </w:pPr>
            <w:r>
              <w:rPr>
                <w:rFonts w:hint="eastAsia" w:ascii="宋体" w:hAnsi="宋体" w:cs="Arial"/>
                <w:color w:val="auto"/>
                <w:sz w:val="24"/>
              </w:rPr>
              <w:t>投标文件制作评分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rPr>
              <w:t>价格</w:t>
            </w:r>
            <w:r>
              <w:rPr>
                <w:rFonts w:hint="eastAsia" w:ascii="宋体" w:hAnsi="宋体" w:cs="Arial"/>
                <w:color w:val="auto"/>
                <w:sz w:val="24"/>
                <w:lang w:eastAsia="zh-CN"/>
              </w:rPr>
              <w:t>分</w:t>
            </w:r>
          </w:p>
        </w:tc>
        <w:tc>
          <w:tcPr>
            <w:tcW w:w="405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30</w:t>
            </w:r>
          </w:p>
        </w:tc>
      </w:tr>
    </w:tbl>
    <w:p>
      <w:pPr>
        <w:autoSpaceDE w:val="0"/>
        <w:autoSpaceDN w:val="0"/>
        <w:adjustRightInd w:val="0"/>
        <w:spacing w:line="360" w:lineRule="auto"/>
        <w:ind w:right="84" w:firstLine="472"/>
        <w:rPr>
          <w:rFonts w:ascii="宋体"/>
          <w:bCs/>
          <w:color w:val="auto"/>
          <w:sz w:val="24"/>
          <w:lang w:val="zh-CN"/>
        </w:rPr>
      </w:pPr>
      <w:r>
        <w:rPr>
          <w:rFonts w:hint="eastAsia" w:ascii="宋体"/>
          <w:bCs/>
          <w:color w:val="auto"/>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bCs/>
          <w:color w:val="auto"/>
          <w:sz w:val="24"/>
          <w:lang w:val="zh-CN"/>
        </w:rPr>
        <w:t>（二）各投标人商务与技术文件</w:t>
      </w:r>
      <w:r>
        <w:rPr>
          <w:rFonts w:hint="eastAsia" w:ascii="宋体"/>
          <w:color w:val="auto"/>
          <w:kern w:val="0"/>
          <w:sz w:val="24"/>
          <w:lang w:val="zh-CN"/>
        </w:rPr>
        <w:t>得分按照评标委员会成</w:t>
      </w:r>
      <w:r>
        <w:rPr>
          <w:rFonts w:hint="eastAsia" w:ascii="宋体"/>
          <w:bCs/>
          <w:color w:val="auto"/>
          <w:sz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hAnsi="宋体"/>
          <w:color w:val="auto"/>
          <w:sz w:val="24"/>
        </w:rPr>
        <w:t>商务与技术文件得分</w:t>
      </w:r>
      <w:r>
        <w:rPr>
          <w:rFonts w:hint="eastAsia" w:ascii="宋体"/>
          <w:bCs/>
          <w:color w:val="auto"/>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bCs/>
          <w:color w:val="auto"/>
          <w:sz w:val="24"/>
          <w:lang w:val="zh-CN"/>
        </w:rPr>
        <w:t>（三）</w:t>
      </w:r>
      <w:r>
        <w:rPr>
          <w:rFonts w:hint="eastAsia" w:ascii="宋体"/>
          <w:color w:val="auto"/>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olor w:val="auto"/>
          <w:sz w:val="24"/>
          <w:u w:val="single"/>
        </w:rPr>
      </w:pPr>
      <w:r>
        <w:rPr>
          <w:rFonts w:hint="eastAsia"/>
          <w:color w:val="auto"/>
          <w:sz w:val="24"/>
          <w:u w:val="single"/>
        </w:rPr>
        <w:t>投标报价得</w:t>
      </w:r>
      <w:r>
        <w:rPr>
          <w:color w:val="auto"/>
          <w:sz w:val="24"/>
          <w:u w:val="single"/>
        </w:rPr>
        <w:t>分=(评标基准价／投</w:t>
      </w:r>
      <w:r>
        <w:rPr>
          <w:rFonts w:ascii="宋体" w:hAnsi="宋体"/>
          <w:color w:val="auto"/>
          <w:sz w:val="24"/>
          <w:u w:val="single"/>
        </w:rPr>
        <w:t>标报价)×</w:t>
      </w:r>
      <w:r>
        <w:rPr>
          <w:rFonts w:hint="eastAsia" w:ascii="宋体" w:hAnsi="宋体"/>
          <w:color w:val="auto"/>
          <w:sz w:val="24"/>
          <w:u w:val="single"/>
          <w:lang w:val="en-US" w:eastAsia="zh-CN"/>
        </w:rPr>
        <w:t>30</w:t>
      </w:r>
      <w:r>
        <w:rPr>
          <w:rFonts w:hint="eastAsia" w:ascii="宋体" w:hAnsi="宋体"/>
          <w:color w:val="auto"/>
          <w:sz w:val="24"/>
          <w:u w:val="single"/>
        </w:rPr>
        <w:t>%</w:t>
      </w:r>
      <w:r>
        <w:rPr>
          <w:rFonts w:ascii="宋体" w:hAnsi="宋体"/>
          <w:color w:val="auto"/>
          <w:sz w:val="24"/>
          <w:u w:val="single"/>
        </w:rPr>
        <w:t>×100</w:t>
      </w:r>
      <w:r>
        <w:rPr>
          <w:rFonts w:hint="eastAsia" w:ascii="宋体" w:hAnsi="宋体"/>
          <w:color w:val="auto"/>
          <w:sz w:val="24"/>
          <w:u w:val="single"/>
        </w:rPr>
        <w:t xml:space="preserve"> 。</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auto"/>
          <w:sz w:val="24"/>
          <w:szCs w:val="24"/>
          <w:lang w:val="zh-CN"/>
        </w:rPr>
        <w:t>小微企业投标应提供《产品适用政府采购政策情况表》（见附件）、《小微企业声明函》，如投标人提供其他小微企业制造的货物，应同时提供制造商的《小微企业声明函（制造商）》，</w:t>
      </w:r>
      <w:r>
        <w:rPr>
          <w:rFonts w:hint="eastAsia" w:ascii="宋体"/>
          <w:color w:val="auto"/>
          <w:sz w:val="24"/>
          <w:szCs w:val="24"/>
          <w:lang w:val="en-US" w:eastAsia="zh-CN"/>
        </w:rPr>
        <w:t>投标人未提供以上资料或者经</w:t>
      </w:r>
      <w:r>
        <w:rPr>
          <w:rFonts w:hint="eastAsia" w:ascii="宋体"/>
          <w:color w:val="auto"/>
          <w:sz w:val="24"/>
          <w:szCs w:val="24"/>
          <w:lang w:val="zh-CN"/>
        </w:rPr>
        <w:t>评标委员会核查不符的</w:t>
      </w:r>
      <w:r>
        <w:rPr>
          <w:rFonts w:hint="eastAsia" w:ascii="宋体"/>
          <w:color w:val="auto"/>
          <w:sz w:val="24"/>
          <w:szCs w:val="24"/>
          <w:lang w:val="en-US" w:eastAsia="zh-CN"/>
        </w:rPr>
        <w:t>，将不能享受</w:t>
      </w:r>
      <w:r>
        <w:rPr>
          <w:rFonts w:hint="eastAsia"/>
          <w:color w:val="auto"/>
          <w:lang w:val="en-US" w:eastAsia="zh-CN"/>
        </w:rPr>
        <w:t>相应的</w:t>
      </w:r>
      <w:r>
        <w:rPr>
          <w:rFonts w:hint="eastAsia" w:ascii="宋体"/>
          <w:color w:val="auto"/>
          <w:sz w:val="24"/>
          <w:szCs w:val="24"/>
          <w:lang w:val="en-US" w:eastAsia="zh-CN"/>
        </w:rPr>
        <w:t>小微企业优惠政策。</w:t>
      </w:r>
      <w:r>
        <w:rPr>
          <w:rFonts w:hint="eastAsia" w:ascii="宋体"/>
          <w:color w:val="auto"/>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具体优惠：对于小型微型企业产品的价格给予</w:t>
      </w:r>
      <w:r>
        <w:rPr>
          <w:rFonts w:hint="eastAsia" w:ascii="宋体"/>
          <w:color w:val="auto"/>
          <w:sz w:val="24"/>
          <w:u w:val="single"/>
          <w:lang w:val="zh-CN"/>
        </w:rPr>
        <w:t xml:space="preserve"> </w:t>
      </w:r>
      <w:r>
        <w:rPr>
          <w:rFonts w:hint="eastAsia" w:ascii="宋体"/>
          <w:color w:val="auto"/>
          <w:sz w:val="24"/>
          <w:u w:val="single"/>
        </w:rPr>
        <w:t>6</w:t>
      </w:r>
      <w:r>
        <w:rPr>
          <w:rFonts w:hint="eastAsia" w:ascii="宋体"/>
          <w:color w:val="auto"/>
          <w:sz w:val="24"/>
          <w:u w:val="single"/>
          <w:lang w:val="zh-CN"/>
        </w:rPr>
        <w:t xml:space="preserve">  </w:t>
      </w:r>
      <w:r>
        <w:rPr>
          <w:rFonts w:hint="eastAsia" w:ascii="宋体"/>
          <w:color w:val="auto"/>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color w:val="auto"/>
          <w:sz w:val="24"/>
          <w:lang w:val="zh-CN"/>
        </w:rPr>
        <w:t>注：得分以系统计算为准，保留2位小数。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8"/>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rPr>
          <w:rFonts w:hint="eastAsia" w:asciiTheme="minorEastAsia" w:hAnsiTheme="minorEastAsia" w:eastAsiaTheme="minorEastAsia"/>
          <w:color w:val="auto"/>
          <w:sz w:val="24"/>
          <w:szCs w:val="24"/>
        </w:rPr>
      </w:pPr>
    </w:p>
    <w:p>
      <w:pPr>
        <w:pStyle w:val="28"/>
        <w:rPr>
          <w:rFonts w:hint="eastAsia" w:asciiTheme="minorEastAsia" w:hAnsiTheme="minorEastAsia" w:eastAsiaTheme="minorEastAsia"/>
          <w:color w:val="auto"/>
          <w:sz w:val="24"/>
          <w:szCs w:val="24"/>
        </w:rPr>
      </w:pPr>
    </w:p>
    <w:tbl>
      <w:tblPr>
        <w:tblStyle w:val="22"/>
        <w:tblpPr w:leftFromText="180" w:rightFromText="180" w:vertAnchor="text" w:horzAnchor="page" w:tblpX="1702" w:tblpY="186"/>
        <w:tblOverlap w:val="never"/>
        <w:tblW w:w="9280" w:type="dxa"/>
        <w:tblInd w:w="0" w:type="dxa"/>
        <w:tblLayout w:type="fixed"/>
        <w:tblCellMar>
          <w:top w:w="0" w:type="dxa"/>
          <w:left w:w="108" w:type="dxa"/>
          <w:bottom w:w="0" w:type="dxa"/>
          <w:right w:w="108" w:type="dxa"/>
        </w:tblCellMar>
      </w:tblPr>
      <w:tblGrid>
        <w:gridCol w:w="1075"/>
        <w:gridCol w:w="525"/>
        <w:gridCol w:w="6852"/>
        <w:gridCol w:w="828"/>
      </w:tblGrid>
      <w:tr>
        <w:tblPrEx>
          <w:tblLayout w:type="fixed"/>
          <w:tblCellMar>
            <w:top w:w="0" w:type="dxa"/>
            <w:left w:w="108" w:type="dxa"/>
            <w:bottom w:w="0" w:type="dxa"/>
            <w:right w:w="108" w:type="dxa"/>
          </w:tblCellMar>
        </w:tblPrEx>
        <w:trPr>
          <w:trHeight w:val="369" w:hRule="atLeast"/>
        </w:trPr>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评标内容</w:t>
            </w: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细则内容</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分值</w:t>
            </w:r>
          </w:p>
        </w:tc>
      </w:tr>
      <w:tr>
        <w:tblPrEx>
          <w:tblLayout w:type="fixed"/>
          <w:tblCellMar>
            <w:top w:w="0" w:type="dxa"/>
            <w:left w:w="108" w:type="dxa"/>
            <w:bottom w:w="0" w:type="dxa"/>
            <w:right w:w="108" w:type="dxa"/>
          </w:tblCellMar>
        </w:tblPrEx>
        <w:trPr>
          <w:trHeight w:val="265" w:hRule="atLeast"/>
        </w:trPr>
        <w:tc>
          <w:tcPr>
            <w:tcW w:w="1075" w:type="dxa"/>
            <w:vMerge w:val="restart"/>
            <w:tcBorders>
              <w:top w:val="nil"/>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技术性能43分</w:t>
            </w:r>
          </w:p>
        </w:tc>
        <w:tc>
          <w:tcPr>
            <w:tcW w:w="7377"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根据所投车辆整车性能进行分档评分：第一档：6-4.9分，第二档：4.8-3.7分，第三档：3.6-2.5分，第四档：2.4-1.2，第五档：1.1-0分。</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kern w:val="0"/>
                <w:sz w:val="21"/>
                <w:szCs w:val="21"/>
                <w:lang w:val="en-US" w:eastAsia="zh-CN"/>
              </w:rPr>
              <w:t>6分</w:t>
            </w:r>
          </w:p>
        </w:tc>
      </w:tr>
      <w:tr>
        <w:tblPrEx>
          <w:tblLayout w:type="fixed"/>
          <w:tblCellMar>
            <w:top w:w="0" w:type="dxa"/>
            <w:left w:w="108" w:type="dxa"/>
            <w:bottom w:w="0" w:type="dxa"/>
            <w:right w:w="108" w:type="dxa"/>
          </w:tblCellMar>
        </w:tblPrEx>
        <w:trPr>
          <w:trHeight w:val="353"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根据车辆改进后增加的使用功能、加装的智能设备及改装后的布局结构等方面的综合情况进行分档评分：第一档：3-2.1分，第二档：2-1.1分，第三档：1-0分。</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3分</w:t>
            </w:r>
          </w:p>
        </w:tc>
      </w:tr>
      <w:tr>
        <w:tblPrEx>
          <w:tblLayout w:type="fixed"/>
          <w:tblCellMar>
            <w:top w:w="0" w:type="dxa"/>
            <w:left w:w="108" w:type="dxa"/>
            <w:bottom w:w="0" w:type="dxa"/>
            <w:right w:w="108" w:type="dxa"/>
          </w:tblCellMar>
        </w:tblPrEx>
        <w:trPr>
          <w:trHeight w:val="325"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sz w:val="21"/>
                <w:szCs w:val="21"/>
              </w:rPr>
              <w:t>车辆技术参数：根据该项技术参数的重要性及偏离程度</w:t>
            </w:r>
            <w:r>
              <w:rPr>
                <w:rFonts w:hint="eastAsia" w:ascii="宋体" w:hAnsi="宋体" w:eastAsia="宋体" w:cs="宋体"/>
                <w:sz w:val="21"/>
                <w:szCs w:val="21"/>
                <w:lang w:eastAsia="zh-CN"/>
              </w:rPr>
              <w:t>，每项负偏离</w:t>
            </w:r>
            <w:r>
              <w:rPr>
                <w:rFonts w:hint="eastAsia" w:ascii="宋体" w:hAnsi="宋体" w:eastAsia="宋体" w:cs="宋体"/>
                <w:sz w:val="21"/>
                <w:szCs w:val="21"/>
              </w:rPr>
              <w:t>扣0.5-1分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278"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sz w:val="21"/>
                <w:szCs w:val="21"/>
              </w:rPr>
              <w:t>车辆主要配置：根据该项技术参数的重要性及偏离程度</w:t>
            </w:r>
            <w:r>
              <w:rPr>
                <w:rFonts w:hint="eastAsia" w:ascii="宋体" w:hAnsi="宋体" w:eastAsia="宋体" w:cs="宋体"/>
                <w:sz w:val="21"/>
                <w:szCs w:val="21"/>
                <w:lang w:eastAsia="zh-CN"/>
              </w:rPr>
              <w:t>，每项负偏离</w:t>
            </w:r>
            <w:r>
              <w:rPr>
                <w:rFonts w:hint="eastAsia" w:ascii="宋体" w:hAnsi="宋体" w:eastAsia="宋体" w:cs="宋体"/>
                <w:sz w:val="21"/>
                <w:szCs w:val="21"/>
              </w:rPr>
              <w:t>扣0.25-0.5分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2分</w:t>
            </w:r>
          </w:p>
        </w:tc>
      </w:tr>
      <w:tr>
        <w:tblPrEx>
          <w:tblLayout w:type="fixed"/>
          <w:tblCellMar>
            <w:top w:w="0" w:type="dxa"/>
            <w:left w:w="108" w:type="dxa"/>
            <w:bottom w:w="0" w:type="dxa"/>
            <w:right w:w="108" w:type="dxa"/>
          </w:tblCellMar>
        </w:tblPrEx>
        <w:trPr>
          <w:trHeight w:val="409"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医疗舱内外配置、车身涂装，</w:t>
            </w:r>
            <w:r>
              <w:rPr>
                <w:rFonts w:hint="eastAsia" w:ascii="宋体" w:hAnsi="宋体" w:cs="宋体"/>
                <w:sz w:val="21"/>
                <w:szCs w:val="21"/>
                <w:lang w:eastAsia="zh-CN"/>
              </w:rPr>
              <w:t>进行评</w:t>
            </w:r>
            <w:r>
              <w:rPr>
                <w:rFonts w:hint="eastAsia" w:ascii="宋体" w:hAnsi="宋体" w:eastAsia="宋体" w:cs="宋体"/>
                <w:sz w:val="21"/>
                <w:szCs w:val="21"/>
              </w:rPr>
              <w:t>分</w:t>
            </w:r>
            <w:r>
              <w:rPr>
                <w:rFonts w:hint="eastAsia" w:ascii="宋体" w:hAnsi="宋体" w:eastAsia="宋体" w:cs="宋体"/>
                <w:sz w:val="21"/>
                <w:szCs w:val="21"/>
                <w:lang w:eastAsia="zh-CN"/>
              </w:rPr>
              <w:t>。</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0.5分</w:t>
            </w:r>
          </w:p>
        </w:tc>
      </w:tr>
      <w:tr>
        <w:tblPrEx>
          <w:tblLayout w:type="fixed"/>
          <w:tblCellMar>
            <w:top w:w="0" w:type="dxa"/>
            <w:left w:w="108" w:type="dxa"/>
            <w:bottom w:w="0" w:type="dxa"/>
            <w:right w:w="108" w:type="dxa"/>
          </w:tblCellMar>
        </w:tblPrEx>
        <w:trPr>
          <w:trHeight w:val="214"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警报、照明系统</w:t>
            </w:r>
            <w:r>
              <w:rPr>
                <w:rFonts w:hint="eastAsia" w:ascii="宋体" w:hAnsi="宋体" w:eastAsia="宋体" w:cs="宋体"/>
                <w:sz w:val="21"/>
                <w:szCs w:val="21"/>
                <w:lang w:eastAsia="zh-CN"/>
              </w:rPr>
              <w:t>，</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0.5分</w:t>
            </w:r>
          </w:p>
        </w:tc>
      </w:tr>
      <w:tr>
        <w:tblPrEx>
          <w:tblLayout w:type="fixed"/>
          <w:tblCellMar>
            <w:top w:w="0" w:type="dxa"/>
            <w:left w:w="108" w:type="dxa"/>
            <w:bottom w:w="0" w:type="dxa"/>
            <w:right w:w="108" w:type="dxa"/>
          </w:tblCellMar>
        </w:tblPrEx>
        <w:trPr>
          <w:trHeight w:val="108"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中央电源分配系统</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w:t>
            </w:r>
          </w:p>
        </w:tc>
      </w:tr>
      <w:tr>
        <w:tblPrEx>
          <w:tblLayout w:type="fixed"/>
          <w:tblCellMar>
            <w:top w:w="0" w:type="dxa"/>
            <w:left w:w="108" w:type="dxa"/>
            <w:bottom w:w="0" w:type="dxa"/>
            <w:right w:w="108" w:type="dxa"/>
          </w:tblCellMar>
        </w:tblPrEx>
        <w:trPr>
          <w:trHeight w:val="208"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restart"/>
            <w:tcBorders>
              <w:top w:val="single" w:color="auto" w:sz="4" w:space="0"/>
              <w:left w:val="nil"/>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sz w:val="21"/>
                <w:szCs w:val="21"/>
              </w:rPr>
              <w:t>医疗舱配置</w:t>
            </w: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lang w:eastAsia="zh-CN"/>
              </w:rPr>
            </w:pPr>
            <w:r>
              <w:rPr>
                <w:rFonts w:hint="eastAsia" w:ascii="宋体" w:hAnsi="宋体" w:cs="宋体"/>
                <w:sz w:val="21"/>
                <w:szCs w:val="21"/>
                <w:lang w:eastAsia="zh-CN"/>
              </w:rPr>
              <w:t>根据</w:t>
            </w:r>
            <w:r>
              <w:rPr>
                <w:rFonts w:hint="eastAsia" w:ascii="宋体" w:hAnsi="宋体" w:eastAsia="宋体" w:cs="宋体"/>
                <w:sz w:val="21"/>
                <w:szCs w:val="21"/>
              </w:rPr>
              <w:t>车载低温等离子杀菌器参数及性能</w:t>
            </w:r>
            <w:r>
              <w:rPr>
                <w:rFonts w:ascii="宋体" w:hAnsi="宋体" w:eastAsia="宋体" w:cs="宋体"/>
                <w:sz w:val="21"/>
                <w:szCs w:val="21"/>
              </w:rPr>
              <w:t>状况</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w:t>
            </w:r>
          </w:p>
        </w:tc>
      </w:tr>
      <w:tr>
        <w:tblPrEx>
          <w:tblLayout w:type="fixed"/>
          <w:tblCellMar>
            <w:top w:w="0" w:type="dxa"/>
            <w:left w:w="108" w:type="dxa"/>
            <w:bottom w:w="0" w:type="dxa"/>
            <w:right w:w="108" w:type="dxa"/>
          </w:tblCellMar>
        </w:tblPrEx>
        <w:trPr>
          <w:trHeight w:val="186"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right w:val="single" w:color="auto" w:sz="4" w:space="0"/>
            </w:tcBorders>
            <w:vAlign w:val="center"/>
          </w:tcPr>
          <w:p>
            <w:pPr>
              <w:widowControl/>
              <w:spacing w:line="240" w:lineRule="auto"/>
              <w:rPr>
                <w:rFonts w:hint="eastAsia" w:ascii="宋体" w:hAnsi="宋体" w:eastAsia="宋体" w:cs="宋体"/>
                <w:sz w:val="21"/>
                <w:szCs w:val="21"/>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lang w:eastAsia="zh-CN"/>
              </w:rPr>
            </w:pPr>
            <w:r>
              <w:rPr>
                <w:rFonts w:hint="eastAsia" w:ascii="宋体" w:hAnsi="宋体" w:cs="宋体"/>
                <w:sz w:val="21"/>
                <w:szCs w:val="21"/>
                <w:lang w:eastAsia="zh-CN"/>
              </w:rPr>
              <w:t>根据</w:t>
            </w:r>
            <w:r>
              <w:rPr>
                <w:rFonts w:hint="eastAsia" w:ascii="宋体" w:hAnsi="宋体" w:eastAsia="宋体" w:cs="宋体"/>
                <w:sz w:val="21"/>
                <w:szCs w:val="21"/>
              </w:rPr>
              <w:t>全自动气体切换车载系统参数及性能</w:t>
            </w:r>
            <w:r>
              <w:rPr>
                <w:rFonts w:ascii="宋体" w:hAnsi="宋体" w:eastAsia="宋体" w:cs="宋体"/>
                <w:sz w:val="21"/>
                <w:szCs w:val="21"/>
              </w:rPr>
              <w:t>状况</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w:t>
            </w:r>
          </w:p>
        </w:tc>
      </w:tr>
      <w:tr>
        <w:tblPrEx>
          <w:tblLayout w:type="fixed"/>
          <w:tblCellMar>
            <w:top w:w="0" w:type="dxa"/>
            <w:left w:w="108" w:type="dxa"/>
            <w:bottom w:w="0" w:type="dxa"/>
            <w:right w:w="108" w:type="dxa"/>
          </w:tblCellMar>
        </w:tblPrEx>
        <w:trPr>
          <w:trHeight w:val="194"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right w:val="single" w:color="auto" w:sz="4" w:space="0"/>
            </w:tcBorders>
            <w:vAlign w:val="center"/>
          </w:tcPr>
          <w:p>
            <w:pPr>
              <w:widowControl/>
              <w:spacing w:line="240" w:lineRule="auto"/>
              <w:rPr>
                <w:rFonts w:hint="eastAsia" w:ascii="宋体" w:hAnsi="宋体" w:eastAsia="宋体" w:cs="宋体"/>
                <w:sz w:val="21"/>
                <w:szCs w:val="21"/>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lang w:eastAsia="zh-CN"/>
              </w:rPr>
            </w:pPr>
            <w:r>
              <w:rPr>
                <w:rFonts w:hint="eastAsia" w:ascii="宋体" w:hAnsi="宋体" w:cs="宋体"/>
                <w:sz w:val="21"/>
                <w:szCs w:val="21"/>
                <w:lang w:eastAsia="zh-CN"/>
              </w:rPr>
              <w:t>根据</w:t>
            </w:r>
            <w:r>
              <w:rPr>
                <w:rFonts w:hint="eastAsia" w:ascii="宋体" w:hAnsi="宋体" w:eastAsia="宋体" w:cs="宋体"/>
                <w:sz w:val="21"/>
                <w:szCs w:val="21"/>
              </w:rPr>
              <w:t>医疗舱层流负压装置参数及性能</w:t>
            </w:r>
            <w:r>
              <w:rPr>
                <w:rFonts w:ascii="宋体" w:hAnsi="宋体" w:eastAsia="宋体" w:cs="宋体"/>
                <w:sz w:val="21"/>
                <w:szCs w:val="21"/>
              </w:rPr>
              <w:t>状况</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1.5分</w:t>
            </w:r>
          </w:p>
        </w:tc>
      </w:tr>
      <w:tr>
        <w:tblPrEx>
          <w:tblLayout w:type="fixed"/>
          <w:tblCellMar>
            <w:top w:w="0" w:type="dxa"/>
            <w:left w:w="108" w:type="dxa"/>
            <w:bottom w:w="0" w:type="dxa"/>
            <w:right w:w="108" w:type="dxa"/>
          </w:tblCellMar>
        </w:tblPrEx>
        <w:trPr>
          <w:trHeight w:val="128"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right w:val="single" w:color="auto" w:sz="4" w:space="0"/>
            </w:tcBorders>
            <w:vAlign w:val="center"/>
          </w:tcPr>
          <w:p>
            <w:pPr>
              <w:widowControl/>
              <w:spacing w:line="240" w:lineRule="auto"/>
              <w:rPr>
                <w:rFonts w:hint="eastAsia" w:ascii="宋体" w:hAnsi="宋体" w:eastAsia="宋体" w:cs="宋体"/>
                <w:sz w:val="21"/>
                <w:szCs w:val="21"/>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lang w:eastAsia="zh-CN"/>
              </w:rPr>
            </w:pPr>
            <w:r>
              <w:rPr>
                <w:rFonts w:hint="eastAsia" w:ascii="宋体" w:hAnsi="宋体" w:cs="宋体"/>
                <w:sz w:val="21"/>
                <w:szCs w:val="21"/>
                <w:lang w:eastAsia="zh-CN"/>
              </w:rPr>
              <w:t>根据</w:t>
            </w:r>
            <w:r>
              <w:rPr>
                <w:rFonts w:hint="eastAsia" w:ascii="宋体" w:hAnsi="宋体" w:eastAsia="宋体" w:cs="宋体"/>
                <w:sz w:val="21"/>
                <w:szCs w:val="21"/>
              </w:rPr>
              <w:t>车载急救配件参数及性能</w:t>
            </w:r>
            <w:r>
              <w:rPr>
                <w:rFonts w:ascii="宋体" w:hAnsi="宋体" w:eastAsia="宋体" w:cs="宋体"/>
                <w:sz w:val="21"/>
                <w:szCs w:val="21"/>
              </w:rPr>
              <w:t>状况</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w:t>
            </w:r>
          </w:p>
        </w:tc>
      </w:tr>
      <w:tr>
        <w:tblPrEx>
          <w:tblLayout w:type="fixed"/>
          <w:tblCellMar>
            <w:top w:w="0" w:type="dxa"/>
            <w:left w:w="108" w:type="dxa"/>
            <w:bottom w:w="0" w:type="dxa"/>
            <w:right w:w="108" w:type="dxa"/>
          </w:tblCellMar>
        </w:tblPrEx>
        <w:trPr>
          <w:trHeight w:val="76"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right w:val="single" w:color="auto" w:sz="4" w:space="0"/>
            </w:tcBorders>
            <w:vAlign w:val="center"/>
          </w:tcPr>
          <w:p>
            <w:pPr>
              <w:widowControl/>
              <w:spacing w:line="240" w:lineRule="auto"/>
              <w:rPr>
                <w:rFonts w:hint="eastAsia" w:ascii="宋体" w:hAnsi="宋体" w:eastAsia="宋体" w:cs="宋体"/>
                <w:sz w:val="21"/>
                <w:szCs w:val="21"/>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lang w:eastAsia="zh-CN"/>
              </w:rPr>
            </w:pPr>
            <w:r>
              <w:rPr>
                <w:rFonts w:hint="eastAsia" w:ascii="宋体" w:hAnsi="宋体" w:cs="宋体"/>
                <w:sz w:val="21"/>
                <w:szCs w:val="21"/>
                <w:lang w:eastAsia="zh-CN"/>
              </w:rPr>
              <w:t>根据</w:t>
            </w:r>
            <w:r>
              <w:rPr>
                <w:rFonts w:hint="eastAsia" w:ascii="宋体" w:hAnsi="宋体" w:eastAsia="宋体" w:cs="宋体"/>
                <w:sz w:val="21"/>
                <w:szCs w:val="21"/>
              </w:rPr>
              <w:t>5G医疗专用网关及其系统相关配套设备参数与性能</w:t>
            </w:r>
            <w:r>
              <w:rPr>
                <w:rFonts w:hint="eastAsia" w:ascii="宋体" w:hAnsi="宋体" w:cs="宋体"/>
                <w:sz w:val="21"/>
                <w:szCs w:val="21"/>
                <w:lang w:eastAsia="zh-CN"/>
              </w:rPr>
              <w:t>状况，进行评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291"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rPr>
            </w:pPr>
            <w:r>
              <w:rPr>
                <w:rFonts w:hint="eastAsia" w:ascii="宋体" w:hAnsi="宋体" w:cs="宋体"/>
                <w:sz w:val="21"/>
                <w:szCs w:val="21"/>
                <w:lang w:eastAsia="zh-CN"/>
              </w:rPr>
              <w:t>根据</w:t>
            </w:r>
            <w:r>
              <w:rPr>
                <w:rFonts w:hint="eastAsia" w:ascii="宋体" w:hAnsi="宋体" w:eastAsia="宋体" w:cs="宋体"/>
                <w:sz w:val="21"/>
                <w:szCs w:val="21"/>
              </w:rPr>
              <w:t>医疗舱其他配置情况</w:t>
            </w:r>
            <w:r>
              <w:rPr>
                <w:rFonts w:hint="eastAsia" w:ascii="宋体" w:hAnsi="宋体" w:cs="宋体"/>
                <w:sz w:val="21"/>
                <w:szCs w:val="21"/>
                <w:lang w:eastAsia="zh-CN"/>
              </w:rPr>
              <w:t>进行评</w:t>
            </w:r>
            <w:r>
              <w:rPr>
                <w:rFonts w:hint="eastAsia" w:ascii="宋体" w:hAnsi="宋体" w:eastAsia="宋体" w:cs="宋体"/>
                <w:sz w:val="21"/>
                <w:szCs w:val="21"/>
                <w:lang w:eastAsia="zh-CN"/>
              </w:rPr>
              <w:t>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216"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restart"/>
            <w:tcBorders>
              <w:top w:val="single" w:color="auto" w:sz="4" w:space="0"/>
              <w:left w:val="nil"/>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急救设备</w:t>
            </w: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除颤监护心电一体机</w:t>
            </w:r>
            <w:r>
              <w:rPr>
                <w:rFonts w:ascii="宋体" w:hAnsi="宋体" w:eastAsia="宋体" w:cs="宋体"/>
                <w:sz w:val="21"/>
                <w:szCs w:val="21"/>
              </w:rPr>
              <w:t>参数及性能状况打分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3.5</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303"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转运呼吸机</w:t>
            </w:r>
            <w:r>
              <w:rPr>
                <w:rFonts w:ascii="宋体" w:hAnsi="宋体" w:eastAsia="宋体" w:cs="宋体"/>
                <w:sz w:val="21"/>
                <w:szCs w:val="21"/>
              </w:rPr>
              <w:t>参数及性能状况打分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341"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自动上车担架</w:t>
            </w:r>
            <w:r>
              <w:rPr>
                <w:rFonts w:hint="eastAsia" w:ascii="宋体" w:hAnsi="宋体" w:eastAsia="宋体" w:cs="宋体"/>
                <w:sz w:val="21"/>
                <w:szCs w:val="21"/>
                <w:lang w:eastAsia="zh-CN"/>
              </w:rPr>
              <w:t>、</w:t>
            </w:r>
            <w:r>
              <w:rPr>
                <w:rFonts w:hint="eastAsia" w:ascii="宋体" w:hAnsi="宋体" w:eastAsia="宋体" w:cs="宋体"/>
                <w:sz w:val="21"/>
                <w:szCs w:val="21"/>
              </w:rPr>
              <w:t>碳纤维铲式担架</w:t>
            </w:r>
            <w:r>
              <w:rPr>
                <w:rFonts w:ascii="宋体" w:hAnsi="宋体" w:eastAsia="宋体" w:cs="宋体"/>
                <w:sz w:val="21"/>
                <w:szCs w:val="21"/>
              </w:rPr>
              <w:t>参数及性能状况打分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215"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cs="宋体"/>
                <w:sz w:val="21"/>
                <w:szCs w:val="21"/>
                <w:lang w:eastAsia="zh-CN"/>
              </w:rPr>
              <w:t>根据</w:t>
            </w:r>
            <w:r>
              <w:rPr>
                <w:rFonts w:hint="eastAsia" w:ascii="宋体" w:hAnsi="宋体" w:eastAsia="宋体" w:cs="宋体"/>
                <w:sz w:val="21"/>
                <w:szCs w:val="21"/>
              </w:rPr>
              <w:t>急救吸引器、注射泵、输液泵、可视喉镜</w:t>
            </w:r>
            <w:r>
              <w:rPr>
                <w:rFonts w:ascii="宋体" w:hAnsi="宋体" w:eastAsia="宋体" w:cs="宋体"/>
                <w:sz w:val="21"/>
                <w:szCs w:val="21"/>
              </w:rPr>
              <w:t>参数及性能状况打分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193"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68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宋体" w:hAnsi="宋体" w:eastAsia="宋体" w:cs="宋体"/>
                <w:sz w:val="21"/>
                <w:szCs w:val="21"/>
              </w:rPr>
            </w:pPr>
            <w:r>
              <w:rPr>
                <w:rFonts w:hint="eastAsia" w:ascii="宋体" w:hAnsi="宋体" w:cs="宋体"/>
                <w:sz w:val="21"/>
                <w:szCs w:val="21"/>
                <w:lang w:eastAsia="zh-CN"/>
              </w:rPr>
              <w:t>根据</w:t>
            </w:r>
            <w:r>
              <w:rPr>
                <w:rFonts w:hint="eastAsia" w:ascii="宋体" w:hAnsi="宋体" w:eastAsia="宋体" w:cs="宋体"/>
                <w:sz w:val="21"/>
                <w:szCs w:val="21"/>
              </w:rPr>
              <w:t>自动心肺复苏机</w:t>
            </w:r>
            <w:r>
              <w:rPr>
                <w:rFonts w:ascii="宋体" w:hAnsi="宋体" w:eastAsia="宋体" w:cs="宋体"/>
                <w:sz w:val="21"/>
                <w:szCs w:val="21"/>
              </w:rPr>
              <w:t>参数及性能状况打分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lang w:val="en-US" w:eastAsia="zh-CN"/>
              </w:rPr>
              <w:t>分</w:t>
            </w:r>
          </w:p>
        </w:tc>
      </w:tr>
      <w:tr>
        <w:tblPrEx>
          <w:tblLayout w:type="fixed"/>
          <w:tblCellMar>
            <w:top w:w="0" w:type="dxa"/>
            <w:left w:w="108" w:type="dxa"/>
            <w:bottom w:w="0" w:type="dxa"/>
            <w:right w:w="108" w:type="dxa"/>
          </w:tblCellMar>
        </w:tblPrEx>
        <w:trPr>
          <w:trHeight w:val="474"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525" w:type="dxa"/>
            <w:vMerge w:val="continue"/>
            <w:tcBorders>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6852" w:type="dxa"/>
            <w:tcBorders>
              <w:top w:val="single" w:color="auto" w:sz="4" w:space="0"/>
              <w:left w:val="single" w:color="auto" w:sz="4" w:space="0"/>
              <w:right w:val="single" w:color="auto" w:sz="4" w:space="0"/>
            </w:tcBorders>
            <w:vAlign w:val="center"/>
          </w:tcPr>
          <w:p>
            <w:pPr>
              <w:widowControl/>
              <w:spacing w:line="240" w:lineRule="auto"/>
              <w:rPr>
                <w:rFonts w:hint="eastAsia" w:ascii="宋体" w:hAnsi="宋体" w:eastAsia="宋体" w:cs="宋体"/>
                <w:sz w:val="21"/>
                <w:szCs w:val="21"/>
              </w:rPr>
            </w:pPr>
            <w:r>
              <w:rPr>
                <w:rFonts w:hint="eastAsia" w:ascii="宋体" w:hAnsi="宋体" w:cs="宋体"/>
                <w:sz w:val="21"/>
                <w:szCs w:val="21"/>
                <w:lang w:eastAsia="zh-CN"/>
              </w:rPr>
              <w:t>根据</w:t>
            </w:r>
            <w:r>
              <w:rPr>
                <w:rFonts w:hint="eastAsia" w:ascii="宋体" w:hAnsi="宋体" w:eastAsia="宋体" w:cs="宋体"/>
                <w:sz w:val="21"/>
                <w:szCs w:val="21"/>
              </w:rPr>
              <w:t>负压隔离舱技术参数、电动送风过滤式呼吸防护系统</w:t>
            </w:r>
            <w:r>
              <w:rPr>
                <w:rFonts w:ascii="宋体" w:hAnsi="宋体" w:eastAsia="宋体" w:cs="宋体"/>
                <w:sz w:val="21"/>
                <w:szCs w:val="21"/>
              </w:rPr>
              <w:t>参数及性能状况打分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2分</w:t>
            </w:r>
          </w:p>
        </w:tc>
      </w:tr>
      <w:tr>
        <w:tblPrEx>
          <w:tblLayout w:type="fixed"/>
          <w:tblCellMar>
            <w:top w:w="0" w:type="dxa"/>
            <w:left w:w="108" w:type="dxa"/>
            <w:bottom w:w="0" w:type="dxa"/>
            <w:right w:w="108" w:type="dxa"/>
          </w:tblCellMar>
        </w:tblPrEx>
        <w:trPr>
          <w:trHeight w:val="737" w:hRule="atLeast"/>
        </w:trPr>
        <w:tc>
          <w:tcPr>
            <w:tcW w:w="1075" w:type="dxa"/>
            <w:vMerge w:val="continue"/>
            <w:tcBorders>
              <w:left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p>
        </w:tc>
        <w:tc>
          <w:tcPr>
            <w:tcW w:w="7377" w:type="dxa"/>
            <w:gridSpan w:val="2"/>
            <w:tcBorders>
              <w:top w:val="single" w:color="auto" w:sz="4" w:space="0"/>
              <w:left w:val="nil"/>
              <w:right w:val="single" w:color="auto" w:sz="4" w:space="0"/>
            </w:tcBorders>
            <w:vAlign w:val="center"/>
          </w:tcPr>
          <w:p>
            <w:pPr>
              <w:widowControl/>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投标产品</w:t>
            </w:r>
            <w:r>
              <w:rPr>
                <w:rFonts w:hint="eastAsia" w:ascii="宋体" w:hAnsi="宋体" w:eastAsia="宋体" w:cs="宋体"/>
                <w:color w:val="auto"/>
                <w:kern w:val="0"/>
                <w:sz w:val="21"/>
                <w:szCs w:val="21"/>
                <w:lang w:eastAsia="zh-CN"/>
              </w:rPr>
              <w:t>与本项目</w:t>
            </w:r>
            <w:r>
              <w:rPr>
                <w:rFonts w:hint="eastAsia" w:ascii="宋体" w:hAnsi="宋体" w:eastAsia="宋体" w:cs="宋体"/>
                <w:color w:val="auto"/>
                <w:kern w:val="0"/>
                <w:sz w:val="21"/>
                <w:szCs w:val="21"/>
              </w:rPr>
              <w:t>相关</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rPr>
              <w:t>认证资质</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lang w:eastAsia="zh-CN"/>
              </w:rPr>
              <w:t>第一档：</w:t>
            </w:r>
            <w:r>
              <w:rPr>
                <w:rFonts w:hint="eastAsia" w:ascii="宋体" w:hAnsi="宋体" w:eastAsia="宋体" w:cs="宋体"/>
                <w:color w:val="auto"/>
                <w:kern w:val="0"/>
                <w:sz w:val="21"/>
                <w:szCs w:val="21"/>
                <w:lang w:val="en-US" w:eastAsia="zh-CN"/>
              </w:rPr>
              <w:t>2分，第二档：1分，第三档：0.5分。</w:t>
            </w:r>
          </w:p>
        </w:tc>
        <w:tc>
          <w:tcPr>
            <w:tcW w:w="828" w:type="dxa"/>
            <w:tcBorders>
              <w:top w:val="single" w:color="auto" w:sz="4" w:space="0"/>
              <w:left w:val="nil"/>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分</w:t>
            </w:r>
          </w:p>
        </w:tc>
      </w:tr>
      <w:tr>
        <w:tblPrEx>
          <w:tblLayout w:type="fixed"/>
          <w:tblCellMar>
            <w:top w:w="0" w:type="dxa"/>
            <w:left w:w="108" w:type="dxa"/>
            <w:bottom w:w="0" w:type="dxa"/>
            <w:right w:w="108" w:type="dxa"/>
          </w:tblCellMar>
        </w:tblPrEx>
        <w:trPr>
          <w:trHeight w:val="287" w:hRule="atLeast"/>
        </w:trPr>
        <w:tc>
          <w:tcPr>
            <w:tcW w:w="10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企业实力及信誉1</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分</w:t>
            </w:r>
          </w:p>
        </w:tc>
        <w:tc>
          <w:tcPr>
            <w:tcW w:w="7377" w:type="dxa"/>
            <w:gridSpan w:val="2"/>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企业的资质、信誉、技术方面。根据提供的材料，用户的反馈情况</w:t>
            </w:r>
            <w:r>
              <w:rPr>
                <w:rFonts w:hint="eastAsia" w:ascii="宋体" w:hAnsi="宋体" w:eastAsia="宋体" w:cs="宋体"/>
                <w:color w:val="auto"/>
                <w:sz w:val="21"/>
                <w:szCs w:val="21"/>
                <w:lang w:eastAsia="zh-CN"/>
              </w:rPr>
              <w:t>进行</w:t>
            </w:r>
            <w:r>
              <w:rPr>
                <w:rFonts w:hint="eastAsia" w:ascii="宋体" w:hAnsi="宋体" w:eastAsia="宋体" w:cs="宋体"/>
                <w:color w:val="auto"/>
                <w:sz w:val="21"/>
                <w:szCs w:val="21"/>
              </w:rPr>
              <w:t>评分</w:t>
            </w:r>
            <w:r>
              <w:rPr>
                <w:rFonts w:hint="eastAsia" w:ascii="宋体" w:hAnsi="宋体" w:eastAsia="宋体" w:cs="宋体"/>
                <w:color w:val="auto"/>
                <w:sz w:val="21"/>
                <w:szCs w:val="21"/>
                <w:lang w:eastAsia="zh-CN"/>
              </w:rPr>
              <w:t>。第一档：</w:t>
            </w:r>
            <w:r>
              <w:rPr>
                <w:rFonts w:hint="eastAsia" w:ascii="宋体" w:hAnsi="宋体" w:eastAsia="宋体" w:cs="宋体"/>
                <w:color w:val="auto"/>
                <w:sz w:val="21"/>
                <w:szCs w:val="21"/>
                <w:lang w:val="en-US" w:eastAsia="zh-CN"/>
              </w:rPr>
              <w:t>3分，第二档：2分，第三档：1分。</w:t>
            </w:r>
          </w:p>
        </w:tc>
        <w:tc>
          <w:tcPr>
            <w:tcW w:w="828"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w:t>
            </w:r>
          </w:p>
        </w:tc>
      </w:tr>
      <w:tr>
        <w:tblPrEx>
          <w:tblLayout w:type="fixed"/>
          <w:tblCellMar>
            <w:top w:w="0" w:type="dxa"/>
            <w:left w:w="108" w:type="dxa"/>
            <w:bottom w:w="0" w:type="dxa"/>
            <w:right w:w="108" w:type="dxa"/>
          </w:tblCellMar>
        </w:tblPrEx>
        <w:trPr>
          <w:trHeight w:val="484" w:hRule="atLeast"/>
        </w:trPr>
        <w:tc>
          <w:tcPr>
            <w:tcW w:w="10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377" w:type="dxa"/>
            <w:gridSpan w:val="2"/>
            <w:tcBorders>
              <w:top w:val="single" w:color="auto" w:sz="4" w:space="0"/>
              <w:left w:val="nil"/>
              <w:bottom w:val="single" w:color="auto" w:sz="4" w:space="0"/>
              <w:right w:val="single" w:color="auto" w:sz="4" w:space="0"/>
            </w:tcBorders>
            <w:vAlign w:val="center"/>
          </w:tcPr>
          <w:p>
            <w:pPr>
              <w:pStyle w:val="12"/>
              <w:rPr>
                <w:rFonts w:hint="eastAsia" w:ascii="宋体" w:hAnsi="宋体" w:eastAsia="宋体" w:cs="宋体"/>
                <w:color w:val="auto"/>
                <w:kern w:val="0"/>
                <w:sz w:val="21"/>
                <w:szCs w:val="21"/>
                <w:lang w:val="en-US" w:eastAsia="zh-CN"/>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rPr>
              <w:t>年</w:t>
            </w:r>
            <w:r>
              <w:rPr>
                <w:rFonts w:hint="eastAsia" w:ascii="宋体" w:hAnsi="宋体" w:eastAsia="宋体" w:cs="宋体"/>
                <w:bCs/>
                <w:color w:val="auto"/>
                <w:sz w:val="21"/>
                <w:szCs w:val="21"/>
                <w:lang w:val="en-US" w:eastAsia="zh-CN"/>
              </w:rPr>
              <w:t>1月</w:t>
            </w:r>
            <w:r>
              <w:rPr>
                <w:rFonts w:hint="eastAsia" w:ascii="宋体" w:hAnsi="宋体" w:eastAsia="宋体" w:cs="宋体"/>
                <w:bCs/>
                <w:color w:val="auto"/>
                <w:sz w:val="21"/>
                <w:szCs w:val="21"/>
              </w:rPr>
              <w:t>以来，</w:t>
            </w:r>
            <w:r>
              <w:rPr>
                <w:rFonts w:hint="eastAsia" w:ascii="宋体" w:hAnsi="宋体" w:eastAsia="宋体" w:cs="宋体"/>
                <w:color w:val="auto"/>
                <w:kern w:val="0"/>
                <w:sz w:val="21"/>
                <w:szCs w:val="21"/>
              </w:rPr>
              <w:t>投标人类似项目业绩</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sz w:val="21"/>
                <w:szCs w:val="21"/>
                <w:lang w:eastAsia="zh-CN"/>
              </w:rPr>
              <w:t>根据类似程度，每个得</w:t>
            </w:r>
            <w:r>
              <w:rPr>
                <w:rFonts w:hint="eastAsia" w:ascii="宋体" w:hAnsi="宋体" w:eastAsia="宋体" w:cs="宋体"/>
                <w:color w:val="auto"/>
                <w:sz w:val="21"/>
                <w:szCs w:val="21"/>
                <w:lang w:val="en-US" w:eastAsia="zh-CN"/>
              </w:rPr>
              <w:t>0-1分</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最高得</w:t>
            </w:r>
            <w:r>
              <w:rPr>
                <w:rFonts w:hint="eastAsia" w:ascii="宋体" w:hAnsi="宋体" w:eastAsia="宋体" w:cs="宋体"/>
                <w:color w:val="auto"/>
                <w:sz w:val="21"/>
                <w:szCs w:val="21"/>
                <w:lang w:val="en-US" w:eastAsia="zh-CN"/>
              </w:rPr>
              <w:t>8分，（</w:t>
            </w:r>
            <w:r>
              <w:rPr>
                <w:rFonts w:hint="eastAsia" w:ascii="宋体" w:hAnsi="宋体" w:eastAsia="宋体" w:cs="宋体"/>
                <w:color w:val="auto"/>
                <w:kern w:val="2"/>
                <w:sz w:val="21"/>
                <w:szCs w:val="21"/>
              </w:rPr>
              <w:t>投标人须提供有效的合同扫描件，扫描件包含合同首页、盖章签字页、内容页等）</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分</w:t>
            </w:r>
          </w:p>
        </w:tc>
      </w:tr>
      <w:tr>
        <w:tblPrEx>
          <w:tblLayout w:type="fixed"/>
          <w:tblCellMar>
            <w:top w:w="0" w:type="dxa"/>
            <w:left w:w="108" w:type="dxa"/>
            <w:bottom w:w="0" w:type="dxa"/>
            <w:right w:w="108" w:type="dxa"/>
          </w:tblCellMar>
        </w:tblPrEx>
        <w:trPr>
          <w:trHeight w:val="388" w:hRule="atLeast"/>
        </w:trPr>
        <w:tc>
          <w:tcPr>
            <w:tcW w:w="1075" w:type="dxa"/>
            <w:vMerge w:val="restart"/>
            <w:tcBorders>
              <w:top w:val="nil"/>
              <w:left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售后服务14分</w:t>
            </w: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售后方案及其他特色服务优惠承诺</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lang w:eastAsia="zh-CN"/>
              </w:rPr>
              <w:t>第一档：</w:t>
            </w:r>
            <w:r>
              <w:rPr>
                <w:rFonts w:hint="eastAsia" w:ascii="宋体" w:hAnsi="宋体" w:eastAsia="宋体" w:cs="宋体"/>
                <w:color w:val="auto"/>
                <w:kern w:val="0"/>
                <w:sz w:val="21"/>
                <w:szCs w:val="21"/>
                <w:lang w:val="en-US" w:eastAsia="zh-CN"/>
              </w:rPr>
              <w:t>3分，第二档：2分，第三档：1分。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w:t>
            </w:r>
          </w:p>
        </w:tc>
      </w:tr>
      <w:tr>
        <w:tblPrEx>
          <w:tblLayout w:type="fixed"/>
          <w:tblCellMar>
            <w:top w:w="0" w:type="dxa"/>
            <w:left w:w="108" w:type="dxa"/>
            <w:bottom w:w="0" w:type="dxa"/>
            <w:right w:w="108" w:type="dxa"/>
          </w:tblCellMar>
        </w:tblPrEx>
        <w:trPr>
          <w:trHeight w:val="388" w:hRule="atLeast"/>
        </w:trPr>
        <w:tc>
          <w:tcPr>
            <w:tcW w:w="1075"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p>
        </w:tc>
        <w:tc>
          <w:tcPr>
            <w:tcW w:w="7377"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lang w:eastAsia="zh-CN"/>
              </w:rPr>
              <w:t>在满足招标文件要求的保修期基础上，每增加一年</w:t>
            </w:r>
            <w:r>
              <w:rPr>
                <w:rFonts w:hint="eastAsia" w:ascii="宋体" w:hAnsi="宋体" w:eastAsia="宋体" w:cs="宋体"/>
                <w:color w:val="auto"/>
                <w:kern w:val="0"/>
                <w:sz w:val="21"/>
                <w:szCs w:val="21"/>
                <w:lang w:val="en-US" w:eastAsia="zh-CN"/>
              </w:rPr>
              <w:t>免费</w:t>
            </w:r>
            <w:r>
              <w:rPr>
                <w:rFonts w:hint="eastAsia" w:ascii="宋体" w:hAnsi="宋体" w:eastAsia="宋体" w:cs="宋体"/>
                <w:color w:val="000000"/>
                <w:kern w:val="0"/>
                <w:sz w:val="21"/>
                <w:szCs w:val="21"/>
                <w:lang w:eastAsia="zh-CN"/>
              </w:rPr>
              <w:t>保修期得</w:t>
            </w:r>
            <w:r>
              <w:rPr>
                <w:rFonts w:hint="eastAsia" w:ascii="宋体" w:hAnsi="宋体" w:eastAsia="宋体" w:cs="宋体"/>
                <w:color w:val="000000"/>
                <w:kern w:val="0"/>
                <w:sz w:val="21"/>
                <w:szCs w:val="21"/>
                <w:lang w:val="en-US" w:eastAsia="zh-CN"/>
              </w:rPr>
              <w:t>1分，最高2分</w:t>
            </w:r>
          </w:p>
        </w:tc>
        <w:tc>
          <w:tcPr>
            <w:tcW w:w="8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2分</w:t>
            </w:r>
          </w:p>
        </w:tc>
      </w:tr>
      <w:tr>
        <w:tblPrEx>
          <w:tblLayout w:type="fixed"/>
          <w:tblCellMar>
            <w:top w:w="0" w:type="dxa"/>
            <w:left w:w="108" w:type="dxa"/>
            <w:bottom w:w="0" w:type="dxa"/>
            <w:right w:w="108" w:type="dxa"/>
          </w:tblCellMar>
        </w:tblPrEx>
        <w:trPr>
          <w:trHeight w:val="139" w:hRule="atLeast"/>
        </w:trPr>
        <w:tc>
          <w:tcPr>
            <w:tcW w:w="1075"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377"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根据</w:t>
            </w:r>
            <w:r>
              <w:rPr>
                <w:rFonts w:hint="eastAsia" w:ascii="宋体" w:hAnsi="宋体" w:eastAsia="宋体" w:cs="宋体"/>
                <w:color w:val="000000"/>
                <w:kern w:val="0"/>
                <w:sz w:val="21"/>
                <w:szCs w:val="21"/>
              </w:rPr>
              <w:t>售后服务</w:t>
            </w:r>
            <w:r>
              <w:rPr>
                <w:rFonts w:hint="eastAsia" w:ascii="宋体" w:hAnsi="宋体" w:eastAsia="宋体" w:cs="宋体"/>
                <w:color w:val="000000"/>
                <w:kern w:val="0"/>
                <w:sz w:val="21"/>
                <w:szCs w:val="21"/>
                <w:lang w:val="en-US" w:eastAsia="zh-CN"/>
              </w:rPr>
              <w:t>能力分档评分（技术</w:t>
            </w:r>
            <w:r>
              <w:rPr>
                <w:rFonts w:hint="eastAsia" w:ascii="宋体" w:hAnsi="宋体" w:eastAsia="宋体" w:cs="宋体"/>
                <w:color w:val="000000"/>
                <w:kern w:val="0"/>
                <w:sz w:val="21"/>
                <w:szCs w:val="21"/>
              </w:rPr>
              <w:t>力量、服务方式、服务网点、维护修复时间承诺</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lang w:eastAsia="zh-CN"/>
              </w:rPr>
              <w:t>：</w:t>
            </w:r>
            <w:r>
              <w:rPr>
                <w:rFonts w:hint="eastAsia" w:ascii="宋体" w:hAnsi="宋体" w:eastAsia="宋体" w:cs="宋体"/>
                <w:kern w:val="0"/>
                <w:sz w:val="21"/>
                <w:szCs w:val="21"/>
                <w:lang w:eastAsia="zh-CN"/>
              </w:rPr>
              <w:t>第一档：</w:t>
            </w:r>
            <w:r>
              <w:rPr>
                <w:rFonts w:hint="eastAsia" w:ascii="宋体" w:hAnsi="宋体" w:eastAsia="宋体" w:cs="宋体"/>
                <w:kern w:val="0"/>
                <w:sz w:val="21"/>
                <w:szCs w:val="21"/>
                <w:lang w:val="en-US" w:eastAsia="zh-CN"/>
              </w:rPr>
              <w:t>5分，第二档：4分，第三档：3分，第四档：2分，第五档：1分。</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5分</w:t>
            </w:r>
          </w:p>
        </w:tc>
      </w:tr>
      <w:tr>
        <w:tblPrEx>
          <w:tblLayout w:type="fixed"/>
          <w:tblCellMar>
            <w:top w:w="0" w:type="dxa"/>
            <w:left w:w="108" w:type="dxa"/>
            <w:bottom w:w="0" w:type="dxa"/>
            <w:right w:w="108" w:type="dxa"/>
          </w:tblCellMar>
        </w:tblPrEx>
        <w:trPr>
          <w:trHeight w:val="360" w:hRule="atLeast"/>
        </w:trPr>
        <w:tc>
          <w:tcPr>
            <w:tcW w:w="1075"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377"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eastAsia="宋体" w:cs="宋体"/>
                <w:color w:val="000000"/>
                <w:kern w:val="0"/>
                <w:sz w:val="21"/>
                <w:szCs w:val="21"/>
                <w:lang w:eastAsia="zh-CN"/>
              </w:rPr>
            </w:pPr>
            <w:r>
              <w:rPr>
                <w:rFonts w:hint="eastAsia" w:ascii="宋体" w:hAnsi="宋体" w:eastAsia="宋体" w:cs="宋体"/>
                <w:color w:val="auto"/>
                <w:kern w:val="0"/>
                <w:sz w:val="21"/>
                <w:szCs w:val="21"/>
                <w:lang w:val="en-US" w:eastAsia="zh-CN"/>
              </w:rPr>
              <w:t>根据</w:t>
            </w:r>
            <w:r>
              <w:rPr>
                <w:rFonts w:hint="eastAsia" w:ascii="宋体" w:hAnsi="宋体" w:eastAsia="宋体" w:cs="宋体"/>
                <w:color w:val="auto"/>
                <w:kern w:val="0"/>
                <w:sz w:val="21"/>
                <w:szCs w:val="21"/>
              </w:rPr>
              <w:t>备品备件</w:t>
            </w:r>
            <w:r>
              <w:rPr>
                <w:rFonts w:hint="eastAsia" w:ascii="宋体" w:hAnsi="宋体" w:eastAsia="宋体" w:cs="宋体"/>
                <w:color w:val="auto"/>
                <w:kern w:val="0"/>
                <w:sz w:val="21"/>
                <w:szCs w:val="21"/>
                <w:lang w:val="en-US" w:eastAsia="zh-CN"/>
              </w:rPr>
              <w:t>情况打分：</w:t>
            </w:r>
            <w:r>
              <w:rPr>
                <w:rFonts w:hint="eastAsia" w:ascii="宋体" w:hAnsi="宋体" w:eastAsia="宋体" w:cs="宋体"/>
                <w:sz w:val="21"/>
                <w:szCs w:val="21"/>
                <w:lang w:eastAsia="zh-CN"/>
              </w:rPr>
              <w:t>第一档：</w:t>
            </w:r>
            <w:r>
              <w:rPr>
                <w:rFonts w:hint="eastAsia" w:ascii="宋体" w:hAnsi="宋体" w:eastAsia="宋体" w:cs="宋体"/>
                <w:sz w:val="21"/>
                <w:szCs w:val="21"/>
                <w:lang w:val="en-US" w:eastAsia="zh-CN"/>
              </w:rPr>
              <w:t>2分，第二档：1分，第三档：0.5分。</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分</w:t>
            </w:r>
          </w:p>
        </w:tc>
      </w:tr>
      <w:tr>
        <w:tblPrEx>
          <w:tblLayout w:type="fixed"/>
          <w:tblCellMar>
            <w:top w:w="0" w:type="dxa"/>
            <w:left w:w="108" w:type="dxa"/>
            <w:bottom w:w="0" w:type="dxa"/>
            <w:right w:w="108" w:type="dxa"/>
          </w:tblCellMar>
        </w:tblPrEx>
        <w:trPr>
          <w:trHeight w:val="360" w:hRule="atLeast"/>
        </w:trPr>
        <w:tc>
          <w:tcPr>
            <w:tcW w:w="1075"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377"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根据提出的培训计划的完整性和合理性等具体情况</w:t>
            </w:r>
            <w:r>
              <w:rPr>
                <w:rFonts w:hint="eastAsia" w:ascii="宋体" w:hAnsi="宋体" w:eastAsia="宋体" w:cs="宋体"/>
                <w:sz w:val="21"/>
                <w:szCs w:val="21"/>
                <w:lang w:eastAsia="zh-CN"/>
              </w:rPr>
              <w:t>进行评分。第一档：</w:t>
            </w:r>
            <w:r>
              <w:rPr>
                <w:rFonts w:hint="eastAsia" w:ascii="宋体" w:hAnsi="宋体" w:eastAsia="宋体" w:cs="宋体"/>
                <w:sz w:val="21"/>
                <w:szCs w:val="21"/>
                <w:lang w:val="en-US" w:eastAsia="zh-CN"/>
              </w:rPr>
              <w:t>2分，第二档：1分，第三档：0分。</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2分</w:t>
            </w:r>
          </w:p>
        </w:tc>
      </w:tr>
      <w:tr>
        <w:tblPrEx>
          <w:tblLayout w:type="fixed"/>
          <w:tblCellMar>
            <w:top w:w="0" w:type="dxa"/>
            <w:left w:w="108" w:type="dxa"/>
            <w:bottom w:w="0" w:type="dxa"/>
            <w:right w:w="108" w:type="dxa"/>
          </w:tblCellMar>
        </w:tblPrEx>
        <w:trPr>
          <w:trHeight w:val="928" w:hRule="atLeast"/>
        </w:trPr>
        <w:tc>
          <w:tcPr>
            <w:tcW w:w="1075"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对招标文件响应程度等2分</w:t>
            </w:r>
          </w:p>
        </w:tc>
        <w:tc>
          <w:tcPr>
            <w:tcW w:w="7377" w:type="dxa"/>
            <w:gridSpan w:val="2"/>
            <w:tcBorders>
              <w:top w:val="nil"/>
              <w:left w:val="nil"/>
              <w:bottom w:val="single" w:color="auto" w:sz="4" w:space="0"/>
              <w:right w:val="single" w:color="auto" w:sz="4" w:space="0"/>
            </w:tcBorders>
            <w:vAlign w:val="center"/>
          </w:tcPr>
          <w:p>
            <w:pPr>
              <w:pStyle w:val="49"/>
              <w:widowControl w:val="0"/>
              <w:spacing w:line="276" w:lineRule="auto"/>
              <w:jc w:val="both"/>
              <w:rPr>
                <w:rFonts w:hint="eastAsia" w:ascii="宋体" w:hAnsi="宋体" w:eastAsia="宋体" w:cs="宋体"/>
                <w:kern w:val="2"/>
                <w:sz w:val="21"/>
                <w:szCs w:val="21"/>
              </w:rPr>
            </w:pPr>
            <w:r>
              <w:rPr>
                <w:rFonts w:hint="eastAsia" w:ascii="宋体" w:hAnsi="宋体" w:eastAsia="宋体" w:cs="宋体"/>
                <w:kern w:val="2"/>
                <w:sz w:val="21"/>
                <w:szCs w:val="21"/>
              </w:rPr>
              <w:t>1、根据投标文件的制作及装订情况由评委酌情打分</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分</w:t>
            </w:r>
          </w:p>
          <w:p>
            <w:pPr>
              <w:widowControl/>
              <w:spacing w:line="240" w:lineRule="auto"/>
              <w:rPr>
                <w:rFonts w:hint="eastAsia" w:ascii="宋体" w:hAnsi="宋体" w:eastAsia="宋体" w:cs="宋体"/>
                <w:color w:val="000000"/>
                <w:kern w:val="0"/>
                <w:sz w:val="21"/>
                <w:szCs w:val="21"/>
              </w:rPr>
            </w:pPr>
            <w:r>
              <w:rPr>
                <w:rFonts w:hint="eastAsia" w:ascii="宋体" w:hAnsi="宋体" w:eastAsia="宋体" w:cs="宋体"/>
                <w:sz w:val="21"/>
                <w:szCs w:val="21"/>
              </w:rPr>
              <w:t>2、电子文档是否按招标文件要求提供，有得</w:t>
            </w:r>
            <w:r>
              <w:rPr>
                <w:rFonts w:hint="eastAsia" w:ascii="宋体" w:hAnsi="宋体" w:eastAsia="宋体" w:cs="宋体"/>
                <w:sz w:val="21"/>
                <w:szCs w:val="21"/>
                <w:lang w:val="en-US" w:eastAsia="zh-CN"/>
              </w:rPr>
              <w:t>1</w:t>
            </w:r>
            <w:r>
              <w:rPr>
                <w:rFonts w:hint="eastAsia" w:ascii="宋体" w:hAnsi="宋体" w:eastAsia="宋体" w:cs="宋体"/>
                <w:sz w:val="21"/>
                <w:szCs w:val="21"/>
              </w:rPr>
              <w:t>分，无不得分</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2分</w:t>
            </w:r>
          </w:p>
        </w:tc>
      </w:tr>
      <w:tr>
        <w:tblPrEx>
          <w:tblLayout w:type="fixed"/>
          <w:tblCellMar>
            <w:top w:w="0" w:type="dxa"/>
            <w:left w:w="108" w:type="dxa"/>
            <w:bottom w:w="0" w:type="dxa"/>
            <w:right w:w="108" w:type="dxa"/>
          </w:tblCellMar>
        </w:tblPrEx>
        <w:trPr>
          <w:trHeight w:val="558" w:hRule="atLeast"/>
        </w:trPr>
        <w:tc>
          <w:tcPr>
            <w:tcW w:w="1075"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价格30分</w:t>
            </w:r>
          </w:p>
        </w:tc>
        <w:tc>
          <w:tcPr>
            <w:tcW w:w="7377"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以投标合格供应商有效投标总报价中的最低价为基准价，基准价为</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lang w:eastAsia="zh-CN"/>
              </w:rPr>
              <w:t>分。投标报价得分＝（评标基准价/最终投标报价）×</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lang w:eastAsia="zh-CN"/>
              </w:rPr>
              <w:t>%×100（小数点后保留2位小数）。（注：对于小型和微型企业产品的价格给予6%的扣除，用扣除后的价格参与评审。）</w:t>
            </w:r>
          </w:p>
        </w:tc>
        <w:tc>
          <w:tcPr>
            <w:tcW w:w="828"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w:t>
            </w:r>
          </w:p>
        </w:tc>
      </w:tr>
    </w:tbl>
    <w:p>
      <w:pPr>
        <w:autoSpaceDE w:val="0"/>
        <w:autoSpaceDN w:val="0"/>
        <w:adjustRightInd w:val="0"/>
        <w:spacing w:line="360" w:lineRule="auto"/>
        <w:jc w:val="left"/>
        <w:rPr>
          <w:rFonts w:hint="eastAsia" w:ascii="宋体" w:hAnsi="宋体" w:cs="宋体"/>
          <w:b/>
          <w:color w:val="auto"/>
          <w:sz w:val="24"/>
        </w:rPr>
      </w:pPr>
    </w:p>
    <w:p>
      <w:pPr>
        <w:autoSpaceDE w:val="0"/>
        <w:autoSpaceDN w:val="0"/>
        <w:adjustRightInd w:val="0"/>
        <w:spacing w:line="360" w:lineRule="auto"/>
        <w:jc w:val="left"/>
        <w:rPr>
          <w:rFonts w:hint="eastAsia" w:ascii="宋体" w:hAnsi="宋体" w:cs="宋体"/>
          <w:b/>
          <w:color w:val="auto"/>
          <w:sz w:val="24"/>
        </w:rPr>
      </w:pPr>
    </w:p>
    <w:p>
      <w:pPr>
        <w:autoSpaceDE w:val="0"/>
        <w:autoSpaceDN w:val="0"/>
        <w:adjustRightInd w:val="0"/>
        <w:spacing w:line="360" w:lineRule="auto"/>
        <w:jc w:val="left"/>
        <w:rPr>
          <w:rFonts w:hint="eastAsia" w:ascii="宋体" w:hAnsi="宋体" w:cs="宋体"/>
          <w:b/>
          <w:color w:val="auto"/>
          <w:sz w:val="24"/>
          <w:lang w:eastAsia="zh-CN"/>
        </w:rPr>
      </w:pPr>
      <w:r>
        <w:rPr>
          <w:rFonts w:hint="eastAsia" w:ascii="宋体" w:hAnsi="宋体" w:cs="宋体"/>
          <w:b/>
          <w:color w:val="auto"/>
          <w:sz w:val="24"/>
        </w:rPr>
        <w:t>注：</w:t>
      </w:r>
      <w:r>
        <w:rPr>
          <w:rFonts w:hint="eastAsia" w:ascii="宋体" w:hAnsi="宋体" w:cs="宋体"/>
          <w:b/>
          <w:color w:val="auto"/>
          <w:sz w:val="24"/>
          <w:lang w:val="en-US" w:eastAsia="zh-CN"/>
        </w:rPr>
        <w:t>1、</w:t>
      </w:r>
      <w:r>
        <w:rPr>
          <w:rFonts w:hint="eastAsia" w:ascii="宋体" w:hAnsi="宋体" w:cs="宋体"/>
          <w:b/>
          <w:color w:val="auto"/>
          <w:sz w:val="24"/>
        </w:rPr>
        <w:t>合同、证书、报告</w:t>
      </w:r>
      <w:r>
        <w:rPr>
          <w:rFonts w:hint="eastAsia" w:ascii="宋体" w:hAnsi="宋体" w:cs="宋体"/>
          <w:b/>
          <w:color w:val="auto"/>
          <w:sz w:val="24"/>
          <w:lang w:val="en-US" w:eastAsia="zh-CN"/>
        </w:rPr>
        <w:t>及其他相关证明材料，</w:t>
      </w:r>
      <w:r>
        <w:rPr>
          <w:rFonts w:hint="eastAsia" w:ascii="宋体" w:hAnsi="宋体" w:cs="宋体"/>
          <w:b/>
          <w:color w:val="auto"/>
          <w:sz w:val="24"/>
          <w:lang w:eastAsia="zh-CN"/>
        </w:rPr>
        <w:t>将原件扫描上传至电子投标文件</w:t>
      </w:r>
      <w:r>
        <w:rPr>
          <w:rFonts w:hint="eastAsia" w:ascii="宋体" w:hAnsi="宋体" w:cs="宋体"/>
          <w:b/>
          <w:color w:val="auto"/>
          <w:sz w:val="24"/>
        </w:rPr>
        <w:t>，</w:t>
      </w:r>
      <w:r>
        <w:rPr>
          <w:rFonts w:hint="eastAsia" w:ascii="宋体" w:hAnsi="宋体" w:cs="宋体"/>
          <w:b/>
          <w:color w:val="auto"/>
          <w:sz w:val="24"/>
          <w:lang w:eastAsia="zh-CN"/>
        </w:rPr>
        <w:t>并加盖电子印章。</w:t>
      </w:r>
    </w:p>
    <w:p>
      <w:pPr>
        <w:numPr>
          <w:ilvl w:val="0"/>
          <w:numId w:val="9"/>
        </w:numPr>
        <w:autoSpaceDE w:val="0"/>
        <w:autoSpaceDN w:val="0"/>
        <w:adjustRightInd w:val="0"/>
        <w:spacing w:line="360" w:lineRule="auto"/>
        <w:ind w:left="0" w:leftChars="0" w:firstLine="0" w:firstLineChars="0"/>
        <w:jc w:val="left"/>
        <w:rPr>
          <w:rFonts w:hint="eastAsia" w:ascii="宋体" w:hAnsi="宋体" w:cs="宋体"/>
          <w:b/>
          <w:color w:val="auto"/>
          <w:sz w:val="24"/>
        </w:rPr>
      </w:pPr>
      <w:r>
        <w:rPr>
          <w:rFonts w:hint="eastAsia" w:ascii="宋体" w:hAnsi="宋体" w:cs="宋体"/>
          <w:b/>
          <w:color w:val="auto"/>
          <w:sz w:val="24"/>
        </w:rPr>
        <w:t>得分为第一档的指的是各细项指标全部满足甚至优于采购需求的；第二档指的是与采购人目标需求相比，稍有瑕疵的；第三、四</w:t>
      </w:r>
      <w:r>
        <w:rPr>
          <w:rFonts w:hint="eastAsia" w:ascii="宋体" w:hAnsi="宋体" w:cs="宋体"/>
          <w:b/>
          <w:color w:val="auto"/>
          <w:sz w:val="24"/>
          <w:lang w:eastAsia="zh-CN"/>
        </w:rPr>
        <w:t>、</w:t>
      </w:r>
      <w:r>
        <w:rPr>
          <w:rFonts w:hint="eastAsia" w:ascii="宋体" w:hAnsi="宋体" w:cs="宋体"/>
          <w:b/>
          <w:color w:val="auto"/>
          <w:sz w:val="24"/>
          <w:lang w:val="en-US" w:eastAsia="zh-CN"/>
        </w:rPr>
        <w:t>五</w:t>
      </w:r>
      <w:r>
        <w:rPr>
          <w:rFonts w:hint="eastAsia" w:ascii="宋体" w:hAnsi="宋体" w:cs="宋体"/>
          <w:b/>
          <w:color w:val="auto"/>
          <w:sz w:val="24"/>
        </w:rPr>
        <w:t>档依次类推。</w:t>
      </w:r>
    </w:p>
    <w:p>
      <w:pPr>
        <w:pStyle w:val="2"/>
        <w:widowControl w:val="0"/>
        <w:numPr>
          <w:ilvl w:val="0"/>
          <w:numId w:val="0"/>
        </w:numPr>
        <w:spacing w:line="360" w:lineRule="exact"/>
        <w:jc w:val="both"/>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本次招标共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w:t>
      </w:r>
      <w:r>
        <w:rPr>
          <w:rFonts w:hint="eastAsia" w:asciiTheme="minorEastAsia" w:hAnsiTheme="minorEastAsia" w:eastAsiaTheme="minorEastAsia"/>
          <w:color w:val="auto"/>
          <w:sz w:val="24"/>
          <w:szCs w:val="24"/>
        </w:rPr>
        <w:t>个标段，具体内容如下表：</w:t>
      </w:r>
    </w:p>
    <w:tbl>
      <w:tblPr>
        <w:tblStyle w:val="22"/>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315"/>
        <w:gridCol w:w="1025"/>
        <w:gridCol w:w="750"/>
        <w:gridCol w:w="780"/>
        <w:gridCol w:w="906"/>
        <w:gridCol w:w="1020"/>
        <w:gridCol w:w="118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93"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标段号</w:t>
            </w:r>
          </w:p>
        </w:tc>
        <w:tc>
          <w:tcPr>
            <w:tcW w:w="1315" w:type="dxa"/>
            <w:vAlign w:val="center"/>
          </w:tcPr>
          <w:p>
            <w:pPr>
              <w:tabs>
                <w:tab w:val="left" w:pos="8280"/>
              </w:tabs>
              <w:autoSpaceDE w:val="0"/>
              <w:autoSpaceDN w:val="0"/>
              <w:adjustRightInd w:val="0"/>
              <w:ind w:right="25" w:rightChars="0"/>
              <w:jc w:val="both"/>
              <w:rPr>
                <w:rFonts w:ascii="宋体"/>
                <w:b/>
                <w:color w:val="auto"/>
                <w:sz w:val="24"/>
              </w:rPr>
            </w:pPr>
            <w:r>
              <w:rPr>
                <w:rFonts w:hint="eastAsia" w:ascii="宋体" w:hAnsi="宋体"/>
                <w:b/>
                <w:color w:val="auto"/>
                <w:sz w:val="24"/>
              </w:rPr>
              <w:t>项目名称</w:t>
            </w:r>
          </w:p>
        </w:tc>
        <w:tc>
          <w:tcPr>
            <w:tcW w:w="1025"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cs="宋体"/>
                <w:b/>
                <w:color w:val="auto"/>
                <w:kern w:val="0"/>
                <w:sz w:val="24"/>
              </w:rPr>
              <w:t>简要技术要求</w:t>
            </w:r>
          </w:p>
        </w:tc>
        <w:tc>
          <w:tcPr>
            <w:tcW w:w="750"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数量</w:t>
            </w:r>
          </w:p>
        </w:tc>
        <w:tc>
          <w:tcPr>
            <w:tcW w:w="780"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单位</w:t>
            </w:r>
          </w:p>
        </w:tc>
        <w:tc>
          <w:tcPr>
            <w:tcW w:w="906"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预算（万元）</w:t>
            </w:r>
          </w:p>
        </w:tc>
        <w:tc>
          <w:tcPr>
            <w:tcW w:w="1020" w:type="dxa"/>
            <w:vAlign w:val="center"/>
          </w:tcPr>
          <w:p>
            <w:pPr>
              <w:tabs>
                <w:tab w:val="left" w:pos="8280"/>
              </w:tabs>
              <w:autoSpaceDE w:val="0"/>
              <w:autoSpaceDN w:val="0"/>
              <w:adjustRightInd w:val="0"/>
              <w:ind w:right="25" w:rightChars="0"/>
              <w:jc w:val="both"/>
              <w:rPr>
                <w:rFonts w:hint="eastAsia" w:ascii="宋体" w:eastAsia="宋体"/>
                <w:b/>
                <w:color w:val="auto"/>
                <w:sz w:val="24"/>
                <w:lang w:eastAsia="zh-CN"/>
              </w:rPr>
            </w:pPr>
            <w:r>
              <w:rPr>
                <w:rFonts w:hint="eastAsia" w:ascii="宋体"/>
                <w:b/>
                <w:color w:val="auto"/>
                <w:sz w:val="24"/>
                <w:lang w:eastAsia="zh-CN"/>
              </w:rPr>
              <w:t>最高限价（万元）</w:t>
            </w:r>
          </w:p>
        </w:tc>
        <w:tc>
          <w:tcPr>
            <w:tcW w:w="11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0" w:lineRule="atLeast"/>
              <w:ind w:right="23"/>
              <w:jc w:val="center"/>
              <w:textAlignment w:val="auto"/>
              <w:rPr>
                <w:rFonts w:hint="eastAsia"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交货期</w:t>
            </w:r>
          </w:p>
          <w:p>
            <w:pPr>
              <w:tabs>
                <w:tab w:val="left" w:pos="8280"/>
              </w:tabs>
              <w:autoSpaceDE w:val="0"/>
              <w:autoSpaceDN w:val="0"/>
              <w:adjustRightInd w:val="0"/>
              <w:ind w:right="25" w:rightChars="0"/>
              <w:jc w:val="both"/>
              <w:rPr>
                <w:rFonts w:hint="eastAsia"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（合同签订后几天内）</w:t>
            </w:r>
          </w:p>
        </w:tc>
        <w:tc>
          <w:tcPr>
            <w:tcW w:w="1184" w:type="dxa"/>
            <w:vAlign w:val="center"/>
          </w:tcPr>
          <w:p>
            <w:pPr>
              <w:tabs>
                <w:tab w:val="left" w:pos="8280"/>
              </w:tabs>
              <w:autoSpaceDE w:val="0"/>
              <w:autoSpaceDN w:val="0"/>
              <w:adjustRightInd w:val="0"/>
              <w:ind w:right="25" w:rightChars="0"/>
              <w:jc w:val="both"/>
              <w:rPr>
                <w:rFonts w:hint="eastAsia" w:ascii="宋体" w:hAnsi="宋体"/>
                <w:b/>
                <w:color w:val="auto"/>
                <w:sz w:val="24"/>
              </w:rPr>
            </w:pPr>
            <w:r>
              <w:rPr>
                <w:rFonts w:hint="eastAsia" w:asciiTheme="minorEastAsia" w:hAnsiTheme="minorEastAsia" w:eastAsiaTheme="minorEastAsia"/>
                <w:b/>
                <w:color w:val="auto"/>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593" w:type="dxa"/>
            <w:vAlign w:val="center"/>
          </w:tcPr>
          <w:p>
            <w:pPr>
              <w:tabs>
                <w:tab w:val="left" w:pos="8280"/>
              </w:tabs>
              <w:autoSpaceDE w:val="0"/>
              <w:autoSpaceDN w:val="0"/>
              <w:adjustRightInd w:val="0"/>
              <w:ind w:right="25" w:rightChars="0"/>
              <w:jc w:val="center"/>
              <w:rPr>
                <w:rFonts w:hint="eastAsia" w:ascii="宋体" w:hAnsi="宋体" w:eastAsia="宋体"/>
                <w:color w:val="auto"/>
                <w:sz w:val="24"/>
                <w:lang w:val="en-US" w:eastAsia="zh-CN"/>
              </w:rPr>
            </w:pPr>
            <w:r>
              <w:rPr>
                <w:rFonts w:hint="eastAsia" w:ascii="宋体" w:hAnsi="宋体"/>
                <w:color w:val="auto"/>
                <w:sz w:val="24"/>
                <w:lang w:val="en-US" w:eastAsia="zh-CN"/>
              </w:rPr>
              <w:t>1</w:t>
            </w:r>
          </w:p>
        </w:tc>
        <w:tc>
          <w:tcPr>
            <w:tcW w:w="1315" w:type="dxa"/>
            <w:vAlign w:val="center"/>
          </w:tcPr>
          <w:p>
            <w:pPr>
              <w:tabs>
                <w:tab w:val="left" w:pos="8280"/>
              </w:tabs>
              <w:autoSpaceDE w:val="0"/>
              <w:autoSpaceDN w:val="0"/>
              <w:adjustRightInd w:val="0"/>
              <w:ind w:right="25" w:rightChars="0"/>
              <w:jc w:val="both"/>
              <w:rPr>
                <w:rFonts w:hint="eastAsia" w:ascii="宋体" w:hAnsi="宋体" w:eastAsia="宋体"/>
                <w:color w:val="auto"/>
                <w:sz w:val="24"/>
                <w:lang w:eastAsia="zh-CN"/>
              </w:rPr>
            </w:pPr>
            <w:r>
              <w:rPr>
                <w:rFonts w:hint="eastAsia" w:ascii="宋体" w:hAnsi="宋体"/>
                <w:color w:val="auto"/>
                <w:sz w:val="24"/>
                <w:lang w:eastAsia="zh-CN"/>
              </w:rPr>
              <w:t>救护车</w:t>
            </w:r>
          </w:p>
        </w:tc>
        <w:tc>
          <w:tcPr>
            <w:tcW w:w="1025" w:type="dxa"/>
            <w:vAlign w:val="center"/>
          </w:tcPr>
          <w:p>
            <w:pPr>
              <w:tabs>
                <w:tab w:val="left" w:pos="8280"/>
              </w:tabs>
              <w:autoSpaceDE w:val="0"/>
              <w:autoSpaceDN w:val="0"/>
              <w:adjustRightInd w:val="0"/>
              <w:ind w:right="25" w:rightChars="0"/>
              <w:jc w:val="both"/>
              <w:rPr>
                <w:rFonts w:hint="eastAsia" w:ascii="宋体" w:hAnsi="宋体"/>
                <w:color w:val="auto"/>
                <w:sz w:val="24"/>
              </w:rPr>
            </w:pPr>
            <w:r>
              <w:rPr>
                <w:rFonts w:hint="eastAsia" w:ascii="宋体" w:hAnsi="宋体" w:cs="宋体"/>
                <w:kern w:val="0"/>
                <w:sz w:val="24"/>
              </w:rPr>
              <w:t>详见技术需求</w:t>
            </w:r>
          </w:p>
        </w:tc>
        <w:tc>
          <w:tcPr>
            <w:tcW w:w="750" w:type="dxa"/>
            <w:vAlign w:val="center"/>
          </w:tcPr>
          <w:p>
            <w:pPr>
              <w:tabs>
                <w:tab w:val="left" w:pos="8280"/>
              </w:tabs>
              <w:autoSpaceDE w:val="0"/>
              <w:autoSpaceDN w:val="0"/>
              <w:adjustRightInd w:val="0"/>
              <w:ind w:right="25" w:rightChars="0"/>
              <w:jc w:val="center"/>
              <w:rPr>
                <w:rFonts w:hint="eastAsia" w:ascii="宋体" w:hAnsi="宋体" w:eastAsia="宋体"/>
                <w:color w:val="auto"/>
                <w:sz w:val="24"/>
                <w:lang w:val="en-US" w:eastAsia="zh-CN"/>
              </w:rPr>
            </w:pPr>
            <w:r>
              <w:rPr>
                <w:rFonts w:hint="eastAsia" w:ascii="宋体" w:hAnsi="宋体"/>
                <w:color w:val="auto"/>
                <w:sz w:val="24"/>
                <w:lang w:val="en-US" w:eastAsia="zh-CN"/>
              </w:rPr>
              <w:t>3</w:t>
            </w:r>
          </w:p>
        </w:tc>
        <w:tc>
          <w:tcPr>
            <w:tcW w:w="780" w:type="dxa"/>
            <w:vAlign w:val="center"/>
          </w:tcPr>
          <w:p>
            <w:pPr>
              <w:tabs>
                <w:tab w:val="left" w:pos="8280"/>
              </w:tabs>
              <w:autoSpaceDE w:val="0"/>
              <w:autoSpaceDN w:val="0"/>
              <w:adjustRightInd w:val="0"/>
              <w:ind w:right="25" w:rightChars="0"/>
              <w:jc w:val="center"/>
              <w:rPr>
                <w:rFonts w:hint="eastAsia" w:ascii="宋体" w:hAnsi="宋体" w:eastAsia="宋体"/>
                <w:color w:val="auto"/>
                <w:sz w:val="24"/>
                <w:lang w:eastAsia="zh-CN"/>
              </w:rPr>
            </w:pPr>
            <w:r>
              <w:rPr>
                <w:rFonts w:hint="eastAsia" w:ascii="宋体" w:hAnsi="宋体"/>
                <w:color w:val="auto"/>
                <w:sz w:val="24"/>
                <w:lang w:eastAsia="zh-CN"/>
              </w:rPr>
              <w:t>辆</w:t>
            </w:r>
          </w:p>
        </w:tc>
        <w:tc>
          <w:tcPr>
            <w:tcW w:w="906" w:type="dxa"/>
            <w:vAlign w:val="center"/>
          </w:tcPr>
          <w:p>
            <w:pPr>
              <w:tabs>
                <w:tab w:val="left" w:pos="8280"/>
              </w:tabs>
              <w:autoSpaceDE w:val="0"/>
              <w:autoSpaceDN w:val="0"/>
              <w:adjustRightInd w:val="0"/>
              <w:ind w:right="25" w:rightChars="0" w:firstLine="240" w:firstLineChars="0"/>
              <w:jc w:val="both"/>
              <w:rPr>
                <w:rFonts w:hint="default" w:ascii="宋体" w:hAnsi="宋体" w:eastAsia="宋体"/>
                <w:color w:val="auto"/>
                <w:sz w:val="24"/>
                <w:lang w:val="en-US" w:eastAsia="zh-CN"/>
              </w:rPr>
            </w:pPr>
            <w:r>
              <w:rPr>
                <w:rFonts w:hint="eastAsia" w:ascii="宋体" w:hAnsi="宋体"/>
                <w:color w:val="auto"/>
                <w:sz w:val="24"/>
                <w:lang w:val="en-US" w:eastAsia="zh-CN"/>
              </w:rPr>
              <w:t>366</w:t>
            </w:r>
          </w:p>
        </w:tc>
        <w:tc>
          <w:tcPr>
            <w:tcW w:w="1020" w:type="dxa"/>
            <w:vAlign w:val="center"/>
          </w:tcPr>
          <w:p>
            <w:pPr>
              <w:tabs>
                <w:tab w:val="left" w:pos="8280"/>
              </w:tabs>
              <w:autoSpaceDE w:val="0"/>
              <w:autoSpaceDN w:val="0"/>
              <w:adjustRightInd w:val="0"/>
              <w:ind w:right="25" w:rightChars="0" w:firstLine="240" w:firstLineChars="0"/>
              <w:jc w:val="both"/>
              <w:rPr>
                <w:rFonts w:hint="default" w:ascii="宋体" w:eastAsia="宋体"/>
                <w:color w:val="auto"/>
                <w:sz w:val="24"/>
                <w:lang w:val="en-US" w:eastAsia="zh-CN"/>
              </w:rPr>
            </w:pPr>
            <w:r>
              <w:rPr>
                <w:rFonts w:hint="eastAsia" w:ascii="宋体"/>
                <w:color w:val="auto"/>
                <w:sz w:val="24"/>
                <w:lang w:val="en-US" w:eastAsia="zh-CN"/>
              </w:rPr>
              <w:t>357</w:t>
            </w:r>
          </w:p>
        </w:tc>
        <w:tc>
          <w:tcPr>
            <w:tcW w:w="1185" w:type="dxa"/>
            <w:vAlign w:val="center"/>
          </w:tcPr>
          <w:p>
            <w:pPr>
              <w:tabs>
                <w:tab w:val="left" w:pos="8280"/>
              </w:tabs>
              <w:autoSpaceDE w:val="0"/>
              <w:autoSpaceDN w:val="0"/>
              <w:adjustRightInd w:val="0"/>
              <w:ind w:right="25" w:rightChars="0" w:firstLine="240" w:firstLineChars="0"/>
              <w:jc w:val="both"/>
              <w:rPr>
                <w:rFonts w:hint="eastAsia" w:ascii="宋体"/>
                <w:color w:val="auto"/>
                <w:sz w:val="24"/>
                <w:lang w:val="en-US" w:eastAsia="zh-CN"/>
              </w:rPr>
            </w:pPr>
            <w:r>
              <w:rPr>
                <w:rFonts w:hint="eastAsia" w:ascii="宋体"/>
                <w:color w:val="auto"/>
                <w:sz w:val="24"/>
                <w:lang w:val="en-US" w:eastAsia="zh-CN"/>
              </w:rPr>
              <w:t>30</w:t>
            </w:r>
          </w:p>
        </w:tc>
        <w:tc>
          <w:tcPr>
            <w:tcW w:w="1184" w:type="dxa"/>
            <w:vAlign w:val="center"/>
          </w:tcPr>
          <w:p>
            <w:pPr>
              <w:tabs>
                <w:tab w:val="left" w:pos="8280"/>
              </w:tabs>
              <w:autoSpaceDE w:val="0"/>
              <w:autoSpaceDN w:val="0"/>
              <w:adjustRightInd w:val="0"/>
              <w:ind w:right="25" w:rightChars="0"/>
              <w:jc w:val="both"/>
              <w:rPr>
                <w:rFonts w:hint="eastAsia" w:ascii="宋体" w:hAnsi="宋体"/>
                <w:color w:val="auto"/>
                <w:sz w:val="24"/>
              </w:rPr>
            </w:pPr>
            <w:r>
              <w:rPr>
                <w:rFonts w:hint="eastAsia" w:ascii="宋体" w:hAnsi="宋体" w:eastAsia="宋体" w:cs="宋体"/>
                <w:b w:val="0"/>
                <w:bCs/>
                <w:color w:val="auto"/>
                <w:sz w:val="24"/>
                <w:szCs w:val="24"/>
                <w:lang w:eastAsia="zh-CN"/>
              </w:rPr>
              <w:t>台州市紧急救援中心</w:t>
            </w:r>
          </w:p>
        </w:tc>
      </w:tr>
    </w:tbl>
    <w:p>
      <w:pPr>
        <w:pStyle w:val="11"/>
        <w:rPr>
          <w:rFonts w:hint="eastAsia" w:asciiTheme="minorEastAsia" w:hAnsiTheme="minorEastAsia" w:eastAsiaTheme="minorEastAsia"/>
          <w:color w:val="auto"/>
          <w:sz w:val="24"/>
          <w:szCs w:val="24"/>
        </w:rPr>
      </w:pPr>
    </w:p>
    <w:p>
      <w:pPr>
        <w:pStyle w:val="11"/>
        <w:rPr>
          <w:rFonts w:hint="eastAsia" w:asciiTheme="minorEastAsia" w:hAnsiTheme="minorEastAsia" w:eastAsiaTheme="minorEastAsia"/>
          <w:color w:val="auto"/>
          <w:sz w:val="24"/>
          <w:szCs w:val="24"/>
        </w:rPr>
      </w:pPr>
    </w:p>
    <w:p>
      <w:pPr>
        <w:numPr>
          <w:ilvl w:val="0"/>
          <w:numId w:val="11"/>
        </w:numPr>
        <w:tabs>
          <w:tab w:val="left" w:pos="8280"/>
        </w:tabs>
        <w:autoSpaceDE w:val="0"/>
        <w:autoSpaceDN w:val="0"/>
        <w:adjustRightInd w:val="0"/>
        <w:spacing w:line="360" w:lineRule="auto"/>
        <w:ind w:left="0" w:leftChars="0" w:right="25" w:firstLine="0" w:firstLineChars="0"/>
        <w:jc w:val="left"/>
        <w:rPr>
          <w:rFonts w:hint="eastAsia"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技术需求</w:t>
      </w:r>
      <w:r>
        <w:rPr>
          <w:rFonts w:hint="eastAsia" w:asciiTheme="minorEastAsia" w:hAnsiTheme="minorEastAsia" w:eastAsiaTheme="minorEastAsia"/>
          <w:b/>
          <w:color w:val="auto"/>
          <w:sz w:val="24"/>
          <w:szCs w:val="24"/>
          <w:lang w:eastAsia="zh-CN"/>
        </w:rPr>
        <w:t>：</w:t>
      </w:r>
    </w:p>
    <w:p>
      <w:pPr>
        <w:widowControl/>
        <w:numPr>
          <w:ilvl w:val="0"/>
          <w:numId w:val="0"/>
        </w:numPr>
        <w:shd w:val="clear" w:color="auto" w:fill="FFFFFF"/>
        <w:tabs>
          <w:tab w:val="left" w:pos="720"/>
        </w:tabs>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项目内容为层流负压型救护车及车载设备3台。项目内容总价包括：3辆救护车车身价、3套5G智慧医疗专用网关，3套车载,3台除颤监护心电一体机,3台急救转运呼吸机,3台急救吸引器，3台输液泵，3台注射泵，3台车载低温等离子空气灭消毒机，3台负压隔离舱，6套电动送风过滤式呼吸防护系统，3套可视喉镜，4套自动心肺复苏系统。</w:t>
      </w:r>
    </w:p>
    <w:p>
      <w:pPr>
        <w:spacing w:line="360" w:lineRule="auto"/>
        <w:rPr>
          <w:rFonts w:ascii="楷体" w:hAnsi="楷体" w:eastAsia="楷体" w:cs="楷体"/>
          <w:sz w:val="24"/>
        </w:rPr>
      </w:pPr>
      <w:r>
        <w:rPr>
          <w:rFonts w:hint="eastAsia" w:ascii="楷体" w:hAnsi="楷体" w:eastAsia="楷体" w:cs="楷体"/>
          <w:b/>
          <w:bCs/>
          <w:sz w:val="24"/>
        </w:rPr>
        <w:t>二、招标技术要求：</w:t>
      </w:r>
    </w:p>
    <w:tbl>
      <w:tblPr>
        <w:tblStyle w:val="22"/>
        <w:tblW w:w="8755" w:type="dxa"/>
        <w:jc w:val="center"/>
        <w:tblInd w:w="0" w:type="dxa"/>
        <w:tblLayout w:type="fixed"/>
        <w:tblCellMar>
          <w:top w:w="0" w:type="dxa"/>
          <w:left w:w="108" w:type="dxa"/>
          <w:bottom w:w="0" w:type="dxa"/>
          <w:right w:w="108" w:type="dxa"/>
        </w:tblCellMar>
      </w:tblPr>
      <w:tblGrid>
        <w:gridCol w:w="1185"/>
        <w:gridCol w:w="3118"/>
        <w:gridCol w:w="3242"/>
        <w:gridCol w:w="1210"/>
      </w:tblGrid>
      <w:tr>
        <w:tblPrEx>
          <w:tblLayout w:type="fixed"/>
          <w:tblCellMar>
            <w:top w:w="0" w:type="dxa"/>
            <w:left w:w="108" w:type="dxa"/>
            <w:bottom w:w="0" w:type="dxa"/>
            <w:right w:w="108" w:type="dxa"/>
          </w:tblCellMar>
        </w:tblPrEx>
        <w:trPr>
          <w:trHeight w:val="360" w:hRule="atLeast"/>
          <w:jc w:val="center"/>
        </w:trPr>
        <w:tc>
          <w:tcPr>
            <w:tcW w:w="8755"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一、负压型救护车车型参数及配置</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3118"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层流负压型救护车</w:t>
            </w:r>
          </w:p>
        </w:tc>
        <w:tc>
          <w:tcPr>
            <w:tcW w:w="4452" w:type="dxa"/>
            <w:gridSpan w:val="2"/>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数量：3</w:t>
            </w:r>
            <w:r>
              <w:rPr>
                <w:rFonts w:hint="eastAsia" w:ascii="宋体" w:hAnsi="宋体" w:cs="宋体"/>
                <w:sz w:val="24"/>
                <w:szCs w:val="24"/>
                <w:lang w:eastAsia="zh-CN"/>
              </w:rPr>
              <w:t>辆</w:t>
            </w: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车辆技术参数</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118"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车体尺寸mm: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≦5780×2000×2730(长×宽×高)</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118"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医疗舱内尺寸mm: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≥3370×1750×1800(长×宽×高)</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轴距mm：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≥3750</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118"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悬挂系统</w:t>
            </w:r>
          </w:p>
        </w:tc>
        <w:tc>
          <w:tcPr>
            <w:tcW w:w="4452"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麦费逊式独立前悬，霍奇基斯后悬</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118"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最小离地间隙mm: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≥195</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最小转弯半径m：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cs="宋体"/>
                <w:color w:val="auto"/>
                <w:kern w:val="0"/>
                <w:sz w:val="24"/>
                <w:szCs w:val="24"/>
                <w:lang w:eastAsia="zh-CN"/>
              </w:rPr>
              <w:t>≤</w:t>
            </w:r>
            <w:r>
              <w:rPr>
                <w:rFonts w:hint="eastAsia" w:ascii="宋体" w:hAnsi="宋体" w:eastAsia="宋体" w:cs="宋体"/>
                <w:kern w:val="0"/>
                <w:sz w:val="24"/>
                <w:szCs w:val="24"/>
              </w:rPr>
              <w:t>6.65</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燃油种类:</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柴油</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油箱容积（L）：</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≥80</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工作方式:</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四缸直列、增压中冷、高压共轨柴油机</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排气量ml:</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≥2190</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额定功率 kw(hp)/rpm: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≥103/3500</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最大扭矩 Nm/rpm:</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≥360/1500-2000</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排放标准:</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国Ⅵ</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驱动方式</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后轮驱动</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变速器:</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6速手动变速器</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最高时速 km/h:</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≥145</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制动系统</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前通风盘式，后实心盘式</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3118"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额定载客（含驾驶员）</w:t>
            </w:r>
          </w:p>
        </w:tc>
        <w:tc>
          <w:tcPr>
            <w:tcW w:w="4452"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3-9</w:t>
            </w:r>
          </w:p>
        </w:tc>
      </w:tr>
      <w:tr>
        <w:tblPrEx>
          <w:tblLayout w:type="fixed"/>
          <w:tblCellMar>
            <w:top w:w="0" w:type="dxa"/>
            <w:left w:w="108" w:type="dxa"/>
            <w:bottom w:w="0" w:type="dxa"/>
            <w:right w:w="108" w:type="dxa"/>
          </w:tblCellMar>
        </w:tblPrEx>
        <w:trPr>
          <w:trHeight w:val="405" w:hRule="atLeast"/>
          <w:jc w:val="center"/>
        </w:trPr>
        <w:tc>
          <w:tcPr>
            <w:tcW w:w="8755" w:type="dxa"/>
            <w:gridSpan w:val="4"/>
            <w:tcBorders>
              <w:top w:val="nil"/>
              <w:left w:val="single" w:color="auto" w:sz="4" w:space="0"/>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车辆主要配置</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19</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ABS8.0+EBD</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cs="宋体"/>
                <w:kern w:val="0"/>
                <w:sz w:val="24"/>
                <w:szCs w:val="24"/>
                <w:lang w:val="en-US" w:eastAsia="zh-CN"/>
              </w:rPr>
              <w:t>0</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中控锁</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cs="宋体"/>
                <w:kern w:val="0"/>
                <w:sz w:val="24"/>
                <w:szCs w:val="24"/>
                <w:lang w:val="en-US" w:eastAsia="zh-CN"/>
              </w:rPr>
              <w:t>1</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前排电动门窗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cs="宋体"/>
                <w:kern w:val="0"/>
                <w:sz w:val="24"/>
                <w:szCs w:val="24"/>
                <w:lang w:val="en-US" w:eastAsia="zh-CN"/>
              </w:rPr>
              <w:t>2</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驾驶座（主）安全气囊</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cs="宋体"/>
                <w:kern w:val="0"/>
                <w:sz w:val="24"/>
                <w:szCs w:val="24"/>
                <w:lang w:val="en-US" w:eastAsia="zh-CN"/>
              </w:rPr>
              <w:t>3</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遥控钥匙</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cs="宋体"/>
                <w:kern w:val="0"/>
                <w:sz w:val="24"/>
                <w:szCs w:val="24"/>
                <w:lang w:val="en-US" w:eastAsia="zh-CN"/>
              </w:rPr>
              <w:t>4</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驾驶室原厂冷暖系统</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25</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倒车雷达</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26</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同色保险杆</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r>
              <w:rPr>
                <w:rFonts w:hint="eastAsia" w:ascii="宋体" w:hAnsi="宋体" w:cs="宋体"/>
                <w:kern w:val="0"/>
                <w:sz w:val="24"/>
                <w:szCs w:val="24"/>
                <w:lang w:val="en-US" w:eastAsia="zh-CN"/>
              </w:rPr>
              <w:t>7</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PATS电子防盗系统</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28</w:t>
            </w:r>
          </w:p>
        </w:tc>
        <w:tc>
          <w:tcPr>
            <w:tcW w:w="7570"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GPS导航、DVD播放器、蓝牙电话、可视倒车影像</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医疗舱内外配置</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描  述</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车身涂装</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29</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白色车身+红色强效反光带及急救图徽，符合浙江急救涂装标准</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0</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医疗舱窗户上贴玻璃膜2/3</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警报、照明系统</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1</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100W警报器</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2</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车顶前部安装三个嵌入式的蓝色爆闪警灯，拒绝采用长排警灯(</w:t>
            </w:r>
            <w:r>
              <w:rPr>
                <w:rFonts w:hint="eastAsia" w:ascii="宋体" w:hAnsi="宋体" w:eastAsia="宋体" w:cs="宋体"/>
                <w:sz w:val="24"/>
                <w:szCs w:val="24"/>
              </w:rPr>
              <w:t>需提供本部位的实物相片及原理图纸说明等证明文件，否则视为负偏离)</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3盏</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3</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车顶尾部安装2组长方形蓝色警灯</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2盏</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4</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车顶左右侧各安装2组长方形蓝色警灯</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4盏</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5</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医疗舱尾部上方安装2个外场照明灯 </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2盏</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r>
              <w:rPr>
                <w:rFonts w:hint="eastAsia" w:ascii="宋体" w:hAnsi="宋体" w:cs="宋体"/>
                <w:kern w:val="0"/>
                <w:sz w:val="24"/>
                <w:szCs w:val="24"/>
                <w:lang w:val="en-US" w:eastAsia="zh-CN"/>
              </w:rPr>
              <w:t>6</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车顶两侧外场照明灯</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2盏</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r>
              <w:rPr>
                <w:rFonts w:hint="eastAsia" w:ascii="宋体" w:hAnsi="宋体" w:cs="宋体"/>
                <w:kern w:val="0"/>
                <w:sz w:val="24"/>
                <w:szCs w:val="24"/>
                <w:lang w:val="en-US" w:eastAsia="zh-CN"/>
              </w:rPr>
              <w:t>7</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医疗舱内部LED射灯</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2盏</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38</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医疗舱内部LED隐藏式照明灯（灯光可通过医疗舱控制面板切换白光和黄光，亮度具有5档可调。）</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2套</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中央电源分配系统</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（由主电瓶、辅助电瓶、智能充电控制装置、带充电功能正弦波逆变器、电控箱、线束、控制面板构成。）</w:t>
            </w:r>
          </w:p>
        </w:tc>
      </w:tr>
      <w:tr>
        <w:tblPrEx>
          <w:tblLayout w:type="fixed"/>
          <w:tblCellMar>
            <w:top w:w="0" w:type="dxa"/>
            <w:left w:w="108" w:type="dxa"/>
            <w:bottom w:w="0" w:type="dxa"/>
            <w:right w:w="108" w:type="dxa"/>
          </w:tblCellMar>
        </w:tblPrEx>
        <w:trPr>
          <w:trHeight w:val="499"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39</w:t>
            </w:r>
          </w:p>
        </w:tc>
        <w:tc>
          <w:tcPr>
            <w:tcW w:w="6360" w:type="dxa"/>
            <w:gridSpan w:val="2"/>
            <w:tcBorders>
              <w:top w:val="single" w:color="auto" w:sz="4" w:space="0"/>
              <w:left w:val="nil"/>
              <w:bottom w:val="single" w:color="auto" w:sz="4" w:space="0"/>
              <w:right w:val="single" w:color="auto" w:sz="4" w:space="0"/>
            </w:tcBorders>
            <w:noWrap/>
            <w:vAlign w:val="center"/>
          </w:tcPr>
          <w:p>
            <w:pPr>
              <w:spacing w:line="360" w:lineRule="auto"/>
              <w:jc w:val="left"/>
              <w:rPr>
                <w:rFonts w:hint="eastAsia" w:ascii="宋体" w:hAnsi="宋体" w:eastAsia="宋体" w:cs="宋体"/>
                <w:sz w:val="24"/>
                <w:szCs w:val="24"/>
              </w:rPr>
            </w:pPr>
            <w:r>
              <w:rPr>
                <w:rFonts w:hint="eastAsia"/>
                <w:color w:val="auto"/>
              </w:rPr>
              <w:t>★</w:t>
            </w:r>
            <w:r>
              <w:rPr>
                <w:rFonts w:hint="eastAsia" w:ascii="宋体" w:hAnsi="宋体" w:eastAsia="宋体" w:cs="宋体"/>
                <w:b w:val="0"/>
                <w:bCs w:val="0"/>
                <w:kern w:val="0"/>
                <w:sz w:val="24"/>
                <w:szCs w:val="24"/>
              </w:rPr>
              <w:t>车用紧急启动控制装置：</w:t>
            </w:r>
            <w:r>
              <w:rPr>
                <w:rFonts w:hint="eastAsia" w:ascii="宋体" w:hAnsi="宋体" w:eastAsia="宋体" w:cs="宋体"/>
                <w:b w:val="0"/>
                <w:bCs w:val="0"/>
                <w:sz w:val="24"/>
                <w:szCs w:val="24"/>
              </w:rPr>
              <w:t>当主电瓶在低于12V无法正常启动时，按住紧急启动开关可以借助辅助电瓶令汽车迅速启动。（投标文件中需提供本部位的实物相片及原理图纸说明等证明文件，否则视为负偏离）</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72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4</w:t>
            </w:r>
            <w:r>
              <w:rPr>
                <w:rFonts w:hint="eastAsia" w:ascii="宋体" w:hAnsi="宋体" w:cs="宋体"/>
                <w:kern w:val="0"/>
                <w:sz w:val="24"/>
                <w:szCs w:val="24"/>
                <w:lang w:val="en-US" w:eastAsia="zh-CN"/>
              </w:rPr>
              <w:t>0</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智能充电控制装置：1确保主电瓶的正常充电；2自动断开避免发电机过载，延长发电机寿命；3辅助电瓶独立工作，避免偷耗主电瓶电能。</w:t>
            </w:r>
            <w:r>
              <w:rPr>
                <w:rFonts w:hint="eastAsia" w:ascii="宋体" w:hAnsi="宋体" w:eastAsia="宋体" w:cs="宋体"/>
                <w:sz w:val="24"/>
                <w:szCs w:val="24"/>
              </w:rPr>
              <w:t>（投标文件中需提供本部位的实物相片及原理图纸说明等证明文件，否则视为负偏离）</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499"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4</w:t>
            </w:r>
            <w:r>
              <w:rPr>
                <w:rFonts w:hint="eastAsia" w:ascii="宋体" w:hAnsi="宋体" w:cs="宋体"/>
                <w:kern w:val="0"/>
                <w:sz w:val="24"/>
                <w:szCs w:val="24"/>
                <w:lang w:val="en-US" w:eastAsia="zh-CN"/>
              </w:rPr>
              <w:t>1</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安装实用新型的</w:t>
            </w:r>
            <w:r>
              <w:rPr>
                <w:rFonts w:hint="eastAsia" w:ascii="宋体" w:hAnsi="宋体" w:eastAsia="宋体" w:cs="宋体"/>
                <w:color w:val="auto"/>
                <w:kern w:val="0"/>
                <w:sz w:val="24"/>
                <w:szCs w:val="24"/>
              </w:rPr>
              <w:t>一种</w:t>
            </w:r>
            <w:r>
              <w:rPr>
                <w:rFonts w:hint="eastAsia" w:ascii="宋体" w:hAnsi="宋体" w:eastAsia="宋体" w:cs="宋体"/>
                <w:kern w:val="0"/>
                <w:sz w:val="24"/>
                <w:szCs w:val="24"/>
              </w:rPr>
              <w:t>救护车车载电源装置</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正弦波逆变器逆变功能：</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容量：1kva</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输入电压：140v—280v</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输入频率：40-70hz</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逆变输出电压：220VAC±3%</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逆变输出频率：50HZ±2%</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直流电压：12V</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输出波形：纯正弦波</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失真度：≤3%</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转换时间：≤4ms自动转换</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充电电流：充电电流10amp</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CPU控制充电，智能充电</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过载保护：超载100—120%，25秒后自动锁机；超载120—200%，1秒后自动锁机；超过＞200%，4ms后自动锁机。</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浪涌功率：2kva</w:t>
            </w:r>
          </w:p>
          <w:p>
            <w:pPr>
              <w:widowControl/>
              <w:spacing w:line="360" w:lineRule="auto"/>
              <w:rPr>
                <w:rFonts w:hint="eastAsia" w:ascii="宋体" w:hAnsi="宋体" w:eastAsia="宋体" w:cs="宋体"/>
                <w:kern w:val="0"/>
                <w:sz w:val="24"/>
                <w:szCs w:val="24"/>
              </w:rPr>
            </w:pPr>
            <w:r>
              <w:rPr>
                <w:rFonts w:hint="eastAsia" w:ascii="宋体" w:hAnsi="宋体" w:eastAsia="宋体" w:cs="宋体"/>
                <w:color w:val="auto"/>
                <w:kern w:val="0"/>
                <w:sz w:val="24"/>
                <w:szCs w:val="24"/>
              </w:rPr>
              <w:t>符合标准：</w:t>
            </w:r>
            <w:r>
              <w:rPr>
                <w:rFonts w:hint="eastAsia" w:ascii="宋体" w:hAnsi="宋体" w:eastAsia="宋体" w:cs="宋体"/>
                <w:kern w:val="0"/>
                <w:sz w:val="24"/>
                <w:szCs w:val="24"/>
              </w:rPr>
              <w:t>欧盟电磁兼容标准 IEEE929/EN61000</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国家标准GB 2099.1-1996  AC220V接头</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德国标准DIN 40 050-9汽车电器装置保护</w:t>
            </w:r>
            <w:r>
              <w:rPr>
                <w:rFonts w:hint="eastAsia" w:ascii="宋体" w:hAnsi="宋体" w:eastAsia="宋体" w:cs="宋体"/>
                <w:sz w:val="24"/>
                <w:szCs w:val="24"/>
              </w:rPr>
              <w:t>（投标文件中需提供本部位的实物相片及原理图纸说明等证明文件，否则视为负偏离）</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4</w:t>
            </w:r>
            <w:r>
              <w:rPr>
                <w:rFonts w:hint="eastAsia" w:ascii="宋体" w:hAnsi="宋体" w:cs="宋体"/>
                <w:kern w:val="0"/>
                <w:sz w:val="24"/>
                <w:szCs w:val="24"/>
                <w:lang w:val="en-US" w:eastAsia="zh-CN"/>
              </w:rPr>
              <w:t>2</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交直流（220V、12V）电源插座组</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2组</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4</w:t>
            </w:r>
            <w:r>
              <w:rPr>
                <w:rFonts w:hint="eastAsia" w:ascii="宋体" w:hAnsi="宋体" w:cs="宋体"/>
                <w:kern w:val="0"/>
                <w:sz w:val="24"/>
                <w:szCs w:val="24"/>
                <w:lang w:val="en-US" w:eastAsia="zh-CN"/>
              </w:rPr>
              <w:t>3</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外接电源（220V/16A防水、带防护盖)，配15米移动电缆</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4</w:t>
            </w:r>
            <w:r>
              <w:rPr>
                <w:rFonts w:hint="eastAsia" w:ascii="宋体" w:hAnsi="宋体" w:cs="宋体"/>
                <w:kern w:val="0"/>
                <w:sz w:val="24"/>
                <w:szCs w:val="24"/>
                <w:lang w:val="en-US" w:eastAsia="zh-CN"/>
              </w:rPr>
              <w:t>4</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驾驶室和医疗舱各装一组控制面板，面板采用双回路电路触摸式按钮设计。</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医疗舱控制面板带液晶显示，面板可操作并显示：</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照明灯、220V交流电、换气系统、前后对讲系统、灭菌灯、手术灯、内射灯、空调、暖气。</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液晶屏能显示：时间、室内温度、室内湿度、主辅电瓶12V电压、交流220V电压等。</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驾驶室控制面板可操作对讲机、内射灯、照明灯。</w:t>
            </w:r>
            <w:r>
              <w:rPr>
                <w:rFonts w:hint="eastAsia" w:ascii="宋体" w:hAnsi="宋体" w:eastAsia="宋体" w:cs="宋体"/>
                <w:sz w:val="24"/>
                <w:szCs w:val="24"/>
              </w:rPr>
              <w:t>（投标文件中需提供本部位的实物相片及原理图纸说明等证明文件，否则视为负偏离）</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95"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4</w:t>
            </w:r>
            <w:r>
              <w:rPr>
                <w:rFonts w:hint="eastAsia" w:ascii="宋体" w:hAnsi="宋体" w:cs="宋体"/>
                <w:kern w:val="0"/>
                <w:sz w:val="24"/>
                <w:szCs w:val="24"/>
                <w:lang w:val="en-US" w:eastAsia="zh-CN"/>
              </w:rPr>
              <w:t>5</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汽车低压电线束：符合国家汽车行业标准QC/T 29106-2004</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r>
              <w:rPr>
                <w:rFonts w:hint="eastAsia" w:ascii="宋体" w:hAnsi="宋体" w:cs="宋体"/>
                <w:kern w:val="0"/>
                <w:sz w:val="24"/>
                <w:szCs w:val="24"/>
                <w:lang w:val="en-US" w:eastAsia="zh-CN"/>
              </w:rPr>
              <w:t>6</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电控箱：利于维护保养的模块集成设计，且</w:t>
            </w:r>
            <w:r>
              <w:rPr>
                <w:rFonts w:hint="eastAsia" w:ascii="宋体" w:hAnsi="宋体" w:eastAsia="宋体" w:cs="宋体"/>
                <w:kern w:val="0"/>
                <w:sz w:val="24"/>
                <w:szCs w:val="24"/>
                <w:lang w:val="zh-CN"/>
              </w:rPr>
              <w:t>在220V电源输出端装有漏电及短路保护器</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医疗舱配置</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r>
              <w:rPr>
                <w:rFonts w:hint="eastAsia" w:ascii="宋体" w:hAnsi="宋体" w:cs="宋体"/>
                <w:kern w:val="0"/>
                <w:sz w:val="24"/>
                <w:szCs w:val="24"/>
                <w:lang w:val="en-US" w:eastAsia="zh-CN"/>
              </w:rPr>
              <w:t>7</w:t>
            </w:r>
          </w:p>
        </w:tc>
        <w:tc>
          <w:tcPr>
            <w:tcW w:w="6360" w:type="dxa"/>
            <w:gridSpan w:val="2"/>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车载低温等离子杀菌器</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一：产品尺寸：</w:t>
            </w:r>
            <w:bookmarkStart w:id="31" w:name="_Hlk18706099"/>
            <w:r>
              <w:rPr>
                <w:rFonts w:hint="eastAsia" w:ascii="宋体" w:hAnsi="宋体" w:eastAsia="宋体" w:cs="宋体"/>
                <w:sz w:val="24"/>
                <w:szCs w:val="24"/>
              </w:rPr>
              <w:t>≤</w:t>
            </w:r>
            <w:bookmarkEnd w:id="31"/>
            <w:r>
              <w:rPr>
                <w:rFonts w:hint="eastAsia" w:ascii="宋体" w:hAnsi="宋体" w:eastAsia="宋体" w:cs="宋体"/>
                <w:sz w:val="24"/>
                <w:szCs w:val="24"/>
              </w:rPr>
              <w:t>260*150*73.5mm</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二：电压：220V </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三：功率：≤10W</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四：净化技术：</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4.1：低温等离子体杀菌净化技术，生成电子数相同的稳定等离子体（非单纯发生负离子，还具备等量的正离子，如氢离子等）利用等离子体内不同电子作用于细菌表面，导致细菌脱水死亡。</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4.2：要求产品为非过滤式净化技术，无耗材。</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4.3：实现方式：线-半开弧低温等离子净化模块， 采用合金电极与带纳米二氧化钛合金涂层的电介质，通过高电压在二者中间生成等离子场腔，发生等离子体。</w:t>
            </w:r>
          </w:p>
          <w:p>
            <w:pPr>
              <w:pStyle w:val="2"/>
              <w:rPr>
                <w:rFonts w:hint="eastAsia" w:eastAsia="宋体"/>
                <w:b w:val="0"/>
                <w:bCs w:val="0"/>
                <w:lang w:val="en-US" w:eastAsia="zh-CN"/>
              </w:rPr>
            </w:pPr>
            <w:r>
              <w:rPr>
                <w:rFonts w:hint="eastAsia"/>
                <w:color w:val="auto"/>
              </w:rPr>
              <w:t>★</w:t>
            </w:r>
            <w:r>
              <w:rPr>
                <w:rFonts w:hint="eastAsia" w:ascii="宋体" w:hAnsi="宋体" w:cs="宋体"/>
                <w:sz w:val="24"/>
                <w:szCs w:val="24"/>
                <w:lang w:val="en-US" w:eastAsia="zh-CN"/>
              </w:rPr>
              <w:t>4.4:</w:t>
            </w:r>
            <w:r>
              <w:rPr>
                <w:rFonts w:hint="eastAsia" w:ascii="宋体" w:hAnsi="宋体" w:cs="宋体"/>
                <w:b w:val="0"/>
                <w:bCs w:val="0"/>
                <w:sz w:val="24"/>
                <w:szCs w:val="24"/>
                <w:lang w:val="en-US" w:eastAsia="zh-CN"/>
              </w:rPr>
              <w:t>等离子净化模块释放电子密度：≥</w:t>
            </w:r>
            <w:r>
              <w:rPr>
                <w:rFonts w:hint="eastAsia" w:ascii="宋体" w:hAnsi="宋体" w:cs="宋体"/>
                <w:b w:val="0"/>
                <w:bCs w:val="0"/>
              </w:rPr>
              <w:t>2*10</w:t>
            </w:r>
            <w:r>
              <w:rPr>
                <w:rFonts w:hint="eastAsia" w:ascii="宋体" w:hAnsi="宋体" w:cs="宋体"/>
                <w:b w:val="0"/>
                <w:bCs w:val="0"/>
                <w:vertAlign w:val="superscript"/>
              </w:rPr>
              <w:t>17</w:t>
            </w:r>
            <w:r>
              <w:rPr>
                <w:rFonts w:hint="eastAsia" w:ascii="宋体" w:hAnsi="宋体" w:cs="宋体"/>
                <w:b w:val="0"/>
                <w:bCs w:val="0"/>
              </w:rPr>
              <w:t>-1.5*10</w:t>
            </w:r>
            <w:r>
              <w:rPr>
                <w:rFonts w:hint="eastAsia" w:ascii="宋体" w:hAnsi="宋体" w:cs="宋体"/>
                <w:b w:val="0"/>
                <w:bCs w:val="0"/>
                <w:vertAlign w:val="superscript"/>
              </w:rPr>
              <w:t>18</w:t>
            </w:r>
            <w:r>
              <w:rPr>
                <w:rFonts w:ascii="宋体" w:hAnsi="宋体" w:cs="宋体"/>
                <w:b w:val="0"/>
                <w:bCs w:val="0"/>
              </w:rPr>
              <w:t>/m</w:t>
            </w:r>
            <w:r>
              <w:rPr>
                <w:rFonts w:ascii="宋体" w:hAnsi="宋体" w:cs="宋体"/>
                <w:b w:val="0"/>
                <w:bCs w:val="0"/>
                <w:vertAlign w:val="superscript"/>
              </w:rPr>
              <w:t>3</w:t>
            </w:r>
            <w:r>
              <w:rPr>
                <w:rFonts w:hint="eastAsia" w:ascii="宋体" w:hAnsi="宋体" w:cs="宋体"/>
                <w:b w:val="0"/>
                <w:bCs w:val="0"/>
              </w:rPr>
              <w:t>。</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五：参考标准和方法：</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5.1：《消毒卫生标准2002版》</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5.2：《GB/T 18801-2015 空气净化器》</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5.3：《WS394-2012 公共场所集中空调通风系统卫生标准》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5.4：中国科学院等离子体物理研究所《电磁波干涉诊断等离子密度》测试方法</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六：产品性能指标：</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6.1：产品必须为真实有效的等离子发生装置，须出具电子密度释放报告。</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6.2：具备空气杀菌功能，参考《GB/T 18801-2015 空气净化器》测试，空气杀菌（白色葡萄球菌1H）效率≥99%</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6.3：具备空气中甲醛、氨气净化功能，参考《GB/T 18801-2015 空 气净化器》测试，氨气去除率（3H）≥55%，甲醛去除率（3H）≥85%。</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6.4：具备物体表面灭菌功能：参考《消毒卫生标准2002版》测试，对至于产品出风口1.5m的细菌培养皿，表面杀菌率（白色念珠菌3H）≥90%，30cm细菌培养皿面杀菌率（白色念珠菌3H）≥96%。</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6.5：必须符合《WS394-2012 公共场所集中空调通风系统卫生标准》中对产品出风口细菌总数、真菌总数、β-溶血性链球菌数量的要求。以上报告有国家标准，必须由有资质的第三方机构提供测试报告。</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6.6：具备空气主动循环功能，以完成密闭空间内多次、循环净化。</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七：噪音：≤55dB(A)</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八：风量：≥70m³/h</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九：风扇转速：≥2400RPM</w:t>
            </w:r>
          </w:p>
          <w:p>
            <w:pPr>
              <w:widowControl/>
              <w:spacing w:line="360" w:lineRule="auto"/>
              <w:rPr>
                <w:rFonts w:hint="eastAsia" w:ascii="宋体" w:hAnsi="宋体" w:eastAsia="宋体" w:cs="宋体"/>
                <w:kern w:val="0"/>
                <w:sz w:val="24"/>
                <w:szCs w:val="24"/>
              </w:rPr>
            </w:pPr>
            <w:r>
              <w:rPr>
                <w:rFonts w:hint="eastAsia" w:ascii="宋体" w:hAnsi="宋体" w:eastAsia="宋体" w:cs="宋体"/>
                <w:sz w:val="24"/>
                <w:szCs w:val="24"/>
              </w:rPr>
              <w:t>十：使用空间：≥15m³</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48</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医疗舱独立冷暖气系统</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49</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医疗舱双向换气系统（进出风）</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cs="宋体"/>
                <w:kern w:val="0"/>
                <w:sz w:val="24"/>
                <w:szCs w:val="24"/>
                <w:lang w:val="en-US" w:eastAsia="zh-CN"/>
              </w:rPr>
              <w:t>0</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医疗舱内壁加固防撞处理</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cs="宋体"/>
                <w:kern w:val="0"/>
                <w:sz w:val="24"/>
                <w:szCs w:val="24"/>
                <w:lang w:val="en-US" w:eastAsia="zh-CN"/>
              </w:rPr>
              <w:t>1</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侧门、后门上车头部防撞保护</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cs="宋体"/>
                <w:kern w:val="0"/>
                <w:sz w:val="24"/>
                <w:szCs w:val="24"/>
                <w:lang w:val="en-US" w:eastAsia="zh-CN"/>
              </w:rPr>
              <w:t>2</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医疗舱顶部安装黄色尼龙抗菌扶手</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1条</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cs="宋体"/>
                <w:kern w:val="0"/>
                <w:sz w:val="24"/>
                <w:szCs w:val="24"/>
                <w:lang w:val="en-US" w:eastAsia="zh-CN"/>
              </w:rPr>
              <w:t>3</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医疗舱顶部输液挂架</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cs="宋体"/>
                <w:kern w:val="0"/>
                <w:sz w:val="24"/>
                <w:szCs w:val="24"/>
                <w:lang w:val="en-US" w:eastAsia="zh-CN"/>
              </w:rPr>
              <w:t>4</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医疗舱保温隔热层</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cs="宋体"/>
                <w:kern w:val="0"/>
                <w:sz w:val="24"/>
                <w:szCs w:val="24"/>
                <w:lang w:val="en-US" w:eastAsia="zh-CN"/>
              </w:rPr>
              <w:t>5</w:t>
            </w:r>
          </w:p>
        </w:tc>
        <w:tc>
          <w:tcPr>
            <w:tcW w:w="6360"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驾驶室与医疗舱安装分隔墙：带可推拉窗户</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9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r>
              <w:rPr>
                <w:rFonts w:hint="eastAsia" w:ascii="宋体" w:hAnsi="宋体" w:cs="宋体"/>
                <w:kern w:val="0"/>
                <w:sz w:val="24"/>
                <w:szCs w:val="24"/>
                <w:lang w:val="en-US" w:eastAsia="zh-CN"/>
              </w:rPr>
              <w:t>6</w:t>
            </w:r>
          </w:p>
        </w:tc>
        <w:tc>
          <w:tcPr>
            <w:tcW w:w="6360" w:type="dxa"/>
            <w:gridSpan w:val="2"/>
            <w:tcBorders>
              <w:top w:val="single" w:color="auto" w:sz="4" w:space="0"/>
              <w:left w:val="nil"/>
              <w:bottom w:val="nil"/>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医疗舱所有内饰采用ABS板材一次性吸塑成型，具有表面硬度高、光洁、抗菌、易清洗、可消毒、抗老化等特点。</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r>
              <w:rPr>
                <w:rFonts w:hint="eastAsia" w:ascii="宋体" w:hAnsi="宋体" w:cs="宋体"/>
                <w:kern w:val="0"/>
                <w:sz w:val="24"/>
                <w:szCs w:val="24"/>
                <w:lang w:val="en-US" w:eastAsia="zh-CN"/>
              </w:rPr>
              <w:t>7</w:t>
            </w:r>
          </w:p>
        </w:tc>
        <w:tc>
          <w:tcPr>
            <w:tcW w:w="6360"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前部安装弧形组合柜,组合柜由5个抽屉、1个带弧形拉闸的储物格、1个带外翻门的储物格、1张可折叠的座椅组成。整套组合柜表面都是采用ABS板材一次性吸塑成型，具有表面硬度高、光洁、抗菌、易清洗、可消毒、抗老化等特点。</w:t>
            </w:r>
          </w:p>
        </w:tc>
        <w:tc>
          <w:tcPr>
            <w:tcW w:w="121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58</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左侧安装长条组合柜，组合柜由1个带卷帘门的储物格及密封（门板可拆）的储物格组成，组合柜集中安放医疗舱电路总成及相关配件，便于维修。整套组合柜表面都是采用ABS板材一次性吸塑成型，具有表面硬度高、光洁、抗菌、易清洗、可消毒、抗老化等特点。</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59</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上方左、右侧各安装一组吊柜,左边吊柜分4格，右边吊柜分2格，柜门采用弧形设计，容积更大，方便医护人员开启。吊柜表面都是采用ABS板材一次性吸塑成型，具有表面硬度高、光洁、抗菌、易清洗、可消毒、抗老化等特点。</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60</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医疗舱左后侧安装带卷帘门的氧气柜，氧气柜表面都是采用ABS板材一次性吸塑成型，具有表面硬度高、光洁、抗菌、易清洗、可消毒、抗老化等特点。</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94"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6</w:t>
            </w:r>
            <w:r>
              <w:rPr>
                <w:rFonts w:hint="eastAsia" w:ascii="宋体" w:hAnsi="宋体" w:cs="宋体"/>
                <w:kern w:val="0"/>
                <w:sz w:val="24"/>
                <w:szCs w:val="24"/>
                <w:lang w:val="en-US" w:eastAsia="zh-CN"/>
              </w:rPr>
              <w:t>1</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353" w:hanging="352" w:hangingChars="147"/>
              <w:jc w:val="left"/>
              <w:rPr>
                <w:rFonts w:hint="eastAsia" w:ascii="宋体" w:hAnsi="宋体" w:eastAsia="宋体" w:cs="宋体"/>
                <w:kern w:val="0"/>
                <w:sz w:val="24"/>
                <w:szCs w:val="24"/>
              </w:rPr>
            </w:pPr>
            <w:r>
              <w:rPr>
                <w:rFonts w:hint="eastAsia" w:ascii="宋体" w:hAnsi="宋体" w:eastAsia="宋体" w:cs="宋体"/>
                <w:kern w:val="0"/>
                <w:sz w:val="24"/>
                <w:szCs w:val="24"/>
              </w:rPr>
              <w:t>左右吊柜下方各安装一支扶手</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2条</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6</w:t>
            </w:r>
            <w:r>
              <w:rPr>
                <w:rFonts w:hint="eastAsia" w:ascii="宋体" w:hAnsi="宋体" w:cs="宋体"/>
                <w:kern w:val="0"/>
                <w:sz w:val="24"/>
                <w:szCs w:val="24"/>
                <w:lang w:val="en-US" w:eastAsia="zh-CN"/>
              </w:rPr>
              <w:t>2</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医疗舱左侧有可安装急救设备的支架。（可安装呼吸机，监护仪，输液泵等急救设备）</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6</w:t>
            </w:r>
            <w:r>
              <w:rPr>
                <w:rFonts w:hint="eastAsia" w:ascii="宋体" w:hAnsi="宋体" w:cs="宋体"/>
                <w:kern w:val="0"/>
                <w:sz w:val="24"/>
                <w:szCs w:val="24"/>
                <w:lang w:val="en-US" w:eastAsia="zh-CN"/>
              </w:rPr>
              <w:t>3</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医疗舱右侧安装旋转座椅，座椅可折叠，座椅靠背可调</w:t>
            </w:r>
            <w:r>
              <w:rPr>
                <w:rFonts w:hint="eastAsia" w:ascii="宋体" w:hAnsi="宋体" w:eastAsia="宋体" w:cs="宋体"/>
                <w:sz w:val="24"/>
                <w:szCs w:val="24"/>
              </w:rPr>
              <w:t>（投标文件中需提供本部位的实物相片及原理图纸说明等证明文件，否则视为负偏离）</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1张</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6</w:t>
            </w:r>
            <w:r>
              <w:rPr>
                <w:rFonts w:hint="eastAsia" w:ascii="宋体" w:hAnsi="宋体" w:cs="宋体"/>
                <w:kern w:val="0"/>
                <w:sz w:val="24"/>
                <w:szCs w:val="24"/>
                <w:lang w:val="en-US" w:eastAsia="zh-CN"/>
              </w:rPr>
              <w:t>4</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医疗舱右侧3人长排座椅：带舒适背、软座垫及配3套安全带</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1张</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6</w:t>
            </w:r>
            <w:r>
              <w:rPr>
                <w:rFonts w:hint="eastAsia" w:ascii="宋体" w:hAnsi="宋体" w:cs="宋体"/>
                <w:kern w:val="0"/>
                <w:sz w:val="24"/>
                <w:szCs w:val="24"/>
                <w:lang w:val="en-US" w:eastAsia="zh-CN"/>
              </w:rPr>
              <w:t>5</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医疗舱所有柜门安装抽屉锁：带自锁功能</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6</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10升氧气瓶</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2个</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7</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b/>
                <w:bCs/>
                <w:sz w:val="24"/>
                <w:szCs w:val="24"/>
              </w:rPr>
              <w:t>全自动气体切换车载系统</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本系统由减压阀，安全阀，高压压力传感器，电磁阀，可编程控制器PLC及人机界面HMI（触摸屏）一体机、低压压力传感器，管路及使用气体终端等组成。</w:t>
            </w:r>
          </w:p>
          <w:p>
            <w:pPr>
              <w:spacing w:line="360" w:lineRule="auto"/>
              <w:rPr>
                <w:rFonts w:hint="eastAsia" w:ascii="宋体" w:hAnsi="宋体" w:eastAsia="宋体" w:cs="宋体"/>
                <w:sz w:val="24"/>
                <w:szCs w:val="24"/>
              </w:rPr>
            </w:pPr>
            <w:r>
              <w:rPr>
                <w:rFonts w:hint="eastAsia" w:ascii="宋体" w:hAnsi="宋体" w:eastAsia="宋体" w:cs="宋体"/>
                <w:sz w:val="24"/>
                <w:szCs w:val="24"/>
              </w:rPr>
              <w:t>气体终端由吸氧用终端（1个）连接湿化器（1个），呼吸机用的终端（1个）连接呼吸机专用接头（1个）组成。</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sz w:val="24"/>
                <w:szCs w:val="24"/>
              </w:rPr>
              <w:t>通过触摸屏一体机程序编写实现左右侧气瓶自动切换、气源欠压报警功能，并通过触摸屏画面的编辑，</w:t>
            </w:r>
            <w:r>
              <w:rPr>
                <w:rFonts w:hint="eastAsia" w:ascii="宋体" w:hAnsi="宋体" w:cs="宋体"/>
                <w:b/>
                <w:bCs/>
                <w:kern w:val="0"/>
                <w:sz w:val="24"/>
                <w:szCs w:val="24"/>
                <w:lang w:eastAsia="zh-CN"/>
              </w:rPr>
              <w:t>☆</w:t>
            </w:r>
            <w:r>
              <w:rPr>
                <w:rFonts w:hint="eastAsia" w:ascii="宋体" w:hAnsi="宋体" w:eastAsia="宋体" w:cs="宋体"/>
                <w:b w:val="0"/>
                <w:bCs w:val="0"/>
                <w:sz w:val="24"/>
                <w:szCs w:val="24"/>
              </w:rPr>
              <w:t>可实时显示左右侧钢瓶压力，输出使用压力，动态工作流程图，并有报警历史记录，上下限参数设置，传感器量程选择，单位显示选择功能。（投标文件中需提供本部位的实物相片及原理图纸说明等证明文件，否则视为负偏离）</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68</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医疗舱层流负压装置</w:t>
            </w:r>
          </w:p>
          <w:p>
            <w:pPr>
              <w:widowControl/>
              <w:spacing w:line="360" w:lineRule="auto"/>
              <w:jc w:val="left"/>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b w:val="0"/>
                <w:bCs w:val="0"/>
                <w:kern w:val="0"/>
                <w:sz w:val="24"/>
                <w:szCs w:val="24"/>
              </w:rPr>
              <w:t>1）带层流功能内循环装置：</w:t>
            </w:r>
          </w:p>
          <w:p>
            <w:pPr>
              <w:widowControl/>
              <w:spacing w:line="360" w:lineRule="auto"/>
              <w:jc w:val="lef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通过装饰是医疗舱内形成上下两层相向而行的气流层，上层为通过过滤的洁净气流，下层为受污染气流。有效保护医护人员。</w:t>
            </w:r>
          </w:p>
          <w:p>
            <w:pPr>
              <w:widowControl/>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2）上下两级高效过滤网，过滤效率可达99.99%@3μm，大尺寸H13级过滤网进风口提高滤网使用寿命，加大进风量</w:t>
            </w:r>
            <w:r>
              <w:rPr>
                <w:rFonts w:hint="eastAsia" w:ascii="宋体" w:hAnsi="宋体" w:cs="宋体"/>
                <w:kern w:val="0"/>
                <w:sz w:val="24"/>
                <w:szCs w:val="24"/>
                <w:lang w:eastAsia="zh-CN"/>
              </w:rPr>
              <w:t>。</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3）医疗舱尾部安装两个负压发生装置：过滤效率：99.99%@3μm； </w:t>
            </w:r>
          </w:p>
          <w:p>
            <w:pPr>
              <w:widowControl/>
              <w:spacing w:line="360" w:lineRule="auto"/>
              <w:jc w:val="left"/>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b w:val="0"/>
                <w:bCs w:val="0"/>
                <w:kern w:val="0"/>
                <w:sz w:val="24"/>
                <w:szCs w:val="24"/>
              </w:rPr>
              <w:t>4）舱内最大负压值：-100Pa，需提供第三方负压检测报告</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5）负压值三挡可调；</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6）机械式压差表</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69</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pStyle w:val="2"/>
              <w:spacing w:before="124" w:line="242" w:lineRule="auto"/>
              <w:ind w:left="108" w:right="96"/>
              <w:rPr>
                <w:rFonts w:hint="eastAsia" w:ascii="宋体" w:hAnsi="宋体" w:eastAsia="宋体" w:cs="宋体"/>
                <w:spacing w:val="-1"/>
                <w:sz w:val="24"/>
                <w:szCs w:val="24"/>
              </w:rPr>
            </w:pPr>
            <w:r>
              <w:rPr>
                <w:rFonts w:hint="eastAsia" w:ascii="宋体" w:hAnsi="宋体" w:eastAsia="宋体" w:cs="宋体"/>
                <w:spacing w:val="-1"/>
                <w:sz w:val="24"/>
                <w:szCs w:val="24"/>
              </w:rPr>
              <w:t>车载急救配件</w:t>
            </w:r>
          </w:p>
          <w:p>
            <w:pPr>
              <w:pStyle w:val="2"/>
              <w:rPr>
                <w:rFonts w:hint="eastAsia" w:ascii="宋体" w:hAnsi="宋体" w:eastAsia="宋体" w:cs="宋体"/>
                <w:sz w:val="24"/>
                <w:szCs w:val="24"/>
              </w:rPr>
            </w:pPr>
            <w:r>
              <w:rPr>
                <w:rFonts w:hint="eastAsia" w:ascii="宋体" w:hAnsi="宋体" w:eastAsia="宋体" w:cs="宋体"/>
                <w:sz w:val="24"/>
                <w:szCs w:val="24"/>
              </w:rPr>
              <w:t>提供车载音视频监控系统，每车配置1个录像机(含2TB硬盘)、4个摄像头，车前1个、驾驶舱1个、医疗舱2个（一前一后对准患者）；</w:t>
            </w:r>
          </w:p>
          <w:p>
            <w:pPr>
              <w:pStyle w:val="2"/>
              <w:rPr>
                <w:rFonts w:hint="eastAsia" w:ascii="宋体" w:hAnsi="宋体" w:eastAsia="宋体" w:cs="宋体"/>
                <w:sz w:val="24"/>
                <w:szCs w:val="24"/>
              </w:rPr>
            </w:pPr>
            <w:r>
              <w:rPr>
                <w:rFonts w:hint="eastAsia" w:ascii="宋体" w:hAnsi="宋体" w:eastAsia="宋体" w:cs="宋体"/>
                <w:sz w:val="24"/>
                <w:szCs w:val="24"/>
              </w:rPr>
              <w:t>每车配置电子病历平板1个，10“以上，国产高质量平板，带原厂皮套与原厂手写笔，4G全网通，≥64G以上存储，≥4G内存，电池工作时间≥8小时；</w:t>
            </w:r>
          </w:p>
          <w:p>
            <w:pPr>
              <w:pStyle w:val="3"/>
              <w:ind w:firstLine="0"/>
              <w:rPr>
                <w:rFonts w:hint="eastAsia" w:ascii="宋体" w:hAnsi="宋体" w:eastAsia="宋体" w:cs="宋体"/>
                <w:sz w:val="24"/>
                <w:szCs w:val="24"/>
              </w:rPr>
            </w:pPr>
            <w:r>
              <w:rPr>
                <w:rFonts w:hint="eastAsia" w:ascii="宋体" w:hAnsi="宋体" w:eastAsia="宋体" w:cs="宋体"/>
                <w:sz w:val="24"/>
                <w:szCs w:val="24"/>
              </w:rPr>
              <w:t>每车配置车载GPS终端一个，国产三防平板，≥7“屏幕，配置颈带式蓝牙耳机，≥32G存储，≥3G内存，含支架；</w:t>
            </w:r>
          </w:p>
          <w:p>
            <w:pPr>
              <w:pStyle w:val="4"/>
              <w:ind w:left="0"/>
              <w:rPr>
                <w:rFonts w:hint="eastAsia" w:ascii="宋体" w:hAnsi="宋体" w:eastAsia="宋体" w:cs="宋体"/>
                <w:sz w:val="24"/>
                <w:szCs w:val="24"/>
              </w:rPr>
            </w:pPr>
            <w:r>
              <w:rPr>
                <w:rFonts w:hint="eastAsia" w:ascii="宋体" w:hAnsi="宋体" w:eastAsia="宋体" w:cs="宋体"/>
                <w:sz w:val="24"/>
                <w:szCs w:val="24"/>
              </w:rPr>
              <w:t>每车配置</w:t>
            </w:r>
            <w:r>
              <w:rPr>
                <w:rFonts w:hint="eastAsia" w:ascii="宋体" w:hAnsi="宋体" w:eastAsia="宋体" w:cs="宋体"/>
                <w:color w:val="auto"/>
                <w:sz w:val="24"/>
                <w:szCs w:val="24"/>
              </w:rPr>
              <w:t>执法记录仪</w:t>
            </w:r>
            <w:r>
              <w:rPr>
                <w:rFonts w:hint="eastAsia" w:ascii="宋体" w:hAnsi="宋体" w:eastAsia="宋体" w:cs="宋体"/>
                <w:sz w:val="24"/>
                <w:szCs w:val="24"/>
              </w:rPr>
              <w:t>1个，4G全网通；</w:t>
            </w:r>
          </w:p>
          <w:p>
            <w:pPr>
              <w:rPr>
                <w:rFonts w:hint="eastAsia" w:ascii="宋体" w:hAnsi="宋体" w:eastAsia="宋体" w:cs="宋体"/>
                <w:sz w:val="24"/>
                <w:szCs w:val="24"/>
              </w:rPr>
            </w:pPr>
            <w:r>
              <w:rPr>
                <w:rFonts w:hint="eastAsia" w:ascii="宋体" w:hAnsi="宋体" w:eastAsia="宋体" w:cs="宋体"/>
                <w:sz w:val="24"/>
                <w:szCs w:val="24"/>
                <w:lang w:eastAsia="zh-CN"/>
              </w:rPr>
              <w:t>（要求所投产品与中心现有海康平台有效对接，实现音视频传送）</w:t>
            </w:r>
            <w:r>
              <w:rPr>
                <w:rFonts w:hint="eastAsia" w:ascii="宋体" w:hAnsi="宋体" w:eastAsia="宋体" w:cs="宋体"/>
                <w:sz w:val="24"/>
                <w:szCs w:val="24"/>
              </w:rPr>
              <w:t>。</w:t>
            </w:r>
          </w:p>
          <w:p>
            <w:pPr>
              <w:pStyle w:val="3"/>
              <w:ind w:firstLine="0"/>
              <w:rPr>
                <w:rFonts w:hint="eastAsia" w:ascii="宋体" w:hAnsi="宋体" w:eastAsia="宋体" w:cs="宋体"/>
                <w:sz w:val="24"/>
                <w:szCs w:val="24"/>
              </w:rPr>
            </w:pPr>
            <w:r>
              <w:rPr>
                <w:rFonts w:hint="eastAsia" w:ascii="宋体" w:hAnsi="宋体" w:eastAsia="宋体" w:cs="宋体"/>
                <w:sz w:val="24"/>
                <w:szCs w:val="24"/>
              </w:rPr>
              <w:t>每车的医疗舱与5G医疗专用网关之间2个千兆网线互联，并使用X86面板固定在医疗器械操作台附近；</w:t>
            </w:r>
          </w:p>
          <w:p>
            <w:pPr>
              <w:pStyle w:val="3"/>
              <w:ind w:firstLine="0"/>
              <w:rPr>
                <w:rFonts w:hint="eastAsia" w:ascii="宋体" w:hAnsi="宋体" w:eastAsia="宋体" w:cs="宋体"/>
                <w:sz w:val="24"/>
                <w:szCs w:val="24"/>
              </w:rPr>
            </w:pPr>
            <w:r>
              <w:rPr>
                <w:rFonts w:hint="eastAsia" w:ascii="宋体" w:hAnsi="宋体" w:eastAsia="宋体" w:cs="宋体"/>
                <w:sz w:val="24"/>
                <w:szCs w:val="24"/>
              </w:rPr>
              <w:t>每车驾驶舱工作台提供2路5V2A的USB常通电接口（拔钥匙后仍通电），1路12V常通电点烟器接口。</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7</w:t>
            </w:r>
            <w:r>
              <w:rPr>
                <w:rFonts w:hint="eastAsia" w:ascii="宋体" w:hAnsi="宋体" w:cs="宋体"/>
                <w:kern w:val="0"/>
                <w:sz w:val="24"/>
                <w:szCs w:val="24"/>
                <w:lang w:val="en-US" w:eastAsia="zh-CN"/>
              </w:rPr>
              <w:t>0</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pStyle w:val="2"/>
              <w:rPr>
                <w:rFonts w:hint="eastAsia" w:ascii="宋体" w:hAnsi="宋体" w:eastAsia="宋体" w:cs="宋体"/>
                <w:sz w:val="24"/>
                <w:szCs w:val="24"/>
              </w:rPr>
            </w:pPr>
            <w:r>
              <w:rPr>
                <w:rFonts w:hint="eastAsia" w:ascii="宋体" w:hAnsi="宋体" w:eastAsia="宋体" w:cs="宋体"/>
                <w:sz w:val="24"/>
                <w:szCs w:val="24"/>
              </w:rPr>
              <w:t>救护车为交钥匙采购要求，救护车报价须包括保险、购置税与上牌等费用，采购方拿钥匙即用，不再支付任何其他费用。</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其他医疗相关设备</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一、5G医疗专用网关基本功能要求</w:t>
            </w:r>
          </w:p>
          <w:p>
            <w:pPr>
              <w:widowControl/>
              <w:spacing w:line="360" w:lineRule="auto"/>
              <w:jc w:val="left"/>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b w:val="0"/>
                <w:bCs w:val="0"/>
                <w:kern w:val="0"/>
                <w:sz w:val="24"/>
                <w:szCs w:val="24"/>
              </w:rPr>
              <w:t>（1）医疗设备数据展示功能：网关内部集成了包括5G通信模组、数据采集模组、数据处理模组等功能模组，内置多种数据传输接口，支持RS232、RJ45、WIFI等设备接入方式，可对多品牌终端的除颤监护仪、呼吸机、心电图机、血气分析仪、便携式超声等终端设备，实现动态数据获取与信息展示，方便急救车随车医生对患者的及时了解，并通过5G/4G网络实现数据与院前急救平台的实时通信，在断网情况下，可以将数据缓存在本地，等网络状态恢复后实现数据的断网续传，满足医院对于患者急救过程中监护信息的安全性管理要求。</w:t>
            </w:r>
          </w:p>
          <w:p>
            <w:pPr>
              <w:widowControl/>
              <w:spacing w:line="360" w:lineRule="auto"/>
              <w:jc w:val="left"/>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b w:val="0"/>
                <w:bCs w:val="0"/>
                <w:kern w:val="0"/>
                <w:sz w:val="24"/>
                <w:szCs w:val="24"/>
              </w:rPr>
              <w:t>（2）急救车联网：内置车辆信息监控模组，可以实时监控急救车辆运行状态，包括胎压、车辆氧气、车内环境（温度、湿度、二氧化碳浓度）、汽车电瓶直流/交流、车内氧气瓶剩余氧气含量等。</w:t>
            </w:r>
          </w:p>
          <w:p>
            <w:pPr>
              <w:widowControl/>
              <w:spacing w:line="360" w:lineRule="auto"/>
              <w:jc w:val="left"/>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b w:val="0"/>
                <w:bCs w:val="0"/>
                <w:kern w:val="0"/>
                <w:sz w:val="24"/>
                <w:szCs w:val="24"/>
              </w:rPr>
              <w:t>（3）患者身份识别：5G医疗专用网关内置身份证、医保卡刷卡模块，可以实现患者上车即刷卡识别身份。</w:t>
            </w:r>
          </w:p>
          <w:p>
            <w:pPr>
              <w:widowControl/>
              <w:spacing w:line="360" w:lineRule="auto"/>
              <w:jc w:val="left"/>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b w:val="0"/>
                <w:bCs w:val="0"/>
                <w:kern w:val="0"/>
                <w:sz w:val="24"/>
                <w:szCs w:val="24"/>
              </w:rPr>
              <w:t>（4）需提供设备及内部采集数据的调用接口与协议，实现与台州市院前急救信息系统的业务对接。</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二、5G医疗专用网关硬件参数</w:t>
            </w:r>
          </w:p>
          <w:p>
            <w:pPr>
              <w:widowControl/>
              <w:spacing w:line="360" w:lineRule="auto"/>
              <w:jc w:val="left"/>
              <w:rPr>
                <w:rFonts w:hint="eastAsia" w:ascii="宋体" w:hAnsi="宋体" w:eastAsia="宋体" w:cs="宋体"/>
                <w:kern w:val="0"/>
                <w:sz w:val="24"/>
                <w:szCs w:val="24"/>
              </w:rPr>
            </w:pPr>
            <w:bookmarkStart w:id="32" w:name="_Toc41310074"/>
            <w:r>
              <w:rPr>
                <w:rFonts w:hint="eastAsia" w:ascii="宋体" w:hAnsi="宋体" w:eastAsia="宋体" w:cs="宋体"/>
                <w:kern w:val="0"/>
                <w:sz w:val="24"/>
                <w:szCs w:val="24"/>
              </w:rPr>
              <w:t>（</w:t>
            </w:r>
            <w:r>
              <w:rPr>
                <w:rFonts w:hint="eastAsia" w:ascii="宋体" w:hAnsi="宋体" w:cs="宋体"/>
                <w:kern w:val="0"/>
                <w:sz w:val="24"/>
                <w:szCs w:val="24"/>
                <w:lang w:eastAsia="zh-CN"/>
              </w:rPr>
              <w:t>一</w:t>
            </w:r>
            <w:r>
              <w:rPr>
                <w:rFonts w:hint="eastAsia" w:ascii="宋体" w:hAnsi="宋体" w:eastAsia="宋体" w:cs="宋体"/>
                <w:kern w:val="0"/>
                <w:sz w:val="24"/>
                <w:szCs w:val="24"/>
              </w:rPr>
              <w:t>）主机参数</w:t>
            </w:r>
            <w:bookmarkEnd w:id="32"/>
            <w:r>
              <w:rPr>
                <w:rFonts w:hint="eastAsia" w:ascii="宋体" w:hAnsi="宋体" w:eastAsia="宋体" w:cs="宋体"/>
                <w:kern w:val="0"/>
                <w:sz w:val="24"/>
                <w:szCs w:val="24"/>
              </w:rPr>
              <w:t>：系统硬件参数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1、系统</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（1）CPU：6核以上，主频≥1.8GHZ</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（2）GPU：独立硬件GPU</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（3）内存：≥4G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（4）内置存储器：EMMC≥32G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（5）操作系统：Android 7及以上</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（6）RTC实时时钟：支持</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2、网络</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（1）标准及频段：5G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（2）网络模式：支持5G+4G双模全网通网络，支持3G/4G/5G 制式切换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（3）双网在线：支持4G/5G多网同时在线、支持双卡热备，自动双卡流量分配比例，同时支持两家运营商同时在网，当一家运营商网络中断时不影响网络使用。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（4）SIM卡：2个SIM卡槽</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3、WIFI</w:t>
            </w:r>
          </w:p>
          <w:p>
            <w:pPr>
              <w:widowControl/>
              <w:spacing w:line="360" w:lineRule="auto"/>
              <w:jc w:val="left"/>
              <w:rPr>
                <w:rFonts w:hint="eastAsia" w:ascii="宋体" w:hAnsi="宋体" w:cs="宋体"/>
                <w:kern w:val="0"/>
                <w:sz w:val="24"/>
                <w:szCs w:val="24"/>
                <w:lang w:val="en-US" w:eastAsia="zh-CN"/>
              </w:rPr>
            </w:pPr>
            <w:r>
              <w:rPr>
                <w:rFonts w:hint="eastAsia" w:ascii="宋体" w:hAnsi="宋体" w:eastAsia="宋体" w:cs="宋体"/>
                <w:kern w:val="0"/>
                <w:sz w:val="24"/>
                <w:szCs w:val="24"/>
              </w:rPr>
              <w:t>（1）标准及频段：2.4G</w:t>
            </w:r>
            <w:r>
              <w:rPr>
                <w:rFonts w:hint="eastAsia" w:ascii="宋体" w:hAnsi="宋体" w:cs="宋体"/>
                <w:kern w:val="0"/>
                <w:sz w:val="24"/>
                <w:szCs w:val="24"/>
                <w:lang w:val="en-US" w:eastAsia="zh-CN"/>
              </w:rPr>
              <w:t>+5G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（2）安全加密：支持 WEP、WPA、WPA2 等多种加密方式，可选 WPS 功能</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4、显示屏</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（1）面板类型：IPS</w:t>
            </w:r>
          </w:p>
          <w:p>
            <w:pPr>
              <w:widowControl/>
              <w:spacing w:line="360" w:lineRule="auto"/>
              <w:jc w:val="left"/>
              <w:rPr>
                <w:rFonts w:hint="eastAsia" w:ascii="宋体" w:hAnsi="宋体" w:cs="宋体"/>
                <w:color w:val="auto"/>
                <w:kern w:val="0"/>
                <w:sz w:val="24"/>
                <w:szCs w:val="24"/>
                <w:lang w:val="en-US" w:eastAsia="zh-CN"/>
              </w:rPr>
            </w:pPr>
            <w:r>
              <w:rPr>
                <w:rFonts w:hint="eastAsia" w:ascii="宋体" w:hAnsi="宋体" w:eastAsia="宋体" w:cs="宋体"/>
                <w:kern w:val="0"/>
                <w:sz w:val="24"/>
                <w:szCs w:val="24"/>
              </w:rPr>
              <w:t>（2）显示尺寸：≥</w:t>
            </w:r>
            <w:r>
              <w:rPr>
                <w:rFonts w:hint="eastAsia" w:ascii="宋体" w:hAnsi="宋体" w:cs="宋体"/>
                <w:color w:val="auto"/>
                <w:kern w:val="0"/>
                <w:sz w:val="24"/>
                <w:szCs w:val="24"/>
                <w:lang w:val="en-US" w:eastAsia="zh-CN"/>
              </w:rPr>
              <w:t>10寸</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（3）分辨率：1920×1080</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4</w:t>
            </w:r>
            <w:r>
              <w:rPr>
                <w:rFonts w:hint="eastAsia" w:ascii="宋体" w:hAnsi="宋体" w:eastAsia="宋体" w:cs="宋体"/>
                <w:kern w:val="0"/>
                <w:sz w:val="24"/>
                <w:szCs w:val="24"/>
              </w:rPr>
              <w:t xml:space="preserve">）亮度：250 cd/M2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5</w:t>
            </w:r>
            <w:r>
              <w:rPr>
                <w:rFonts w:hint="eastAsia" w:ascii="宋体" w:hAnsi="宋体" w:eastAsia="宋体" w:cs="宋体"/>
                <w:kern w:val="0"/>
                <w:sz w:val="24"/>
                <w:szCs w:val="24"/>
              </w:rPr>
              <w:t xml:space="preserve">）对比度：8000:1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6</w:t>
            </w:r>
            <w:r>
              <w:rPr>
                <w:rFonts w:hint="eastAsia" w:ascii="宋体" w:hAnsi="宋体" w:eastAsia="宋体" w:cs="宋体"/>
                <w:kern w:val="0"/>
                <w:sz w:val="24"/>
                <w:szCs w:val="24"/>
              </w:rPr>
              <w:t xml:space="preserve">）可视角度：85/85/85/85（Type）(CR≥10)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7</w:t>
            </w:r>
            <w:r>
              <w:rPr>
                <w:rFonts w:hint="eastAsia" w:ascii="宋体" w:hAnsi="宋体" w:eastAsia="宋体" w:cs="宋体"/>
                <w:kern w:val="0"/>
                <w:sz w:val="24"/>
                <w:szCs w:val="24"/>
              </w:rPr>
              <w:t>）多点触控：10指触控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8</w:t>
            </w:r>
            <w:r>
              <w:rPr>
                <w:rFonts w:hint="eastAsia" w:ascii="宋体" w:hAnsi="宋体" w:eastAsia="宋体" w:cs="宋体"/>
                <w:kern w:val="0"/>
                <w:sz w:val="24"/>
                <w:szCs w:val="24"/>
              </w:rPr>
              <w:t xml:space="preserve">）触摸屏类型：电容屏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5、摄像机</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1</w:t>
            </w:r>
            <w:r>
              <w:rPr>
                <w:rFonts w:hint="eastAsia" w:ascii="宋体" w:hAnsi="宋体" w:eastAsia="宋体" w:cs="宋体"/>
                <w:kern w:val="0"/>
                <w:sz w:val="24"/>
                <w:szCs w:val="24"/>
              </w:rPr>
              <w:t xml:space="preserve">）有效像素：1920(h)*1080(v)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2</w:t>
            </w:r>
            <w:r>
              <w:rPr>
                <w:rFonts w:hint="eastAsia" w:ascii="宋体" w:hAnsi="宋体" w:eastAsia="宋体" w:cs="宋体"/>
                <w:kern w:val="0"/>
                <w:sz w:val="24"/>
                <w:szCs w:val="24"/>
              </w:rPr>
              <w:t>）拍摄速度：&lt;0.1S</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3</w:t>
            </w:r>
            <w:r>
              <w:rPr>
                <w:rFonts w:hint="eastAsia" w:ascii="宋体" w:hAnsi="宋体" w:eastAsia="宋体" w:cs="宋体"/>
                <w:kern w:val="0"/>
                <w:sz w:val="24"/>
                <w:szCs w:val="24"/>
              </w:rPr>
              <w:t>）对焦模式：定焦</w:t>
            </w:r>
          </w:p>
          <w:p>
            <w:pPr>
              <w:widowControl/>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6、二维码扫描</w:t>
            </w:r>
            <w:r>
              <w:rPr>
                <w:rFonts w:hint="eastAsia" w:ascii="宋体" w:hAnsi="宋体" w:cs="宋体"/>
                <w:kern w:val="0"/>
                <w:sz w:val="24"/>
                <w:szCs w:val="24"/>
                <w:lang w:eastAsia="zh-CN"/>
              </w:rPr>
              <w:t>功能</w:t>
            </w:r>
          </w:p>
          <w:p>
            <w:pPr>
              <w:widowControl/>
              <w:spacing w:line="360" w:lineRule="auto"/>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7、证卡识别</w:t>
            </w:r>
          </w:p>
          <w:p>
            <w:pPr>
              <w:widowControl/>
              <w:spacing w:line="360" w:lineRule="auto"/>
              <w:jc w:val="left"/>
              <w:rPr>
                <w:rFonts w:hint="eastAsia" w:ascii="宋体" w:hAnsi="宋体" w:eastAsia="宋体" w:cs="宋体"/>
                <w:kern w:val="0"/>
                <w:sz w:val="24"/>
                <w:szCs w:val="24"/>
              </w:rPr>
            </w:pPr>
            <w:r>
              <w:rPr>
                <w:rFonts w:hint="eastAsia"/>
                <w:color w:val="auto"/>
              </w:rPr>
              <w:t>★</w:t>
            </w:r>
            <w:r>
              <w:rPr>
                <w:rFonts w:hint="eastAsia" w:ascii="宋体" w:hAnsi="宋体" w:eastAsia="宋体" w:cs="宋体"/>
                <w:b w:val="0"/>
                <w:bCs w:val="0"/>
                <w:color w:val="auto"/>
                <w:kern w:val="0"/>
                <w:sz w:val="24"/>
                <w:szCs w:val="24"/>
              </w:rPr>
              <w:t>（1）证卡类型：支持大陆身份证、港澳台居住证、外国人永久居留身份证、医保卡、就诊卡、IC卡</w:t>
            </w:r>
            <w:r>
              <w:rPr>
                <w:rFonts w:hint="eastAsia" w:ascii="宋体" w:hAnsi="宋体" w:cs="宋体"/>
                <w:b w:val="0"/>
                <w:bCs w:val="0"/>
                <w:color w:val="auto"/>
                <w:kern w:val="0"/>
                <w:sz w:val="24"/>
                <w:szCs w:val="24"/>
                <w:lang w:val="en-US" w:eastAsia="zh-CN"/>
              </w:rPr>
              <w:t>等</w:t>
            </w:r>
            <w:r>
              <w:rPr>
                <w:rFonts w:hint="eastAsia" w:ascii="宋体" w:hAnsi="宋体" w:eastAsia="宋体" w:cs="宋体"/>
                <w:b w:val="0"/>
                <w:bCs w:val="0"/>
                <w:kern w:val="0"/>
                <w:sz w:val="24"/>
                <w:szCs w:val="24"/>
              </w:rPr>
              <w:t xml:space="preserve">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（2）非接触式读卡模块：支持标准：ISO/IEC 14443 A/B 标准，支持 ISO15693 协议卡； 卡片类别：Mifare One、非接触式 A、B 类卡；支持速率：106～424Kbps；</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（3）接触式读卡模块：支持标准：ISO/IEC 7816 1/2/3 标准；卡片类别：接触式 CPU 卡、逻辑加密卡 4442/4428、Memory 卡等； 支持速率：9600 ～307200bps；卡拔插寿命：大于 100000 次；卡片类别：接触式 CPU 卡、逻辑加密卡 4442/4428、Memory 卡等；支持速率：9600 ～307200bps；卡拔插寿命：大于100000次；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（4）读卡器天线：天线表面磁场强度（Hmax）≤7.5A/m rms；天线表面法线方向 2.5cm；处电磁场强度（Hmin）≥1.5A/m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（5）阅读距离：身份证：0—5cm 无盲区；非接卡：0—5cm 无盲区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（6）读卡速度&lt;1S</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8工作环境</w:t>
            </w:r>
          </w:p>
          <w:p>
            <w:pPr>
              <w:pStyle w:val="3"/>
              <w:numPr>
                <w:ilvl w:val="0"/>
                <w:numId w:val="0"/>
              </w:numP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en-US" w:eastAsia="zh-CN" w:bidi="ar-SA"/>
              </w:rPr>
              <w:t>工作温度：-20~85℃</w:t>
            </w:r>
          </w:p>
          <w:p>
            <w:pPr>
              <w:pStyle w:val="4"/>
              <w:numPr>
                <w:ilvl w:val="0"/>
                <w:numId w:val="0"/>
              </w:numP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（2）工作湿度：5%~95%（无凝露）</w:t>
            </w:r>
          </w:p>
          <w:p>
            <w:pPr>
              <w:widowControl/>
              <w:spacing w:line="360" w:lineRule="auto"/>
              <w:jc w:val="left"/>
              <w:rPr>
                <w:rFonts w:hint="eastAsia" w:ascii="宋体" w:hAnsi="宋体" w:eastAsia="宋体" w:cs="宋体"/>
                <w:kern w:val="0"/>
                <w:sz w:val="24"/>
                <w:szCs w:val="24"/>
              </w:rPr>
            </w:pPr>
            <w:r>
              <w:rPr>
                <w:rFonts w:hint="eastAsia" w:ascii="宋体" w:hAnsi="宋体" w:cs="宋体"/>
                <w:kern w:val="0"/>
                <w:sz w:val="24"/>
                <w:szCs w:val="24"/>
                <w:lang w:val="en-US" w:eastAsia="zh-CN"/>
              </w:rPr>
              <w:t>9</w:t>
            </w:r>
            <w:r>
              <w:rPr>
                <w:rFonts w:hint="eastAsia" w:ascii="宋体" w:hAnsi="宋体" w:eastAsia="宋体" w:cs="宋体"/>
                <w:kern w:val="0"/>
                <w:sz w:val="24"/>
                <w:szCs w:val="24"/>
              </w:rPr>
              <w:t>电源要求：输入供电：DC12V/5A</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（二）外部接口</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1、电源：12V输入口，航空接口</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2、USB：USB 3.0≥1</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3、串口：RFS232≥1</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4、网络天线：4G天线*≥2 ；5G天线*≥4</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5、WIFI天线：WIFI天线*2 </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6、以太网：≥4个100M/1000M 自适应以太网口</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3套</w:t>
            </w:r>
          </w:p>
        </w:tc>
      </w:tr>
      <w:tr>
        <w:tblPrEx>
          <w:tblLayout w:type="fixed"/>
          <w:tblCellMar>
            <w:top w:w="0" w:type="dxa"/>
            <w:left w:w="108" w:type="dxa"/>
            <w:bottom w:w="0" w:type="dxa"/>
            <w:right w:w="108" w:type="dxa"/>
          </w:tblCellMar>
        </w:tblPrEx>
        <w:trPr>
          <w:trHeight w:val="360" w:hRule="atLeast"/>
          <w:jc w:val="center"/>
        </w:trPr>
        <w:tc>
          <w:tcPr>
            <w:tcW w:w="875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1928" w:firstLineChars="800"/>
              <w:rPr>
                <w:rFonts w:hint="eastAsia" w:ascii="宋体" w:hAnsi="宋体" w:eastAsia="宋体" w:cs="宋体"/>
                <w:kern w:val="0"/>
                <w:sz w:val="24"/>
                <w:szCs w:val="24"/>
              </w:rPr>
            </w:pPr>
            <w:r>
              <w:rPr>
                <w:rFonts w:hint="eastAsia" w:ascii="宋体" w:hAnsi="宋体" w:eastAsia="宋体" w:cs="宋体"/>
                <w:b/>
                <w:bCs/>
                <w:kern w:val="0"/>
                <w:sz w:val="24"/>
                <w:szCs w:val="24"/>
              </w:rPr>
              <w:t>二、救护车急救设备参数要求</w:t>
            </w:r>
          </w:p>
        </w:tc>
      </w:tr>
      <w:tr>
        <w:tblPrEx>
          <w:tblLayout w:type="fixed"/>
          <w:tblCellMar>
            <w:top w:w="0" w:type="dxa"/>
            <w:left w:w="108" w:type="dxa"/>
            <w:bottom w:w="0" w:type="dxa"/>
            <w:right w:w="108" w:type="dxa"/>
          </w:tblCellMar>
        </w:tblPrEx>
        <w:trPr>
          <w:trHeight w:val="468" w:hRule="atLeast"/>
          <w:jc w:val="center"/>
        </w:trPr>
        <w:tc>
          <w:tcPr>
            <w:tcW w:w="118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除颤监护心电一体机</w:t>
            </w:r>
          </w:p>
        </w:tc>
        <w:tc>
          <w:tcPr>
            <w:tcW w:w="121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p>
            <w:pPr>
              <w:widowControl/>
              <w:spacing w:line="360" w:lineRule="auto"/>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18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b w:val="0"/>
                <w:bCs w:val="0"/>
                <w:sz w:val="24"/>
                <w:szCs w:val="24"/>
              </w:rPr>
            </w:pPr>
            <w:r>
              <w:rPr>
                <w:rFonts w:hint="eastAsia"/>
                <w:color w:val="auto"/>
              </w:rPr>
              <w:t>★</w:t>
            </w:r>
            <w:r>
              <w:rPr>
                <w:rFonts w:hint="eastAsia" w:ascii="宋体" w:hAnsi="宋体" w:eastAsia="宋体" w:cs="宋体"/>
                <w:b w:val="0"/>
                <w:bCs w:val="0"/>
                <w:sz w:val="24"/>
                <w:szCs w:val="24"/>
              </w:rPr>
              <w:t>1.具备手动除颤、心电监护、呼吸监护、血氧饱和度、无创血压，CPR反馈。</w:t>
            </w:r>
          </w:p>
          <w:p>
            <w:pPr>
              <w:spacing w:line="360" w:lineRule="auto"/>
              <w:rPr>
                <w:rFonts w:hint="eastAsia" w:ascii="宋体" w:hAnsi="宋体" w:eastAsia="宋体" w:cs="宋体"/>
                <w:sz w:val="24"/>
                <w:szCs w:val="24"/>
              </w:rPr>
            </w:pPr>
            <w:r>
              <w:rPr>
                <w:rFonts w:hint="eastAsia" w:ascii="宋体" w:hAnsi="宋体" w:eastAsia="宋体" w:cs="宋体"/>
                <w:sz w:val="24"/>
                <w:szCs w:val="24"/>
              </w:rPr>
              <w:t>2.整机重量不超过7Kg</w:t>
            </w:r>
          </w:p>
          <w:p>
            <w:pPr>
              <w:spacing w:line="360" w:lineRule="auto"/>
              <w:rPr>
                <w:rFonts w:hint="eastAsia" w:ascii="宋体" w:hAnsi="宋体" w:eastAsia="宋体" w:cs="宋体"/>
                <w:sz w:val="24"/>
                <w:szCs w:val="24"/>
              </w:rPr>
            </w:pPr>
            <w:r>
              <w:rPr>
                <w:rFonts w:hint="eastAsia" w:ascii="宋体" w:hAnsi="宋体" w:eastAsia="宋体" w:cs="宋体"/>
                <w:sz w:val="24"/>
                <w:szCs w:val="24"/>
              </w:rPr>
              <w:t>3.除颤采用双相波技术，具备自动阻抗补偿功能。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4.手动除颤分为同步和非同步两种方式，能量分20档以上，最大选择能量360J,可通过体外电极板进行能量选择。</w:t>
            </w:r>
          </w:p>
          <w:p>
            <w:pPr>
              <w:spacing w:line="360" w:lineRule="auto"/>
              <w:rPr>
                <w:rFonts w:hint="eastAsia" w:ascii="宋体" w:hAnsi="宋体" w:eastAsia="宋体" w:cs="宋体"/>
                <w:sz w:val="24"/>
                <w:szCs w:val="24"/>
              </w:rPr>
            </w:pPr>
            <w:r>
              <w:rPr>
                <w:rFonts w:hint="eastAsia" w:ascii="宋体" w:hAnsi="宋体" w:eastAsia="宋体" w:cs="宋体"/>
                <w:sz w:val="24"/>
                <w:szCs w:val="24"/>
              </w:rPr>
              <w:t>5.除颤充电迅速，充电至200J＜5s。</w:t>
            </w:r>
          </w:p>
          <w:p>
            <w:pPr>
              <w:spacing w:line="360" w:lineRule="auto"/>
              <w:rPr>
                <w:rFonts w:hint="eastAsia" w:ascii="宋体" w:hAnsi="宋体" w:eastAsia="宋体" w:cs="宋体"/>
                <w:sz w:val="24"/>
                <w:szCs w:val="24"/>
              </w:rPr>
            </w:pPr>
            <w:r>
              <w:rPr>
                <w:rFonts w:hint="eastAsia" w:ascii="宋体" w:hAnsi="宋体" w:eastAsia="宋体" w:cs="宋体"/>
                <w:sz w:val="24"/>
                <w:szCs w:val="24"/>
              </w:rPr>
              <w:t>6.可配置体外起搏功能，起搏分为固定和按需两种模式。具备慢速起搏功能。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7.CPR辅助功能，可指导CPR操作，符合2010国际CPR指南要求。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8.心电波形扫描时间&gt;10s，扫描长度&gt;100mm。</w:t>
            </w:r>
          </w:p>
          <w:p>
            <w:pPr>
              <w:spacing w:line="360" w:lineRule="auto"/>
              <w:rPr>
                <w:rFonts w:hint="eastAsia" w:ascii="宋体" w:hAnsi="宋体" w:eastAsia="宋体" w:cs="宋体"/>
                <w:b w:val="0"/>
                <w:bCs w:val="0"/>
                <w:sz w:val="24"/>
                <w:szCs w:val="24"/>
              </w:rPr>
            </w:pPr>
            <w:r>
              <w:rPr>
                <w:rFonts w:hint="eastAsia"/>
                <w:color w:val="auto"/>
              </w:rPr>
              <w:t>★</w:t>
            </w:r>
            <w:r>
              <w:rPr>
                <w:rFonts w:hint="eastAsia" w:ascii="宋体" w:hAnsi="宋体" w:eastAsia="宋体" w:cs="宋体"/>
                <w:b w:val="0"/>
                <w:bCs w:val="0"/>
                <w:sz w:val="24"/>
                <w:szCs w:val="24"/>
              </w:rPr>
              <w:t>9.具备</w:t>
            </w:r>
            <w:r>
              <w:rPr>
                <w:rFonts w:hint="eastAsia" w:ascii="宋体" w:hAnsi="宋体" w:cs="宋体"/>
                <w:b w:val="0"/>
                <w:bCs w:val="0"/>
                <w:sz w:val="24"/>
                <w:szCs w:val="24"/>
                <w:lang w:eastAsia="zh-CN"/>
              </w:rPr>
              <w:t>心电图与</w:t>
            </w:r>
            <w:r>
              <w:rPr>
                <w:rFonts w:hint="eastAsia" w:ascii="宋体" w:hAnsi="宋体" w:eastAsia="宋体" w:cs="宋体"/>
                <w:b w:val="0"/>
                <w:bCs w:val="0"/>
                <w:sz w:val="24"/>
                <w:szCs w:val="24"/>
              </w:rPr>
              <w:t>监护功能：12导</w:t>
            </w:r>
            <w:r>
              <w:rPr>
                <w:rFonts w:hint="eastAsia" w:ascii="宋体" w:hAnsi="宋体" w:cs="宋体"/>
                <w:b w:val="0"/>
                <w:bCs w:val="0"/>
                <w:sz w:val="24"/>
                <w:szCs w:val="24"/>
                <w:lang w:eastAsia="zh-CN"/>
              </w:rPr>
              <w:t>心电图与心电监护</w:t>
            </w:r>
            <w:r>
              <w:rPr>
                <w:rFonts w:hint="eastAsia" w:ascii="宋体" w:hAnsi="宋体" w:eastAsia="宋体" w:cs="宋体"/>
                <w:b w:val="0"/>
                <w:bCs w:val="0"/>
                <w:sz w:val="24"/>
                <w:szCs w:val="24"/>
              </w:rPr>
              <w:t>、血氧饱和度、无创血压。</w:t>
            </w:r>
          </w:p>
          <w:p>
            <w:pPr>
              <w:spacing w:line="360" w:lineRule="auto"/>
              <w:rPr>
                <w:rFonts w:hint="eastAsia" w:ascii="宋体" w:hAnsi="宋体" w:eastAsia="宋体" w:cs="宋体"/>
                <w:sz w:val="24"/>
                <w:szCs w:val="24"/>
              </w:rPr>
            </w:pPr>
            <w:r>
              <w:rPr>
                <w:rFonts w:hint="eastAsia" w:ascii="宋体" w:hAnsi="宋体" w:eastAsia="宋体" w:cs="宋体"/>
                <w:sz w:val="24"/>
                <w:szCs w:val="24"/>
              </w:rPr>
              <w:t>10.外置电锂电池，一块电池可支持200J除颤100次以上。</w:t>
            </w:r>
          </w:p>
          <w:p>
            <w:pPr>
              <w:spacing w:line="360" w:lineRule="auto"/>
              <w:rPr>
                <w:rFonts w:hint="eastAsia" w:ascii="宋体" w:hAnsi="宋体" w:eastAsia="宋体" w:cs="宋体"/>
                <w:sz w:val="24"/>
                <w:szCs w:val="24"/>
              </w:rPr>
            </w:pPr>
            <w:r>
              <w:rPr>
                <w:rFonts w:hint="eastAsia" w:ascii="宋体" w:hAnsi="宋体" w:eastAsia="宋体" w:cs="宋体"/>
                <w:sz w:val="24"/>
                <w:szCs w:val="24"/>
              </w:rPr>
              <w:t>11.具备生理报警和技术报警功能，通过声音、灯光等多种方式进行报警。</w:t>
            </w:r>
          </w:p>
          <w:p>
            <w:pPr>
              <w:spacing w:line="360" w:lineRule="auto"/>
              <w:rPr>
                <w:rFonts w:hint="eastAsia" w:ascii="宋体" w:hAnsi="宋体" w:eastAsia="宋体" w:cs="宋体"/>
                <w:sz w:val="24"/>
                <w:szCs w:val="24"/>
              </w:rPr>
            </w:pPr>
            <w:r>
              <w:rPr>
                <w:rFonts w:hint="eastAsia" w:ascii="宋体" w:hAnsi="宋体" w:eastAsia="宋体" w:cs="宋体"/>
                <w:sz w:val="24"/>
                <w:szCs w:val="24"/>
              </w:rPr>
              <w:t>12.成人、小儿一体化电极板，可选用除颤起搏监护多功能电极片。</w:t>
            </w:r>
          </w:p>
          <w:p>
            <w:pPr>
              <w:spacing w:line="360" w:lineRule="auto"/>
              <w:rPr>
                <w:rFonts w:hint="eastAsia" w:ascii="宋体" w:hAnsi="宋体" w:eastAsia="宋体" w:cs="宋体"/>
                <w:b w:val="0"/>
                <w:bCs w:val="0"/>
                <w:sz w:val="24"/>
                <w:szCs w:val="24"/>
              </w:rPr>
            </w:pPr>
            <w:r>
              <w:rPr>
                <w:rFonts w:hint="eastAsia"/>
                <w:color w:val="auto"/>
              </w:rPr>
              <w:t>★</w:t>
            </w:r>
            <w:r>
              <w:rPr>
                <w:rFonts w:hint="eastAsia" w:ascii="宋体" w:hAnsi="宋体" w:eastAsia="宋体" w:cs="宋体"/>
                <w:b w:val="0"/>
                <w:bCs w:val="0"/>
                <w:sz w:val="24"/>
                <w:szCs w:val="24"/>
              </w:rPr>
              <w:t>13.支持中文操作界面、AED中文语音提示。</w:t>
            </w:r>
          </w:p>
          <w:p>
            <w:pPr>
              <w:spacing w:line="360" w:lineRule="auto"/>
              <w:rPr>
                <w:rFonts w:hint="eastAsia" w:ascii="宋体" w:hAnsi="宋体" w:eastAsia="宋体" w:cs="宋体"/>
                <w:sz w:val="24"/>
                <w:szCs w:val="24"/>
              </w:rPr>
            </w:pPr>
            <w:r>
              <w:rPr>
                <w:rFonts w:hint="eastAsia" w:ascii="宋体" w:hAnsi="宋体" w:eastAsia="宋体" w:cs="宋体"/>
                <w:sz w:val="24"/>
                <w:szCs w:val="24"/>
              </w:rPr>
              <w:t>14.彩色TFT显示屏＞8”,分辨率</w:t>
            </w:r>
            <w:r>
              <w:rPr>
                <w:rFonts w:hint="eastAsia" w:ascii="宋体" w:hAnsi="宋体" w:eastAsia="宋体" w:cs="宋体"/>
                <w:kern w:val="0"/>
                <w:sz w:val="24"/>
                <w:szCs w:val="24"/>
              </w:rPr>
              <w:t>≥</w:t>
            </w:r>
            <w:r>
              <w:rPr>
                <w:rFonts w:hint="eastAsia" w:ascii="宋体" w:hAnsi="宋体" w:eastAsia="宋体" w:cs="宋体"/>
                <w:sz w:val="24"/>
                <w:szCs w:val="24"/>
              </w:rPr>
              <w:t>640×480，最多可显示4通道监护参数波形，有高对比度显示界面，具备外接屏幕显示功能。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15.50mm记录仪，自动打印除颤记录，可延迟打印心电，延迟时间&gt;10s。</w:t>
            </w:r>
          </w:p>
          <w:p>
            <w:pPr>
              <w:spacing w:line="360" w:lineRule="auto"/>
              <w:rPr>
                <w:rFonts w:hint="eastAsia" w:ascii="宋体" w:hAnsi="宋体" w:eastAsia="宋体" w:cs="宋体"/>
                <w:sz w:val="24"/>
                <w:szCs w:val="24"/>
              </w:rPr>
            </w:pPr>
            <w:r>
              <w:rPr>
                <w:rFonts w:hint="eastAsia" w:ascii="宋体" w:hAnsi="宋体" w:eastAsia="宋体" w:cs="宋体"/>
                <w:sz w:val="24"/>
                <w:szCs w:val="24"/>
              </w:rPr>
              <w:t>16.可存储24小时连续ECG波形，数据可导出至电脑查看。</w:t>
            </w:r>
          </w:p>
          <w:p>
            <w:pPr>
              <w:spacing w:line="360" w:lineRule="auto"/>
              <w:rPr>
                <w:rFonts w:hint="eastAsia" w:ascii="宋体" w:hAnsi="宋体" w:eastAsia="宋体" w:cs="宋体"/>
                <w:sz w:val="24"/>
                <w:szCs w:val="24"/>
              </w:rPr>
            </w:pPr>
            <w:r>
              <w:rPr>
                <w:rFonts w:hint="eastAsia" w:ascii="宋体" w:hAnsi="宋体" w:eastAsia="宋体" w:cs="宋体"/>
                <w:sz w:val="24"/>
                <w:szCs w:val="24"/>
              </w:rPr>
              <w:t>17.关机状态下设备可自动运行自检，支持大能量自检（不低于150J）、屏幕、按键检测。</w:t>
            </w:r>
          </w:p>
          <w:p>
            <w:pPr>
              <w:spacing w:line="360" w:lineRule="auto"/>
              <w:rPr>
                <w:rFonts w:hint="eastAsia" w:ascii="宋体" w:hAnsi="宋体" w:eastAsia="宋体" w:cs="宋体"/>
                <w:sz w:val="24"/>
                <w:szCs w:val="24"/>
              </w:rPr>
            </w:pPr>
            <w:r>
              <w:rPr>
                <w:rFonts w:hint="eastAsia" w:ascii="宋体" w:hAnsi="宋体" w:eastAsia="宋体" w:cs="宋体"/>
                <w:sz w:val="24"/>
                <w:szCs w:val="24"/>
              </w:rPr>
              <w:t>18.可在-10℃环境正常工作，存储温度-30℃～70℃</w:t>
            </w:r>
          </w:p>
          <w:p>
            <w:pPr>
              <w:spacing w:line="360" w:lineRule="auto"/>
              <w:rPr>
                <w:rFonts w:hint="eastAsia" w:ascii="宋体" w:hAnsi="宋体" w:eastAsia="宋体" w:cs="宋体"/>
                <w:sz w:val="24"/>
                <w:szCs w:val="24"/>
              </w:rPr>
            </w:pPr>
            <w:r>
              <w:rPr>
                <w:rFonts w:hint="eastAsia" w:ascii="宋体" w:hAnsi="宋体" w:eastAsia="宋体" w:cs="宋体"/>
                <w:sz w:val="24"/>
                <w:szCs w:val="24"/>
              </w:rPr>
              <w:t>19.符合除颤国际专用安全标准IEC60601-2-4:2002。</w:t>
            </w:r>
          </w:p>
          <w:p>
            <w:pPr>
              <w:spacing w:line="360" w:lineRule="auto"/>
              <w:rPr>
                <w:rFonts w:hint="eastAsia" w:ascii="宋体" w:hAnsi="宋体" w:eastAsia="宋体" w:cs="宋体"/>
                <w:sz w:val="24"/>
                <w:szCs w:val="24"/>
              </w:rPr>
            </w:pPr>
            <w:r>
              <w:rPr>
                <w:rFonts w:hint="eastAsia" w:ascii="宋体" w:hAnsi="宋体" w:eastAsia="宋体" w:cs="宋体"/>
                <w:sz w:val="24"/>
                <w:szCs w:val="24"/>
              </w:rPr>
              <w:t>20.符合欧盟救护车标准EN1789:2007。</w:t>
            </w:r>
          </w:p>
          <w:p>
            <w:pPr>
              <w:spacing w:line="360" w:lineRule="auto"/>
              <w:rPr>
                <w:rFonts w:hint="eastAsia" w:ascii="宋体" w:hAnsi="宋体" w:eastAsia="宋体" w:cs="宋体"/>
                <w:sz w:val="24"/>
                <w:szCs w:val="24"/>
              </w:rPr>
            </w:pPr>
            <w:r>
              <w:rPr>
                <w:rFonts w:hint="eastAsia" w:ascii="宋体" w:hAnsi="宋体" w:eastAsia="宋体" w:cs="宋体"/>
                <w:sz w:val="24"/>
                <w:szCs w:val="24"/>
              </w:rPr>
              <w:t>21.具备良好的防水性能，防水级别IPX4。</w:t>
            </w:r>
          </w:p>
          <w:p>
            <w:pPr>
              <w:spacing w:line="360" w:lineRule="auto"/>
              <w:rPr>
                <w:rFonts w:hint="eastAsia" w:ascii="宋体" w:hAnsi="宋体" w:eastAsia="宋体" w:cs="宋体"/>
                <w:sz w:val="24"/>
                <w:szCs w:val="24"/>
              </w:rPr>
            </w:pPr>
            <w:r>
              <w:rPr>
                <w:rFonts w:hint="eastAsia" w:ascii="宋体" w:hAnsi="宋体" w:eastAsia="宋体" w:cs="宋体"/>
                <w:sz w:val="24"/>
                <w:szCs w:val="24"/>
              </w:rPr>
              <w:t>22.具备优异的抗跌落性能，裸机可承受0.75m跌落冲击。</w:t>
            </w:r>
          </w:p>
          <w:p>
            <w:pPr>
              <w:widowControl/>
              <w:spacing w:line="360" w:lineRule="auto"/>
              <w:jc w:val="left"/>
              <w:rPr>
                <w:rFonts w:hint="eastAsia" w:ascii="宋体" w:hAnsi="宋体" w:eastAsia="宋体" w:cs="宋体"/>
                <w:sz w:val="24"/>
                <w:szCs w:val="24"/>
              </w:rPr>
            </w:pPr>
            <w:r>
              <w:rPr>
                <w:rFonts w:hint="eastAsia"/>
                <w:color w:val="auto"/>
              </w:rPr>
              <w:t>★</w:t>
            </w:r>
            <w:r>
              <w:rPr>
                <w:rFonts w:hint="eastAsia" w:ascii="宋体" w:hAnsi="宋体" w:eastAsia="宋体" w:cs="宋体"/>
                <w:b w:val="0"/>
                <w:bCs w:val="0"/>
                <w:sz w:val="24"/>
                <w:szCs w:val="24"/>
              </w:rPr>
              <w:t>23.具备无线传输功能，提供传输与解析协议，传输的数据提供原始数据，并要求可传输到指定服务器。</w:t>
            </w:r>
          </w:p>
        </w:tc>
        <w:tc>
          <w:tcPr>
            <w:tcW w:w="121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636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转运呼吸机</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1.气动电控型呼吸机</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2.具备中文语音导航和报警功能，出现报警时具备中文语音提示，方便医务人员掌握</w:t>
            </w:r>
          </w:p>
          <w:p>
            <w:pPr>
              <w:spacing w:line="360" w:lineRule="auto"/>
              <w:jc w:val="left"/>
              <w:rPr>
                <w:rStyle w:val="62"/>
                <w:rFonts w:hint="eastAsia" w:ascii="宋体" w:hAnsi="宋体" w:eastAsia="宋体" w:cs="宋体"/>
                <w:b w:val="0"/>
                <w:bCs w:val="0"/>
                <w:sz w:val="24"/>
                <w:szCs w:val="24"/>
              </w:rPr>
            </w:pPr>
            <w:r>
              <w:rPr>
                <w:rFonts w:hint="eastAsia"/>
                <w:color w:val="auto"/>
              </w:rPr>
              <w:t>★</w:t>
            </w:r>
            <w:r>
              <w:rPr>
                <w:rStyle w:val="62"/>
                <w:rFonts w:hint="eastAsia" w:ascii="宋体" w:hAnsi="宋体" w:eastAsia="宋体" w:cs="宋体"/>
                <w:b w:val="0"/>
                <w:bCs w:val="0"/>
                <w:sz w:val="24"/>
                <w:szCs w:val="24"/>
              </w:rPr>
              <w:t>3.屏幕：彩色触控液晶，屏幕尺寸≥7英寸</w:t>
            </w:r>
          </w:p>
          <w:p>
            <w:pPr>
              <w:spacing w:line="360" w:lineRule="auto"/>
              <w:jc w:val="left"/>
              <w:rPr>
                <w:rStyle w:val="62"/>
                <w:rFonts w:hint="eastAsia" w:ascii="宋体" w:hAnsi="宋体" w:eastAsia="宋体" w:cs="宋体"/>
                <w:b w:val="0"/>
                <w:bCs w:val="0"/>
                <w:sz w:val="24"/>
                <w:szCs w:val="24"/>
              </w:rPr>
            </w:pPr>
            <w:r>
              <w:rPr>
                <w:rFonts w:hint="eastAsia"/>
                <w:color w:val="auto"/>
              </w:rPr>
              <w:t>★</w:t>
            </w:r>
            <w:r>
              <w:rPr>
                <w:rStyle w:val="62"/>
                <w:rFonts w:hint="eastAsia" w:ascii="宋体" w:hAnsi="宋体" w:eastAsia="宋体" w:cs="宋体"/>
                <w:b w:val="0"/>
                <w:bCs w:val="0"/>
                <w:sz w:val="24"/>
                <w:szCs w:val="24"/>
              </w:rPr>
              <w:t>4.具有CPR操作和提示功能</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5.</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可选配呼吸、负压吸痰、面罩供氧三合一功能</w:t>
            </w:r>
          </w:p>
          <w:p>
            <w:pPr>
              <w:spacing w:line="360" w:lineRule="auto"/>
              <w:jc w:val="left"/>
              <w:rPr>
                <w:rStyle w:val="62"/>
                <w:rFonts w:hint="eastAsia" w:ascii="宋体" w:hAnsi="宋体" w:eastAsia="宋体" w:cs="宋体"/>
                <w:b w:val="0"/>
                <w:bCs w:val="0"/>
                <w:sz w:val="24"/>
                <w:szCs w:val="24"/>
              </w:rPr>
            </w:pPr>
            <w:r>
              <w:rPr>
                <w:rFonts w:hint="eastAsia"/>
                <w:color w:val="auto"/>
              </w:rPr>
              <w:t>★</w:t>
            </w:r>
            <w:r>
              <w:rPr>
                <w:rStyle w:val="62"/>
                <w:rFonts w:hint="eastAsia" w:ascii="宋体" w:hAnsi="宋体" w:eastAsia="宋体" w:cs="宋体"/>
                <w:b w:val="0"/>
                <w:bCs w:val="0"/>
                <w:sz w:val="24"/>
                <w:szCs w:val="24"/>
              </w:rPr>
              <w:t>6.内置电子PEEP功能，PEEP压力0～30cmH2O</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7.</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控制模式：时间切换、容量控制、压力控制</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8.</w:t>
            </w:r>
            <w:r>
              <w:rPr>
                <w:rStyle w:val="62"/>
                <w:rFonts w:hint="eastAsia" w:ascii="宋体" w:hAnsi="宋体" w:eastAsia="宋体" w:cs="宋体"/>
                <w:b w:val="0"/>
                <w:bCs w:val="0"/>
                <w:sz w:val="24"/>
                <w:szCs w:val="24"/>
              </w:rPr>
              <w:tab/>
            </w:r>
            <w:r>
              <w:rPr>
                <w:rFonts w:hint="eastAsia" w:ascii="宋体" w:hAnsi="宋体" w:eastAsia="宋体" w:cs="宋体"/>
                <w:kern w:val="0"/>
                <w:sz w:val="24"/>
                <w:szCs w:val="24"/>
              </w:rPr>
              <w:t>▲</w:t>
            </w:r>
            <w:r>
              <w:rPr>
                <w:rStyle w:val="62"/>
                <w:rFonts w:hint="eastAsia" w:ascii="宋体" w:hAnsi="宋体" w:eastAsia="宋体" w:cs="宋体"/>
                <w:b w:val="0"/>
                <w:bCs w:val="0"/>
                <w:sz w:val="24"/>
                <w:szCs w:val="24"/>
              </w:rPr>
              <w:t>呼吸模式： Manual，IPPV，V-A/C V-SIMV，PCV，P-A/C，P-SIMV，CPAP，高流量氧疗功能</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9.</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主机重量: ≤3.5Kg</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10.</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工作压力: 2.7 ～ 6.0bar</w:t>
            </w:r>
          </w:p>
          <w:p>
            <w:pPr>
              <w:spacing w:line="360" w:lineRule="auto"/>
              <w:jc w:val="left"/>
              <w:rPr>
                <w:rStyle w:val="62"/>
                <w:rFonts w:hint="eastAsia" w:ascii="宋体" w:hAnsi="宋体" w:eastAsia="宋体" w:cs="宋体"/>
                <w:b w:val="0"/>
                <w:bCs w:val="0"/>
                <w:sz w:val="24"/>
                <w:szCs w:val="24"/>
              </w:rPr>
            </w:pPr>
            <w:r>
              <w:rPr>
                <w:rFonts w:hint="eastAsia"/>
                <w:color w:val="auto"/>
              </w:rPr>
              <w:t>★</w:t>
            </w:r>
            <w:r>
              <w:rPr>
                <w:rStyle w:val="62"/>
                <w:rFonts w:hint="eastAsia" w:ascii="宋体" w:hAnsi="宋体" w:eastAsia="宋体" w:cs="宋体"/>
                <w:b w:val="0"/>
                <w:bCs w:val="0"/>
                <w:sz w:val="24"/>
                <w:szCs w:val="24"/>
              </w:rPr>
              <w:t>11.吸呼时间比:9:1到1:9可调（或高于此范围），步进0.1</w:t>
            </w:r>
          </w:p>
          <w:p>
            <w:pPr>
              <w:spacing w:line="360" w:lineRule="auto"/>
              <w:jc w:val="left"/>
              <w:rPr>
                <w:rStyle w:val="62"/>
                <w:rFonts w:hint="eastAsia" w:ascii="宋体" w:hAnsi="宋体" w:eastAsia="宋体" w:cs="宋体"/>
                <w:b w:val="0"/>
                <w:bCs w:val="0"/>
                <w:sz w:val="24"/>
                <w:szCs w:val="24"/>
              </w:rPr>
            </w:pPr>
            <w:r>
              <w:rPr>
                <w:rFonts w:hint="eastAsia"/>
                <w:color w:val="auto"/>
              </w:rPr>
              <w:t>★</w:t>
            </w:r>
            <w:r>
              <w:rPr>
                <w:rStyle w:val="62"/>
                <w:rFonts w:hint="eastAsia" w:ascii="宋体" w:hAnsi="宋体" w:eastAsia="宋体" w:cs="宋体"/>
                <w:b w:val="0"/>
                <w:bCs w:val="0"/>
                <w:sz w:val="24"/>
                <w:szCs w:val="24"/>
              </w:rPr>
              <w:t>12.潮气量：50ML ～ 2500ML</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13.</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呼吸频率: 1～120bpm，误差±1bpm</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14.</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氧浓度调节范围：40%/100%可调</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15.</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吸气压力：5cmH2O～60cmH2O可调</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16.</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气道限制压力：15cmH2O～70cmH2O</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17.</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持续气道正压CPAP：0,3cmH2O～30cmH2O</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18.</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压力触发：-20cmH2O～20cmH2O</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19.</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压力上升时间：慢/正常/快三档可调</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20.</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压力支持：0，3cmH2O～35cmH2O</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21.</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监测指标：分钟通气量、潮气量、气道压力（峰值压、平均圧）、时间-压力波形等</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22.</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最大呼吸压力: 3 ～ 60mbar可任意设置</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23.</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呼吸机气源连接管道接头规格:外螺纹9/16-18</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24.</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呼吸软管接头:内Φ15mm/外Φ20mm</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25.</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可充电锂电池，工作时间:≥6小时。</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26.</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防水保护等级:IPX4</w:t>
            </w:r>
          </w:p>
          <w:p>
            <w:pPr>
              <w:spacing w:line="360" w:lineRule="auto"/>
              <w:jc w:val="left"/>
              <w:rPr>
                <w:rStyle w:val="62"/>
                <w:rFonts w:hint="eastAsia" w:ascii="宋体" w:hAnsi="宋体" w:eastAsia="宋体" w:cs="宋体"/>
                <w:b w:val="0"/>
                <w:bCs w:val="0"/>
                <w:sz w:val="24"/>
                <w:szCs w:val="24"/>
              </w:rPr>
            </w:pPr>
            <w:r>
              <w:rPr>
                <w:rStyle w:val="62"/>
                <w:rFonts w:hint="eastAsia" w:ascii="宋体" w:hAnsi="宋体" w:eastAsia="宋体" w:cs="宋体"/>
                <w:b w:val="0"/>
                <w:bCs w:val="0"/>
                <w:sz w:val="24"/>
                <w:szCs w:val="24"/>
              </w:rPr>
              <w:t>27.</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已通过美国FDA或欧洲CE认证</w:t>
            </w:r>
          </w:p>
          <w:p>
            <w:pPr>
              <w:spacing w:line="360" w:lineRule="auto"/>
              <w:jc w:val="left"/>
              <w:rPr>
                <w:rFonts w:hint="eastAsia" w:ascii="宋体" w:hAnsi="宋体" w:eastAsia="宋体" w:cs="宋体"/>
                <w:sz w:val="24"/>
                <w:szCs w:val="24"/>
              </w:rPr>
            </w:pPr>
            <w:r>
              <w:rPr>
                <w:rStyle w:val="62"/>
                <w:rFonts w:hint="eastAsia" w:ascii="宋体" w:hAnsi="宋体" w:eastAsia="宋体" w:cs="宋体"/>
                <w:b w:val="0"/>
                <w:bCs w:val="0"/>
                <w:sz w:val="24"/>
                <w:szCs w:val="24"/>
              </w:rPr>
              <w:t>28.</w:t>
            </w:r>
            <w:r>
              <w:rPr>
                <w:rStyle w:val="62"/>
                <w:rFonts w:hint="eastAsia" w:ascii="宋体" w:hAnsi="宋体" w:eastAsia="宋体" w:cs="宋体"/>
                <w:b w:val="0"/>
                <w:bCs w:val="0"/>
                <w:sz w:val="24"/>
                <w:szCs w:val="24"/>
              </w:rPr>
              <w:tab/>
            </w:r>
            <w:r>
              <w:rPr>
                <w:rStyle w:val="62"/>
                <w:rFonts w:hint="eastAsia" w:ascii="宋体" w:hAnsi="宋体" w:eastAsia="宋体" w:cs="宋体"/>
                <w:b w:val="0"/>
                <w:bCs w:val="0"/>
                <w:sz w:val="24"/>
                <w:szCs w:val="24"/>
              </w:rPr>
              <w:t>通过EN1789车载测试认证，有国际认证证书</w:t>
            </w:r>
          </w:p>
          <w:p>
            <w:pPr>
              <w:widowControl/>
              <w:spacing w:line="360" w:lineRule="auto"/>
              <w:jc w:val="left"/>
              <w:rPr>
                <w:rFonts w:hint="eastAsia" w:ascii="宋体" w:hAnsi="宋体" w:eastAsia="宋体" w:cs="宋体"/>
                <w:sz w:val="24"/>
                <w:szCs w:val="24"/>
              </w:rPr>
            </w:pPr>
            <w:r>
              <w:rPr>
                <w:rFonts w:hint="eastAsia"/>
                <w:color w:val="auto"/>
              </w:rPr>
              <w:t>★</w:t>
            </w:r>
            <w:r>
              <w:rPr>
                <w:rFonts w:hint="eastAsia" w:ascii="宋体" w:hAnsi="宋体" w:eastAsia="宋体" w:cs="宋体"/>
                <w:b w:val="0"/>
                <w:bCs w:val="0"/>
                <w:sz w:val="24"/>
                <w:szCs w:val="24"/>
              </w:rPr>
              <w:t>具备WIFI无线传输功能，提供传输与解析协议，传输的数据提供原始数据，并要求可传输到指定服务器。</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bl>
    <w:p>
      <w:pPr>
        <w:spacing w:line="360" w:lineRule="auto"/>
        <w:rPr>
          <w:rFonts w:ascii="楷体" w:hAnsi="楷体" w:eastAsia="楷体" w:cs="楷体"/>
          <w:sz w:val="24"/>
        </w:rPr>
      </w:pPr>
    </w:p>
    <w:tbl>
      <w:tblPr>
        <w:tblStyle w:val="22"/>
        <w:tblW w:w="8755" w:type="dxa"/>
        <w:jc w:val="center"/>
        <w:tblInd w:w="0" w:type="dxa"/>
        <w:tblLayout w:type="fixed"/>
        <w:tblCellMar>
          <w:top w:w="0" w:type="dxa"/>
          <w:left w:w="108" w:type="dxa"/>
          <w:bottom w:w="0" w:type="dxa"/>
          <w:right w:w="108" w:type="dxa"/>
        </w:tblCellMar>
      </w:tblPr>
      <w:tblGrid>
        <w:gridCol w:w="1185"/>
        <w:gridCol w:w="6360"/>
        <w:gridCol w:w="1210"/>
      </w:tblGrid>
      <w:tr>
        <w:tblPrEx>
          <w:tblLayout w:type="fixed"/>
          <w:tblCellMar>
            <w:top w:w="0" w:type="dxa"/>
            <w:left w:w="108" w:type="dxa"/>
            <w:bottom w:w="0" w:type="dxa"/>
            <w:right w:w="108" w:type="dxa"/>
          </w:tblCellMar>
        </w:tblPrEx>
        <w:trPr>
          <w:trHeight w:val="1882" w:hRule="atLeast"/>
          <w:jc w:val="center"/>
        </w:trPr>
        <w:tc>
          <w:tcPr>
            <w:tcW w:w="1185" w:type="dxa"/>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6360" w:type="dxa"/>
            <w:vMerge w:val="restart"/>
            <w:tcBorders>
              <w:top w:val="single" w:color="auto" w:sz="4" w:space="0"/>
              <w:left w:val="nil"/>
              <w:right w:val="single" w:color="000000" w:sz="4" w:space="0"/>
            </w:tcBorders>
            <w:noWrap/>
            <w:vAlign w:val="center"/>
          </w:tcPr>
          <w:p>
            <w:pPr>
              <w:widowControl/>
              <w:spacing w:line="360" w:lineRule="auto"/>
              <w:rPr>
                <w:rFonts w:hint="eastAsia" w:ascii="宋体" w:hAnsi="宋体" w:eastAsia="宋体" w:cs="宋体"/>
                <w:sz w:val="24"/>
                <w:szCs w:val="24"/>
              </w:rPr>
            </w:pPr>
            <w:r>
              <w:rPr>
                <w:rFonts w:hint="eastAsia" w:ascii="宋体" w:hAnsi="宋体" w:eastAsia="宋体" w:cs="宋体"/>
                <w:kern w:val="0"/>
                <w:sz w:val="24"/>
                <w:szCs w:val="24"/>
              </w:rPr>
              <w:t>自动上车</w:t>
            </w:r>
            <w:r>
              <w:rPr>
                <w:rFonts w:hint="eastAsia" w:ascii="宋体" w:hAnsi="宋体" w:eastAsia="宋体" w:cs="宋体"/>
                <w:sz w:val="24"/>
                <w:szCs w:val="24"/>
              </w:rPr>
              <w:t>担架技术参数</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1.可单人操控的自动折叠上下车担架；</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2.担架结构为框架设计，采用不锈钢及铝合金材质；</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3.担架各部位的连接采用尼龙装置，增加各部件的灵活性，提高稳定性及安全性；</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4.采用顺应性悬挂系统，通过四支弧形支架吸收震动顺应性悬挂装置，分叉型前腿、分叉型弧形后腿，不同压力点均不会造成担架侧翻；</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5.可调节背板：背板采用一次模压成型聚乙烯材料，头部及上半身位置，0~75度可调，脚部0~15度可调，方便清洗消毒，可根据不同病情要求调节病员体位。安装于担架金属主体结构之上，病人床垫之下，可以避免骨折病人在转运过程中的二次伤害。需要时，可以直接在担架上进行心肺复苏；</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6.床垫：外形为两节三段式，增大病员的接触面积，舒适度高，外部材料采用塑胶材料（具有防火，耐腐蚀的特点）；</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7.运行平稳，轮子采用航空轮胎技术，碰撞时具有吸震补偿的效果。车轮直径≥190mm ，后轮可以360°转向，并携带制动系统；</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8.担架尺寸：长度≥1970mm、宽度≥570mm；</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9.自身重量≤32kg；</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10.载重能力≥170kg；</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11.配件：前固定器*1、后固定器*1、床垫*1、快速释放金属扣的安全带*2。</w:t>
            </w:r>
          </w:p>
        </w:tc>
        <w:tc>
          <w:tcPr>
            <w:tcW w:w="1210" w:type="dxa"/>
            <w:tcBorders>
              <w:top w:val="single" w:color="auto" w:sz="4" w:space="0"/>
              <w:left w:val="nil"/>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90" w:hRule="atLeast"/>
          <w:jc w:val="center"/>
        </w:trPr>
        <w:tc>
          <w:tcPr>
            <w:tcW w:w="1185"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p>
        </w:tc>
        <w:tc>
          <w:tcPr>
            <w:tcW w:w="6360" w:type="dxa"/>
            <w:vMerge w:val="continue"/>
            <w:tcBorders>
              <w:left w:val="nil"/>
              <w:bottom w:val="single" w:color="auto" w:sz="4" w:space="0"/>
              <w:right w:val="single" w:color="000000" w:sz="4" w:space="0"/>
            </w:tcBorders>
            <w:noWrap/>
            <w:vAlign w:val="center"/>
          </w:tcPr>
          <w:p>
            <w:pPr>
              <w:spacing w:line="360" w:lineRule="auto"/>
              <w:jc w:val="left"/>
              <w:rPr>
                <w:rFonts w:hint="eastAsia" w:ascii="宋体" w:hAnsi="宋体" w:eastAsia="宋体" w:cs="宋体"/>
                <w:sz w:val="24"/>
                <w:szCs w:val="24"/>
              </w:rPr>
            </w:pPr>
          </w:p>
        </w:tc>
        <w:tc>
          <w:tcPr>
            <w:tcW w:w="1210" w:type="dxa"/>
            <w:tcBorders>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6360" w:type="dxa"/>
            <w:tcBorders>
              <w:top w:val="single" w:color="auto" w:sz="4" w:space="0"/>
              <w:left w:val="nil"/>
              <w:bottom w:val="single" w:color="auto" w:sz="4" w:space="0"/>
              <w:right w:val="single" w:color="000000" w:sz="4" w:space="0"/>
            </w:tcBorders>
            <w:noWrap/>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碳纤维铲式担架</w:t>
            </w:r>
          </w:p>
          <w:p>
            <w:pPr>
              <w:spacing w:line="360" w:lineRule="auto"/>
              <w:rPr>
                <w:rFonts w:hint="eastAsia" w:ascii="宋体" w:hAnsi="宋体" w:eastAsia="宋体" w:cs="宋体"/>
                <w:sz w:val="24"/>
                <w:szCs w:val="24"/>
              </w:rPr>
            </w:pPr>
            <w:r>
              <w:rPr>
                <w:rFonts w:hint="eastAsia" w:ascii="宋体" w:hAnsi="宋体" w:eastAsia="宋体" w:cs="宋体"/>
                <w:kern w:val="0"/>
                <w:sz w:val="24"/>
                <w:szCs w:val="24"/>
              </w:rPr>
              <w:t xml:space="preserve">4. </w:t>
            </w:r>
            <w:r>
              <w:rPr>
                <w:rFonts w:hint="eastAsia" w:ascii="宋体" w:hAnsi="宋体" w:eastAsia="宋体" w:cs="宋体"/>
                <w:sz w:val="24"/>
                <w:szCs w:val="24"/>
              </w:rPr>
              <w:t>1、尺寸：长≤1680mm，宽≤440mm，高≤70mm，最大长度≥2050mm；</w:t>
            </w:r>
          </w:p>
          <w:p>
            <w:pPr>
              <w:spacing w:line="360" w:lineRule="auto"/>
              <w:rPr>
                <w:rFonts w:hint="eastAsia" w:ascii="宋体" w:hAnsi="宋体" w:eastAsia="宋体" w:cs="宋体"/>
                <w:sz w:val="24"/>
                <w:szCs w:val="24"/>
              </w:rPr>
            </w:pPr>
            <w:r>
              <w:rPr>
                <w:rFonts w:hint="eastAsia" w:ascii="宋体" w:hAnsi="宋体" w:eastAsia="宋体" w:cs="宋体"/>
                <w:sz w:val="24"/>
                <w:szCs w:val="24"/>
              </w:rPr>
              <w:t>4.2、自重≤4.39kg，可有效降低急救人员工作强度。</w:t>
            </w:r>
          </w:p>
          <w:p>
            <w:pPr>
              <w:spacing w:line="360" w:lineRule="auto"/>
              <w:rPr>
                <w:rFonts w:hint="eastAsia" w:ascii="宋体" w:hAnsi="宋体" w:eastAsia="宋体" w:cs="宋体"/>
                <w:sz w:val="24"/>
                <w:szCs w:val="24"/>
              </w:rPr>
            </w:pPr>
            <w:r>
              <w:rPr>
                <w:rFonts w:hint="eastAsia" w:ascii="宋体" w:hAnsi="宋体" w:eastAsia="宋体" w:cs="宋体"/>
                <w:sz w:val="24"/>
                <w:szCs w:val="24"/>
              </w:rPr>
              <w:t>4.3、担架两端具有卡扣装置，可分离为左右两部分。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4.4、最大可载重≥230kg，适用于不同体重病人，甚至超重病人，满足急救特殊使用需求。</w:t>
            </w:r>
          </w:p>
          <w:p>
            <w:pPr>
              <w:spacing w:line="360" w:lineRule="auto"/>
              <w:rPr>
                <w:rFonts w:hint="eastAsia" w:ascii="宋体" w:hAnsi="宋体" w:eastAsia="宋体" w:cs="宋体"/>
                <w:sz w:val="24"/>
                <w:szCs w:val="24"/>
              </w:rPr>
            </w:pPr>
            <w:r>
              <w:rPr>
                <w:rFonts w:hint="eastAsia" w:ascii="宋体" w:hAnsi="宋体" w:eastAsia="宋体" w:cs="宋体"/>
                <w:sz w:val="24"/>
                <w:szCs w:val="24"/>
              </w:rPr>
              <w:t>4.5、担架材质：航空级碳纤维材料，耐腐蚀、耐重压，强度好、重量轻；碳纤维具有优良的强度和刚性，碳纤维约比铝合金刚性高1倍、强度3倍多；是一种高度可靠的材料，即使在恶劣的条件下，其特性长期稳定。适合各种恶劣环境下使用。</w:t>
            </w:r>
          </w:p>
          <w:p>
            <w:pPr>
              <w:spacing w:line="360" w:lineRule="auto"/>
              <w:rPr>
                <w:rFonts w:hint="eastAsia" w:ascii="宋体" w:hAnsi="宋体" w:eastAsia="宋体" w:cs="宋体"/>
                <w:sz w:val="24"/>
                <w:szCs w:val="24"/>
              </w:rPr>
            </w:pPr>
            <w:r>
              <w:rPr>
                <w:rFonts w:hint="eastAsia" w:ascii="宋体" w:hAnsi="宋体" w:eastAsia="宋体" w:cs="宋体"/>
                <w:sz w:val="24"/>
                <w:szCs w:val="24"/>
              </w:rPr>
              <w:t>4.6、固定带为尼龙材料制成，配有防锈及抗腐蚀的快速固定锁扣。</w:t>
            </w:r>
          </w:p>
          <w:p>
            <w:pPr>
              <w:spacing w:line="360" w:lineRule="auto"/>
              <w:rPr>
                <w:rFonts w:hint="eastAsia" w:ascii="宋体" w:hAnsi="宋体" w:eastAsia="宋体" w:cs="宋体"/>
                <w:sz w:val="24"/>
                <w:szCs w:val="24"/>
              </w:rPr>
            </w:pPr>
            <w:r>
              <w:rPr>
                <w:rFonts w:hint="eastAsia" w:ascii="宋体" w:hAnsi="宋体" w:eastAsia="宋体" w:cs="宋体"/>
                <w:sz w:val="24"/>
                <w:szCs w:val="24"/>
              </w:rPr>
              <w:t>4.7、可在原地固定病人。</w:t>
            </w:r>
          </w:p>
          <w:p>
            <w:pPr>
              <w:spacing w:line="360" w:lineRule="auto"/>
              <w:rPr>
                <w:rFonts w:hint="eastAsia" w:ascii="宋体" w:hAnsi="宋体" w:eastAsia="宋体" w:cs="宋体"/>
                <w:sz w:val="24"/>
                <w:szCs w:val="24"/>
              </w:rPr>
            </w:pPr>
            <w:r>
              <w:rPr>
                <w:rFonts w:hint="eastAsia" w:ascii="宋体" w:hAnsi="宋体" w:eastAsia="宋体" w:cs="宋体"/>
                <w:sz w:val="24"/>
                <w:szCs w:val="24"/>
              </w:rPr>
              <w:t>4.8、 在不移动病人的情况下，可将病人铲入或从病人体下抽出担架。</w:t>
            </w:r>
          </w:p>
          <w:p>
            <w:pPr>
              <w:rPr>
                <w:rFonts w:hint="eastAsia" w:ascii="宋体" w:hAnsi="宋体" w:eastAsia="宋体" w:cs="宋体"/>
                <w:sz w:val="24"/>
                <w:szCs w:val="24"/>
              </w:rPr>
            </w:pPr>
            <w:r>
              <w:rPr>
                <w:rFonts w:hint="eastAsia" w:ascii="宋体" w:hAnsi="宋体" w:eastAsia="宋体" w:cs="宋体"/>
                <w:sz w:val="24"/>
                <w:szCs w:val="24"/>
              </w:rPr>
              <w:t>4.9、 担架一端（脚部）采用窄框架结构。</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6360" w:type="dxa"/>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楼梯担架，软担架各一套</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Layout w:type="fixed"/>
          <w:tblCellMar>
            <w:top w:w="0" w:type="dxa"/>
            <w:left w:w="108" w:type="dxa"/>
            <w:bottom w:w="0" w:type="dxa"/>
            <w:right w:w="108" w:type="dxa"/>
          </w:tblCellMar>
        </w:tblPrEx>
        <w:trPr>
          <w:trHeight w:val="1123"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6360" w:type="dxa"/>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急救吸引器：</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负压表范围：0-760mmHg </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负压调节方式：可连续调节，(适用范围最广，适用于不同年龄段患者，包括新生儿) </w:t>
            </w:r>
          </w:p>
          <w:p>
            <w:pPr>
              <w:spacing w:line="360" w:lineRule="auto"/>
              <w:rPr>
                <w:rFonts w:hint="eastAsia" w:ascii="宋体" w:hAnsi="宋体" w:eastAsia="宋体" w:cs="宋体"/>
                <w:sz w:val="24"/>
                <w:szCs w:val="24"/>
              </w:rPr>
            </w:pPr>
            <w:r>
              <w:rPr>
                <w:rFonts w:hint="eastAsia" w:ascii="宋体" w:hAnsi="宋体" w:eastAsia="宋体" w:cs="宋体"/>
                <w:sz w:val="24"/>
                <w:szCs w:val="24"/>
              </w:rPr>
              <w:t>3、重复使用收集罐容积：800ml（标配）</w:t>
            </w:r>
          </w:p>
          <w:p>
            <w:pPr>
              <w:spacing w:line="360" w:lineRule="auto"/>
              <w:rPr>
                <w:rFonts w:hint="eastAsia" w:ascii="宋体" w:hAnsi="宋体" w:eastAsia="宋体" w:cs="宋体"/>
                <w:sz w:val="24"/>
                <w:szCs w:val="24"/>
              </w:rPr>
            </w:pPr>
            <w:r>
              <w:rPr>
                <w:rFonts w:hint="eastAsia" w:ascii="宋体" w:hAnsi="宋体" w:eastAsia="宋体" w:cs="宋体"/>
                <w:sz w:val="24"/>
                <w:szCs w:val="24"/>
              </w:rPr>
              <w:t>4、专利设计密闭便携包，可便携包外操作</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5、蓄电池类型：≥4Ah，连续工作时间：≥50min </w:t>
            </w:r>
          </w:p>
          <w:p>
            <w:pPr>
              <w:spacing w:line="360" w:lineRule="auto"/>
              <w:rPr>
                <w:rFonts w:hint="eastAsia" w:ascii="宋体" w:hAnsi="宋体" w:eastAsia="宋体" w:cs="宋体"/>
                <w:sz w:val="24"/>
                <w:szCs w:val="24"/>
              </w:rPr>
            </w:pPr>
            <w:r>
              <w:rPr>
                <w:rFonts w:hint="eastAsia" w:ascii="宋体" w:hAnsi="宋体" w:eastAsia="宋体" w:cs="宋体"/>
                <w:sz w:val="24"/>
                <w:szCs w:val="24"/>
              </w:rPr>
              <w:t>6、额定电压：12VDC（用于车辆充电）</w:t>
            </w:r>
          </w:p>
          <w:p>
            <w:pPr>
              <w:spacing w:line="360" w:lineRule="auto"/>
              <w:rPr>
                <w:rFonts w:hint="eastAsia" w:ascii="宋体" w:hAnsi="宋体" w:eastAsia="宋体" w:cs="宋体"/>
                <w:sz w:val="24"/>
                <w:szCs w:val="24"/>
              </w:rPr>
            </w:pPr>
            <w:r>
              <w:rPr>
                <w:rFonts w:hint="eastAsia" w:ascii="宋体" w:hAnsi="宋体" w:eastAsia="宋体" w:cs="宋体"/>
                <w:sz w:val="24"/>
                <w:szCs w:val="24"/>
              </w:rPr>
              <w:t>7、电机功率： ≥30W（Max），抽吸流量：&gt;25升/分钟</w:t>
            </w:r>
          </w:p>
          <w:p>
            <w:pPr>
              <w:spacing w:line="360" w:lineRule="auto"/>
              <w:rPr>
                <w:rFonts w:hint="eastAsia" w:ascii="宋体" w:hAnsi="宋体" w:eastAsia="宋体" w:cs="宋体"/>
                <w:sz w:val="24"/>
                <w:szCs w:val="24"/>
              </w:rPr>
            </w:pPr>
            <w:r>
              <w:rPr>
                <w:rFonts w:hint="eastAsia" w:ascii="宋体" w:hAnsi="宋体" w:eastAsia="宋体" w:cs="宋体"/>
                <w:sz w:val="24"/>
                <w:szCs w:val="24"/>
              </w:rPr>
              <w:t>8、噪音：55dBa (便携包外操作53 dBa)</w:t>
            </w:r>
          </w:p>
          <w:p>
            <w:pPr>
              <w:spacing w:line="360" w:lineRule="auto"/>
              <w:rPr>
                <w:rFonts w:hint="eastAsia" w:ascii="宋体" w:hAnsi="宋体" w:eastAsia="宋体" w:cs="宋体"/>
                <w:sz w:val="24"/>
                <w:szCs w:val="24"/>
              </w:rPr>
            </w:pPr>
            <w:r>
              <w:rPr>
                <w:rFonts w:hint="eastAsia" w:ascii="宋体" w:hAnsi="宋体" w:eastAsia="宋体" w:cs="宋体"/>
                <w:sz w:val="24"/>
                <w:szCs w:val="24"/>
              </w:rPr>
              <w:t>9、充电电压：DC12/AC100-240V；50/60Hz</w:t>
            </w:r>
          </w:p>
          <w:p>
            <w:pPr>
              <w:spacing w:line="360" w:lineRule="auto"/>
              <w:rPr>
                <w:rFonts w:hint="eastAsia" w:ascii="宋体" w:hAnsi="宋体" w:eastAsia="宋体" w:cs="宋体"/>
                <w:sz w:val="24"/>
                <w:szCs w:val="24"/>
              </w:rPr>
            </w:pPr>
            <w:r>
              <w:rPr>
                <w:rFonts w:hint="eastAsia" w:ascii="宋体" w:hAnsi="宋体" w:eastAsia="宋体" w:cs="宋体"/>
                <w:sz w:val="24"/>
                <w:szCs w:val="24"/>
              </w:rPr>
              <w:t>10、与电源连接时自动充电，独有防逆流痰液收集瓶与细菌滤</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r>
        <w:tblPrEx>
          <w:tblLayout w:type="fixed"/>
          <w:tblCellMar>
            <w:top w:w="0" w:type="dxa"/>
            <w:left w:w="108" w:type="dxa"/>
            <w:bottom w:w="0" w:type="dxa"/>
            <w:right w:w="108" w:type="dxa"/>
          </w:tblCellMar>
        </w:tblPrEx>
        <w:trPr>
          <w:trHeight w:val="3984" w:hRule="atLeast"/>
          <w:jc w:val="center"/>
        </w:trPr>
        <w:tc>
          <w:tcPr>
            <w:tcW w:w="1185"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6360" w:type="dxa"/>
            <w:tcBorders>
              <w:top w:val="single" w:color="auto" w:sz="4" w:space="0"/>
              <w:left w:val="nil"/>
              <w:right w:val="single" w:color="auto" w:sz="4" w:space="0"/>
            </w:tcBorders>
            <w:noWrap/>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注射泵</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具备快速启动功能</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DPS动态压力检测</w:t>
            </w:r>
            <w:r>
              <w:rPr>
                <w:rFonts w:hint="eastAsia" w:ascii="宋体" w:hAnsi="宋体" w:eastAsia="宋体" w:cs="宋体"/>
                <w:sz w:val="24"/>
                <w:szCs w:val="24"/>
              </w:rPr>
              <w:br w:type="textWrapping"/>
            </w:r>
            <w:r>
              <w:rPr>
                <w:rFonts w:hint="eastAsia" w:ascii="宋体" w:hAnsi="宋体" w:eastAsia="宋体" w:cs="宋体"/>
                <w:sz w:val="24"/>
                <w:szCs w:val="24"/>
              </w:rPr>
              <w:t>· IP24防护等级</w:t>
            </w:r>
          </w:p>
          <w:p>
            <w:pPr>
              <w:widowControl/>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方便单手操作</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重量轻，方便携带</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大容量电池，支持12h转运</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RS232，直流接口，护士呼叫接口</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Wifi联网</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可连接输液工作站</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r>
        <w:tblPrEx>
          <w:tblLayout w:type="fixed"/>
          <w:tblCellMar>
            <w:top w:w="0" w:type="dxa"/>
            <w:left w:w="108" w:type="dxa"/>
            <w:bottom w:w="0" w:type="dxa"/>
            <w:right w:w="108" w:type="dxa"/>
          </w:tblCellMar>
        </w:tblPrEx>
        <w:trPr>
          <w:trHeight w:val="360" w:hRule="atLeast"/>
          <w:jc w:val="center"/>
        </w:trPr>
        <w:tc>
          <w:tcPr>
            <w:tcW w:w="1185" w:type="dxa"/>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6360" w:type="dxa"/>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输液泵</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电源：交流电源：用户指定电压，内部电池：充满电(在100毫升/小时，充大约5小时)后约可以连续使用2小时，用交流电源工作时，内部电池自动充电也可以外接12伏交流工作电源</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安全等级：一级，CF型</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 xml:space="preserve">流量选择：范围：1-999毫升/小时（最小增减量为1毫升/小时）流速准确度：+/-2% </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输液总量设置：1-9999毫升（最小增减量为1毫升）</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阻塞监测压：大于0.7公斤/厘米</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最高流量：999毫升/小时</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快速注射流量：500毫升/小时</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报警：自检、闭塞、开门、管路内气泡监测、不工作、液体缺失、输液完毕、电池电压过低</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功能：自检、流量设置、输液总量设置、已输液量显示、最高流量、快速输液控制、KVO、输液完毕显示、电源显示、输液状况显示、报警声静没、呼叫护士信号输出、特殊设置（音量等）</w:t>
            </w:r>
          </w:p>
          <w:p>
            <w:pPr>
              <w:pStyle w:val="2"/>
              <w:spacing w:line="360" w:lineRule="auto"/>
              <w:rPr>
                <w:rFonts w:hint="eastAsia" w:ascii="宋体" w:hAnsi="宋体" w:eastAsia="宋体" w:cs="宋体"/>
                <w:sz w:val="24"/>
                <w:szCs w:val="24"/>
              </w:rPr>
            </w:pPr>
            <w:r>
              <w:rPr>
                <w:rFonts w:hint="eastAsia" w:ascii="宋体" w:hAnsi="宋体" w:eastAsia="宋体" w:cs="宋体"/>
                <w:sz w:val="24"/>
                <w:szCs w:val="24"/>
              </w:rPr>
              <w:t xml:space="preserve">体积：≤14（宽）x 15（长）x 22（高）cm </w:t>
            </w:r>
          </w:p>
        </w:tc>
        <w:tc>
          <w:tcPr>
            <w:tcW w:w="121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r>
        <w:tblPrEx>
          <w:tblLayout w:type="fixed"/>
          <w:tblCellMar>
            <w:top w:w="0" w:type="dxa"/>
            <w:left w:w="108" w:type="dxa"/>
            <w:bottom w:w="0" w:type="dxa"/>
            <w:right w:w="108" w:type="dxa"/>
          </w:tblCellMar>
        </w:tblPrEx>
        <w:trPr>
          <w:trHeight w:val="360" w:hRule="atLeast"/>
          <w:jc w:val="center"/>
        </w:trPr>
        <w:tc>
          <w:tcPr>
            <w:tcW w:w="1185" w:type="dxa"/>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6360" w:type="dxa"/>
            <w:tcBorders>
              <w:top w:val="single" w:color="auto" w:sz="4" w:space="0"/>
              <w:left w:val="nil"/>
              <w:bottom w:val="single" w:color="auto" w:sz="4" w:space="0"/>
              <w:right w:val="single" w:color="000000" w:sz="4" w:space="0"/>
            </w:tcBorders>
            <w:noWrap/>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可视喉镜技术要求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1背光LED显示屏</w:t>
            </w:r>
          </w:p>
          <w:p>
            <w:pPr>
              <w:spacing w:line="360" w:lineRule="auto"/>
              <w:rPr>
                <w:rFonts w:hint="eastAsia" w:ascii="宋体" w:hAnsi="宋体" w:eastAsia="宋体" w:cs="宋体"/>
                <w:sz w:val="24"/>
                <w:szCs w:val="24"/>
              </w:rPr>
            </w:pPr>
            <w:r>
              <w:rPr>
                <w:rFonts w:hint="eastAsia" w:ascii="宋体" w:hAnsi="宋体" w:eastAsia="宋体" w:cs="宋体"/>
                <w:sz w:val="24"/>
                <w:szCs w:val="24"/>
              </w:rPr>
              <w:t>尺寸：≥3寸</w:t>
            </w:r>
          </w:p>
          <w:p>
            <w:pPr>
              <w:spacing w:line="360" w:lineRule="auto"/>
              <w:rPr>
                <w:rFonts w:hint="eastAsia" w:ascii="宋体" w:hAnsi="宋体" w:eastAsia="宋体" w:cs="宋体"/>
                <w:sz w:val="24"/>
                <w:szCs w:val="24"/>
              </w:rPr>
            </w:pPr>
            <w:r>
              <w:rPr>
                <w:rFonts w:hint="eastAsia" w:ascii="宋体" w:hAnsi="宋体" w:eastAsia="宋体" w:cs="宋体"/>
                <w:sz w:val="24"/>
                <w:szCs w:val="24"/>
              </w:rPr>
              <w:t>分辨率：≥1280*1024</w:t>
            </w:r>
          </w:p>
          <w:p>
            <w:pPr>
              <w:spacing w:line="360" w:lineRule="auto"/>
              <w:rPr>
                <w:rFonts w:hint="eastAsia" w:ascii="宋体" w:hAnsi="宋体" w:eastAsia="宋体" w:cs="宋体"/>
                <w:sz w:val="24"/>
                <w:szCs w:val="24"/>
              </w:rPr>
            </w:pPr>
            <w:r>
              <w:rPr>
                <w:rFonts w:hint="eastAsia" w:ascii="宋体" w:hAnsi="宋体" w:eastAsia="宋体" w:cs="宋体"/>
                <w:sz w:val="24"/>
                <w:szCs w:val="24"/>
              </w:rPr>
              <w:t>前后转动角度：0-180°,左右转动角度：0-270°</w:t>
            </w:r>
          </w:p>
          <w:p>
            <w:pPr>
              <w:spacing w:line="360" w:lineRule="auto"/>
              <w:rPr>
                <w:rFonts w:hint="eastAsia" w:ascii="宋体" w:hAnsi="宋体" w:eastAsia="宋体" w:cs="宋体"/>
                <w:sz w:val="24"/>
                <w:szCs w:val="24"/>
              </w:rPr>
            </w:pPr>
            <w:r>
              <w:rPr>
                <w:rFonts w:hint="eastAsia" w:ascii="宋体" w:hAnsi="宋体" w:eastAsia="宋体" w:cs="宋体"/>
                <w:sz w:val="24"/>
                <w:szCs w:val="24"/>
              </w:rPr>
              <w:t>2整机材质</w:t>
            </w:r>
          </w:p>
          <w:p>
            <w:pPr>
              <w:spacing w:line="360" w:lineRule="auto"/>
              <w:rPr>
                <w:rFonts w:hint="eastAsia" w:ascii="宋体" w:hAnsi="宋体" w:eastAsia="宋体" w:cs="宋体"/>
                <w:sz w:val="24"/>
                <w:szCs w:val="24"/>
              </w:rPr>
            </w:pPr>
            <w:r>
              <w:rPr>
                <w:rFonts w:hint="eastAsia" w:ascii="宋体" w:hAnsi="宋体" w:eastAsia="宋体" w:cs="宋体"/>
                <w:sz w:val="24"/>
                <w:szCs w:val="24"/>
              </w:rPr>
              <w:t>全合金材质的手柄及屏幕外壳和窥视片支架，美观耐用，便于清洁和消毒。</w:t>
            </w:r>
          </w:p>
          <w:p>
            <w:pPr>
              <w:spacing w:line="360" w:lineRule="auto"/>
              <w:rPr>
                <w:rFonts w:hint="eastAsia" w:ascii="宋体" w:hAnsi="宋体" w:eastAsia="宋体" w:cs="宋体"/>
                <w:sz w:val="24"/>
                <w:szCs w:val="24"/>
              </w:rPr>
            </w:pPr>
            <w:r>
              <w:rPr>
                <w:rFonts w:hint="eastAsia" w:ascii="宋体" w:hAnsi="宋体" w:eastAsia="宋体" w:cs="宋体"/>
                <w:sz w:val="24"/>
                <w:szCs w:val="24"/>
              </w:rPr>
              <w:t>3影像输出</w:t>
            </w:r>
          </w:p>
          <w:p>
            <w:pPr>
              <w:spacing w:line="360" w:lineRule="auto"/>
              <w:rPr>
                <w:rFonts w:hint="eastAsia" w:ascii="宋体" w:hAnsi="宋体" w:eastAsia="宋体" w:cs="宋体"/>
                <w:sz w:val="24"/>
                <w:szCs w:val="24"/>
              </w:rPr>
            </w:pPr>
            <w:r>
              <w:rPr>
                <w:rFonts w:hint="eastAsia" w:ascii="宋体" w:hAnsi="宋体" w:eastAsia="宋体" w:cs="宋体"/>
                <w:sz w:val="24"/>
                <w:szCs w:val="24"/>
              </w:rPr>
              <w:t>可外接显示器，方便教学及演示等。</w:t>
            </w:r>
          </w:p>
          <w:p>
            <w:pPr>
              <w:spacing w:line="360" w:lineRule="auto"/>
              <w:rPr>
                <w:rFonts w:hint="eastAsia" w:ascii="宋体" w:hAnsi="宋体" w:eastAsia="宋体" w:cs="宋体"/>
                <w:sz w:val="24"/>
                <w:szCs w:val="24"/>
              </w:rPr>
            </w:pPr>
            <w:r>
              <w:rPr>
                <w:rFonts w:hint="eastAsia" w:ascii="宋体" w:hAnsi="宋体" w:eastAsia="宋体" w:cs="宋体"/>
                <w:sz w:val="24"/>
                <w:szCs w:val="24"/>
              </w:rPr>
              <w:t>4成人中号喉镜片（含摄像头）</w:t>
            </w:r>
          </w:p>
          <w:p>
            <w:pPr>
              <w:spacing w:line="360" w:lineRule="auto"/>
              <w:rPr>
                <w:rFonts w:hint="eastAsia" w:ascii="宋体" w:hAnsi="宋体" w:eastAsia="宋体" w:cs="宋体"/>
                <w:sz w:val="24"/>
                <w:szCs w:val="24"/>
              </w:rPr>
            </w:pPr>
            <w:r>
              <w:rPr>
                <w:rFonts w:hint="eastAsia" w:ascii="宋体" w:hAnsi="宋体" w:eastAsia="宋体" w:cs="宋体"/>
                <w:sz w:val="24"/>
                <w:szCs w:val="24"/>
              </w:rPr>
              <w:t>分辨率：≥200万</w:t>
            </w:r>
          </w:p>
          <w:p>
            <w:pPr>
              <w:spacing w:line="360" w:lineRule="auto"/>
              <w:rPr>
                <w:rFonts w:hint="eastAsia" w:ascii="宋体" w:hAnsi="宋体" w:eastAsia="宋体" w:cs="宋体"/>
                <w:sz w:val="24"/>
                <w:szCs w:val="24"/>
              </w:rPr>
            </w:pPr>
            <w:r>
              <w:rPr>
                <w:rFonts w:hint="eastAsia" w:ascii="宋体" w:hAnsi="宋体" w:eastAsia="宋体" w:cs="宋体"/>
                <w:sz w:val="24"/>
                <w:szCs w:val="24"/>
              </w:rPr>
              <w:t>视场角：≥90°</w:t>
            </w:r>
          </w:p>
          <w:p>
            <w:pPr>
              <w:spacing w:line="360" w:lineRule="auto"/>
              <w:rPr>
                <w:rFonts w:hint="eastAsia" w:ascii="宋体" w:hAnsi="宋体" w:eastAsia="宋体" w:cs="宋体"/>
                <w:sz w:val="24"/>
                <w:szCs w:val="24"/>
              </w:rPr>
            </w:pPr>
            <w:r>
              <w:rPr>
                <w:rFonts w:hint="eastAsia" w:ascii="宋体" w:hAnsi="宋体" w:eastAsia="宋体" w:cs="宋体"/>
                <w:sz w:val="24"/>
                <w:szCs w:val="24"/>
              </w:rPr>
              <w:t>光照度：≥800LUX</w:t>
            </w:r>
          </w:p>
          <w:p>
            <w:pPr>
              <w:spacing w:line="360" w:lineRule="auto"/>
              <w:rPr>
                <w:rFonts w:hint="eastAsia" w:ascii="宋体" w:hAnsi="宋体" w:eastAsia="宋体" w:cs="宋体"/>
                <w:sz w:val="24"/>
                <w:szCs w:val="24"/>
              </w:rPr>
            </w:pPr>
            <w:r>
              <w:rPr>
                <w:rFonts w:hint="eastAsia" w:ascii="宋体" w:hAnsi="宋体" w:eastAsia="宋体" w:cs="宋体"/>
                <w:sz w:val="24"/>
                <w:szCs w:val="24"/>
              </w:rPr>
              <w:t>高清、超长景深：5-100mm</w:t>
            </w:r>
          </w:p>
          <w:p>
            <w:pPr>
              <w:spacing w:line="360" w:lineRule="auto"/>
              <w:rPr>
                <w:rFonts w:hint="eastAsia" w:ascii="宋体" w:hAnsi="宋体" w:eastAsia="宋体" w:cs="宋体"/>
                <w:sz w:val="24"/>
                <w:szCs w:val="24"/>
              </w:rPr>
            </w:pPr>
            <w:r>
              <w:rPr>
                <w:rFonts w:hint="eastAsia" w:ascii="宋体" w:hAnsi="宋体" w:eastAsia="宋体" w:cs="宋体"/>
                <w:sz w:val="24"/>
                <w:szCs w:val="24"/>
              </w:rPr>
              <w:t>5锂电子可充电电池</w:t>
            </w:r>
          </w:p>
          <w:p>
            <w:pPr>
              <w:spacing w:line="360" w:lineRule="auto"/>
              <w:rPr>
                <w:rFonts w:hint="eastAsia" w:ascii="宋体" w:hAnsi="宋体" w:eastAsia="宋体" w:cs="宋体"/>
                <w:sz w:val="24"/>
                <w:szCs w:val="24"/>
              </w:rPr>
            </w:pPr>
            <w:r>
              <w:rPr>
                <w:rFonts w:hint="eastAsia" w:ascii="宋体" w:hAnsi="宋体" w:eastAsia="宋体" w:cs="宋体"/>
                <w:sz w:val="24"/>
                <w:szCs w:val="24"/>
              </w:rPr>
              <w:t>电压：≤7.4V</w:t>
            </w:r>
          </w:p>
          <w:p>
            <w:pPr>
              <w:spacing w:line="360" w:lineRule="auto"/>
              <w:rPr>
                <w:rFonts w:hint="eastAsia" w:ascii="宋体" w:hAnsi="宋体" w:eastAsia="宋体" w:cs="宋体"/>
                <w:sz w:val="24"/>
                <w:szCs w:val="24"/>
              </w:rPr>
            </w:pPr>
            <w:r>
              <w:rPr>
                <w:rFonts w:hint="eastAsia" w:ascii="宋体" w:hAnsi="宋体" w:eastAsia="宋体" w:cs="宋体"/>
                <w:sz w:val="24"/>
                <w:szCs w:val="24"/>
              </w:rPr>
              <w:t>容量：＞2200mAh</w:t>
            </w:r>
          </w:p>
          <w:p>
            <w:pPr>
              <w:spacing w:line="360" w:lineRule="auto"/>
              <w:rPr>
                <w:rFonts w:hint="eastAsia" w:ascii="宋体" w:hAnsi="宋体" w:eastAsia="宋体" w:cs="宋体"/>
                <w:sz w:val="24"/>
                <w:szCs w:val="24"/>
              </w:rPr>
            </w:pPr>
            <w:r>
              <w:rPr>
                <w:rFonts w:hint="eastAsia" w:ascii="宋体" w:hAnsi="宋体" w:eastAsia="宋体" w:cs="宋体"/>
                <w:sz w:val="24"/>
                <w:szCs w:val="24"/>
              </w:rPr>
              <w:t>充电次数：＞300次</w:t>
            </w:r>
          </w:p>
          <w:p>
            <w:pPr>
              <w:spacing w:line="360" w:lineRule="auto"/>
              <w:rPr>
                <w:rFonts w:hint="eastAsia" w:ascii="宋体" w:hAnsi="宋体" w:eastAsia="宋体" w:cs="宋体"/>
                <w:sz w:val="24"/>
                <w:szCs w:val="24"/>
              </w:rPr>
            </w:pPr>
            <w:r>
              <w:rPr>
                <w:rFonts w:hint="eastAsia" w:ascii="宋体" w:hAnsi="宋体" w:eastAsia="宋体" w:cs="宋体"/>
                <w:sz w:val="24"/>
                <w:szCs w:val="24"/>
              </w:rPr>
              <w:t>充电时间：＜3小时</w:t>
            </w:r>
          </w:p>
        </w:tc>
        <w:tc>
          <w:tcPr>
            <w:tcW w:w="1210" w:type="dxa"/>
            <w:tcBorders>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3台</w:t>
            </w:r>
          </w:p>
        </w:tc>
      </w:tr>
      <w:tr>
        <w:tblPrEx>
          <w:tblLayout w:type="fixed"/>
          <w:tblCellMar>
            <w:top w:w="0" w:type="dxa"/>
            <w:left w:w="108" w:type="dxa"/>
            <w:bottom w:w="0" w:type="dxa"/>
            <w:right w:w="108" w:type="dxa"/>
          </w:tblCellMar>
        </w:tblPrEx>
        <w:trPr>
          <w:trHeight w:val="360" w:hRule="atLeast"/>
          <w:jc w:val="center"/>
        </w:trPr>
        <w:tc>
          <w:tcPr>
            <w:tcW w:w="1185" w:type="dxa"/>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6360" w:type="dxa"/>
            <w:tcBorders>
              <w:top w:val="single" w:color="auto" w:sz="4" w:space="0"/>
              <w:left w:val="nil"/>
              <w:bottom w:val="single" w:color="auto" w:sz="4" w:space="0"/>
              <w:right w:val="single" w:color="000000" w:sz="4" w:space="0"/>
            </w:tcBorders>
            <w:noWrap/>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自动心肺复苏机技术参数</w:t>
            </w:r>
          </w:p>
          <w:p>
            <w:pPr>
              <w:rPr>
                <w:rFonts w:hint="eastAsia" w:ascii="宋体" w:hAnsi="宋体" w:eastAsia="宋体" w:cs="宋体"/>
                <w:sz w:val="24"/>
                <w:szCs w:val="24"/>
              </w:rPr>
            </w:pPr>
            <w:r>
              <w:rPr>
                <w:rFonts w:hint="eastAsia" w:ascii="宋体" w:hAnsi="宋体" w:eastAsia="宋体" w:cs="宋体"/>
                <w:sz w:val="24"/>
                <w:szCs w:val="24"/>
              </w:rPr>
              <w:t>一般指标</w:t>
            </w:r>
          </w:p>
          <w:p>
            <w:pPr>
              <w:numPr>
                <w:ilvl w:val="0"/>
                <w:numId w:val="13"/>
              </w:numPr>
              <w:tabs>
                <w:tab w:val="left" w:pos="492"/>
                <w:tab w:val="clear" w:pos="1800"/>
              </w:tabs>
              <w:ind w:left="492" w:hanging="426"/>
              <w:jc w:val="left"/>
              <w:rPr>
                <w:rFonts w:hint="eastAsia" w:ascii="宋体" w:hAnsi="宋体" w:eastAsia="宋体" w:cs="宋体"/>
                <w:b/>
                <w:bCs/>
                <w:sz w:val="24"/>
                <w:szCs w:val="24"/>
              </w:rPr>
            </w:pPr>
            <w:r>
              <w:rPr>
                <w:rFonts w:hint="eastAsia"/>
                <w:color w:val="auto"/>
              </w:rPr>
              <w:t>★</w:t>
            </w:r>
            <w:r>
              <w:rPr>
                <w:rFonts w:hint="eastAsia" w:ascii="宋体" w:hAnsi="宋体" w:eastAsia="宋体" w:cs="宋体"/>
                <w:b w:val="0"/>
                <w:bCs w:val="0"/>
                <w:sz w:val="24"/>
                <w:szCs w:val="24"/>
              </w:rPr>
              <w:t>系统能自动测量病人胸廓参数并自动开始胸腔按压</w:t>
            </w:r>
            <w:r>
              <w:rPr>
                <w:rFonts w:hint="eastAsia" w:ascii="宋体" w:hAnsi="宋体" w:eastAsia="宋体" w:cs="宋体"/>
                <w:b/>
                <w:bCs/>
                <w:sz w:val="24"/>
                <w:szCs w:val="24"/>
              </w:rPr>
              <w:t xml:space="preserve"> </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系统应进行全胸廓按压，而不是一点按压</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系统能快速简单的连接，并能用简单的3步操作完成安装并开始运作</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系统胸廓按压应能够以适应病人胸廓尺寸的深度进行</w:t>
            </w:r>
          </w:p>
          <w:p>
            <w:pPr>
              <w:numPr>
                <w:ilvl w:val="0"/>
                <w:numId w:val="13"/>
              </w:numPr>
              <w:tabs>
                <w:tab w:val="left" w:pos="492"/>
                <w:tab w:val="clear" w:pos="1800"/>
              </w:tabs>
              <w:ind w:left="492" w:hanging="426"/>
              <w:jc w:val="left"/>
              <w:rPr>
                <w:rFonts w:hint="eastAsia" w:ascii="宋体" w:hAnsi="宋体" w:eastAsia="宋体" w:cs="宋体"/>
                <w:b w:val="0"/>
                <w:bCs w:val="0"/>
                <w:sz w:val="24"/>
                <w:szCs w:val="24"/>
              </w:rPr>
            </w:pPr>
            <w:r>
              <w:rPr>
                <w:rFonts w:hint="eastAsia"/>
                <w:color w:val="auto"/>
              </w:rPr>
              <w:t>★</w:t>
            </w:r>
            <w:r>
              <w:rPr>
                <w:rFonts w:hint="eastAsia" w:ascii="宋体" w:hAnsi="宋体" w:eastAsia="宋体" w:cs="宋体"/>
                <w:b w:val="0"/>
                <w:bCs w:val="0"/>
                <w:sz w:val="24"/>
                <w:szCs w:val="24"/>
              </w:rPr>
              <w:t xml:space="preserve">能在运输途中不间断进行按压，在达到45度角上下楼梯的病人搬运中也能正常按压 </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系统应为高度集成，容易携带，应有携带用的运输袋</w:t>
            </w:r>
          </w:p>
          <w:p>
            <w:pPr>
              <w:numPr>
                <w:ilvl w:val="0"/>
                <w:numId w:val="13"/>
              </w:numPr>
              <w:tabs>
                <w:tab w:val="left" w:pos="492"/>
                <w:tab w:val="clear" w:pos="1800"/>
              </w:tabs>
              <w:ind w:left="492" w:hanging="426"/>
              <w:jc w:val="left"/>
              <w:rPr>
                <w:rFonts w:hint="eastAsia" w:ascii="宋体" w:hAnsi="宋体" w:eastAsia="宋体" w:cs="宋体"/>
                <w:b w:val="0"/>
                <w:bCs w:val="0"/>
                <w:sz w:val="24"/>
                <w:szCs w:val="24"/>
              </w:rPr>
            </w:pPr>
            <w:r>
              <w:rPr>
                <w:rFonts w:hint="eastAsia"/>
                <w:color w:val="auto"/>
              </w:rPr>
              <w:t>★</w:t>
            </w:r>
            <w:r>
              <w:rPr>
                <w:rFonts w:hint="eastAsia" w:ascii="宋体" w:hAnsi="宋体" w:eastAsia="宋体" w:cs="宋体"/>
                <w:b w:val="0"/>
                <w:bCs w:val="0"/>
                <w:sz w:val="24"/>
                <w:szCs w:val="24"/>
              </w:rPr>
              <w:t>系统使用高容量充电电池供电，不使用气瓶供气驱动</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系统有剩余电量显示标尺</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系统能按新的AHA指南以30:2的按压通气比操作，也可以按用户需要设置为连续不停顿按压</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系统有带背光的LCD显示屏，显示当前运行状态</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系统带声音提示和警报，告知医生进行通气操作</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系统有安全设置当病人按压位置移动时，停止按压，防止按压其他部位。</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系统有适航证，可使用于直升机航空急救</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心肺复苏可以和除颤仪联动，联动后可分析按压周期，精确地确定为患者实施电击的最佳时机。在按压回弹的最开始阶段，此时经胸廓电阻处于最低点，实施电击。</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心肺复苏可把复苏过程全程记录, 可记录及分析实行机械按压总时间, 按压深度, 按压频率与中间个别暂停时间, 以利存档与质控.</w:t>
            </w:r>
          </w:p>
          <w:p>
            <w:pPr>
              <w:numPr>
                <w:ilvl w:val="0"/>
                <w:numId w:val="13"/>
              </w:numPr>
              <w:tabs>
                <w:tab w:val="left" w:pos="492"/>
                <w:tab w:val="clear" w:pos="1800"/>
              </w:tabs>
              <w:ind w:left="492" w:hanging="426"/>
              <w:jc w:val="left"/>
              <w:rPr>
                <w:rFonts w:hint="eastAsia" w:ascii="宋体" w:hAnsi="宋体" w:eastAsia="宋体" w:cs="宋体"/>
                <w:sz w:val="24"/>
                <w:szCs w:val="24"/>
              </w:rPr>
            </w:pPr>
            <w:r>
              <w:rPr>
                <w:rFonts w:hint="eastAsia" w:ascii="宋体" w:hAnsi="宋体" w:eastAsia="宋体" w:cs="宋体"/>
                <w:sz w:val="24"/>
                <w:szCs w:val="24"/>
              </w:rPr>
              <w:t>机器为动力源为交直流两用，锂电池有电量显示按键可轻松查看电池电量</w:t>
            </w:r>
          </w:p>
          <w:p>
            <w:pPr>
              <w:numPr>
                <w:ilvl w:val="0"/>
                <w:numId w:val="13"/>
              </w:numPr>
              <w:tabs>
                <w:tab w:val="left" w:pos="492"/>
                <w:tab w:val="clear" w:pos="1800"/>
              </w:tabs>
              <w:ind w:left="492" w:hanging="426"/>
              <w:jc w:val="left"/>
              <w:rPr>
                <w:rFonts w:hint="eastAsia" w:ascii="宋体" w:hAnsi="宋体" w:eastAsia="宋体" w:cs="宋体"/>
                <w:b/>
                <w:bCs/>
                <w:sz w:val="24"/>
                <w:szCs w:val="24"/>
              </w:rPr>
            </w:pPr>
            <w:r>
              <w:rPr>
                <w:rFonts w:hint="eastAsia"/>
                <w:color w:val="auto"/>
              </w:rPr>
              <w:t>★</w:t>
            </w:r>
            <w:r>
              <w:rPr>
                <w:rFonts w:hint="eastAsia" w:ascii="宋体" w:hAnsi="宋体" w:eastAsia="宋体" w:cs="宋体"/>
                <w:b w:val="0"/>
                <w:bCs w:val="0"/>
                <w:sz w:val="24"/>
                <w:szCs w:val="24"/>
              </w:rPr>
              <w:t>心肺复苏可适用于导管室，机器可透X光。</w:t>
            </w:r>
          </w:p>
          <w:p>
            <w:pPr>
              <w:pStyle w:val="2"/>
              <w:rPr>
                <w:rFonts w:hint="eastAsia" w:ascii="宋体" w:hAnsi="宋体" w:eastAsia="宋体" w:cs="宋体"/>
                <w:b w:val="0"/>
                <w:bCs w:val="0"/>
                <w:sz w:val="24"/>
                <w:szCs w:val="24"/>
              </w:rPr>
            </w:pPr>
            <w:r>
              <w:rPr>
                <w:rFonts w:hint="eastAsia" w:ascii="宋体" w:hAnsi="宋体" w:eastAsia="宋体" w:cs="宋体"/>
                <w:b/>
                <w:bCs/>
                <w:sz w:val="24"/>
                <w:szCs w:val="24"/>
              </w:rPr>
              <w:t>18）</w:t>
            </w:r>
            <w:r>
              <w:rPr>
                <w:rFonts w:hint="eastAsia"/>
                <w:color w:val="auto"/>
              </w:rPr>
              <w:t>★</w:t>
            </w:r>
            <w:r>
              <w:rPr>
                <w:rFonts w:hint="eastAsia" w:ascii="宋体" w:hAnsi="宋体" w:eastAsia="宋体" w:cs="宋体"/>
                <w:b w:val="0"/>
                <w:bCs w:val="0"/>
                <w:sz w:val="24"/>
                <w:szCs w:val="24"/>
              </w:rPr>
              <w:t>如胸外按压绑带配件为一次性产品，则中标商必须承诺免费提供产品生命周期内（只要继续使用该设备）的胸外按压绑带配件，不再另外收取任何费用。</w:t>
            </w:r>
          </w:p>
          <w:p>
            <w:pPr>
              <w:tabs>
                <w:tab w:val="left" w:pos="492"/>
              </w:tabs>
              <w:ind w:hanging="1734"/>
              <w:rPr>
                <w:rFonts w:hint="eastAsia" w:ascii="宋体" w:hAnsi="宋体" w:eastAsia="宋体" w:cs="宋体"/>
                <w:sz w:val="24"/>
                <w:szCs w:val="24"/>
              </w:rPr>
            </w:pPr>
          </w:p>
          <w:p>
            <w:pPr>
              <w:tabs>
                <w:tab w:val="left" w:pos="492"/>
              </w:tabs>
              <w:rPr>
                <w:rFonts w:hint="eastAsia" w:ascii="宋体" w:hAnsi="宋体" w:eastAsia="宋体" w:cs="宋体"/>
                <w:b/>
                <w:sz w:val="24"/>
                <w:szCs w:val="24"/>
              </w:rPr>
            </w:pPr>
            <w:r>
              <w:rPr>
                <w:rFonts w:hint="eastAsia" w:ascii="宋体" w:hAnsi="宋体" w:eastAsia="宋体" w:cs="宋体"/>
                <w:b/>
                <w:bCs/>
                <w:sz w:val="24"/>
                <w:szCs w:val="24"/>
              </w:rPr>
              <w:t xml:space="preserve">物理指标 </w:t>
            </w:r>
            <w:r>
              <w:rPr>
                <w:rFonts w:hint="eastAsia" w:ascii="宋体" w:hAnsi="宋体" w:eastAsia="宋体" w:cs="宋体"/>
                <w:b/>
                <w:sz w:val="24"/>
                <w:szCs w:val="24"/>
              </w:rPr>
              <w:t>:</w:t>
            </w:r>
          </w:p>
          <w:p>
            <w:pPr>
              <w:numPr>
                <w:ilvl w:val="0"/>
                <w:numId w:val="14"/>
              </w:numPr>
              <w:tabs>
                <w:tab w:val="left" w:pos="492"/>
                <w:tab w:val="clear" w:pos="1800"/>
              </w:tabs>
              <w:ind w:hanging="1734"/>
              <w:rPr>
                <w:rFonts w:hint="eastAsia" w:ascii="宋体" w:hAnsi="宋体" w:eastAsia="宋体" w:cs="宋体"/>
                <w:sz w:val="24"/>
                <w:szCs w:val="24"/>
              </w:rPr>
            </w:pPr>
            <w:r>
              <w:rPr>
                <w:rFonts w:hint="eastAsia" w:ascii="宋体" w:hAnsi="宋体" w:eastAsia="宋体" w:cs="宋体"/>
                <w:sz w:val="24"/>
                <w:szCs w:val="24"/>
              </w:rPr>
              <w:t>系统外形尺寸:≤8.4高x46.2宽x82.5厘米</w:t>
            </w:r>
          </w:p>
          <w:p>
            <w:pPr>
              <w:numPr>
                <w:ilvl w:val="0"/>
                <w:numId w:val="14"/>
              </w:numPr>
              <w:tabs>
                <w:tab w:val="left" w:pos="492"/>
                <w:tab w:val="clear" w:pos="1800"/>
              </w:tabs>
              <w:ind w:hanging="1734"/>
              <w:rPr>
                <w:rFonts w:hint="eastAsia" w:ascii="宋体" w:hAnsi="宋体" w:eastAsia="宋体" w:cs="宋体"/>
                <w:sz w:val="24"/>
                <w:szCs w:val="24"/>
              </w:rPr>
            </w:pPr>
            <w:r>
              <w:rPr>
                <w:rFonts w:hint="eastAsia" w:ascii="宋体" w:hAnsi="宋体" w:eastAsia="宋体" w:cs="宋体"/>
                <w:sz w:val="24"/>
                <w:szCs w:val="24"/>
              </w:rPr>
              <w:t>显示方式: 点阵式LCD, 主动背光, 对比度可调</w:t>
            </w:r>
          </w:p>
          <w:p>
            <w:pPr>
              <w:numPr>
                <w:ilvl w:val="0"/>
                <w:numId w:val="14"/>
              </w:numPr>
              <w:tabs>
                <w:tab w:val="left" w:pos="492"/>
                <w:tab w:val="clear" w:pos="1800"/>
              </w:tabs>
              <w:ind w:hanging="1734"/>
              <w:rPr>
                <w:rFonts w:hint="eastAsia" w:ascii="宋体" w:hAnsi="宋体" w:eastAsia="宋体" w:cs="宋体"/>
                <w:sz w:val="24"/>
                <w:szCs w:val="24"/>
              </w:rPr>
            </w:pPr>
            <w:r>
              <w:rPr>
                <w:rFonts w:hint="eastAsia" w:ascii="宋体" w:hAnsi="宋体" w:eastAsia="宋体" w:cs="宋体"/>
                <w:sz w:val="24"/>
                <w:szCs w:val="24"/>
              </w:rPr>
              <w:t>系统使用范围：最高体重 300磅，胸围尺寸76 到 130 厘米，胸腔宽度25 到 38 厘米</w:t>
            </w:r>
          </w:p>
          <w:p>
            <w:pPr>
              <w:tabs>
                <w:tab w:val="left" w:pos="492"/>
              </w:tabs>
              <w:autoSpaceDE w:val="0"/>
              <w:autoSpaceDN w:val="0"/>
              <w:adjustRightInd w:val="0"/>
              <w:rPr>
                <w:rFonts w:hint="eastAsia" w:ascii="宋体" w:hAnsi="宋体" w:eastAsia="宋体" w:cs="宋体"/>
                <w:sz w:val="24"/>
                <w:szCs w:val="24"/>
              </w:rPr>
            </w:pPr>
            <w:r>
              <w:rPr>
                <w:rFonts w:hint="eastAsia" w:ascii="宋体" w:hAnsi="宋体" w:eastAsia="宋体" w:cs="宋体"/>
                <w:b/>
                <w:bCs/>
                <w:sz w:val="24"/>
                <w:szCs w:val="24"/>
              </w:rPr>
              <w:t>操作参数：</w:t>
            </w:r>
          </w:p>
          <w:p>
            <w:pPr>
              <w:tabs>
                <w:tab w:val="left" w:pos="492"/>
              </w:tabs>
              <w:autoSpaceDE w:val="0"/>
              <w:autoSpaceDN w:val="0"/>
              <w:adjustRightInd w:val="0"/>
              <w:ind w:hanging="1734"/>
              <w:rPr>
                <w:rFonts w:hint="eastAsia" w:ascii="宋体" w:hAnsi="宋体" w:eastAsia="宋体" w:cs="宋体"/>
                <w:sz w:val="24"/>
                <w:szCs w:val="24"/>
              </w:rPr>
            </w:pPr>
          </w:p>
          <w:p>
            <w:pPr>
              <w:numPr>
                <w:ilvl w:val="0"/>
                <w:numId w:val="15"/>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胸腔变化: 等于胸腔前后径的 20%</w:t>
            </w:r>
          </w:p>
          <w:p>
            <w:pPr>
              <w:numPr>
                <w:ilvl w:val="0"/>
                <w:numId w:val="15"/>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按压的作用周期（Physiological Duty Cycle）:固定50 ± 5% 按压舒张比</w:t>
            </w:r>
          </w:p>
          <w:p>
            <w:pPr>
              <w:numPr>
                <w:ilvl w:val="0"/>
                <w:numId w:val="15"/>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按压与通气比：固定30:2,或连续按压模式</w:t>
            </w:r>
          </w:p>
          <w:p>
            <w:pPr>
              <w:tabs>
                <w:tab w:val="left" w:pos="492"/>
              </w:tabs>
              <w:autoSpaceDE w:val="0"/>
              <w:autoSpaceDN w:val="0"/>
              <w:adjustRightInd w:val="0"/>
              <w:ind w:left="1440" w:hanging="1734"/>
              <w:rPr>
                <w:rFonts w:hint="eastAsia" w:ascii="宋体" w:hAnsi="宋体" w:eastAsia="宋体" w:cs="宋体"/>
                <w:sz w:val="24"/>
                <w:szCs w:val="24"/>
              </w:rPr>
            </w:pPr>
            <w:r>
              <w:rPr>
                <w:rFonts w:hint="eastAsia" w:ascii="宋体" w:hAnsi="宋体" w:eastAsia="宋体" w:cs="宋体"/>
                <w:sz w:val="24"/>
                <w:szCs w:val="24"/>
              </w:rPr>
              <w:t xml:space="preserve"> </w:t>
            </w:r>
          </w:p>
          <w:p>
            <w:pPr>
              <w:tabs>
                <w:tab w:val="left" w:pos="492"/>
              </w:tabs>
              <w:autoSpaceDE w:val="0"/>
              <w:autoSpaceDN w:val="0"/>
              <w:adjustRightInd w:val="0"/>
              <w:rPr>
                <w:rFonts w:hint="eastAsia" w:ascii="宋体" w:hAnsi="宋体" w:eastAsia="宋体" w:cs="宋体"/>
                <w:b/>
                <w:sz w:val="24"/>
                <w:szCs w:val="24"/>
              </w:rPr>
            </w:pPr>
            <w:r>
              <w:rPr>
                <w:rFonts w:hint="eastAsia" w:ascii="宋体" w:hAnsi="宋体" w:eastAsia="宋体" w:cs="宋体"/>
                <w:b/>
                <w:sz w:val="24"/>
                <w:szCs w:val="24"/>
              </w:rPr>
              <w:t>电池参数：</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类型:可充电锂电池</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容量:大于等于30分钟</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最长电池充电时间：≤4.15小时</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重量:≤2.25 kg</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使用温度:0°C到45°C</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存储温度:－20°C 到35°C</w:t>
            </w:r>
          </w:p>
          <w:p>
            <w:pPr>
              <w:numPr>
                <w:ilvl w:val="0"/>
                <w:numId w:val="16"/>
              </w:numPr>
              <w:tabs>
                <w:tab w:val="left" w:pos="492"/>
                <w:tab w:val="clear" w:pos="1800"/>
              </w:tabs>
              <w:autoSpaceDE w:val="0"/>
              <w:autoSpaceDN w:val="0"/>
              <w:adjustRightInd w:val="0"/>
              <w:ind w:hanging="1734"/>
              <w:rPr>
                <w:rFonts w:hint="eastAsia" w:ascii="宋体" w:hAnsi="宋体" w:eastAsia="宋体" w:cs="宋体"/>
                <w:sz w:val="24"/>
                <w:szCs w:val="24"/>
              </w:rPr>
            </w:pPr>
            <w:r>
              <w:rPr>
                <w:rFonts w:hint="eastAsia" w:ascii="宋体" w:hAnsi="宋体" w:eastAsia="宋体" w:cs="宋体"/>
                <w:sz w:val="24"/>
                <w:szCs w:val="24"/>
              </w:rPr>
              <w:t>充电温度:5°C 到35°C</w:t>
            </w:r>
          </w:p>
        </w:tc>
        <w:tc>
          <w:tcPr>
            <w:tcW w:w="1210" w:type="dxa"/>
            <w:tcBorders>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4套</w:t>
            </w:r>
          </w:p>
        </w:tc>
      </w:tr>
      <w:tr>
        <w:tblPrEx>
          <w:tblLayout w:type="fixed"/>
          <w:tblCellMar>
            <w:top w:w="0" w:type="dxa"/>
            <w:left w:w="108" w:type="dxa"/>
            <w:bottom w:w="0" w:type="dxa"/>
            <w:right w:w="108" w:type="dxa"/>
          </w:tblCellMar>
        </w:tblPrEx>
        <w:trPr>
          <w:trHeight w:val="360" w:hRule="atLeast"/>
          <w:jc w:val="center"/>
        </w:trPr>
        <w:tc>
          <w:tcPr>
            <w:tcW w:w="1185" w:type="dxa"/>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6360" w:type="dxa"/>
            <w:tcBorders>
              <w:top w:val="single" w:color="auto" w:sz="4" w:space="0"/>
              <w:left w:val="nil"/>
              <w:bottom w:val="single" w:color="auto" w:sz="4" w:space="0"/>
              <w:right w:val="single" w:color="000000" w:sz="4" w:space="0"/>
            </w:tcBorders>
            <w:noWrap/>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负压隔离舱技术参数：</w:t>
            </w:r>
          </w:p>
          <w:p>
            <w:pPr>
              <w:widowControl/>
              <w:spacing w:line="360" w:lineRule="auto"/>
              <w:ind w:firstLine="210" w:firstLineChars="100"/>
              <w:rPr>
                <w:rFonts w:hint="eastAsia" w:ascii="宋体" w:hAnsi="宋体" w:eastAsia="宋体" w:cs="宋体"/>
                <w:b w:val="0"/>
                <w:bCs w:val="0"/>
                <w:kern w:val="0"/>
                <w:sz w:val="24"/>
                <w:szCs w:val="24"/>
              </w:rPr>
            </w:pPr>
            <w:r>
              <w:rPr>
                <w:rFonts w:hint="eastAsia"/>
                <w:color w:val="auto"/>
              </w:rPr>
              <w:t>★</w:t>
            </w:r>
            <w:r>
              <w:rPr>
                <w:rFonts w:hint="eastAsia" w:ascii="宋体" w:hAnsi="宋体" w:eastAsia="宋体" w:cs="宋体"/>
                <w:kern w:val="0"/>
                <w:sz w:val="24"/>
                <w:szCs w:val="24"/>
              </w:rPr>
              <w:t>（1）</w:t>
            </w:r>
            <w:r>
              <w:rPr>
                <w:rFonts w:hint="eastAsia" w:ascii="宋体" w:hAnsi="宋体" w:eastAsia="宋体" w:cs="宋体"/>
                <w:b w:val="0"/>
                <w:bCs w:val="0"/>
                <w:kern w:val="0"/>
                <w:sz w:val="24"/>
                <w:szCs w:val="24"/>
              </w:rPr>
              <w:t>具有医疗器械注册证</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（2）展开尺寸≥（L×D×H）1900mm×680mm×500mm。</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（3）内部电源：DC 12V；</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（4）换气量：≥50L/min；</w:t>
            </w:r>
          </w:p>
          <w:p>
            <w:pPr>
              <w:widowControl/>
              <w:spacing w:line="360" w:lineRule="auto"/>
              <w:ind w:firstLine="210" w:firstLineChars="100"/>
              <w:rPr>
                <w:rFonts w:hint="eastAsia" w:ascii="宋体" w:hAnsi="宋体" w:eastAsia="宋体" w:cs="宋体"/>
                <w:kern w:val="0"/>
                <w:sz w:val="24"/>
                <w:szCs w:val="24"/>
              </w:rPr>
            </w:pPr>
            <w:r>
              <w:rPr>
                <w:rFonts w:hint="eastAsia"/>
                <w:color w:val="auto"/>
              </w:rPr>
              <w:t>★</w:t>
            </w:r>
            <w:r>
              <w:rPr>
                <w:rFonts w:hint="eastAsia" w:ascii="宋体" w:hAnsi="宋体" w:eastAsia="宋体" w:cs="宋体"/>
                <w:kern w:val="0"/>
                <w:sz w:val="24"/>
                <w:szCs w:val="24"/>
              </w:rPr>
              <w:t>（5）</w:t>
            </w:r>
            <w:r>
              <w:rPr>
                <w:rFonts w:hint="eastAsia" w:ascii="宋体" w:hAnsi="宋体" w:eastAsia="宋体" w:cs="宋体"/>
                <w:b w:val="0"/>
                <w:bCs w:val="0"/>
                <w:kern w:val="0"/>
                <w:sz w:val="24"/>
                <w:szCs w:val="24"/>
              </w:rPr>
              <w:t>负压值：≥</w:t>
            </w:r>
            <w:r>
              <w:rPr>
                <w:rFonts w:hint="eastAsia" w:ascii="宋体" w:hAnsi="宋体" w:cs="宋体"/>
                <w:b w:val="0"/>
                <w:bCs w:val="0"/>
                <w:kern w:val="0"/>
                <w:sz w:val="24"/>
              </w:rPr>
              <w:t>2min内可达到-15Pa；</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（6）洁净度：对0.3μm气溶胶微粒过滤效率不小于99.99%；</w:t>
            </w:r>
          </w:p>
          <w:p>
            <w:pPr>
              <w:widowControl/>
              <w:tabs>
                <w:tab w:val="left" w:pos="270"/>
              </w:tabs>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（7）噪音等级：≤65dB（A）；</w:t>
            </w:r>
          </w:p>
          <w:p>
            <w:pPr>
              <w:widowControl/>
              <w:tabs>
                <w:tab w:val="left" w:pos="270"/>
              </w:tabs>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（8）充电时间：约12h；</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（9）放电时间：采用电池供电在正常情况下可连续抽吸（负压）时间大于等于4个小时；</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（10）报警：低压力和低电量报警；</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）使用人数：1人；</w:t>
            </w:r>
          </w:p>
          <w:p>
            <w:pPr>
              <w:widowControl/>
              <w:spacing w:line="36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 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）结构功能特点</w:t>
            </w:r>
          </w:p>
          <w:p>
            <w:pPr>
              <w:widowControl/>
              <w:spacing w:line="360" w:lineRule="auto"/>
              <w:ind w:left="900" w:leftChars="20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1、负压隔离舱舱体</w:t>
            </w:r>
            <w:r>
              <w:rPr>
                <w:rFonts w:hint="eastAsia" w:ascii="宋体" w:hAnsi="宋体" w:eastAsia="宋体" w:cs="宋体"/>
                <w:sz w:val="24"/>
                <w:szCs w:val="24"/>
              </w:rPr>
              <w:t>材质为高质量耐用无污染释放的高强度透明材料制作而成，舱体四周使用防水密封的拉链进行密封</w:t>
            </w:r>
            <w:r>
              <w:rPr>
                <w:rFonts w:hint="eastAsia" w:ascii="宋体" w:hAnsi="宋体" w:eastAsia="宋体" w:cs="宋体"/>
                <w:kern w:val="0"/>
                <w:sz w:val="24"/>
                <w:szCs w:val="24"/>
              </w:rPr>
              <w:t>。</w:t>
            </w:r>
          </w:p>
          <w:p>
            <w:pPr>
              <w:widowControl/>
              <w:spacing w:line="360" w:lineRule="auto"/>
              <w:ind w:left="900" w:leftChars="20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2、负压隔离舱舱体</w:t>
            </w:r>
            <w:r>
              <w:rPr>
                <w:rFonts w:hint="eastAsia" w:ascii="宋体" w:hAnsi="宋体" w:eastAsia="宋体" w:cs="宋体"/>
                <w:sz w:val="24"/>
                <w:szCs w:val="24"/>
              </w:rPr>
              <w:t>由5个支撑杆支撑为拱形，配备2个输氧口，为病员输液和输氧气；配置10个操作口，套上一次性手套便于对舱内病人进行护理</w:t>
            </w:r>
            <w:r>
              <w:rPr>
                <w:rFonts w:hint="eastAsia" w:ascii="宋体" w:hAnsi="宋体" w:eastAsia="宋体" w:cs="宋体"/>
                <w:kern w:val="0"/>
                <w:sz w:val="24"/>
                <w:szCs w:val="24"/>
              </w:rPr>
              <w:t>。</w:t>
            </w:r>
          </w:p>
          <w:p>
            <w:pPr>
              <w:widowControl/>
              <w:spacing w:line="360" w:lineRule="auto"/>
              <w:ind w:left="900" w:leftChars="20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sz w:val="24"/>
                <w:szCs w:val="24"/>
              </w:rPr>
              <w:t>需配合担架或担架推车一块使用，便于对病员进行移动</w:t>
            </w:r>
            <w:r>
              <w:rPr>
                <w:rFonts w:hint="eastAsia" w:ascii="宋体" w:hAnsi="宋体" w:eastAsia="宋体" w:cs="宋体"/>
                <w:kern w:val="0"/>
                <w:sz w:val="24"/>
                <w:szCs w:val="24"/>
              </w:rPr>
              <w:t>。</w:t>
            </w:r>
          </w:p>
          <w:p>
            <w:pPr>
              <w:widowControl/>
              <w:spacing w:line="360" w:lineRule="auto"/>
              <w:ind w:left="900" w:leftChars="20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4、选配担架的情况下承重可达150Kg。</w:t>
            </w:r>
          </w:p>
        </w:tc>
        <w:tc>
          <w:tcPr>
            <w:tcW w:w="1210" w:type="dxa"/>
            <w:tcBorders>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Layout w:type="fixed"/>
          <w:tblCellMar>
            <w:top w:w="0" w:type="dxa"/>
            <w:left w:w="108" w:type="dxa"/>
            <w:bottom w:w="0" w:type="dxa"/>
            <w:right w:w="108" w:type="dxa"/>
          </w:tblCellMar>
        </w:tblPrEx>
        <w:trPr>
          <w:trHeight w:val="36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6360" w:type="dxa"/>
            <w:tcBorders>
              <w:top w:val="single" w:color="auto" w:sz="4" w:space="0"/>
              <w:left w:val="single" w:color="auto" w:sz="4" w:space="0"/>
              <w:bottom w:val="single" w:color="auto" w:sz="4" w:space="0"/>
              <w:right w:val="single" w:color="auto" w:sz="4" w:space="0"/>
            </w:tcBorders>
            <w:noWrap/>
            <w:vAlign w:val="center"/>
          </w:tcPr>
          <w:p>
            <w:pPr>
              <w:pStyle w:val="19"/>
              <w:widowControl/>
              <w:shd w:val="clear" w:color="auto" w:fill="FFFFFF"/>
              <w:spacing w:beforeAutospacing="0" w:afterAutospacing="0" w:line="27" w:lineRule="atLeast"/>
              <w:rPr>
                <w:rFonts w:hint="eastAsia" w:ascii="宋体" w:hAnsi="宋体" w:eastAsia="宋体" w:cs="宋体"/>
                <w:b/>
                <w:bCs/>
                <w:sz w:val="24"/>
                <w:szCs w:val="24"/>
                <w:shd w:val="clear" w:color="auto" w:fill="FFFFFF"/>
              </w:rPr>
            </w:pPr>
            <w:r>
              <w:rPr>
                <w:rFonts w:hint="eastAsia" w:ascii="宋体" w:hAnsi="宋体" w:eastAsia="宋体" w:cs="宋体"/>
                <w:b/>
                <w:bCs/>
                <w:sz w:val="24"/>
                <w:szCs w:val="24"/>
              </w:rPr>
              <w:t>电动送风过滤式呼吸防护系统</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电动送风，无呼吸阻力，佩戴舒适安全；</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集多种头面部、呼吸防护为一体；</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头面部防护无需和面部密合，无需适合性检验；</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使用镍氢电池，适合长时间佩戴；</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低流量，低电量报警；</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可喷淋冲洗；</w:t>
            </w:r>
          </w:p>
          <w:p>
            <w:pPr>
              <w:pStyle w:val="19"/>
              <w:widowControl/>
              <w:shd w:val="clear" w:color="auto" w:fill="FFFFFF"/>
              <w:spacing w:beforeAutospacing="0" w:afterAutospacing="0" w:line="27" w:lineRule="atLeast"/>
              <w:rPr>
                <w:rFonts w:hint="eastAsia" w:ascii="宋体" w:hAnsi="宋体" w:eastAsia="宋体" w:cs="宋体"/>
                <w:sz w:val="24"/>
                <w:szCs w:val="24"/>
              </w:rPr>
            </w:pPr>
            <w:r>
              <w:rPr>
                <w:rFonts w:hint="eastAsia" w:ascii="宋体" w:hAnsi="宋体" w:eastAsia="宋体" w:cs="宋体"/>
                <w:sz w:val="24"/>
                <w:szCs w:val="24"/>
                <w:shd w:val="clear" w:color="auto" w:fill="FFFFFF"/>
              </w:rPr>
              <w:t>可选尘毒组合，多种过滤元件供选择。</w:t>
            </w:r>
          </w:p>
        </w:tc>
        <w:tc>
          <w:tcPr>
            <w:tcW w:w="1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6套</w:t>
            </w:r>
          </w:p>
        </w:tc>
      </w:tr>
    </w:tbl>
    <w:p>
      <w:pPr>
        <w:pStyle w:val="14"/>
        <w:snapToGrid w:val="0"/>
        <w:spacing w:line="360" w:lineRule="auto"/>
        <w:rPr>
          <w:rFonts w:ascii="楷体" w:hAnsi="楷体" w:eastAsia="楷体" w:cs="楷体"/>
          <w:b/>
          <w:sz w:val="24"/>
        </w:rPr>
      </w:pPr>
    </w:p>
    <w:p>
      <w:pPr>
        <w:pStyle w:val="14"/>
        <w:snapToGrid w:val="0"/>
        <w:spacing w:line="360" w:lineRule="auto"/>
        <w:rPr>
          <w:rFonts w:hint="eastAsia" w:ascii="宋体" w:hAnsi="宋体" w:eastAsia="宋体" w:cs="宋体"/>
          <w:b/>
          <w:sz w:val="24"/>
          <w:lang w:val="zh-CN"/>
        </w:rPr>
      </w:pPr>
      <w:r>
        <w:rPr>
          <w:rFonts w:hint="eastAsia" w:ascii="宋体" w:hAnsi="宋体" w:eastAsia="宋体" w:cs="宋体"/>
          <w:b/>
          <w:sz w:val="24"/>
        </w:rPr>
        <w:t>三</w:t>
      </w:r>
      <w:r>
        <w:rPr>
          <w:rFonts w:hint="eastAsia" w:ascii="宋体" w:hAnsi="宋体" w:eastAsia="宋体" w:cs="宋体"/>
          <w:b/>
          <w:sz w:val="24"/>
          <w:lang w:val="zh-CN"/>
        </w:rPr>
        <w:t>、其他要求</w:t>
      </w:r>
    </w:p>
    <w:p>
      <w:pPr>
        <w:widowControl/>
        <w:shd w:val="clear" w:color="auto" w:fill="FFFFFF"/>
        <w:tabs>
          <w:tab w:val="left" w:pos="720"/>
        </w:tabs>
        <w:snapToGrid w:val="0"/>
        <w:spacing w:line="360" w:lineRule="auto"/>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供应商投标时必须提供详细的产品技术方案供专家评审；</w:t>
      </w:r>
    </w:p>
    <w:p>
      <w:pPr>
        <w:widowControl/>
        <w:spacing w:line="360" w:lineRule="auto"/>
        <w:rPr>
          <w:rFonts w:hint="eastAsia" w:ascii="宋体" w:hAnsi="宋体" w:eastAsia="宋体" w:cs="宋体"/>
          <w:sz w:val="24"/>
        </w:rPr>
      </w:pPr>
      <w:r>
        <w:rPr>
          <w:rFonts w:hint="eastAsia" w:ascii="宋体" w:hAnsi="宋体" w:eastAsia="宋体" w:cs="宋体"/>
          <w:bCs/>
          <w:sz w:val="24"/>
        </w:rPr>
        <w:t>2、</w:t>
      </w:r>
      <w:r>
        <w:rPr>
          <w:rFonts w:hint="eastAsia" w:ascii="宋体" w:hAnsi="宋体" w:eastAsia="宋体" w:cs="宋体"/>
          <w:sz w:val="24"/>
        </w:rPr>
        <w:t>项目不允许拆分，投标商需响应以上所有项目货物内容。</w:t>
      </w:r>
    </w:p>
    <w:p>
      <w:pPr>
        <w:spacing w:line="360" w:lineRule="auto"/>
        <w:rPr>
          <w:rFonts w:hint="eastAsia" w:ascii="宋体" w:hAnsi="宋体" w:eastAsia="宋体" w:cs="宋体"/>
          <w:bCs/>
          <w:sz w:val="24"/>
        </w:rPr>
      </w:pPr>
      <w:r>
        <w:rPr>
          <w:rFonts w:hint="eastAsia" w:ascii="宋体" w:hAnsi="宋体" w:eastAsia="宋体" w:cs="宋体"/>
          <w:bCs/>
          <w:sz w:val="24"/>
        </w:rPr>
        <w:t>3、</w:t>
      </w:r>
      <w:r>
        <w:rPr>
          <w:rFonts w:hint="eastAsia" w:ascii="宋体" w:hAnsi="宋体" w:eastAsia="宋体" w:cs="宋体"/>
          <w:sz w:val="24"/>
        </w:rPr>
        <w:t>交货期要求：合同签订后30天内交付全部货物。</w:t>
      </w:r>
    </w:p>
    <w:p>
      <w:pPr>
        <w:spacing w:line="360" w:lineRule="auto"/>
        <w:rPr>
          <w:rFonts w:hint="eastAsia" w:ascii="宋体" w:hAnsi="宋体" w:eastAsia="宋体" w:cs="宋体"/>
          <w:bCs/>
          <w:sz w:val="24"/>
        </w:rPr>
      </w:pPr>
      <w:r>
        <w:rPr>
          <w:rFonts w:hint="eastAsia" w:ascii="宋体" w:hAnsi="宋体" w:eastAsia="宋体" w:cs="宋体"/>
          <w:bCs/>
          <w:sz w:val="24"/>
        </w:rPr>
        <w:t>4、产品在使用过程中出现问题，对采购人的服务要求应在1小时内响应；需要在现场进行维修的，应在1个工作日内到达设备现场；一般问题应在24小时内解决，重大问题或其它无法迅速解决的问题应在一周内解决或提出明确解决方案。终身维修。</w:t>
      </w:r>
    </w:p>
    <w:p>
      <w:pPr>
        <w:spacing w:line="360" w:lineRule="auto"/>
        <w:rPr>
          <w:rFonts w:hint="eastAsia" w:ascii="宋体" w:hAnsi="宋体" w:eastAsia="宋体" w:cs="宋体"/>
          <w:bCs/>
          <w:sz w:val="24"/>
        </w:rPr>
      </w:pPr>
      <w:r>
        <w:rPr>
          <w:rFonts w:hint="eastAsia" w:ascii="宋体" w:hAnsi="宋体" w:eastAsia="宋体" w:cs="宋体"/>
          <w:bCs/>
          <w:sz w:val="24"/>
        </w:rPr>
        <w:t>5、投标人应在投标文件中应详细说明其服务计划及收费标准，提供维修点的分布情况及配件供应情况。供应商应在投标文件中详细说明。</w:t>
      </w:r>
    </w:p>
    <w:p>
      <w:pPr>
        <w:spacing w:line="360" w:lineRule="auto"/>
        <w:rPr>
          <w:rFonts w:hint="eastAsia" w:ascii="宋体" w:hAnsi="宋体" w:eastAsia="宋体" w:cs="宋体"/>
          <w:bCs/>
          <w:sz w:val="24"/>
        </w:rPr>
      </w:pPr>
      <w:r>
        <w:rPr>
          <w:rFonts w:hint="eastAsia" w:ascii="宋体" w:hAnsi="宋体" w:eastAsia="宋体" w:cs="宋体"/>
          <w:bCs/>
          <w:sz w:val="24"/>
          <w:lang w:val="en-US" w:eastAsia="zh-CN"/>
        </w:rPr>
        <w:t>6</w:t>
      </w:r>
      <w:r>
        <w:rPr>
          <w:rFonts w:hint="eastAsia" w:ascii="宋体" w:hAnsi="宋体" w:eastAsia="宋体" w:cs="宋体"/>
          <w:bCs/>
          <w:sz w:val="24"/>
        </w:rPr>
        <w:t>、验收</w:t>
      </w:r>
    </w:p>
    <w:p>
      <w:pPr>
        <w:spacing w:line="360" w:lineRule="auto"/>
        <w:rPr>
          <w:rFonts w:hint="eastAsia" w:ascii="宋体" w:hAnsi="宋体" w:eastAsia="宋体" w:cs="宋体"/>
          <w:bCs/>
          <w:sz w:val="24"/>
        </w:rPr>
      </w:pPr>
      <w:r>
        <w:rPr>
          <w:rFonts w:hint="eastAsia" w:ascii="宋体" w:hAnsi="宋体" w:eastAsia="宋体" w:cs="宋体"/>
          <w:bCs/>
          <w:sz w:val="24"/>
          <w:lang w:val="en-US" w:eastAsia="zh-CN"/>
        </w:rPr>
        <w:t>6</w:t>
      </w:r>
      <w:r>
        <w:rPr>
          <w:rFonts w:hint="eastAsia" w:ascii="宋体" w:hAnsi="宋体" w:eastAsia="宋体" w:cs="宋体"/>
          <w:bCs/>
          <w:sz w:val="24"/>
        </w:rPr>
        <w:t>.1 中标人应提供设备的有效检验文件，经采购人认可后，与设备性能指标、合同内容一起作为设备验收标准。采购人对设备验收合格后，双方共同签署验收合格证书并加盖公章。验收中发现设备达不到验收标准或合同规定的性能指标，中标人必须更换设备。并且赔偿由此给采购人造成的损失。</w:t>
      </w:r>
    </w:p>
    <w:p>
      <w:pPr>
        <w:spacing w:line="360" w:lineRule="auto"/>
        <w:rPr>
          <w:rFonts w:hint="eastAsia" w:ascii="宋体" w:hAnsi="宋体" w:eastAsia="宋体" w:cs="宋体"/>
          <w:bCs/>
          <w:sz w:val="24"/>
        </w:rPr>
      </w:pPr>
      <w:r>
        <w:rPr>
          <w:rFonts w:hint="eastAsia" w:ascii="宋体" w:hAnsi="宋体" w:eastAsia="宋体" w:cs="宋体"/>
          <w:bCs/>
          <w:sz w:val="24"/>
          <w:lang w:val="en-US" w:eastAsia="zh-CN"/>
        </w:rPr>
        <w:t>6</w:t>
      </w:r>
      <w:r>
        <w:rPr>
          <w:rFonts w:hint="eastAsia" w:ascii="宋体" w:hAnsi="宋体" w:eastAsia="宋体" w:cs="宋体"/>
          <w:bCs/>
          <w:sz w:val="24"/>
        </w:rPr>
        <w:t>.2 </w:t>
      </w:r>
      <w:r>
        <w:rPr>
          <w:rFonts w:hint="eastAsia" w:ascii="宋体" w:hAnsi="宋体" w:eastAsia="宋体" w:cs="宋体"/>
          <w:bCs/>
          <w:color w:val="auto"/>
          <w:sz w:val="24"/>
        </w:rPr>
        <w:t>验收费用由中标人负担</w:t>
      </w:r>
      <w:r>
        <w:rPr>
          <w:rFonts w:hint="eastAsia" w:ascii="宋体" w:hAnsi="宋体" w:cs="宋体"/>
          <w:bCs/>
          <w:color w:val="auto"/>
          <w:sz w:val="24"/>
          <w:lang w:eastAsia="zh-CN"/>
        </w:rPr>
        <w:t>（一万左右）</w:t>
      </w:r>
      <w:r>
        <w:rPr>
          <w:rFonts w:hint="eastAsia" w:ascii="宋体" w:hAnsi="宋体" w:eastAsia="宋体" w:cs="宋体"/>
          <w:bCs/>
          <w:color w:val="auto"/>
          <w:sz w:val="24"/>
        </w:rPr>
        <w:t>。</w:t>
      </w:r>
    </w:p>
    <w:p>
      <w:pPr>
        <w:spacing w:line="360" w:lineRule="auto"/>
        <w:rPr>
          <w:rFonts w:hint="eastAsia" w:ascii="宋体" w:hAnsi="宋体" w:eastAsia="宋体" w:cs="宋体"/>
          <w:bCs/>
          <w:sz w:val="24"/>
        </w:rPr>
      </w:pPr>
      <w:r>
        <w:rPr>
          <w:rFonts w:hint="eastAsia" w:ascii="宋体" w:hAnsi="宋体" w:eastAsia="宋体" w:cs="宋体"/>
          <w:bCs/>
          <w:sz w:val="24"/>
          <w:lang w:val="en-US" w:eastAsia="zh-CN"/>
        </w:rPr>
        <w:t>7</w:t>
      </w:r>
      <w:r>
        <w:rPr>
          <w:rFonts w:hint="eastAsia" w:ascii="宋体" w:hAnsi="宋体" w:eastAsia="宋体" w:cs="宋体"/>
          <w:bCs/>
          <w:sz w:val="24"/>
        </w:rPr>
        <w:t>、报价方式</w:t>
      </w:r>
    </w:p>
    <w:p>
      <w:pPr>
        <w:spacing w:line="360" w:lineRule="auto"/>
        <w:rPr>
          <w:rFonts w:hint="eastAsia" w:ascii="宋体" w:hAnsi="宋体" w:eastAsia="宋体" w:cs="宋体"/>
          <w:bCs/>
          <w:sz w:val="24"/>
        </w:rPr>
      </w:pPr>
      <w:r>
        <w:rPr>
          <w:rFonts w:hint="eastAsia" w:ascii="宋体" w:hAnsi="宋体" w:eastAsia="宋体" w:cs="宋体"/>
          <w:bCs/>
          <w:sz w:val="24"/>
          <w:lang w:val="en-US" w:eastAsia="zh-CN"/>
        </w:rPr>
        <w:t>7</w:t>
      </w:r>
      <w:r>
        <w:rPr>
          <w:rFonts w:hint="eastAsia" w:ascii="宋体" w:hAnsi="宋体" w:eastAsia="宋体" w:cs="宋体"/>
          <w:bCs/>
          <w:sz w:val="24"/>
        </w:rPr>
        <w:t>.1所有投标价格为含税到采购人人民币价（含货物应交纳的一切税费和伴随服务费）并进行分项报价；质保期后的维保费单独报价（不包括在投标价中），选购件单独分项报价（不包括在投标价中）。</w:t>
      </w:r>
    </w:p>
    <w:p>
      <w:pPr>
        <w:pStyle w:val="11"/>
        <w:ind w:left="0" w:leftChars="0" w:firstLine="0" w:firstLineChars="0"/>
        <w:rPr>
          <w:rFonts w:hint="eastAsia" w:ascii="宋体" w:hAnsi="宋体" w:eastAsia="宋体" w:cs="宋体"/>
          <w:sz w:val="24"/>
        </w:rPr>
      </w:pPr>
    </w:p>
    <w:p>
      <w:pPr>
        <w:numPr>
          <w:ilvl w:val="0"/>
          <w:numId w:val="0"/>
        </w:numPr>
        <w:spacing w:line="360" w:lineRule="auto"/>
        <w:ind w:leftChars="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四</w:t>
      </w:r>
      <w:r>
        <w:rPr>
          <w:rFonts w:hint="eastAsia" w:ascii="宋体" w:hAnsi="宋体" w:eastAsia="宋体" w:cs="宋体"/>
          <w:b/>
          <w:color w:val="auto"/>
          <w:sz w:val="24"/>
          <w:szCs w:val="24"/>
        </w:rPr>
        <w:t>、商务需求</w:t>
      </w:r>
    </w:p>
    <w:p>
      <w:pPr>
        <w:spacing w:line="360" w:lineRule="auto"/>
        <w:ind w:left="360" w:hanging="361" w:hangingChars="150"/>
        <w:rPr>
          <w:rFonts w:hint="eastAsia" w:ascii="宋体" w:hAnsi="宋体" w:eastAsia="宋体" w:cs="宋体"/>
          <w:sz w:val="24"/>
        </w:rPr>
      </w:pPr>
      <w:r>
        <w:rPr>
          <w:rFonts w:hint="eastAsia" w:ascii="宋体" w:hAnsi="宋体" w:eastAsia="宋体" w:cs="宋体"/>
          <w:b/>
          <w:color w:val="auto"/>
          <w:sz w:val="24"/>
          <w:szCs w:val="24"/>
        </w:rPr>
        <w:t>1、</w:t>
      </w:r>
      <w:r>
        <w:rPr>
          <w:rFonts w:hint="eastAsia" w:ascii="宋体" w:hAnsi="宋体" w:eastAsia="宋体" w:cs="宋体"/>
          <w:b/>
          <w:color w:val="auto"/>
          <w:sz w:val="24"/>
          <w:szCs w:val="24"/>
          <w:lang w:eastAsia="zh-CN"/>
        </w:rPr>
        <w:t>质保期</w:t>
      </w:r>
      <w:r>
        <w:rPr>
          <w:rFonts w:hint="eastAsia" w:ascii="宋体" w:hAnsi="宋体" w:eastAsia="宋体" w:cs="宋体"/>
          <w:b/>
          <w:color w:val="auto"/>
          <w:sz w:val="24"/>
          <w:szCs w:val="24"/>
        </w:rPr>
        <w:t>：</w:t>
      </w:r>
      <w:r>
        <w:rPr>
          <w:rFonts w:hint="eastAsia" w:ascii="宋体" w:hAnsi="宋体" w:eastAsia="宋体" w:cs="宋体"/>
          <w:sz w:val="24"/>
        </w:rPr>
        <w:t>（1）底盘车辆提供不低于二年五万公里的保修标准（以先到为准）。</w:t>
      </w:r>
    </w:p>
    <w:p>
      <w:pPr>
        <w:spacing w:line="360" w:lineRule="auto"/>
        <w:ind w:right="-51"/>
        <w:rPr>
          <w:rFonts w:hint="eastAsia" w:ascii="宋体" w:hAnsi="宋体" w:eastAsia="宋体" w:cs="宋体"/>
          <w:b/>
          <w:color w:val="auto"/>
          <w:kern w:val="0"/>
          <w:sz w:val="24"/>
          <w:szCs w:val="24"/>
        </w:rPr>
      </w:pPr>
      <w:r>
        <w:rPr>
          <w:rFonts w:hint="eastAsia" w:ascii="宋体" w:hAnsi="宋体" w:eastAsia="宋体" w:cs="宋体"/>
          <w:sz w:val="24"/>
        </w:rPr>
        <w:t>（2）改装部分及随车急救设备提供不低于1年的保修服务。</w:t>
      </w: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2、交货时间及地点：</w:t>
      </w:r>
      <w:r>
        <w:rPr>
          <w:rFonts w:hint="eastAsia" w:ascii="宋体" w:hAnsi="宋体" w:eastAsia="宋体" w:cs="宋体"/>
          <w:color w:val="auto"/>
          <w:kern w:val="0"/>
          <w:sz w:val="24"/>
          <w:szCs w:val="24"/>
        </w:rPr>
        <w:t>同前面“招标项目一览表”内所填的相关内容。</w:t>
      </w:r>
    </w:p>
    <w:p>
      <w:pPr>
        <w:pStyle w:val="3"/>
        <w:numPr>
          <w:ilvl w:val="0"/>
          <w:numId w:val="0"/>
        </w:numPr>
        <w:spacing w:line="360" w:lineRule="auto"/>
        <w:rPr>
          <w:rFonts w:hint="eastAsia" w:ascii="宋体" w:hAnsi="宋体" w:eastAsia="宋体" w:cs="宋体"/>
          <w:color w:val="auto"/>
          <w:sz w:val="24"/>
          <w:lang w:val="en-US" w:eastAsia="zh-CN"/>
        </w:rPr>
      </w:pPr>
      <w:r>
        <w:rPr>
          <w:rFonts w:hint="eastAsia" w:ascii="宋体" w:hAnsi="宋体" w:eastAsia="宋体" w:cs="宋体"/>
          <w:b/>
          <w:color w:val="auto"/>
          <w:kern w:val="0"/>
          <w:sz w:val="24"/>
          <w:szCs w:val="24"/>
        </w:rPr>
        <w:t>3、</w:t>
      </w:r>
      <w:r>
        <w:rPr>
          <w:rFonts w:hint="eastAsia" w:ascii="宋体" w:hAnsi="宋体" w:eastAsia="宋体" w:cs="宋体"/>
          <w:b/>
          <w:color w:val="auto"/>
          <w:sz w:val="24"/>
          <w:szCs w:val="24"/>
        </w:rPr>
        <w:t>付款条件：</w:t>
      </w:r>
      <w:r>
        <w:rPr>
          <w:rFonts w:hint="eastAsia" w:ascii="宋体" w:hAnsi="宋体" w:eastAsia="宋体" w:cs="宋体"/>
          <w:color w:val="auto"/>
          <w:sz w:val="24"/>
          <w:lang w:val="en-US" w:eastAsia="zh-CN"/>
        </w:rPr>
        <w:t xml:space="preserve"> </w:t>
      </w:r>
      <w:r>
        <w:rPr>
          <w:rFonts w:hint="eastAsia" w:ascii="宋体" w:hAnsi="宋体" w:eastAsia="宋体" w:cs="宋体"/>
          <w:bCs/>
          <w:sz w:val="24"/>
        </w:rPr>
        <w:t>合同签订后1周内支付30%的预付款，</w:t>
      </w:r>
      <w:r>
        <w:rPr>
          <w:rFonts w:hint="eastAsia" w:ascii="宋体" w:hAnsi="宋体" w:eastAsia="宋体" w:cs="宋体"/>
          <w:sz w:val="24"/>
        </w:rPr>
        <w:t>所有货物安装验收合格后一周内一次性付清全部货款。</w:t>
      </w:r>
    </w:p>
    <w:p>
      <w:pPr>
        <w:spacing w:line="360" w:lineRule="auto"/>
        <w:ind w:right="-51"/>
        <w:rPr>
          <w:rFonts w:hint="eastAsia" w:ascii="宋体" w:hAnsi="宋体" w:eastAsia="宋体" w:cs="宋体"/>
          <w:sz w:val="24"/>
        </w:rPr>
      </w:pPr>
      <w:r>
        <w:rPr>
          <w:rFonts w:hint="eastAsia" w:ascii="宋体" w:hAnsi="宋体" w:eastAsia="宋体" w:cs="宋体"/>
          <w:b/>
          <w:color w:val="auto"/>
          <w:kern w:val="0"/>
          <w:sz w:val="24"/>
          <w:szCs w:val="24"/>
          <w:lang w:val="en-US" w:eastAsia="zh-CN" w:bidi="ar-SA"/>
        </w:rPr>
        <w:t>4、其他：</w:t>
      </w:r>
      <w:r>
        <w:rPr>
          <w:rFonts w:hint="eastAsia" w:ascii="宋体" w:hAnsi="宋体" w:eastAsia="宋体" w:cs="宋体"/>
          <w:kern w:val="0"/>
          <w:sz w:val="24"/>
        </w:rPr>
        <w:t>为保证采购方能拥有完善的售后服务，投标商需在中标后签订合同前提供救护车随车急救设备原厂商（除颤仪，</w:t>
      </w:r>
      <w:r>
        <w:rPr>
          <w:rFonts w:hint="eastAsia" w:ascii="宋体" w:hAnsi="宋体" w:eastAsia="宋体" w:cs="宋体"/>
          <w:sz w:val="24"/>
        </w:rPr>
        <w:t>转运呼吸机</w:t>
      </w:r>
      <w:r>
        <w:rPr>
          <w:rFonts w:hint="eastAsia" w:ascii="宋体" w:hAnsi="宋体" w:eastAsia="宋体" w:cs="宋体"/>
          <w:kern w:val="0"/>
          <w:sz w:val="24"/>
        </w:rPr>
        <w:t>，心肺复苏仪，</w:t>
      </w:r>
      <w:r>
        <w:rPr>
          <w:rFonts w:hint="eastAsia" w:ascii="宋体" w:hAnsi="宋体" w:eastAsia="宋体" w:cs="宋体"/>
          <w:sz w:val="24"/>
        </w:rPr>
        <w:t>低温等离子空气消毒机</w:t>
      </w:r>
      <w:r>
        <w:rPr>
          <w:rFonts w:hint="eastAsia" w:ascii="宋体" w:hAnsi="宋体" w:eastAsia="宋体" w:cs="宋体"/>
          <w:kern w:val="0"/>
          <w:sz w:val="24"/>
        </w:rPr>
        <w:t>）的质量及售后保证文件。</w:t>
      </w:r>
      <w:r>
        <w:rPr>
          <w:rFonts w:hint="eastAsia" w:ascii="宋体" w:hAnsi="宋体" w:eastAsia="宋体" w:cs="宋体"/>
          <w:sz w:val="24"/>
        </w:rPr>
        <w:t>并需提供至少3人/次的培训服务，确保用户方至少有2名操作人员可熟练使用。</w:t>
      </w:r>
    </w:p>
    <w:p>
      <w:pPr>
        <w:pStyle w:val="3"/>
        <w:spacing w:line="360" w:lineRule="auto"/>
        <w:ind w:left="0" w:leftChars="0" w:firstLine="0" w:firstLineChars="0"/>
        <w:rPr>
          <w:rFonts w:hint="default" w:asciiTheme="minorEastAsia" w:hAnsiTheme="minorEastAsia" w:eastAsiaTheme="minorEastAsia" w:cstheme="minorBidi"/>
          <w:b/>
          <w:color w:val="auto"/>
          <w:kern w:val="0"/>
          <w:sz w:val="24"/>
          <w:szCs w:val="24"/>
          <w:lang w:val="en-US" w:eastAsia="zh-CN" w:bidi="ar-SA"/>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Bidi"/>
          <w:color w:val="auto"/>
          <w:kern w:val="0"/>
          <w:sz w:val="24"/>
          <w:szCs w:val="24"/>
          <w:lang w:val="en-US" w:eastAsia="zh-CN" w:bidi="ar-SA"/>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4"/>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4"/>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4"/>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4"/>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4"/>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u w:val="none"/>
          <w:lang w:val="en-US" w:eastAsia="zh-CN"/>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lang w:val="en-US" w:eastAsia="zh-CN"/>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lang w:val="en-US" w:eastAsia="zh-CN"/>
        </w:rPr>
        <w:t>质保期满1年后</w:t>
      </w:r>
      <w:r>
        <w:rPr>
          <w:rFonts w:hint="eastAsia" w:asciiTheme="minorEastAsia" w:hAnsiTheme="minorEastAsia" w:eastAsiaTheme="minorEastAsia" w:cstheme="minorBidi"/>
          <w:sz w:val="24"/>
          <w:lang w:val="zh-CN"/>
        </w:rPr>
        <w:t>无息退还。]</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4"/>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4"/>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4"/>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4"/>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r>
        <w:rPr>
          <w:rFonts w:hint="eastAsia" w:hAnsi="宋体" w:cs="宋体"/>
          <w:color w:val="FF0000"/>
          <w:sz w:val="24"/>
          <w:lang w:eastAsia="zh-CN"/>
        </w:rPr>
        <w:t>质保</w:t>
      </w:r>
      <w:r>
        <w:rPr>
          <w:rFonts w:hint="eastAsia" w:ascii="宋体" w:hAnsi="宋体" w:eastAsia="宋体" w:cs="宋体"/>
          <w:color w:val="FF0000"/>
          <w:sz w:val="24"/>
        </w:rPr>
        <w:t>期外，供应商提供终生的维修服务，且要求相关配件及人工费用低于平均市场价格。</w:t>
      </w:r>
    </w:p>
    <w:p>
      <w:pPr>
        <w:pStyle w:val="14"/>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w:t>
      </w:r>
      <w:r>
        <w:rPr>
          <w:rFonts w:hint="eastAsia" w:asciiTheme="minorEastAsia" w:hAnsiTheme="minorEastAsia" w:eastAsiaTheme="minorEastAsia"/>
          <w:color w:val="000000"/>
          <w:sz w:val="24"/>
          <w:lang w:val="en-US" w:eastAsia="zh-CN"/>
        </w:rPr>
        <w:t xml:space="preserve">   </w:t>
      </w:r>
      <w:r>
        <w:rPr>
          <w:rFonts w:asciiTheme="minorEastAsia" w:hAnsiTheme="minorEastAsia" w:eastAsiaTheme="minorEastAsia"/>
          <w:color w:val="000000"/>
          <w:sz w:val="24"/>
        </w:rPr>
        <w:t>年，因人为因素出现的故障不在免费保修范围</w:t>
      </w:r>
    </w:p>
    <w:p>
      <w:pPr>
        <w:pStyle w:val="14"/>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4"/>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4"/>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4"/>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4"/>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4"/>
        <w:numPr>
          <w:ilvl w:val="0"/>
          <w:numId w:val="17"/>
        </w:numPr>
        <w:snapToGrid w:val="0"/>
        <w:spacing w:before="120" w:after="120" w:line="360" w:lineRule="auto"/>
        <w:ind w:left="420" w:leftChars="0" w:hanging="420" w:hangingChars="175"/>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乙方运送的货物涉及商品包装和快递包装的，参考《商品包装政府采购需求标准（试行）》、《快递包装政府采购需求标准（试行）》（财办库［2020］123号）</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4"/>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color w:val="auto"/>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8"/>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8"/>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8"/>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ascii="宋体" w:hAnsi="宋体"/>
          <w:b/>
          <w:sz w:val="28"/>
        </w:rPr>
      </w:pPr>
      <w:r>
        <w:rPr>
          <w:rFonts w:hint="eastAsia" w:ascii="宋体" w:hAnsi="宋体"/>
          <w:b/>
          <w:sz w:val="28"/>
        </w:rPr>
        <w:t>附件2</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9"/>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80"/>
        <w:textAlignment w:val="auto"/>
        <w:rPr>
          <w:rFonts w:ascii="宋体" w:hAnsi="宋体" w:cs="仿宋_GB2312"/>
          <w:kern w:val="0"/>
          <w:sz w:val="24"/>
        </w:rPr>
      </w:pP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pStyle w:val="14"/>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w:t>
      </w:r>
      <w:r>
        <w:rPr>
          <w:rFonts w:hint="eastAsia" w:ascii="宋体"/>
          <w:sz w:val="24"/>
          <w:lang w:eastAsia="zh-CN"/>
        </w:rPr>
        <w:t>电子印章</w:t>
      </w:r>
      <w:r>
        <w:rPr>
          <w:rFonts w:hint="eastAsia" w:ascii="宋体"/>
          <w:sz w:val="24"/>
        </w:rPr>
        <w:t>）：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r>
        <w:rPr>
          <w:rFonts w:hint="eastAsia"/>
          <w:b/>
          <w:sz w:val="28"/>
        </w:rPr>
        <w:t>附件5</w:t>
      </w:r>
    </w:p>
    <w:p>
      <w:pPr>
        <w:pStyle w:val="33"/>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2"/>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3"/>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3"/>
              <w:shd w:val="clear" w:color="auto" w:fill="FFFFFF"/>
              <w:spacing w:line="360" w:lineRule="auto"/>
              <w:rPr>
                <w:bCs/>
                <w:color w:val="000000"/>
              </w:rPr>
            </w:pPr>
          </w:p>
        </w:tc>
        <w:tc>
          <w:tcPr>
            <w:tcW w:w="2001" w:type="dxa"/>
            <w:gridSpan w:val="3"/>
          </w:tcPr>
          <w:p>
            <w:pPr>
              <w:pStyle w:val="33"/>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3"/>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3"/>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3"/>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3"/>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3"/>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3"/>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3"/>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vMerge w:val="restart"/>
          </w:tcPr>
          <w:p>
            <w:pPr>
              <w:pStyle w:val="33"/>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3"/>
              <w:shd w:val="clear" w:color="auto" w:fill="FFFFFF"/>
              <w:spacing w:line="360" w:lineRule="auto"/>
              <w:ind w:left="107"/>
              <w:rPr>
                <w:bCs/>
                <w:color w:val="000000"/>
              </w:rPr>
            </w:pPr>
          </w:p>
        </w:tc>
        <w:tc>
          <w:tcPr>
            <w:tcW w:w="701" w:type="dxa"/>
            <w:vMerge w:val="continue"/>
            <w:tcBorders>
              <w:bottom w:val="single" w:color="auto" w:sz="4" w:space="0"/>
            </w:tcBorders>
          </w:tcPr>
          <w:p>
            <w:pPr>
              <w:pStyle w:val="33"/>
              <w:shd w:val="clear" w:color="auto" w:fill="FFFFFF"/>
              <w:spacing w:line="360" w:lineRule="auto"/>
              <w:rPr>
                <w:bCs/>
                <w:color w:val="000000"/>
                <w:spacing w:val="16"/>
              </w:rPr>
            </w:pPr>
          </w:p>
        </w:tc>
        <w:tc>
          <w:tcPr>
            <w:tcW w:w="910" w:type="dxa"/>
            <w:gridSpan w:val="2"/>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3"/>
              <w:shd w:val="clear" w:color="auto" w:fill="FFFFFF"/>
              <w:spacing w:line="360" w:lineRule="auto"/>
              <w:rPr>
                <w:bCs/>
                <w:color w:val="000000"/>
                <w:spacing w:val="16"/>
              </w:rPr>
            </w:pPr>
          </w:p>
        </w:tc>
        <w:tc>
          <w:tcPr>
            <w:tcW w:w="2001" w:type="dxa"/>
            <w:gridSpan w:val="3"/>
            <w:vMerge w:val="continue"/>
          </w:tcPr>
          <w:p>
            <w:pPr>
              <w:pStyle w:val="33"/>
              <w:shd w:val="clear" w:color="auto" w:fill="FFFFFF"/>
              <w:spacing w:line="360" w:lineRule="auto"/>
              <w:rPr>
                <w:bCs/>
                <w:color w:val="000000"/>
                <w:spacing w:val="16"/>
              </w:rPr>
            </w:pPr>
          </w:p>
        </w:tc>
        <w:tc>
          <w:tcPr>
            <w:tcW w:w="2151" w:type="dxa"/>
            <w:gridSpan w:val="2"/>
            <w:vMerge w:val="continue"/>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3"/>
              <w:shd w:val="clear" w:color="auto" w:fill="FFFFFF"/>
              <w:spacing w:line="360" w:lineRule="auto"/>
              <w:ind w:left="107"/>
              <w:rPr>
                <w:bCs/>
                <w:color w:val="000000"/>
              </w:rPr>
            </w:pPr>
            <w:r>
              <w:rPr>
                <w:bCs/>
                <w:color w:val="000000"/>
              </w:rPr>
              <w:t>1</w:t>
            </w:r>
            <w:r>
              <w:rPr>
                <w:rFonts w:hint="eastAsia"/>
                <w:bCs/>
                <w:color w:val="000000"/>
              </w:rPr>
              <w:t>.</w:t>
            </w:r>
          </w:p>
          <w:p>
            <w:pPr>
              <w:pStyle w:val="33"/>
              <w:shd w:val="clear" w:color="auto" w:fill="FFFFFF"/>
              <w:spacing w:line="360" w:lineRule="auto"/>
              <w:ind w:left="107"/>
              <w:rPr>
                <w:bCs/>
                <w:color w:val="000000"/>
              </w:rPr>
            </w:pPr>
            <w:r>
              <w:rPr>
                <w:rFonts w:hint="eastAsia"/>
                <w:bCs/>
                <w:color w:val="000000"/>
              </w:rPr>
              <w:t>企</w:t>
            </w:r>
          </w:p>
          <w:p>
            <w:pPr>
              <w:pStyle w:val="33"/>
              <w:shd w:val="clear" w:color="auto" w:fill="FFFFFF"/>
              <w:spacing w:line="360" w:lineRule="auto"/>
              <w:ind w:left="107"/>
              <w:rPr>
                <w:bCs/>
                <w:color w:val="000000"/>
              </w:rPr>
            </w:pPr>
            <w:r>
              <w:rPr>
                <w:rFonts w:hint="eastAsia"/>
                <w:bCs/>
                <w:color w:val="000000"/>
              </w:rPr>
              <w:t>业</w:t>
            </w:r>
          </w:p>
          <w:p>
            <w:pPr>
              <w:pStyle w:val="33"/>
              <w:shd w:val="clear" w:color="auto" w:fill="FFFFFF"/>
              <w:spacing w:line="360" w:lineRule="auto"/>
              <w:ind w:left="107"/>
              <w:rPr>
                <w:bCs/>
                <w:color w:val="000000"/>
                <w:spacing w:val="27"/>
              </w:rPr>
            </w:pPr>
            <w:r>
              <w:rPr>
                <w:rFonts w:hint="eastAsia"/>
                <w:bCs/>
                <w:color w:val="000000"/>
                <w:spacing w:val="27"/>
              </w:rPr>
              <w:t>概</w:t>
            </w:r>
          </w:p>
          <w:p>
            <w:pPr>
              <w:pStyle w:val="33"/>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3"/>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3"/>
              <w:shd w:val="clear" w:color="auto" w:fill="FFFFFF"/>
              <w:spacing w:line="360" w:lineRule="auto"/>
              <w:rPr>
                <w:bCs/>
                <w:color w:val="000000"/>
                <w:spacing w:val="16"/>
              </w:rPr>
            </w:pPr>
          </w:p>
        </w:tc>
        <w:tc>
          <w:tcPr>
            <w:tcW w:w="1163" w:type="dxa"/>
            <w:tcBorders>
              <w:top w:val="nil"/>
            </w:tcBorders>
          </w:tcPr>
          <w:p>
            <w:pPr>
              <w:pStyle w:val="33"/>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3"/>
              <w:shd w:val="clear" w:color="auto" w:fill="FFFFFF"/>
              <w:spacing w:line="360" w:lineRule="auto"/>
              <w:rPr>
                <w:bCs/>
                <w:color w:val="000000"/>
              </w:rPr>
            </w:pPr>
          </w:p>
        </w:tc>
        <w:tc>
          <w:tcPr>
            <w:tcW w:w="1163" w:type="dxa"/>
          </w:tcPr>
          <w:p>
            <w:pPr>
              <w:pStyle w:val="33"/>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3"/>
              <w:shd w:val="clear" w:color="auto" w:fill="FFFFFF"/>
              <w:spacing w:line="360" w:lineRule="auto"/>
              <w:ind w:firstLine="480" w:firstLineChars="200"/>
              <w:rPr>
                <w:bCs/>
                <w:color w:val="000000"/>
              </w:rPr>
            </w:pPr>
            <w:r>
              <w:rPr>
                <w:rFonts w:hint="eastAsia"/>
                <w:bCs/>
                <w:color w:val="000000"/>
              </w:rPr>
              <w:t xml:space="preserve">平方米 </w:t>
            </w:r>
          </w:p>
          <w:p>
            <w:pPr>
              <w:pStyle w:val="33"/>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3"/>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3"/>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3"/>
              <w:shd w:val="clear" w:color="auto" w:fill="FFFFFF"/>
              <w:spacing w:line="360" w:lineRule="auto"/>
              <w:ind w:left="2"/>
              <w:rPr>
                <w:bCs/>
                <w:color w:val="000000"/>
              </w:rPr>
            </w:pPr>
          </w:p>
        </w:tc>
        <w:tc>
          <w:tcPr>
            <w:tcW w:w="1163" w:type="dxa"/>
          </w:tcPr>
          <w:p>
            <w:pPr>
              <w:pStyle w:val="33"/>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3"/>
              <w:shd w:val="clear" w:color="auto" w:fill="FFFFFF"/>
              <w:spacing w:line="360" w:lineRule="auto"/>
              <w:ind w:left="107"/>
              <w:rPr>
                <w:bCs/>
                <w:color w:val="000000"/>
              </w:rPr>
            </w:pPr>
          </w:p>
        </w:tc>
        <w:tc>
          <w:tcPr>
            <w:tcW w:w="1218" w:type="dxa"/>
          </w:tcPr>
          <w:p>
            <w:pPr>
              <w:pStyle w:val="33"/>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3"/>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3"/>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3"/>
              <w:shd w:val="clear" w:color="auto" w:fill="FFFFFF"/>
              <w:spacing w:line="360" w:lineRule="auto"/>
              <w:ind w:left="107"/>
              <w:rPr>
                <w:bCs/>
                <w:color w:val="000000"/>
              </w:rPr>
            </w:pPr>
          </w:p>
        </w:tc>
        <w:tc>
          <w:tcPr>
            <w:tcW w:w="8131" w:type="dxa"/>
            <w:gridSpan w:val="11"/>
          </w:tcPr>
          <w:p>
            <w:pPr>
              <w:pStyle w:val="33"/>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3"/>
              <w:shd w:val="clear" w:color="auto" w:fill="FFFFFF"/>
              <w:spacing w:line="360" w:lineRule="auto"/>
              <w:ind w:left="107"/>
              <w:rPr>
                <w:bCs/>
                <w:color w:val="000000"/>
              </w:rPr>
            </w:pPr>
            <w:r>
              <w:rPr>
                <w:bCs/>
                <w:color w:val="000000"/>
              </w:rPr>
              <w:t>2</w:t>
            </w:r>
            <w:r>
              <w:rPr>
                <w:rFonts w:hint="eastAsia"/>
                <w:bCs/>
                <w:color w:val="000000"/>
              </w:rPr>
              <w:t>．</w:t>
            </w:r>
          </w:p>
          <w:p>
            <w:pPr>
              <w:pStyle w:val="33"/>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3"/>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3"/>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3"/>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3"/>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3"/>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3"/>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3"/>
              <w:shd w:val="clear" w:color="auto" w:fill="FFFFFF"/>
              <w:spacing w:line="360" w:lineRule="auto"/>
              <w:ind w:left="107"/>
              <w:rPr>
                <w:bCs/>
                <w:color w:val="000000"/>
              </w:rPr>
            </w:pPr>
          </w:p>
        </w:tc>
        <w:tc>
          <w:tcPr>
            <w:tcW w:w="1553" w:type="dxa"/>
            <w:gridSpan w:val="2"/>
            <w:vMerge w:val="continue"/>
          </w:tcPr>
          <w:p>
            <w:pPr>
              <w:pStyle w:val="33"/>
              <w:shd w:val="clear" w:color="auto" w:fill="FFFFFF"/>
              <w:spacing w:line="360" w:lineRule="auto"/>
              <w:rPr>
                <w:bCs/>
                <w:color w:val="000000"/>
              </w:rPr>
            </w:pPr>
          </w:p>
        </w:tc>
        <w:tc>
          <w:tcPr>
            <w:tcW w:w="1333" w:type="dxa"/>
            <w:gridSpan w:val="3"/>
          </w:tcPr>
          <w:p>
            <w:pPr>
              <w:pStyle w:val="33"/>
              <w:shd w:val="clear" w:color="auto" w:fill="FFFFFF"/>
              <w:spacing w:line="360" w:lineRule="auto"/>
              <w:rPr>
                <w:bCs/>
                <w:color w:val="000000"/>
              </w:rPr>
            </w:pPr>
          </w:p>
        </w:tc>
        <w:tc>
          <w:tcPr>
            <w:tcW w:w="1418" w:type="dxa"/>
            <w:gridSpan w:val="2"/>
          </w:tcPr>
          <w:p>
            <w:pPr>
              <w:pStyle w:val="33"/>
              <w:shd w:val="clear" w:color="auto" w:fill="FFFFFF"/>
              <w:spacing w:line="360" w:lineRule="auto"/>
              <w:rPr>
                <w:bCs/>
                <w:color w:val="000000"/>
              </w:rPr>
            </w:pPr>
          </w:p>
        </w:tc>
        <w:tc>
          <w:tcPr>
            <w:tcW w:w="1276" w:type="dxa"/>
          </w:tcPr>
          <w:p>
            <w:pPr>
              <w:pStyle w:val="33"/>
              <w:shd w:val="clear" w:color="auto" w:fill="FFFFFF"/>
              <w:spacing w:line="360" w:lineRule="auto"/>
              <w:rPr>
                <w:bCs/>
                <w:color w:val="000000"/>
              </w:rPr>
            </w:pPr>
          </w:p>
        </w:tc>
        <w:tc>
          <w:tcPr>
            <w:tcW w:w="2551" w:type="dxa"/>
            <w:gridSpan w:val="3"/>
          </w:tcPr>
          <w:p>
            <w:pPr>
              <w:pStyle w:val="33"/>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3"/>
              <w:shd w:val="clear" w:color="auto" w:fill="FFFFFF"/>
              <w:spacing w:line="360" w:lineRule="auto"/>
              <w:ind w:left="107"/>
              <w:rPr>
                <w:bCs/>
                <w:color w:val="000000"/>
                <w:spacing w:val="16"/>
              </w:rPr>
            </w:pPr>
          </w:p>
        </w:tc>
        <w:tc>
          <w:tcPr>
            <w:tcW w:w="1553" w:type="dxa"/>
            <w:gridSpan w:val="2"/>
          </w:tcPr>
          <w:p>
            <w:pPr>
              <w:pStyle w:val="33"/>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3"/>
              <w:shd w:val="clear" w:color="auto" w:fill="FFFFFF"/>
              <w:spacing w:line="360" w:lineRule="auto"/>
              <w:ind w:left="107"/>
              <w:rPr>
                <w:bCs/>
                <w:color w:val="000000"/>
                <w:spacing w:val="27"/>
              </w:rPr>
            </w:pPr>
          </w:p>
        </w:tc>
        <w:tc>
          <w:tcPr>
            <w:tcW w:w="1553" w:type="dxa"/>
            <w:gridSpan w:val="2"/>
          </w:tcPr>
          <w:p>
            <w:pPr>
              <w:pStyle w:val="33"/>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3"/>
              <w:shd w:val="clear" w:color="auto" w:fill="FFFFFF"/>
              <w:spacing w:line="360" w:lineRule="auto"/>
              <w:rPr>
                <w:bCs/>
                <w:color w:val="000000"/>
                <w:spacing w:val="16"/>
              </w:rPr>
            </w:pPr>
          </w:p>
        </w:tc>
      </w:tr>
    </w:tbl>
    <w:p>
      <w:pPr>
        <w:pStyle w:val="33"/>
        <w:shd w:val="clear" w:color="auto" w:fill="FFFFFF"/>
        <w:spacing w:before="0" w:beforeAutospacing="0" w:after="0" w:afterAutospacing="0" w:line="360" w:lineRule="auto"/>
        <w:rPr>
          <w:rFonts w:ascii="仿宋_GB2312" w:eastAsia="仿宋_GB2312"/>
        </w:rPr>
      </w:pPr>
    </w:p>
    <w:p>
      <w:pPr>
        <w:pStyle w:val="33"/>
        <w:shd w:val="clear" w:color="auto" w:fill="FFFFFF"/>
        <w:spacing w:before="0" w:beforeAutospacing="0" w:after="0" w:afterAutospacing="0" w:line="360" w:lineRule="auto"/>
        <w:rPr>
          <w:b/>
          <w:sz w:val="21"/>
          <w:szCs w:val="21"/>
        </w:rPr>
      </w:pPr>
      <w:r>
        <w:rPr>
          <w:rFonts w:hint="eastAsia"/>
          <w:b/>
          <w:sz w:val="21"/>
          <w:szCs w:val="21"/>
        </w:rPr>
        <w:t>要求：</w:t>
      </w:r>
    </w:p>
    <w:p>
      <w:pPr>
        <w:pStyle w:val="33"/>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3"/>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2"/>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4"/>
        <w:spacing w:line="360" w:lineRule="auto"/>
        <w:ind w:left="424" w:leftChars="202"/>
        <w:rPr>
          <w:rFonts w:ascii="宋体" w:hAnsi="宋体"/>
          <w:szCs w:val="21"/>
        </w:rPr>
      </w:pPr>
      <w:r>
        <w:rPr>
          <w:rFonts w:hint="eastAsia" w:ascii="宋体" w:hAnsi="宋体"/>
          <w:szCs w:val="21"/>
        </w:rPr>
        <w:t>2.附人员证书复印件；</w:t>
      </w:r>
    </w:p>
    <w:p>
      <w:pPr>
        <w:pStyle w:val="34"/>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2"/>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5"/>
        <w:tabs>
          <w:tab w:val="left" w:pos="360"/>
        </w:tabs>
        <w:spacing w:line="360" w:lineRule="auto"/>
        <w:ind w:right="84" w:rightChars="40"/>
        <w:rPr>
          <w:rFonts w:ascii="宋体"/>
          <w:b/>
          <w:szCs w:val="21"/>
        </w:rPr>
      </w:pPr>
      <w:r>
        <w:rPr>
          <w:rFonts w:hint="eastAsia" w:ascii="宋体"/>
          <w:b/>
          <w:szCs w:val="21"/>
        </w:rPr>
        <w:t>要求：</w:t>
      </w:r>
    </w:p>
    <w:p>
      <w:pPr>
        <w:pStyle w:val="35"/>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5"/>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5"/>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6"/>
        <w:spacing w:line="360" w:lineRule="auto"/>
        <w:jc w:val="left"/>
        <w:rPr>
          <w:rFonts w:ascii="宋体" w:hAnsi="宋体"/>
          <w:b/>
          <w:sz w:val="28"/>
        </w:rPr>
      </w:pPr>
      <w:r>
        <w:rPr>
          <w:rFonts w:hint="eastAsia" w:ascii="宋体" w:hAnsi="宋体"/>
          <w:b/>
          <w:sz w:val="28"/>
        </w:rPr>
        <w:t>附件10</w:t>
      </w:r>
    </w:p>
    <w:p>
      <w:pPr>
        <w:pStyle w:val="37"/>
        <w:spacing w:line="360" w:lineRule="auto"/>
        <w:jc w:val="center"/>
        <w:rPr>
          <w:rFonts w:ascii="宋体" w:hAnsi="宋体"/>
          <w:b/>
          <w:sz w:val="32"/>
          <w:szCs w:val="32"/>
        </w:rPr>
      </w:pPr>
      <w:r>
        <w:rPr>
          <w:rFonts w:hint="eastAsia" w:ascii="宋体" w:hAnsi="宋体"/>
          <w:b/>
          <w:sz w:val="32"/>
          <w:szCs w:val="32"/>
        </w:rPr>
        <w:t>证书一览表</w:t>
      </w:r>
    </w:p>
    <w:p>
      <w:pPr>
        <w:pStyle w:val="37"/>
        <w:spacing w:line="360" w:lineRule="auto"/>
        <w:jc w:val="center"/>
        <w:rPr>
          <w:rFonts w:ascii="宋体" w:hAnsi="宋体" w:cs="Arial"/>
          <w:sz w:val="28"/>
          <w:szCs w:val="28"/>
        </w:rPr>
      </w:pPr>
    </w:p>
    <w:tbl>
      <w:tblPr>
        <w:tblStyle w:val="22"/>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7"/>
              <w:spacing w:line="360" w:lineRule="auto"/>
              <w:jc w:val="center"/>
              <w:rPr>
                <w:rFonts w:ascii="宋体" w:hAnsi="宋体" w:cs="Arial"/>
                <w:szCs w:val="21"/>
              </w:rPr>
            </w:pPr>
          </w:p>
        </w:tc>
        <w:tc>
          <w:tcPr>
            <w:tcW w:w="2258" w:type="dxa"/>
            <w:tcBorders>
              <w:top w:val="single" w:color="auto" w:sz="4" w:space="0"/>
            </w:tcBorders>
          </w:tcPr>
          <w:p>
            <w:pPr>
              <w:pStyle w:val="37"/>
              <w:spacing w:line="360" w:lineRule="auto"/>
              <w:jc w:val="center"/>
              <w:rPr>
                <w:rFonts w:ascii="宋体" w:hAnsi="宋体" w:cs="Arial"/>
                <w:szCs w:val="21"/>
              </w:rPr>
            </w:pPr>
          </w:p>
        </w:tc>
        <w:tc>
          <w:tcPr>
            <w:tcW w:w="2260" w:type="dxa"/>
            <w:tcBorders>
              <w:top w:val="single" w:color="auto" w:sz="4" w:space="0"/>
            </w:tcBorders>
          </w:tcPr>
          <w:p>
            <w:pPr>
              <w:pStyle w:val="37"/>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7"/>
              <w:spacing w:line="360" w:lineRule="auto"/>
              <w:jc w:val="center"/>
              <w:rPr>
                <w:rFonts w:ascii="宋体" w:hAnsi="宋体" w:cs="Arial"/>
                <w:szCs w:val="21"/>
              </w:rPr>
            </w:pPr>
          </w:p>
        </w:tc>
        <w:tc>
          <w:tcPr>
            <w:tcW w:w="2258" w:type="dxa"/>
            <w:tcBorders>
              <w:bottom w:val="single" w:color="auto" w:sz="4" w:space="0"/>
            </w:tcBorders>
          </w:tcPr>
          <w:p>
            <w:pPr>
              <w:pStyle w:val="37"/>
              <w:spacing w:line="360" w:lineRule="auto"/>
              <w:jc w:val="center"/>
              <w:rPr>
                <w:rFonts w:ascii="宋体" w:hAnsi="宋体" w:cs="Arial"/>
                <w:szCs w:val="21"/>
              </w:rPr>
            </w:pPr>
          </w:p>
        </w:tc>
        <w:tc>
          <w:tcPr>
            <w:tcW w:w="2260" w:type="dxa"/>
            <w:tcBorders>
              <w:bottom w:val="single" w:color="auto" w:sz="4" w:space="0"/>
            </w:tcBorders>
          </w:tcPr>
          <w:p>
            <w:pPr>
              <w:pStyle w:val="37"/>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7"/>
              <w:spacing w:line="360" w:lineRule="auto"/>
              <w:jc w:val="center"/>
              <w:rPr>
                <w:rFonts w:ascii="宋体" w:hAnsi="宋体" w:cs="Arial"/>
                <w:szCs w:val="21"/>
              </w:rPr>
            </w:pPr>
          </w:p>
        </w:tc>
      </w:tr>
    </w:tbl>
    <w:p>
      <w:pPr>
        <w:pStyle w:val="37"/>
        <w:tabs>
          <w:tab w:val="left" w:pos="1050"/>
        </w:tabs>
        <w:spacing w:line="360" w:lineRule="auto"/>
        <w:rPr>
          <w:rFonts w:ascii="仿宋_GB2312" w:hAnsi="宋体" w:eastAsia="仿宋_GB2312"/>
          <w:sz w:val="24"/>
        </w:rPr>
      </w:pPr>
    </w:p>
    <w:p>
      <w:pPr>
        <w:pStyle w:val="37"/>
        <w:tabs>
          <w:tab w:val="left" w:pos="1050"/>
        </w:tabs>
        <w:spacing w:line="360" w:lineRule="auto"/>
        <w:rPr>
          <w:rFonts w:ascii="宋体" w:hAnsi="宋体"/>
          <w:szCs w:val="21"/>
        </w:rPr>
      </w:pPr>
      <w:r>
        <w:rPr>
          <w:rFonts w:hint="eastAsia" w:ascii="宋体" w:hAnsi="宋体"/>
          <w:b/>
          <w:szCs w:val="21"/>
        </w:rPr>
        <w:t>要求：</w:t>
      </w:r>
    </w:p>
    <w:p>
      <w:pPr>
        <w:pStyle w:val="37"/>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7"/>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3"/>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6"/>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6"/>
        <w:spacing w:line="360" w:lineRule="auto"/>
        <w:jc w:val="center"/>
        <w:rPr>
          <w:rFonts w:ascii="仿宋_GB2312" w:eastAsia="仿宋_GB2312"/>
          <w:b/>
          <w:sz w:val="28"/>
          <w:szCs w:val="28"/>
        </w:rPr>
      </w:pPr>
    </w:p>
    <w:tbl>
      <w:tblPr>
        <w:tblStyle w:val="22"/>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w:t>
      </w:r>
      <w:r>
        <w:rPr>
          <w:rFonts w:hint="eastAsia" w:ascii="宋体" w:hAnsi="宋体" w:cs="Arial"/>
          <w:szCs w:val="21"/>
          <w:lang w:eastAsia="zh-CN"/>
        </w:rPr>
        <w:t>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7"/>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2"/>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8"/>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8"/>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8"/>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8"/>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8"/>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8"/>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8"/>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8"/>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8"/>
              <w:widowControl/>
              <w:spacing w:line="360" w:lineRule="auto"/>
              <w:jc w:val="left"/>
              <w:rPr>
                <w:rFonts w:ascii="宋体" w:hAnsi="宋体" w:cs="Arial"/>
                <w:bCs/>
                <w:sz w:val="24"/>
              </w:rPr>
            </w:pPr>
          </w:p>
        </w:tc>
        <w:tc>
          <w:tcPr>
            <w:tcW w:w="2355" w:type="dxa"/>
            <w:vMerge w:val="continue"/>
            <w:vAlign w:val="center"/>
          </w:tcPr>
          <w:p>
            <w:pPr>
              <w:pStyle w:val="38"/>
              <w:widowControl/>
              <w:spacing w:line="360" w:lineRule="auto"/>
              <w:jc w:val="left"/>
              <w:rPr>
                <w:rFonts w:ascii="宋体" w:hAnsi="宋体" w:cs="Arial"/>
                <w:bCs/>
                <w:sz w:val="24"/>
              </w:rPr>
            </w:pPr>
          </w:p>
        </w:tc>
        <w:tc>
          <w:tcPr>
            <w:tcW w:w="4061" w:type="dxa"/>
          </w:tcPr>
          <w:p>
            <w:pPr>
              <w:pStyle w:val="38"/>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8"/>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38"/>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8"/>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8"/>
              <w:widowControl/>
              <w:spacing w:line="360" w:lineRule="auto"/>
              <w:jc w:val="left"/>
              <w:rPr>
                <w:rFonts w:ascii="宋体" w:hAnsi="宋体" w:cs="Arial"/>
                <w:bCs/>
                <w:sz w:val="24"/>
              </w:rPr>
            </w:pPr>
          </w:p>
          <w:p>
            <w:pPr>
              <w:pStyle w:val="38"/>
              <w:widowControl/>
              <w:spacing w:line="360" w:lineRule="auto"/>
              <w:jc w:val="left"/>
              <w:rPr>
                <w:rFonts w:ascii="宋体" w:hAnsi="宋体" w:cs="Arial"/>
                <w:bCs/>
                <w:sz w:val="24"/>
              </w:rPr>
            </w:pPr>
          </w:p>
          <w:p>
            <w:pPr>
              <w:pStyle w:val="38"/>
              <w:spacing w:line="360" w:lineRule="auto"/>
              <w:rPr>
                <w:rFonts w:ascii="宋体" w:hAnsi="宋体" w:cs="Arial"/>
                <w:bCs/>
                <w:sz w:val="24"/>
              </w:rPr>
            </w:pPr>
          </w:p>
        </w:tc>
        <w:tc>
          <w:tcPr>
            <w:tcW w:w="1373" w:type="dxa"/>
          </w:tcPr>
          <w:p>
            <w:pPr>
              <w:pStyle w:val="38"/>
              <w:widowControl/>
              <w:spacing w:line="360" w:lineRule="auto"/>
              <w:jc w:val="left"/>
              <w:rPr>
                <w:rFonts w:ascii="宋体" w:hAnsi="宋体" w:cs="Arial"/>
                <w:bCs/>
                <w:sz w:val="24"/>
              </w:rPr>
            </w:pPr>
          </w:p>
          <w:p>
            <w:pPr>
              <w:pStyle w:val="38"/>
              <w:widowControl/>
              <w:spacing w:line="360" w:lineRule="auto"/>
              <w:jc w:val="left"/>
              <w:rPr>
                <w:rFonts w:ascii="宋体" w:hAnsi="宋体" w:cs="Arial"/>
                <w:bCs/>
                <w:sz w:val="24"/>
              </w:rPr>
            </w:pPr>
          </w:p>
          <w:p>
            <w:pPr>
              <w:pStyle w:val="38"/>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38"/>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8"/>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tc>
        <w:tc>
          <w:tcPr>
            <w:tcW w:w="1373" w:type="dxa"/>
          </w:tcPr>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8"/>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8"/>
              <w:widowControl/>
              <w:spacing w:line="360" w:lineRule="auto"/>
              <w:jc w:val="left"/>
              <w:rPr>
                <w:rFonts w:ascii="宋体" w:hAnsi="宋体" w:cs="Arial"/>
                <w:bCs/>
                <w:sz w:val="24"/>
              </w:rPr>
            </w:pPr>
            <w:r>
              <w:rPr>
                <w:rFonts w:ascii="宋体" w:hAnsi="宋体" w:cs="Arial"/>
                <w:bCs/>
                <w:sz w:val="24"/>
              </w:rPr>
              <w:t>……</w:t>
            </w:r>
          </w:p>
        </w:tc>
        <w:tc>
          <w:tcPr>
            <w:tcW w:w="4061" w:type="dxa"/>
          </w:tcPr>
          <w:p>
            <w:pPr>
              <w:pStyle w:val="38"/>
              <w:widowControl/>
              <w:spacing w:line="360" w:lineRule="auto"/>
              <w:jc w:val="left"/>
              <w:rPr>
                <w:rFonts w:ascii="宋体" w:hAnsi="宋体" w:cs="Arial"/>
                <w:bCs/>
                <w:sz w:val="24"/>
              </w:rPr>
            </w:pPr>
          </w:p>
        </w:tc>
        <w:tc>
          <w:tcPr>
            <w:tcW w:w="1373" w:type="dxa"/>
          </w:tcPr>
          <w:p>
            <w:pPr>
              <w:pStyle w:val="38"/>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11"/>
        <w:rPr>
          <w:rFonts w:ascii="宋体" w:hAnsi="宋体"/>
          <w:sz w:val="24"/>
          <w:u w:val="single"/>
        </w:rPr>
      </w:pPr>
    </w:p>
    <w:p>
      <w:pPr>
        <w:pStyle w:val="11"/>
        <w:rPr>
          <w:rFonts w:ascii="宋体" w:hAnsi="宋体"/>
          <w:sz w:val="24"/>
          <w:u w:val="single"/>
        </w:rPr>
      </w:pPr>
    </w:p>
    <w:p>
      <w:pPr>
        <w:pStyle w:val="11"/>
        <w:rPr>
          <w:rFonts w:ascii="宋体" w:hAnsi="宋体"/>
          <w:sz w:val="24"/>
          <w:u w:val="single"/>
        </w:rPr>
      </w:pPr>
    </w:p>
    <w:p>
      <w:pPr>
        <w:pStyle w:val="11"/>
        <w:rPr>
          <w:rFonts w:ascii="宋体" w:hAnsi="宋体"/>
          <w:sz w:val="24"/>
          <w:u w:val="single"/>
        </w:rPr>
      </w:pPr>
    </w:p>
    <w:p>
      <w:pPr>
        <w:pStyle w:val="39"/>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9"/>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2"/>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8"/>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8"/>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5"/>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0"/>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1"/>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4"/>
        <w:spacing w:line="320" w:lineRule="exact"/>
        <w:rPr>
          <w:rFonts w:hAnsi="宋体"/>
          <w:b/>
          <w:color w:val="000000"/>
          <w:sz w:val="24"/>
        </w:rPr>
      </w:pPr>
      <w:r>
        <w:rPr>
          <w:rFonts w:hAnsi="宋体"/>
          <w:b/>
          <w:color w:val="000000"/>
          <w:sz w:val="24"/>
        </w:rPr>
        <w:t>项目编号：</w:t>
      </w:r>
    </w:p>
    <w:p>
      <w:pPr>
        <w:pStyle w:val="42"/>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22"/>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11"/>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hint="eastAsia"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43"/>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43"/>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43"/>
        <w:spacing w:line="360" w:lineRule="auto"/>
        <w:ind w:firstLine="504" w:firstLineChars="200"/>
        <w:rPr>
          <w:rFonts w:hint="eastAsia"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43"/>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3"/>
        <w:spacing w:line="360" w:lineRule="auto"/>
        <w:ind w:firstLine="504" w:firstLineChars="200"/>
        <w:rPr>
          <w:rFonts w:ascii="宋体" w:hAnsi="宋体"/>
          <w:spacing w:val="6"/>
          <w:sz w:val="24"/>
        </w:rPr>
      </w:pPr>
    </w:p>
    <w:p>
      <w:pPr>
        <w:pStyle w:val="43"/>
        <w:spacing w:line="360" w:lineRule="auto"/>
        <w:ind w:left="4253" w:leftChars="2025"/>
        <w:rPr>
          <w:rFonts w:ascii="宋体" w:hAnsi="宋体"/>
          <w:sz w:val="24"/>
        </w:rPr>
      </w:pPr>
      <w:r>
        <w:rPr>
          <w:rFonts w:hint="eastAsia" w:ascii="宋体" w:hAnsi="宋体"/>
          <w:sz w:val="24"/>
        </w:rPr>
        <w:t>投 标 人（单位</w:t>
      </w:r>
      <w:r>
        <w:rPr>
          <w:rFonts w:hint="eastAsia" w:ascii="宋体" w:hAnsi="宋体"/>
          <w:sz w:val="24"/>
          <w:lang w:eastAsia="zh-CN"/>
        </w:rPr>
        <w:t>电子印章</w:t>
      </w:r>
      <w:r>
        <w:rPr>
          <w:rFonts w:hint="eastAsia" w:ascii="宋体" w:hAnsi="宋体"/>
          <w:sz w:val="24"/>
        </w:rPr>
        <w:t>）：</w:t>
      </w:r>
    </w:p>
    <w:p>
      <w:pPr>
        <w:pStyle w:val="43"/>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43"/>
        <w:spacing w:line="360" w:lineRule="auto"/>
        <w:rPr>
          <w:rFonts w:ascii="宋体" w:hAnsi="宋体"/>
          <w:sz w:val="24"/>
        </w:rPr>
      </w:pPr>
    </w:p>
    <w:p>
      <w:pPr>
        <w:pStyle w:val="43"/>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43"/>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r>
        <w:rPr>
          <w:rFonts w:hint="eastAsia" w:ascii="宋体" w:hAnsi="宋体"/>
          <w:spacing w:val="6"/>
          <w:sz w:val="24"/>
          <w:lang w:eastAsia="zh-CN"/>
        </w:rPr>
        <w:t>，</w:t>
      </w:r>
    </w:p>
    <w:p>
      <w:pPr>
        <w:pStyle w:val="43"/>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3"/>
        <w:spacing w:line="360" w:lineRule="auto"/>
        <w:ind w:firstLine="504" w:firstLineChars="200"/>
        <w:rPr>
          <w:rFonts w:ascii="宋体" w:hAnsi="宋体"/>
          <w:spacing w:val="6"/>
          <w:sz w:val="24"/>
        </w:rPr>
      </w:pPr>
    </w:p>
    <w:p>
      <w:pPr>
        <w:pStyle w:val="43"/>
        <w:spacing w:line="360" w:lineRule="auto"/>
        <w:ind w:firstLine="504" w:firstLineChars="200"/>
        <w:jc w:val="center"/>
        <w:rPr>
          <w:rFonts w:ascii="宋体" w:hAnsi="宋体"/>
          <w:spacing w:val="6"/>
          <w:sz w:val="24"/>
        </w:rPr>
      </w:pPr>
      <w:r>
        <w:rPr>
          <w:rFonts w:hint="eastAsia" w:ascii="宋体" w:hAnsi="宋体"/>
          <w:spacing w:val="6"/>
          <w:sz w:val="24"/>
        </w:rPr>
        <w:t>企业名称（单位</w:t>
      </w:r>
      <w:r>
        <w:rPr>
          <w:rFonts w:hint="eastAsia" w:ascii="宋体" w:hAnsi="宋体"/>
          <w:spacing w:val="6"/>
          <w:sz w:val="24"/>
          <w:lang w:eastAsia="zh-CN"/>
        </w:rPr>
        <w:t>电子印章</w:t>
      </w:r>
      <w:r>
        <w:rPr>
          <w:rFonts w:hint="eastAsia" w:ascii="宋体" w:hAnsi="宋体"/>
          <w:spacing w:val="6"/>
          <w:sz w:val="24"/>
        </w:rPr>
        <w:t>）：</w:t>
      </w:r>
    </w:p>
    <w:p>
      <w:pPr>
        <w:pStyle w:val="43"/>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4"/>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w:t>
      </w:r>
      <w:r>
        <w:rPr>
          <w:rFonts w:hint="eastAsia" w:ascii="宋体" w:hAnsi="宋体"/>
          <w:spacing w:val="6"/>
          <w:sz w:val="24"/>
          <w:lang w:eastAsia="zh-CN"/>
        </w:rPr>
        <w:t>电子印章</w:t>
      </w:r>
      <w:r>
        <w:rPr>
          <w:rFonts w:hint="eastAsia" w:ascii="宋体" w:hAnsi="宋体"/>
          <w:spacing w:val="6"/>
          <w:sz w:val="24"/>
        </w:rPr>
        <w:t>）：</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p>
    <w:p>
      <w:pPr>
        <w:pStyle w:val="43"/>
        <w:spacing w:line="360" w:lineRule="auto"/>
        <w:rPr>
          <w:rFonts w:ascii="宋体" w:hAnsi="宋体"/>
          <w:b/>
          <w:sz w:val="28"/>
          <w:szCs w:val="28"/>
        </w:rPr>
      </w:pPr>
      <w:r>
        <w:rPr>
          <w:rFonts w:hint="eastAsia" w:ascii="宋体" w:hAnsi="宋体"/>
          <w:b/>
          <w:sz w:val="28"/>
          <w:szCs w:val="28"/>
        </w:rPr>
        <w:t>附件19</w:t>
      </w:r>
    </w:p>
    <w:p>
      <w:pPr>
        <w:pStyle w:val="44"/>
        <w:spacing w:line="360" w:lineRule="auto"/>
      </w:pPr>
    </w:p>
    <w:p>
      <w:pPr>
        <w:pStyle w:val="41"/>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1"/>
        <w:spacing w:line="360" w:lineRule="auto"/>
        <w:jc w:val="center"/>
        <w:rPr>
          <w:rFonts w:ascii="宋体" w:hAnsi="宋体"/>
          <w:b/>
          <w:sz w:val="32"/>
          <w:szCs w:val="32"/>
          <w:lang w:val="en-GB"/>
        </w:rPr>
      </w:pPr>
    </w:p>
    <w:tbl>
      <w:tblPr>
        <w:tblStyle w:val="22"/>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1"/>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2"/>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1"/>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1"/>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1"/>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1"/>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p>
        </w:tc>
        <w:tc>
          <w:tcPr>
            <w:tcW w:w="3811" w:type="dxa"/>
            <w:vAlign w:val="center"/>
          </w:tcPr>
          <w:p>
            <w:pPr>
              <w:pStyle w:val="41"/>
              <w:tabs>
                <w:tab w:val="left" w:pos="1260"/>
              </w:tabs>
              <w:jc w:val="center"/>
              <w:rPr>
                <w:rFonts w:ascii="宋体" w:hAnsi="宋体"/>
                <w:sz w:val="24"/>
                <w:lang w:val="en-GB"/>
              </w:rPr>
            </w:pPr>
          </w:p>
        </w:tc>
        <w:tc>
          <w:tcPr>
            <w:tcW w:w="1621" w:type="dxa"/>
            <w:vAlign w:val="center"/>
          </w:tcPr>
          <w:p>
            <w:pPr>
              <w:pStyle w:val="4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p>
        </w:tc>
        <w:tc>
          <w:tcPr>
            <w:tcW w:w="3811" w:type="dxa"/>
            <w:vAlign w:val="center"/>
          </w:tcPr>
          <w:p>
            <w:pPr>
              <w:pStyle w:val="41"/>
              <w:tabs>
                <w:tab w:val="left" w:pos="1260"/>
              </w:tabs>
              <w:jc w:val="center"/>
              <w:rPr>
                <w:rFonts w:ascii="宋体" w:hAnsi="宋体"/>
                <w:sz w:val="24"/>
                <w:lang w:val="en-GB"/>
              </w:rPr>
            </w:pPr>
          </w:p>
        </w:tc>
        <w:tc>
          <w:tcPr>
            <w:tcW w:w="1621" w:type="dxa"/>
            <w:vAlign w:val="center"/>
          </w:tcPr>
          <w:p>
            <w:pPr>
              <w:pStyle w:val="4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p>
        </w:tc>
        <w:tc>
          <w:tcPr>
            <w:tcW w:w="3811" w:type="dxa"/>
            <w:vAlign w:val="center"/>
          </w:tcPr>
          <w:p>
            <w:pPr>
              <w:pStyle w:val="41"/>
              <w:tabs>
                <w:tab w:val="left" w:pos="1260"/>
              </w:tabs>
              <w:jc w:val="center"/>
              <w:rPr>
                <w:rFonts w:ascii="宋体" w:hAnsi="宋体"/>
                <w:sz w:val="24"/>
                <w:lang w:val="en-GB"/>
              </w:rPr>
            </w:pPr>
          </w:p>
        </w:tc>
        <w:tc>
          <w:tcPr>
            <w:tcW w:w="1621" w:type="dxa"/>
            <w:vAlign w:val="center"/>
          </w:tcPr>
          <w:p>
            <w:pPr>
              <w:pStyle w:val="4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6490" w:type="dxa"/>
            <w:gridSpan w:val="2"/>
            <w:vAlign w:val="center"/>
          </w:tcPr>
          <w:p>
            <w:pPr>
              <w:pStyle w:val="41"/>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1"/>
              <w:tabs>
                <w:tab w:val="left" w:pos="1260"/>
              </w:tabs>
              <w:jc w:val="center"/>
              <w:rPr>
                <w:rFonts w:ascii="宋体" w:hAnsi="宋体"/>
                <w:sz w:val="24"/>
                <w:lang w:val="en-GB"/>
              </w:rPr>
            </w:pPr>
          </w:p>
        </w:tc>
      </w:tr>
    </w:tbl>
    <w:p>
      <w:pPr>
        <w:pStyle w:val="41"/>
        <w:spacing w:line="360" w:lineRule="auto"/>
        <w:rPr>
          <w:rFonts w:ascii="宋体" w:hAnsi="宋体"/>
          <w:szCs w:val="21"/>
          <w:lang w:val="en-GB"/>
        </w:rPr>
      </w:pPr>
    </w:p>
    <w:p>
      <w:pPr>
        <w:pStyle w:val="41"/>
        <w:spacing w:line="360" w:lineRule="auto"/>
        <w:rPr>
          <w:rFonts w:ascii="宋体" w:hAnsi="宋体"/>
          <w:szCs w:val="21"/>
          <w:lang w:val="en-GB"/>
        </w:rPr>
      </w:pPr>
      <w:r>
        <w:rPr>
          <w:rFonts w:hint="eastAsia" w:ascii="宋体" w:hAnsi="宋体"/>
          <w:szCs w:val="21"/>
          <w:lang w:val="en-GB"/>
        </w:rPr>
        <w:t>填报要求：</w:t>
      </w:r>
    </w:p>
    <w:p>
      <w:pPr>
        <w:pStyle w:val="41"/>
        <w:widowControl/>
        <w:numPr>
          <w:ilvl w:val="0"/>
          <w:numId w:val="20"/>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1"/>
        <w:widowControl/>
        <w:numPr>
          <w:ilvl w:val="0"/>
          <w:numId w:val="20"/>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1"/>
        <w:widowControl/>
        <w:numPr>
          <w:ilvl w:val="0"/>
          <w:numId w:val="20"/>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lang w:val="en-US" w:eastAsia="zh-CN"/>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9E765D8"/>
    <w:multiLevelType w:val="singleLevel"/>
    <w:tmpl w:val="A9E765D8"/>
    <w:lvl w:ilvl="0" w:tentative="0">
      <w:start w:val="1"/>
      <w:numFmt w:val="chineseCounting"/>
      <w:suff w:val="nothing"/>
      <w:lvlText w:val="%1、"/>
      <w:lvlJc w:val="left"/>
      <w:rPr>
        <w:rFonts w:hint="eastAsia"/>
      </w:rPr>
    </w:lvl>
  </w:abstractNum>
  <w:abstractNum w:abstractNumId="3">
    <w:nsid w:val="AE2D8F7B"/>
    <w:multiLevelType w:val="singleLevel"/>
    <w:tmpl w:val="AE2D8F7B"/>
    <w:lvl w:ilvl="0" w:tentative="0">
      <w:start w:val="1"/>
      <w:numFmt w:val="decimal"/>
      <w:pStyle w:val="10"/>
      <w:lvlText w:val="%1."/>
      <w:lvlJc w:val="left"/>
      <w:pPr>
        <w:tabs>
          <w:tab w:val="left" w:pos="360"/>
        </w:tabs>
        <w:ind w:left="360" w:hanging="360"/>
      </w:pPr>
    </w:lvl>
  </w:abstractNum>
  <w:abstractNum w:abstractNumId="4">
    <w:nsid w:val="AF3E1766"/>
    <w:multiLevelType w:val="singleLevel"/>
    <w:tmpl w:val="AF3E1766"/>
    <w:lvl w:ilvl="0" w:tentative="0">
      <w:start w:val="1"/>
      <w:numFmt w:val="decimal"/>
      <w:suff w:val="nothing"/>
      <w:lvlText w:val="（%1）"/>
      <w:lvlJc w:val="left"/>
    </w:lvl>
  </w:abstractNum>
  <w:abstractNum w:abstractNumId="5">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6">
    <w:nsid w:val="E9CBAF48"/>
    <w:multiLevelType w:val="singleLevel"/>
    <w:tmpl w:val="E9CBAF48"/>
    <w:lvl w:ilvl="0" w:tentative="0">
      <w:start w:val="1"/>
      <w:numFmt w:val="decimal"/>
      <w:suff w:val="nothing"/>
      <w:lvlText w:val="（%1）"/>
      <w:lvlJc w:val="left"/>
    </w:lvl>
  </w:abstractNum>
  <w:abstractNum w:abstractNumId="7">
    <w:nsid w:val="EEAFAC12"/>
    <w:multiLevelType w:val="singleLevel"/>
    <w:tmpl w:val="EEAFAC12"/>
    <w:lvl w:ilvl="0" w:tentative="0">
      <w:start w:val="12"/>
      <w:numFmt w:val="decimal"/>
      <w:suff w:val="nothing"/>
      <w:lvlText w:val="%1、"/>
      <w:lvlJc w:val="left"/>
      <w:pPr>
        <w:ind w:left="-60"/>
      </w:pPr>
    </w:lvl>
  </w:abstractNum>
  <w:abstractNum w:abstractNumId="8">
    <w:nsid w:val="023419C9"/>
    <w:multiLevelType w:val="singleLevel"/>
    <w:tmpl w:val="023419C9"/>
    <w:lvl w:ilvl="0" w:tentative="0">
      <w:start w:val="2"/>
      <w:numFmt w:val="decimal"/>
      <w:suff w:val="nothing"/>
      <w:lvlText w:val="%1、"/>
      <w:lvlJc w:val="left"/>
    </w:lvl>
  </w:abstractNum>
  <w:abstractNum w:abstractNumId="9">
    <w:nsid w:val="1F913DB7"/>
    <w:multiLevelType w:val="singleLevel"/>
    <w:tmpl w:val="1F913DB7"/>
    <w:lvl w:ilvl="0" w:tentative="0">
      <w:start w:val="6"/>
      <w:numFmt w:val="decimal"/>
      <w:suff w:val="space"/>
      <w:lvlText w:val="%1."/>
      <w:lvlJc w:val="left"/>
    </w:lvl>
  </w:abstractNum>
  <w:abstractNum w:abstractNumId="10">
    <w:nsid w:val="3D0B0F9E"/>
    <w:multiLevelType w:val="multilevel"/>
    <w:tmpl w:val="3D0B0F9E"/>
    <w:lvl w:ilvl="0" w:tentative="0">
      <w:start w:val="1"/>
      <w:numFmt w:val="decimal"/>
      <w:lvlText w:val="%1)"/>
      <w:lvlJc w:val="left"/>
      <w:pPr>
        <w:tabs>
          <w:tab w:val="left" w:pos="1800"/>
        </w:tabs>
        <w:ind w:left="180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61E5E94"/>
    <w:multiLevelType w:val="singleLevel"/>
    <w:tmpl w:val="461E5E94"/>
    <w:lvl w:ilvl="0" w:tentative="0">
      <w:start w:val="2"/>
      <w:numFmt w:val="chineseCounting"/>
      <w:suff w:val="space"/>
      <w:lvlText w:val="第%1章"/>
      <w:lvlJc w:val="left"/>
      <w:rPr>
        <w:rFonts w:hint="eastAsia"/>
      </w:rPr>
    </w:lvl>
  </w:abstractNum>
  <w:abstractNum w:abstractNumId="12">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3">
    <w:nsid w:val="5A3263BF"/>
    <w:multiLevelType w:val="singleLevel"/>
    <w:tmpl w:val="5A3263BF"/>
    <w:lvl w:ilvl="0" w:tentative="0">
      <w:start w:val="1"/>
      <w:numFmt w:val="decimal"/>
      <w:suff w:val="nothing"/>
      <w:lvlText w:val="%1、"/>
      <w:lvlJc w:val="left"/>
    </w:lvl>
  </w:abstractNum>
  <w:abstractNum w:abstractNumId="14">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5">
    <w:nsid w:val="66DDD653"/>
    <w:multiLevelType w:val="singleLevel"/>
    <w:tmpl w:val="66DDD653"/>
    <w:lvl w:ilvl="0" w:tentative="0">
      <w:start w:val="1"/>
      <w:numFmt w:val="chineseCounting"/>
      <w:suff w:val="space"/>
      <w:lvlText w:val="第%1章"/>
      <w:lvlJc w:val="left"/>
      <w:rPr>
        <w:rFonts w:hint="eastAsia"/>
      </w:rPr>
    </w:lvl>
  </w:abstractNum>
  <w:abstractNum w:abstractNumId="16">
    <w:nsid w:val="6CED0ACF"/>
    <w:multiLevelType w:val="multilevel"/>
    <w:tmpl w:val="6CED0ACF"/>
    <w:lvl w:ilvl="0" w:tentative="0">
      <w:start w:val="1"/>
      <w:numFmt w:val="decimal"/>
      <w:lvlText w:val="%1)"/>
      <w:lvlJc w:val="left"/>
      <w:pPr>
        <w:tabs>
          <w:tab w:val="left" w:pos="1800"/>
        </w:tabs>
        <w:ind w:left="180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D175F98"/>
    <w:multiLevelType w:val="multilevel"/>
    <w:tmpl w:val="6D175F98"/>
    <w:lvl w:ilvl="0" w:tentative="0">
      <w:start w:val="1"/>
      <w:numFmt w:val="decimal"/>
      <w:lvlText w:val="%1)"/>
      <w:lvlJc w:val="left"/>
      <w:pPr>
        <w:tabs>
          <w:tab w:val="left" w:pos="1800"/>
        </w:tabs>
        <w:ind w:left="1800" w:hanging="360"/>
      </w:pPr>
      <w:rPr>
        <w:rFonts w:hint="default"/>
      </w:rPr>
    </w:lvl>
    <w:lvl w:ilvl="1" w:tentative="0">
      <w:start w:val="1"/>
      <w:numFmt w:val="decimal"/>
      <w:lvlText w:val="%2)"/>
      <w:lvlJc w:val="left"/>
      <w:pPr>
        <w:tabs>
          <w:tab w:val="left" w:pos="2220"/>
        </w:tabs>
        <w:ind w:left="2220" w:hanging="36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abstractNum w:abstractNumId="18">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19">
    <w:nsid w:val="766F64C8"/>
    <w:multiLevelType w:val="multilevel"/>
    <w:tmpl w:val="766F64C8"/>
    <w:lvl w:ilvl="0" w:tentative="0">
      <w:start w:val="1"/>
      <w:numFmt w:val="decimal"/>
      <w:lvlText w:val="%1)"/>
      <w:lvlJc w:val="left"/>
      <w:pPr>
        <w:tabs>
          <w:tab w:val="left" w:pos="1800"/>
        </w:tabs>
        <w:ind w:left="180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
  </w:num>
  <w:num w:numId="2">
    <w:abstractNumId w:val="3"/>
  </w:num>
  <w:num w:numId="3">
    <w:abstractNumId w:val="12"/>
  </w:num>
  <w:num w:numId="4">
    <w:abstractNumId w:val="15"/>
  </w:num>
  <w:num w:numId="5">
    <w:abstractNumId w:val="11"/>
  </w:num>
  <w:num w:numId="6">
    <w:abstractNumId w:val="4"/>
  </w:num>
  <w:num w:numId="7">
    <w:abstractNumId w:val="5"/>
  </w:num>
  <w:num w:numId="8">
    <w:abstractNumId w:val="6"/>
  </w:num>
  <w:num w:numId="9">
    <w:abstractNumId w:val="8"/>
  </w:num>
  <w:num w:numId="10">
    <w:abstractNumId w:val="7"/>
  </w:num>
  <w:num w:numId="11">
    <w:abstractNumId w:val="2"/>
  </w:num>
  <w:num w:numId="12">
    <w:abstractNumId w:val="13"/>
  </w:num>
  <w:num w:numId="13">
    <w:abstractNumId w:val="17"/>
  </w:num>
  <w:num w:numId="14">
    <w:abstractNumId w:val="19"/>
  </w:num>
  <w:num w:numId="15">
    <w:abstractNumId w:val="10"/>
  </w:num>
  <w:num w:numId="16">
    <w:abstractNumId w:val="16"/>
  </w:num>
  <w:num w:numId="17">
    <w:abstractNumId w:val="9"/>
  </w:num>
  <w:num w:numId="18">
    <w:abstractNumId w:val="0"/>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B4165"/>
    <w:rsid w:val="00527EFD"/>
    <w:rsid w:val="00616E31"/>
    <w:rsid w:val="00655E3C"/>
    <w:rsid w:val="00674C42"/>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BA25A5"/>
    <w:rsid w:val="00BB201C"/>
    <w:rsid w:val="00C376DF"/>
    <w:rsid w:val="00C52E14"/>
    <w:rsid w:val="00C767D4"/>
    <w:rsid w:val="00CC232E"/>
    <w:rsid w:val="00CD1804"/>
    <w:rsid w:val="00D559AE"/>
    <w:rsid w:val="00DF7014"/>
    <w:rsid w:val="00E319E7"/>
    <w:rsid w:val="00EF2797"/>
    <w:rsid w:val="00F127FF"/>
    <w:rsid w:val="010E7DC6"/>
    <w:rsid w:val="0118771F"/>
    <w:rsid w:val="014011E2"/>
    <w:rsid w:val="015217A4"/>
    <w:rsid w:val="01873FD9"/>
    <w:rsid w:val="01935887"/>
    <w:rsid w:val="01A82F36"/>
    <w:rsid w:val="01AD7B32"/>
    <w:rsid w:val="01BD7005"/>
    <w:rsid w:val="01D435FB"/>
    <w:rsid w:val="01ED7D22"/>
    <w:rsid w:val="02394D84"/>
    <w:rsid w:val="023B4212"/>
    <w:rsid w:val="026F217A"/>
    <w:rsid w:val="027638E8"/>
    <w:rsid w:val="02782E93"/>
    <w:rsid w:val="02945C00"/>
    <w:rsid w:val="02FB6928"/>
    <w:rsid w:val="03035B4D"/>
    <w:rsid w:val="030D5E47"/>
    <w:rsid w:val="0311374C"/>
    <w:rsid w:val="0336696D"/>
    <w:rsid w:val="034628D3"/>
    <w:rsid w:val="035F6A7D"/>
    <w:rsid w:val="03975E79"/>
    <w:rsid w:val="04162490"/>
    <w:rsid w:val="041C127C"/>
    <w:rsid w:val="044405B7"/>
    <w:rsid w:val="0470673A"/>
    <w:rsid w:val="04845FBD"/>
    <w:rsid w:val="04A33DD1"/>
    <w:rsid w:val="04CC341D"/>
    <w:rsid w:val="05137CD7"/>
    <w:rsid w:val="05395CC8"/>
    <w:rsid w:val="05855436"/>
    <w:rsid w:val="058E2529"/>
    <w:rsid w:val="05A50164"/>
    <w:rsid w:val="05B43C6D"/>
    <w:rsid w:val="05D92A57"/>
    <w:rsid w:val="05DD68BD"/>
    <w:rsid w:val="05E70F70"/>
    <w:rsid w:val="05EA7A8F"/>
    <w:rsid w:val="05F50E9D"/>
    <w:rsid w:val="05F905BC"/>
    <w:rsid w:val="060938AB"/>
    <w:rsid w:val="060B26E0"/>
    <w:rsid w:val="064E6A74"/>
    <w:rsid w:val="067C192C"/>
    <w:rsid w:val="06944C9F"/>
    <w:rsid w:val="06D52D47"/>
    <w:rsid w:val="06E40CB7"/>
    <w:rsid w:val="070122F0"/>
    <w:rsid w:val="071A1AAA"/>
    <w:rsid w:val="071F44DA"/>
    <w:rsid w:val="075E4944"/>
    <w:rsid w:val="075F7318"/>
    <w:rsid w:val="07944E64"/>
    <w:rsid w:val="079C4ADE"/>
    <w:rsid w:val="07BD0726"/>
    <w:rsid w:val="07FC1B3E"/>
    <w:rsid w:val="080F2FE4"/>
    <w:rsid w:val="084F68CB"/>
    <w:rsid w:val="085A1BE1"/>
    <w:rsid w:val="085C76FE"/>
    <w:rsid w:val="08693A83"/>
    <w:rsid w:val="086A431A"/>
    <w:rsid w:val="08A9367B"/>
    <w:rsid w:val="08CC2D6A"/>
    <w:rsid w:val="08D86E72"/>
    <w:rsid w:val="09062B47"/>
    <w:rsid w:val="093D06B0"/>
    <w:rsid w:val="098951A5"/>
    <w:rsid w:val="09A315C2"/>
    <w:rsid w:val="09DC400A"/>
    <w:rsid w:val="09E102FF"/>
    <w:rsid w:val="09F21104"/>
    <w:rsid w:val="09F22AA0"/>
    <w:rsid w:val="09FD3700"/>
    <w:rsid w:val="0A096EBC"/>
    <w:rsid w:val="0A1357D4"/>
    <w:rsid w:val="0A3B11A3"/>
    <w:rsid w:val="0A400AB7"/>
    <w:rsid w:val="0A6A2A5E"/>
    <w:rsid w:val="0AB2466D"/>
    <w:rsid w:val="0AB66338"/>
    <w:rsid w:val="0AE67587"/>
    <w:rsid w:val="0B2816FB"/>
    <w:rsid w:val="0B3A4CFE"/>
    <w:rsid w:val="0B631F3C"/>
    <w:rsid w:val="0B9F2323"/>
    <w:rsid w:val="0BB96227"/>
    <w:rsid w:val="0BCA1551"/>
    <w:rsid w:val="0BD31ED1"/>
    <w:rsid w:val="0BF02F5F"/>
    <w:rsid w:val="0C1205E8"/>
    <w:rsid w:val="0C1E2BA0"/>
    <w:rsid w:val="0C21217E"/>
    <w:rsid w:val="0C240CE5"/>
    <w:rsid w:val="0C3469B9"/>
    <w:rsid w:val="0C3F6D5B"/>
    <w:rsid w:val="0C765CB2"/>
    <w:rsid w:val="0C8B4EE6"/>
    <w:rsid w:val="0CB42CFD"/>
    <w:rsid w:val="0CBF5F3A"/>
    <w:rsid w:val="0CDA4F6D"/>
    <w:rsid w:val="0CDF43DD"/>
    <w:rsid w:val="0CFB3563"/>
    <w:rsid w:val="0D0475F6"/>
    <w:rsid w:val="0D373669"/>
    <w:rsid w:val="0D764E12"/>
    <w:rsid w:val="0D7D3EC3"/>
    <w:rsid w:val="0D8509AD"/>
    <w:rsid w:val="0D937226"/>
    <w:rsid w:val="0D9C27FA"/>
    <w:rsid w:val="0DAD3614"/>
    <w:rsid w:val="0DEB19AF"/>
    <w:rsid w:val="0DF9128C"/>
    <w:rsid w:val="0E2D7F14"/>
    <w:rsid w:val="0E3627D0"/>
    <w:rsid w:val="0E422197"/>
    <w:rsid w:val="0E4A5198"/>
    <w:rsid w:val="0E615169"/>
    <w:rsid w:val="0E970358"/>
    <w:rsid w:val="0EAE4C53"/>
    <w:rsid w:val="0EDB1986"/>
    <w:rsid w:val="0EDE4D61"/>
    <w:rsid w:val="0EE10084"/>
    <w:rsid w:val="0EF27825"/>
    <w:rsid w:val="0F1747D0"/>
    <w:rsid w:val="0F361AD2"/>
    <w:rsid w:val="0F766D8E"/>
    <w:rsid w:val="0F884221"/>
    <w:rsid w:val="0FC86BC8"/>
    <w:rsid w:val="101355CD"/>
    <w:rsid w:val="102E2F55"/>
    <w:rsid w:val="10392EAE"/>
    <w:rsid w:val="106C2B22"/>
    <w:rsid w:val="10706EC2"/>
    <w:rsid w:val="10801E69"/>
    <w:rsid w:val="10A11DDD"/>
    <w:rsid w:val="10A4463E"/>
    <w:rsid w:val="10E94F29"/>
    <w:rsid w:val="11203AD5"/>
    <w:rsid w:val="11394306"/>
    <w:rsid w:val="11405A21"/>
    <w:rsid w:val="115E5333"/>
    <w:rsid w:val="119E054E"/>
    <w:rsid w:val="11B158B5"/>
    <w:rsid w:val="11E338D3"/>
    <w:rsid w:val="11FA3596"/>
    <w:rsid w:val="1224063D"/>
    <w:rsid w:val="1245278F"/>
    <w:rsid w:val="125C4C74"/>
    <w:rsid w:val="12807280"/>
    <w:rsid w:val="13030129"/>
    <w:rsid w:val="13215400"/>
    <w:rsid w:val="133330F1"/>
    <w:rsid w:val="13344634"/>
    <w:rsid w:val="13390AA7"/>
    <w:rsid w:val="133D18DE"/>
    <w:rsid w:val="138B2D26"/>
    <w:rsid w:val="13A13753"/>
    <w:rsid w:val="13A81874"/>
    <w:rsid w:val="13C77E0B"/>
    <w:rsid w:val="13CB2484"/>
    <w:rsid w:val="13D37D98"/>
    <w:rsid w:val="13FD103D"/>
    <w:rsid w:val="14093B52"/>
    <w:rsid w:val="141C2FAF"/>
    <w:rsid w:val="141C7045"/>
    <w:rsid w:val="148463E6"/>
    <w:rsid w:val="14972906"/>
    <w:rsid w:val="14B71FA9"/>
    <w:rsid w:val="14D20D9B"/>
    <w:rsid w:val="14E73786"/>
    <w:rsid w:val="150024B6"/>
    <w:rsid w:val="15170D44"/>
    <w:rsid w:val="15771668"/>
    <w:rsid w:val="15901FEA"/>
    <w:rsid w:val="159077C1"/>
    <w:rsid w:val="15A72BED"/>
    <w:rsid w:val="15B03AAF"/>
    <w:rsid w:val="15CF7A2F"/>
    <w:rsid w:val="1608185A"/>
    <w:rsid w:val="1621170E"/>
    <w:rsid w:val="16332332"/>
    <w:rsid w:val="16A71BB1"/>
    <w:rsid w:val="16DD7E0C"/>
    <w:rsid w:val="16F23890"/>
    <w:rsid w:val="17200067"/>
    <w:rsid w:val="175F2BE6"/>
    <w:rsid w:val="177A072A"/>
    <w:rsid w:val="178F2CB6"/>
    <w:rsid w:val="17A8137B"/>
    <w:rsid w:val="17AA759A"/>
    <w:rsid w:val="17B4164A"/>
    <w:rsid w:val="17C4052C"/>
    <w:rsid w:val="17C86B7D"/>
    <w:rsid w:val="17E13854"/>
    <w:rsid w:val="17F032A2"/>
    <w:rsid w:val="18470696"/>
    <w:rsid w:val="18593EEB"/>
    <w:rsid w:val="187532DE"/>
    <w:rsid w:val="18B91D2B"/>
    <w:rsid w:val="18BC2176"/>
    <w:rsid w:val="18BD0806"/>
    <w:rsid w:val="18C40414"/>
    <w:rsid w:val="191C4FE8"/>
    <w:rsid w:val="192720E3"/>
    <w:rsid w:val="19541B25"/>
    <w:rsid w:val="19584E18"/>
    <w:rsid w:val="198620BB"/>
    <w:rsid w:val="19DE4711"/>
    <w:rsid w:val="19F1626B"/>
    <w:rsid w:val="1A604B05"/>
    <w:rsid w:val="1A6A6D44"/>
    <w:rsid w:val="1A817123"/>
    <w:rsid w:val="1AF935DA"/>
    <w:rsid w:val="1AFB0E51"/>
    <w:rsid w:val="1B4C0B5A"/>
    <w:rsid w:val="1B595DCE"/>
    <w:rsid w:val="1B6E76D2"/>
    <w:rsid w:val="1BE337DD"/>
    <w:rsid w:val="1BE82792"/>
    <w:rsid w:val="1C093ECB"/>
    <w:rsid w:val="1C156CCE"/>
    <w:rsid w:val="1C9B76A0"/>
    <w:rsid w:val="1CAF7DC6"/>
    <w:rsid w:val="1CB7574F"/>
    <w:rsid w:val="1CD61164"/>
    <w:rsid w:val="1CDD0584"/>
    <w:rsid w:val="1CE4433A"/>
    <w:rsid w:val="1CF666F0"/>
    <w:rsid w:val="1D173755"/>
    <w:rsid w:val="1D4B5507"/>
    <w:rsid w:val="1D54609B"/>
    <w:rsid w:val="1D561465"/>
    <w:rsid w:val="1D9A73E0"/>
    <w:rsid w:val="1DA31ABA"/>
    <w:rsid w:val="1DA8229F"/>
    <w:rsid w:val="1DEB7E6D"/>
    <w:rsid w:val="1DF11281"/>
    <w:rsid w:val="1E0E2DF3"/>
    <w:rsid w:val="1E0F1FD7"/>
    <w:rsid w:val="1E2018BE"/>
    <w:rsid w:val="1E4C2949"/>
    <w:rsid w:val="1E6A78CD"/>
    <w:rsid w:val="1E8025C0"/>
    <w:rsid w:val="1E9001D9"/>
    <w:rsid w:val="1EA30B4C"/>
    <w:rsid w:val="1EA47357"/>
    <w:rsid w:val="1ED2191D"/>
    <w:rsid w:val="1EE65CFE"/>
    <w:rsid w:val="1EE84AA8"/>
    <w:rsid w:val="1F6E52A2"/>
    <w:rsid w:val="1F735B62"/>
    <w:rsid w:val="1FA87FC1"/>
    <w:rsid w:val="1FB53C21"/>
    <w:rsid w:val="1FB549C6"/>
    <w:rsid w:val="1FB57D4D"/>
    <w:rsid w:val="1FB744B2"/>
    <w:rsid w:val="1FC80796"/>
    <w:rsid w:val="1FCE7A87"/>
    <w:rsid w:val="1FD15E93"/>
    <w:rsid w:val="204A1E13"/>
    <w:rsid w:val="209025EE"/>
    <w:rsid w:val="20AE3204"/>
    <w:rsid w:val="20D40F99"/>
    <w:rsid w:val="214624ED"/>
    <w:rsid w:val="215819F6"/>
    <w:rsid w:val="216614C4"/>
    <w:rsid w:val="218D4481"/>
    <w:rsid w:val="21FA01A1"/>
    <w:rsid w:val="21FD58DB"/>
    <w:rsid w:val="221D5E85"/>
    <w:rsid w:val="222C1CC0"/>
    <w:rsid w:val="222E2931"/>
    <w:rsid w:val="22460D58"/>
    <w:rsid w:val="22484E58"/>
    <w:rsid w:val="227C0DCD"/>
    <w:rsid w:val="228447E5"/>
    <w:rsid w:val="23422BB0"/>
    <w:rsid w:val="23424F53"/>
    <w:rsid w:val="234A5F84"/>
    <w:rsid w:val="23582408"/>
    <w:rsid w:val="23660707"/>
    <w:rsid w:val="236E14E2"/>
    <w:rsid w:val="237D0FC2"/>
    <w:rsid w:val="238F7DCE"/>
    <w:rsid w:val="23970167"/>
    <w:rsid w:val="23A16642"/>
    <w:rsid w:val="23E5719C"/>
    <w:rsid w:val="23F85F52"/>
    <w:rsid w:val="24244D92"/>
    <w:rsid w:val="24296133"/>
    <w:rsid w:val="242F631F"/>
    <w:rsid w:val="243570F2"/>
    <w:rsid w:val="244E66FF"/>
    <w:rsid w:val="24577DE4"/>
    <w:rsid w:val="24783194"/>
    <w:rsid w:val="24CE3BAF"/>
    <w:rsid w:val="24D92305"/>
    <w:rsid w:val="24D96B70"/>
    <w:rsid w:val="24E21308"/>
    <w:rsid w:val="2519505F"/>
    <w:rsid w:val="25321B18"/>
    <w:rsid w:val="253A57B7"/>
    <w:rsid w:val="25671AF5"/>
    <w:rsid w:val="25673283"/>
    <w:rsid w:val="25821982"/>
    <w:rsid w:val="25825B82"/>
    <w:rsid w:val="25A242DE"/>
    <w:rsid w:val="25BD356B"/>
    <w:rsid w:val="25D60AD2"/>
    <w:rsid w:val="25D65461"/>
    <w:rsid w:val="25E07B8A"/>
    <w:rsid w:val="25E3371B"/>
    <w:rsid w:val="25E76D27"/>
    <w:rsid w:val="261F0C17"/>
    <w:rsid w:val="266B421D"/>
    <w:rsid w:val="26715A56"/>
    <w:rsid w:val="267252A4"/>
    <w:rsid w:val="268400FD"/>
    <w:rsid w:val="26CA6350"/>
    <w:rsid w:val="26CE19BE"/>
    <w:rsid w:val="26E00FED"/>
    <w:rsid w:val="27086EB2"/>
    <w:rsid w:val="27117EDE"/>
    <w:rsid w:val="27731F31"/>
    <w:rsid w:val="27A7080A"/>
    <w:rsid w:val="28546E15"/>
    <w:rsid w:val="286F2100"/>
    <w:rsid w:val="2890543D"/>
    <w:rsid w:val="289E691E"/>
    <w:rsid w:val="295802C0"/>
    <w:rsid w:val="29972693"/>
    <w:rsid w:val="29B42C0D"/>
    <w:rsid w:val="29BB5D7A"/>
    <w:rsid w:val="29C57527"/>
    <w:rsid w:val="29C857FB"/>
    <w:rsid w:val="29D148D0"/>
    <w:rsid w:val="2A0E50D0"/>
    <w:rsid w:val="2A492AF2"/>
    <w:rsid w:val="2A703A89"/>
    <w:rsid w:val="2A7C3B5D"/>
    <w:rsid w:val="2AB76578"/>
    <w:rsid w:val="2AC803DC"/>
    <w:rsid w:val="2AC97166"/>
    <w:rsid w:val="2AF9481A"/>
    <w:rsid w:val="2AFE711F"/>
    <w:rsid w:val="2B00287F"/>
    <w:rsid w:val="2B071159"/>
    <w:rsid w:val="2B092FB2"/>
    <w:rsid w:val="2B1023C9"/>
    <w:rsid w:val="2B5714EF"/>
    <w:rsid w:val="2B9C69B1"/>
    <w:rsid w:val="2BA2013E"/>
    <w:rsid w:val="2BC417BC"/>
    <w:rsid w:val="2BE766BB"/>
    <w:rsid w:val="2C0A7A1A"/>
    <w:rsid w:val="2C5222A1"/>
    <w:rsid w:val="2CA6260C"/>
    <w:rsid w:val="2CB108D7"/>
    <w:rsid w:val="2CB40E56"/>
    <w:rsid w:val="2CB90916"/>
    <w:rsid w:val="2CDA24DC"/>
    <w:rsid w:val="2CE56599"/>
    <w:rsid w:val="2CFF2D39"/>
    <w:rsid w:val="2D33402D"/>
    <w:rsid w:val="2D54010B"/>
    <w:rsid w:val="2D8D51DC"/>
    <w:rsid w:val="2D912C47"/>
    <w:rsid w:val="2DB71FAC"/>
    <w:rsid w:val="2DD1427F"/>
    <w:rsid w:val="2DD268C9"/>
    <w:rsid w:val="2DEC7EAB"/>
    <w:rsid w:val="2E0D1401"/>
    <w:rsid w:val="2E19008E"/>
    <w:rsid w:val="2EA2717F"/>
    <w:rsid w:val="2EBA077D"/>
    <w:rsid w:val="2EBC618D"/>
    <w:rsid w:val="2ED222F3"/>
    <w:rsid w:val="2EDD4396"/>
    <w:rsid w:val="2EF726B0"/>
    <w:rsid w:val="2EF97816"/>
    <w:rsid w:val="2F237FB3"/>
    <w:rsid w:val="2F266F50"/>
    <w:rsid w:val="2F3F34BE"/>
    <w:rsid w:val="2F84259E"/>
    <w:rsid w:val="2F8B40F9"/>
    <w:rsid w:val="2F9844F2"/>
    <w:rsid w:val="2FA50222"/>
    <w:rsid w:val="2FA65871"/>
    <w:rsid w:val="2FD752A5"/>
    <w:rsid w:val="2FDE6467"/>
    <w:rsid w:val="30036AAC"/>
    <w:rsid w:val="30143D85"/>
    <w:rsid w:val="30147554"/>
    <w:rsid w:val="312668F0"/>
    <w:rsid w:val="313C21B1"/>
    <w:rsid w:val="3149171F"/>
    <w:rsid w:val="31752B09"/>
    <w:rsid w:val="31894973"/>
    <w:rsid w:val="31D55E9E"/>
    <w:rsid w:val="31FD2290"/>
    <w:rsid w:val="320202A4"/>
    <w:rsid w:val="32152C33"/>
    <w:rsid w:val="324B117A"/>
    <w:rsid w:val="32614BF6"/>
    <w:rsid w:val="32724008"/>
    <w:rsid w:val="328255E2"/>
    <w:rsid w:val="3295270B"/>
    <w:rsid w:val="32D55D51"/>
    <w:rsid w:val="32E81934"/>
    <w:rsid w:val="32EE3640"/>
    <w:rsid w:val="332F7BA5"/>
    <w:rsid w:val="337D122C"/>
    <w:rsid w:val="33E1098E"/>
    <w:rsid w:val="33F47B60"/>
    <w:rsid w:val="34015A86"/>
    <w:rsid w:val="340A7B08"/>
    <w:rsid w:val="34125EF5"/>
    <w:rsid w:val="341548E3"/>
    <w:rsid w:val="341C73AD"/>
    <w:rsid w:val="341E4F79"/>
    <w:rsid w:val="34685578"/>
    <w:rsid w:val="3477614B"/>
    <w:rsid w:val="3487190D"/>
    <w:rsid w:val="34AD403F"/>
    <w:rsid w:val="34E6348B"/>
    <w:rsid w:val="34FD7B2D"/>
    <w:rsid w:val="35375367"/>
    <w:rsid w:val="35880431"/>
    <w:rsid w:val="35967957"/>
    <w:rsid w:val="35AB7A5F"/>
    <w:rsid w:val="35BF1C6E"/>
    <w:rsid w:val="35D57D5C"/>
    <w:rsid w:val="35EC203E"/>
    <w:rsid w:val="36512D6A"/>
    <w:rsid w:val="3651686F"/>
    <w:rsid w:val="366B7E6C"/>
    <w:rsid w:val="367D48AA"/>
    <w:rsid w:val="36AD752B"/>
    <w:rsid w:val="36BC5498"/>
    <w:rsid w:val="36FC0F59"/>
    <w:rsid w:val="373B1A49"/>
    <w:rsid w:val="373D4EFA"/>
    <w:rsid w:val="3756612A"/>
    <w:rsid w:val="37712A39"/>
    <w:rsid w:val="379E03C0"/>
    <w:rsid w:val="37A76D9F"/>
    <w:rsid w:val="37B24C52"/>
    <w:rsid w:val="37CC1134"/>
    <w:rsid w:val="37DD1C48"/>
    <w:rsid w:val="37E85036"/>
    <w:rsid w:val="38111537"/>
    <w:rsid w:val="38160592"/>
    <w:rsid w:val="38271A77"/>
    <w:rsid w:val="38644486"/>
    <w:rsid w:val="38997936"/>
    <w:rsid w:val="390471EE"/>
    <w:rsid w:val="390F3C45"/>
    <w:rsid w:val="391A3788"/>
    <w:rsid w:val="39577F6A"/>
    <w:rsid w:val="39832501"/>
    <w:rsid w:val="39867849"/>
    <w:rsid w:val="39920EA7"/>
    <w:rsid w:val="39B979C2"/>
    <w:rsid w:val="39C30F5C"/>
    <w:rsid w:val="39F367FB"/>
    <w:rsid w:val="3A1447B7"/>
    <w:rsid w:val="3A350059"/>
    <w:rsid w:val="3A992A50"/>
    <w:rsid w:val="3ABD0C10"/>
    <w:rsid w:val="3AD01DBA"/>
    <w:rsid w:val="3AE50133"/>
    <w:rsid w:val="3AEF184B"/>
    <w:rsid w:val="3AF65D65"/>
    <w:rsid w:val="3AF86FD4"/>
    <w:rsid w:val="3AFD67CD"/>
    <w:rsid w:val="3B103EC0"/>
    <w:rsid w:val="3B25794D"/>
    <w:rsid w:val="3B345EA5"/>
    <w:rsid w:val="3B491C1C"/>
    <w:rsid w:val="3B556F9F"/>
    <w:rsid w:val="3B6E61A1"/>
    <w:rsid w:val="3B7A083A"/>
    <w:rsid w:val="3B837FF9"/>
    <w:rsid w:val="3BD94BB0"/>
    <w:rsid w:val="3BDC4A10"/>
    <w:rsid w:val="3BF12A1E"/>
    <w:rsid w:val="3C6148EE"/>
    <w:rsid w:val="3C871D6F"/>
    <w:rsid w:val="3C9514F9"/>
    <w:rsid w:val="3CAC27E0"/>
    <w:rsid w:val="3CCE5B41"/>
    <w:rsid w:val="3CD55589"/>
    <w:rsid w:val="3D015BC0"/>
    <w:rsid w:val="3D332F79"/>
    <w:rsid w:val="3D445AEB"/>
    <w:rsid w:val="3D7413A5"/>
    <w:rsid w:val="3D7C4212"/>
    <w:rsid w:val="3D856805"/>
    <w:rsid w:val="3DB531EC"/>
    <w:rsid w:val="3E147F83"/>
    <w:rsid w:val="3E5F5711"/>
    <w:rsid w:val="3E6924FD"/>
    <w:rsid w:val="3E877B3F"/>
    <w:rsid w:val="3EAD7AA4"/>
    <w:rsid w:val="3ECA4CC1"/>
    <w:rsid w:val="3ECB0C4C"/>
    <w:rsid w:val="3EE539E2"/>
    <w:rsid w:val="3F4262D2"/>
    <w:rsid w:val="3F5D3F9F"/>
    <w:rsid w:val="3FCA392F"/>
    <w:rsid w:val="40010F72"/>
    <w:rsid w:val="4023400E"/>
    <w:rsid w:val="402F540C"/>
    <w:rsid w:val="40643820"/>
    <w:rsid w:val="4079502C"/>
    <w:rsid w:val="40A146E6"/>
    <w:rsid w:val="40C76003"/>
    <w:rsid w:val="40DA19A4"/>
    <w:rsid w:val="40F02A6D"/>
    <w:rsid w:val="414E2823"/>
    <w:rsid w:val="41745EF0"/>
    <w:rsid w:val="41884255"/>
    <w:rsid w:val="41986365"/>
    <w:rsid w:val="419B35F4"/>
    <w:rsid w:val="41DB2061"/>
    <w:rsid w:val="41E559E6"/>
    <w:rsid w:val="422556B2"/>
    <w:rsid w:val="426B3BFD"/>
    <w:rsid w:val="42910AC3"/>
    <w:rsid w:val="42A6641E"/>
    <w:rsid w:val="42B30059"/>
    <w:rsid w:val="42CA3562"/>
    <w:rsid w:val="42D4753C"/>
    <w:rsid w:val="42D65CE3"/>
    <w:rsid w:val="42FE633D"/>
    <w:rsid w:val="43036342"/>
    <w:rsid w:val="431C50CE"/>
    <w:rsid w:val="43467841"/>
    <w:rsid w:val="434A4DCE"/>
    <w:rsid w:val="437F193B"/>
    <w:rsid w:val="438E57BC"/>
    <w:rsid w:val="43BA688B"/>
    <w:rsid w:val="43BD3B11"/>
    <w:rsid w:val="43C326B1"/>
    <w:rsid w:val="43C93DA7"/>
    <w:rsid w:val="43E63F63"/>
    <w:rsid w:val="43F47D4D"/>
    <w:rsid w:val="43FA1665"/>
    <w:rsid w:val="440F6EBE"/>
    <w:rsid w:val="4487596E"/>
    <w:rsid w:val="449065E4"/>
    <w:rsid w:val="44C52600"/>
    <w:rsid w:val="44C973A7"/>
    <w:rsid w:val="451E7709"/>
    <w:rsid w:val="452A27C4"/>
    <w:rsid w:val="45450AEF"/>
    <w:rsid w:val="4559551E"/>
    <w:rsid w:val="455A0DA3"/>
    <w:rsid w:val="4563730C"/>
    <w:rsid w:val="45D83A86"/>
    <w:rsid w:val="45ED1351"/>
    <w:rsid w:val="46037123"/>
    <w:rsid w:val="46224E26"/>
    <w:rsid w:val="46437AF1"/>
    <w:rsid w:val="46997F5B"/>
    <w:rsid w:val="46B55E43"/>
    <w:rsid w:val="46CE3C20"/>
    <w:rsid w:val="46DD0EA4"/>
    <w:rsid w:val="46DE47FF"/>
    <w:rsid w:val="46DF04B4"/>
    <w:rsid w:val="46ED47E4"/>
    <w:rsid w:val="47026350"/>
    <w:rsid w:val="471932DC"/>
    <w:rsid w:val="476A3C38"/>
    <w:rsid w:val="476D2CF9"/>
    <w:rsid w:val="47732475"/>
    <w:rsid w:val="477E6769"/>
    <w:rsid w:val="47B22635"/>
    <w:rsid w:val="47B53460"/>
    <w:rsid w:val="47BA1D1E"/>
    <w:rsid w:val="47BB49A9"/>
    <w:rsid w:val="47E278F4"/>
    <w:rsid w:val="47E44CE0"/>
    <w:rsid w:val="47E656F6"/>
    <w:rsid w:val="48193EDE"/>
    <w:rsid w:val="483915FA"/>
    <w:rsid w:val="48694FA0"/>
    <w:rsid w:val="4871671A"/>
    <w:rsid w:val="488E768B"/>
    <w:rsid w:val="489F711E"/>
    <w:rsid w:val="48BB264B"/>
    <w:rsid w:val="48D330D6"/>
    <w:rsid w:val="493D0335"/>
    <w:rsid w:val="4957376D"/>
    <w:rsid w:val="49676AC2"/>
    <w:rsid w:val="4976578C"/>
    <w:rsid w:val="498F4936"/>
    <w:rsid w:val="49D1074D"/>
    <w:rsid w:val="49D43E81"/>
    <w:rsid w:val="49E67D8E"/>
    <w:rsid w:val="49F41D5E"/>
    <w:rsid w:val="4A047D76"/>
    <w:rsid w:val="4A1A61CA"/>
    <w:rsid w:val="4A327238"/>
    <w:rsid w:val="4A903713"/>
    <w:rsid w:val="4A943C10"/>
    <w:rsid w:val="4AA92CE9"/>
    <w:rsid w:val="4AC41DB7"/>
    <w:rsid w:val="4B1E31F7"/>
    <w:rsid w:val="4B3E700B"/>
    <w:rsid w:val="4B3F1232"/>
    <w:rsid w:val="4B57703E"/>
    <w:rsid w:val="4B662107"/>
    <w:rsid w:val="4B753403"/>
    <w:rsid w:val="4B937FCA"/>
    <w:rsid w:val="4B9A0561"/>
    <w:rsid w:val="4BCB3573"/>
    <w:rsid w:val="4C035F37"/>
    <w:rsid w:val="4C212DEA"/>
    <w:rsid w:val="4C22747C"/>
    <w:rsid w:val="4C514E97"/>
    <w:rsid w:val="4CB90340"/>
    <w:rsid w:val="4CE75373"/>
    <w:rsid w:val="4D097EF2"/>
    <w:rsid w:val="4D3747FF"/>
    <w:rsid w:val="4D543359"/>
    <w:rsid w:val="4DB67461"/>
    <w:rsid w:val="4E0C268A"/>
    <w:rsid w:val="4E765E5A"/>
    <w:rsid w:val="4E8318E1"/>
    <w:rsid w:val="4E907F6C"/>
    <w:rsid w:val="4EAE23AB"/>
    <w:rsid w:val="4EDE2EB6"/>
    <w:rsid w:val="4EEE29D8"/>
    <w:rsid w:val="4EF633AB"/>
    <w:rsid w:val="4F106249"/>
    <w:rsid w:val="4F1670CF"/>
    <w:rsid w:val="4F384879"/>
    <w:rsid w:val="4F55729E"/>
    <w:rsid w:val="4FC06E79"/>
    <w:rsid w:val="4FC1321B"/>
    <w:rsid w:val="4FF2025F"/>
    <w:rsid w:val="4FFE6E2E"/>
    <w:rsid w:val="503E32E5"/>
    <w:rsid w:val="50513BF5"/>
    <w:rsid w:val="50675DFF"/>
    <w:rsid w:val="509A2890"/>
    <w:rsid w:val="50A15748"/>
    <w:rsid w:val="50B924A3"/>
    <w:rsid w:val="50C25FD7"/>
    <w:rsid w:val="50F857A1"/>
    <w:rsid w:val="513B3C8B"/>
    <w:rsid w:val="514756C4"/>
    <w:rsid w:val="514B75E8"/>
    <w:rsid w:val="514D5C09"/>
    <w:rsid w:val="51694ABA"/>
    <w:rsid w:val="51737993"/>
    <w:rsid w:val="5194469F"/>
    <w:rsid w:val="519D0DB4"/>
    <w:rsid w:val="51A53B14"/>
    <w:rsid w:val="51AF1C3C"/>
    <w:rsid w:val="51BE4911"/>
    <w:rsid w:val="51D239AD"/>
    <w:rsid w:val="51EF2E47"/>
    <w:rsid w:val="5200122E"/>
    <w:rsid w:val="52121EAC"/>
    <w:rsid w:val="52215111"/>
    <w:rsid w:val="523A1161"/>
    <w:rsid w:val="525F4868"/>
    <w:rsid w:val="52A15C9E"/>
    <w:rsid w:val="52D64115"/>
    <w:rsid w:val="531F30C4"/>
    <w:rsid w:val="538748A2"/>
    <w:rsid w:val="538F5E1B"/>
    <w:rsid w:val="53DF0AB7"/>
    <w:rsid w:val="53FB2D98"/>
    <w:rsid w:val="542C7DFE"/>
    <w:rsid w:val="54371409"/>
    <w:rsid w:val="544F049A"/>
    <w:rsid w:val="54796757"/>
    <w:rsid w:val="54955562"/>
    <w:rsid w:val="549B6672"/>
    <w:rsid w:val="54A91F22"/>
    <w:rsid w:val="54BD4069"/>
    <w:rsid w:val="54DD6427"/>
    <w:rsid w:val="54EE0FF2"/>
    <w:rsid w:val="54F27CFD"/>
    <w:rsid w:val="55230FD0"/>
    <w:rsid w:val="553B0BD0"/>
    <w:rsid w:val="555C3C85"/>
    <w:rsid w:val="55633F28"/>
    <w:rsid w:val="55A25927"/>
    <w:rsid w:val="55B24F2B"/>
    <w:rsid w:val="55D12532"/>
    <w:rsid w:val="5601257D"/>
    <w:rsid w:val="5617343E"/>
    <w:rsid w:val="563C5D54"/>
    <w:rsid w:val="566D4B95"/>
    <w:rsid w:val="567C7800"/>
    <w:rsid w:val="568D6638"/>
    <w:rsid w:val="56BF11D0"/>
    <w:rsid w:val="56FF1D12"/>
    <w:rsid w:val="572656D4"/>
    <w:rsid w:val="57462C31"/>
    <w:rsid w:val="57B37025"/>
    <w:rsid w:val="57DF4914"/>
    <w:rsid w:val="57E431CF"/>
    <w:rsid w:val="581B2431"/>
    <w:rsid w:val="5836129D"/>
    <w:rsid w:val="585B5AC5"/>
    <w:rsid w:val="58951701"/>
    <w:rsid w:val="58C12419"/>
    <w:rsid w:val="58CC781F"/>
    <w:rsid w:val="58DE7069"/>
    <w:rsid w:val="58F62B5D"/>
    <w:rsid w:val="58F816CA"/>
    <w:rsid w:val="58FA36D0"/>
    <w:rsid w:val="593F52E8"/>
    <w:rsid w:val="59AD06A4"/>
    <w:rsid w:val="59C202F9"/>
    <w:rsid w:val="59C378B1"/>
    <w:rsid w:val="59D44D45"/>
    <w:rsid w:val="5A0470EF"/>
    <w:rsid w:val="5A1E4155"/>
    <w:rsid w:val="5A3938A1"/>
    <w:rsid w:val="5A395D10"/>
    <w:rsid w:val="5A4D586D"/>
    <w:rsid w:val="5A6249B0"/>
    <w:rsid w:val="5A6C6F2A"/>
    <w:rsid w:val="5A7D5719"/>
    <w:rsid w:val="5A964AB8"/>
    <w:rsid w:val="5AC97447"/>
    <w:rsid w:val="5B090FD0"/>
    <w:rsid w:val="5B333C3C"/>
    <w:rsid w:val="5B8E16C2"/>
    <w:rsid w:val="5C485ECD"/>
    <w:rsid w:val="5CA34613"/>
    <w:rsid w:val="5CDD6B32"/>
    <w:rsid w:val="5CE17DA2"/>
    <w:rsid w:val="5CE4765F"/>
    <w:rsid w:val="5CF52A1F"/>
    <w:rsid w:val="5D08610F"/>
    <w:rsid w:val="5D0C0B25"/>
    <w:rsid w:val="5D1E702C"/>
    <w:rsid w:val="5D5D2F89"/>
    <w:rsid w:val="5DA43012"/>
    <w:rsid w:val="5DCD78A7"/>
    <w:rsid w:val="5E0C475C"/>
    <w:rsid w:val="5E0F09F4"/>
    <w:rsid w:val="5E173FF3"/>
    <w:rsid w:val="5E603F7F"/>
    <w:rsid w:val="5E8B6DED"/>
    <w:rsid w:val="5EE84C68"/>
    <w:rsid w:val="5F03200E"/>
    <w:rsid w:val="5F0626B0"/>
    <w:rsid w:val="5F1B0044"/>
    <w:rsid w:val="5F8F0673"/>
    <w:rsid w:val="5FC97FEB"/>
    <w:rsid w:val="606301FB"/>
    <w:rsid w:val="60906901"/>
    <w:rsid w:val="60D8319C"/>
    <w:rsid w:val="60E42E34"/>
    <w:rsid w:val="60F31D14"/>
    <w:rsid w:val="61014D78"/>
    <w:rsid w:val="611932AF"/>
    <w:rsid w:val="614B72AC"/>
    <w:rsid w:val="614C3C26"/>
    <w:rsid w:val="6165708A"/>
    <w:rsid w:val="617102D4"/>
    <w:rsid w:val="61854043"/>
    <w:rsid w:val="61E2672A"/>
    <w:rsid w:val="621D5BA4"/>
    <w:rsid w:val="622215D8"/>
    <w:rsid w:val="622F0005"/>
    <w:rsid w:val="625E2024"/>
    <w:rsid w:val="62611239"/>
    <w:rsid w:val="62704778"/>
    <w:rsid w:val="62D32987"/>
    <w:rsid w:val="631A6DAA"/>
    <w:rsid w:val="63256512"/>
    <w:rsid w:val="632D4A3C"/>
    <w:rsid w:val="633E23DD"/>
    <w:rsid w:val="634A7A72"/>
    <w:rsid w:val="634D4ADC"/>
    <w:rsid w:val="63540CF8"/>
    <w:rsid w:val="635B6748"/>
    <w:rsid w:val="635C429C"/>
    <w:rsid w:val="635F7A98"/>
    <w:rsid w:val="63677869"/>
    <w:rsid w:val="637B1DC4"/>
    <w:rsid w:val="63947A95"/>
    <w:rsid w:val="63995DF3"/>
    <w:rsid w:val="63D0057D"/>
    <w:rsid w:val="6433403C"/>
    <w:rsid w:val="645D5A93"/>
    <w:rsid w:val="645E43BF"/>
    <w:rsid w:val="646225C9"/>
    <w:rsid w:val="64665576"/>
    <w:rsid w:val="64847CBA"/>
    <w:rsid w:val="6492613A"/>
    <w:rsid w:val="64A94977"/>
    <w:rsid w:val="64C4392C"/>
    <w:rsid w:val="64E1519C"/>
    <w:rsid w:val="65145F93"/>
    <w:rsid w:val="65194FD3"/>
    <w:rsid w:val="65262147"/>
    <w:rsid w:val="657C0DAF"/>
    <w:rsid w:val="658F75A6"/>
    <w:rsid w:val="65B9511C"/>
    <w:rsid w:val="660C7F20"/>
    <w:rsid w:val="66361B8F"/>
    <w:rsid w:val="666A0D6A"/>
    <w:rsid w:val="66875B60"/>
    <w:rsid w:val="66A527D0"/>
    <w:rsid w:val="66B479A6"/>
    <w:rsid w:val="66D85417"/>
    <w:rsid w:val="66DC2963"/>
    <w:rsid w:val="66EC1415"/>
    <w:rsid w:val="6727655C"/>
    <w:rsid w:val="676D761B"/>
    <w:rsid w:val="677E66BC"/>
    <w:rsid w:val="678A5484"/>
    <w:rsid w:val="678F10A0"/>
    <w:rsid w:val="67967995"/>
    <w:rsid w:val="679B1417"/>
    <w:rsid w:val="67B167D1"/>
    <w:rsid w:val="67B8730F"/>
    <w:rsid w:val="68077B91"/>
    <w:rsid w:val="680E7FD1"/>
    <w:rsid w:val="682F7951"/>
    <w:rsid w:val="68315DA2"/>
    <w:rsid w:val="68446CCF"/>
    <w:rsid w:val="68482DB3"/>
    <w:rsid w:val="685F0E50"/>
    <w:rsid w:val="685F1C50"/>
    <w:rsid w:val="68672CB9"/>
    <w:rsid w:val="68B61411"/>
    <w:rsid w:val="68CA6271"/>
    <w:rsid w:val="68CD7322"/>
    <w:rsid w:val="68D16A23"/>
    <w:rsid w:val="68D67C69"/>
    <w:rsid w:val="68D81E4F"/>
    <w:rsid w:val="68E05E88"/>
    <w:rsid w:val="68FD31D7"/>
    <w:rsid w:val="693636EF"/>
    <w:rsid w:val="69410BEE"/>
    <w:rsid w:val="695125CA"/>
    <w:rsid w:val="69680525"/>
    <w:rsid w:val="699022E9"/>
    <w:rsid w:val="69A939A7"/>
    <w:rsid w:val="6A084A93"/>
    <w:rsid w:val="6A1D1C01"/>
    <w:rsid w:val="6A2C3949"/>
    <w:rsid w:val="6A35559C"/>
    <w:rsid w:val="6A4F6B08"/>
    <w:rsid w:val="6A646903"/>
    <w:rsid w:val="6A6812C3"/>
    <w:rsid w:val="6A714498"/>
    <w:rsid w:val="6AA74D9D"/>
    <w:rsid w:val="6ABF4244"/>
    <w:rsid w:val="6AC3299D"/>
    <w:rsid w:val="6ACF57D2"/>
    <w:rsid w:val="6ADA6A19"/>
    <w:rsid w:val="6AFB6F52"/>
    <w:rsid w:val="6B2C481B"/>
    <w:rsid w:val="6B4B5E14"/>
    <w:rsid w:val="6B4C4CC5"/>
    <w:rsid w:val="6B7C150B"/>
    <w:rsid w:val="6B8F62FC"/>
    <w:rsid w:val="6B976CB9"/>
    <w:rsid w:val="6BB6127D"/>
    <w:rsid w:val="6BE17DBB"/>
    <w:rsid w:val="6BE7576E"/>
    <w:rsid w:val="6BEC5F07"/>
    <w:rsid w:val="6BF27B2F"/>
    <w:rsid w:val="6C0D0E79"/>
    <w:rsid w:val="6C1F6AA2"/>
    <w:rsid w:val="6C2755B4"/>
    <w:rsid w:val="6C320B8F"/>
    <w:rsid w:val="6C6C35F5"/>
    <w:rsid w:val="6CB87D98"/>
    <w:rsid w:val="6CB95A74"/>
    <w:rsid w:val="6CE21AC1"/>
    <w:rsid w:val="6CFC1CBF"/>
    <w:rsid w:val="6D5D3196"/>
    <w:rsid w:val="6D664EE6"/>
    <w:rsid w:val="6D862606"/>
    <w:rsid w:val="6DA13C29"/>
    <w:rsid w:val="6DF93C55"/>
    <w:rsid w:val="6E140C84"/>
    <w:rsid w:val="6E7F3835"/>
    <w:rsid w:val="6EA56F68"/>
    <w:rsid w:val="6EB54E1D"/>
    <w:rsid w:val="6EFC549E"/>
    <w:rsid w:val="6F3A2165"/>
    <w:rsid w:val="6FF84FF4"/>
    <w:rsid w:val="700549B4"/>
    <w:rsid w:val="70060541"/>
    <w:rsid w:val="703665DE"/>
    <w:rsid w:val="703A7782"/>
    <w:rsid w:val="704F3898"/>
    <w:rsid w:val="70604E9C"/>
    <w:rsid w:val="706104F8"/>
    <w:rsid w:val="706A3279"/>
    <w:rsid w:val="70795A00"/>
    <w:rsid w:val="70AA40DF"/>
    <w:rsid w:val="71280F29"/>
    <w:rsid w:val="71586DE9"/>
    <w:rsid w:val="716440FB"/>
    <w:rsid w:val="7179571A"/>
    <w:rsid w:val="717B1A6C"/>
    <w:rsid w:val="71A04FFD"/>
    <w:rsid w:val="720B6D0C"/>
    <w:rsid w:val="72162671"/>
    <w:rsid w:val="721D01CC"/>
    <w:rsid w:val="722D32BC"/>
    <w:rsid w:val="725821EC"/>
    <w:rsid w:val="727C06F2"/>
    <w:rsid w:val="72B7064C"/>
    <w:rsid w:val="72D36F5F"/>
    <w:rsid w:val="72EB61AE"/>
    <w:rsid w:val="73591ED0"/>
    <w:rsid w:val="7360126A"/>
    <w:rsid w:val="73803F85"/>
    <w:rsid w:val="73A0232C"/>
    <w:rsid w:val="73A44535"/>
    <w:rsid w:val="73A77F04"/>
    <w:rsid w:val="73B175BA"/>
    <w:rsid w:val="73E90A84"/>
    <w:rsid w:val="73F43BF0"/>
    <w:rsid w:val="74123A3A"/>
    <w:rsid w:val="741467AA"/>
    <w:rsid w:val="741929F9"/>
    <w:rsid w:val="74375E04"/>
    <w:rsid w:val="745919C6"/>
    <w:rsid w:val="74702A9A"/>
    <w:rsid w:val="7472326E"/>
    <w:rsid w:val="74751ED3"/>
    <w:rsid w:val="748E235A"/>
    <w:rsid w:val="74C90CFC"/>
    <w:rsid w:val="74CB2564"/>
    <w:rsid w:val="74E25A6B"/>
    <w:rsid w:val="74FE3D65"/>
    <w:rsid w:val="7540712D"/>
    <w:rsid w:val="75480CDD"/>
    <w:rsid w:val="7587153D"/>
    <w:rsid w:val="75D6706B"/>
    <w:rsid w:val="75E13EAC"/>
    <w:rsid w:val="75E8423E"/>
    <w:rsid w:val="75F107FD"/>
    <w:rsid w:val="7608791A"/>
    <w:rsid w:val="761C2BBB"/>
    <w:rsid w:val="7631361A"/>
    <w:rsid w:val="76476BA1"/>
    <w:rsid w:val="7664068F"/>
    <w:rsid w:val="766B3623"/>
    <w:rsid w:val="7677643E"/>
    <w:rsid w:val="767C2539"/>
    <w:rsid w:val="768F7AFC"/>
    <w:rsid w:val="76D32127"/>
    <w:rsid w:val="76F24F99"/>
    <w:rsid w:val="774114F6"/>
    <w:rsid w:val="776A1DE8"/>
    <w:rsid w:val="778E6A53"/>
    <w:rsid w:val="780C2D10"/>
    <w:rsid w:val="783E2FAA"/>
    <w:rsid w:val="785972AF"/>
    <w:rsid w:val="785D00CA"/>
    <w:rsid w:val="785E76E8"/>
    <w:rsid w:val="786C062C"/>
    <w:rsid w:val="78B70F77"/>
    <w:rsid w:val="78E36E01"/>
    <w:rsid w:val="78EC5FA8"/>
    <w:rsid w:val="78F364A9"/>
    <w:rsid w:val="79062E93"/>
    <w:rsid w:val="79212831"/>
    <w:rsid w:val="792A1A22"/>
    <w:rsid w:val="793B5C30"/>
    <w:rsid w:val="79592B9E"/>
    <w:rsid w:val="7980797E"/>
    <w:rsid w:val="79822868"/>
    <w:rsid w:val="79C17EE8"/>
    <w:rsid w:val="79D15FE4"/>
    <w:rsid w:val="79F07533"/>
    <w:rsid w:val="79F36117"/>
    <w:rsid w:val="79FB6C99"/>
    <w:rsid w:val="7A06164B"/>
    <w:rsid w:val="7A1354F5"/>
    <w:rsid w:val="7A3F692E"/>
    <w:rsid w:val="7A8D09B0"/>
    <w:rsid w:val="7A932CC6"/>
    <w:rsid w:val="7A96685C"/>
    <w:rsid w:val="7AA21ED1"/>
    <w:rsid w:val="7AAE6128"/>
    <w:rsid w:val="7AE107C6"/>
    <w:rsid w:val="7AEE350D"/>
    <w:rsid w:val="7B170A0B"/>
    <w:rsid w:val="7B3C2695"/>
    <w:rsid w:val="7B3C2E48"/>
    <w:rsid w:val="7B4C51E1"/>
    <w:rsid w:val="7B792F7C"/>
    <w:rsid w:val="7BD10AFC"/>
    <w:rsid w:val="7BD63E83"/>
    <w:rsid w:val="7C0D2D6E"/>
    <w:rsid w:val="7C3E0476"/>
    <w:rsid w:val="7C767CAC"/>
    <w:rsid w:val="7C7C10D6"/>
    <w:rsid w:val="7C807EF4"/>
    <w:rsid w:val="7CAF0AA9"/>
    <w:rsid w:val="7CC62A72"/>
    <w:rsid w:val="7CDE0F13"/>
    <w:rsid w:val="7D153328"/>
    <w:rsid w:val="7D4E492B"/>
    <w:rsid w:val="7DDD6CEA"/>
    <w:rsid w:val="7DEF588E"/>
    <w:rsid w:val="7E064E23"/>
    <w:rsid w:val="7E3C62B7"/>
    <w:rsid w:val="7E4E4DF5"/>
    <w:rsid w:val="7E565841"/>
    <w:rsid w:val="7E636E14"/>
    <w:rsid w:val="7E753189"/>
    <w:rsid w:val="7E835F1F"/>
    <w:rsid w:val="7E8767D9"/>
    <w:rsid w:val="7E900FB1"/>
    <w:rsid w:val="7EF41B6E"/>
    <w:rsid w:val="7EFE7741"/>
    <w:rsid w:val="7F352B6A"/>
    <w:rsid w:val="7F6874AC"/>
    <w:rsid w:val="7F6B4AD7"/>
    <w:rsid w:val="7F6F0940"/>
    <w:rsid w:val="7F8013AB"/>
    <w:rsid w:val="7F891C56"/>
    <w:rsid w:val="7FB76839"/>
    <w:rsid w:val="7FBD45B4"/>
    <w:rsid w:val="7FC63074"/>
    <w:rsid w:val="7FD82155"/>
    <w:rsid w:val="7FE3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60" w:after="60"/>
      <w:ind w:firstLineChars="0"/>
      <w:jc w:val="center"/>
      <w:outlineLvl w:val="0"/>
    </w:pPr>
    <w:rPr>
      <w:b/>
      <w:bCs/>
      <w:kern w:val="44"/>
      <w:sz w:val="44"/>
      <w:szCs w:val="44"/>
    </w:rPr>
  </w:style>
  <w:style w:type="paragraph" w:styleId="6">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8">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9">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4">
    <w:name w:val="Default Paragraph Font"/>
    <w:link w:val="25"/>
    <w:semiHidden/>
    <w:unhideWhenUsed/>
    <w:qFormat/>
    <w:uiPriority w:val="1"/>
    <w:rPr>
      <w:rFonts w:ascii="Tahoma" w:hAnsi="Tahoma"/>
      <w:sz w:val="24"/>
      <w:szCs w:val="20"/>
    </w:rPr>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ind w:firstLine="200" w:firstLineChars="200"/>
    </w:pPr>
    <w:rPr>
      <w:sz w:val="21"/>
    </w:rPr>
  </w:style>
  <w:style w:type="paragraph" w:styleId="4">
    <w:name w:val="toc 6"/>
    <w:basedOn w:val="1"/>
    <w:next w:val="1"/>
    <w:qFormat/>
    <w:uiPriority w:val="0"/>
    <w:pPr>
      <w:ind w:left="1050"/>
      <w:jc w:val="left"/>
    </w:pPr>
    <w:rPr>
      <w:sz w:val="18"/>
      <w:szCs w:val="18"/>
    </w:rPr>
  </w:style>
  <w:style w:type="paragraph" w:styleId="10">
    <w:name w:val="List Number"/>
    <w:basedOn w:val="1"/>
    <w:qFormat/>
    <w:uiPriority w:val="0"/>
    <w:pPr>
      <w:numPr>
        <w:ilvl w:val="0"/>
        <w:numId w:val="2"/>
      </w:numPr>
    </w:pPr>
  </w:style>
  <w:style w:type="paragraph" w:styleId="11">
    <w:name w:val="Normal Indent"/>
    <w:basedOn w:val="1"/>
    <w:qFormat/>
    <w:uiPriority w:val="0"/>
    <w:pPr>
      <w:ind w:firstLine="420"/>
    </w:pPr>
    <w:rPr>
      <w:szCs w:val="20"/>
    </w:rPr>
  </w:style>
  <w:style w:type="paragraph" w:styleId="12">
    <w:name w:val="annotation text"/>
    <w:basedOn w:val="1"/>
    <w:link w:val="45"/>
    <w:qFormat/>
    <w:uiPriority w:val="0"/>
    <w:pPr>
      <w:jc w:val="left"/>
    </w:pPr>
  </w:style>
  <w:style w:type="paragraph" w:styleId="13">
    <w:name w:val="Body Text Indent"/>
    <w:basedOn w:val="1"/>
    <w:next w:val="1"/>
    <w:link w:val="48"/>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47"/>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annotation subject"/>
    <w:basedOn w:val="12"/>
    <w:next w:val="12"/>
    <w:link w:val="46"/>
    <w:qFormat/>
    <w:uiPriority w:val="0"/>
    <w:rPr>
      <w:b/>
      <w:bCs/>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5">
    <w:name w:val="Char1"/>
    <w:basedOn w:val="1"/>
    <w:link w:val="24"/>
    <w:qFormat/>
    <w:uiPriority w:val="0"/>
    <w:rPr>
      <w:rFonts w:ascii="Tahoma" w:hAnsi="Tahoma"/>
      <w:sz w:val="24"/>
      <w:szCs w:val="20"/>
    </w:rPr>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列出段落1"/>
    <w:basedOn w:val="1"/>
    <w:qFormat/>
    <w:uiPriority w:val="0"/>
    <w:pPr>
      <w:ind w:firstLine="420" w:firstLineChars="200"/>
    </w:pPr>
    <w:rPr>
      <w:rFonts w:ascii="Calibri" w:hAnsi="Calibri"/>
      <w:kern w:val="0"/>
      <w:szCs w:val="20"/>
    </w:rPr>
  </w:style>
  <w:style w:type="paragraph" w:customStyle="1" w:styleId="32">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4"/>
    <w:qFormat/>
    <w:uiPriority w:val="0"/>
    <w:rPr>
      <w:rFonts w:ascii="Times New Roman" w:hAnsi="Times New Roman" w:eastAsia="宋体" w:cs="Times New Roman"/>
      <w:sz w:val="21"/>
      <w:szCs w:val="22"/>
      <w:lang w:val="en-US" w:eastAsia="zh-CN" w:bidi="ar-SA"/>
    </w:rPr>
  </w:style>
  <w:style w:type="paragraph" w:customStyle="1" w:styleId="3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纯文本_3"/>
    <w:basedOn w:val="38"/>
    <w:qFormat/>
    <w:uiPriority w:val="0"/>
    <w:pPr>
      <w:widowControl/>
      <w:jc w:val="left"/>
    </w:pPr>
    <w:rPr>
      <w:rFonts w:ascii="宋体" w:hAnsi="Courier New" w:eastAsiaTheme="minorEastAsia" w:cstheme="minorBidi"/>
      <w:szCs w:val="21"/>
    </w:rPr>
  </w:style>
  <w:style w:type="paragraph" w:customStyle="1" w:styleId="40">
    <w:name w:val="纯文本_0_1"/>
    <w:basedOn w:val="1"/>
    <w:qFormat/>
    <w:uiPriority w:val="0"/>
    <w:pPr>
      <w:widowControl/>
      <w:jc w:val="left"/>
    </w:pPr>
    <w:rPr>
      <w:rFonts w:ascii="宋体" w:hAnsi="Courier New" w:eastAsiaTheme="minorEastAsia" w:cstheme="minorBidi"/>
      <w:szCs w:val="21"/>
    </w:rPr>
  </w:style>
  <w:style w:type="paragraph" w:customStyle="1" w:styleId="4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5">
    <w:name w:val="批注文字 字符"/>
    <w:basedOn w:val="24"/>
    <w:link w:val="12"/>
    <w:qFormat/>
    <w:uiPriority w:val="0"/>
    <w:rPr>
      <w:rFonts w:ascii="Times New Roman" w:hAnsi="Times New Roman" w:eastAsia="宋体" w:cs="Times New Roman"/>
      <w:kern w:val="2"/>
      <w:sz w:val="21"/>
      <w:szCs w:val="24"/>
    </w:rPr>
  </w:style>
  <w:style w:type="character" w:customStyle="1" w:styleId="46">
    <w:name w:val="批注主题 字符"/>
    <w:basedOn w:val="45"/>
    <w:link w:val="20"/>
    <w:qFormat/>
    <w:uiPriority w:val="0"/>
    <w:rPr>
      <w:rFonts w:ascii="Times New Roman" w:hAnsi="Times New Roman" w:eastAsia="宋体" w:cs="Times New Roman"/>
      <w:b/>
      <w:bCs/>
      <w:kern w:val="2"/>
      <w:sz w:val="21"/>
      <w:szCs w:val="24"/>
    </w:rPr>
  </w:style>
  <w:style w:type="character" w:customStyle="1" w:styleId="47">
    <w:name w:val="批注框文本 字符"/>
    <w:basedOn w:val="24"/>
    <w:link w:val="16"/>
    <w:qFormat/>
    <w:uiPriority w:val="0"/>
    <w:rPr>
      <w:rFonts w:ascii="Times New Roman" w:hAnsi="Times New Roman" w:eastAsia="宋体" w:cs="Times New Roman"/>
      <w:kern w:val="2"/>
      <w:sz w:val="18"/>
      <w:szCs w:val="18"/>
    </w:rPr>
  </w:style>
  <w:style w:type="character" w:customStyle="1" w:styleId="48">
    <w:name w:val="正文文本缩进 字符"/>
    <w:basedOn w:val="24"/>
    <w:link w:val="13"/>
    <w:qFormat/>
    <w:uiPriority w:val="0"/>
    <w:rPr>
      <w:kern w:val="2"/>
      <w:sz w:val="21"/>
      <w:szCs w:val="24"/>
    </w:rPr>
  </w:style>
  <w:style w:type="paragraph" w:customStyle="1" w:styleId="4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1">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2">
    <w:name w:val="正文首行缩进（绿盟科技）"/>
    <w:basedOn w:val="53"/>
    <w:qFormat/>
    <w:uiPriority w:val="0"/>
    <w:pPr>
      <w:spacing w:after="50"/>
      <w:ind w:firstLine="200" w:firstLineChars="200"/>
    </w:pPr>
  </w:style>
  <w:style w:type="paragraph" w:customStyle="1" w:styleId="53">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4">
    <w:name w:val="无"/>
    <w:qFormat/>
    <w:uiPriority w:val="0"/>
  </w:style>
  <w:style w:type="character" w:customStyle="1" w:styleId="55">
    <w:name w:val="标题 1 Char Char"/>
    <w:basedOn w:val="24"/>
    <w:qFormat/>
    <w:uiPriority w:val="0"/>
    <w:rPr>
      <w:rFonts w:eastAsia="宋体"/>
      <w:b/>
      <w:spacing w:val="-2"/>
      <w:sz w:val="24"/>
      <w:lang w:val="en-US" w:eastAsia="zh-CN" w:bidi="ar-SA"/>
    </w:rPr>
  </w:style>
  <w:style w:type="character" w:customStyle="1" w:styleId="56">
    <w:name w:val="font51"/>
    <w:basedOn w:val="24"/>
    <w:qFormat/>
    <w:uiPriority w:val="0"/>
    <w:rPr>
      <w:rFonts w:hint="eastAsia" w:ascii="宋体" w:hAnsi="宋体" w:eastAsia="宋体" w:cs="宋体"/>
      <w:color w:val="000000"/>
      <w:sz w:val="18"/>
      <w:szCs w:val="18"/>
      <w:u w:val="none"/>
    </w:rPr>
  </w:style>
  <w:style w:type="character" w:customStyle="1" w:styleId="57">
    <w:name w:val="font61"/>
    <w:basedOn w:val="24"/>
    <w:qFormat/>
    <w:uiPriority w:val="0"/>
    <w:rPr>
      <w:rFonts w:hint="eastAsia" w:ascii="宋体" w:hAnsi="宋体" w:eastAsia="宋体" w:cs="宋体"/>
      <w:b/>
      <w:color w:val="FF0000"/>
      <w:sz w:val="18"/>
      <w:szCs w:val="18"/>
      <w:u w:val="none"/>
    </w:rPr>
  </w:style>
  <w:style w:type="character" w:customStyle="1" w:styleId="58">
    <w:name w:val="font41"/>
    <w:basedOn w:val="24"/>
    <w:qFormat/>
    <w:uiPriority w:val="0"/>
    <w:rPr>
      <w:rFonts w:hint="eastAsia" w:ascii="宋体" w:hAnsi="宋体" w:eastAsia="宋体" w:cs="宋体"/>
      <w:color w:val="000000"/>
      <w:sz w:val="18"/>
      <w:szCs w:val="18"/>
      <w:u w:val="none"/>
    </w:rPr>
  </w:style>
  <w:style w:type="character" w:customStyle="1" w:styleId="59">
    <w:name w:val="font01"/>
    <w:basedOn w:val="24"/>
    <w:qFormat/>
    <w:uiPriority w:val="0"/>
    <w:rPr>
      <w:rFonts w:hint="eastAsia" w:ascii="宋体" w:hAnsi="宋体" w:eastAsia="宋体" w:cs="宋体"/>
      <w:color w:val="000000"/>
      <w:sz w:val="24"/>
      <w:szCs w:val="24"/>
      <w:u w:val="none"/>
    </w:rPr>
  </w:style>
  <w:style w:type="paragraph" w:customStyle="1" w:styleId="60">
    <w:name w:val="_Style 253"/>
    <w:basedOn w:val="1"/>
    <w:next w:val="3"/>
    <w:qFormat/>
    <w:uiPriority w:val="99"/>
  </w:style>
  <w:style w:type="paragraph" w:customStyle="1" w:styleId="61">
    <w:name w:val="*正文"/>
    <w:basedOn w:val="1"/>
    <w:qFormat/>
    <w:uiPriority w:val="0"/>
    <w:pPr>
      <w:spacing w:line="300" w:lineRule="auto"/>
      <w:ind w:firstLine="480" w:firstLineChars="200"/>
    </w:pPr>
    <w:rPr>
      <w:rFonts w:ascii="宋体" w:hAnsi="宋体"/>
      <w:bCs/>
      <w:color w:val="auto"/>
    </w:rPr>
  </w:style>
  <w:style w:type="character" w:customStyle="1" w:styleId="62">
    <w:name w:val="标题 1 Char1"/>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13</TotalTime>
  <ScaleCrop>false</ScaleCrop>
  <LinksUpToDate>false</LinksUpToDate>
  <CharactersWithSpaces>45843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Administrator</cp:lastModifiedBy>
  <cp:lastPrinted>2019-07-03T07:20:00Z</cp:lastPrinted>
  <dcterms:modified xsi:type="dcterms:W3CDTF">2021-01-11T01:17:09Z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