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2"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CG-2023-G</w:t>
      </w:r>
      <w:r>
        <w:rPr>
          <w:rFonts w:hint="eastAsia" w:ascii="宋体"/>
          <w:b/>
          <w:bCs w:val="0"/>
          <w:color w:val="auto"/>
          <w:kern w:val="0"/>
          <w:sz w:val="32"/>
          <w:lang w:val="en-US" w:eastAsia="zh-CN"/>
        </w:rPr>
        <w:t>K</w:t>
      </w:r>
      <w:r>
        <w:rPr>
          <w:rFonts w:hint="eastAsia" w:ascii="宋体"/>
          <w:b/>
          <w:bCs w:val="0"/>
          <w:kern w:val="0"/>
          <w:sz w:val="32"/>
          <w:lang w:val="en-US" w:eastAsia="zh-CN"/>
        </w:rPr>
        <w:t>003</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1680" w:firstLineChars="600"/>
        <w:jc w:val="both"/>
        <w:rPr>
          <w:rFonts w:ascii="宋体"/>
          <w:kern w:val="0"/>
          <w:sz w:val="28"/>
        </w:rPr>
      </w:pPr>
      <w:r>
        <w:rPr>
          <w:rFonts w:hint="eastAsia" w:ascii="宋体"/>
          <w:kern w:val="0"/>
          <w:sz w:val="28"/>
        </w:rPr>
        <w:t>采购项目：台州市政务外网安全运营平台项目</w:t>
      </w:r>
    </w:p>
    <w:p>
      <w:pPr>
        <w:autoSpaceDE w:val="0"/>
        <w:autoSpaceDN w:val="0"/>
        <w:adjustRightInd w:val="0"/>
        <w:spacing w:line="360" w:lineRule="auto"/>
        <w:ind w:left="0" w:leftChars="0" w:firstLine="1680" w:firstLineChars="600"/>
        <w:jc w:val="both"/>
        <w:rPr>
          <w:rFonts w:ascii="宋体"/>
          <w:kern w:val="0"/>
          <w:sz w:val="28"/>
        </w:rPr>
      </w:pPr>
      <w:r>
        <w:rPr>
          <w:rFonts w:hint="eastAsia" w:ascii="宋体"/>
          <w:kern w:val="0"/>
          <w:sz w:val="28"/>
        </w:rPr>
        <w:t>采 购 人：台州市大数据发展中心（本级）</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2023</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3</w:t>
      </w:r>
      <w:r>
        <w:rPr>
          <w:rFonts w:hint="eastAsia" w:ascii="宋体" w:hAnsi="宋体" w:cs="宋体"/>
          <w:kern w:val="0"/>
          <w:sz w:val="28"/>
          <w:szCs w:val="28"/>
        </w:rPr>
        <w:t xml:space="preserve"> 月 </w:t>
      </w:r>
      <w:r>
        <w:rPr>
          <w:rFonts w:hint="eastAsia" w:ascii="宋体" w:hAnsi="宋体" w:cs="宋体"/>
          <w:kern w:val="0"/>
          <w:sz w:val="28"/>
          <w:szCs w:val="28"/>
          <w:lang w:val="en-US" w:eastAsia="zh-CN"/>
        </w:rPr>
        <w:t>20</w:t>
      </w:r>
      <w:r>
        <w:rPr>
          <w:rFonts w:hint="eastAsia" w:ascii="宋体" w:hAnsi="宋体" w:cs="宋体"/>
          <w:kern w:val="0"/>
          <w:sz w:val="28"/>
          <w:szCs w:val="28"/>
        </w:rPr>
        <w:t xml:space="preserve"> 日</w:t>
      </w:r>
    </w:p>
    <w:p>
      <w:pPr>
        <w:spacing w:line="360" w:lineRule="auto"/>
      </w:pPr>
    </w:p>
    <w:p>
      <w:pPr>
        <w:spacing w:line="360" w:lineRule="auto"/>
        <w:rPr>
          <w:rFonts w:hint="eastAsia" w:eastAsia="宋体"/>
          <w:lang w:val="en-US" w:eastAsia="zh-CN"/>
        </w:rPr>
      </w:pPr>
    </w:p>
    <w:p>
      <w:pPr>
        <w:pStyle w:val="28"/>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8"/>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8"/>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480" w:firstLineChars="200"/>
        <w:jc w:val="both"/>
        <w:rPr>
          <w:rFonts w:cs="宋体"/>
          <w:b w:val="0"/>
          <w:sz w:val="24"/>
          <w:szCs w:val="24"/>
        </w:rPr>
      </w:pPr>
      <w:bookmarkStart w:id="6" w:name="_Toc35393790"/>
      <w:bookmarkStart w:id="7" w:name="_Toc28359002"/>
      <w:bookmarkStart w:id="8" w:name="_Toc28359079"/>
      <w:bookmarkStart w:id="9" w:name="_Toc35393621"/>
      <w:bookmarkStart w:id="10"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受台州市大数据发展中心（本级）委托，就台州市政务外网安全运营平台项目进行公开招标，欢迎符合资格条件的国内投标人参加投标。</w:t>
      </w:r>
    </w:p>
    <w:p>
      <w:pPr>
        <w:pStyle w:val="4"/>
        <w:numPr>
          <w:ilvl w:val="0"/>
          <w:numId w:val="0"/>
        </w:numPr>
        <w:ind w:leftChars="200" w:right="25" w:rightChars="0"/>
        <w:jc w:val="both"/>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项目编号：</w:t>
      </w:r>
      <w:r>
        <w:rPr>
          <w:rFonts w:hint="eastAsia" w:ascii="宋体" w:hAnsi="宋体" w:cs="宋体"/>
          <w:sz w:val="24"/>
          <w:lang w:val="en-US" w:eastAsia="zh-CN"/>
        </w:rPr>
        <w:t>TZCG-2023-G</w:t>
      </w:r>
      <w:r>
        <w:rPr>
          <w:rFonts w:hint="eastAsia" w:ascii="宋体" w:hAnsi="宋体" w:cs="宋体"/>
          <w:color w:val="auto"/>
          <w:sz w:val="24"/>
          <w:lang w:val="en-US" w:eastAsia="zh-CN"/>
        </w:rPr>
        <w:t>K003号</w:t>
      </w:r>
    </w:p>
    <w:bookmarkEnd w:id="10"/>
    <w:p>
      <w:pPr>
        <w:spacing w:line="360" w:lineRule="auto"/>
        <w:ind w:firstLine="480" w:firstLineChars="200"/>
      </w:pPr>
      <w:r>
        <w:rPr>
          <w:rFonts w:hint="eastAsia" w:ascii="宋体" w:hAnsi="宋体" w:cs="宋体"/>
          <w:sz w:val="24"/>
        </w:rPr>
        <w:t>项目名称：</w:t>
      </w:r>
      <w:r>
        <w:rPr>
          <w:rFonts w:hint="eastAsia" w:cs="宋体"/>
          <w:b w:val="0"/>
          <w:sz w:val="24"/>
          <w:szCs w:val="24"/>
        </w:rPr>
        <w:t>台州市政务外网安全运营平台</w:t>
      </w:r>
      <w:r>
        <w:rPr>
          <w:rFonts w:hint="eastAsia" w:ascii="宋体" w:hAnsi="宋体" w:cs="宋体"/>
          <w:kern w:val="0"/>
          <w:sz w:val="24"/>
        </w:rPr>
        <w:t>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pPr>
              <w:tabs>
                <w:tab w:val="left" w:pos="8280"/>
              </w:tabs>
              <w:autoSpaceDE w:val="0"/>
              <w:autoSpaceDN w:val="0"/>
              <w:adjustRightInd w:val="0"/>
              <w:jc w:val="center"/>
              <w:rPr>
                <w:rFonts w:ascii="宋体" w:hAnsi="宋体" w:cs="宋体"/>
                <w:b/>
                <w:sz w:val="21"/>
                <w:szCs w:val="21"/>
              </w:rPr>
            </w:pPr>
            <w:r>
              <w:rPr>
                <w:rFonts w:hint="eastAsia" w:cs="宋体"/>
                <w:b w:val="0"/>
                <w:sz w:val="24"/>
                <w:szCs w:val="24"/>
              </w:rPr>
              <w:t>台州市政务外网安全运营平台</w:t>
            </w:r>
          </w:p>
        </w:tc>
        <w:tc>
          <w:tcPr>
            <w:tcW w:w="9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Cs/>
                <w:sz w:val="21"/>
                <w:szCs w:val="21"/>
                <w:lang w:eastAsia="zh-CN"/>
              </w:rPr>
            </w:pPr>
            <w:r>
              <w:rPr>
                <w:rFonts w:hint="eastAsia" w:ascii="宋体" w:hAnsi="宋体" w:cs="宋体"/>
                <w:bCs/>
                <w:sz w:val="21"/>
                <w:szCs w:val="21"/>
                <w:lang w:eastAsia="zh-CN"/>
              </w:rPr>
              <w:t>项</w:t>
            </w:r>
          </w:p>
        </w:tc>
        <w:tc>
          <w:tcPr>
            <w:tcW w:w="1303" w:type="dxa"/>
            <w:vAlign w:val="center"/>
          </w:tcPr>
          <w:p>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600</w:t>
            </w:r>
          </w:p>
        </w:tc>
        <w:tc>
          <w:tcPr>
            <w:tcW w:w="1585"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sz w:val="24"/>
              </w:rPr>
              <w:t>5</w:t>
            </w:r>
            <w:r>
              <w:rPr>
                <w:rFonts w:ascii="宋体" w:hAnsi="宋体" w:cs="宋体"/>
                <w:sz w:val="24"/>
              </w:rPr>
              <w:t>76.5</w:t>
            </w:r>
          </w:p>
        </w:tc>
      </w:tr>
    </w:tbl>
    <w:p>
      <w:pPr>
        <w:pStyle w:val="4"/>
        <w:keepNext w:val="0"/>
        <w:keepLines w:val="0"/>
        <w:pageBreakBefore w:val="0"/>
        <w:widowControl w:val="0"/>
        <w:numPr>
          <w:ilvl w:val="0"/>
          <w:numId w:val="0"/>
        </w:numPr>
        <w:tabs>
          <w:tab w:val="left" w:pos="9660"/>
          <w:tab w:val="clear" w:pos="8280"/>
        </w:tabs>
        <w:kinsoku/>
        <w:wordWrap/>
        <w:overflowPunct/>
        <w:topLinePunct w:val="0"/>
        <w:autoSpaceDE w:val="0"/>
        <w:autoSpaceDN w:val="0"/>
        <w:bidi w:val="0"/>
        <w:adjustRightInd w:val="0"/>
        <w:snapToGrid/>
        <w:spacing w:line="360" w:lineRule="auto"/>
        <w:ind w:leftChars="200" w:right="23" w:rightChars="0"/>
        <w:jc w:val="left"/>
        <w:textAlignment w:val="auto"/>
        <w:rPr>
          <w:rFonts w:hint="eastAsia" w:cs="宋体"/>
          <w:bCs/>
          <w:sz w:val="24"/>
          <w:szCs w:val="24"/>
        </w:rPr>
      </w:pPr>
      <w:bookmarkStart w:id="11" w:name="_Toc28359080"/>
      <w:bookmarkStart w:id="12" w:name="_Toc28359003"/>
      <w:bookmarkStart w:id="13" w:name="_Toc35393622"/>
      <w:bookmarkStart w:id="14" w:name="_Toc35393791"/>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15" w:name="_Toc28359004"/>
      <w:bookmarkStart w:id="16" w:name="_Toc28359081"/>
      <w:bookmarkStart w:id="17" w:name="_Toc35393623"/>
      <w:bookmarkStart w:id="18" w:name="_Toc35393792"/>
      <w:r>
        <w:rPr>
          <w:rFonts w:hint="eastAsia" w:ascii="宋体" w:hAnsi="宋体" w:cs="宋体"/>
          <w:sz w:val="24"/>
        </w:rPr>
        <w:t>（二）本项目的特定资格要求：</w:t>
      </w:r>
      <w:r>
        <w:rPr>
          <w:rFonts w:hint="eastAsia" w:ascii="宋体" w:hAnsi="宋体" w:cs="宋体"/>
          <w:sz w:val="24"/>
          <w:lang w:eastAsia="zh-CN"/>
        </w:rPr>
        <w:t>无</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numPr>
          <w:ilvl w:val="0"/>
          <w:numId w:val="0"/>
        </w:numPr>
        <w:tabs>
          <w:tab w:val="left" w:pos="9660"/>
          <w:tab w:val="clear" w:pos="8280"/>
        </w:tabs>
        <w:kinsoku/>
        <w:wordWrap/>
        <w:overflowPunct/>
        <w:topLinePunct w:val="0"/>
        <w:autoSpaceDE w:val="0"/>
        <w:autoSpaceDN w:val="0"/>
        <w:bidi w:val="0"/>
        <w:adjustRightInd w:val="0"/>
        <w:snapToGrid/>
        <w:spacing w:line="360" w:lineRule="auto"/>
        <w:ind w:leftChars="200" w:right="23" w:rightChars="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2023</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2023</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4"/>
        <w:numPr>
          <w:ilvl w:val="0"/>
          <w:numId w:val="0"/>
        </w:numPr>
        <w:ind w:leftChars="200" w:right="0" w:rightChars="0"/>
        <w:jc w:val="both"/>
        <w:rPr>
          <w:rFonts w:cs="宋体"/>
          <w:bCs/>
          <w:sz w:val="24"/>
          <w:szCs w:val="24"/>
        </w:rPr>
      </w:pPr>
      <w:bookmarkStart w:id="19" w:name="_Toc28359005"/>
      <w:bookmarkStart w:id="20" w:name="_Toc28359082"/>
      <w:bookmarkStart w:id="21" w:name="_Toc35393793"/>
      <w:bookmarkStart w:id="22" w:name="_Toc35393624"/>
      <w:r>
        <w:rPr>
          <w:rFonts w:hint="eastAsia" w:cs="宋体"/>
          <w:bCs/>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28359007"/>
      <w:bookmarkStart w:id="24" w:name="_Toc35393625"/>
      <w:bookmarkStart w:id="25" w:name="_Toc28359084"/>
      <w:bookmarkStart w:id="26" w:name="_Toc35393794"/>
      <w:r>
        <w:rPr>
          <w:rFonts w:hint="eastAsia" w:ascii="宋体" w:hAnsi="宋体" w:cs="宋体"/>
          <w:sz w:val="24"/>
        </w:rPr>
        <w:t>（一）截止时间（开标时间）：</w:t>
      </w:r>
      <w:r>
        <w:rPr>
          <w:rFonts w:hint="eastAsia" w:ascii="宋体" w:hAnsi="宋体" w:cs="宋体"/>
          <w:bCs/>
          <w:sz w:val="24"/>
          <w:u w:val="single"/>
          <w:lang w:val="en-US" w:eastAsia="zh-CN"/>
        </w:rPr>
        <w:t>2023</w:t>
      </w:r>
      <w:r>
        <w:rPr>
          <w:rFonts w:hint="eastAsia" w:ascii="宋体" w:hAnsi="宋体" w:cs="宋体"/>
          <w:bCs/>
          <w:sz w:val="24"/>
          <w:u w:val="single"/>
        </w:rPr>
        <w:t>年</w:t>
      </w:r>
      <w:r>
        <w:rPr>
          <w:rFonts w:hint="eastAsia" w:ascii="宋体" w:hAnsi="宋体" w:cs="宋体"/>
          <w:sz w:val="24"/>
          <w:u w:val="single"/>
          <w:lang w:val="en-US" w:eastAsia="zh-CN"/>
        </w:rPr>
        <w:t>4</w:t>
      </w:r>
      <w:r>
        <w:rPr>
          <w:rFonts w:hint="eastAsia" w:ascii="宋体" w:hAnsi="宋体" w:cs="宋体"/>
          <w:bCs/>
          <w:sz w:val="24"/>
          <w:u w:val="single"/>
        </w:rPr>
        <w:t>月</w:t>
      </w:r>
      <w:r>
        <w:rPr>
          <w:rFonts w:hint="eastAsia" w:ascii="宋体" w:hAnsi="宋体" w:cs="宋体"/>
          <w:sz w:val="24"/>
          <w:u w:val="single"/>
          <w:lang w:val="en-US" w:eastAsia="zh-CN"/>
        </w:rPr>
        <w:t>12</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点整</w:t>
      </w:r>
      <w:r>
        <w:rPr>
          <w:rFonts w:hint="eastAsia" w:ascii="宋体" w:hAnsi="宋体" w:cs="宋体"/>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numPr>
          <w:ilvl w:val="0"/>
          <w:numId w:val="0"/>
        </w:numPr>
        <w:ind w:leftChars="200" w:right="0" w:rightChars="0"/>
        <w:jc w:val="both"/>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numPr>
          <w:ilvl w:val="0"/>
          <w:numId w:val="0"/>
        </w:numPr>
        <w:ind w:leftChars="200" w:right="0" w:rightChars="0"/>
        <w:jc w:val="both"/>
        <w:rPr>
          <w:rFonts w:cs="宋体"/>
          <w:bCs/>
          <w:sz w:val="24"/>
          <w:szCs w:val="24"/>
        </w:rPr>
      </w:pPr>
      <w:bookmarkStart w:id="29" w:name="_Toc35393796"/>
      <w:bookmarkStart w:id="30" w:name="_Toc28359008"/>
      <w:bookmarkStart w:id="31" w:name="_Toc35393627"/>
      <w:bookmarkStart w:id="32" w:name="_Toc28359085"/>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台州市大数据发展中心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xml:space="preserve"> 台州市椒江区市府大道市政府大楼347室  </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王</w:t>
      </w:r>
      <w:r>
        <w:rPr>
          <w:rFonts w:hint="eastAsia" w:ascii="宋体" w:hAnsi="宋体" w:cs="宋体"/>
          <w:sz w:val="24"/>
          <w:u w:val="single"/>
          <w:lang w:eastAsia="zh-CN"/>
        </w:rPr>
        <w:t>先生</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bookmarkStart w:id="33" w:name="_Toc28359009"/>
      <w:bookmarkStart w:id="34" w:name="_Toc28359086"/>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0576-88510380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2" w:firstLineChars="200"/>
      </w:pPr>
      <w:r>
        <w:rPr>
          <w:rFonts w:hint="eastAsia" w:ascii="宋体" w:hAnsi="宋体" w:cs="宋体"/>
          <w:b/>
          <w:bCs/>
          <w:sz w:val="24"/>
        </w:rPr>
        <w:t>（二）采购组织机构</w:t>
      </w:r>
    </w:p>
    <w:bookmarkEnd w:id="33"/>
    <w:bookmarkEnd w:id="34"/>
    <w:p>
      <w:pPr>
        <w:spacing w:line="360" w:lineRule="auto"/>
        <w:ind w:firstLine="480" w:firstLineChars="200"/>
        <w:jc w:val="left"/>
        <w:rPr>
          <w:rFonts w:hint="default" w:ascii="宋体" w:hAnsi="宋体" w:eastAsia="宋体" w:cs="宋体"/>
          <w:sz w:val="24"/>
          <w:u w:val="single"/>
          <w:lang w:val="en-US" w:eastAsia="zh-CN"/>
        </w:rPr>
      </w:pPr>
      <w:bookmarkStart w:id="35" w:name="_Toc25017_WPSOffice_Level1"/>
      <w:r>
        <w:rPr>
          <w:rFonts w:hint="eastAsia" w:ascii="宋体" w:hAnsi="宋体" w:cs="宋体"/>
          <w:sz w:val="24"/>
        </w:rPr>
        <w:t>名 称：</w:t>
      </w:r>
      <w:r>
        <w:rPr>
          <w:rFonts w:hint="eastAsia" w:ascii="宋体" w:hAnsi="宋体" w:cs="宋体"/>
          <w:sz w:val="24"/>
          <w:u w:val="single"/>
          <w:lang w:val="en-US" w:eastAsia="zh-CN"/>
        </w:rPr>
        <w:t xml:space="preserve">台州市政府采购中心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pPr>
        <w:spacing w:line="360" w:lineRule="auto"/>
        <w:ind w:firstLine="420" w:firstLineChars="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谢</w:t>
      </w:r>
      <w:r>
        <w:rPr>
          <w:rFonts w:hint="eastAsia" w:ascii="宋体" w:hAnsi="宋体" w:cs="宋体"/>
          <w:sz w:val="24"/>
          <w:u w:val="single"/>
        </w:rPr>
        <w:t>女士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88685062</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技术人员：</w:t>
      </w:r>
      <w:r>
        <w:rPr>
          <w:rFonts w:hint="eastAsia" w:ascii="宋体" w:hAnsi="宋体" w:cs="宋体"/>
          <w:sz w:val="24"/>
          <w:u w:val="single"/>
          <w:lang w:val="en-US" w:eastAsia="zh-CN"/>
        </w:rPr>
        <w:t>徐</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2023</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20</w:t>
      </w:r>
      <w:r>
        <w:rPr>
          <w:rFonts w:hint="eastAsia" w:asciiTheme="minorEastAsia" w:hAnsiTheme="minorEastAsia" w:eastAsiaTheme="minorEastAsia" w:cstheme="minorEastAsia"/>
          <w:kern w:val="0"/>
          <w:sz w:val="24"/>
        </w:rPr>
        <w:t>日</w:t>
      </w:r>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numPr>
          <w:ilvl w:val="0"/>
          <w:numId w:val="6"/>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eastAsia="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eastAsia="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(该项根据实际需求进行调整或删减)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7"/>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7"/>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7"/>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7"/>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 是/</w:t>
            </w:r>
            <w:r>
              <w:rPr>
                <w:rFonts w:hint="eastAsia" w:ascii="宋体" w:hAnsi="宋体" w:cs="宋体"/>
                <w:lang w:eastAsia="zh-CN"/>
              </w:rPr>
              <w:t>☑</w:t>
            </w:r>
            <w:r>
              <w:rPr>
                <w:rFonts w:hint="eastAsia" w:ascii="宋体" w:hAnsi="宋体" w:eastAsia="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u w:val="single"/>
                <w:lang w:val="en-US" w:eastAsia="zh-CN"/>
              </w:rPr>
              <w:t xml:space="preserve"> </w:t>
            </w:r>
            <w:r>
              <w:rPr>
                <w:rFonts w:hint="eastAsia" w:ascii="宋体" w:hAnsi="宋体" w:eastAsia="宋体" w:cs="宋体"/>
                <w:u w:val="single"/>
              </w:rPr>
              <w:t>服务类</w:t>
            </w:r>
            <w:r>
              <w:rPr>
                <w:rFonts w:hint="eastAsia" w:ascii="宋体" w:hAnsi="宋体" w:cs="宋体"/>
                <w:u w:val="single"/>
                <w:lang w:val="en-US" w:eastAsia="zh-CN"/>
              </w:rPr>
              <w:t xml:space="preserve"> </w:t>
            </w:r>
            <w:r>
              <w:rPr>
                <w:rFonts w:hint="eastAsia" w:ascii="宋体" w:hAnsi="宋体" w:cs="宋体"/>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采购标的：</w:t>
            </w:r>
            <w:r>
              <w:rPr>
                <w:rFonts w:hint="eastAsia" w:ascii="宋体" w:hAnsi="宋体" w:eastAsia="宋体" w:cs="宋体"/>
                <w:sz w:val="21"/>
                <w:szCs w:val="21"/>
                <w:u w:val="single"/>
              </w:rPr>
              <w:t xml:space="preserve">  台州市政务外网安全运营平台  </w:t>
            </w:r>
            <w:r>
              <w:rPr>
                <w:rFonts w:hint="eastAsia" w:ascii="宋体" w:hAnsi="宋体" w:eastAsia="宋体" w:cs="宋体"/>
                <w:sz w:val="21"/>
                <w:szCs w:val="21"/>
              </w:rPr>
              <w:t>，所属行业：</w:t>
            </w:r>
            <w:r>
              <w:rPr>
                <w:rFonts w:hint="eastAsia" w:ascii="宋体" w:hAnsi="宋体" w:eastAsia="宋体" w:cs="宋体"/>
                <w:sz w:val="21"/>
                <w:szCs w:val="21"/>
                <w:u w:val="single"/>
              </w:rPr>
              <w:t xml:space="preserve">　软件和信息技术服务业  </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4"/>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1"/>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sz w:val="24"/>
        </w:rPr>
      </w:pPr>
      <w:r>
        <w:rPr>
          <w:rFonts w:hint="eastAsia" w:hAnsi="宋体"/>
          <w:b/>
          <w:sz w:val="24"/>
        </w:rPr>
        <w:t>（七）特别说明</w:t>
      </w:r>
    </w:p>
    <w:p>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r>
        <w:rPr>
          <w:rFonts w:hint="eastAsia"/>
          <w:b/>
          <w:bCs/>
          <w:sz w:val="24"/>
          <w:lang w:eastAsia="zh-CN"/>
        </w:rPr>
        <w:t>（投标人视情制作）</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2"/>
        <w:widowControl/>
        <w:numPr>
          <w:ilvl w:val="0"/>
          <w:numId w:val="8"/>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8"/>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8"/>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8"/>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8"/>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8"/>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9"/>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19"/>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10"/>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pPr>
        <w:pStyle w:val="10"/>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0"/>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10"/>
        <w:spacing w:line="360" w:lineRule="auto"/>
        <w:ind w:firstLine="482" w:firstLineChars="200"/>
        <w:jc w:val="both"/>
        <w:rPr>
          <w:rFonts w:ascii="宋体" w:hAnsi="宋体"/>
          <w:b/>
          <w:bCs/>
          <w:sz w:val="24"/>
        </w:rPr>
      </w:pPr>
      <w:r>
        <w:rPr>
          <w:rFonts w:hint="eastAsia" w:ascii="宋体" w:hAnsi="宋体"/>
          <w:b/>
          <w:bCs/>
          <w:sz w:val="24"/>
        </w:rPr>
        <w:t>（一）询问</w:t>
      </w:r>
    </w:p>
    <w:p>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spacing w:line="360" w:lineRule="auto"/>
        <w:ind w:firstLine="482" w:firstLineChars="200"/>
        <w:jc w:val="both"/>
        <w:rPr>
          <w:rFonts w:ascii="宋体" w:hAnsi="宋体"/>
          <w:b/>
          <w:bCs/>
          <w:sz w:val="24"/>
        </w:rPr>
      </w:pPr>
      <w:r>
        <w:rPr>
          <w:rFonts w:hint="eastAsia" w:ascii="宋体" w:hAnsi="宋体"/>
          <w:b/>
          <w:bCs/>
          <w:sz w:val="24"/>
        </w:rPr>
        <w:t>（二）质疑</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0"/>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sz w:val="24"/>
        </w:rPr>
      </w:pPr>
      <w:r>
        <w:rPr>
          <w:rFonts w:hint="eastAsia" w:ascii="宋体" w:hAnsi="宋体"/>
          <w:b/>
          <w:bCs/>
          <w:sz w:val="24"/>
        </w:rPr>
        <w:t>（三）投诉</w:t>
      </w:r>
    </w:p>
    <w:p>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5"/>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2"/>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02"/>
        <w:gridCol w:w="1718"/>
        <w:gridCol w:w="847"/>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00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718"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847"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002"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台州市政务外网安全运营平台</w:t>
            </w:r>
          </w:p>
        </w:tc>
        <w:tc>
          <w:tcPr>
            <w:tcW w:w="1718"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847"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lang w:eastAsia="zh-CN"/>
              </w:rPr>
            </w:pPr>
            <w:r>
              <w:rPr>
                <w:rFonts w:hint="eastAsia" w:ascii="宋体" w:hAnsi="宋体" w:cs="宋体"/>
                <w:bCs/>
                <w:sz w:val="21"/>
                <w:szCs w:val="21"/>
                <w:lang w:eastAsia="zh-CN"/>
              </w:rPr>
              <w:t>项</w:t>
            </w:r>
          </w:p>
        </w:tc>
        <w:tc>
          <w:tcPr>
            <w:tcW w:w="1142" w:type="dxa"/>
            <w:vAlign w:val="center"/>
          </w:tcPr>
          <w:p>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600</w:t>
            </w:r>
          </w:p>
        </w:tc>
        <w:tc>
          <w:tcPr>
            <w:tcW w:w="1203"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cs="宋体"/>
                <w:bCs/>
                <w:sz w:val="21"/>
                <w:szCs w:val="21"/>
                <w:lang w:val="en-US" w:eastAsia="zh-CN"/>
              </w:rPr>
              <w:t>576.5</w:t>
            </w:r>
          </w:p>
        </w:tc>
      </w:tr>
    </w:tbl>
    <w:p>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pPr>
        <w:pStyle w:val="4"/>
        <w:numPr>
          <w:ilvl w:val="0"/>
          <w:numId w:val="0"/>
        </w:numPr>
        <w:spacing w:line="360" w:lineRule="auto"/>
        <w:jc w:val="both"/>
        <w:rPr>
          <w:rFonts w:hint="eastAsia" w:ascii="宋体" w:hAnsi="宋体" w:eastAsia="宋体" w:cs="宋体"/>
          <w:sz w:val="24"/>
          <w:szCs w:val="24"/>
        </w:rPr>
      </w:pPr>
      <w:bookmarkStart w:id="37" w:name="_Toc128762248"/>
      <w:r>
        <w:rPr>
          <w:rFonts w:hint="eastAsia" w:ascii="宋体" w:hAnsi="宋体" w:eastAsia="宋体" w:cs="宋体"/>
          <w:sz w:val="24"/>
          <w:szCs w:val="24"/>
          <w:lang w:eastAsia="zh-CN"/>
        </w:rPr>
        <w:t>（一）</w:t>
      </w:r>
      <w:r>
        <w:rPr>
          <w:rFonts w:hint="eastAsia" w:ascii="宋体" w:hAnsi="宋体" w:eastAsia="宋体" w:cs="宋体"/>
          <w:sz w:val="24"/>
          <w:szCs w:val="24"/>
        </w:rPr>
        <w:t>项目概况</w:t>
      </w:r>
      <w:bookmarkEnd w:id="37"/>
    </w:p>
    <w:p>
      <w:pPr>
        <w:pStyle w:val="5"/>
        <w:numPr>
          <w:ilvl w:val="0"/>
          <w:numId w:val="0"/>
        </w:numPr>
        <w:tabs>
          <w:tab w:val="left" w:pos="432"/>
          <w:tab w:val="clear" w:pos="8280"/>
        </w:tabs>
        <w:spacing w:line="360" w:lineRule="auto"/>
        <w:ind w:left="420" w:leftChars="0"/>
        <w:rPr>
          <w:rFonts w:hint="eastAsia" w:ascii="宋体" w:hAnsi="宋体" w:eastAsia="宋体" w:cs="宋体"/>
          <w:sz w:val="24"/>
          <w:szCs w:val="24"/>
        </w:rPr>
      </w:pPr>
      <w:bookmarkStart w:id="38" w:name="_Toc128762249"/>
      <w:r>
        <w:rPr>
          <w:rFonts w:hint="eastAsia" w:ascii="宋体" w:hAnsi="宋体" w:eastAsia="宋体" w:cs="宋体"/>
          <w:sz w:val="24"/>
          <w:szCs w:val="24"/>
          <w:lang w:val="en-US" w:eastAsia="zh-CN"/>
        </w:rPr>
        <w:t>1.</w:t>
      </w:r>
      <w:r>
        <w:rPr>
          <w:rFonts w:hint="eastAsia" w:ascii="宋体" w:hAnsi="宋体" w:eastAsia="宋体" w:cs="宋体"/>
          <w:sz w:val="24"/>
          <w:szCs w:val="24"/>
        </w:rPr>
        <w:t>建设背景</w:t>
      </w:r>
      <w:bookmarkEnd w:id="38"/>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数字化改革是“最多跑一次”改革和政府数字化转型的迭代深化，是“数字浙江”建设的新阶段，是浙江立足新发展阶段、贯彻新发展理念、构建新发展格局的重大战略举措。数字化改革是围绕建设“数字浙江”目标，统筹运用数字化技术、数字化思维、数字化认知，把数字化、一体化、现代化贯穿到党的领导和经济、政治、文化、社会、生态文明建设全过程各方面，对省域治理的体制机制、组织架构、方式流程、手段工具进行全方位、系统性重塑的过程。数字化改革需要加快构建“1+5+2”工作体系，其中，“1”是一体化智能化公共数据平台；“5”是5个综合应用——党政机关整体智治综合应用、数字政府综合应用、数字经济综合应用、数字社会综合应用和数字法治综合应用；“2”是构建理论体系和制度规范体系。</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台州市一体化智能化公共数据平台建设方案提出：提升严密可靠的网络安全防护体系。健全网络安全制度体系。健全安全等级保护、涉密信息系统分级保护、风险评估制度、预警和应急处置制度。健全政务外网安全保障体系。完善全市电子政务外网安全监管体系，完善一体化电子政务外网安全支撑体系，建设内外网公共安全组件，加强应用和移动端安全管理。</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根据浙江省数字化改革总体方案、台州市数字化改革总体方案提出的支撑台州市数字化改革项目的要求，启动本项目建设。</w:t>
      </w:r>
    </w:p>
    <w:p>
      <w:pPr>
        <w:pStyle w:val="5"/>
        <w:numPr>
          <w:ilvl w:val="0"/>
          <w:numId w:val="0"/>
        </w:numPr>
        <w:tabs>
          <w:tab w:val="left" w:pos="432"/>
          <w:tab w:val="clear" w:pos="8280"/>
        </w:tabs>
        <w:spacing w:line="360" w:lineRule="auto"/>
        <w:ind w:left="420" w:leftChars="0"/>
        <w:rPr>
          <w:rFonts w:hint="eastAsia" w:ascii="宋体" w:hAnsi="宋体" w:eastAsia="宋体" w:cs="宋体"/>
          <w:sz w:val="24"/>
          <w:szCs w:val="24"/>
        </w:rPr>
      </w:pPr>
      <w:bookmarkStart w:id="39" w:name="_Toc128762250"/>
      <w:r>
        <w:rPr>
          <w:rFonts w:hint="eastAsia" w:ascii="宋体" w:hAnsi="宋体" w:eastAsia="宋体" w:cs="宋体"/>
          <w:sz w:val="24"/>
          <w:szCs w:val="24"/>
          <w:lang w:val="en-US" w:eastAsia="zh-CN"/>
        </w:rPr>
        <w:t>2.</w:t>
      </w:r>
      <w:r>
        <w:rPr>
          <w:rFonts w:hint="eastAsia" w:ascii="宋体" w:hAnsi="宋体" w:eastAsia="宋体" w:cs="宋体"/>
          <w:sz w:val="24"/>
          <w:szCs w:val="24"/>
        </w:rPr>
        <w:t>建设目标</w:t>
      </w:r>
      <w:bookmarkEnd w:id="3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台州市政务外网安全运营平台建设，汇集台州市本级及县市区政务云、政务外网、终端及边界安全数据，建立从安全数据采集、治理、存储及安全综合分析服务全过程安全管理体系，构建网络安全协同处置多跨应用，实现安全问题综合分析、协同处置、闭环管理，提升台州市网络安全整体智治水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中，平台提供全过程的数据安全采集、治理、计算、存储和分析能力，支持对接不同的安全数据源。支持在线存储、离线存储。根据数据类型和数据内容，对数据进行分类存储，构建安全数据主题库，对部分原始数据进行临时存储，供分析调用；各安全厂商可以根据安全数据仓提供的数据，结合数据分析工具，对安全数据进行分析，根据数据分析结果，为各部门提供安全服务。服务成果分发给台州市网信办网络安全协调指挥平台，通过该平台，将安全事件转发给市级部门和各县市区进行处置，处置完成后通过该平台将处置成果反馈到本平台。另外部分安全事件、安全问题信息将根据要求同步给浙江省电子政务外网安全监管平台和县（市、区）电子政务外网安全监测平台。</w:t>
      </w:r>
    </w:p>
    <w:p>
      <w:pPr>
        <w:pStyle w:val="5"/>
        <w:numPr>
          <w:ilvl w:val="0"/>
          <w:numId w:val="0"/>
        </w:numPr>
        <w:tabs>
          <w:tab w:val="left" w:pos="432"/>
          <w:tab w:val="clear" w:pos="8280"/>
        </w:tabs>
        <w:spacing w:line="360" w:lineRule="auto"/>
        <w:ind w:left="420" w:leftChars="0"/>
        <w:rPr>
          <w:rFonts w:hint="eastAsia" w:ascii="宋体" w:hAnsi="宋体" w:eastAsia="宋体" w:cs="宋体"/>
          <w:sz w:val="24"/>
          <w:szCs w:val="24"/>
        </w:rPr>
      </w:pPr>
      <w:bookmarkStart w:id="40" w:name="_Toc128762251"/>
      <w:r>
        <w:rPr>
          <w:rFonts w:hint="eastAsia" w:ascii="宋体" w:hAnsi="宋体" w:eastAsia="宋体" w:cs="宋体"/>
          <w:sz w:val="24"/>
          <w:szCs w:val="24"/>
          <w:lang w:val="en-US" w:eastAsia="zh-CN"/>
        </w:rPr>
        <w:t>3.</w:t>
      </w:r>
      <w:r>
        <w:rPr>
          <w:rFonts w:hint="eastAsia" w:ascii="宋体" w:hAnsi="宋体" w:eastAsia="宋体" w:cs="宋体"/>
          <w:sz w:val="24"/>
          <w:szCs w:val="24"/>
        </w:rPr>
        <w:t>建设内容</w:t>
      </w:r>
      <w:bookmarkEnd w:id="40"/>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本期项目将基于台州市电子政务云、台州市现有网络安全产品及服务进行建设。</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具体建设内容包括安全数据采集系统、安全数据标准制定及对接服务、安全数据治理系统建设及服务、数据存储系统、数据仓、数据计算系统和网络安全综合分析服务，各模块建设内容如下：</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安全数据采集系统：建设安全数据采集系统，实现数据接入、数据归集监控、数据源管理、策略配置管理、任务生成管理和执行管理等功能。</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安全数据标准制定及对接服务：包括安全数据技术规范制定和系统对接服务，其中</w:t>
      </w:r>
      <w:r>
        <w:rPr>
          <w:rFonts w:hint="eastAsia" w:ascii="宋体" w:hAnsi="宋体" w:eastAsia="宋体" w:cs="宋体"/>
          <w:color w:val="auto"/>
          <w:sz w:val="24"/>
          <w:szCs w:val="24"/>
        </w:rPr>
        <w:t>系统对接服务包括与大数据局现有的网络安全产品进行对接、与浙江省政务</w:t>
      </w:r>
      <w:r>
        <w:rPr>
          <w:rFonts w:hint="eastAsia" w:ascii="宋体" w:hAnsi="宋体" w:eastAsia="宋体" w:cs="宋体"/>
          <w:sz w:val="24"/>
          <w:szCs w:val="24"/>
        </w:rPr>
        <w:t>外网安全监管平台对接、与台州市网络安全协调指挥平台对接。</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安全数据治理系统建设及服务：包括安全数据治理系统建设和安全数据治理服务。安全数据治理系统提供数据前置过滤、标准化过滤、增强过滤、数据回写、高级数据管理等功能。安全数据治理服务包括数据调研分析、数据治理规范的建立、数据人工处理、数据治理质量评估、安全数据共享、日常协调等工作。</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数据存储系统：数据通过解析、映射以及数据处理增强模型后形成标准化数据，通过高可用高性能的分布式存储能力实现对数据采集系统已归集的安全数据进行存储管理。</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安全数据仓：安全数据仓的数据共分为七大类，分别是边界安全数据、终端安全数据、日志管理数据、安全威胁数据、安全处置数据、安全资产数据、云端数据等。</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数据计算系统：提供实时流计算、离线计算和分布式搜索等功能。</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网络安全综合分析服务：提供安全事件分析、威胁感知、情报分析、热点情报预警、安全指数发布、安全报告及制度编制、安全策略制定、信息安全通报等服务。</w:t>
      </w:r>
    </w:p>
    <w:p>
      <w:pPr>
        <w:pStyle w:val="4"/>
        <w:numPr>
          <w:ilvl w:val="0"/>
          <w:numId w:val="0"/>
        </w:numPr>
        <w:spacing w:line="360" w:lineRule="auto"/>
        <w:ind w:left="425" w:leftChars="0" w:right="25" w:rightChars="0"/>
        <w:jc w:val="both"/>
        <w:rPr>
          <w:rFonts w:hint="eastAsia" w:ascii="宋体" w:hAnsi="宋体" w:eastAsia="宋体" w:cs="宋体"/>
          <w:sz w:val="24"/>
          <w:szCs w:val="24"/>
        </w:rPr>
      </w:pPr>
      <w:bookmarkStart w:id="41" w:name="_Toc128762252"/>
      <w:r>
        <w:rPr>
          <w:rFonts w:hint="eastAsia" w:ascii="宋体" w:hAnsi="宋体" w:eastAsia="宋体" w:cs="宋体"/>
          <w:sz w:val="24"/>
          <w:szCs w:val="24"/>
          <w:lang w:eastAsia="zh-CN"/>
        </w:rPr>
        <w:t>（二）</w:t>
      </w:r>
      <w:r>
        <w:rPr>
          <w:rFonts w:hint="eastAsia" w:ascii="宋体" w:hAnsi="宋体" w:eastAsia="宋体" w:cs="宋体"/>
          <w:sz w:val="24"/>
          <w:szCs w:val="24"/>
        </w:rPr>
        <w:t>采购清单</w:t>
      </w:r>
      <w:bookmarkEnd w:id="41"/>
    </w:p>
    <w:tbl>
      <w:tblPr>
        <w:tblStyle w:val="23"/>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646"/>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64"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2646"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招标清单</w:t>
            </w:r>
          </w:p>
        </w:tc>
        <w:tc>
          <w:tcPr>
            <w:tcW w:w="5135"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64"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w:t>
            </w:r>
          </w:p>
        </w:tc>
        <w:tc>
          <w:tcPr>
            <w:tcW w:w="2646"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安全数据运营系统</w:t>
            </w:r>
          </w:p>
        </w:tc>
        <w:tc>
          <w:tcPr>
            <w:tcW w:w="5135"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安全指数管理、数据仓展示、业务流程管理、联动处置、可视化分析</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64"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w:t>
            </w:r>
          </w:p>
        </w:tc>
        <w:tc>
          <w:tcPr>
            <w:tcW w:w="2646"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安全数据共享系统</w:t>
            </w:r>
          </w:p>
        </w:tc>
        <w:tc>
          <w:tcPr>
            <w:tcW w:w="5135"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安全数据采集模块、安全数据治理模块、数据存储模块、安全数字仓、数据计算模块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64"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w:t>
            </w:r>
          </w:p>
        </w:tc>
        <w:tc>
          <w:tcPr>
            <w:tcW w:w="2646"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网络安全综合分析服务</w:t>
            </w:r>
          </w:p>
        </w:tc>
        <w:tc>
          <w:tcPr>
            <w:tcW w:w="5135"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威胁分析服务、态势感知服务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64"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w:t>
            </w:r>
          </w:p>
        </w:tc>
        <w:tc>
          <w:tcPr>
            <w:tcW w:w="2646"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网络安全数据规范治理</w:t>
            </w:r>
          </w:p>
        </w:tc>
        <w:tc>
          <w:tcPr>
            <w:tcW w:w="5135"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安全数据技术规范制订、安全数据标准制订、信息资源编目服务、数据治理服务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64"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w:t>
            </w:r>
          </w:p>
        </w:tc>
        <w:tc>
          <w:tcPr>
            <w:tcW w:w="2646"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对接服务</w:t>
            </w:r>
          </w:p>
        </w:tc>
        <w:tc>
          <w:tcPr>
            <w:tcW w:w="5135"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安全系统对接、安全数据采集</w:t>
            </w:r>
          </w:p>
        </w:tc>
      </w:tr>
    </w:tbl>
    <w:p>
      <w:pPr>
        <w:spacing w:line="360" w:lineRule="auto"/>
        <w:rPr>
          <w:rFonts w:hint="eastAsia" w:ascii="宋体" w:hAnsi="宋体" w:eastAsia="宋体" w:cs="宋体"/>
          <w:sz w:val="24"/>
          <w:szCs w:val="24"/>
        </w:rPr>
      </w:pPr>
    </w:p>
    <w:p>
      <w:pPr>
        <w:pStyle w:val="4"/>
        <w:numPr>
          <w:ilvl w:val="0"/>
          <w:numId w:val="0"/>
        </w:numPr>
        <w:spacing w:line="360" w:lineRule="auto"/>
        <w:ind w:right="25" w:rightChars="0"/>
        <w:jc w:val="both"/>
        <w:rPr>
          <w:rFonts w:hint="eastAsia" w:ascii="宋体" w:hAnsi="宋体" w:eastAsia="宋体" w:cs="宋体"/>
          <w:sz w:val="24"/>
          <w:szCs w:val="24"/>
        </w:rPr>
      </w:pPr>
      <w:bookmarkStart w:id="42" w:name="_Toc128762253"/>
      <w:r>
        <w:rPr>
          <w:rFonts w:hint="eastAsia" w:ascii="宋体" w:hAnsi="宋体" w:eastAsia="宋体" w:cs="宋体"/>
          <w:sz w:val="24"/>
          <w:szCs w:val="24"/>
          <w:lang w:eastAsia="zh-CN"/>
        </w:rPr>
        <w:t>（三）</w:t>
      </w:r>
      <w:r>
        <w:rPr>
          <w:rFonts w:hint="eastAsia" w:ascii="宋体" w:hAnsi="宋体" w:eastAsia="宋体" w:cs="宋体"/>
          <w:sz w:val="24"/>
          <w:szCs w:val="24"/>
        </w:rPr>
        <w:t>平台资源情况</w:t>
      </w:r>
      <w:bookmarkEnd w:id="42"/>
    </w:p>
    <w:p>
      <w:pPr>
        <w:pStyle w:val="5"/>
        <w:numPr>
          <w:ilvl w:val="0"/>
          <w:numId w:val="0"/>
        </w:numPr>
        <w:tabs>
          <w:tab w:val="left" w:pos="432"/>
          <w:tab w:val="clear" w:pos="8280"/>
        </w:tabs>
        <w:spacing w:line="360" w:lineRule="auto"/>
        <w:ind w:leftChars="0"/>
        <w:jc w:val="left"/>
        <w:rPr>
          <w:rFonts w:hint="eastAsia" w:ascii="宋体" w:hAnsi="宋体" w:eastAsia="宋体" w:cs="宋体"/>
          <w:sz w:val="24"/>
          <w:szCs w:val="24"/>
        </w:rPr>
      </w:pPr>
      <w:bookmarkStart w:id="43" w:name="_Toc128762254"/>
      <w:r>
        <w:rPr>
          <w:rFonts w:hint="eastAsia" w:ascii="宋体" w:hAnsi="宋体" w:eastAsia="宋体" w:cs="宋体"/>
          <w:sz w:val="24"/>
          <w:szCs w:val="24"/>
          <w:lang w:val="en-US" w:eastAsia="zh-CN"/>
        </w:rPr>
        <w:t>1.</w:t>
      </w:r>
      <w:r>
        <w:rPr>
          <w:rFonts w:hint="eastAsia" w:ascii="宋体" w:hAnsi="宋体" w:eastAsia="宋体" w:cs="宋体"/>
          <w:sz w:val="24"/>
          <w:szCs w:val="24"/>
        </w:rPr>
        <w:t>资源情况</w:t>
      </w:r>
      <w:bookmarkEnd w:id="43"/>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本期项目将基于台州市电子政务云、台州市政务外网现有网络安全产品及服务进行建设。</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计算存储资源</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本项目所需的计算及存储资源，主要基于台州市电子政务云现有资源进行建设，包括ODPS、Flink、QuickBI、RDS、ECS、OSS等服务。政务云资源相关费用由</w:t>
      </w:r>
      <w:r>
        <w:rPr>
          <w:rFonts w:hint="eastAsia" w:ascii="宋体" w:hAnsi="宋体" w:cs="宋体"/>
          <w:color w:val="000000"/>
          <w:kern w:val="0"/>
          <w:sz w:val="24"/>
          <w:szCs w:val="24"/>
          <w:lang w:eastAsia="zh-CN" w:bidi="ar"/>
        </w:rPr>
        <w:t>采购人</w:t>
      </w:r>
      <w:r>
        <w:rPr>
          <w:rFonts w:hint="eastAsia" w:ascii="宋体" w:hAnsi="宋体" w:eastAsia="宋体" w:cs="宋体"/>
          <w:color w:val="000000"/>
          <w:kern w:val="0"/>
          <w:sz w:val="24"/>
          <w:szCs w:val="24"/>
          <w:lang w:bidi="ar"/>
        </w:rPr>
        <w:t>统一承担。</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2安全资源</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本项目涉及的安全数据基于现有的安全系统，包括政务终端安全管理系统、日志审计系统、县市区网络安全监测系统、漏洞扫描、政务云安全、边界安全等系统采集的数据。</w:t>
      </w:r>
    </w:p>
    <w:p>
      <w:pPr>
        <w:pStyle w:val="5"/>
        <w:numPr>
          <w:ilvl w:val="0"/>
          <w:numId w:val="0"/>
        </w:numPr>
        <w:tabs>
          <w:tab w:val="left" w:pos="432"/>
          <w:tab w:val="clear" w:pos="8280"/>
        </w:tabs>
        <w:spacing w:line="360" w:lineRule="auto"/>
        <w:ind w:leftChars="0"/>
        <w:jc w:val="left"/>
        <w:rPr>
          <w:rFonts w:hint="eastAsia" w:ascii="宋体" w:hAnsi="宋体" w:eastAsia="宋体" w:cs="宋体"/>
          <w:sz w:val="24"/>
          <w:szCs w:val="24"/>
        </w:rPr>
      </w:pPr>
      <w:bookmarkStart w:id="44" w:name="_Toc128762255"/>
      <w:r>
        <w:rPr>
          <w:rFonts w:hint="eastAsia" w:ascii="宋体" w:hAnsi="宋体" w:eastAsia="宋体" w:cs="宋体"/>
          <w:sz w:val="24"/>
          <w:szCs w:val="24"/>
          <w:lang w:val="en-US" w:eastAsia="zh-CN"/>
        </w:rPr>
        <w:t>2.</w:t>
      </w:r>
      <w:r>
        <w:rPr>
          <w:rFonts w:hint="eastAsia" w:ascii="宋体" w:hAnsi="宋体" w:eastAsia="宋体" w:cs="宋体"/>
          <w:sz w:val="24"/>
          <w:szCs w:val="24"/>
        </w:rPr>
        <w:t>性能需求</w:t>
      </w:r>
      <w:bookmarkEnd w:id="44"/>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1数据处理能力</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支持通过集群的方式弹性扩展平台规模，支持50台集群规模以上，满足PB级别的数据处理。</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针对政务外网安全运营平台的数据仓，要求数据表管理数量不少于5万张，数据量处理能力不少于1PB，数据库容量可水平扩展。数据库系统和大数据计算服务系统的有效工作时间要求每年≥99.9%。</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支持与离线计算</w:t>
      </w:r>
      <w:r>
        <w:rPr>
          <w:rFonts w:hint="eastAsia" w:ascii="宋体" w:hAnsi="宋体" w:cs="宋体"/>
          <w:color w:val="000000"/>
          <w:kern w:val="0"/>
          <w:sz w:val="24"/>
          <w:szCs w:val="24"/>
          <w:lang w:eastAsia="zh-CN" w:bidi="ar"/>
        </w:rPr>
        <w:t>有效</w:t>
      </w:r>
      <w:r>
        <w:rPr>
          <w:rFonts w:hint="eastAsia" w:ascii="宋体" w:hAnsi="宋体" w:eastAsia="宋体" w:cs="宋体"/>
          <w:color w:val="000000"/>
          <w:kern w:val="0"/>
          <w:sz w:val="24"/>
          <w:szCs w:val="24"/>
          <w:lang w:bidi="ar"/>
        </w:rPr>
        <w:t>对接，无需数据迁移即可支持</w:t>
      </w:r>
      <w:r>
        <w:rPr>
          <w:rFonts w:hint="eastAsia" w:ascii="宋体" w:hAnsi="宋体" w:cs="宋体"/>
          <w:color w:val="000000"/>
          <w:kern w:val="0"/>
          <w:sz w:val="24"/>
          <w:szCs w:val="24"/>
          <w:lang w:val="en-US" w:eastAsia="zh-CN" w:bidi="ar"/>
        </w:rPr>
        <w:t>T</w:t>
      </w:r>
      <w:r>
        <w:rPr>
          <w:rFonts w:hint="eastAsia" w:ascii="宋体" w:hAnsi="宋体" w:eastAsia="宋体" w:cs="宋体"/>
          <w:color w:val="000000"/>
          <w:kern w:val="0"/>
          <w:sz w:val="24"/>
          <w:szCs w:val="24"/>
          <w:lang w:bidi="ar"/>
        </w:rPr>
        <w:t>B级数据高并发实时写入实时查询，在线计算分析与离线大数据计算</w:t>
      </w:r>
      <w:r>
        <w:rPr>
          <w:rFonts w:hint="eastAsia" w:ascii="宋体" w:hAnsi="宋体" w:cs="宋体"/>
          <w:color w:val="000000"/>
          <w:kern w:val="0"/>
          <w:sz w:val="24"/>
          <w:szCs w:val="24"/>
          <w:lang w:eastAsia="zh-CN" w:bidi="ar"/>
        </w:rPr>
        <w:t>有效</w:t>
      </w:r>
      <w:r>
        <w:rPr>
          <w:rFonts w:hint="eastAsia" w:ascii="宋体" w:hAnsi="宋体" w:eastAsia="宋体" w:cs="宋体"/>
          <w:color w:val="000000"/>
          <w:kern w:val="0"/>
          <w:sz w:val="24"/>
          <w:szCs w:val="24"/>
          <w:lang w:bidi="ar"/>
        </w:rPr>
        <w:t>打通，为离线大数据计算提供交互式查询服务，让用户使用熟悉的工具以标准SQL查询分析离线大数据计算项目中的数据，快速获取查询结果。</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2组件性能需求</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系统要支持业务及后期扩展需求，结合业务场景，现有系统各类组件性能需满足如下指标：</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流式计算：</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根据上下游和处理逻辑的不同</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（1）1CU 处理能力大约在2000条/秒 - 50000条/秒；</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（2）简单 ETL 性能大约在20000条/秒/核；</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（3）复杂计算性能大约在2000条/秒/核 - 8000条/秒/核；</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分布式计算：</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在4核16G资源配置下，采用TPC-DS基准测试规则（SQL99），数据集为5G配置的情况下：</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（1）query33.sql三次测试的平均值不高于35秒；</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（2）query66.sql三次测试的平均值不高于35秒；</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（3）query99.sql三次测试的平均值不高于20秒；</w:t>
      </w:r>
    </w:p>
    <w:p>
      <w:pPr>
        <w:widowControl/>
        <w:spacing w:line="360" w:lineRule="auto"/>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搜索引擎：</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（1）ElasticSearch组件在Operation默认维度下的平均吞吐量不低于50ops/s；</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（2）ElasticSearch组件在Operation默认维度下的延迟不大于30ms；</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（3）ElasticSearch组件在Operation默认维度下的服务时间不大于30ms；</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3网络环境的性能</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政务云各主机之间的传输满足万兆，政务外网和互联网的跨网传输满足千兆。要求数据传输网络畅通、快捷、安全、可扩展。</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bookmarkStart w:id="45" w:name="_Toc75164892"/>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4兼容性</w:t>
      </w:r>
      <w:bookmarkEnd w:id="45"/>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依据相关信创要求，本系统兼容国产操作系统和浏览器。</w:t>
      </w:r>
      <w:bookmarkStart w:id="46" w:name="_Toc128762256"/>
    </w:p>
    <w:p>
      <w:pPr>
        <w:widowControl/>
        <w:spacing w:line="360" w:lineRule="auto"/>
        <w:ind w:firstLine="482" w:firstLineChars="200"/>
        <w:jc w:val="left"/>
        <w:textAlignment w:val="center"/>
        <w:rPr>
          <w:rFonts w:hint="eastAsia" w:ascii="宋体" w:hAnsi="宋体" w:eastAsia="宋体" w:cs="宋体"/>
          <w:b/>
          <w:kern w:val="0"/>
          <w:sz w:val="24"/>
          <w:szCs w:val="24"/>
          <w:lang w:eastAsia="zh-CN"/>
        </w:rPr>
      </w:pPr>
    </w:p>
    <w:p>
      <w:pPr>
        <w:widowControl/>
        <w:spacing w:line="360" w:lineRule="auto"/>
        <w:jc w:val="left"/>
        <w:textAlignment w:val="center"/>
        <w:rPr>
          <w:rFonts w:hint="eastAsia" w:ascii="宋体" w:hAnsi="宋体" w:eastAsia="宋体" w:cs="宋体"/>
          <w:b/>
          <w:kern w:val="0"/>
          <w:sz w:val="24"/>
          <w:szCs w:val="24"/>
        </w:rPr>
      </w:pP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功能需求</w:t>
      </w:r>
      <w:bookmarkEnd w:id="46"/>
    </w:p>
    <w:p>
      <w:pPr>
        <w:pStyle w:val="4"/>
        <w:numPr>
          <w:ilvl w:val="0"/>
          <w:numId w:val="0"/>
        </w:numPr>
        <w:spacing w:line="360" w:lineRule="auto"/>
        <w:ind w:right="25" w:rightChars="0"/>
        <w:jc w:val="both"/>
        <w:rPr>
          <w:rFonts w:hint="eastAsia" w:ascii="宋体" w:hAnsi="宋体" w:eastAsia="宋体" w:cs="宋体"/>
          <w:sz w:val="24"/>
          <w:szCs w:val="24"/>
        </w:rPr>
      </w:pPr>
      <w:bookmarkStart w:id="47" w:name="_Toc128762257"/>
      <w:r>
        <w:rPr>
          <w:rFonts w:hint="eastAsia" w:ascii="宋体" w:hAnsi="宋体" w:eastAsia="宋体" w:cs="宋体"/>
          <w:sz w:val="24"/>
          <w:szCs w:val="24"/>
          <w:lang w:val="en-US" w:eastAsia="zh-CN"/>
        </w:rPr>
        <w:t>1.</w:t>
      </w:r>
      <w:r>
        <w:rPr>
          <w:rFonts w:hint="eastAsia" w:ascii="宋体" w:hAnsi="宋体" w:eastAsia="宋体" w:cs="宋体"/>
          <w:sz w:val="24"/>
          <w:szCs w:val="24"/>
        </w:rPr>
        <w:t>系统整体的描述</w:t>
      </w:r>
      <w:bookmarkEnd w:id="4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台州市政务外网安全数据运营平台（重点）、安全数据共享平台（重点）、网络安全综合分析平台（基础）建设，汇集台州市本级及县市区政务云、政务外网、终端及边界安全数据，建立从安全数据采集、治理、存储及安全综合分析服务全过程安全监测、防护和服务体系，构建网络安全协同处置多跨应用，实现安全问题协同处置、闭环管理，提升台州市网络安全整体智治水平。</w:t>
      </w:r>
    </w:p>
    <w:p>
      <w:pPr>
        <w:pStyle w:val="4"/>
        <w:numPr>
          <w:ilvl w:val="0"/>
          <w:numId w:val="0"/>
        </w:numPr>
        <w:spacing w:line="360" w:lineRule="auto"/>
        <w:ind w:right="25" w:rightChars="0"/>
        <w:jc w:val="both"/>
        <w:rPr>
          <w:rFonts w:hint="eastAsia" w:ascii="宋体" w:hAnsi="宋体" w:eastAsia="宋体" w:cs="宋体"/>
          <w:sz w:val="24"/>
          <w:szCs w:val="24"/>
        </w:rPr>
      </w:pPr>
      <w:bookmarkStart w:id="48" w:name="_Toc128762258"/>
      <w:r>
        <w:rPr>
          <w:rFonts w:hint="eastAsia" w:ascii="宋体" w:hAnsi="宋体" w:eastAsia="宋体" w:cs="宋体"/>
          <w:sz w:val="24"/>
          <w:szCs w:val="24"/>
          <w:lang w:val="en-US" w:eastAsia="zh-CN"/>
        </w:rPr>
        <w:t>2.</w:t>
      </w:r>
      <w:r>
        <w:rPr>
          <w:rFonts w:hint="eastAsia" w:ascii="宋体" w:hAnsi="宋体" w:eastAsia="宋体" w:cs="宋体"/>
          <w:sz w:val="24"/>
          <w:szCs w:val="24"/>
        </w:rPr>
        <w:t>安全数据运营系统</w:t>
      </w:r>
      <w:bookmarkEnd w:id="48"/>
    </w:p>
    <w:p>
      <w:pPr>
        <w:pStyle w:val="5"/>
        <w:widowControl/>
        <w:numPr>
          <w:ilvl w:val="0"/>
          <w:numId w:val="0"/>
        </w:numPr>
        <w:tabs>
          <w:tab w:val="left" w:pos="432"/>
          <w:tab w:val="clear" w:pos="8280"/>
        </w:tabs>
        <w:spacing w:line="360" w:lineRule="auto"/>
        <w:jc w:val="left"/>
        <w:rPr>
          <w:rFonts w:hint="eastAsia" w:ascii="宋体" w:hAnsi="宋体" w:eastAsia="宋体" w:cs="宋体"/>
          <w:sz w:val="24"/>
          <w:szCs w:val="24"/>
        </w:rPr>
      </w:pPr>
      <w:bookmarkStart w:id="49" w:name="_Toc128762259"/>
      <w:r>
        <w:rPr>
          <w:rFonts w:hint="eastAsia" w:ascii="宋体" w:hAnsi="宋体" w:eastAsia="宋体" w:cs="宋体"/>
          <w:sz w:val="24"/>
          <w:szCs w:val="24"/>
          <w:lang w:val="en-US" w:eastAsia="zh-CN"/>
        </w:rPr>
        <w:t>2.1</w:t>
      </w:r>
      <w:r>
        <w:rPr>
          <w:rFonts w:hint="eastAsia" w:ascii="宋体" w:hAnsi="宋体" w:eastAsia="宋体" w:cs="宋体"/>
          <w:sz w:val="24"/>
          <w:szCs w:val="24"/>
        </w:rPr>
        <w:t>安全指数管理</w:t>
      </w:r>
      <w:bookmarkEnd w:id="49"/>
    </w:p>
    <w:p>
      <w:pPr>
        <w:widowControl/>
        <w:numPr>
          <w:ilvl w:val="255"/>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基于安全运营管理视角，结合相关安全管理要求设计对应的安全指标，形成相应的考核标准，从而根据运营工作阶段性要求，综合计算单位的安全状况，以实现对应的将安全运营工作量化评分。并通过系统展示整体安全评分、风险资产数及风险资产的资产类别、安全事件数及各等级安全事件数、流程流转数及各状态流程数、对应安全评分排名；并获得资产变化趋势与安全事件变化趋势的数据统计。安全指数的发布频率不低于每日一次；</w:t>
      </w:r>
    </w:p>
    <w:p>
      <w:pPr>
        <w:pStyle w:val="5"/>
        <w:widowControl/>
        <w:numPr>
          <w:ilvl w:val="0"/>
          <w:numId w:val="0"/>
        </w:numPr>
        <w:tabs>
          <w:tab w:val="left" w:pos="432"/>
          <w:tab w:val="clear" w:pos="8280"/>
        </w:tabs>
        <w:spacing w:line="360" w:lineRule="auto"/>
        <w:jc w:val="left"/>
        <w:rPr>
          <w:rFonts w:hint="eastAsia" w:ascii="宋体" w:hAnsi="宋体" w:eastAsia="宋体" w:cs="宋体"/>
          <w:sz w:val="24"/>
          <w:szCs w:val="24"/>
        </w:rPr>
      </w:pPr>
      <w:bookmarkStart w:id="50" w:name="_Toc128762260"/>
      <w:r>
        <w:rPr>
          <w:rFonts w:hint="eastAsia" w:ascii="宋体" w:hAnsi="宋体" w:eastAsia="宋体" w:cs="宋体"/>
          <w:sz w:val="24"/>
          <w:szCs w:val="24"/>
          <w:lang w:val="en-US" w:eastAsia="zh-CN"/>
        </w:rPr>
        <w:t>2.2</w:t>
      </w:r>
      <w:r>
        <w:rPr>
          <w:rFonts w:hint="eastAsia" w:ascii="宋体" w:hAnsi="宋体" w:eastAsia="宋体" w:cs="宋体"/>
          <w:sz w:val="24"/>
          <w:szCs w:val="24"/>
        </w:rPr>
        <w:t>数据仓展示</w:t>
      </w:r>
      <w:bookmarkEnd w:id="5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仓展示主要针对安全数据共享系统中采集、治理与存储的数据进行展示，提供对应的检索工具快速展示在运营过程中所需的过程与结果数据；方便运营过程中对数据的分析和使用；提升数据使用的安全性，基于数据不同的类型与业务管理过程中不同角色进行区分，避免数据使用的权限过大，同时对数据使用过程中进行审计。</w:t>
      </w:r>
    </w:p>
    <w:p>
      <w:pPr>
        <w:pStyle w:val="5"/>
        <w:numPr>
          <w:ilvl w:val="0"/>
          <w:numId w:val="0"/>
        </w:numPr>
        <w:tabs>
          <w:tab w:val="left" w:pos="432"/>
          <w:tab w:val="clear" w:pos="8280"/>
        </w:tabs>
        <w:spacing w:line="360" w:lineRule="auto"/>
        <w:ind w:left="420" w:leftChars="0"/>
        <w:rPr>
          <w:rFonts w:hint="eastAsia" w:ascii="宋体" w:hAnsi="宋体" w:eastAsia="宋体" w:cs="宋体"/>
          <w:sz w:val="24"/>
          <w:szCs w:val="24"/>
        </w:rPr>
      </w:pPr>
      <w:bookmarkStart w:id="51" w:name="_Toc128762261"/>
      <w:r>
        <w:rPr>
          <w:rFonts w:hint="eastAsia" w:ascii="宋体" w:hAnsi="宋体" w:eastAsia="宋体" w:cs="宋体"/>
          <w:sz w:val="24"/>
          <w:szCs w:val="24"/>
          <w:lang w:val="en-US" w:eastAsia="zh-CN"/>
        </w:rPr>
        <w:t>2.3</w:t>
      </w:r>
      <w:r>
        <w:rPr>
          <w:rFonts w:hint="eastAsia" w:ascii="宋体" w:hAnsi="宋体" w:eastAsia="宋体" w:cs="宋体"/>
          <w:sz w:val="24"/>
          <w:szCs w:val="24"/>
        </w:rPr>
        <w:t>业务流程管理</w:t>
      </w:r>
      <w:bookmarkEnd w:id="5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业务流程管理模块主要工作内容至少需要包含：情报预警、安全问题通报、安全问题预警、安全公告、安全问题上报。依靠安全业务流程机制，实现不同角色间的协同和流程化运维。依靠安全运维主管进行任务发起及归档，推动具体责任部门或下属单位的运维人员完成相关事件处置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安全问题进行流程化实现，可便于风险处置的协作和管理，避免无责任人管理导致的风险淹没。安全问题的来源主要基于安全设备日志、威胁情报匹配、多源异构的数据关联告警，通过对相关安全问题进行待流转设置，可针对性的进行通报、预警、上报，快速通知相关责任人进行安全事件的处置动作与归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安全情报信息进行流程化实现，可快速拉齐信息同步，避免信息不同步导致的安全危害发生。安全公告、安全情报等主要基于多方厂商的线上信息，通过对相关信息发起通告流程，提前告知相关责任人威胁信息，快速做好预警防护工作。</w:t>
      </w:r>
    </w:p>
    <w:p>
      <w:pPr>
        <w:pStyle w:val="29"/>
        <w:numPr>
          <w:ilvl w:val="0"/>
          <w:numId w:val="10"/>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流程模版编排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通过拖拉拽的方式，进行自定义流程的编排。为满足流程的全面性，流程动作应包含录入节点、审批节点，录入节点可满足流程中人工上传举证信息动作、审批节点可满足人工的选择与判断动作；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将定义好的流程进行保存，为安全业务的执行提供流程；安全业务的运营流程应从日常运维、通报预警、应急响应的维度进行多种流程编排。</w:t>
      </w:r>
    </w:p>
    <w:p>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3710940" cy="3025140"/>
            <wp:effectExtent l="0" t="0" r="3810" b="3810"/>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10940" cy="3025140"/>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流程设计应以满足可闭环的理念进行规划安排，流程应满足通报人发起、通报人归档的理念，且通报人在流程流转过程中可看到流程进展。</w:t>
      </w:r>
    </w:p>
    <w:p>
      <w:pPr>
        <w:pStyle w:val="56"/>
        <w:spacing w:line="360" w:lineRule="auto"/>
        <w:ind w:firstLine="480" w:firstLineChars="200"/>
        <w:rPr>
          <w:rFonts w:hint="eastAsia" w:ascii="宋体" w:hAnsi="宋体" w:eastAsia="宋体" w:cs="宋体"/>
          <w:kern w:val="2"/>
          <w:sz w:val="24"/>
          <w:szCs w:val="24"/>
          <w:shd w:val="clear" w:color="auto" w:fill="auto"/>
        </w:rPr>
      </w:pPr>
      <w:r>
        <w:rPr>
          <w:rFonts w:hint="eastAsia" w:ascii="宋体" w:hAnsi="宋体" w:eastAsia="宋体" w:cs="宋体"/>
          <w:kern w:val="2"/>
          <w:sz w:val="24"/>
          <w:szCs w:val="24"/>
          <w:shd w:val="clear" w:color="auto" w:fill="auto"/>
        </w:rPr>
        <w:t>通过浙政钉通报支持查看所辖区域内安全事件发生情况，可查看事件详细信息。支持事件列表的查看，字段包括事件名称、事件类型、所属区域、事件发现时间、事件通报状态等信息。</w:t>
      </w:r>
    </w:p>
    <w:p>
      <w:pPr>
        <w:pStyle w:val="5"/>
        <w:numPr>
          <w:ilvl w:val="0"/>
          <w:numId w:val="0"/>
        </w:numPr>
        <w:tabs>
          <w:tab w:val="left" w:pos="432"/>
          <w:tab w:val="clear" w:pos="8280"/>
        </w:tabs>
        <w:spacing w:line="360" w:lineRule="auto"/>
        <w:rPr>
          <w:rFonts w:hint="eastAsia" w:ascii="宋体" w:hAnsi="宋体" w:eastAsia="宋体" w:cs="宋体"/>
          <w:sz w:val="24"/>
          <w:szCs w:val="24"/>
        </w:rPr>
      </w:pPr>
      <w:bookmarkStart w:id="52" w:name="_Toc128762262"/>
      <w:r>
        <w:rPr>
          <w:rFonts w:hint="eastAsia" w:ascii="宋体" w:hAnsi="宋体" w:eastAsia="宋体" w:cs="宋体"/>
          <w:sz w:val="24"/>
          <w:szCs w:val="24"/>
          <w:lang w:val="en-US" w:eastAsia="zh-CN"/>
        </w:rPr>
        <w:t>2.4</w:t>
      </w:r>
      <w:r>
        <w:rPr>
          <w:rFonts w:hint="eastAsia" w:ascii="宋体" w:hAnsi="宋体" w:eastAsia="宋体" w:cs="宋体"/>
          <w:sz w:val="24"/>
          <w:szCs w:val="24"/>
        </w:rPr>
        <w:t>联动处置</w:t>
      </w:r>
      <w:bookmarkEnd w:id="5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编排自动化响应聚焦安全运维领域，重点解决安全响应问题，使得组织能够对事件分析与响应流程进行形式化的描述。SOAR具备自动执行能力，可以依据场景或案例制定执行计划或执行脚本。通过智能编排技术，SOAR可以让用户能够遵循特定的剧本，开展安全运营工作，并且支持剧本的自定义编排。通过灵活的剧本编排，实现基于不同业务场景的安全策略自定义，以适配不同应用场景和安全需求的安全能力灵活部署，帮助构建安全事件的标准处置流程。基于“人机协同共治”的理念，在标准工作流程的指引下，利用人机结合的方式帮助安全运维人员定义、排序和驱动标准化的事件响应活动。用户在剧本中定义相关流程，不仅可以实现处置自动化，同时可以借助安全专家的经验保障处置效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此外，安全编排自动化响应支持应用管理能力，能够集成各类协助处置的IT资源和设备（如防火墙、EDR、威胁情报系统、IT基础设施等），实现安全策略下发及设备联动处置，这可以避免在发生安全事件时，用户通过手工的方式操作各类资源设备进行事件处置，从而提升安全响应效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SOAR业务流框架如上图所示，通过数据关联分析或机器学习分析产生安全事件之后，SOAR事件接入模块从事件列表中查询新的事件，并根据剧本配置的条件进行匹配，选择相应的剧本进入自动化流程。剧本根据编排的画布流程对相应的事件进行响应处置。在流程运行中涉及到调用第三方资源平台来辅助安全处理时，通过应用管理中心调用相应的资源接口进行信息获取或者设备联动。</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通过所画即所得的界面可配自定义剧本编排已经实现，让单位安全运营流程更加可视，能够更好的对不同事件进行及时有效地处置。</w:t>
      </w:r>
    </w:p>
    <w:p>
      <w:pPr>
        <w:pStyle w:val="5"/>
        <w:widowControl/>
        <w:numPr>
          <w:ilvl w:val="0"/>
          <w:numId w:val="0"/>
        </w:numPr>
        <w:tabs>
          <w:tab w:val="left" w:pos="432"/>
          <w:tab w:val="clear" w:pos="8280"/>
        </w:tabs>
        <w:spacing w:line="360" w:lineRule="auto"/>
        <w:jc w:val="left"/>
        <w:rPr>
          <w:rFonts w:hint="eastAsia" w:ascii="宋体" w:hAnsi="宋体" w:eastAsia="宋体" w:cs="宋体"/>
          <w:sz w:val="24"/>
          <w:szCs w:val="24"/>
        </w:rPr>
      </w:pPr>
      <w:bookmarkStart w:id="53" w:name="_Toc128762263"/>
      <w:r>
        <w:rPr>
          <w:rFonts w:hint="eastAsia" w:ascii="宋体" w:hAnsi="宋体" w:eastAsia="宋体" w:cs="宋体"/>
          <w:sz w:val="24"/>
          <w:szCs w:val="24"/>
          <w:lang w:val="en-US" w:eastAsia="zh-CN"/>
        </w:rPr>
        <w:t>2.5</w:t>
      </w:r>
      <w:r>
        <w:rPr>
          <w:rFonts w:hint="eastAsia" w:ascii="宋体" w:hAnsi="宋体" w:eastAsia="宋体" w:cs="宋体"/>
          <w:sz w:val="24"/>
          <w:szCs w:val="24"/>
        </w:rPr>
        <w:t>可视化分析</w:t>
      </w:r>
      <w:bookmarkEnd w:id="53"/>
    </w:p>
    <w:p>
      <w:pPr>
        <w:widowControl/>
        <w:numPr>
          <w:ilvl w:val="255"/>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可连接多种数据源，一键接入数据库表或导入Excel；可视化编辑数据，过滤合并计算，完全不需要SQL；内置10+可视化图表，可视化呈现数据。 </w:t>
      </w:r>
    </w:p>
    <w:p>
      <w:pPr>
        <w:widowControl/>
        <w:numPr>
          <w:ilvl w:val="255"/>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运营平台为支撑，建立政务网域的态势感知与通报预警系统，以网络安全、云安全、威胁风险管理为驱动，基于多维态势可视化技术，对网络空间安全相关信息进行汇聚融合，形成多维视图，从不同视角出发感知安全态势，为“一张网通览、一块屏通析、一朵云通防”建设目标提供可视化展示能力。</w:t>
      </w:r>
      <w:bookmarkStart w:id="54" w:name="_Toc128762264"/>
    </w:p>
    <w:p>
      <w:pPr>
        <w:widowControl/>
        <w:numPr>
          <w:ilvl w:val="255"/>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资产管理</w:t>
      </w:r>
      <w:bookmarkEnd w:id="54"/>
    </w:p>
    <w:p>
      <w:pPr>
        <w:pStyle w:val="56"/>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shd w:val="clear" w:color="auto" w:fill="auto"/>
        </w:rPr>
        <w:t>通过资产管理，解决资产分散、不集中等一系列管理问题。全面识别IT资产、梳理访问关系和建立责任人员组织架构的功能，实现资产的统一管理。可依照资产生命周期，对资产的新建、审核入库、风险识别、自动退库进行有序高效的管理，同时会优先展示活跃资产，让管理员更聚焦化地对活跃资产进行运维。通过资产关联到人，资产脆弱性管理与评估，方便管理者能够把控所有资产情况。通过资产视角与风险视角，快速了解当前风险情况，了解当前资产脆弱性情况，便于摸清家底。按信息系统重要、敏感程度纵向分级；按信息系统脆弱程度、可用程度纵向分级。自动发现未管控资产，并通知管理员及时安装防护软件，能够有效降低资产遭受攻击的风险，规避监控盲区。通过安全数据共享系统定期获取掉线资产列表，结合运维审计能力、自动化运维工具批量排查资产掉线原因，将结果反馈给对应问题处理团队。</w:t>
      </w:r>
    </w:p>
    <w:p>
      <w:pPr>
        <w:pStyle w:val="4"/>
        <w:numPr>
          <w:ilvl w:val="0"/>
          <w:numId w:val="0"/>
        </w:numPr>
        <w:spacing w:line="360" w:lineRule="auto"/>
        <w:ind w:right="25" w:rightChars="0"/>
        <w:jc w:val="both"/>
        <w:rPr>
          <w:rFonts w:hint="eastAsia" w:ascii="宋体" w:hAnsi="宋体" w:eastAsia="宋体" w:cs="宋体"/>
          <w:sz w:val="24"/>
          <w:szCs w:val="24"/>
        </w:rPr>
      </w:pPr>
      <w:bookmarkStart w:id="55" w:name="_Toc128762265"/>
      <w:r>
        <w:rPr>
          <w:rFonts w:hint="eastAsia" w:ascii="宋体" w:hAnsi="宋体" w:eastAsia="宋体" w:cs="宋体"/>
          <w:sz w:val="24"/>
          <w:szCs w:val="24"/>
          <w:lang w:val="en-US" w:eastAsia="zh-CN"/>
        </w:rPr>
        <w:t>3.</w:t>
      </w:r>
      <w:r>
        <w:rPr>
          <w:rFonts w:hint="eastAsia" w:ascii="宋体" w:hAnsi="宋体" w:eastAsia="宋体" w:cs="宋体"/>
          <w:sz w:val="24"/>
          <w:szCs w:val="24"/>
        </w:rPr>
        <w:t>安全数据共享系统</w:t>
      </w:r>
      <w:bookmarkEnd w:id="55"/>
    </w:p>
    <w:p>
      <w:pPr>
        <w:pStyle w:val="5"/>
        <w:tabs>
          <w:tab w:val="left" w:pos="432"/>
          <w:tab w:val="clear" w:pos="8280"/>
        </w:tabs>
        <w:spacing w:line="360" w:lineRule="auto"/>
        <w:rPr>
          <w:rFonts w:hint="eastAsia" w:ascii="宋体" w:hAnsi="宋体" w:eastAsia="宋体" w:cs="宋体"/>
          <w:sz w:val="24"/>
          <w:szCs w:val="24"/>
        </w:rPr>
      </w:pPr>
      <w:bookmarkStart w:id="56" w:name="_Toc128762266"/>
      <w:r>
        <w:rPr>
          <w:rFonts w:hint="eastAsia" w:ascii="宋体" w:hAnsi="宋体" w:eastAsia="宋体" w:cs="宋体"/>
          <w:sz w:val="24"/>
          <w:szCs w:val="24"/>
          <w:lang w:val="en-US" w:eastAsia="zh-CN"/>
        </w:rPr>
        <w:t>3.1</w:t>
      </w:r>
      <w:r>
        <w:rPr>
          <w:rFonts w:hint="eastAsia" w:ascii="宋体" w:hAnsi="宋体" w:eastAsia="宋体" w:cs="宋体"/>
          <w:sz w:val="24"/>
          <w:szCs w:val="24"/>
        </w:rPr>
        <w:t>安全数据采集模块</w:t>
      </w:r>
      <w:bookmarkEnd w:id="5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安全数据采集的对象主要为镜像的网络流量和终端的数据，在云、网、边、端上获取流量和日志数据。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1）云主要是指政务云，对接政务云安全监管现有的流量数据、日志数据；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2）网主要是指政务外网，采集政务外网的相关流量数据、日志数据和网络设备数据。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3）边主要是政务外网边界的安全，采集边界安全设备的安全数据。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4）端是指市内电子政务外网上的终端，分别与市县二级的终端管理和安全防护系统</w:t>
      </w:r>
      <w:r>
        <w:rPr>
          <w:rFonts w:hint="eastAsia" w:ascii="宋体" w:hAnsi="宋体" w:eastAsia="宋体" w:cs="宋体"/>
          <w:color w:val="auto"/>
          <w:sz w:val="24"/>
          <w:szCs w:val="24"/>
        </w:rPr>
        <w:t>系统对接获取终端的安全数据。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除上述系统数据归集外，要求通过数据采集系统与其他网络安全监管平台对接，获取全大市外网网络攻击、有害事件数据和终端数据。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数据抽取范围包括原始流量监测数据、安全监测数据、主动监测数据、日志监测数据、端点监测数据、静态录入数据、动态推送数据、情报获取数据等。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数据采集的数据包括各类结果数据和原始数据。结果数据为各类安全系统的分析结果数据，原始数据为各类安全系统和安全设备的原始日志数据、网络流量数据。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系统要支持多元异构日志数据采集：包括但不限于主流安全设备、网络设备、主机、数据库、中间件、应用系统和虚拟化系统等数据的采集。可以通过自定义配置将用户不关心的日志过滤掉；可以对收集到的重复的日志进行自动的聚合归并，减少日志量；同时将收集到的日志转发，当原始日志设备无法设置</w:t>
      </w:r>
      <w:r>
        <w:rPr>
          <w:rFonts w:hint="eastAsia" w:ascii="宋体" w:hAnsi="宋体" w:eastAsia="宋体" w:cs="宋体"/>
          <w:sz w:val="24"/>
          <w:szCs w:val="24"/>
        </w:rPr>
        <w:t>多个日志服务器时，可以通过日志转发功能将日志转发到其他日志存储设备；能够做到多种采集协议，以实现对各类数据的采集，包括不限于安全对象属性、运行状态、安全事件、评估与检测等数据。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要支持全流量数据采集：可以通过自定义配置将用户不关心的日志过滤掉；可以对收集到的重复的日志进行自动的聚合归并，减少日志量；同时将收集到的日志转发，当原始日志设备无法设置多个日志服务器时，可以通过日志转发功能将日志转发到其他日志存储设备；能够做到多种采集协议，以实现对各类数据的采集，包括不限于安全对象属性、运行状态、安全事件、评估与检测等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要支持通过第三方平台接口对接，采集第三方平台数据：从其他平台以接口同步的方式获取数据，如支持对互联网恶意程序、病毒、蠕虫、木马、僵尸网络等恶意程序事件数据的采集和导入第三方漏洞扫描结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数据采集必须能够满足系统数据库管理的需要，又要能保证不影响各业务系统的性能，所以进行数据抽取时应制定相应的策略，如使用缓存技术，降低数据采集时业务系统的影响。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支持分布式多节点部署。支持多采集节点存活、健康状态监控，发现节点异常后，及时告警；每个数据采集引擎支持配置不同的采集策略，保证每个数据采集引擎有针对性的采集数据。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支持对采集节点数据量级健康度监控，保证采集性能与数据量匹配，防止数据丢失；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支持数据汇聚。综合考虑网络传输性能的基础上，需满足将多个采集源到的数据传输汇聚。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数据接入实现内外部数据导入至安全数据仓的功能。数据接入支持结构化数据、半结构化数据、非结构化数据等多种数据类型。数据接入包括两大主要部分，流式数据接入、批量数据接入。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数据抽取能实现数据抽取策略的配置，包括数据抽取清单配置、数据回执策略配置等功能等。支持对设备的采集策略的管理，包括采集频率、采集协议、采集目标、过滤策略等。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可实现对数据采集的任务调度，通过数据采集作业策略的设置，提供定时执行的服务。根据数据采集系统的需求，在数据采集系统中任务生成方式有两种：自动任务和手动任务。自动任务</w:t>
      </w:r>
      <w:r>
        <w:rPr>
          <w:rFonts w:hint="eastAsia" w:ascii="宋体" w:hAnsi="宋体" w:eastAsia="宋体" w:cs="宋体"/>
          <w:bCs/>
          <w:sz w:val="24"/>
          <w:szCs w:val="24"/>
        </w:rPr>
        <w:t>调度周期包括：按秒、按分钟，按天，按周，按月，按年和实时。</w:t>
      </w:r>
    </w:p>
    <w:p>
      <w:pPr>
        <w:pStyle w:val="5"/>
        <w:tabs>
          <w:tab w:val="left" w:pos="432"/>
          <w:tab w:val="clear" w:pos="8280"/>
        </w:tabs>
        <w:spacing w:line="360" w:lineRule="auto"/>
        <w:rPr>
          <w:rFonts w:hint="eastAsia" w:ascii="宋体" w:hAnsi="宋体" w:eastAsia="宋体" w:cs="宋体"/>
          <w:sz w:val="24"/>
          <w:szCs w:val="24"/>
        </w:rPr>
      </w:pPr>
      <w:bookmarkStart w:id="57" w:name="_Toc128762267"/>
      <w:r>
        <w:rPr>
          <w:rFonts w:hint="eastAsia" w:ascii="宋体" w:hAnsi="宋体" w:eastAsia="宋体" w:cs="宋体"/>
          <w:sz w:val="24"/>
          <w:szCs w:val="24"/>
          <w:lang w:val="en-US" w:eastAsia="zh-CN"/>
        </w:rPr>
        <w:t>3.2</w:t>
      </w:r>
      <w:r>
        <w:rPr>
          <w:rFonts w:hint="eastAsia" w:ascii="宋体" w:hAnsi="宋体" w:eastAsia="宋体" w:cs="宋体"/>
          <w:sz w:val="24"/>
          <w:szCs w:val="24"/>
        </w:rPr>
        <w:t>安全数据治理模块</w:t>
      </w:r>
      <w:bookmarkEnd w:id="5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安全数据从采集端采集后，通过高级数据管理、数据标准、数据可视化清洗对数据进行标准化处理，为后续的数据存储和分析提供支撑。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治理系统主要包含数据治理功能和数据管理功能，通过该系统可以对归集至安全数据仓原始层的数据进行管理和加工处理，实现数据加工过程和结果可管理可看。具体功能包含数据标准管理、元数据管理、数据地图、数据血缘管理、可视化数据清洗、租户管理、运维管控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数据解析与映射的目标是对原始安全数据提供标准进行转换，并最终生成符合系统要求的标准化数据。数据治理流程将原始层数据进行标准化治理后存入成果层。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数据经过抽取后，还需要将不同来源，不同结构的数据按照业务需要解析为目标数据结构，并按照需要进行计算汇总。安全数据的治理加工过程将在以下几个环节中具体实现：</w:t>
      </w:r>
    </w:p>
    <w:p>
      <w:pPr>
        <w:spacing w:line="360" w:lineRule="auto"/>
        <w:ind w:firstLine="480" w:firstLineChars="200"/>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8120" cy="1896110"/>
            <wp:effectExtent l="0" t="0" r="17780" b="8890"/>
            <wp:docPr id="12" name="图片 12" descr="C:\Users\h1993\AppData\Roaming\DingTalk\639012296_v2\resource_cache\13\13aef57272932451f0de7d28f13ff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h1993\AppData\Roaming\DingTalk\639012296_v2\resource_cache\13\13aef57272932451f0de7d28f13ff7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8120" cy="1896672"/>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数据抽取和元数据管理支持将多源异构业务系统和计算引擎的元数据通过统一的采集机制采集到 数据治理系统中集中管理，对元数据进行加工整合后，为数据接入、数据质量提升、数据加工处理、日常运行维护和业务应用提供基础能力支持。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标准支持建立数据治理系统中的统一的数据标准体系，使用户能够充分利用国家、行业、企业等相关的标准，对各类安全数据进行统一的标准化改造，在平台中形成单一的对数据的理解视图，并能够借助统一的标准化数据定义，帮助用户实现数据质量的监控和提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数据标准管理支持标准数据元管理、标准字典表管理。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数据治理过程中，数据会经过大量功能模块的处理和传递，业务用户经常需要分析数据的转换关系。通过数据血缘模块以历史事件的方式记录每项数据的来源、处理过程等，可以快速进行影响分析，以数据流向为主线进行血缘追溯，从而提升报表信息的可信度，为企业数据的合规性提供验证手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数据治理过程中需要数据地图解决数据工程师“ 有哪些数据可用 ” 、 “ 到哪里可以找到数据 ” 的难题，提升数据资源的利用率。数据地图支持查看与操作数据表结构定义、数据预览、标准清洗、数据血缘等信息。</w:t>
      </w:r>
    </w:p>
    <w:p>
      <w:pPr>
        <w:pStyle w:val="5"/>
        <w:tabs>
          <w:tab w:val="left" w:pos="432"/>
          <w:tab w:val="clear" w:pos="8280"/>
        </w:tabs>
        <w:spacing w:line="360" w:lineRule="auto"/>
        <w:rPr>
          <w:rFonts w:hint="eastAsia" w:ascii="宋体" w:hAnsi="宋体" w:eastAsia="宋体" w:cs="宋体"/>
          <w:sz w:val="24"/>
          <w:szCs w:val="24"/>
        </w:rPr>
      </w:pPr>
      <w:bookmarkStart w:id="58" w:name="_Toc128762268"/>
      <w:r>
        <w:rPr>
          <w:rFonts w:hint="eastAsia" w:ascii="宋体" w:hAnsi="宋体" w:eastAsia="宋体" w:cs="宋体"/>
          <w:sz w:val="24"/>
          <w:szCs w:val="24"/>
          <w:lang w:val="en-US" w:eastAsia="zh-CN"/>
        </w:rPr>
        <w:t>3.3</w:t>
      </w:r>
      <w:r>
        <w:rPr>
          <w:rFonts w:hint="eastAsia" w:ascii="宋体" w:hAnsi="宋体" w:eastAsia="宋体" w:cs="宋体"/>
          <w:sz w:val="24"/>
          <w:szCs w:val="24"/>
        </w:rPr>
        <w:t>数据存储模块</w:t>
      </w:r>
      <w:bookmarkEnd w:id="5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采用分布式架构，存储能力可横向扩展。 数据存储采用分布式文件系统， 支持多种存储格式，具有高可靠性和高性能，支持列式存储，具有高压缩比。支持与常见数据源如传统数据库、Hadoop、HDFS和文件进行数据导入导出，以及流式数据导入。具有高吞吐高性能的数据处理能力。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具备分布式文件系统：为安全数据提供持久化分布式存储。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具备分布式列存数据库：为安全数据提供结构化数据的高速写入和读取。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具备分布式存储，实现数据冗余备份；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数据存储系统所有数据三副本存储 ，保障数据高可靠性；具备服务全HA ，无单点故障， 保障服务高可用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数据通过解析、映射以及数据处理后形成标准化数据，通过数据存储模块存入安全数据仓。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存储负责将标准化的最终数据写入到存储中或者转发到其他系统中。支持以不同的协议方式输出数据，兼容大多数协议(http、redis、kafka、syslogAPI)，支持将数据写入到不同的数据存储系统中，支持根据不同入库配置规则将数据写入到指定存储空间，满足不同的输出、存储速率、支持不同规模的数据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存储的数据分两大类：数据存储和文件存储。其中数据存储用来存储各种数据，包括日志类、告警类、元数据类数据等；文件存储用来存放文件。数据存储支持elasticsearch、HDFS、HBASE等存储；es适用于检索、聚合，可用来保存近期的热点数据；HDFS适用于离线数据存储，关联、统计分析，可用来保存全量数据，用于大数据量的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按照数据的访问频度需求，数据分别存储在Kafka消息队列、HDFS、Hbase离线计算存储、ElasticSearch中。</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安全数据需要复用现有的台州市政务云各类存储资源，相关费用由</w:t>
      </w:r>
      <w:r>
        <w:rPr>
          <w:rFonts w:hint="eastAsia" w:ascii="宋体" w:hAnsi="宋体" w:cs="宋体"/>
          <w:bCs/>
          <w:sz w:val="24"/>
          <w:szCs w:val="24"/>
          <w:lang w:eastAsia="zh-CN"/>
        </w:rPr>
        <w:t>采购人</w:t>
      </w:r>
      <w:r>
        <w:rPr>
          <w:rFonts w:hint="eastAsia" w:ascii="宋体" w:hAnsi="宋体" w:eastAsia="宋体" w:cs="宋体"/>
          <w:bCs/>
          <w:sz w:val="24"/>
          <w:szCs w:val="24"/>
        </w:rPr>
        <w:t>承担。</w:t>
      </w:r>
    </w:p>
    <w:p>
      <w:pPr>
        <w:pStyle w:val="5"/>
        <w:tabs>
          <w:tab w:val="left" w:pos="432"/>
          <w:tab w:val="clear" w:pos="8280"/>
        </w:tabs>
        <w:spacing w:line="360" w:lineRule="auto"/>
        <w:rPr>
          <w:rFonts w:hint="eastAsia" w:ascii="宋体" w:hAnsi="宋体" w:eastAsia="宋体" w:cs="宋体"/>
          <w:sz w:val="24"/>
          <w:szCs w:val="24"/>
        </w:rPr>
      </w:pPr>
      <w:bookmarkStart w:id="59" w:name="_Toc128762269"/>
      <w:r>
        <w:rPr>
          <w:rFonts w:hint="eastAsia" w:ascii="宋体" w:hAnsi="宋体" w:eastAsia="宋体" w:cs="宋体"/>
          <w:sz w:val="24"/>
          <w:szCs w:val="24"/>
          <w:lang w:val="en-US" w:eastAsia="zh-CN"/>
        </w:rPr>
        <w:t>3.4</w:t>
      </w:r>
      <w:r>
        <w:rPr>
          <w:rFonts w:hint="eastAsia" w:ascii="宋体" w:hAnsi="宋体" w:eastAsia="宋体" w:cs="宋体"/>
          <w:sz w:val="24"/>
          <w:szCs w:val="24"/>
        </w:rPr>
        <w:t>安全数据仓</w:t>
      </w:r>
      <w:bookmarkEnd w:id="5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运行数据仓是综合各种数据资源进行提炼加工，形成公共数据集合，对各项业务工作都具有支撑作用，可以脱离任何业务而独立存在，也与每一项业务相关。安全运行数据仓是在原始库上对所有汇聚数据，按照一定的规则进行清洗、标准化，并按业务使用规则或属性规则等进行整合加工与汇总，为政务外网安全运营平台提供基础数据资源支撑的数据集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安全运行数据仓的数据共分为七大类，分别是边界安全数据、终端安全数据、日志管理数据、安全威胁数据、安全处置数据、安全资产数据、云端数据等。</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从各安全数据源采集的数据存入数据库，原始数据存入临时数据库，分析结果数据保存在成果库中。</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数据源采集的数据同步到原始库中。各类业务系统、安全相关设备、网络设备系统和平台，都会产生日志数据，这些日志数据描述了当前网络空间中已经发生或正在发生的一系列行为，而这些行为包含着与安全威胁相关的信息。</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原始库汇集的数据来自于多个业务系统、多种数据形态。安全数据接入系统能够针对异构的数据源，利用其灵活便捷的特性快速的集成各类数据。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通过数据接入系统从本地文件、syslog、外发数据等多样数据源采集数据到原始库中。</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原始库的数据经解析、数据提取、数据质量处理、数据标准转换等处理过程，将数据加工成符合标准规范的数据。</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成果库的数据经过数据融合、数据标识、数据管理、对比、建模加工、数据分发的处理过程，将数据映射到云安全、终端安全、网络安全等信息分类中，并详细对应到各信息分类中的主题库中。</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数据共享交换服务为应用开发商提供标准的数据接口，应用在经过授权后可以按需取用安全数据仓库中的原始库、主题库中的数据资源，实现与其他业务的数据分析成果和知识共享。</w:t>
      </w:r>
    </w:p>
    <w:p>
      <w:pPr>
        <w:pStyle w:val="5"/>
        <w:tabs>
          <w:tab w:val="left" w:pos="432"/>
          <w:tab w:val="clear" w:pos="8280"/>
        </w:tabs>
        <w:spacing w:line="360" w:lineRule="auto"/>
        <w:rPr>
          <w:rFonts w:hint="eastAsia" w:ascii="宋体" w:hAnsi="宋体" w:eastAsia="宋体" w:cs="宋体"/>
          <w:sz w:val="24"/>
          <w:szCs w:val="24"/>
        </w:rPr>
      </w:pPr>
      <w:bookmarkStart w:id="60" w:name="_Toc128762270"/>
      <w:r>
        <w:rPr>
          <w:rFonts w:hint="eastAsia" w:ascii="宋体" w:hAnsi="宋体" w:eastAsia="宋体" w:cs="宋体"/>
          <w:sz w:val="24"/>
          <w:szCs w:val="24"/>
          <w:lang w:val="en-US" w:eastAsia="zh-CN"/>
        </w:rPr>
        <w:t>3.5</w:t>
      </w:r>
      <w:r>
        <w:rPr>
          <w:rFonts w:hint="eastAsia" w:ascii="宋体" w:hAnsi="宋体" w:eastAsia="宋体" w:cs="宋体"/>
          <w:sz w:val="24"/>
          <w:szCs w:val="24"/>
        </w:rPr>
        <w:t>数据计算模块</w:t>
      </w:r>
      <w:bookmarkEnd w:id="6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实时流计算、离线计算和分布式搜索等功能。考虑到安全数据计算和城市大脑提供的相关数据计算组件存在差异，经过对市场主流安全厂商的调研，考虑到系统的成熟和可靠性，拟采用安全专用数据计算组件提供相关计算服务。</w:t>
      </w:r>
    </w:p>
    <w:p>
      <w:pPr>
        <w:pStyle w:val="29"/>
        <w:numPr>
          <w:ilvl w:val="0"/>
          <w:numId w:val="11"/>
        </w:numPr>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流数据计算系统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流计算作为一类针对流数据的流计算模型，可有效地缩短全链路数据流时延、实时化计算逻辑、平摊计算成本，最终有效满足实时处理大数据的业务需求。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流计算需要包括以下功能：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1.实时数据接入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支持秒级或亚秒级将业务生产的数据即时归集至实时数仓中，支持多源异构的流式数据接入。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2.实时数据ETL</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支持对多种数据库类型数据进行SQL灵活加工，对流式安全数据进行实时清洗处理、融合加工，作为离线数仓有效的补充和优化。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3、实时报表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实时化采集、加工流式数据源，实时监控和展现业务、客户各类指标，让数据化运营实时化。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4、监控预警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对系统和用户行为进行实时检测和分析，实时监测和发现异常情况。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5、在线系统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流计算各类数据指标，并利用实时结果及时调整在线系统相关策略。</w:t>
      </w:r>
    </w:p>
    <w:p>
      <w:pPr>
        <w:pStyle w:val="29"/>
        <w:numPr>
          <w:ilvl w:val="0"/>
          <w:numId w:val="11"/>
        </w:numPr>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离线计算系统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提供针对TB/PB级别安全数据、实时性要求不高的批量处理能力，主要应用于日志分析、安全数据仓库、安全数据挖掘等领域。主要能力包括：</w:t>
      </w:r>
    </w:p>
    <w:p>
      <w:pPr>
        <w:numPr>
          <w:ilvl w:val="0"/>
          <w:numId w:val="1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能基于SQL构建大规模数据仓库；</w:t>
      </w:r>
    </w:p>
    <w:p>
      <w:pPr>
        <w:numPr>
          <w:ilvl w:val="0"/>
          <w:numId w:val="12"/>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具备调度管理功能，包括一次性调度与周期性调度，其中周期性调度应支持按分钟、小时、日、周、月、年调度，工作流可跨周期依赖；</w:t>
      </w:r>
    </w:p>
    <w:p>
      <w:pPr>
        <w:numPr>
          <w:ilvl w:val="0"/>
          <w:numId w:val="12"/>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具备启停功能，支持工作流重跑；支持补数据，可通过设置工作流运行的起止时间，来达到导入历史数据的目的；</w:t>
      </w:r>
    </w:p>
    <w:p>
      <w:pPr>
        <w:numPr>
          <w:ilvl w:val="0"/>
          <w:numId w:val="1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能搭建数据仓库。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通过分布式计算系统，实现数据的分区、数据表统计、表的生命周期等功能。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有数据进出离线大数据计算服务的标准接口，用户可以通过上传数据到平台中或从平台下载数据，通过并发的方式来保证高吞吐量的服务，IO的能力可以通过添加节点的方式水平扩展。可以基于SDK开发和任意数据源对接的工具，对于常见的数据源（比如Oracle/MySQL），需要有相关工具可以使用。</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安全数据离线计算能力需要复用现有的台州市政务云大数据计算能力，相关费用由</w:t>
      </w:r>
      <w:r>
        <w:rPr>
          <w:rFonts w:hint="eastAsia" w:ascii="宋体" w:hAnsi="宋体" w:cs="宋体"/>
          <w:bCs/>
          <w:sz w:val="24"/>
          <w:szCs w:val="24"/>
          <w:lang w:eastAsia="zh-CN"/>
        </w:rPr>
        <w:t>采购人</w:t>
      </w:r>
      <w:r>
        <w:rPr>
          <w:rFonts w:hint="eastAsia" w:ascii="宋体" w:hAnsi="宋体" w:eastAsia="宋体" w:cs="宋体"/>
          <w:bCs/>
          <w:sz w:val="24"/>
          <w:szCs w:val="24"/>
        </w:rPr>
        <w:t>承担。</w:t>
      </w:r>
    </w:p>
    <w:p>
      <w:pPr>
        <w:pStyle w:val="29"/>
        <w:numPr>
          <w:ilvl w:val="0"/>
          <w:numId w:val="13"/>
        </w:numPr>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分布式搜索系统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提供实时搜索和分析能力，支持实时更新索引数据及快速检索。分布式搜索引擎要求具备分布式、高扩展、高实时的搜索与数据分析能力，支持</w:t>
      </w:r>
      <w:r>
        <w:rPr>
          <w:rFonts w:hint="eastAsia" w:ascii="宋体" w:hAnsi="宋体" w:cs="宋体"/>
          <w:sz w:val="24"/>
          <w:szCs w:val="24"/>
          <w:lang w:val="en-US" w:eastAsia="zh-CN"/>
        </w:rPr>
        <w:t>T</w:t>
      </w:r>
      <w:r>
        <w:rPr>
          <w:rFonts w:hint="eastAsia" w:ascii="宋体" w:hAnsi="宋体" w:eastAsia="宋体" w:cs="宋体"/>
          <w:sz w:val="24"/>
          <w:szCs w:val="24"/>
        </w:rPr>
        <w:t>B级别数据量实时分析和检索。具有大量数据搜索、分析和处理的能力，满足全文检索、结构化搜索、分析、聚合、高亮等需求。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数据查询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提供开放的 API 接口，支持通过API 编程接口实现大数据搜索服务的索引建立、数据检索等；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索引管理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基于索引服务，展示各索引的健康状态、主分片数、副分片数、中文文档总数、主分片大小以及主分片和副分片大小相关信息。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监控平台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部署索引监控系统，可以通过浏览器页面监控ES运行情况，包括CPU、内存、硬盘等系统资源占用情况，还有每个服务器节点的系统负载情况。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分布式搜索引擎将全文检索、数据分析以及分布式技术结合起来，提供全文检索，同义词处理，相关度排名，复杂数据分析等功能，能够达到海量安全数据的近实时搜索，稳定，可靠，快速响应的要求。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通过搭建ElasticSearch集群，建立大数据搜索引擎，将各种类型、来源的数据全部存入大数据搜索引擎，统一管理，实现资源共享，提供搜索服务。</w:t>
      </w:r>
    </w:p>
    <w:p>
      <w:pPr>
        <w:pStyle w:val="4"/>
        <w:numPr>
          <w:ilvl w:val="0"/>
          <w:numId w:val="0"/>
        </w:numPr>
        <w:spacing w:line="360" w:lineRule="auto"/>
        <w:ind w:right="25" w:rightChars="0"/>
        <w:jc w:val="both"/>
        <w:rPr>
          <w:rFonts w:hint="eastAsia" w:ascii="宋体" w:hAnsi="宋体" w:eastAsia="宋体" w:cs="宋体"/>
          <w:sz w:val="24"/>
          <w:szCs w:val="24"/>
        </w:rPr>
      </w:pPr>
      <w:bookmarkStart w:id="61" w:name="_Toc128762271"/>
      <w:r>
        <w:rPr>
          <w:rFonts w:hint="eastAsia" w:ascii="宋体" w:hAnsi="宋体" w:eastAsia="宋体" w:cs="宋体"/>
          <w:sz w:val="24"/>
          <w:szCs w:val="24"/>
          <w:lang w:val="en-US" w:eastAsia="zh-CN"/>
        </w:rPr>
        <w:t>4.</w:t>
      </w:r>
      <w:r>
        <w:rPr>
          <w:rFonts w:hint="eastAsia" w:ascii="宋体" w:hAnsi="宋体" w:eastAsia="宋体" w:cs="宋体"/>
          <w:sz w:val="24"/>
          <w:szCs w:val="24"/>
        </w:rPr>
        <w:t>网络安全数据综合分析服务</w:t>
      </w:r>
      <w:bookmarkEnd w:id="61"/>
    </w:p>
    <w:p>
      <w:pPr>
        <w:pStyle w:val="5"/>
        <w:numPr>
          <w:ilvl w:val="0"/>
          <w:numId w:val="0"/>
        </w:numPr>
        <w:tabs>
          <w:tab w:val="left" w:pos="432"/>
          <w:tab w:val="clear" w:pos="8280"/>
        </w:tabs>
        <w:spacing w:line="360" w:lineRule="auto"/>
        <w:rPr>
          <w:rFonts w:hint="eastAsia" w:ascii="宋体" w:hAnsi="宋体" w:eastAsia="宋体" w:cs="宋体"/>
          <w:sz w:val="24"/>
          <w:szCs w:val="24"/>
        </w:rPr>
      </w:pPr>
      <w:bookmarkStart w:id="62" w:name="_Toc128762272"/>
      <w:r>
        <w:rPr>
          <w:rFonts w:hint="eastAsia" w:ascii="宋体" w:hAnsi="宋体" w:eastAsia="宋体" w:cs="宋体"/>
          <w:sz w:val="24"/>
          <w:szCs w:val="24"/>
          <w:lang w:val="en-US" w:eastAsia="zh-CN"/>
        </w:rPr>
        <w:t>4.1</w:t>
      </w:r>
      <w:r>
        <w:rPr>
          <w:rFonts w:hint="eastAsia" w:ascii="宋体" w:hAnsi="宋体" w:eastAsia="宋体" w:cs="宋体"/>
          <w:sz w:val="24"/>
          <w:szCs w:val="24"/>
        </w:rPr>
        <w:t>威胁分析服务</w:t>
      </w:r>
      <w:bookmarkEnd w:id="62"/>
    </w:p>
    <w:p>
      <w:pPr>
        <w:pStyle w:val="56"/>
        <w:spacing w:line="360" w:lineRule="auto"/>
        <w:ind w:firstLine="480" w:firstLineChars="200"/>
        <w:rPr>
          <w:rFonts w:hint="eastAsia" w:ascii="宋体" w:hAnsi="宋体" w:eastAsia="宋体" w:cs="宋体"/>
          <w:kern w:val="2"/>
          <w:sz w:val="24"/>
          <w:szCs w:val="24"/>
          <w:shd w:val="clear" w:color="auto" w:fill="auto"/>
        </w:rPr>
      </w:pPr>
      <w:r>
        <w:rPr>
          <w:rFonts w:hint="eastAsia" w:ascii="宋体" w:hAnsi="宋体" w:eastAsia="宋体" w:cs="宋体"/>
          <w:kern w:val="2"/>
          <w:sz w:val="24"/>
          <w:szCs w:val="24"/>
          <w:shd w:val="clear" w:color="auto" w:fill="auto"/>
        </w:rPr>
        <w:t>威胁分析服务，通过原生的流量采集与端点采集工具，将关键数据聚合分析，准确生成安全事件并自动回溯完整攻击链，</w:t>
      </w:r>
      <w:r>
        <w:rPr>
          <w:rFonts w:hint="eastAsia" w:ascii="宋体" w:hAnsi="宋体" w:eastAsia="宋体" w:cs="宋体"/>
          <w:sz w:val="24"/>
          <w:szCs w:val="24"/>
        </w:rPr>
        <w:t>在检测的同时收集研判数据，实现快速研判，精准还原安全事件故事线，快速溯源，提高安全事件流转处置效率</w:t>
      </w:r>
      <w:r>
        <w:rPr>
          <w:rFonts w:hint="eastAsia" w:ascii="宋体" w:hAnsi="宋体" w:eastAsia="宋体" w:cs="宋体"/>
          <w:kern w:val="2"/>
          <w:sz w:val="24"/>
          <w:szCs w:val="24"/>
          <w:shd w:val="clear" w:color="auto" w:fill="auto"/>
        </w:rPr>
        <w:t>。</w:t>
      </w:r>
    </w:p>
    <w:p>
      <w:pPr>
        <w:pStyle w:val="56"/>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shd w:val="clear" w:color="auto" w:fill="auto"/>
        </w:rPr>
        <w:t>威胁分析模块整体建设内容分为四个层面，分别为数据接入层、数据存储层、安全能力层、安全业务管理层，通过四个层面的能力构建，</w:t>
      </w:r>
      <w:r>
        <w:rPr>
          <w:rFonts w:hint="eastAsia" w:ascii="宋体" w:hAnsi="宋体" w:eastAsia="宋体" w:cs="宋体"/>
          <w:sz w:val="24"/>
          <w:szCs w:val="24"/>
        </w:rPr>
        <w:t>形成统一、高效的网络安全协同联动、预警通报、情报共享、研判处置和应急响应机制。</w:t>
      </w:r>
    </w:p>
    <w:p>
      <w:pPr>
        <w:pStyle w:val="56"/>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4.1.1</w:t>
      </w:r>
      <w:r>
        <w:rPr>
          <w:rFonts w:hint="eastAsia" w:ascii="宋体" w:hAnsi="宋体" w:eastAsia="宋体" w:cs="宋体"/>
          <w:sz w:val="24"/>
          <w:szCs w:val="24"/>
        </w:rPr>
        <w:t>数据接入层：数据采集的类型分为三种，分别为网络侧遥测数据，终端侧遥测数据以及第三方数据，采集的数据以JSON或文件的格式上报；由于上传的数据形式各异，为了实现数据解析、ETL的标准化过程，平台需提供功能强大的解析算子、逻辑处理算子和标签算子。其中，解析算子需支持多种格式的数据解析，包括CSV、KV、JSON、grok、正则、XML等格式，格式覆盖大多数数据分析的使用场景；数据过滤支持多字段、多条件进行组合，形成复杂的过滤条件，满足分析场景中灵活的需求；标签算子，可结合地理位置、资产信息、黑白名单和威胁情报等信息，为不同应用场景提供不同的选择，给原始数据添加对应的标签，富化形成结构化数据。</w:t>
      </w:r>
    </w:p>
    <w:p>
      <w:pPr>
        <w:pStyle w:val="56"/>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4.1.2</w:t>
      </w:r>
      <w:r>
        <w:rPr>
          <w:rFonts w:hint="eastAsia" w:ascii="宋体" w:hAnsi="宋体" w:eastAsia="宋体" w:cs="宋体"/>
          <w:sz w:val="24"/>
          <w:szCs w:val="24"/>
        </w:rPr>
        <w:t>数据存储层：采用分布式存储架构，构建全局、统一的数据湖数据信息平台，为</w:t>
      </w:r>
      <w:r>
        <w:rPr>
          <w:rFonts w:hint="eastAsia" w:ascii="宋体" w:hAnsi="宋体" w:eastAsia="宋体" w:cs="宋体"/>
          <w:kern w:val="2"/>
          <w:sz w:val="24"/>
          <w:szCs w:val="24"/>
          <w:shd w:val="clear" w:color="auto" w:fill="auto"/>
        </w:rPr>
        <w:t>威胁分析模块</w:t>
      </w:r>
      <w:r>
        <w:rPr>
          <w:rFonts w:hint="eastAsia" w:ascii="宋体" w:hAnsi="宋体" w:eastAsia="宋体" w:cs="宋体"/>
          <w:sz w:val="24"/>
          <w:szCs w:val="24"/>
        </w:rPr>
        <w:t>平台的安全能力提供强有力的数据基础，并提供多种数据模型，构建应用、查询数据更加灵活。</w:t>
      </w:r>
    </w:p>
    <w:p>
      <w:pPr>
        <w:pStyle w:val="56"/>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4.1.3</w:t>
      </w:r>
      <w:r>
        <w:rPr>
          <w:rFonts w:hint="eastAsia" w:ascii="宋体" w:hAnsi="宋体" w:eastAsia="宋体" w:cs="宋体"/>
          <w:sz w:val="24"/>
          <w:szCs w:val="24"/>
        </w:rPr>
        <w:t>安全能力层：整体建设内容分为二部分，分别为威胁检测能力、关联分析能力；</w:t>
      </w:r>
    </w:p>
    <w:p>
      <w:pPr>
        <w:pStyle w:val="56"/>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威胁检测能力</w:t>
      </w:r>
    </w:p>
    <w:p>
      <w:pPr>
        <w:pStyle w:val="7"/>
        <w:spacing w:line="360" w:lineRule="auto"/>
        <w:rPr>
          <w:rFonts w:hint="eastAsia" w:ascii="宋体" w:hAnsi="宋体" w:eastAsia="宋体" w:cs="宋体"/>
          <w:sz w:val="24"/>
          <w:szCs w:val="24"/>
          <w:shd w:val="clear" w:color="auto" w:fill="FFFFFF"/>
          <w:lang w:val="en-US"/>
        </w:rPr>
      </w:pPr>
      <w:r>
        <w:rPr>
          <w:rFonts w:hint="eastAsia" w:ascii="宋体" w:hAnsi="宋体" w:eastAsia="宋体" w:cs="宋体"/>
          <w:sz w:val="24"/>
          <w:szCs w:val="24"/>
          <w:shd w:val="clear" w:color="auto" w:fill="FFFFFF"/>
          <w:lang w:val="en-US"/>
        </w:rPr>
        <w:t>终端侧高级威胁检测能力通过在端侧采集全面的数据，包括终端、用户、文件、进程、行为等数据。数据在本地做分层，聚合有效数据上传至平台。结合用户真实环境做上下文强关联分析，提升攻击研判精准度。行为检测基于多事件复杂关联规则匹配算法，依靠泛化行为规则提高已知和未知高级威胁攻击检测能力，补充复杂行为关联检测领域空白，构建行为检测防御层级，增强多层次纵深防御检测能力，有效抵御已知和未知高级威胁攻击。</w:t>
      </w:r>
    </w:p>
    <w:p>
      <w:pPr>
        <w:pStyle w:val="7"/>
        <w:spacing w:line="360" w:lineRule="auto"/>
        <w:rPr>
          <w:rFonts w:hint="eastAsia" w:ascii="宋体" w:hAnsi="宋体" w:eastAsia="宋体" w:cs="宋体"/>
          <w:sz w:val="24"/>
          <w:szCs w:val="24"/>
          <w:shd w:val="clear" w:color="auto" w:fill="FFFFFF"/>
          <w:lang w:val="en-US"/>
        </w:rPr>
      </w:pPr>
      <w:r>
        <w:rPr>
          <w:rFonts w:hint="eastAsia" w:ascii="宋体" w:hAnsi="宋体" w:eastAsia="宋体" w:cs="宋体"/>
          <w:sz w:val="24"/>
          <w:szCs w:val="24"/>
          <w:shd w:val="clear" w:color="auto" w:fill="FFFFFF"/>
          <w:lang w:val="en-US"/>
        </w:rPr>
        <w:t>网络侧基于流量采集和日志采集，通过防火墙\入侵防御\漏洞检测\威胁情报等规则进行初步分析做数据标记和特征检测，之后再结合AI中基础的威胁检测模型来进行匹配，快速定位出场景威胁如流行病毒、黑客工具、爆破、扫描、等，针对一些更复杂的不规则的一些组合威胁攻击手段如攻击成功识别、自定义工具、0day漏洞利用、代理转发工具、隐秘隧道等，基于整个会话流量进行检测，包括对流量的请求回显、特征异常关联、异常行为利用、多阶段攻击利用等行为进行完整回溯关联，最终定位出来异常风险。最后是基于优化算法模型，对一些典型的加密流量、0day漏洞利用特征进行优化检测，实现高检出低误报。</w:t>
      </w:r>
    </w:p>
    <w:p>
      <w:pPr>
        <w:pStyle w:val="7"/>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shd w:val="clear" w:color="auto" w:fill="FFFFFF"/>
          <w:lang w:val="en-US"/>
        </w:rPr>
        <w:drawing>
          <wp:inline distT="0" distB="0" distL="114300" distR="114300">
            <wp:extent cx="5271135" cy="2091055"/>
            <wp:effectExtent l="0" t="0" r="5715" b="444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5"/>
                    <a:stretch>
                      <a:fillRect/>
                    </a:stretch>
                  </pic:blipFill>
                  <pic:spPr>
                    <a:xfrm>
                      <a:off x="0" y="0"/>
                      <a:ext cx="5271135" cy="2091055"/>
                    </a:xfrm>
                    <a:prstGeom prst="rect">
                      <a:avLst/>
                    </a:prstGeom>
                    <a:noFill/>
                    <a:ln>
                      <a:noFill/>
                    </a:ln>
                  </pic:spPr>
                </pic:pic>
              </a:graphicData>
            </a:graphic>
          </wp:inline>
        </w:drawing>
      </w:r>
    </w:p>
    <w:p>
      <w:pPr>
        <w:pStyle w:val="56"/>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关联分析能力</w:t>
      </w:r>
    </w:p>
    <w:p>
      <w:pPr>
        <w:pStyle w:val="5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将终端侧和网络侧收集的数据，与云端威胁情报、资产、时间等因子做复杂关联，最终生成平台侧的关联事件。</w:t>
      </w:r>
    </w:p>
    <w:p>
      <w:pPr>
        <w:pStyle w:val="5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对与组件强加强的告警信息，平台提供可视化和高可见性，结合精准详尽的处置响应建议，帮助安全运营人员提高效率。</w:t>
      </w:r>
    </w:p>
    <w:p>
      <w:pPr>
        <w:pStyle w:val="5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组件弱加强的告警信息，平台通过多因子关联提升检测精度，有效降低告警误报量，针对原本单一网络侧或终端侧无法精准检测的攻击，如Webshell上传成功、RDP爆破成功等，网络和终端数据相互印证，互为补充，提升检测精度。</w:t>
      </w:r>
    </w:p>
    <w:p>
      <w:pPr>
        <w:pStyle w:val="5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对于组件弱加弱的告警信息，平台对于二者进行整合，提升威胁检测的覆盖广度。</w:t>
      </w:r>
    </w:p>
    <w:p>
      <w:pPr>
        <w:pStyle w:val="56"/>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4.1.4</w:t>
      </w:r>
      <w:r>
        <w:rPr>
          <w:rFonts w:hint="eastAsia" w:ascii="宋体" w:hAnsi="宋体" w:eastAsia="宋体" w:cs="宋体"/>
          <w:sz w:val="24"/>
          <w:szCs w:val="24"/>
        </w:rPr>
        <w:t>安全业务管理层：</w:t>
      </w:r>
    </w:p>
    <w:p>
      <w:pPr>
        <w:pStyle w:val="56"/>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脆弱性管理</w:t>
      </w:r>
    </w:p>
    <w:p>
      <w:pPr>
        <w:pStyle w:val="56"/>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shd w:val="clear" w:color="auto" w:fill="auto"/>
        </w:rPr>
        <w:t>在资产梳理清晰后，通过平台对资产进行脆弱性评估和管理，包含主动扫描、被动流量识别、以及主机Agent等发现的资产脆弱性信息进行有效的整合，实现对资产脆弱性进行统一的生命周期管理。同时可结合漏洞全生命周期机制，对漏洞全生命周期进行管理，包括：发现漏洞、审核漏洞、漏洞处置、漏洞复测、处置完成，实现漏洞全生命周期状态闭环跟踪，确保重要的漏洞及时处置。支持紧急漏洞评估，可以快速按照使用者视角了解紧急漏洞的分布情况，快速了解指定的漏洞当前的影响范围。通过自定义的快速扫描可快速排查资产，系统，应用漏洞，弱口令等。关键字涵盖主机名、MAC地址、IP、责任人等基础信息的同时，还包含操作系统、服务应用、端口等信息。筛选支持根据资产类型、标签、重要级别、状态等关键字段进行搜索。同时支持输入关键字进行搜索。</w:t>
      </w:r>
    </w:p>
    <w:p>
      <w:pPr>
        <w:pStyle w:val="56"/>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安全事件管理</w:t>
      </w:r>
    </w:p>
    <w:p>
      <w:pPr>
        <w:pStyle w:val="56"/>
        <w:spacing w:line="360" w:lineRule="auto"/>
        <w:ind w:firstLine="480" w:firstLineChars="200"/>
        <w:rPr>
          <w:rFonts w:hint="eastAsia" w:ascii="宋体" w:hAnsi="宋体" w:eastAsia="宋体" w:cs="宋体"/>
          <w:kern w:val="2"/>
          <w:sz w:val="24"/>
          <w:szCs w:val="24"/>
          <w:shd w:val="clear" w:color="auto" w:fill="auto"/>
        </w:rPr>
      </w:pPr>
      <w:r>
        <w:rPr>
          <w:rFonts w:hint="eastAsia" w:ascii="宋体" w:hAnsi="宋体" w:eastAsia="宋体" w:cs="宋体"/>
          <w:kern w:val="2"/>
          <w:sz w:val="24"/>
          <w:szCs w:val="24"/>
          <w:shd w:val="clear" w:color="auto" w:fill="auto"/>
        </w:rPr>
        <w:t>通过威胁分析服务对安全事件进行集中管理分析，将所有孤立的网络安全事件集中化，进行统一管理分析。对安全事件进行统一管理和基于设置资产、状态、类型、等级和时间等的条件对安全事件进行查询。可以按照资产类型、事件状态、事件等级、事件类型等依据需求设置不同的条件进行筛选，并且数据统计区可以清晰的显示出对应事件的统计信息。可通过平台针对各类安全事件分析提供的工具和流程，实现了不同事件不同分析处置过程规范性的跟踪管理，形成闭环。</w:t>
      </w:r>
    </w:p>
    <w:p>
      <w:pPr>
        <w:pStyle w:val="5"/>
        <w:numPr>
          <w:ilvl w:val="0"/>
          <w:numId w:val="0"/>
        </w:numPr>
        <w:tabs>
          <w:tab w:val="left" w:pos="432"/>
          <w:tab w:val="clear" w:pos="8280"/>
        </w:tabs>
        <w:spacing w:line="360" w:lineRule="auto"/>
        <w:rPr>
          <w:rFonts w:hint="eastAsia" w:ascii="宋体" w:hAnsi="宋体" w:eastAsia="宋体" w:cs="宋体"/>
          <w:sz w:val="24"/>
          <w:szCs w:val="24"/>
        </w:rPr>
      </w:pPr>
      <w:bookmarkStart w:id="63" w:name="_Toc128762273"/>
      <w:r>
        <w:rPr>
          <w:rFonts w:hint="eastAsia" w:ascii="宋体" w:hAnsi="宋体" w:eastAsia="宋体" w:cs="宋体"/>
          <w:sz w:val="24"/>
          <w:szCs w:val="24"/>
          <w:lang w:val="en-US" w:eastAsia="zh-CN"/>
        </w:rPr>
        <w:t>4.2</w:t>
      </w:r>
      <w:r>
        <w:rPr>
          <w:rFonts w:hint="eastAsia" w:ascii="宋体" w:hAnsi="宋体" w:eastAsia="宋体" w:cs="宋体"/>
          <w:sz w:val="24"/>
          <w:szCs w:val="24"/>
        </w:rPr>
        <w:t>态势感知服务</w:t>
      </w:r>
      <w:bookmarkEnd w:id="6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分层的大数据处理结构设计，从数据的采集，数据预处理、大数据分析、数据存储、数据服务等五个层面，利用大数据并行计算框架支撑关联分析、流量检测、机器学习等计算检测模块，从而实现对安全数据共享平台数据分析协同的全方位检测服务；</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日志采集与关联分析服务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主流的网络设备、安全设备、操作系统、中间件、应用系统等设备的日志进行采集，采集方式支持Webservice、Syslog、WMI、Agent、JDBC、FTP等接入方式，同时平台的日志采集具备良好的可扩展性，可支持自定义正则，快速兼容新的设备类型。平台接收到日志后，使用与上报日志设备匹配的范式对日志内容提取、整理为统一标准格式，如日志生成时间、IP端口信息、用户信息、协议、日志等级、日志内容等。可识别日志中各类安全威胁，同时通过大数据和深度挖掘等技术提取有效安全告警，关联生成安全事件，并以可视化形式展示。</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情报关联与智能分析服务</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合云端以及第三方威胁情报库，通过多维度信息融合实现基于攻击场景的事件关联、交叉关联和启发式关联，从而评估安全事件的可信度、威胁度和风险值。通过大数据关联分析发现网络中的失陷主机、安全威胁，识别业务潜在安全风险和高级APT攻击行为。</w:t>
      </w:r>
    </w:p>
    <w:p>
      <w:pPr>
        <w:pStyle w:val="2"/>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多维度威胁检测服务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网络流量的正常行为轮廓特征建立正常流量模型，判别流量是否出现异常，可发现网络蠕虫、网络水平扫描、网络垂直扫描、IP地址扫描、端口扫描、ARP欺骗。同时深度检测能力还应包含口令暴力破解检测、弱密码扫描检测、黑链检测、终端病毒/恶意软件检测等。同时利用机器学习进行建模，对用户和主机等实体进行分析（UEBA）、识别出用户对业务系统的异常访问，进而发现客户凭据被盗、用户主机失陷等潜在威胁。有具体的请求响应信息，可以直接在平台进行分析研判；提供了事件URL、攻击者受害者信息、事件的举证信息、具体描述信息并支持图片、文件的上传。</w:t>
      </w:r>
    </w:p>
    <w:p>
      <w:pPr>
        <w:numPr>
          <w:ilvl w:val="0"/>
          <w:numId w:val="1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威胁分析与处置服务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检测出来的安全威胁，结合日志和威胁情报进行深度分析，研判网络中存在的威胁和攻击行为，明确对业务的影响和危害；针对明确的安全事件进行处置，清除恶意文件、快速恢复业务，同时深入分析安全事件的成因，发现存在的薄弱点，溯源攻击路径，最后根据事件发生根因、影响范围，针对性给出安全加固方案。</w:t>
      </w:r>
    </w:p>
    <w:p>
      <w:pPr>
        <w:pStyle w:val="57"/>
        <w:numPr>
          <w:ilvl w:val="0"/>
          <w:numId w:val="0"/>
        </w:numPr>
        <w:spacing w:line="360" w:lineRule="auto"/>
        <w:ind w:right="210"/>
        <w:rPr>
          <w:rFonts w:hint="eastAsia" w:ascii="宋体" w:hAnsi="宋体" w:eastAsia="宋体" w:cs="宋体"/>
          <w:sz w:val="24"/>
          <w:szCs w:val="24"/>
        </w:rPr>
      </w:pPr>
    </w:p>
    <w:p>
      <w:pPr>
        <w:numPr>
          <w:ilvl w:val="0"/>
          <w:numId w:val="0"/>
        </w:numPr>
        <w:autoSpaceDE w:val="0"/>
        <w:autoSpaceDN w:val="0"/>
        <w:adjustRightInd w:val="0"/>
        <w:spacing w:line="360" w:lineRule="auto"/>
        <w:ind w:right="23" w:rightChars="0"/>
        <w:jc w:val="both"/>
        <w:outlineLvl w:val="0"/>
        <w:rPr>
          <w:rFonts w:hint="eastAsia" w:ascii="宋体" w:hAnsi="宋体" w:eastAsia="宋体" w:cs="宋体"/>
          <w:b/>
          <w:kern w:val="0"/>
          <w:sz w:val="24"/>
          <w:szCs w:val="24"/>
        </w:rPr>
      </w:pPr>
      <w:bookmarkStart w:id="64" w:name="_Toc128762274"/>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服务需求</w:t>
      </w:r>
      <w:bookmarkEnd w:id="64"/>
    </w:p>
    <w:p>
      <w:pPr>
        <w:pStyle w:val="4"/>
        <w:numPr>
          <w:ilvl w:val="0"/>
          <w:numId w:val="0"/>
        </w:numPr>
        <w:spacing w:line="360" w:lineRule="auto"/>
        <w:ind w:right="25" w:rightChars="0"/>
        <w:jc w:val="both"/>
        <w:rPr>
          <w:rFonts w:hint="eastAsia" w:ascii="宋体" w:hAnsi="宋体" w:eastAsia="宋体" w:cs="宋体"/>
          <w:sz w:val="24"/>
          <w:szCs w:val="24"/>
        </w:rPr>
      </w:pPr>
      <w:bookmarkStart w:id="65" w:name="_Toc128762275"/>
      <w:r>
        <w:rPr>
          <w:rFonts w:hint="eastAsia" w:ascii="宋体" w:hAnsi="宋体" w:eastAsia="宋体" w:cs="宋体"/>
          <w:sz w:val="24"/>
          <w:szCs w:val="24"/>
          <w:lang w:val="en-US" w:eastAsia="zh-CN"/>
        </w:rPr>
        <w:t>1.</w:t>
      </w:r>
      <w:r>
        <w:rPr>
          <w:rFonts w:hint="eastAsia" w:ascii="宋体" w:hAnsi="宋体" w:eastAsia="宋体" w:cs="宋体"/>
          <w:sz w:val="24"/>
          <w:szCs w:val="24"/>
        </w:rPr>
        <w:t>平台服务</w:t>
      </w:r>
      <w:bookmarkEnd w:id="65"/>
    </w:p>
    <w:p>
      <w:pPr>
        <w:pStyle w:val="5"/>
        <w:tabs>
          <w:tab w:val="left" w:pos="432"/>
          <w:tab w:val="clear" w:pos="8280"/>
        </w:tabs>
        <w:spacing w:line="360" w:lineRule="auto"/>
        <w:rPr>
          <w:rFonts w:hint="eastAsia" w:ascii="宋体" w:hAnsi="宋体" w:eastAsia="宋体" w:cs="宋体"/>
          <w:b/>
          <w:bCs w:val="0"/>
          <w:sz w:val="24"/>
          <w:szCs w:val="24"/>
        </w:rPr>
      </w:pPr>
      <w:bookmarkStart w:id="66" w:name="_Toc128762276"/>
      <w:r>
        <w:rPr>
          <w:rFonts w:hint="eastAsia" w:ascii="宋体" w:hAnsi="宋体" w:eastAsia="宋体" w:cs="宋体"/>
          <w:b/>
          <w:bCs w:val="0"/>
          <w:sz w:val="24"/>
          <w:szCs w:val="24"/>
          <w:lang w:val="en-US" w:eastAsia="zh-CN"/>
        </w:rPr>
        <w:t>1.1</w:t>
      </w:r>
      <w:r>
        <w:rPr>
          <w:rFonts w:hint="eastAsia" w:ascii="宋体" w:hAnsi="宋体" w:eastAsia="宋体" w:cs="宋体"/>
          <w:b/>
          <w:bCs w:val="0"/>
          <w:sz w:val="24"/>
          <w:szCs w:val="24"/>
        </w:rPr>
        <w:t>安全数据规范制订服务</w:t>
      </w:r>
      <w:bookmarkEnd w:id="6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服务咨询形式，提供台州市政务外网安全大数据平台的安全数据标准规范制订，该标准规范制订需要充分考虑平台自有的格式规范标准，同时兼顾台州市政务外网相关安全设备厂商的安全数据标准规范、浙江省政务外网安全监管平台安全数据标准规范、台州市网络安全协调指挥平台安全数据标准规范等，在此基础上制定安全数据技术规范，包括台州市政务外网安全运营数据的采集技术规范、处理技术规范、存储技术规范、建库技术规范等。为安全数据的采集、处理、存储、共享及分析利用提供支撑。</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收集相关国家标准、省级标准和行业标准，本项目的需求，制定《台州市政务外网安全运营平台数据标准》，相关标准提交大数据局审核，经过初步审核后，组织相关安全厂商进行讨论，根据反馈的意见对标准进行修改和完善，修改后的标准提交大数据局进行最终审核，市大数据局从数据标准的合理性、是否能落标、是否符合业务发展等多个角度对标准进行审核，最终得到定版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《台州市政务外网安全运营平台数据技术规范》需要涵盖业务数据标准、参考数据和主数据标准、数据元标准、指标数据标准等内容。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1台州市政务外网安全运营平台业务术语标准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台州市政务外网安全运营平台业务术语是被批准、管理的安全运营平台业务概念定义的描述，需要根据平台运营的需要明确相关术语定义。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2台州市政务外网安全运营平台参考数据标准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运营平台参考数据是将其他相关数据进行分类或目录整编的数据，是台州市政务外网安全运营平台的数据字典，政务外网安全运营平台主数据标准。主数据是安全运营平台的核心数据，需要明确主数据的定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3台州市政务外网安全运营平台数据元标准</w:t>
      </w:r>
    </w:p>
    <w:p>
      <w:pPr>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数据元是用一组属性描述其定义、标识、表示和允许值的数据单元，是描述数据的最基本单元。数据元由3部分组成:对象类、特性、表示值域和数据类型的组合。</w:t>
      </w:r>
    </w:p>
    <w:p>
      <w:pPr>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val="en-US" w:eastAsia="zh-CN"/>
        </w:rPr>
        <w:t>1.1.4</w:t>
      </w:r>
      <w:r>
        <w:rPr>
          <w:rFonts w:hint="eastAsia" w:ascii="宋体" w:hAnsi="宋体" w:eastAsia="宋体" w:cs="宋体"/>
          <w:sz w:val="24"/>
          <w:szCs w:val="24"/>
          <w:lang w:eastAsia="zh-Hans"/>
        </w:rPr>
        <w:t>台州市政务外网安全运营平台指标数据标准</w:t>
      </w:r>
    </w:p>
    <w:p>
      <w:pPr>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指标数据是衡量台州市政务外网安全情况的数据，由指标名称、指标解释、时间限定、其他条件限定、指标数值等组成，如政务外网安全事故发生率等。《台州市政务外网安全运营平台安全数据技术规范》需要覆盖安全告警、安全事件、资产信息、漏洞信息等内容：</w:t>
      </w:r>
    </w:p>
    <w:p>
      <w:pPr>
        <w:numPr>
          <w:ilvl w:val="0"/>
          <w:numId w:val="16"/>
        </w:numPr>
        <w:tabs>
          <w:tab w:val="left" w:pos="432"/>
        </w:tabs>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安全告警数据规范标准</w:t>
      </w:r>
    </w:p>
    <w:p>
      <w:pPr>
        <w:tabs>
          <w:tab w:val="left" w:pos="432"/>
        </w:tabs>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台州市政务外网范围内的安全设备根据制定的安全告警数据规范标准上报对应数据字段，保障安全运营平台最终汇总的安全告警的数据统一标准；以便于支撑安全运营管理过程中整体安全态势统计与分析；</w:t>
      </w:r>
    </w:p>
    <w:p>
      <w:pPr>
        <w:numPr>
          <w:ilvl w:val="0"/>
          <w:numId w:val="16"/>
        </w:numPr>
        <w:tabs>
          <w:tab w:val="left" w:pos="432"/>
        </w:tabs>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安全事件数据规范标准</w:t>
      </w:r>
    </w:p>
    <w:p>
      <w:pPr>
        <w:numPr>
          <w:ilvl w:val="255"/>
          <w:numId w:val="0"/>
        </w:numPr>
        <w:tabs>
          <w:tab w:val="left" w:pos="432"/>
        </w:tabs>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台州市政务外网安全运营平台分析产生的安全事件数据形成统一标准规范，保障在运营管理过程中信息传递的一致性，并能够支撑统一的处置决策。</w:t>
      </w:r>
    </w:p>
    <w:p>
      <w:pPr>
        <w:numPr>
          <w:ilvl w:val="0"/>
          <w:numId w:val="16"/>
        </w:numPr>
        <w:tabs>
          <w:tab w:val="left" w:pos="432"/>
        </w:tabs>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资产信息数据规范标准</w:t>
      </w:r>
    </w:p>
    <w:p>
      <w:pPr>
        <w:numPr>
          <w:ilvl w:val="255"/>
          <w:numId w:val="0"/>
        </w:numPr>
        <w:tabs>
          <w:tab w:val="left" w:pos="432"/>
        </w:tabs>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台州市政务外网安全运营管理过程中形成统一的资产信息数据标准，保障运营管理过程资产可以准确和快速的定位。</w:t>
      </w:r>
    </w:p>
    <w:p>
      <w:pPr>
        <w:numPr>
          <w:ilvl w:val="0"/>
          <w:numId w:val="16"/>
        </w:numPr>
        <w:tabs>
          <w:tab w:val="left" w:pos="432"/>
        </w:tabs>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漏洞信息数据规范标准</w:t>
      </w:r>
    </w:p>
    <w:p>
      <w:pPr>
        <w:numPr>
          <w:ilvl w:val="255"/>
          <w:numId w:val="0"/>
        </w:numPr>
        <w:tabs>
          <w:tab w:val="left" w:pos="432"/>
        </w:tabs>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台州市政务外网安全运营管理过程中形成统一的漏洞信息数据标准，保障运营管理过程漏洞信息传递和处置准确性，尽量减少信息不全和不准确导致的重复处置或处置不到位的问题。</w:t>
      </w:r>
    </w:p>
    <w:p>
      <w:pPr>
        <w:pStyle w:val="5"/>
        <w:tabs>
          <w:tab w:val="left" w:pos="432"/>
          <w:tab w:val="clear" w:pos="8280"/>
        </w:tabs>
        <w:spacing w:line="360" w:lineRule="auto"/>
        <w:rPr>
          <w:rFonts w:hint="eastAsia" w:ascii="宋体" w:hAnsi="宋体" w:eastAsia="宋体" w:cs="宋体"/>
          <w:b/>
          <w:bCs w:val="0"/>
          <w:sz w:val="24"/>
          <w:szCs w:val="24"/>
        </w:rPr>
      </w:pPr>
      <w:bookmarkStart w:id="67" w:name="_Toc128762277"/>
      <w:r>
        <w:rPr>
          <w:rFonts w:hint="eastAsia" w:ascii="宋体" w:hAnsi="宋体" w:eastAsia="宋体" w:cs="宋体"/>
          <w:b/>
          <w:bCs w:val="0"/>
          <w:sz w:val="24"/>
          <w:szCs w:val="24"/>
          <w:lang w:val="en-US" w:eastAsia="zh-CN"/>
        </w:rPr>
        <w:t>1.2</w:t>
      </w:r>
      <w:r>
        <w:rPr>
          <w:rFonts w:hint="eastAsia" w:ascii="宋体" w:hAnsi="宋体" w:eastAsia="宋体" w:cs="宋体"/>
          <w:b/>
          <w:bCs w:val="0"/>
          <w:sz w:val="24"/>
          <w:szCs w:val="24"/>
        </w:rPr>
        <w:t>安全数据治理服务</w:t>
      </w:r>
      <w:bookmarkEnd w:id="67"/>
    </w:p>
    <w:p>
      <w:pPr>
        <w:pStyle w:val="58"/>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数据是一切安全工作的基础，</w:t>
      </w:r>
      <w:r>
        <w:rPr>
          <w:rFonts w:hint="eastAsia" w:ascii="宋体" w:hAnsi="宋体" w:eastAsia="宋体" w:cs="宋体"/>
          <w:sz w:val="24"/>
          <w:szCs w:val="24"/>
        </w:rPr>
        <w:t>保证安全数据质量是</w:t>
      </w:r>
      <w:r>
        <w:rPr>
          <w:rFonts w:hint="eastAsia" w:ascii="宋体" w:hAnsi="宋体" w:eastAsia="宋体" w:cs="宋体"/>
          <w:sz w:val="24"/>
          <w:szCs w:val="24"/>
          <w:lang w:eastAsia="zh-Hans"/>
        </w:rPr>
        <w:t>安全分析的相关人员日常需要对台州市电子政务</w:t>
      </w:r>
      <w:r>
        <w:rPr>
          <w:rFonts w:hint="eastAsia" w:ascii="宋体" w:hAnsi="宋体" w:eastAsia="宋体" w:cs="宋体"/>
          <w:sz w:val="24"/>
          <w:szCs w:val="24"/>
        </w:rPr>
        <w:t>外网</w:t>
      </w:r>
      <w:r>
        <w:rPr>
          <w:rFonts w:hint="eastAsia" w:ascii="宋体" w:hAnsi="宋体" w:eastAsia="宋体" w:cs="宋体"/>
          <w:sz w:val="24"/>
          <w:szCs w:val="24"/>
          <w:lang w:eastAsia="zh-Hans"/>
        </w:rPr>
        <w:t>安全数据进行综合的安全数据治理，用以辅助资产、威胁、脆弱性、事件的管理工作及其他一切的安全服务相关工作。</w:t>
      </w:r>
    </w:p>
    <w:p>
      <w:pPr>
        <w:pStyle w:val="58"/>
        <w:spacing w:line="360" w:lineRule="auto"/>
        <w:rPr>
          <w:rFonts w:hint="eastAsia" w:ascii="宋体" w:hAnsi="宋体" w:eastAsia="宋体" w:cs="宋体"/>
          <w:sz w:val="24"/>
          <w:szCs w:val="24"/>
          <w:lang w:val="zh-CN" w:eastAsia="zh-Hans"/>
        </w:rPr>
      </w:pPr>
      <w:r>
        <w:rPr>
          <w:rFonts w:hint="eastAsia" w:ascii="宋体" w:hAnsi="宋体" w:eastAsia="宋体" w:cs="宋体"/>
          <w:sz w:val="24"/>
          <w:szCs w:val="24"/>
        </w:rPr>
        <w:t>安全数据的治理</w:t>
      </w:r>
      <w:r>
        <w:rPr>
          <w:rFonts w:hint="eastAsia" w:ascii="宋体" w:hAnsi="宋体" w:eastAsia="宋体" w:cs="宋体"/>
          <w:sz w:val="24"/>
          <w:szCs w:val="24"/>
          <w:lang w:val="zh-CN" w:eastAsia="zh-Hans"/>
        </w:rPr>
        <w:t>在充分遵循国家、省、市的相关数据标准和治理规则的前提下，开展本地数据数据的清洗治理工作，逐步形成标准统一、质量可靠、纬度全面的本地数据，同时，将本地归集的个性数据制定成本地特色标准发布，作为后续该个性数据的治理标准规范等。</w:t>
      </w:r>
    </w:p>
    <w:p>
      <w:pPr>
        <w:pStyle w:val="58"/>
        <w:spacing w:line="360" w:lineRule="auto"/>
        <w:rPr>
          <w:rFonts w:hint="eastAsia" w:ascii="宋体" w:hAnsi="宋体" w:eastAsia="宋体" w:cs="宋体"/>
          <w:sz w:val="24"/>
          <w:szCs w:val="24"/>
          <w:lang w:val="zh-CN" w:eastAsia="zh-Hans"/>
        </w:rPr>
      </w:pPr>
      <w:r>
        <w:rPr>
          <w:rFonts w:hint="eastAsia" w:ascii="宋体" w:hAnsi="宋体" w:eastAsia="宋体" w:cs="宋体"/>
          <w:sz w:val="24"/>
          <w:szCs w:val="24"/>
          <w:lang w:val="zh-CN" w:eastAsia="zh-Hans"/>
        </w:rPr>
        <w:t>完成安全数据的综合治理之后，借助安全数据仓支撑安全运营工作，同时为相关单位的数据使用</w:t>
      </w:r>
      <w:r>
        <w:rPr>
          <w:rFonts w:hint="eastAsia" w:ascii="宋体" w:hAnsi="宋体" w:eastAsia="宋体" w:cs="宋体"/>
          <w:sz w:val="24"/>
          <w:szCs w:val="24"/>
        </w:rPr>
        <w:t>提供</w:t>
      </w:r>
      <w:r>
        <w:rPr>
          <w:rFonts w:hint="eastAsia" w:ascii="宋体" w:hAnsi="宋体" w:eastAsia="宋体" w:cs="宋体"/>
          <w:sz w:val="24"/>
          <w:szCs w:val="24"/>
          <w:lang w:val="zh-CN" w:eastAsia="zh-Hans"/>
        </w:rPr>
        <w:t>数据共享。</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1服务周期</w:t>
      </w:r>
    </w:p>
    <w:p>
      <w:pPr>
        <w:pStyle w:val="58"/>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数据治理的服务年限为从项目竣工验收后两年。</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2服务内容</w:t>
      </w:r>
    </w:p>
    <w:p>
      <w:pPr>
        <w:pStyle w:val="58"/>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按照“应归尽归”原则，本项目数据归集的范围为台州市相关安全数据。通过对安全数据的持续治理构建安全数据仓，安全数据的治理包括数据解析、</w:t>
      </w:r>
      <w:r>
        <w:rPr>
          <w:rFonts w:hint="eastAsia" w:ascii="宋体" w:hAnsi="宋体" w:eastAsia="宋体" w:cs="宋体"/>
          <w:sz w:val="24"/>
          <w:szCs w:val="24"/>
        </w:rPr>
        <w:t>数据标准化</w:t>
      </w:r>
      <w:r>
        <w:rPr>
          <w:rFonts w:hint="eastAsia" w:ascii="宋体" w:hAnsi="宋体" w:eastAsia="宋体" w:cs="宋体"/>
          <w:sz w:val="24"/>
          <w:szCs w:val="24"/>
          <w:lang w:eastAsia="zh-Hans"/>
        </w:rPr>
        <w:t>等相关工作。数据治理服务范围和本项目数据归集范围保持一致，治理的数据包括但不限于：边界安全数据、终端安全数据、日志管理数据、安全威胁数据、安全资产数据、安全处置数据、云端数据等。</w:t>
      </w:r>
    </w:p>
    <w:p>
      <w:pPr>
        <w:pStyle w:val="58"/>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数据治理的服务内容包括数据调研分析、数据治理规范的建立、数据人工处理、数据治理质量评估、安全数据共享、日常协调等工作。通过安全治理系统提供的工具，通过可视化配置方式对多种来源的数据进行数据人工治理，支持内置数据标准化的解析规则和灵活的自定义解析规则。包括：</w:t>
      </w:r>
      <w:r>
        <w:rPr>
          <w:rFonts w:hint="eastAsia" w:ascii="宋体" w:hAnsi="宋体" w:eastAsia="宋体" w:cs="宋体"/>
          <w:sz w:val="24"/>
          <w:szCs w:val="24"/>
        </w:rPr>
        <w:t>数据元管理、字典表管理、标准智能关联、数据对标、打标签</w:t>
      </w:r>
      <w:r>
        <w:rPr>
          <w:rFonts w:hint="eastAsia" w:ascii="宋体" w:hAnsi="宋体" w:eastAsia="宋体" w:cs="宋体"/>
          <w:sz w:val="24"/>
          <w:szCs w:val="24"/>
          <w:lang w:eastAsia="zh-Hans"/>
        </w:rPr>
        <w:t>等。通过数据治理为后续的大数据分析建模、上层应用提供数据支撑。</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3服务方式和要求</w:t>
      </w:r>
    </w:p>
    <w:p>
      <w:pPr>
        <w:pStyle w:val="58"/>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需要根据治理服务的需要，派驻人员参与数据治理工作。</w:t>
      </w:r>
      <w:r>
        <w:rPr>
          <w:rFonts w:hint="eastAsia" w:ascii="宋体" w:hAnsi="宋体" w:eastAsia="宋体" w:cs="宋体"/>
          <w:sz w:val="24"/>
          <w:szCs w:val="24"/>
        </w:rPr>
        <w:t>派驻的</w:t>
      </w:r>
      <w:r>
        <w:rPr>
          <w:rFonts w:hint="eastAsia" w:ascii="宋体" w:hAnsi="宋体" w:eastAsia="宋体" w:cs="宋体"/>
          <w:sz w:val="24"/>
          <w:szCs w:val="24"/>
          <w:lang w:eastAsia="zh-Hans"/>
        </w:rPr>
        <w:t>数据治理人员未经建设单位同意，不得随意更换。</w:t>
      </w:r>
    </w:p>
    <w:p>
      <w:pPr>
        <w:pStyle w:val="58"/>
        <w:spacing w:line="360" w:lineRule="auto"/>
        <w:rPr>
          <w:rFonts w:hint="eastAsia" w:ascii="宋体" w:hAnsi="宋体" w:eastAsia="宋体" w:cs="宋体"/>
          <w:sz w:val="24"/>
          <w:szCs w:val="24"/>
          <w:lang w:val="zh-CN" w:eastAsia="zh-Hans"/>
        </w:rPr>
      </w:pPr>
      <w:r>
        <w:rPr>
          <w:rFonts w:hint="eastAsia" w:ascii="宋体" w:hAnsi="宋体" w:eastAsia="宋体" w:cs="宋体"/>
          <w:sz w:val="24"/>
          <w:szCs w:val="24"/>
          <w:lang w:eastAsia="zh-Hans"/>
        </w:rPr>
        <w:t>经过治理后的安全数据，准确性、完整性应满足台州市政务外网安全运营平台正常运行的需要，满足网络安全综合分析服务的需要。</w:t>
      </w:r>
      <w:r>
        <w:rPr>
          <w:rFonts w:hint="eastAsia" w:ascii="宋体" w:hAnsi="宋体" w:eastAsia="宋体" w:cs="宋体"/>
          <w:sz w:val="24"/>
          <w:szCs w:val="24"/>
          <w:lang w:val="zh-CN" w:eastAsia="zh-Hans"/>
        </w:rPr>
        <w:t>数据处理过程</w:t>
      </w:r>
      <w:r>
        <w:rPr>
          <w:rFonts w:hint="eastAsia" w:ascii="宋体" w:hAnsi="宋体" w:eastAsia="宋体" w:cs="宋体"/>
          <w:sz w:val="24"/>
          <w:szCs w:val="24"/>
          <w:lang w:eastAsia="zh-Hans"/>
        </w:rPr>
        <w:t>需要</w:t>
      </w:r>
      <w:r>
        <w:rPr>
          <w:rFonts w:hint="eastAsia" w:ascii="宋体" w:hAnsi="宋体" w:eastAsia="宋体" w:cs="宋体"/>
          <w:sz w:val="24"/>
          <w:szCs w:val="24"/>
          <w:lang w:val="zh-CN" w:eastAsia="zh-Hans"/>
        </w:rPr>
        <w:t>形成数据血缘，记录每项数据的来源、处理过程、应用对接情况等，记录数据表在建仓过程中的全链路血缘关系，帮助数据监管部门实现便捷地问题数据溯源查询和影响分析。</w:t>
      </w:r>
    </w:p>
    <w:p>
      <w:pPr>
        <w:pStyle w:val="58"/>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如治理后的安全数据存在准确性和完整性缺陷，项目服务单位需要及时进行整改，直至满足验收要求。</w:t>
      </w:r>
    </w:p>
    <w:p>
      <w:pPr>
        <w:pStyle w:val="5"/>
        <w:tabs>
          <w:tab w:val="left" w:pos="432"/>
          <w:tab w:val="clear" w:pos="8280"/>
        </w:tabs>
        <w:spacing w:line="360" w:lineRule="auto"/>
        <w:rPr>
          <w:rFonts w:hint="eastAsia" w:ascii="宋体" w:hAnsi="宋体" w:eastAsia="宋体" w:cs="宋体"/>
          <w:b/>
          <w:bCs w:val="0"/>
          <w:sz w:val="24"/>
          <w:szCs w:val="24"/>
        </w:rPr>
      </w:pPr>
      <w:bookmarkStart w:id="68" w:name="_Toc128762278"/>
      <w:r>
        <w:rPr>
          <w:rFonts w:hint="eastAsia" w:ascii="宋体" w:hAnsi="宋体" w:eastAsia="宋体" w:cs="宋体"/>
          <w:b/>
          <w:bCs w:val="0"/>
          <w:sz w:val="24"/>
          <w:szCs w:val="24"/>
          <w:lang w:val="en-US" w:eastAsia="zh-CN"/>
        </w:rPr>
        <w:t>1.3</w:t>
      </w:r>
      <w:r>
        <w:rPr>
          <w:rFonts w:hint="eastAsia" w:ascii="宋体" w:hAnsi="宋体" w:eastAsia="宋体" w:cs="宋体"/>
          <w:b/>
          <w:bCs w:val="0"/>
          <w:sz w:val="24"/>
          <w:szCs w:val="24"/>
        </w:rPr>
        <w:t>安全数据归集服务</w:t>
      </w:r>
      <w:bookmarkEnd w:id="6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安全数据归集的对象主要为云、网、边、端部署的安全产品。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1）云主要是指政务云，对接政务云安全资源池现有的流式数据、日志数据；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2）网主要是指政务外网，采集政务外网的相关流式数据、日志数据和网络设备数据。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3）边主要是政务外网边界的安全，采集边界安全设备的安全数据。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4）端是指市内电子政务外网上的终端，与市级的终端管理和安全防护系统对接获取终端的安全数据。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除上述系统数据归集外，要求通过数据采集系统与其他网络安全监管平台对接，获取全市外网网络攻击、有害事件数据和终端数据。</w:t>
      </w:r>
    </w:p>
    <w:p>
      <w:pPr>
        <w:numPr>
          <w:ilvl w:val="255"/>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1终端安全数据归集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通过标准数据接口方式与市级的终端管理系统进行对接，获取台州市终端安全数据。获取终端主机操作系统、应用系统（如：Web、邮件，操作系统等）所产生的海量日志信息，具体获取的数据内容如下：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1）终端概况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包含已安装终端管理软件终端数量、存在非法接入的终端数量、已安装防病毒软件终端数量、已按要求更新病毒库终端数量、存在病毒但是无法清除的终端数量、打齐规定补丁的终端数量。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2）终端病毒攻防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杀毒趋势、病毒查杀分组、病毒查杀、病毒感染种类情况、病毒实时事件。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3）终端漏洞数据概况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漏洞概况数据、漏洞修复与发现趋势、漏洞及时事件提示、PC与服务器修复漏洞情况、分组漏洞修复情况。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4）终端常用端口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终端端口开放情况、特定端口（如X86的3389、国产的21等）开放情况、特定端口连接情况。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5）终端系统日志信息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各类日志信息、包括系统日志、应用日志。</w:t>
      </w:r>
    </w:p>
    <w:p>
      <w:pPr>
        <w:numPr>
          <w:ilvl w:val="255"/>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2政务外网安全数据归集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通过主动探测、标准数据接口对接等方式采集分析电子政务外网流量、网站、系统、主机、安全设备等，同时对接获取台州市的相关政务外网安全数据，政务外网安全数据包括：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安全威胁：威胁事件等级和数量。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网络攻击数据：包含信息收集、拒绝服务、SQL注入、XSS攻击、密码破解、网络欺骗、漏洞攻击、后门攻击、会话劫持、域名劫持、黑市工具、目录遍历。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有害程序数据：包含计算机病毒、蠕虫、木马程序、僵尸网络、混合攻击程序、网页嵌入恶意代码。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流量日志：协议审计日志、登录日志和文件审计日志等；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安全日志：网络安全、应用安全、主机安全和数据安全等；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主机日志：系统日志、应用日志、服务器日志等；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其他日志：安全运维、网络设备等日志；</w:t>
      </w:r>
    </w:p>
    <w:p>
      <w:pPr>
        <w:numPr>
          <w:ilvl w:val="255"/>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3云安全数据归集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台州市政务云已经部署台州市电子政务云安全资源池，建设内容包括安全感知系统，终端检测与响应系统,安全日志存储，安全威胁情报。通过主动探测、标准数据接口对接等方式采集分析云平台安全风险，并最终汇总后通过数据融合治理生成相应的主题库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防火墙的安全日志有：DOS攻击日志、WEB应用防护日志、漏洞攻击防护日志（IPS）、僵尸网络日志、内容安全日志、应用控制日志以及安全事件日志等。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EDR的安全日志有：病毒查杀日志、漏洞扫描日志、基线检查日志、入侵检测日志、安全加固日志联动日志、运维日志等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业务系统：部署在云区域内的主要业务系统系统日志。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威胁感知数据：攻击事件、攻击源、攻击目标、攻击类型、危害级别、时间、类型、严重等级、动作、区域、IP、用户、特征/漏洞ID。</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安全告警：主机防护、web应用安全、边界防护、漏洞扫描这些安全设备发现的告警数量，包括、主机防护事件数量和趋势，应用防护事件数量和趋势，边界防护事件数量和趋势。</w:t>
      </w:r>
    </w:p>
    <w:p>
      <w:pPr>
        <w:numPr>
          <w:ilvl w:val="255"/>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4边界安全数据归集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归集政务外网边界安全数据。常见的网络边界安全管控包含访问控制、网络攻击监测/拦截等，对应的常见安全产品包含防火墙、入侵监测/防护设备（IDS/IPS），WEB应用防火墙等。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1.3.4.</w:t>
      </w:r>
      <w:r>
        <w:rPr>
          <w:rFonts w:hint="eastAsia" w:ascii="宋体" w:hAnsi="宋体" w:eastAsia="宋体" w:cs="宋体"/>
          <w:sz w:val="24"/>
          <w:szCs w:val="24"/>
        </w:rPr>
        <w:t>1防火墙相关信息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防火墙访问控制类日志：指的是防火墙的允许放行策略和禁止访问策略产生的日志。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关键信息：包含会话信息、源ip、目的IP等的五元组信息；通讯的流量信息；以及策略信息。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1.3.4.</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IDS相关信息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主要归集IDS设备的五元组信息、设备信息、证据信息、规则信息、其他信息。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1.3.4.3 </w:t>
      </w:r>
      <w:r>
        <w:rPr>
          <w:rFonts w:hint="eastAsia" w:ascii="宋体" w:hAnsi="宋体" w:eastAsia="宋体" w:cs="宋体"/>
          <w:sz w:val="24"/>
          <w:szCs w:val="24"/>
        </w:rPr>
        <w:t>WAF字段信息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主要归集web应用防火墙的五元组信息、设备信息、规则信息、动作信息等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1.3.4.4</w:t>
      </w:r>
      <w:r>
        <w:rPr>
          <w:rFonts w:hint="eastAsia" w:ascii="宋体" w:hAnsi="宋体" w:eastAsia="宋体" w:cs="宋体"/>
          <w:sz w:val="24"/>
          <w:szCs w:val="24"/>
        </w:rPr>
        <w:t>数据归集标准化</w:t>
      </w:r>
    </w:p>
    <w:p>
      <w:pPr>
        <w:tabs>
          <w:tab w:val="left" w:pos="43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实时计算系统的实时处理能力，对数据采集模块采集的消息队列数据并进行标准化治理。上游的安全业务数据通过定时上报及实时抽取汇聚至消息队列，通过配置标准化治理规则、目的表和问题表，将订阅获取到的消息数据进行标准化和治理，并将规范后的数据写回到消息队列或者落盘到各种结构化数据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1.3.4.5</w:t>
      </w:r>
      <w:r>
        <w:rPr>
          <w:rFonts w:hint="eastAsia" w:ascii="宋体" w:hAnsi="宋体" w:eastAsia="宋体" w:cs="宋体"/>
          <w:sz w:val="24"/>
          <w:szCs w:val="24"/>
        </w:rPr>
        <w:t>数据共享可定制化</w:t>
      </w:r>
    </w:p>
    <w:p>
      <w:pPr>
        <w:tabs>
          <w:tab w:val="left" w:pos="43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实时计算系统的实时处理能力，对需要通过数据共享模块共享给不同安全厂商的数据进行个性化数据处理。上游的安全业务数据通过定时上报及实时抽取汇聚至消息队列，通过配置个性化处理规则、目的表和问题表，将订阅获取到的消息数据进行个性化处理，并将调整后的数据写回到消息队列，共享给不同的安全厂商。</w:t>
      </w:r>
    </w:p>
    <w:p>
      <w:pPr>
        <w:tabs>
          <w:tab w:val="left" w:pos="43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归集服务是利用数据采集模块的能力，将分散在各安全系统中的不同数源、不同格式、不同标准、不同更新情况等的各种个性化数据，按照不同的数据采集方式配置数据采集任务，将数据归集至安全数据仓进行数据标准化。</w:t>
      </w:r>
    </w:p>
    <w:p>
      <w:pPr>
        <w:pStyle w:val="5"/>
        <w:tabs>
          <w:tab w:val="left" w:pos="432"/>
          <w:tab w:val="clear" w:pos="8280"/>
        </w:tabs>
        <w:spacing w:line="360" w:lineRule="auto"/>
        <w:rPr>
          <w:rFonts w:hint="eastAsia" w:ascii="宋体" w:hAnsi="宋体" w:eastAsia="宋体" w:cs="宋体"/>
          <w:b/>
          <w:bCs w:val="0"/>
          <w:sz w:val="24"/>
          <w:szCs w:val="24"/>
        </w:rPr>
      </w:pPr>
      <w:bookmarkStart w:id="69" w:name="_Toc128762279"/>
      <w:r>
        <w:rPr>
          <w:rFonts w:hint="eastAsia" w:ascii="宋体" w:hAnsi="宋体" w:eastAsia="宋体" w:cs="宋体"/>
          <w:b/>
          <w:bCs w:val="0"/>
          <w:sz w:val="24"/>
          <w:szCs w:val="24"/>
          <w:lang w:val="en-US" w:eastAsia="zh-CN"/>
        </w:rPr>
        <w:t>1.4</w:t>
      </w:r>
      <w:r>
        <w:rPr>
          <w:rFonts w:hint="eastAsia" w:ascii="宋体" w:hAnsi="宋体" w:eastAsia="宋体" w:cs="宋体"/>
          <w:b/>
          <w:bCs w:val="0"/>
          <w:sz w:val="24"/>
          <w:szCs w:val="24"/>
        </w:rPr>
        <w:t>安全数据共享服务</w:t>
      </w:r>
      <w:bookmarkEnd w:id="69"/>
    </w:p>
    <w:p>
      <w:pPr>
        <w:pStyle w:val="59"/>
        <w:spacing w:before="0" w:after="0" w:line="360" w:lineRule="auto"/>
        <w:ind w:firstLine="480"/>
        <w:rPr>
          <w:rFonts w:hint="eastAsia" w:ascii="宋体" w:hAnsi="宋体" w:eastAsia="宋体" w:cs="宋体"/>
          <w:sz w:val="24"/>
          <w:szCs w:val="24"/>
        </w:rPr>
      </w:pPr>
      <w:r>
        <w:rPr>
          <w:rFonts w:hint="eastAsia" w:ascii="宋体" w:hAnsi="宋体" w:eastAsia="宋体" w:cs="宋体"/>
          <w:sz w:val="24"/>
          <w:szCs w:val="24"/>
        </w:rPr>
        <w:t>数据安全共享服务是利用平台安全数据共享能力，将进行标准化治理后的数据，根据浙江省政务外网安全监管平台、台州市网络安全协调指挥平台等数据需求方要求，提供标准化安全数据共享对接服务，将数据以接口、批量、文件或其他方式按需要的调度周期进行共享。</w:t>
      </w:r>
    </w:p>
    <w:p>
      <w:pPr>
        <w:pStyle w:val="4"/>
        <w:numPr>
          <w:ilvl w:val="0"/>
          <w:numId w:val="0"/>
        </w:numPr>
        <w:spacing w:line="360" w:lineRule="auto"/>
        <w:ind w:right="25" w:rightChars="0"/>
        <w:jc w:val="both"/>
        <w:rPr>
          <w:rFonts w:hint="eastAsia" w:ascii="宋体" w:hAnsi="宋体" w:eastAsia="宋体" w:cs="宋体"/>
          <w:sz w:val="24"/>
          <w:szCs w:val="24"/>
          <w:lang w:val="en-US" w:eastAsia="zh-CN"/>
        </w:rPr>
      </w:pPr>
      <w:bookmarkStart w:id="70" w:name="_Toc128762280"/>
    </w:p>
    <w:p>
      <w:pPr>
        <w:pStyle w:val="4"/>
        <w:numPr>
          <w:ilvl w:val="0"/>
          <w:numId w:val="0"/>
        </w:numPr>
        <w:spacing w:line="360" w:lineRule="auto"/>
        <w:ind w:right="25" w:rightChars="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网络安全综合分析服务</w:t>
      </w:r>
      <w:bookmarkEnd w:id="7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2年的综合安全分析服务，主要负责对安全事件研判、安全隐患验证和事件/隐患通报等日常工作，实现对网络安全事件、安全隐患等网络安全数据从产生、验证、通报业务发起到处置闭环全生命周期的管理，从而实现台州市政务外网“底数摸得清、告警报的准、重点抓得到、成效看得见、情报促协同、源头看得见”。</w:t>
      </w:r>
    </w:p>
    <w:p>
      <w:pPr>
        <w:pStyle w:val="29"/>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安全事件分析服务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提供安全事件发现、定位与溯源、安全事件处置建议等服务。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安全事件发现：基于威胁情报，发现高级威胁、APT攻击、异常流量行为、僵尸木马攻击等安全事件；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定位与溯源：对发现的安全事件定位到具体的IP地址</w:t>
      </w:r>
      <w:r>
        <w:rPr>
          <w:rFonts w:hint="eastAsia" w:ascii="宋体" w:hAnsi="宋体" w:eastAsia="宋体" w:cs="宋体"/>
          <w:color w:val="000000"/>
          <w:kern w:val="0"/>
          <w:sz w:val="24"/>
          <w:szCs w:val="24"/>
          <w:lang w:bidi="ar"/>
        </w:rPr>
        <w:t>并且能够进行攻击链还原及攻击入口定位 ，识别攻击威胁实体（域名、IP、进程等）</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安全事件处置建议：对发现的安全事件进行深度分析后给出事件处理建议，并提出解决方案。</w:t>
      </w:r>
    </w:p>
    <w:p>
      <w:pPr>
        <w:pStyle w:val="29"/>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威胁感知服务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对安全数据进行分析，运用威胁情报、规则引擎、文件虚拟执行、机器学习等技术，精准发现网络中针对主机与服务器的已知高级网络攻击和未知的新型网络攻击的入侵行为，利用平台对流量日志和终端日志进行存储和查询，结合威胁情报IOC、攻击特征线索、特种攻击特征（如对美暗网等），初步检测网络中存在的攻击行为，定位流量中存在的异常和未知攻击行为，对安全威胁进行感知。</w:t>
      </w:r>
    </w:p>
    <w:p>
      <w:pPr>
        <w:pStyle w:val="29"/>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情报分析服务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情报分析服务，依托安全大数据能力以及本地安全分析人员，对高级威胁事件进行跟踪、研判，并最终发现威胁事件。在威胁分析的各环节，通过公开情报收集、数据处理、恶意代码分析、网络流量解析、线索挖掘拓展，为威胁分析提供了强大的基础数据、威胁研判支撑。</w:t>
      </w:r>
    </w:p>
    <w:p>
      <w:pPr>
        <w:pStyle w:val="29"/>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热点情报预警服务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提供热点情报预警服务，内容包括漏洞安全预警通告、安全热点周报、月度安全通告。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海量的安全事件提炼最受关注的热门威胁事件，如漏洞、恶意样本、数据泄露事件等，提供深度分析并结合内外的情报数据进行高效的关联分析，对未知威胁进行预测，例如IP情报（扫描IP、僵尸网络、垃圾邮件服务、恶意IP等）、URL情报（钓鱼、欺诈、篡改、挂马等）、漏洞、文件等并进行内部资产或者量关联分析，形成近期热点安全事件列表。</w:t>
      </w:r>
    </w:p>
    <w:p>
      <w:pPr>
        <w:pStyle w:val="29"/>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安全指数发布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综合安全事件、威胁感知、情报预警等情况，结合各单位、各县（市、区）情况，编制台州市</w:t>
      </w:r>
      <w:r>
        <w:rPr>
          <w:rFonts w:hint="eastAsia" w:ascii="宋体" w:hAnsi="宋体" w:cs="宋体"/>
          <w:sz w:val="24"/>
          <w:szCs w:val="24"/>
          <w:lang w:eastAsia="zh-CN"/>
        </w:rPr>
        <w:t>政务外网</w:t>
      </w:r>
      <w:r>
        <w:rPr>
          <w:rFonts w:hint="eastAsia" w:ascii="宋体" w:hAnsi="宋体" w:eastAsia="宋体" w:cs="宋体"/>
          <w:sz w:val="24"/>
          <w:szCs w:val="24"/>
        </w:rPr>
        <w:t>综合安全指数和地区安全指数。</w:t>
      </w:r>
    </w:p>
    <w:p>
      <w:pPr>
        <w:pStyle w:val="29"/>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6安全报告及制度编制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关安全服务商需要对台州市电子政务外网安全运营工作定期出具安全监测分析报告，对发现的问题和采取的措施进行说明，分析存在的问题和改进的措施。配合台州大数据局进行安全制度的编写，安全制度要求具备可执行性。</w:t>
      </w:r>
    </w:p>
    <w:p>
      <w:pPr>
        <w:pStyle w:val="29"/>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7安全策略制定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综合安全事件、安全威胁、安全情报等内容，结合台州市现有的网络安全防御情况，提出网络安全防范措施，定期制定网络安全策略。网络安全策略需要具有指导性、针对性和可实施性。</w:t>
      </w:r>
    </w:p>
    <w:p>
      <w:pPr>
        <w:pStyle w:val="4"/>
        <w:numPr>
          <w:ilvl w:val="0"/>
          <w:numId w:val="0"/>
        </w:numPr>
        <w:spacing w:line="360" w:lineRule="auto"/>
        <w:ind w:right="25" w:rightChars="0"/>
        <w:jc w:val="both"/>
        <w:rPr>
          <w:rFonts w:hint="eastAsia" w:ascii="宋体" w:hAnsi="宋体" w:eastAsia="宋体" w:cs="宋体"/>
          <w:sz w:val="24"/>
          <w:szCs w:val="24"/>
        </w:rPr>
      </w:pPr>
      <w:bookmarkStart w:id="71" w:name="_Toc128762281"/>
      <w:r>
        <w:rPr>
          <w:rFonts w:hint="eastAsia" w:ascii="宋体" w:hAnsi="宋体" w:eastAsia="宋体" w:cs="宋体"/>
          <w:sz w:val="24"/>
          <w:szCs w:val="24"/>
          <w:lang w:val="en-US" w:eastAsia="zh-CN"/>
        </w:rPr>
        <w:t>3.</w:t>
      </w:r>
      <w:r>
        <w:rPr>
          <w:rFonts w:hint="eastAsia" w:ascii="宋体" w:hAnsi="宋体" w:eastAsia="宋体" w:cs="宋体"/>
          <w:sz w:val="24"/>
          <w:szCs w:val="24"/>
        </w:rPr>
        <w:t>系统对接服务</w:t>
      </w:r>
      <w:bookmarkEnd w:id="7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要求实现与浙江省政务外网安全监管平台和台州市网络安全协调指挥平台的对接。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出数据对接共享标准，包括频率要求等，县市区系统管辖范围内的网络基础数据，包括单位组织信息、硬件设备信息、网站/系统信息、IP信息。系统应在本地新增基础数据或更新基础数据后同步将新增数据记录或含修改内容的数据记录上报给台州市级。同时县市区系统能根据市级级系统的上报基础信息的核验反馈指令，对存在异常的记录及时进行补正并重新上报。其中指令通道通过http方式下达，数据通道通过数据采集系统接入（kafka、sysolog等）。台州市网络安全运营平台根据要求，将相关数据共享给市委网信办网络安全协调指挥平台和浙江省政务外网安全监管平台，通过这种方式实现省、市相关系统对接。</w:t>
      </w:r>
    </w:p>
    <w:p>
      <w:pPr>
        <w:pStyle w:val="2"/>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与市委网信办网络安全协调指挥平台和浙江省政务外网安全监管平台对接的接口免费开放，由采购人负责相关接口的协调工作，接口上的技术问题由中标公司负责处理。</w:t>
      </w:r>
    </w:p>
    <w:p>
      <w:pPr>
        <w:pStyle w:val="29"/>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与浙江省安全监管平台对接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省电子政务外网安全监管平台系统包含了省级平台和地市级平台，省市系统之间需要数据传输，数据、流程对接暂定地市级平台向省级平台报送数据，分别为：流量元素数据、设备日志、资产数据、告警数据、威胁情报数据以及安全事件等，需要实现与浙江省平台需要按照《浙江省电子政务外网安全监管平台地市对接标准规范》进行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数据传递流程如下：</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3756660" cy="2042160"/>
            <wp:effectExtent l="0" t="0" r="15240" b="15240"/>
            <wp:docPr id="5" name="图片 14" descr="1624805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162480532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756660" cy="2042160"/>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本次对接采用Kafka进行异步数据上报，由于本次对接涉及到不同类型数据，因此对各类型数据定义单独的topic。</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3.2</w:t>
      </w:r>
      <w:r>
        <w:rPr>
          <w:rFonts w:hint="eastAsia" w:ascii="宋体" w:hAnsi="宋体" w:eastAsia="宋体" w:cs="宋体"/>
          <w:b/>
          <w:bCs/>
          <w:sz w:val="24"/>
          <w:szCs w:val="24"/>
        </w:rPr>
        <w:t>与市委网信办网络安全协调指挥平台对接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台州市委网信办的网络安全协调指挥平台进行对接，将安全隐患与安全事件传送给台州市委网信办网络安全协调指挥平台进行安全隐患与安全事件的通报预警，通报的内容包括：对各委办局的安全评估通报、对突发事件的通报、对专项威胁与事件的通报和综合定期通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获取台州市委网信办网络安全协调指挥平台回传的网络事件处置结果数据并进行展示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情报共享协同：提供订阅威胁情报功能，按照行业、IP、域名、区域等订阅内容，并能推送告警通知。同时能够提供通过WEB接口、Syslog、API等方式进行情报分发共享。</w:t>
      </w:r>
    </w:p>
    <w:p>
      <w:pPr>
        <w:autoSpaceDE w:val="0"/>
        <w:autoSpaceDN w:val="0"/>
        <w:adjustRightInd w:val="0"/>
        <w:spacing w:line="360" w:lineRule="auto"/>
        <w:ind w:right="23"/>
        <w:outlineLvl w:val="0"/>
        <w:rPr>
          <w:rFonts w:hint="eastAsia" w:ascii="宋体" w:hAnsi="宋体" w:eastAsia="宋体" w:cs="宋体"/>
          <w:b/>
          <w:kern w:val="0"/>
          <w:sz w:val="24"/>
          <w:szCs w:val="24"/>
        </w:rPr>
        <w:sectPr>
          <w:footerReference r:id="rId4" w:type="first"/>
          <w:footerReference r:id="rId3" w:type="default"/>
          <w:pgSz w:w="11906" w:h="16838"/>
          <w:pgMar w:top="1588" w:right="1797" w:bottom="1304" w:left="1797" w:header="851" w:footer="992" w:gutter="0"/>
          <w:cols w:space="720" w:num="1"/>
          <w:titlePg/>
          <w:docGrid w:type="lines" w:linePitch="312" w:charSpace="0"/>
        </w:sectPr>
      </w:pPr>
    </w:p>
    <w:p>
      <w:pPr>
        <w:numPr>
          <w:ilvl w:val="0"/>
          <w:numId w:val="0"/>
        </w:numPr>
        <w:autoSpaceDE w:val="0"/>
        <w:autoSpaceDN w:val="0"/>
        <w:adjustRightInd w:val="0"/>
        <w:spacing w:line="360" w:lineRule="auto"/>
        <w:ind w:right="23" w:rightChars="0"/>
        <w:jc w:val="both"/>
        <w:outlineLvl w:val="0"/>
        <w:rPr>
          <w:rFonts w:hint="eastAsia" w:ascii="宋体" w:hAnsi="宋体" w:eastAsia="宋体" w:cs="宋体"/>
          <w:b/>
          <w:kern w:val="0"/>
          <w:sz w:val="24"/>
          <w:szCs w:val="24"/>
        </w:rPr>
      </w:pP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 xml:space="preserve"> </w:t>
      </w:r>
      <w:bookmarkStart w:id="72" w:name="_Toc128762282"/>
      <w:r>
        <w:rPr>
          <w:rFonts w:hint="eastAsia" w:ascii="宋体" w:hAnsi="宋体" w:eastAsia="宋体" w:cs="宋体"/>
          <w:b/>
          <w:kern w:val="0"/>
          <w:sz w:val="24"/>
          <w:szCs w:val="24"/>
        </w:rPr>
        <w:t>技术指标要求</w:t>
      </w:r>
      <w:bookmarkEnd w:id="72"/>
    </w:p>
    <w:p>
      <w:pPr>
        <w:pStyle w:val="4"/>
        <w:numPr>
          <w:ilvl w:val="0"/>
          <w:numId w:val="0"/>
        </w:numPr>
        <w:spacing w:line="360" w:lineRule="auto"/>
        <w:ind w:right="25" w:rightChars="0"/>
        <w:jc w:val="both"/>
        <w:rPr>
          <w:rFonts w:hint="eastAsia" w:ascii="宋体" w:hAnsi="宋体" w:eastAsia="宋体" w:cs="宋体"/>
          <w:sz w:val="24"/>
          <w:szCs w:val="24"/>
        </w:rPr>
      </w:pPr>
      <w:bookmarkStart w:id="73" w:name="_Toc128762283"/>
      <w:r>
        <w:rPr>
          <w:rFonts w:hint="eastAsia" w:ascii="宋体" w:hAnsi="宋体" w:eastAsia="宋体" w:cs="宋体"/>
          <w:sz w:val="24"/>
          <w:szCs w:val="24"/>
          <w:lang w:val="en-US" w:eastAsia="zh-CN"/>
        </w:rPr>
        <w:t>1.</w:t>
      </w:r>
      <w:r>
        <w:rPr>
          <w:rFonts w:hint="eastAsia" w:ascii="宋体" w:hAnsi="宋体" w:eastAsia="宋体" w:cs="宋体"/>
          <w:sz w:val="24"/>
          <w:szCs w:val="24"/>
        </w:rPr>
        <w:t>安全数据运营系统</w:t>
      </w:r>
      <w:bookmarkEnd w:id="73"/>
    </w:p>
    <w:tbl>
      <w:tblPr>
        <w:tblStyle w:val="22"/>
        <w:tblW w:w="9059" w:type="dxa"/>
        <w:tblInd w:w="96" w:type="dxa"/>
        <w:tblLayout w:type="fixed"/>
        <w:tblCellMar>
          <w:top w:w="0" w:type="dxa"/>
          <w:left w:w="108" w:type="dxa"/>
          <w:bottom w:w="0" w:type="dxa"/>
          <w:right w:w="108" w:type="dxa"/>
        </w:tblCellMar>
      </w:tblPr>
      <w:tblGrid>
        <w:gridCol w:w="1173"/>
        <w:gridCol w:w="1850"/>
        <w:gridCol w:w="6036"/>
      </w:tblGrid>
      <w:tr>
        <w:tblPrEx>
          <w:tblCellMar>
            <w:top w:w="0" w:type="dxa"/>
            <w:left w:w="108" w:type="dxa"/>
            <w:bottom w:w="0" w:type="dxa"/>
            <w:right w:w="108" w:type="dxa"/>
          </w:tblCellMar>
        </w:tblPrEx>
        <w:trPr>
          <w:trHeight w:val="28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E2EFDA"/>
            <w:vAlign w:val="bottom"/>
          </w:tcPr>
          <w:p>
            <w:pPr>
              <w:widowControl/>
              <w:spacing w:line="360" w:lineRule="auto"/>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指标能力</w:t>
            </w:r>
          </w:p>
        </w:tc>
        <w:tc>
          <w:tcPr>
            <w:tcW w:w="1850" w:type="dxa"/>
            <w:tcBorders>
              <w:top w:val="single" w:color="000000" w:sz="4" w:space="0"/>
              <w:left w:val="single" w:color="000000" w:sz="4" w:space="0"/>
              <w:bottom w:val="single" w:color="000000" w:sz="4" w:space="0"/>
              <w:right w:val="single" w:color="000000" w:sz="4" w:space="0"/>
            </w:tcBorders>
            <w:shd w:val="clear" w:color="auto" w:fill="E2EFDA"/>
            <w:vAlign w:val="bottom"/>
          </w:tcPr>
          <w:p>
            <w:pPr>
              <w:widowControl/>
              <w:spacing w:line="360" w:lineRule="auto"/>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指标项目</w:t>
            </w:r>
          </w:p>
        </w:tc>
        <w:tc>
          <w:tcPr>
            <w:tcW w:w="6036" w:type="dxa"/>
            <w:tcBorders>
              <w:top w:val="single" w:color="000000" w:sz="4" w:space="0"/>
              <w:left w:val="single" w:color="000000" w:sz="4" w:space="0"/>
              <w:bottom w:val="single" w:color="000000" w:sz="4" w:space="0"/>
              <w:right w:val="single" w:color="000000" w:sz="4" w:space="0"/>
            </w:tcBorders>
            <w:shd w:val="clear" w:color="auto" w:fill="E2EFDA"/>
            <w:vAlign w:val="bottom"/>
          </w:tcPr>
          <w:p>
            <w:pPr>
              <w:widowControl/>
              <w:spacing w:line="360" w:lineRule="auto"/>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指标要求</w:t>
            </w:r>
          </w:p>
        </w:tc>
      </w:tr>
      <w:tr>
        <w:tblPrEx>
          <w:tblCellMar>
            <w:top w:w="0" w:type="dxa"/>
            <w:left w:w="108" w:type="dxa"/>
            <w:bottom w:w="0" w:type="dxa"/>
            <w:right w:w="108" w:type="dxa"/>
          </w:tblCellMar>
        </w:tblPrEx>
        <w:trPr>
          <w:trHeight w:val="576" w:hRule="atLeast"/>
        </w:trPr>
        <w:tc>
          <w:tcPr>
            <w:tcW w:w="1173" w:type="dxa"/>
            <w:vMerge w:val="restart"/>
            <w:tcBorders>
              <w:top w:val="single" w:color="000000" w:sz="4" w:space="0"/>
              <w:left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安全指数管理</w:t>
            </w:r>
          </w:p>
        </w:tc>
        <w:tc>
          <w:tcPr>
            <w:tcW w:w="1850"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安全指数发布</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结合各单位、各县（市、区）情况，编制台州市政务外网网络综合安全指数，发布市级部门及县市区安全指数。</w:t>
            </w:r>
          </w:p>
        </w:tc>
      </w:tr>
      <w:tr>
        <w:tblPrEx>
          <w:tblCellMar>
            <w:top w:w="0" w:type="dxa"/>
            <w:left w:w="108" w:type="dxa"/>
            <w:bottom w:w="0" w:type="dxa"/>
            <w:right w:w="108" w:type="dxa"/>
          </w:tblCellMar>
        </w:tblPrEx>
        <w:trPr>
          <w:trHeight w:val="576" w:hRule="atLeast"/>
        </w:trPr>
        <w:tc>
          <w:tcPr>
            <w:tcW w:w="1173" w:type="dxa"/>
            <w:vMerge w:val="continue"/>
            <w:tcBorders>
              <w:left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21"/>
                <w:szCs w:val="21"/>
              </w:rPr>
            </w:pPr>
          </w:p>
        </w:tc>
        <w:tc>
          <w:tcPr>
            <w:tcW w:w="1850" w:type="dxa"/>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自定义指数，系统支持基于安全状况定义指标，和用户可自定义评估指标两种模式；</w:t>
            </w:r>
          </w:p>
        </w:tc>
      </w:tr>
      <w:tr>
        <w:tblPrEx>
          <w:tblCellMar>
            <w:top w:w="0" w:type="dxa"/>
            <w:left w:w="108" w:type="dxa"/>
            <w:bottom w:w="0" w:type="dxa"/>
            <w:right w:w="108" w:type="dxa"/>
          </w:tblCellMar>
        </w:tblPrEx>
        <w:trPr>
          <w:trHeight w:val="576" w:hRule="atLeast"/>
        </w:trPr>
        <w:tc>
          <w:tcPr>
            <w:tcW w:w="1173" w:type="dxa"/>
            <w:vMerge w:val="continue"/>
            <w:tcBorders>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p>
        </w:tc>
        <w:tc>
          <w:tcPr>
            <w:tcW w:w="185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评分任务调度</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基于设计的安全指数定义评分项目，并下发基于安全指数的评估项目；系统可自定义评估对象与评估频率；</w:t>
            </w:r>
          </w:p>
        </w:tc>
      </w:tr>
      <w:tr>
        <w:tblPrEx>
          <w:tblCellMar>
            <w:top w:w="0" w:type="dxa"/>
            <w:left w:w="108" w:type="dxa"/>
            <w:bottom w:w="0" w:type="dxa"/>
            <w:right w:w="108" w:type="dxa"/>
          </w:tblCellMar>
        </w:tblPrEx>
        <w:trPr>
          <w:trHeight w:val="576" w:hRule="atLeast"/>
        </w:trPr>
        <w:tc>
          <w:tcPr>
            <w:tcW w:w="1173" w:type="dxa"/>
            <w:tcBorders>
              <w:top w:val="single" w:color="auto"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数据仓展示</w:t>
            </w:r>
          </w:p>
        </w:tc>
        <w:tc>
          <w:tcPr>
            <w:tcW w:w="185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数据仓展示</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将丰富、多样的安全数据资源通过资产盘点进行资产的定义，并进行资产的分类梳理，形成数据仓展示界面，充分摸清安全数据家底，能够直观的展现安全数据资产整体情况，帮助持续不断的提升和挖掘安全数据的应用价值。支持安全数据仓资产、安全数据归集情况、安全数据治理等安全数据资产的统计呈现，实现对安全数据资产的轻松全盘掌握。具备安全数据仓数据分层分类统计呈现，包括原始库、成果库、主题库等各种维度的全盘呈现，掌握安全数据资产在安全数据仓中的来龙去脉。</w:t>
            </w:r>
          </w:p>
        </w:tc>
      </w:tr>
      <w:tr>
        <w:tblPrEx>
          <w:tblCellMar>
            <w:top w:w="0" w:type="dxa"/>
            <w:left w:w="108" w:type="dxa"/>
            <w:bottom w:w="0" w:type="dxa"/>
            <w:right w:w="108" w:type="dxa"/>
          </w:tblCellMar>
        </w:tblPrEx>
        <w:trPr>
          <w:trHeight w:val="864" w:hRule="atLeast"/>
        </w:trPr>
        <w:tc>
          <w:tcPr>
            <w:tcW w:w="1173" w:type="dxa"/>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运营流程管理</w:t>
            </w:r>
          </w:p>
        </w:tc>
        <w:tc>
          <w:tcPr>
            <w:tcW w:w="1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安全运营流程自定义</w:t>
            </w:r>
          </w:p>
        </w:tc>
        <w:tc>
          <w:tcPr>
            <w:tcW w:w="6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可通过安全运营工具，创建安全运营流程用以辅助日常安全运营工作，如：资源申请、公文下发等。（需提供软件界面截图等证明材料）</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rPr>
              <w:t>支持针对用户安全运营业务流程，可进行图形化的方式进行自定义工单流程（至少包含录入节点和审批节点），并可以根据业务不同内容进行工单的自定义；灵活的表单配置能力；支持自定义控件，包括：基础字段：单行文本、多行文本、日期、附件、单项选择、多项选择、下拉菜单、富文本、表格、高级字段：组织架构、选择人员、选择告警、选择脆弱性、选择资产、选择动作、选择剧本、脆弱性状态、告警状态、资产属性审核、资产入库审核等。</w:t>
            </w:r>
          </w:p>
        </w:tc>
      </w:tr>
      <w:tr>
        <w:tblPrEx>
          <w:tblCellMar>
            <w:top w:w="0" w:type="dxa"/>
            <w:left w:w="108" w:type="dxa"/>
            <w:bottom w:w="0" w:type="dxa"/>
            <w:right w:w="108" w:type="dxa"/>
          </w:tblCellMar>
        </w:tblPrEx>
        <w:trPr>
          <w:trHeight w:val="324" w:hRule="atLeast"/>
        </w:trPr>
        <w:tc>
          <w:tcPr>
            <w:tcW w:w="117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rPr>
              <w:t>工单支持多种附件类型，满足各流程节点的推动所需的相关信息，提供多种附件类型的支持与限制，包括:文档、图片、压缩包；单流程节点不小于上传10个附件的能力。</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rPr>
              <w:t>支持结合用户工单流转情况进行统一展示，包括工单总数、流转中、超时工单、责任人超时工单TOP5、超时工单TOP5、已结束工单、已撤销工单等。</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工单支撑考核</w:t>
            </w:r>
          </w:p>
        </w:tc>
        <w:tc>
          <w:tcPr>
            <w:tcW w:w="6036"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支持基于运营管理过程的流程工单闭环情况，进行对应的评分的记分统计，包括工单完成情况、待处理超时工单等维度；</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安全运营流程节点自定义</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可对新增或已有的安全运营流程各个节点进行新增、删减、顺序调整等操作，匹配安全运营流程节点中各个组织、责任人的加签、处置、跳转等场景。（需提供软件界面截图等证明材料）</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公共字段自定义</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可对各安全运营流程节点的公共字段（内容）进行调整，如：名称、内容、通知放、抄送方、附件添加、建议、评价等，满足各流程节点的推动所需的相关信息。</w:t>
            </w:r>
          </w:p>
        </w:tc>
      </w:tr>
      <w:tr>
        <w:tblPrEx>
          <w:tblCellMar>
            <w:top w:w="0" w:type="dxa"/>
            <w:left w:w="108" w:type="dxa"/>
            <w:bottom w:w="0" w:type="dxa"/>
            <w:right w:w="108" w:type="dxa"/>
          </w:tblCellMar>
        </w:tblPrEx>
        <w:trPr>
          <w:trHeight w:val="576" w:hRule="atLeast"/>
        </w:trPr>
        <w:tc>
          <w:tcPr>
            <w:tcW w:w="117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工单任务下发</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监测的各类网络安全隐患及事件、通报反馈情况、整改情况及处罚情况可以支持</w:t>
            </w:r>
            <w:r>
              <w:rPr>
                <w:rFonts w:hint="eastAsia" w:ascii="宋体" w:hAnsi="宋体" w:cs="宋体"/>
                <w:color w:val="000000"/>
                <w:kern w:val="0"/>
                <w:sz w:val="21"/>
                <w:szCs w:val="21"/>
                <w:lang w:eastAsia="zh-CN" w:bidi="ar"/>
              </w:rPr>
              <w:t>浙政钉</w:t>
            </w:r>
            <w:r>
              <w:rPr>
                <w:rFonts w:hint="eastAsia" w:ascii="宋体" w:hAnsi="宋体" w:eastAsia="宋体" w:cs="宋体"/>
                <w:color w:val="000000"/>
                <w:kern w:val="0"/>
                <w:sz w:val="21"/>
                <w:szCs w:val="21"/>
                <w:lang w:bidi="ar"/>
              </w:rPr>
              <w:t>客户端、短信、邮件等通报通知方式</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可与第三方工单系统进行集成对接，将监测的各类网络安全隐患及事件、通报反馈情况、整改情况及处罚情况形成工单模版，下发到相关责任单位。</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消息通知</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通过浙政钉支持查看所辖区域内安全事件发生情况，可查看事件详细信息。字段包括事件名称、事件类型、事件发现时间、处置状态等信息</w:t>
            </w:r>
          </w:p>
        </w:tc>
      </w:tr>
      <w:tr>
        <w:tblPrEx>
          <w:tblCellMar>
            <w:top w:w="0" w:type="dxa"/>
            <w:left w:w="108" w:type="dxa"/>
            <w:bottom w:w="0" w:type="dxa"/>
            <w:right w:w="108" w:type="dxa"/>
          </w:tblCellMar>
        </w:tblPrEx>
        <w:trPr>
          <w:trHeight w:val="864" w:hRule="atLeast"/>
        </w:trPr>
        <w:tc>
          <w:tcPr>
            <w:tcW w:w="1173" w:type="dxa"/>
            <w:vMerge w:val="restart"/>
            <w:tcBorders>
              <w:left w:val="single" w:color="auto" w:sz="4" w:space="0"/>
              <w:bottom w:val="single" w:color="000000" w:sz="4" w:space="0"/>
              <w:right w:val="single" w:color="auto" w:sz="4" w:space="0"/>
            </w:tcBorders>
            <w:noWrap/>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联动处置</w:t>
            </w:r>
          </w:p>
        </w:tc>
        <w:tc>
          <w:tcPr>
            <w:tcW w:w="1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自动化风险处置编排</w:t>
            </w:r>
          </w:p>
        </w:tc>
        <w:tc>
          <w:tcPr>
            <w:tcW w:w="6036" w:type="dxa"/>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自动化风险处置编排流程，不同类型安全事件的分析处置响应流程，平台管理员可自定义安全编排剧本。</w:t>
            </w:r>
          </w:p>
        </w:tc>
      </w:tr>
      <w:tr>
        <w:tblPrEx>
          <w:tblCellMar>
            <w:top w:w="0" w:type="dxa"/>
            <w:left w:w="108" w:type="dxa"/>
            <w:bottom w:w="0" w:type="dxa"/>
            <w:right w:w="108" w:type="dxa"/>
          </w:tblCellMar>
        </w:tblPrEx>
        <w:trPr>
          <w:trHeight w:val="764" w:hRule="atLeast"/>
        </w:trPr>
        <w:tc>
          <w:tcPr>
            <w:tcW w:w="1173" w:type="dxa"/>
            <w:vMerge w:val="continue"/>
            <w:tcBorders>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bidi="ar"/>
              </w:rPr>
              <w:t>可通过类似Visio的拖拽方式灵活自定义编排威胁的响应处置流程。</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★支持灵活自定义编排威胁的响应处置流程，并支持多种执行节点包括：动作调度、剧本应用、决策器、过滤器、人工审批、人工录入、并行分支等必要的关键节点。</w:t>
            </w:r>
            <w:r>
              <w:rPr>
                <w:rFonts w:hint="eastAsia" w:ascii="宋体" w:hAnsi="宋体" w:eastAsia="宋体" w:cs="宋体"/>
                <w:kern w:val="0"/>
                <w:sz w:val="21"/>
                <w:szCs w:val="21"/>
                <w:lang w:bidi="ar"/>
              </w:rPr>
              <w:t>（需提供软件界面截图等证明材料）</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在自动化安全响应中，可基于事件主体类型（攻击源、账号、目标资产、域名等）、风险等级、安全威胁场景、安全规则等定制联动指挥场景全自动调用剧本；可基于满足某个数据过滤条件周期性执行剧本；</w:t>
            </w:r>
            <w:r>
              <w:rPr>
                <w:rFonts w:hint="eastAsia" w:ascii="宋体" w:hAnsi="宋体" w:eastAsia="宋体" w:cs="宋体"/>
                <w:color w:val="000000"/>
                <w:kern w:val="0"/>
                <w:sz w:val="21"/>
                <w:szCs w:val="21"/>
                <w:lang w:bidi="ar"/>
              </w:rPr>
              <w:t>（需提供软件界面截图等证明材料）</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联动支持台州大数据局现网已有的安全设备，包括：2台政务外网出口防火墙和4台政务云出口防火墙等设备的安全策略下发；</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流程处置剧本</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可设置不少于50个自动化处置的playbook剧本的运行能力，能够在部分安全场景下实现自动化或半自动化的对威胁进处置。</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能够新建剧本并关联事件，提供手动执行和自动执行触发剧本执行，具备动作、过滤、决策、文本、人工介入审批等，可通过图形拖拽连线形成完整事件处置流程剧本。支持and、or、not、==、！=、in、not in、&gt;、&gt;=、&lt;、&lt;=、else if、纯文本等方式添加过滤规则。</w:t>
            </w:r>
          </w:p>
        </w:tc>
      </w:tr>
      <w:tr>
        <w:tblPrEx>
          <w:tblCellMar>
            <w:top w:w="0" w:type="dxa"/>
            <w:left w:w="108" w:type="dxa"/>
            <w:bottom w:w="0" w:type="dxa"/>
            <w:right w:w="108" w:type="dxa"/>
          </w:tblCellMar>
        </w:tblPrEx>
        <w:trPr>
          <w:trHeight w:val="416" w:hRule="atLeast"/>
        </w:trPr>
        <w:tc>
          <w:tcPr>
            <w:tcW w:w="1173" w:type="dxa"/>
            <w:vMerge w:val="continue"/>
            <w:tcBorders>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告警联动处置</w:t>
            </w:r>
          </w:p>
        </w:tc>
        <w:tc>
          <w:tcPr>
            <w:tcW w:w="6036" w:type="dxa"/>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bidi="ar"/>
              </w:rPr>
              <w:t>支持文件、邮件、勒索、挖矿相关安全事件专项页面展示，且所有专项告警支持直接进行联动处置，联动处置支持自动调用内置处置策略模板，也支持自动化编排的自定义处置流程策略。</w:t>
            </w:r>
          </w:p>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（需提供截图打印加盖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w:t>
            </w:r>
          </w:p>
        </w:tc>
      </w:tr>
      <w:tr>
        <w:tblPrEx>
          <w:tblCellMar>
            <w:top w:w="0" w:type="dxa"/>
            <w:left w:w="108" w:type="dxa"/>
            <w:bottom w:w="0" w:type="dxa"/>
            <w:right w:w="108" w:type="dxa"/>
          </w:tblCellMar>
        </w:tblPrEx>
        <w:trPr>
          <w:trHeight w:val="864" w:hRule="atLeast"/>
        </w:trPr>
        <w:tc>
          <w:tcPr>
            <w:tcW w:w="1173" w:type="dxa"/>
            <w:vMerge w:val="continue"/>
            <w:tcBorders>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自动化编排</w:t>
            </w:r>
          </w:p>
        </w:tc>
        <w:tc>
          <w:tcPr>
            <w:tcW w:w="6036" w:type="dxa"/>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同时支持自动化编排的自定义处置流程策略的设置，灵活剧本设置，融入事件自动处置流程，节省运维处置时间，根据客户实际需要对接所需同品牌或者第三方品牌安全设备进行安全事件处置。</w:t>
            </w:r>
          </w:p>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支持前端拖拽式交互设计安全风险分析研判策略和联动响应剧本，支持多种策略编排动作，包括但不限于数据源、分析组件、处置响应等，可自动判断策略编排是否合理并弹窗提示</w:t>
            </w:r>
          </w:p>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（提供界面截图并加盖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w:t>
            </w:r>
          </w:p>
        </w:tc>
      </w:tr>
      <w:tr>
        <w:tblPrEx>
          <w:tblCellMar>
            <w:top w:w="0" w:type="dxa"/>
            <w:left w:w="108" w:type="dxa"/>
            <w:bottom w:w="0" w:type="dxa"/>
            <w:right w:w="108" w:type="dxa"/>
          </w:tblCellMar>
        </w:tblPrEx>
        <w:trPr>
          <w:trHeight w:val="362" w:hRule="atLeast"/>
        </w:trPr>
        <w:tc>
          <w:tcPr>
            <w:tcW w:w="117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可视化分析</w:t>
            </w:r>
          </w:p>
        </w:tc>
        <w:tc>
          <w:tcPr>
            <w:tcW w:w="185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技术指标</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可连接多种数据源，包括但不限于MySQL ，Oracle，hive，MaxCompute，Hologres，Hbase；</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lang w:bidi="ar"/>
              </w:rPr>
              <w:t>内置10+可视化图表模板，可视化呈现数据。</w:t>
            </w:r>
          </w:p>
        </w:tc>
      </w:tr>
      <w:tr>
        <w:tblPrEx>
          <w:tblCellMar>
            <w:top w:w="0" w:type="dxa"/>
            <w:left w:w="108" w:type="dxa"/>
            <w:bottom w:w="0" w:type="dxa"/>
            <w:right w:w="108" w:type="dxa"/>
          </w:tblCellMar>
        </w:tblPrEx>
        <w:trPr>
          <w:trHeight w:val="864" w:hRule="atLeast"/>
        </w:trPr>
        <w:tc>
          <w:tcPr>
            <w:tcW w:w="1173" w:type="dxa"/>
            <w:tcBorders>
              <w:top w:val="single" w:color="000000"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安全报告及规范编制</w:t>
            </w:r>
          </w:p>
        </w:tc>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安全报告及规范编制</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相关安全服务商需要对台州市电子政务外网安全运营工作，定期出具安全监测分析报告，对发现的问题和采取的措施进行说明，分析存在的问题和改进的措施。支持综合安全风险、主机安全风险、脆弱性感知、外部感知、工单、摘要、处置报告多种方式呈现。</w:t>
            </w:r>
          </w:p>
        </w:tc>
      </w:tr>
      <w:tr>
        <w:tblPrEx>
          <w:tblCellMar>
            <w:top w:w="0" w:type="dxa"/>
            <w:left w:w="108" w:type="dxa"/>
            <w:bottom w:w="0" w:type="dxa"/>
            <w:right w:w="108" w:type="dxa"/>
          </w:tblCellMar>
        </w:tblPrEx>
        <w:trPr>
          <w:trHeight w:val="90" w:hRule="atLeast"/>
        </w:trPr>
        <w:tc>
          <w:tcPr>
            <w:tcW w:w="1173" w:type="dxa"/>
            <w:vMerge w:val="restart"/>
            <w:tcBorders>
              <w:top w:val="single" w:color="000000"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资产管理</w:t>
            </w:r>
          </w:p>
        </w:tc>
        <w:tc>
          <w:tcPr>
            <w:tcW w:w="1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资产信息管理</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支持通过对接资产探测发现设备资产，识别操作系统、开放的服务与端口、在线离线状态、资产类型等信息。支持资产维度包括IP地址、所属资产组、主机名、责任人、所属业务、MAC、地理位置、操作系统、服务与端口、最近上线</w:t>
            </w:r>
            <w:r>
              <w:rPr>
                <w:rFonts w:hint="eastAsia" w:ascii="宋体" w:hAnsi="宋体" w:eastAsia="宋体" w:cs="宋体"/>
                <w:sz w:val="21"/>
                <w:szCs w:val="21"/>
                <w:lang w:eastAsia="zh-Hans"/>
              </w:rPr>
              <w:t>时间</w:t>
            </w:r>
            <w:r>
              <w:rPr>
                <w:rFonts w:hint="eastAsia" w:ascii="宋体" w:hAnsi="宋体" w:eastAsia="宋体" w:cs="宋体"/>
                <w:sz w:val="21"/>
                <w:szCs w:val="21"/>
              </w:rPr>
              <w:t>等信息。（需提供截图证明并</w:t>
            </w:r>
            <w:r>
              <w:rPr>
                <w:rFonts w:hint="eastAsia" w:ascii="宋体" w:hAnsi="宋体" w:cs="宋体"/>
                <w:sz w:val="21"/>
                <w:szCs w:val="21"/>
                <w:lang w:eastAsia="zh-CN"/>
              </w:rPr>
              <w:t>加盖投标人公章</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864" w:hRule="atLeast"/>
        </w:trPr>
        <w:tc>
          <w:tcPr>
            <w:tcW w:w="1173"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资产指纹定义</w:t>
            </w:r>
          </w:p>
        </w:tc>
        <w:tc>
          <w:tcPr>
            <w:tcW w:w="60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支持基础信息、开放端口、风险信息、账号信息、应用软件信息、访问权限、硬件信息、数据来源维度进行资产信息展示。其中基础信息包括关联IP、设备信息、地理位置、资产责任人、操作系统、虚拟机、业务服务、自定义属性等维度。其中支持手动自定义属性的填报，支持定制更多属性信息进行填报。</w:t>
            </w:r>
          </w:p>
        </w:tc>
      </w:tr>
      <w:tr>
        <w:tblPrEx>
          <w:tblCellMar>
            <w:top w:w="0" w:type="dxa"/>
            <w:left w:w="108" w:type="dxa"/>
            <w:bottom w:w="0" w:type="dxa"/>
            <w:right w:w="108" w:type="dxa"/>
          </w:tblCellMar>
        </w:tblPrEx>
        <w:trPr>
          <w:trHeight w:val="527" w:hRule="atLeast"/>
        </w:trPr>
        <w:tc>
          <w:tcPr>
            <w:tcW w:w="1173"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资产识别</w:t>
            </w:r>
          </w:p>
        </w:tc>
        <w:tc>
          <w:tcPr>
            <w:tcW w:w="6036" w:type="dxa"/>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可识别并展示资产信息，识别IP地址、主机名、MAC地址、操作系统、资产类型、终端接入状态等信息</w:t>
            </w:r>
            <w:r>
              <w:rPr>
                <w:rFonts w:hint="eastAsia" w:ascii="宋体" w:hAnsi="宋体" w:eastAsia="宋体" w:cs="宋体"/>
                <w:kern w:val="0"/>
                <w:sz w:val="21"/>
                <w:szCs w:val="21"/>
                <w:lang w:eastAsia="zh-Hans" w:bidi="ar"/>
              </w:rPr>
              <w:t>。</w:t>
            </w:r>
          </w:p>
        </w:tc>
      </w:tr>
      <w:tr>
        <w:tblPrEx>
          <w:tblCellMar>
            <w:top w:w="0" w:type="dxa"/>
            <w:left w:w="108" w:type="dxa"/>
            <w:bottom w:w="0" w:type="dxa"/>
            <w:right w:w="108" w:type="dxa"/>
          </w:tblCellMar>
        </w:tblPrEx>
        <w:trPr>
          <w:trHeight w:val="864" w:hRule="atLeast"/>
        </w:trPr>
        <w:tc>
          <w:tcPr>
            <w:tcW w:w="1173"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资产总览</w:t>
            </w:r>
          </w:p>
        </w:tc>
        <w:tc>
          <w:tcPr>
            <w:tcW w:w="6036" w:type="dxa"/>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支持展示资产统计、资产来源、资产防护统计、Agent防护状态统计、资产互联网暴露、指纹信息、高风险应用软件统计、特殊账号TOP5统计、端口TOP5统计、应用软件TOP5统计、数据库TOP5统计。</w:t>
            </w:r>
          </w:p>
        </w:tc>
      </w:tr>
      <w:tr>
        <w:tblPrEx>
          <w:tblCellMar>
            <w:top w:w="0" w:type="dxa"/>
            <w:left w:w="108" w:type="dxa"/>
            <w:bottom w:w="0" w:type="dxa"/>
            <w:right w:w="108" w:type="dxa"/>
          </w:tblCellMar>
        </w:tblPrEx>
        <w:trPr>
          <w:trHeight w:val="1588" w:hRule="atLeast"/>
        </w:trPr>
        <w:tc>
          <w:tcPr>
            <w:tcW w:w="1173"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资产管理</w:t>
            </w:r>
          </w:p>
        </w:tc>
        <w:tc>
          <w:tcPr>
            <w:tcW w:w="6036" w:type="dxa"/>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支持以资产组视角、业务视角的纬度展示资产详细台账，</w:t>
            </w:r>
          </w:p>
          <w:p>
            <w:pPr>
              <w:widowControl/>
              <w:spacing w:line="360" w:lineRule="auto"/>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资产组支持自定义，支持新增、编辑、删除等操作，可配置资产组的基本信息、资产组范围（可自动识别IP属性）和资产责任人。</w:t>
            </w:r>
          </w:p>
          <w:p>
            <w:pPr>
              <w:widowControl/>
              <w:spacing w:line="360" w:lineRule="auto"/>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业务组支持自定义，支持新增、编辑、删除等操作，可配置业务名称、业务所属上级、业务的资产范围（支持以资产组的快速批量筛选和手动输入筛选）、责任人、重要级别和备注等。</w:t>
            </w:r>
          </w:p>
          <w:p>
            <w:pPr>
              <w:widowControl/>
              <w:spacing w:line="360" w:lineRule="auto"/>
              <w:textAlignment w:val="top"/>
              <w:rPr>
                <w:rFonts w:hint="eastAsia" w:ascii="宋体" w:hAnsi="宋体" w:eastAsia="宋体" w:cs="宋体"/>
                <w:b/>
                <w:kern w:val="0"/>
                <w:sz w:val="21"/>
                <w:szCs w:val="21"/>
                <w:lang w:bidi="ar"/>
              </w:rPr>
            </w:pPr>
            <w:r>
              <w:rPr>
                <w:rFonts w:hint="eastAsia" w:ascii="宋体" w:hAnsi="宋体" w:eastAsia="宋体" w:cs="宋体"/>
                <w:kern w:val="0"/>
                <w:sz w:val="21"/>
                <w:szCs w:val="21"/>
                <w:lang w:bidi="ar"/>
              </w:rPr>
              <w:t>支持资产的高级筛选功能，内置的筛选条件，包括资产类型、终端接入状态、数据源、操作系统、资产重要性、标签、首次发现时间、最近更新时间等，并支持手动输入IP/资产ID/主机名/资产名称/MAC地址/责任人，进行精确搜索</w:t>
            </w:r>
          </w:p>
        </w:tc>
      </w:tr>
      <w:tr>
        <w:tblPrEx>
          <w:tblCellMar>
            <w:top w:w="0" w:type="dxa"/>
            <w:left w:w="108" w:type="dxa"/>
            <w:bottom w:w="0" w:type="dxa"/>
            <w:right w:w="108" w:type="dxa"/>
          </w:tblCellMar>
        </w:tblPrEx>
        <w:trPr>
          <w:trHeight w:val="864" w:hRule="atLeast"/>
        </w:trPr>
        <w:tc>
          <w:tcPr>
            <w:tcW w:w="1173" w:type="dxa"/>
            <w:vMerge w:val="continue"/>
            <w:tcBorders>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1"/>
                <w:szCs w:val="21"/>
              </w:rPr>
            </w:pPr>
          </w:p>
        </w:tc>
        <w:tc>
          <w:tcPr>
            <w:tcW w:w="185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资产详情</w:t>
            </w:r>
          </w:p>
        </w:tc>
        <w:tc>
          <w:tcPr>
            <w:tcW w:w="6036" w:type="dxa"/>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支持展示资产基础信息、关联IP、</w:t>
            </w:r>
            <w:r>
              <w:rPr>
                <w:rFonts w:hint="eastAsia" w:ascii="宋体" w:hAnsi="宋体" w:eastAsia="宋体" w:cs="宋体"/>
                <w:kern w:val="0"/>
                <w:sz w:val="21"/>
                <w:szCs w:val="21"/>
                <w:lang w:eastAsia="zh-Hans" w:bidi="ar"/>
              </w:rPr>
              <w:t>操作系统、</w:t>
            </w:r>
            <w:r>
              <w:rPr>
                <w:rFonts w:hint="eastAsia" w:ascii="宋体" w:hAnsi="宋体" w:eastAsia="宋体" w:cs="宋体"/>
                <w:kern w:val="0"/>
                <w:sz w:val="21"/>
                <w:szCs w:val="21"/>
                <w:lang w:bidi="ar"/>
              </w:rPr>
              <w:t>设备信息、地理位置、资产责任人；</w:t>
            </w:r>
          </w:p>
          <w:p>
            <w:pPr>
              <w:widowControl/>
              <w:spacing w:line="360" w:lineRule="auto"/>
              <w:textAlignment w:val="top"/>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支持展示资产指纹包括、开放端口、应用资产、web资产、账号信息、运行进程。</w:t>
            </w:r>
          </w:p>
          <w:p>
            <w:pPr>
              <w:widowControl/>
              <w:spacing w:line="360" w:lineRule="auto"/>
              <w:textAlignment w:val="top"/>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支持展示硬件信息包括CPU、内存、硬盘、分区、主板、网卡。</w:t>
            </w:r>
          </w:p>
          <w:p>
            <w:pPr>
              <w:widowControl/>
              <w:spacing w:line="360" w:lineRule="auto"/>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eastAsia="zh-Hans" w:bidi="ar"/>
              </w:rPr>
              <w:t>支持展示数据来源。</w:t>
            </w:r>
          </w:p>
        </w:tc>
      </w:tr>
    </w:tbl>
    <w:p>
      <w:pPr>
        <w:spacing w:line="360" w:lineRule="auto"/>
        <w:rPr>
          <w:rFonts w:hint="eastAsia" w:ascii="宋体" w:hAnsi="宋体" w:eastAsia="宋体" w:cs="宋体"/>
          <w:sz w:val="24"/>
          <w:szCs w:val="24"/>
        </w:rPr>
      </w:pPr>
    </w:p>
    <w:p>
      <w:pPr>
        <w:pStyle w:val="4"/>
        <w:numPr>
          <w:ilvl w:val="0"/>
          <w:numId w:val="0"/>
        </w:numPr>
        <w:spacing w:line="360" w:lineRule="auto"/>
        <w:ind w:right="25" w:rightChars="0"/>
        <w:jc w:val="both"/>
        <w:rPr>
          <w:rFonts w:hint="eastAsia" w:ascii="宋体" w:hAnsi="宋体" w:eastAsia="宋体" w:cs="宋体"/>
          <w:sz w:val="24"/>
          <w:szCs w:val="24"/>
        </w:rPr>
      </w:pPr>
      <w:bookmarkStart w:id="74" w:name="_Toc128762284"/>
      <w:r>
        <w:rPr>
          <w:rFonts w:hint="eastAsia" w:ascii="宋体" w:hAnsi="宋体" w:eastAsia="宋体" w:cs="宋体"/>
          <w:sz w:val="24"/>
          <w:szCs w:val="24"/>
          <w:lang w:val="en-US" w:eastAsia="zh-CN"/>
        </w:rPr>
        <w:t>2.</w:t>
      </w:r>
      <w:r>
        <w:rPr>
          <w:rFonts w:hint="eastAsia" w:ascii="宋体" w:hAnsi="宋体" w:eastAsia="宋体" w:cs="宋体"/>
          <w:sz w:val="24"/>
          <w:szCs w:val="24"/>
        </w:rPr>
        <w:t>安全数据共享系统</w:t>
      </w:r>
      <w:bookmarkEnd w:id="74"/>
    </w:p>
    <w:tbl>
      <w:tblPr>
        <w:tblStyle w:val="22"/>
        <w:tblW w:w="9081" w:type="dxa"/>
        <w:tblInd w:w="96" w:type="dxa"/>
        <w:tblLayout w:type="fixed"/>
        <w:tblCellMar>
          <w:top w:w="0" w:type="dxa"/>
          <w:left w:w="108" w:type="dxa"/>
          <w:bottom w:w="0" w:type="dxa"/>
          <w:right w:w="108" w:type="dxa"/>
        </w:tblCellMar>
      </w:tblPr>
      <w:tblGrid>
        <w:gridCol w:w="1185"/>
        <w:gridCol w:w="1738"/>
        <w:gridCol w:w="6158"/>
        <w:tblGridChange w:id="0">
          <w:tblGrid>
            <w:gridCol w:w="1017"/>
            <w:gridCol w:w="168"/>
            <w:gridCol w:w="1738"/>
            <w:gridCol w:w="950"/>
            <w:gridCol w:w="4442"/>
            <w:gridCol w:w="766"/>
          </w:tblGrid>
        </w:tblGridChange>
      </w:tblGrid>
      <w:tr>
        <w:tblPrEx>
          <w:tblCellMar>
            <w:top w:w="0" w:type="dxa"/>
            <w:left w:w="108" w:type="dxa"/>
            <w:bottom w:w="0" w:type="dxa"/>
            <w:right w:w="108" w:type="dxa"/>
          </w:tblCellMar>
        </w:tblPrEx>
        <w:trPr>
          <w:trHeight w:val="288" w:hRule="atLeast"/>
        </w:trPr>
        <w:tc>
          <w:tcPr>
            <w:tcW w:w="1185" w:type="dxa"/>
            <w:tcBorders>
              <w:top w:val="single" w:color="000000" w:sz="4" w:space="0"/>
              <w:left w:val="single" w:color="000000" w:sz="4" w:space="0"/>
              <w:bottom w:val="single" w:color="000000" w:sz="4" w:space="0"/>
              <w:right w:val="single" w:color="000000" w:sz="4" w:space="0"/>
            </w:tcBorders>
            <w:shd w:val="clear" w:color="auto" w:fill="E2EFDA"/>
            <w:vAlign w:val="bottom"/>
          </w:tcPr>
          <w:p>
            <w:pPr>
              <w:widowControl/>
              <w:spacing w:line="360" w:lineRule="auto"/>
              <w:jc w:val="both"/>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指标能力</w:t>
            </w:r>
          </w:p>
        </w:tc>
        <w:tc>
          <w:tcPr>
            <w:tcW w:w="1738" w:type="dxa"/>
            <w:tcBorders>
              <w:top w:val="single" w:color="000000" w:sz="4" w:space="0"/>
              <w:left w:val="single" w:color="000000" w:sz="4" w:space="0"/>
              <w:bottom w:val="single" w:color="000000" w:sz="4" w:space="0"/>
              <w:right w:val="single" w:color="000000" w:sz="4" w:space="0"/>
            </w:tcBorders>
            <w:shd w:val="clear" w:color="auto" w:fill="E2EFDA"/>
            <w:vAlign w:val="bottom"/>
          </w:tcPr>
          <w:p>
            <w:pPr>
              <w:widowControl/>
              <w:spacing w:line="360" w:lineRule="auto"/>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指标项目</w:t>
            </w:r>
          </w:p>
        </w:tc>
        <w:tc>
          <w:tcPr>
            <w:tcW w:w="6158" w:type="dxa"/>
            <w:tcBorders>
              <w:top w:val="single" w:color="000000" w:sz="4" w:space="0"/>
              <w:left w:val="single" w:color="000000" w:sz="4" w:space="0"/>
              <w:bottom w:val="single" w:color="000000" w:sz="4" w:space="0"/>
              <w:right w:val="single" w:color="000000" w:sz="4" w:space="0"/>
            </w:tcBorders>
            <w:shd w:val="clear" w:color="auto" w:fill="E2EFDA"/>
            <w:vAlign w:val="bottom"/>
          </w:tcPr>
          <w:p>
            <w:pPr>
              <w:widowControl/>
              <w:spacing w:line="360" w:lineRule="auto"/>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指标要求</w:t>
            </w:r>
          </w:p>
        </w:tc>
      </w:tr>
      <w:tr>
        <w:tblPrEx>
          <w:tblCellMar>
            <w:top w:w="0" w:type="dxa"/>
            <w:left w:w="108" w:type="dxa"/>
            <w:bottom w:w="0" w:type="dxa"/>
            <w:right w:w="108" w:type="dxa"/>
          </w:tblCellMar>
        </w:tblPrEx>
        <w:trPr>
          <w:trHeight w:val="90" w:hRule="atLeast"/>
        </w:trPr>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安全数据采集模块</w:t>
            </w:r>
          </w:p>
        </w:tc>
        <w:tc>
          <w:tcPr>
            <w:tcW w:w="1738"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适配多种数据资源</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【流式数据接入】</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w:t>
            </w:r>
            <w:r>
              <w:rPr>
                <w:rFonts w:hint="eastAsia" w:ascii="宋体" w:hAnsi="宋体" w:eastAsia="宋体" w:cs="宋体"/>
                <w:color w:val="000000"/>
                <w:kern w:val="0"/>
                <w:sz w:val="21"/>
                <w:szCs w:val="21"/>
                <w:lang w:bidi="ar"/>
              </w:rPr>
              <w:t>支持基于开源组件Kafka深度优化后的流式数据接入。</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（提供具有CMA（中国计量认证）标识或CNAS（中国合格评定国家认可委员会认证）标识的</w:t>
            </w:r>
            <w:r>
              <w:rPr>
                <w:rFonts w:hint="eastAsia" w:ascii="宋体" w:hAnsi="宋体" w:eastAsia="宋体" w:cs="宋体"/>
                <w:color w:val="auto"/>
                <w:kern w:val="0"/>
                <w:sz w:val="21"/>
                <w:szCs w:val="21"/>
                <w:lang w:bidi="ar"/>
              </w:rPr>
              <w:t>测试报告关键页（含首页、盖章页及对应功能描述页）等证明材料</w:t>
            </w:r>
            <w:r>
              <w:rPr>
                <w:rFonts w:hint="eastAsia" w:ascii="宋体" w:hAnsi="宋体" w:eastAsia="宋体" w:cs="宋体"/>
                <w:color w:val="auto"/>
                <w:sz w:val="21"/>
                <w:szCs w:val="21"/>
              </w:rPr>
              <w:t>并加盖</w:t>
            </w:r>
            <w:r>
              <w:rPr>
                <w:rFonts w:hint="eastAsia" w:ascii="宋体" w:hAnsi="宋体" w:cs="宋体"/>
                <w:color w:val="auto"/>
                <w:kern w:val="0"/>
                <w:sz w:val="21"/>
                <w:szCs w:val="21"/>
                <w:lang w:eastAsia="zh-CN" w:bidi="ar"/>
              </w:rPr>
              <w:t>投标人</w:t>
            </w:r>
            <w:r>
              <w:rPr>
                <w:rFonts w:hint="eastAsia" w:ascii="宋体" w:hAnsi="宋体" w:eastAsia="宋体" w:cs="宋体"/>
                <w:color w:val="auto"/>
                <w:sz w:val="21"/>
                <w:szCs w:val="21"/>
              </w:rPr>
              <w:t>公章</w:t>
            </w:r>
            <w:r>
              <w:rPr>
                <w:rFonts w:hint="eastAsia" w:ascii="宋体" w:hAnsi="宋体" w:eastAsia="宋体" w:cs="宋体"/>
                <w:color w:val="auto"/>
                <w:kern w:val="0"/>
                <w:sz w:val="21"/>
                <w:szCs w:val="21"/>
                <w:lang w:bidi="ar"/>
              </w:rPr>
              <w:t>）</w:t>
            </w:r>
          </w:p>
        </w:tc>
      </w:tr>
      <w:tr>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【批量数据接入】</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w:t>
            </w:r>
            <w:r>
              <w:rPr>
                <w:rFonts w:hint="eastAsia" w:ascii="宋体" w:hAnsi="宋体" w:eastAsia="宋体" w:cs="宋体"/>
                <w:color w:val="000000"/>
                <w:kern w:val="0"/>
                <w:sz w:val="21"/>
                <w:szCs w:val="21"/>
                <w:lang w:bidi="ar"/>
              </w:rPr>
              <w:t>系统需适配各种关系型数据接入，包括但不限于Oracle、MySQL、SQL Server、PostgreSQL、MongoDB、Sybase、Teradata和DM、GBase、GaussDB、kingbase等。</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具备主流大数据平台对接，包括但不限于Hadoop、FusionInsight、MaxCompute等大数据平台。</w:t>
            </w:r>
          </w:p>
          <w:p>
            <w:pPr>
              <w:widowControl/>
              <w:spacing w:line="360" w:lineRule="auto"/>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系统需支持文件的搬移与解析功能，文件夹或目录增量同步功能；具备针对文件夹的子文件夹及文件增、删、改操作的实时增量同步功能。</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提供具有CMA（中国计量认证）标识或CNAS（中国合格评定国家认可委员会认证）标识的测试报告关键页（含首页、盖章页及对应功能描述页）等证明材料并加盖投标人公章</w:t>
            </w:r>
            <w:r>
              <w:rPr>
                <w:rFonts w:hint="eastAsia" w:ascii="宋体" w:hAnsi="宋体" w:cs="宋体"/>
                <w:color w:val="000000"/>
                <w:kern w:val="0"/>
                <w:sz w:val="21"/>
                <w:szCs w:val="21"/>
                <w:lang w:eastAsia="zh-CN" w:bidi="ar"/>
              </w:rPr>
              <w:t>］</w:t>
            </w:r>
          </w:p>
        </w:tc>
      </w:tr>
      <w:tr>
        <w:tblPrEx>
          <w:tblCellMar>
            <w:top w:w="0" w:type="dxa"/>
            <w:left w:w="108" w:type="dxa"/>
            <w:bottom w:w="0" w:type="dxa"/>
            <w:right w:w="108" w:type="dxa"/>
          </w:tblCellMar>
        </w:tblPrEx>
        <w:trPr>
          <w:trHeight w:val="1152"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【文件数据采集】</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对海量文件（10000+以上文件），具备批量操作功能，具备批量选择传输文件，自动进行文件传输的功能。</w:t>
            </w:r>
          </w:p>
        </w:tc>
      </w:tr>
      <w:tr>
        <w:tblPrEx>
          <w:tblCellMar>
            <w:top w:w="0" w:type="dxa"/>
            <w:left w:w="108" w:type="dxa"/>
            <w:bottom w:w="0" w:type="dxa"/>
            <w:right w:w="108" w:type="dxa"/>
          </w:tblCellMar>
        </w:tblPrEx>
        <w:trPr>
          <w:trHeight w:val="1012"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【其他数据接入方式】</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支持通过Syslog等方式，对相关设备和系统日志数据进行采集。</w:t>
            </w:r>
          </w:p>
        </w:tc>
      </w:tr>
      <w:tr>
        <w:tblPrEx>
          <w:tblCellMar>
            <w:top w:w="0" w:type="dxa"/>
            <w:left w:w="108" w:type="dxa"/>
            <w:bottom w:w="0" w:type="dxa"/>
            <w:right w:w="108" w:type="dxa"/>
          </w:tblCellMar>
        </w:tblPrEx>
        <w:trPr>
          <w:trHeight w:val="864"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关键功能特性</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【易用性】</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具备Web页面的拖拉拽式数据交换管理。</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具备系统配置导入和导出功能。</w:t>
            </w:r>
          </w:p>
        </w:tc>
      </w:tr>
      <w:tr>
        <w:trPr>
          <w:trHeight w:val="576"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【安全性】</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具备加密传输功能：具备国密算法（如AES、SM2、SM4等）数据加密交换功能，能够实现数据加解密；具备数据日期类型、 INT类型等非字符串类型字段的数据加解密；具备数据传输通道加密功能(SSL)</w:t>
            </w:r>
          </w:p>
        </w:tc>
      </w:tr>
      <w:tr>
        <w:tblPrEx>
          <w:tblCellMar>
            <w:top w:w="0" w:type="dxa"/>
            <w:left w:w="108" w:type="dxa"/>
            <w:bottom w:w="0" w:type="dxa"/>
            <w:right w:w="108" w:type="dxa"/>
          </w:tblCellMar>
        </w:tblPrEx>
        <w:trPr>
          <w:trHeight w:val="1152"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【兼容性】</w:t>
            </w:r>
          </w:p>
          <w:p>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★采用的软件产品需能兼容国产芯片，需提供与龙芯、众志海光、神威等任意一个国产芯片兼容性互认。</w:t>
            </w:r>
          </w:p>
          <w:p>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（要求提供相关认证证书扫描件并加盖投标人公章）</w:t>
            </w:r>
          </w:p>
          <w:p>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★采用的软件产品需能兼容国产数据库，需提供与达梦、人大金仓、OceanBase等任意一个国产数据库兼容性互认证明材料。</w:t>
            </w:r>
          </w:p>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（要求提供相关认证证书扫描件并加盖投标人公章）</w:t>
            </w:r>
          </w:p>
        </w:tc>
      </w:tr>
      <w:tr>
        <w:tblPrEx>
          <w:tblCellMar>
            <w:top w:w="0" w:type="dxa"/>
            <w:left w:w="108" w:type="dxa"/>
            <w:bottom w:w="0" w:type="dxa"/>
            <w:right w:w="108" w:type="dxa"/>
          </w:tblCellMar>
        </w:tblPrEx>
        <w:trPr>
          <w:trHeight w:val="1152"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【基础功能】</w:t>
            </w:r>
          </w:p>
          <w:p>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可实现对数据采集的自定义频率任务调度，通过数据采集作业策略的设置，提供定时执行的服务。定时调度方式有：手动，按秒、按分钟，按天，按周，按月，按年和实时。</w:t>
            </w:r>
          </w:p>
          <w:p>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ETL组件库具备数据抽取、关联、排序、清洗转换、聚合、装载等功能。</w:t>
            </w:r>
          </w:p>
          <w:p>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具备批量创建作业功能；具备在ETL任务同步时，批量作业通过一个任务管理多张表的数据同步；具备同步至目的库时增加入库时间。</w:t>
            </w:r>
          </w:p>
          <w:p>
            <w:pPr>
              <w:widowControl/>
              <w:spacing w:line="360" w:lineRule="auto"/>
              <w:jc w:val="left"/>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90" w:hRule="atLeast"/>
        </w:trPr>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安全数据治理模块</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高级数据管理</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支持各种主流类型的数据存储和处理平台，包括但不限于MySQL、Hive、Oracle等，可提供元数据信息展示和动态更新。</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具备元数据变化通知功能，通知内容应包括变更的具体内容</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具备元数据继承功能，可进行克隆表、接入转换任务配置。</w:t>
            </w:r>
          </w:p>
        </w:tc>
      </w:tr>
      <w:tr>
        <w:tblPrEx>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数据血缘</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具备自动数据血缘生成功能，包括但不限于数据集成、清洗、SQL加工、数据共享的自动血缘生成。</w:t>
            </w:r>
          </w:p>
        </w:tc>
      </w:tr>
      <w:tr>
        <w:tblPrEx>
          <w:tblCellMar>
            <w:top w:w="0" w:type="dxa"/>
            <w:left w:w="108" w:type="dxa"/>
            <w:bottom w:w="0" w:type="dxa"/>
            <w:right w:w="108" w:type="dxa"/>
          </w:tblCellMar>
        </w:tblPrEx>
        <w:trPr>
          <w:trHeight w:val="1135"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数据地图</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具备多种建表方式，包括但不限于可视化建表、DDL建表。</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具备以目录形式对数据表进行管理的能力，包括如收藏数据表等功能。</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具备按照多种条件组合查询数据表的功能，查询条件包括但不限于数据表描述、业务标签、创建者、生命周期、大小、项目空间名称、分区表属性等。</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具备表信息查看功能，包括但不限于表的元数据信息，例如主键信息、分区信息，表数据预览，表血缘详细信息。</w:t>
            </w:r>
          </w:p>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具备管理数据元、字典表、限定词的能力。</w:t>
            </w:r>
          </w:p>
        </w:tc>
      </w:tr>
      <w:tr>
        <w:tblPrEx>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数据标准</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数据标准支持多租户（工作空间）实例，每租户实例可以使用独立的数据标准模板。</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具备定制安全行业标准模板功能。系统支持预置行业模板，并支持用户自定义扩展</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具备按照标准的发布状态进行数据元版本管理的能力，提供版本变更支持在线审批等功能。</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具备批量导入和导出数据标准定义功能。</w:t>
            </w:r>
          </w:p>
        </w:tc>
      </w:tr>
      <w:tr>
        <w:tblPrEx>
          <w:tblCellMar>
            <w:top w:w="0" w:type="dxa"/>
            <w:left w:w="108" w:type="dxa"/>
            <w:bottom w:w="0" w:type="dxa"/>
            <w:right w:w="108" w:type="dxa"/>
          </w:tblCellMar>
        </w:tblPrEx>
        <w:trPr>
          <w:trHeight w:val="2562"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数据回写</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具备内置的数据清洗和过滤组件。数据过滤组件应包括但不限于长度过滤、正则过滤、标准值域过滤、空值过滤、比较过滤；数据清洗组件包括但不限于字典标准化、JS自定义清洗。</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具备规则库相关功能，能提供去除空白、空值过滤、全角半角转换、正则校验、长度校验、去重等内置规则，并支持规则自定义。</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具备智能清洗功能，能够智能推荐清洗规则，实现自动配置。</w:t>
            </w:r>
          </w:p>
        </w:tc>
      </w:tr>
      <w:tr>
        <w:tblPrEx>
          <w:tblCellMar>
            <w:top w:w="0" w:type="dxa"/>
            <w:left w:w="108" w:type="dxa"/>
            <w:bottom w:w="0" w:type="dxa"/>
            <w:right w:w="108" w:type="dxa"/>
          </w:tblCellMar>
        </w:tblPrEx>
        <w:trPr>
          <w:trHeight w:val="333"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过程监控</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具备调度管理功能，包括一次性调度与周期性调度，其中周期性调度应支持按分钟、小时、日、周、月、年调度，工作流可跨周期依赖。</w:t>
            </w:r>
          </w:p>
          <w:p>
            <w:pPr>
              <w:pStyle w:val="2"/>
              <w:spacing w:line="360" w:lineRule="auto"/>
              <w:ind w:firstLine="0"/>
              <w:rPr>
                <w:rFonts w:hint="eastAsia" w:ascii="宋体" w:hAnsi="宋体" w:eastAsia="宋体" w:cs="宋体"/>
                <w:sz w:val="21"/>
                <w:szCs w:val="21"/>
                <w:lang w:bidi="ar"/>
              </w:rPr>
            </w:pPr>
            <w:r>
              <w:rPr>
                <w:rFonts w:hint="eastAsia" w:ascii="宋体" w:hAnsi="宋体" w:eastAsia="宋体" w:cs="宋体"/>
                <w:sz w:val="21"/>
                <w:szCs w:val="21"/>
                <w:lang w:bidi="ar"/>
              </w:rPr>
              <w:t>具备数据运维大盘功能，能够直观的展示各空间工作流运行情况，包括但不限于任务运行情况、任务出错排行和空间任务数量排行等，从各个维度展示系统的过去一段时间内的运行情况。</w:t>
            </w:r>
          </w:p>
          <w:p>
            <w:pPr>
              <w:spacing w:line="360" w:lineRule="auto"/>
              <w:rPr>
                <w:rFonts w:hint="eastAsia" w:ascii="宋体" w:hAnsi="宋体" w:eastAsia="宋体" w:cs="宋体"/>
                <w:color w:val="000000"/>
                <w:sz w:val="21"/>
                <w:szCs w:val="21"/>
              </w:rPr>
            </w:pPr>
            <w:r>
              <w:rPr>
                <w:rFonts w:hint="eastAsia" w:ascii="宋体" w:hAnsi="宋体" w:eastAsia="宋体" w:cs="宋体"/>
                <w:sz w:val="21"/>
                <w:szCs w:val="21"/>
                <w:lang w:bidi="ar"/>
              </w:rPr>
              <w:t>具备数据接入任务运维功能，管理任务实例、状态、关联工作流，支持查看数据抽取、写入数据量等指标；支持对接多套数据集成环境。</w:t>
            </w:r>
          </w:p>
        </w:tc>
      </w:tr>
      <w:tr>
        <w:tblPrEx>
          <w:tblCellMar>
            <w:top w:w="0" w:type="dxa"/>
            <w:left w:w="108" w:type="dxa"/>
            <w:bottom w:w="0" w:type="dxa"/>
            <w:right w:w="108" w:type="dxa"/>
          </w:tblCellMar>
        </w:tblPrEx>
        <w:trPr>
          <w:trHeight w:val="885" w:hRule="atLeast"/>
        </w:trPr>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数据存储模块</w:t>
            </w:r>
          </w:p>
        </w:tc>
        <w:tc>
          <w:tcPr>
            <w:tcW w:w="1738" w:type="dxa"/>
            <w:vMerge w:val="restart"/>
            <w:tcBorders>
              <w:top w:val="single" w:color="000000" w:sz="4" w:space="0"/>
              <w:left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数据存储</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具备多副本高可靠的分布式文件存储能力，具备结构化、半结构化、非结构化文件，具有高吞吐量和低延时的访问能力。</w:t>
            </w:r>
          </w:p>
        </w:tc>
      </w:tr>
      <w:tr>
        <w:tblPrEx>
          <w:tblCellMar>
            <w:top w:w="0" w:type="dxa"/>
            <w:left w:w="108" w:type="dxa"/>
            <w:bottom w:w="0" w:type="dxa"/>
            <w:right w:w="108" w:type="dxa"/>
          </w:tblCellMar>
        </w:tblPrEx>
        <w:trPr>
          <w:trHeight w:val="813"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kern w:val="0"/>
                <w:sz w:val="21"/>
                <w:szCs w:val="21"/>
                <w:lang w:bidi="ar"/>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具备全文搜索服务能力，基于分布式全文搜索引擎，支持</w:t>
            </w:r>
            <w:r>
              <w:rPr>
                <w:rFonts w:hint="eastAsia" w:ascii="宋体" w:hAnsi="宋体" w:eastAsia="宋体" w:cs="宋体"/>
                <w:color w:val="000000"/>
                <w:kern w:val="0"/>
                <w:sz w:val="21"/>
                <w:szCs w:val="21"/>
                <w:lang w:val="en-US" w:eastAsia="zh-CN" w:bidi="ar"/>
              </w:rPr>
              <w:t>T</w:t>
            </w:r>
            <w:r>
              <w:rPr>
                <w:rFonts w:hint="eastAsia" w:ascii="宋体" w:hAnsi="宋体" w:eastAsia="宋体" w:cs="宋体"/>
                <w:color w:val="000000"/>
                <w:kern w:val="0"/>
                <w:sz w:val="21"/>
                <w:szCs w:val="21"/>
                <w:lang w:bidi="ar"/>
              </w:rPr>
              <w:t>B级别数据量实时分析和检索。</w:t>
            </w:r>
          </w:p>
        </w:tc>
      </w:tr>
      <w:tr>
        <w:tblPrEx>
          <w:tblCellMar>
            <w:top w:w="0" w:type="dxa"/>
            <w:left w:w="108" w:type="dxa"/>
            <w:bottom w:w="0" w:type="dxa"/>
            <w:right w:w="108" w:type="dxa"/>
          </w:tblCellMar>
        </w:tblPrEx>
        <w:trPr>
          <w:trHeight w:val="927"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kern w:val="0"/>
                <w:sz w:val="21"/>
                <w:szCs w:val="21"/>
                <w:lang w:bidi="ar"/>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安全数据存储需复用台州市政务云各类存储服务资源，包括但不限于MaxCompute存储空间、OSS等。</w:t>
            </w:r>
          </w:p>
        </w:tc>
      </w:tr>
      <w:tr>
        <w:tblPrEx>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kern w:val="0"/>
                <w:sz w:val="21"/>
                <w:szCs w:val="21"/>
                <w:lang w:bidi="ar"/>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w:t>
            </w:r>
            <w:r>
              <w:rPr>
                <w:rFonts w:hint="eastAsia" w:ascii="宋体" w:hAnsi="宋体" w:eastAsia="宋体" w:cs="宋体"/>
                <w:color w:val="000000"/>
                <w:kern w:val="0"/>
                <w:sz w:val="21"/>
                <w:szCs w:val="21"/>
                <w:lang w:bidi="ar"/>
              </w:rPr>
              <w:t>安全数据复用现有的台州市政务云各类存储资源。</w:t>
            </w:r>
          </w:p>
        </w:tc>
      </w:tr>
      <w:tr>
        <w:tblPrEx>
          <w:tblCellMar>
            <w:top w:w="0" w:type="dxa"/>
            <w:left w:w="108" w:type="dxa"/>
            <w:bottom w:w="0" w:type="dxa"/>
            <w:right w:w="108" w:type="dxa"/>
          </w:tblCellMar>
        </w:tblPrEx>
        <w:trPr>
          <w:trHeight w:val="915"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运维监控</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具备消息队列引擎的多集群运维、管控、指标统计分析能力</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具备全文搜索引擎的多集群运维、管控、指标统计分析能力</w:t>
            </w:r>
          </w:p>
        </w:tc>
      </w:tr>
      <w:tr>
        <w:tblPrEx>
          <w:tblCellMar>
            <w:top w:w="0" w:type="dxa"/>
            <w:left w:w="108" w:type="dxa"/>
            <w:bottom w:w="0" w:type="dxa"/>
            <w:right w:w="108" w:type="dxa"/>
          </w:tblCellMar>
        </w:tblPrEx>
        <w:trPr>
          <w:trHeight w:val="455" w:hRule="atLeast"/>
        </w:trPr>
        <w:tc>
          <w:tcPr>
            <w:tcW w:w="1185"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安全数据仓建设</w:t>
            </w:r>
          </w:p>
        </w:tc>
        <w:tc>
          <w:tcPr>
            <w:tcW w:w="1738"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数据仓建设</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平台可根据用户需求与场景，支持基于数据特征进行抽取各种层次的库类型。设置层次至少三层，分为原始库、成果库、主题库。</w:t>
            </w:r>
          </w:p>
        </w:tc>
      </w:tr>
      <w:tr>
        <w:tblPrEx>
          <w:tblCellMar>
            <w:top w:w="0" w:type="dxa"/>
            <w:left w:w="108" w:type="dxa"/>
            <w:bottom w:w="0" w:type="dxa"/>
            <w:right w:w="108" w:type="dxa"/>
          </w:tblCellMar>
        </w:tblPrEx>
        <w:trPr>
          <w:trHeight w:val="455" w:hRule="atLeast"/>
        </w:trPr>
        <w:tc>
          <w:tcPr>
            <w:tcW w:w="1185" w:type="dxa"/>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1738" w:type="dxa"/>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原始库存储从各安全设备和各数据源采集的原始数据，原始库中的数据是系统最基础的数据，需要对数据设置不同的生命周期和存储份额，从而保障数据的可用性和鲜活性。</w:t>
            </w:r>
          </w:p>
        </w:tc>
      </w:tr>
      <w:tr>
        <w:tblPrEx>
          <w:tblCellMar>
            <w:top w:w="0" w:type="dxa"/>
            <w:left w:w="108" w:type="dxa"/>
            <w:bottom w:w="0" w:type="dxa"/>
            <w:right w:w="108" w:type="dxa"/>
          </w:tblCellMar>
        </w:tblPrEx>
        <w:trPr>
          <w:trHeight w:val="455" w:hRule="atLeast"/>
        </w:trPr>
        <w:tc>
          <w:tcPr>
            <w:tcW w:w="1185" w:type="dxa"/>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1738" w:type="dxa"/>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成果库的数据是由原始库的数据经过解析、清洗和标准治理等数据处理过程后形成的标准数据。成果库同时也保存着安全数据分析后的结果数据。</w:t>
            </w:r>
          </w:p>
        </w:tc>
      </w:tr>
      <w:tr>
        <w:tblPrEx>
          <w:tblCellMar>
            <w:top w:w="0" w:type="dxa"/>
            <w:left w:w="108" w:type="dxa"/>
            <w:bottom w:w="0" w:type="dxa"/>
            <w:right w:w="108" w:type="dxa"/>
          </w:tblCellMar>
        </w:tblPrEx>
        <w:trPr>
          <w:trHeight w:val="455" w:hRule="atLeast"/>
        </w:trPr>
        <w:tc>
          <w:tcPr>
            <w:tcW w:w="1185" w:type="dxa"/>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1738" w:type="dxa"/>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主题库对上游的成果库数据打散重构形成主题表，对下游的专题层提供了标准化、一致性的数据。</w:t>
            </w:r>
          </w:p>
        </w:tc>
      </w:tr>
      <w:tr>
        <w:tblPrEx>
          <w:tblCellMar>
            <w:top w:w="0" w:type="dxa"/>
            <w:left w:w="108" w:type="dxa"/>
            <w:bottom w:w="0" w:type="dxa"/>
            <w:right w:w="108" w:type="dxa"/>
          </w:tblCellMar>
        </w:tblPrEx>
        <w:trPr>
          <w:trHeight w:val="455" w:hRule="atLeast"/>
        </w:trPr>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数据计算模块</w:t>
            </w:r>
          </w:p>
        </w:tc>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流数据计算</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具备实时开发功能，能处理Kafka源数据，支持Oracle、华为GaussDB，Mysql，DM，Kafka输出</w:t>
            </w:r>
          </w:p>
        </w:tc>
      </w:tr>
      <w:tr>
        <w:tblPrEx>
          <w:tblCellMar>
            <w:top w:w="0" w:type="dxa"/>
            <w:left w:w="108" w:type="dxa"/>
            <w:bottom w:w="0" w:type="dxa"/>
            <w:right w:w="108" w:type="dxa"/>
          </w:tblCellMar>
        </w:tblPrEx>
        <w:trPr>
          <w:trHeight w:val="864"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具备实时数据运维功能，支持查看Flink SQL和application的任务状态；可以查看任务运行实时指标，可自定义运维指标。</w:t>
            </w:r>
          </w:p>
        </w:tc>
      </w:tr>
      <w:tr>
        <w:tblPrEx>
          <w:tblCellMar>
            <w:top w:w="0" w:type="dxa"/>
            <w:left w:w="108" w:type="dxa"/>
            <w:bottom w:w="0" w:type="dxa"/>
            <w:right w:w="108" w:type="dxa"/>
          </w:tblCellMar>
        </w:tblPrEx>
        <w:trPr>
          <w:trHeight w:val="486"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具备实时开发工作台功能，能提供基于FlinkSQL的可视化SQL编辑器，应支持实时SQL任务的管理、启动、暂停、取消等操作</w:t>
            </w:r>
          </w:p>
        </w:tc>
      </w:tr>
      <w:tr>
        <w:tblPrEx>
          <w:tblCellMar>
            <w:top w:w="0" w:type="dxa"/>
            <w:left w:w="108" w:type="dxa"/>
            <w:bottom w:w="0" w:type="dxa"/>
            <w:right w:w="108" w:type="dxa"/>
          </w:tblCellMar>
        </w:tblPrEx>
        <w:trPr>
          <w:trHeight w:val="864"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w:t>
            </w:r>
            <w:r>
              <w:rPr>
                <w:rFonts w:hint="eastAsia" w:ascii="宋体" w:hAnsi="宋体" w:eastAsia="宋体" w:cs="宋体"/>
                <w:color w:val="000000"/>
                <w:kern w:val="0"/>
                <w:sz w:val="21"/>
                <w:szCs w:val="21"/>
                <w:lang w:bidi="ar"/>
              </w:rPr>
              <w:t>具备实时清洗功能，能够完成实时数据清洗过滤、实时数据转换、内置规则组件调用、自定义清洗规则、配置问题数据处理方式、清洗流程试运行。</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（提供具有CMA（中国计量认证）标识或CNAS（中国合格评定国家认可委员会认证）标识的测试报告关键页（含首页、盖章页及对应功能描述页）等证明材</w:t>
            </w:r>
            <w:r>
              <w:rPr>
                <w:rFonts w:hint="eastAsia" w:ascii="宋体" w:hAnsi="宋体" w:eastAsia="宋体" w:cs="宋体"/>
                <w:color w:val="auto"/>
                <w:sz w:val="21"/>
                <w:szCs w:val="21"/>
              </w:rPr>
              <w:t>料并加盖</w:t>
            </w:r>
            <w:r>
              <w:rPr>
                <w:rFonts w:hint="eastAsia" w:ascii="宋体" w:hAnsi="宋体" w:cs="宋体"/>
                <w:color w:val="auto"/>
                <w:kern w:val="0"/>
                <w:sz w:val="21"/>
                <w:szCs w:val="21"/>
                <w:lang w:eastAsia="zh-CN" w:bidi="ar"/>
              </w:rPr>
              <w:t>投标人</w:t>
            </w:r>
            <w:r>
              <w:rPr>
                <w:rFonts w:hint="eastAsia" w:ascii="宋体" w:hAnsi="宋体" w:eastAsia="宋体" w:cs="宋体"/>
                <w:color w:val="auto"/>
                <w:sz w:val="21"/>
                <w:szCs w:val="21"/>
              </w:rPr>
              <w:t>公章）</w:t>
            </w:r>
          </w:p>
        </w:tc>
      </w:tr>
      <w:tr>
        <w:tblPrEx>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分布式计算</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【开发环境】</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提供一站式集成开发环境，满足大数据环境下的开发、调度、运维等需求。</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具备开发、生产空间隔离，可以对空间中数据、资源、代码和配置进行隔离功能。</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具备团队协同开发功能，能够实现代码版本管理、多人协同模式下的代码锁管理和冲突检测机制。</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具备通过图形化的拖拉拽方式、零编码交互完成数据的转换、过滤以及工作流开发功能，便于自主管理作业的部署以及生产监控运维。</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采用多点部署方式，具备弹性扩容能力，能避免单点故障导致整个系统不可用，保证系统的高可靠性</w:t>
            </w:r>
          </w:p>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具备在腾讯云、华为云、阿里云等多云、跨云环境中运行的能力。</w:t>
            </w:r>
          </w:p>
        </w:tc>
      </w:tr>
      <w:tr>
        <w:trPr>
          <w:trHeight w:val="473"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【数据开发】</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支持多种数据传输插件，例如：Kafka、ElasticSearch、Fluentd、JSON、ActiveMQ，RabbitMQ等。</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适配MaxCompute、FusionInsight HD、TDH等大数据平台引擎，支持SparkSQL、Spark、数据清洗、SubWorkflow（子工作流）等数据开发类型节点。</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工作节点开发功能，包括但不限于数据集成类型节点、数据开发类型节点、数据清洗类型节点。（提供具有CMA（中国计量认证）标识或CNAS（中国合格评定国家认可委员会认证）标识的测试报告关键页（含首页、盖章页及对应功能描述页）等证明材料并加盖投标人公章）</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具备工作流运行管理功能，能够管理工作流执行路径，包括但不限于串行、并行、分支条件，并应具有从此处开始运行功能。</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具备智能化依赖推荐功能，能够基于工作节点的输入输出表，自动推荐上下游依赖关系。</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具备工作流的导入导出功能，包括但不限于工作流、自定义函数、资源文件和模型等，可实现离线备份和异地发布。</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具备版本管理功能，能提供工作流和工作节点的版本查看及版本回滚。</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可对已删除的工作节点或工作流进行恢复。</w:t>
            </w:r>
          </w:p>
        </w:tc>
      </w:tr>
      <w:tr>
        <w:tblPrEx>
          <w:tblCellMar>
            <w:top w:w="0" w:type="dxa"/>
            <w:left w:w="108" w:type="dxa"/>
            <w:bottom w:w="0" w:type="dxa"/>
            <w:right w:w="108" w:type="dxa"/>
          </w:tblCellMar>
          <w:tblPrExChange w:id="1" w:author="傑" w:date="2023-02-15T17:04:00Z">
            <w:tblPrEx>
              <w:tblCellMar>
                <w:top w:w="0" w:type="dxa"/>
                <w:left w:w="108" w:type="dxa"/>
                <w:bottom w:w="0" w:type="dxa"/>
                <w:right w:w="108" w:type="dxa"/>
              </w:tblCellMar>
            </w:tblPrEx>
          </w:tblPrExChange>
        </w:tblPrEx>
        <w:trPr>
          <w:wAfter w:w="0" w:type="auto"/>
          <w:trHeight w:val="1214" w:hRule="atLeast"/>
          <w:trPrChange w:id="1" w:author="傑" w:date="2023-02-15T17:04:00Z">
            <w:trPr>
              <w:gridAfter w:val="1"/>
              <w:wAfter w:w="458" w:type="dxa"/>
              <w:trHeight w:val="2016" w:hRule="atLeast"/>
            </w:trPr>
          </w:trPrChange>
        </w:trPr>
        <w:tc>
          <w:tcPr>
            <w:tcW w:w="1185" w:type="dxa"/>
            <w:vMerge w:val="continue"/>
            <w:tcBorders>
              <w:top w:val="single" w:color="000000" w:sz="4" w:space="0"/>
              <w:left w:val="single" w:color="000000" w:sz="4" w:space="0"/>
              <w:bottom w:val="single" w:color="000000" w:sz="4" w:space="0"/>
              <w:right w:val="single" w:color="000000" w:sz="4" w:space="0"/>
            </w:tcBorders>
            <w:vAlign w:val="center"/>
            <w:tcPrChange w:id="2" w:author="傑" w:date="2023-02-15T17:04:00Z">
              <w:tcPr>
                <w:tcW w:w="1017" w:type="dxa"/>
                <w:vMerge w:val="continue"/>
                <w:tcBorders>
                  <w:top w:val="single" w:color="000000" w:sz="4" w:space="0"/>
                  <w:left w:val="single" w:color="000000" w:sz="4" w:space="0"/>
                  <w:bottom w:val="single" w:color="000000" w:sz="4" w:space="0"/>
                  <w:right w:val="single" w:color="000000" w:sz="4" w:space="0"/>
                </w:tcBorders>
                <w:vAlign w:val="center"/>
              </w:tcPr>
            </w:tcPrChange>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Change w:id="3" w:author="傑" w:date="2023-02-15T17:04:00Z">
              <w:tcPr>
                <w:tcW w:w="2856" w:type="dxa"/>
                <w:gridSpan w:val="3"/>
                <w:vMerge w:val="continue"/>
                <w:tcBorders>
                  <w:top w:val="single" w:color="000000" w:sz="4" w:space="0"/>
                  <w:left w:val="single" w:color="000000" w:sz="4" w:space="0"/>
                  <w:bottom w:val="single" w:color="000000" w:sz="4" w:space="0"/>
                  <w:right w:val="single" w:color="000000" w:sz="4" w:space="0"/>
                </w:tcBorders>
                <w:vAlign w:val="center"/>
              </w:tcPr>
            </w:tcPrChange>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Change w:id="4" w:author="傑" w:date="2023-02-15T17:04:00Z">
              <w:tcPr>
                <w:tcW w:w="4442" w:type="dxa"/>
                <w:tcBorders>
                  <w:top w:val="single" w:color="000000" w:sz="4" w:space="0"/>
                  <w:left w:val="single" w:color="000000" w:sz="4" w:space="0"/>
                  <w:bottom w:val="single" w:color="000000" w:sz="4" w:space="0"/>
                  <w:right w:val="single" w:color="000000" w:sz="4" w:space="0"/>
                </w:tcBorders>
                <w:vAlign w:val="center"/>
              </w:tcPr>
            </w:tcPrChange>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【任务调度】</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具备调度管理功能，包括一次性调度与周期性调度，其中周期性调度应支持按分钟、小时、日、周、月、年调度，工作流可跨周期依赖。</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具备启停功能，支持工作流重跑；支持补数据，可通过设置工作流运行的起止时间，来达到导入历史数据的目的。</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具备模型任务管理功能，能对数据模型中一键生成的映射加工任务节点进行统一管理，包括但不限于保存、提交、运行、版本比较、版本回滚等；构建工作流后可实现周期调度。</w:t>
            </w:r>
          </w:p>
        </w:tc>
      </w:tr>
      <w:tr>
        <w:tblPrEx>
          <w:tblCellMar>
            <w:top w:w="0" w:type="dxa"/>
            <w:left w:w="108" w:type="dxa"/>
            <w:bottom w:w="0" w:type="dxa"/>
            <w:right w:w="108" w:type="dxa"/>
          </w:tblCellMar>
        </w:tblPrEx>
        <w:trPr>
          <w:trHeight w:val="864"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【数据运维】</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具备数据运维大盘功能，能够直观的展示各空间工作流运行情况，包括但不限于任务运行情况、任务出错排行和空间任务数量排行等，从各个维度展示系统的过去一段时间内的运行情况。</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具备作业管理功能，能实现作业状态查询、启停操作，并支持引擎告警和工作流告警策略配置，可通过邮件方式发送告警。</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具备数据接入任务运维功能，管理任务实例、状态、关联工作流，支持查看数据抽取、写入数据量等指标；支持对接多套数据集成环境。</w:t>
            </w:r>
          </w:p>
        </w:tc>
      </w:tr>
      <w:tr>
        <w:tblPrEx>
          <w:tblCellMar>
            <w:top w:w="0" w:type="dxa"/>
            <w:left w:w="108" w:type="dxa"/>
            <w:bottom w:w="0" w:type="dxa"/>
            <w:right w:w="108" w:type="dxa"/>
          </w:tblCellMar>
        </w:tblPrEx>
        <w:trPr>
          <w:trHeight w:val="267"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【安全性】</w:t>
            </w:r>
          </w:p>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具备用户角色权限控制功能，包括系统管理员、空间拥有者、空间管理员、开发人员和测试人员，不同的角色拥有不同的运维权限，用户只能查看到自己拥有权限的空间相关的运维信息。</w:t>
            </w:r>
          </w:p>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具备基于SQL节点的加密功能。</w:t>
            </w:r>
          </w:p>
        </w:tc>
      </w:tr>
      <w:tr>
        <w:tblPrEx>
          <w:tblCellMar>
            <w:top w:w="0" w:type="dxa"/>
            <w:left w:w="108" w:type="dxa"/>
            <w:bottom w:w="0" w:type="dxa"/>
            <w:right w:w="108" w:type="dxa"/>
          </w:tblCellMar>
        </w:tblPrEx>
        <w:trPr>
          <w:trHeight w:val="694" w:hRule="atLeast"/>
        </w:trPr>
        <w:tc>
          <w:tcPr>
            <w:tcW w:w="1185" w:type="dxa"/>
            <w:vMerge w:val="continue"/>
            <w:tcBorders>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sz w:val="21"/>
                <w:szCs w:val="21"/>
              </w:rPr>
            </w:pPr>
          </w:p>
        </w:tc>
        <w:tc>
          <w:tcPr>
            <w:tcW w:w="1738" w:type="dxa"/>
            <w:vMerge w:val="continue"/>
            <w:tcBorders>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★安全数据离线计算能力复用现有的台州市政务云大数据计算能力。</w:t>
            </w:r>
          </w:p>
        </w:tc>
      </w:tr>
      <w:tr>
        <w:tblPrEx>
          <w:tblCellMar>
            <w:top w:w="0" w:type="dxa"/>
            <w:left w:w="108" w:type="dxa"/>
            <w:bottom w:w="0" w:type="dxa"/>
            <w:right w:w="108" w:type="dxa"/>
          </w:tblCellMar>
        </w:tblPrEx>
        <w:trPr>
          <w:trHeight w:val="718"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分布式搜索模块</w:t>
            </w: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【数据查询】</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提供开放的 API 接口，支持通过API 编程接口实现大数据搜索服务的索引建立、数据检索等；</w:t>
            </w:r>
          </w:p>
        </w:tc>
      </w:tr>
      <w:tr>
        <w:tblPrEx>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【索引管理】</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基于索引服务，展示各索引的健康状态、主分片数、副分片数、中文文档总数、主分片大小以及主分片和副分片大小相关信息。</w:t>
            </w:r>
          </w:p>
        </w:tc>
      </w:tr>
      <w:tr>
        <w:tblPrEx>
          <w:tblCellMar>
            <w:top w:w="0" w:type="dxa"/>
            <w:left w:w="108" w:type="dxa"/>
            <w:bottom w:w="0" w:type="dxa"/>
            <w:right w:w="108" w:type="dxa"/>
          </w:tblCellMar>
        </w:tblPrEx>
        <w:trPr>
          <w:trHeight w:val="1147" w:hRule="atLeast"/>
        </w:trPr>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1"/>
                <w:szCs w:val="21"/>
              </w:rPr>
            </w:pPr>
          </w:p>
        </w:tc>
        <w:tc>
          <w:tcPr>
            <w:tcW w:w="61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【监控平台】</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部署索引监控系统，可以通过浏览器页面监控数据库运行情况，包括CPU、内存、硬盘等系统资源占用情况，还有每个服务器节点的系统负载情况。</w:t>
            </w:r>
          </w:p>
        </w:tc>
      </w:tr>
    </w:tbl>
    <w:p>
      <w:pPr>
        <w:pStyle w:val="4"/>
        <w:numPr>
          <w:ilvl w:val="0"/>
          <w:numId w:val="0"/>
        </w:numPr>
        <w:spacing w:line="360" w:lineRule="auto"/>
        <w:ind w:right="25" w:rightChars="0"/>
        <w:jc w:val="both"/>
        <w:rPr>
          <w:rFonts w:hint="eastAsia" w:ascii="宋体" w:hAnsi="宋体" w:eastAsia="宋体" w:cs="宋体"/>
          <w:sz w:val="24"/>
          <w:szCs w:val="24"/>
        </w:rPr>
      </w:pPr>
      <w:bookmarkStart w:id="75" w:name="_Toc128762285"/>
      <w:r>
        <w:rPr>
          <w:rFonts w:hint="eastAsia" w:ascii="宋体" w:hAnsi="宋体" w:eastAsia="宋体" w:cs="宋体"/>
          <w:sz w:val="24"/>
          <w:szCs w:val="24"/>
          <w:lang w:val="en-US" w:eastAsia="zh-CN"/>
        </w:rPr>
        <w:t>3.</w:t>
      </w:r>
      <w:r>
        <w:rPr>
          <w:rFonts w:hint="eastAsia" w:ascii="宋体" w:hAnsi="宋体" w:eastAsia="宋体" w:cs="宋体"/>
          <w:sz w:val="24"/>
          <w:szCs w:val="24"/>
        </w:rPr>
        <w:t>网络安全综合分析服务</w:t>
      </w:r>
      <w:bookmarkEnd w:id="75"/>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威胁分析服务</w:t>
      </w:r>
    </w:p>
    <w:tbl>
      <w:tblPr>
        <w:tblStyle w:val="22"/>
        <w:tblW w:w="90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65"/>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shd w:val="clear" w:color="auto" w:fill="E2EFDA" w:themeFill="accent6" w:themeFillTint="32"/>
          </w:tcPr>
          <w:p>
            <w:pPr>
              <w:widowControl/>
              <w:spacing w:line="360" w:lineRule="auto"/>
              <w:jc w:val="center"/>
              <w:textAlignment w:val="bottom"/>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指标能力</w:t>
            </w:r>
          </w:p>
        </w:tc>
        <w:tc>
          <w:tcPr>
            <w:tcW w:w="1165" w:type="dxa"/>
            <w:shd w:val="clear" w:color="auto" w:fill="E2EFDA" w:themeFill="accent6" w:themeFillTint="32"/>
          </w:tcPr>
          <w:p>
            <w:pPr>
              <w:widowControl/>
              <w:spacing w:line="360" w:lineRule="auto"/>
              <w:jc w:val="center"/>
              <w:textAlignment w:val="bottom"/>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指标项目</w:t>
            </w:r>
          </w:p>
        </w:tc>
        <w:tc>
          <w:tcPr>
            <w:tcW w:w="6765" w:type="dxa"/>
            <w:shd w:val="clear" w:color="auto" w:fill="E2EFDA" w:themeFill="accent6" w:themeFillTint="32"/>
          </w:tcPr>
          <w:p>
            <w:pPr>
              <w:widowControl/>
              <w:spacing w:line="360" w:lineRule="auto"/>
              <w:jc w:val="center"/>
              <w:textAlignment w:val="bottom"/>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restart"/>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数据采集</w:t>
            </w: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网络侧数据采集</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网络侧遥测数据采集20种，包含脆弱性、服务探测、主机探测、网站攻击、后门通信、账号爆破、攻击利用、邮件攻击、DOS攻击、黑客工具、异常流量、漏洞攻击、业务风险、DOS攻击、勒索挖矿、僵尸网络、网络协议、NetFlow、Payload、可疑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终端侧遥测数据采集</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支持终端防护遥测数据采集：包含传统杀毒类日志、IOA类日志；</w:t>
            </w:r>
          </w:p>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Windows系统上支持18种系统事件的遥测数据采集：包含进程销毁、文件创建事件修改、文件重命名、文件删除、远程线程注入、注册表删除、进程调用API、驱动加载、模块加载、WMI Filter创建、WMI Consumer创建、WMI Binding创建、计划任务创建、符号链接创建、命名管道创建、命名管道打开、VolumeSnapshot删除、敏感进程访问。</w:t>
            </w:r>
          </w:p>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Linux系统上支持8种系统事件的遥测数据采集：进程创建、文件删除、文件重命名、文件创建、文件修改、DNS请求、网络链接、TCP端口监听。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第三方数据采集</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支持第三方数据采集，可对接第三方开放的一手数据，或现网安全设备日志、网络设备日志、操作系统日志、应用日志、数据库日志、VPN/堡垒机等审计日志；</w:t>
            </w:r>
          </w:p>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接入方式包含</w:t>
            </w:r>
            <w:r>
              <w:rPr>
                <w:rFonts w:hint="eastAsia" w:ascii="宋体" w:hAnsi="宋体" w:eastAsia="宋体" w:cs="宋体"/>
                <w:color w:val="000000"/>
                <w:kern w:val="0"/>
                <w:sz w:val="21"/>
                <w:szCs w:val="21"/>
                <w:lang w:eastAsia="zh-Hans" w:bidi="ar"/>
              </w:rPr>
              <w:t>S</w:t>
            </w:r>
            <w:r>
              <w:rPr>
                <w:rFonts w:hint="eastAsia" w:ascii="宋体" w:hAnsi="宋体" w:eastAsia="宋体" w:cs="宋体"/>
                <w:color w:val="000000"/>
                <w:kern w:val="0"/>
                <w:sz w:val="21"/>
                <w:szCs w:val="21"/>
                <w:lang w:bidi="ar"/>
              </w:rPr>
              <w:t>yslog、</w:t>
            </w:r>
            <w:r>
              <w:rPr>
                <w:rFonts w:hint="eastAsia" w:ascii="宋体" w:hAnsi="宋体" w:eastAsia="宋体" w:cs="宋体"/>
                <w:color w:val="000000"/>
                <w:kern w:val="0"/>
                <w:sz w:val="21"/>
                <w:szCs w:val="21"/>
                <w:lang w:eastAsia="zh-Hans" w:bidi="ar"/>
              </w:rPr>
              <w:t>K</w:t>
            </w:r>
            <w:r>
              <w:rPr>
                <w:rFonts w:hint="eastAsia" w:ascii="宋体" w:hAnsi="宋体" w:eastAsia="宋体" w:cs="宋体"/>
                <w:color w:val="000000"/>
                <w:kern w:val="0"/>
                <w:sz w:val="21"/>
                <w:szCs w:val="21"/>
                <w:lang w:bidi="ar"/>
              </w:rPr>
              <w:t>afka、</w:t>
            </w:r>
            <w:r>
              <w:rPr>
                <w:rFonts w:hint="eastAsia" w:ascii="宋体" w:hAnsi="宋体" w:eastAsia="宋体" w:cs="宋体"/>
                <w:color w:val="000000"/>
                <w:kern w:val="0"/>
                <w:sz w:val="21"/>
                <w:szCs w:val="21"/>
                <w:lang w:eastAsia="zh-Hans" w:bidi="ar"/>
              </w:rPr>
              <w:t>SNMP Trap</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JDBC</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FTP</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SFTP</w:t>
            </w:r>
            <w:r>
              <w:rPr>
                <w:rFonts w:hint="eastAsia" w:ascii="宋体" w:hAnsi="宋体" w:eastAsia="宋体" w:cs="宋体"/>
                <w:color w:val="000000"/>
                <w:kern w:val="0"/>
                <w:sz w:val="21"/>
                <w:szCs w:val="21"/>
                <w:lang w:bidi="ar"/>
              </w:rPr>
              <w:t>；</w:t>
            </w:r>
          </w:p>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解析类型包含正则、kv、csv、grok正则。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威胁检测</w:t>
            </w: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IOA行为</w:t>
            </w:r>
            <w:r>
              <w:rPr>
                <w:rFonts w:hint="eastAsia" w:ascii="宋体" w:hAnsi="宋体" w:eastAsia="宋体" w:cs="宋体"/>
                <w:color w:val="000000"/>
                <w:kern w:val="0"/>
                <w:sz w:val="21"/>
                <w:szCs w:val="21"/>
                <w:lang w:bidi="ar"/>
              </w:rPr>
              <w:t>检测</w:t>
            </w:r>
          </w:p>
        </w:tc>
        <w:tc>
          <w:tcPr>
            <w:tcW w:w="6765" w:type="dxa"/>
          </w:tcPr>
          <w:p>
            <w:pPr>
              <w:widowControl/>
              <w:spacing w:line="360" w:lineRule="auto"/>
              <w:textAlignment w:val="top"/>
              <w:rPr>
                <w:rFonts w:hint="eastAsia" w:ascii="宋体" w:hAnsi="宋体" w:eastAsia="宋体" w:cs="宋体"/>
                <w:sz w:val="21"/>
                <w:szCs w:val="21"/>
              </w:rPr>
            </w:pPr>
            <w:r>
              <w:rPr>
                <w:rFonts w:hint="eastAsia" w:ascii="宋体" w:hAnsi="宋体" w:eastAsia="宋体" w:cs="宋体"/>
                <w:sz w:val="21"/>
                <w:szCs w:val="21"/>
              </w:rPr>
              <w:t>支持攻击指标检测，对攻击者的攻击手法进行检测，指标覆盖ATT&amp;CK所有阶段攻击手法，以检测攻击准确性为目标，通过采集的网端数据进行研判、挖掘。可以发现高级威胁。</w:t>
            </w:r>
          </w:p>
          <w:p>
            <w:pPr>
              <w:widowControl/>
              <w:spacing w:line="360" w:lineRule="auto"/>
              <w:textAlignment w:val="top"/>
              <w:rPr>
                <w:rFonts w:hint="eastAsia" w:ascii="宋体" w:hAnsi="宋体" w:eastAsia="宋体" w:cs="宋体"/>
                <w:sz w:val="21"/>
                <w:szCs w:val="21"/>
              </w:rPr>
            </w:pPr>
            <w:r>
              <w:rPr>
                <w:rFonts w:hint="eastAsia" w:ascii="宋体" w:hAnsi="宋体" w:eastAsia="宋体" w:cs="宋体"/>
                <w:sz w:val="21"/>
                <w:szCs w:val="21"/>
                <w:lang w:eastAsia="zh-Hans"/>
              </w:rPr>
              <w:t>支持自定义IOA规则。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特征检测</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支持IOC失陷指标检测，包含WAF、IPS、威胁情报、黑客工具、攻击利用成功、僵尸网络多种规则库。</w:t>
            </w:r>
          </w:p>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支持16种分析检测引擎，包含AD域行为分析、DNS流量分析、HTTP流量分析、邮件检测、SMB协议流量分析、SIEM日志关联分析、 威胁情报关联分析、文件威胁检测、脆弱性检测、 UEBA分析、内网安全检测、 账号安全检测、恶意脚本分析、 HTTPS加密流量检测、攻击溯源分析、视频设备安全检测。</w:t>
            </w:r>
          </w:p>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支持自定义IOC规则。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异常行为检测</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UEBA异常行为检测，通过对内部用户和资产的行为分析，进行持续的学习和行为画像构建，以基线画像的形式检测易于基线的异常行为作为入口点，结合以降维、聚类、决策树为主的计算处理模型发现异常行为，对用户/资产进行综合评分，识别已入侵的潜伏威胁、外部入侵行为提前预警，应用场景有账号登录异常、数据库异常、外联异常、外发数据异常、访问异常、账号爆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关联分析</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支持将终端侧和网络侧收集的数据，与云端威胁情报、资产、时间等因子做时间线关联、因果推断，最终生成平台侧的关联事件。</w:t>
            </w:r>
          </w:p>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支持内置分析规则104</w:t>
            </w:r>
            <w:r>
              <w:rPr>
                <w:rFonts w:hint="eastAsia" w:ascii="宋体" w:hAnsi="宋体" w:eastAsia="宋体" w:cs="宋体"/>
                <w:color w:val="000000"/>
                <w:kern w:val="0"/>
                <w:sz w:val="21"/>
                <w:szCs w:val="21"/>
                <w:lang w:eastAsia="zh-Hans" w:bidi="ar"/>
              </w:rPr>
              <w:t>条</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支持</w:t>
            </w:r>
            <w:r>
              <w:rPr>
                <w:rFonts w:hint="eastAsia" w:ascii="宋体" w:hAnsi="宋体" w:eastAsia="宋体" w:cs="宋体"/>
                <w:color w:val="000000"/>
                <w:kern w:val="0"/>
                <w:sz w:val="21"/>
                <w:szCs w:val="21"/>
                <w:lang w:bidi="ar"/>
              </w:rPr>
              <w:t>自定义分析规则。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restart"/>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监控管理</w:t>
            </w:r>
          </w:p>
        </w:tc>
        <w:tc>
          <w:tcPr>
            <w:tcW w:w="11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监控总览</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首页展示风险总览、包括安全事件总览、资产统计、接入设备展示包括不仅限于防火墙、探针、EDR、CWPP，待处置安全事件TOP5、云端威胁狩猎报告总览、攻击面TOP5、脆弱性资产TOP5、风险资产分布及风险资产发生趋势、待处置安全事件分布及安全事件发生趋势。可清楚明晰下一步处置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监控大屏</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支持不同安全视角展示2个独立的大屏展示功能 ，包括安全告警态势大屏、资产态势大屏等，</w:t>
            </w:r>
            <w:r>
              <w:rPr>
                <w:rFonts w:hint="eastAsia" w:ascii="宋体" w:hAnsi="宋体" w:eastAsia="宋体" w:cs="宋体"/>
                <w:color w:val="000000"/>
                <w:kern w:val="0"/>
                <w:sz w:val="21"/>
                <w:szCs w:val="21"/>
                <w:lang w:eastAsia="zh-Hans" w:bidi="ar"/>
              </w:rPr>
              <w:t>支持自定义大屏</w:t>
            </w:r>
            <w:r>
              <w:rPr>
                <w:rFonts w:hint="eastAsia" w:ascii="宋体" w:hAnsi="宋体" w:eastAsia="宋体" w:cs="宋体"/>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安全调查</w:t>
            </w:r>
          </w:p>
        </w:tc>
        <w:tc>
          <w:tcPr>
            <w:tcW w:w="1165" w:type="dxa"/>
            <w:vMerge w:val="restart"/>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安全事件</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支持对事件等级、威胁标签、数据源、处置状态等进行快速筛选，并提供简易模式和专家模式两种调查方式，简易模式可基于字段名称进行检索、专家</w:t>
            </w:r>
            <w:r>
              <w:rPr>
                <w:rFonts w:hint="eastAsia" w:ascii="宋体" w:hAnsi="宋体" w:eastAsia="宋体" w:cs="宋体"/>
                <w:color w:val="auto"/>
                <w:kern w:val="0"/>
                <w:sz w:val="21"/>
                <w:szCs w:val="21"/>
                <w:lang w:bidi="ar"/>
              </w:rPr>
              <w:t>模式采用SPL语句检索。</w:t>
            </w:r>
            <w:r>
              <w:rPr>
                <w:rFonts w:hint="eastAsia" w:ascii="宋体" w:hAnsi="宋体" w:eastAsia="宋体" w:cs="宋体"/>
                <w:color w:val="auto"/>
                <w:kern w:val="0"/>
                <w:sz w:val="21"/>
                <w:szCs w:val="21"/>
                <w:lang w:eastAsia="zh-Hans" w:bidi="ar"/>
              </w:rPr>
              <w:t>支持保存检索条件。</w:t>
            </w:r>
            <w:r>
              <w:rPr>
                <w:rFonts w:hint="eastAsia" w:ascii="宋体" w:hAnsi="宋体" w:eastAsia="宋体" w:cs="宋体"/>
                <w:color w:val="auto"/>
                <w:kern w:val="0"/>
                <w:sz w:val="21"/>
                <w:szCs w:val="21"/>
                <w:lang w:bidi="ar"/>
              </w:rPr>
              <w:t>（需提供截图证明并加盖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6765" w:type="dxa"/>
          </w:tcPr>
          <w:p>
            <w:pPr>
              <w:widowControl/>
              <w:spacing w:line="360" w:lineRule="auto"/>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支持安全事件详情总览，包括安全事件名称，安全事件等级、数据源、处置状态、事件编号、告警举证数、资产IP、事件描述等，同时提供</w:t>
            </w:r>
            <w:r>
              <w:rPr>
                <w:rFonts w:hint="eastAsia" w:ascii="宋体" w:hAnsi="宋体" w:eastAsia="宋体" w:cs="宋体"/>
                <w:kern w:val="0"/>
                <w:sz w:val="21"/>
                <w:szCs w:val="21"/>
                <w:lang w:eastAsia="zh-Hans" w:bidi="ar"/>
              </w:rPr>
              <w:t>ATT&amp;CK</w:t>
            </w:r>
            <w:r>
              <w:rPr>
                <w:rFonts w:hint="eastAsia" w:ascii="宋体" w:hAnsi="宋体" w:eastAsia="宋体" w:cs="宋体"/>
                <w:kern w:val="0"/>
                <w:sz w:val="21"/>
                <w:szCs w:val="21"/>
                <w:lang w:bidi="ar"/>
              </w:rPr>
              <w:t>命中</w:t>
            </w:r>
            <w:r>
              <w:rPr>
                <w:rFonts w:hint="eastAsia" w:ascii="宋体" w:hAnsi="宋体" w:eastAsia="宋体" w:cs="宋体"/>
                <w:kern w:val="0"/>
                <w:sz w:val="21"/>
                <w:szCs w:val="21"/>
                <w:lang w:eastAsia="zh-Hans" w:bidi="ar"/>
              </w:rPr>
              <w:t>次数</w:t>
            </w:r>
            <w:r>
              <w:rPr>
                <w:rFonts w:hint="eastAsia" w:ascii="宋体" w:hAnsi="宋体" w:eastAsia="宋体" w:cs="宋体"/>
                <w:kern w:val="0"/>
                <w:sz w:val="21"/>
                <w:szCs w:val="21"/>
                <w:lang w:bidi="ar"/>
              </w:rPr>
              <w:t>缩略图、攻击故事线、告警详情、响应处置、攻击入口还原、</w:t>
            </w:r>
            <w:r>
              <w:rPr>
                <w:rFonts w:hint="eastAsia" w:ascii="宋体" w:hAnsi="宋体" w:eastAsia="宋体" w:cs="宋体"/>
                <w:kern w:val="0"/>
                <w:sz w:val="21"/>
                <w:szCs w:val="21"/>
                <w:lang w:eastAsia="zh-Hans" w:bidi="ar"/>
              </w:rPr>
              <w:t>历史攻击回溯、</w:t>
            </w:r>
            <w:r>
              <w:rPr>
                <w:rFonts w:hint="eastAsia" w:ascii="宋体" w:hAnsi="宋体" w:eastAsia="宋体" w:cs="宋体"/>
                <w:kern w:val="0"/>
                <w:sz w:val="21"/>
                <w:szCs w:val="21"/>
                <w:lang w:bidi="ar"/>
              </w:rPr>
              <w:t>业务攻击面分析的展示，可在详情总览实现一键遏制。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6765" w:type="dxa"/>
          </w:tcPr>
          <w:p>
            <w:pPr>
              <w:widowControl/>
              <w:spacing w:line="360" w:lineRule="auto"/>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支持查看ATT&amp;CK攻击矩阵攻击命中全景图并匹配对应告警，可清晰了解安全事件中被黑客技战术利用的情况，提升研判效率。同时可查阅命中技术ID、命中次数、技术描述和参考来源。（需提供截图证明）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6765" w:type="dxa"/>
          </w:tcPr>
          <w:p>
            <w:pPr>
              <w:widowControl/>
              <w:spacing w:line="360" w:lineRule="auto"/>
              <w:textAlignment w:val="top"/>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支持通过安全事件详情查看攻击故事线。安全事件按照</w:t>
            </w:r>
            <w:r>
              <w:rPr>
                <w:rFonts w:hint="eastAsia" w:ascii="宋体" w:hAnsi="宋体" w:eastAsia="宋体" w:cs="宋体"/>
                <w:kern w:val="0"/>
                <w:sz w:val="21"/>
                <w:szCs w:val="21"/>
                <w:lang w:eastAsia="zh-Hans" w:bidi="ar"/>
              </w:rPr>
              <w:t>攻击入口和</w:t>
            </w:r>
            <w:r>
              <w:rPr>
                <w:rFonts w:hint="eastAsia" w:ascii="宋体" w:hAnsi="宋体" w:eastAsia="宋体" w:cs="宋体"/>
                <w:kern w:val="0"/>
                <w:sz w:val="21"/>
                <w:szCs w:val="21"/>
                <w:lang w:bidi="ar"/>
              </w:rPr>
              <w:t>进程树的视角进行安全分析。可详细点开进程链中任意进程查看进程详情，包括基础信息、威胁告警、网络连接行为、文件行为、域名访问行为、模块加载行为，并且自带解码工具。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对安全事件推送处置和响应建议，响应建议包括原理介绍、危害影响、处置建议。通过建议描述、业务影响标签和安全效果标签清晰明确指导下一步响应动作，可一键封禁IP、隔离主机等。（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风险资产</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支持风险资产总览，对包括影响资产、风险等级、威胁标签、资产类型、事件数、漏洞/弱密码攻击面情况、最近检测时间等进行展示。可自定义编辑风险资产统计图。</w:t>
            </w:r>
            <w:r>
              <w:rPr>
                <w:rFonts w:hint="eastAsia" w:ascii="宋体" w:hAnsi="宋体" w:eastAsia="宋体" w:cs="宋体"/>
                <w:color w:val="000000"/>
                <w:kern w:val="0"/>
                <w:sz w:val="21"/>
                <w:szCs w:val="21"/>
                <w:lang w:eastAsia="zh-Hans" w:bidi="ar"/>
              </w:rPr>
              <w:t>可通过风险等级、标签、重要级别、资产类型、数据源对资产进行筛选。可导出风险资产列表。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安全告警</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安全告警的高级筛选功能，可对告警的名称、告警等级、攻击标签、处置动作、主机IP、源IP、目的IP、攻击结果、处置动作、等进行告警筛选，可对重点关注资产、重点关注告警类型、重点关注攻击者进行设置筛选和标示，支持数据导出。支持对安全告警的处置操作，包括标记处置状态、封堵地址、隔离主机、处置文件、信任文件、加白名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安全日志</w:t>
            </w:r>
          </w:p>
        </w:tc>
        <w:tc>
          <w:tcPr>
            <w:tcW w:w="6765" w:type="dxa"/>
          </w:tcPr>
          <w:p>
            <w:pPr>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支持对收集的日志进行检索，包括网端安全</w:t>
            </w:r>
            <w:r>
              <w:rPr>
                <w:rFonts w:hint="eastAsia" w:ascii="宋体" w:hAnsi="宋体" w:eastAsia="宋体" w:cs="宋体"/>
                <w:color w:val="000000"/>
                <w:kern w:val="0"/>
                <w:sz w:val="21"/>
                <w:szCs w:val="21"/>
                <w:lang w:eastAsia="zh-Hans" w:bidi="ar"/>
              </w:rPr>
              <w:t>检测</w:t>
            </w:r>
            <w:r>
              <w:rPr>
                <w:rFonts w:hint="eastAsia" w:ascii="宋体" w:hAnsi="宋体" w:eastAsia="宋体" w:cs="宋体"/>
                <w:color w:val="000000"/>
                <w:kern w:val="0"/>
                <w:sz w:val="21"/>
                <w:szCs w:val="21"/>
                <w:lang w:bidi="ar"/>
              </w:rPr>
              <w:t>日志、端点安全</w:t>
            </w:r>
            <w:r>
              <w:rPr>
                <w:rFonts w:hint="eastAsia" w:ascii="宋体" w:hAnsi="宋体" w:eastAsia="宋体" w:cs="宋体"/>
                <w:color w:val="000000"/>
                <w:kern w:val="0"/>
                <w:sz w:val="21"/>
                <w:szCs w:val="21"/>
                <w:lang w:eastAsia="zh-Hans" w:bidi="ar"/>
              </w:rPr>
              <w:t>检测</w:t>
            </w:r>
            <w:r>
              <w:rPr>
                <w:rFonts w:hint="eastAsia" w:ascii="宋体" w:hAnsi="宋体" w:eastAsia="宋体" w:cs="宋体"/>
                <w:color w:val="000000"/>
                <w:kern w:val="0"/>
                <w:sz w:val="21"/>
                <w:szCs w:val="21"/>
                <w:lang w:bidi="ar"/>
              </w:rPr>
              <w:t>日志、</w:t>
            </w:r>
            <w:r>
              <w:rPr>
                <w:rFonts w:hint="eastAsia" w:ascii="宋体" w:hAnsi="宋体" w:eastAsia="宋体" w:cs="宋体"/>
                <w:color w:val="000000"/>
                <w:kern w:val="0"/>
                <w:sz w:val="21"/>
                <w:szCs w:val="21"/>
                <w:lang w:eastAsia="zh-Hans" w:bidi="ar"/>
              </w:rPr>
              <w:t>流量</w:t>
            </w:r>
            <w:r>
              <w:rPr>
                <w:rFonts w:hint="eastAsia" w:ascii="宋体" w:hAnsi="宋体" w:eastAsia="宋体" w:cs="宋体"/>
                <w:color w:val="000000"/>
                <w:kern w:val="0"/>
                <w:sz w:val="21"/>
                <w:szCs w:val="21"/>
                <w:lang w:bidi="ar"/>
              </w:rPr>
              <w:t>审计日志</w:t>
            </w:r>
            <w:r>
              <w:rPr>
                <w:rFonts w:hint="eastAsia" w:ascii="宋体" w:hAnsi="宋体" w:eastAsia="宋体" w:cs="宋体"/>
                <w:color w:val="000000"/>
                <w:kern w:val="0"/>
                <w:sz w:val="21"/>
                <w:szCs w:val="21"/>
                <w:lang w:eastAsia="zh-Hans" w:bidi="ar"/>
              </w:rPr>
              <w:t>以及第三方</w:t>
            </w:r>
            <w:r>
              <w:rPr>
                <w:rFonts w:hint="eastAsia" w:ascii="宋体" w:hAnsi="宋体" w:eastAsia="宋体" w:cs="宋体"/>
                <w:color w:val="000000"/>
                <w:kern w:val="0"/>
                <w:sz w:val="21"/>
                <w:szCs w:val="21"/>
                <w:lang w:bidi="ar"/>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操作日志</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支持区分账号用户记录平台操作记录，记录包括操作时间、用户名、IP地址、操作类型、操作对象、执行结果、操作描述。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SIEM数据接入</w:t>
            </w:r>
          </w:p>
        </w:tc>
        <w:tc>
          <w:tcPr>
            <w:tcW w:w="6765" w:type="dxa"/>
          </w:tcPr>
          <w:p>
            <w:pPr>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可支持以标准</w:t>
            </w:r>
            <w:r>
              <w:rPr>
                <w:rFonts w:hint="eastAsia" w:ascii="宋体" w:hAnsi="宋体" w:eastAsia="宋体" w:cs="宋体"/>
                <w:color w:val="000000"/>
                <w:kern w:val="0"/>
                <w:sz w:val="21"/>
                <w:szCs w:val="21"/>
                <w:lang w:eastAsia="zh-Hans" w:bidi="ar"/>
              </w:rPr>
              <w:t>S</w:t>
            </w:r>
            <w:r>
              <w:rPr>
                <w:rFonts w:hint="eastAsia" w:ascii="宋体" w:hAnsi="宋体" w:eastAsia="宋体" w:cs="宋体"/>
                <w:color w:val="000000"/>
                <w:kern w:val="0"/>
                <w:sz w:val="21"/>
                <w:szCs w:val="21"/>
                <w:lang w:bidi="ar"/>
              </w:rPr>
              <w:t>yslog、</w:t>
            </w:r>
            <w:r>
              <w:rPr>
                <w:rFonts w:hint="eastAsia" w:ascii="宋体" w:hAnsi="宋体" w:eastAsia="宋体" w:cs="宋体"/>
                <w:color w:val="000000"/>
                <w:kern w:val="0"/>
                <w:sz w:val="21"/>
                <w:szCs w:val="21"/>
                <w:lang w:eastAsia="zh-Hans" w:bidi="ar"/>
              </w:rPr>
              <w:t>K</w:t>
            </w:r>
            <w:r>
              <w:rPr>
                <w:rFonts w:hint="eastAsia" w:ascii="宋体" w:hAnsi="宋体" w:eastAsia="宋体" w:cs="宋体"/>
                <w:color w:val="000000"/>
                <w:kern w:val="0"/>
                <w:sz w:val="21"/>
                <w:szCs w:val="21"/>
                <w:lang w:bidi="ar"/>
              </w:rPr>
              <w:t>afka、</w:t>
            </w:r>
            <w:r>
              <w:rPr>
                <w:rFonts w:hint="eastAsia" w:ascii="宋体" w:hAnsi="宋体" w:eastAsia="宋体" w:cs="宋体"/>
                <w:color w:val="000000"/>
                <w:kern w:val="0"/>
                <w:sz w:val="21"/>
                <w:szCs w:val="21"/>
                <w:lang w:eastAsia="zh-Hans" w:bidi="ar"/>
              </w:rPr>
              <w:t>SNMP Trap</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JDBC</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FTP</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SFTP</w:t>
            </w:r>
            <w:r>
              <w:rPr>
                <w:rFonts w:hint="eastAsia" w:ascii="宋体" w:hAnsi="宋体" w:eastAsia="宋体" w:cs="宋体"/>
                <w:color w:val="000000"/>
                <w:kern w:val="0"/>
                <w:sz w:val="21"/>
                <w:szCs w:val="21"/>
                <w:lang w:bidi="ar"/>
              </w:rPr>
              <w:t>接收第三方设备日志并存储，如防火墙、上网行为审计、应用交互、态势感知、扫描器、抗DDoS、DLP、UTM、IPS、网站入侵检测、数据库防火墙、沙箱、蜜罐等，解析规则不低于800种，涵盖安全设备、网络设备、操作系统、中间件、服务、应用系统等，采集数据多维丰富。</w:t>
            </w:r>
            <w:r>
              <w:rPr>
                <w:rFonts w:hint="eastAsia" w:ascii="宋体" w:hAnsi="宋体" w:eastAsia="宋体" w:cs="宋体"/>
                <w:color w:val="000000"/>
                <w:kern w:val="0"/>
                <w:sz w:val="21"/>
                <w:szCs w:val="21"/>
                <w:lang w:eastAsia="zh-Hans" w:bidi="ar"/>
              </w:rPr>
              <w:t>支持新增、编辑、启用、禁用解析规则，并监控日志源连通状态，当日采集、解析日志数。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Hans" w:bidi="ar"/>
              </w:rPr>
              <w:t>SIEM</w:t>
            </w:r>
            <w:r>
              <w:rPr>
                <w:rFonts w:hint="eastAsia" w:ascii="宋体" w:hAnsi="宋体" w:eastAsia="宋体" w:cs="宋体"/>
                <w:color w:val="000000"/>
                <w:kern w:val="0"/>
                <w:sz w:val="21"/>
                <w:szCs w:val="21"/>
                <w:lang w:bidi="ar"/>
              </w:rPr>
              <w:t>数据分析</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支持内置CC通信、VPN安全、主机异常、堡垒机安全、恶意软件、扫描探测、拒绝服务、暴力破解、漏洞利用、网站攻击、邮件安全等维度的数据分析规则</w:t>
            </w:r>
            <w:r>
              <w:rPr>
                <w:rFonts w:hint="eastAsia" w:ascii="宋体" w:hAnsi="宋体" w:eastAsia="宋体" w:cs="宋体"/>
                <w:color w:val="000000"/>
                <w:kern w:val="0"/>
                <w:sz w:val="21"/>
                <w:szCs w:val="21"/>
                <w:lang w:eastAsia="zh-Hans" w:bidi="ar"/>
              </w:rPr>
              <w:t>不低于100条</w:t>
            </w:r>
            <w:r>
              <w:rPr>
                <w:rFonts w:hint="eastAsia" w:ascii="宋体" w:hAnsi="宋体" w:eastAsia="宋体" w:cs="宋体"/>
                <w:color w:val="000000"/>
                <w:kern w:val="0"/>
                <w:sz w:val="21"/>
                <w:szCs w:val="21"/>
                <w:lang w:bidi="ar"/>
              </w:rPr>
              <w:t>。可自定义新增匹配或统计规则，</w:t>
            </w:r>
            <w:r>
              <w:rPr>
                <w:rFonts w:hint="eastAsia" w:ascii="宋体" w:hAnsi="宋体" w:eastAsia="宋体" w:cs="宋体"/>
                <w:color w:val="000000"/>
                <w:kern w:val="0"/>
                <w:sz w:val="21"/>
                <w:szCs w:val="21"/>
                <w:lang w:eastAsia="zh-Hans" w:bidi="ar"/>
              </w:rPr>
              <w:t>可启用或禁用解析规则。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restart"/>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攻击面</w:t>
            </w:r>
          </w:p>
        </w:tc>
        <w:tc>
          <w:tcPr>
            <w:tcW w:w="1165" w:type="dxa"/>
            <w:vMerge w:val="restart"/>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脆弱性</w:t>
            </w: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以资产视角，对终端遥测及网络遥测扫描到的资产脆弱性进行展示，可对资产修复优先级、风险类型、风险资产及资产组名、责任人等标签进行筛选，并通过图表进行统计展示资产修复优先级情况、脆弱性统计情况、资产脆弱性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bidi="ar"/>
              </w:rPr>
              <w:t>支持以风险视角，对脆弱性风险进行展示，可对脆弱性类型、威胁标签、修复优先级、检测方式、脆弱性名称、数据源等标签进行筛选，并通过图表进行展示脆弱性修复优先级情况、弱密码类型TOP5，影响主机数TOP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67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资产脆弱性详情基于漏洞和弱密码展示不同资产的脆弱性总览；漏洞会展示漏洞名称、CVE-ID、标签、等级、数量、扫描原理等信息，并可以基于修复优先级、威胁标签、扫描原理等进行高级筛选。</w:t>
            </w:r>
          </w:p>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单个漏洞展开会展示</w:t>
            </w:r>
            <w:r>
              <w:rPr>
                <w:rFonts w:hint="eastAsia" w:ascii="宋体" w:hAnsi="宋体" w:eastAsia="宋体" w:cs="宋体"/>
                <w:color w:val="000000"/>
                <w:kern w:val="0"/>
                <w:sz w:val="21"/>
                <w:szCs w:val="21"/>
                <w:lang w:eastAsia="zh-Hans" w:bidi="ar"/>
              </w:rPr>
              <w:t>基础信息、漏洞介绍、解决方案、影响组件、攻击情报、举证信息</w:t>
            </w:r>
            <w:r>
              <w:rPr>
                <w:rFonts w:hint="eastAsia" w:ascii="宋体" w:hAnsi="宋体" w:eastAsia="宋体" w:cs="宋体"/>
                <w:color w:val="000000"/>
                <w:kern w:val="0"/>
                <w:sz w:val="21"/>
                <w:szCs w:val="21"/>
                <w:lang w:bidi="ar"/>
              </w:rPr>
              <w:t>等。</w:t>
            </w:r>
          </w:p>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弱密码展示不同账号的弱密码信息，</w:t>
            </w:r>
            <w:r>
              <w:rPr>
                <w:rFonts w:hint="eastAsia" w:ascii="宋体" w:hAnsi="宋体" w:eastAsia="宋体" w:cs="宋体"/>
                <w:color w:val="000000"/>
                <w:kern w:val="0"/>
                <w:sz w:val="21"/>
                <w:szCs w:val="21"/>
                <w:lang w:eastAsia="zh-Hans" w:bidi="ar"/>
              </w:rPr>
              <w:t>包括修复优先级、互联网暴露、弱密码类型、数据源、发现时间等</w:t>
            </w:r>
            <w:r>
              <w:rPr>
                <w:rFonts w:hint="eastAsia" w:ascii="宋体" w:hAnsi="宋体" w:eastAsia="宋体" w:cs="宋体"/>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风险应用检查</w:t>
            </w:r>
          </w:p>
        </w:tc>
        <w:tc>
          <w:tcPr>
            <w:tcW w:w="6765" w:type="dxa"/>
          </w:tcPr>
          <w:p>
            <w:pPr>
              <w:widowControl/>
              <w:spacing w:line="360" w:lineRule="auto"/>
              <w:textAlignment w:val="top"/>
              <w:rPr>
                <w:rFonts w:hint="eastAsia" w:ascii="宋体" w:hAnsi="宋体" w:eastAsia="宋体" w:cs="宋体"/>
                <w:color w:val="auto"/>
                <w:kern w:val="0"/>
                <w:sz w:val="21"/>
                <w:szCs w:val="21"/>
                <w:lang w:eastAsia="zh-Hans"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Hans" w:bidi="ar"/>
              </w:rPr>
              <w:t>支持针对风险应用查看是否有资产安装该应用，并查看该资产上风险应用的数量及风险应用的介绍。</w:t>
            </w:r>
            <w:r>
              <w:rPr>
                <w:rFonts w:hint="eastAsia" w:ascii="宋体" w:hAnsi="宋体" w:eastAsia="宋体" w:cs="宋体"/>
                <w:color w:val="auto"/>
                <w:kern w:val="0"/>
                <w:sz w:val="21"/>
                <w:szCs w:val="21"/>
                <w:lang w:bidi="ar"/>
              </w:rPr>
              <w:t>（需提供截图证明并加盖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restart"/>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响应策略</w:t>
            </w:r>
          </w:p>
        </w:tc>
        <w:tc>
          <w:tcPr>
            <w:tcW w:w="1165" w:type="dxa"/>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封禁IP管理</w:t>
            </w:r>
          </w:p>
        </w:tc>
        <w:tc>
          <w:tcPr>
            <w:tcW w:w="6765" w:type="dxa"/>
          </w:tcPr>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支持配置规则可按IP/域名/url联动防火墙设备进行封堵，封禁时长可按天/时/分细粒度进行设置。可对封禁对象进行删除、解封、再次封禁等操作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bidi="ar"/>
              </w:rPr>
              <w:t>隔离</w:t>
            </w:r>
            <w:r>
              <w:rPr>
                <w:rFonts w:hint="eastAsia" w:ascii="宋体" w:hAnsi="宋体" w:eastAsia="宋体" w:cs="宋体"/>
                <w:color w:val="000000"/>
                <w:kern w:val="0"/>
                <w:sz w:val="21"/>
                <w:szCs w:val="21"/>
                <w:lang w:eastAsia="zh-Hans" w:bidi="ar"/>
              </w:rPr>
              <w:t>主机</w:t>
            </w:r>
          </w:p>
        </w:tc>
        <w:tc>
          <w:tcPr>
            <w:tcW w:w="6765" w:type="dxa"/>
          </w:tcPr>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支持联动EDR/CWPP进行隔离主机，支持隔离主机的管理，展示隔离主机的详细信息，包括主机名、操作人、处置时间、隔离状态和联动设备等，可对已隔离的主机进行解除隔离。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白名单</w:t>
            </w:r>
          </w:p>
        </w:tc>
        <w:tc>
          <w:tcPr>
            <w:tcW w:w="6765" w:type="dxa"/>
          </w:tcPr>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配置规则支持按源IP、源端口、目的IP、目的端口、告警规则ID、日志规则ID、域名、X-Forwarded-F、CVE-ID等字段，进行=或in加白，支持配置加白时长。已添加的规则支持搜索和批量删除（需提供截图证明并加盖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阻断进程记录</w:t>
            </w:r>
          </w:p>
        </w:tc>
        <w:tc>
          <w:tcPr>
            <w:tcW w:w="6765" w:type="dxa"/>
          </w:tcPr>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支持阻断进程记录的展示，包括匹配条件、参数、所属资产、关联告警、关联事件、</w:t>
            </w:r>
            <w:r>
              <w:rPr>
                <w:rFonts w:hint="eastAsia" w:ascii="宋体" w:hAnsi="宋体" w:eastAsia="宋体" w:cs="宋体"/>
                <w:color w:val="auto"/>
                <w:kern w:val="0"/>
                <w:sz w:val="21"/>
                <w:szCs w:val="21"/>
                <w:lang w:eastAsia="zh-Hans" w:bidi="ar"/>
              </w:rPr>
              <w:t>处置人、处置时间、联动设备</w:t>
            </w:r>
            <w:r>
              <w:rPr>
                <w:rFonts w:hint="eastAsia" w:ascii="宋体" w:hAnsi="宋体" w:eastAsia="宋体" w:cs="宋体"/>
                <w:color w:val="auto"/>
                <w:kern w:val="0"/>
                <w:sz w:val="21"/>
                <w:szCs w:val="21"/>
                <w:lang w:bidi="ar"/>
              </w:rPr>
              <w:t>等。并支持检索。（需提供截图证明并加盖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98" w:type="dxa"/>
            <w:vMerge w:val="continue"/>
          </w:tcPr>
          <w:p>
            <w:pPr>
              <w:widowControl/>
              <w:spacing w:line="360" w:lineRule="auto"/>
              <w:textAlignment w:val="top"/>
              <w:rPr>
                <w:rFonts w:hint="eastAsia" w:ascii="宋体" w:hAnsi="宋体" w:eastAsia="宋体" w:cs="宋体"/>
                <w:color w:val="000000"/>
                <w:kern w:val="0"/>
                <w:sz w:val="21"/>
                <w:szCs w:val="21"/>
                <w:lang w:bidi="ar"/>
              </w:rPr>
            </w:pPr>
          </w:p>
        </w:tc>
        <w:tc>
          <w:tcPr>
            <w:tcW w:w="1165" w:type="dxa"/>
          </w:tcPr>
          <w:p>
            <w:pPr>
              <w:widowControl/>
              <w:spacing w:line="360" w:lineRule="auto"/>
              <w:textAlignment w:val="top"/>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拦截域名</w:t>
            </w:r>
          </w:p>
        </w:tc>
        <w:tc>
          <w:tcPr>
            <w:tcW w:w="6765" w:type="dxa"/>
          </w:tcPr>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w:t>
            </w:r>
            <w:r>
              <w:rPr>
                <w:rFonts w:hint="eastAsia" w:ascii="宋体" w:hAnsi="宋体" w:eastAsia="宋体" w:cs="宋体"/>
                <w:color w:val="auto"/>
                <w:kern w:val="0"/>
                <w:sz w:val="21"/>
                <w:szCs w:val="21"/>
                <w:lang w:eastAsia="zh-Hans" w:bidi="ar"/>
              </w:rPr>
              <w:t>拦截域名</w:t>
            </w:r>
            <w:r>
              <w:rPr>
                <w:rFonts w:hint="eastAsia" w:ascii="宋体" w:hAnsi="宋体" w:eastAsia="宋体" w:cs="宋体"/>
                <w:color w:val="auto"/>
                <w:kern w:val="0"/>
                <w:sz w:val="21"/>
                <w:szCs w:val="21"/>
                <w:lang w:bidi="ar"/>
              </w:rPr>
              <w:t>记录的展示，包括匹配</w:t>
            </w:r>
            <w:r>
              <w:rPr>
                <w:rFonts w:hint="eastAsia" w:ascii="宋体" w:hAnsi="宋体" w:eastAsia="宋体" w:cs="宋体"/>
                <w:color w:val="auto"/>
                <w:kern w:val="0"/>
                <w:sz w:val="21"/>
                <w:szCs w:val="21"/>
                <w:lang w:eastAsia="zh-Hans" w:bidi="ar"/>
              </w:rPr>
              <w:t>方式</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Hans" w:bidi="ar"/>
              </w:rPr>
              <w:t>生效</w:t>
            </w:r>
            <w:r>
              <w:rPr>
                <w:rFonts w:hint="eastAsia" w:ascii="宋体" w:hAnsi="宋体" w:eastAsia="宋体" w:cs="宋体"/>
                <w:color w:val="auto"/>
                <w:kern w:val="0"/>
                <w:sz w:val="21"/>
                <w:szCs w:val="21"/>
                <w:lang w:bidi="ar"/>
              </w:rPr>
              <w:t>资产、</w:t>
            </w:r>
            <w:r>
              <w:rPr>
                <w:rFonts w:hint="eastAsia" w:ascii="宋体" w:hAnsi="宋体" w:eastAsia="宋体" w:cs="宋体"/>
                <w:color w:val="auto"/>
                <w:kern w:val="0"/>
                <w:sz w:val="21"/>
                <w:szCs w:val="21"/>
                <w:lang w:eastAsia="zh-Hans" w:bidi="ar"/>
              </w:rPr>
              <w:t>处置状态、</w:t>
            </w:r>
            <w:r>
              <w:rPr>
                <w:rFonts w:hint="eastAsia" w:ascii="宋体" w:hAnsi="宋体" w:eastAsia="宋体" w:cs="宋体"/>
                <w:color w:val="auto"/>
                <w:kern w:val="0"/>
                <w:sz w:val="21"/>
                <w:szCs w:val="21"/>
                <w:lang w:bidi="ar"/>
              </w:rPr>
              <w:t>关联告警、关联事件、</w:t>
            </w:r>
            <w:r>
              <w:rPr>
                <w:rFonts w:hint="eastAsia" w:ascii="宋体" w:hAnsi="宋体" w:eastAsia="宋体" w:cs="宋体"/>
                <w:color w:val="auto"/>
                <w:kern w:val="0"/>
                <w:sz w:val="21"/>
                <w:szCs w:val="21"/>
                <w:lang w:eastAsia="zh-Hans" w:bidi="ar"/>
              </w:rPr>
              <w:t>处置人、处置时间、联动设备</w:t>
            </w:r>
            <w:r>
              <w:rPr>
                <w:rFonts w:hint="eastAsia" w:ascii="宋体" w:hAnsi="宋体" w:eastAsia="宋体" w:cs="宋体"/>
                <w:color w:val="auto"/>
                <w:kern w:val="0"/>
                <w:sz w:val="21"/>
                <w:szCs w:val="21"/>
                <w:lang w:bidi="ar"/>
              </w:rPr>
              <w:t>等。并支持检索。（需提供截图证明并加盖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w:t>
            </w:r>
          </w:p>
        </w:tc>
      </w:tr>
    </w:tbl>
    <w:p>
      <w:pPr>
        <w:numPr>
          <w:ilvl w:val="0"/>
          <w:numId w:val="0"/>
        </w:numPr>
        <w:spacing w:line="360" w:lineRule="auto"/>
        <w:ind w:leftChars="0"/>
        <w:rPr>
          <w:rFonts w:hint="eastAsia" w:ascii="宋体" w:hAnsi="宋体" w:eastAsia="宋体" w:cs="宋体"/>
          <w:sz w:val="24"/>
          <w:szCs w:val="24"/>
        </w:rPr>
      </w:pP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态势感知服务</w:t>
      </w:r>
    </w:p>
    <w:tbl>
      <w:tblPr>
        <w:tblStyle w:val="22"/>
        <w:tblW w:w="90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15"/>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shd w:val="clear" w:color="auto" w:fill="FFFFFF"/>
          </w:tcPr>
          <w:p>
            <w:pPr>
              <w:widowControl/>
              <w:spacing w:line="360" w:lineRule="auto"/>
              <w:jc w:val="both"/>
              <w:textAlignment w:val="bottom"/>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指标能力</w:t>
            </w:r>
          </w:p>
        </w:tc>
        <w:tc>
          <w:tcPr>
            <w:tcW w:w="1115" w:type="dxa"/>
            <w:shd w:val="clear" w:color="auto" w:fill="FFFFFF"/>
          </w:tcPr>
          <w:p>
            <w:pPr>
              <w:widowControl/>
              <w:spacing w:line="360" w:lineRule="auto"/>
              <w:jc w:val="center"/>
              <w:textAlignment w:val="bottom"/>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指标项目</w:t>
            </w:r>
          </w:p>
        </w:tc>
        <w:tc>
          <w:tcPr>
            <w:tcW w:w="6765" w:type="dxa"/>
            <w:shd w:val="clear" w:color="auto" w:fill="FFFFFF"/>
          </w:tcPr>
          <w:p>
            <w:pPr>
              <w:widowControl/>
              <w:spacing w:line="360" w:lineRule="auto"/>
              <w:jc w:val="center"/>
              <w:textAlignment w:val="bottom"/>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restart"/>
            <w:shd w:val="clear" w:color="auto" w:fill="auto"/>
          </w:tcPr>
          <w:p>
            <w:pPr>
              <w:spacing w:line="360" w:lineRule="auto"/>
              <w:jc w:val="center"/>
              <w:rPr>
                <w:rFonts w:hint="eastAsia" w:ascii="宋体" w:hAnsi="宋体" w:eastAsia="宋体" w:cs="宋体"/>
                <w:color w:val="000000"/>
                <w:sz w:val="21"/>
                <w:szCs w:val="21"/>
              </w:rPr>
            </w:pPr>
          </w:p>
          <w:p>
            <w:pPr>
              <w:spacing w:line="360" w:lineRule="auto"/>
              <w:jc w:val="center"/>
              <w:rPr>
                <w:rFonts w:hint="eastAsia" w:ascii="宋体" w:hAnsi="宋体" w:eastAsia="宋体" w:cs="宋体"/>
                <w:color w:val="000000"/>
                <w:sz w:val="21"/>
                <w:szCs w:val="21"/>
              </w:rPr>
            </w:pP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日志采集与关联分析服务</w:t>
            </w: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kern w:val="0"/>
                <w:sz w:val="21"/>
                <w:szCs w:val="21"/>
                <w:lang w:bidi="ar"/>
              </w:rPr>
              <w:t>异常流量分析</w:t>
            </w:r>
          </w:p>
        </w:tc>
        <w:tc>
          <w:tcPr>
            <w:tcW w:w="6765" w:type="dxa"/>
            <w:shd w:val="clear" w:color="auto" w:fill="auto"/>
          </w:tcPr>
          <w:p>
            <w:pPr>
              <w:widowControl/>
              <w:spacing w:line="360" w:lineRule="auto"/>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支持按照对外业务流量可视、横向流量可视、外联流量可视等开放的业务流量情况，展示服务器流量排行、最活跃源主机的内网服务器的流量情况，支持全球地图展示整体外联流量情况。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潜伏威胁黄金眼</w:t>
            </w:r>
          </w:p>
        </w:tc>
        <w:tc>
          <w:tcPr>
            <w:tcW w:w="6765" w:type="dxa"/>
            <w:shd w:val="clear" w:color="auto" w:fill="auto"/>
          </w:tcPr>
          <w:p>
            <w:pPr>
              <w:widowControl/>
              <w:spacing w:line="360" w:lineRule="auto"/>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bidi="ar"/>
              </w:rPr>
              <w:t>支持可视化的形式展示威胁的影响面，通过大数据分析和关联检索技术，能够直观的看到失陷主机的威胁影响面，同时基于列表模式展示攻击、违规访问、风险访问、可疑行为、正常访问等详细信息，支持攻击溯源功能，分析出首次失陷、疑似入口点、首次遭受攻击等信息；帮助管理人员及时了解威胁的影响，并找到攻击入口点。（需提供截图证明并加盖</w:t>
            </w:r>
            <w:r>
              <w:rPr>
                <w:rFonts w:hint="eastAsia" w:ascii="宋体" w:hAnsi="宋体" w:cs="宋体"/>
                <w:color w:val="000000"/>
                <w:kern w:val="0"/>
                <w:sz w:val="21"/>
                <w:szCs w:val="21"/>
                <w:lang w:eastAsia="zh-CN" w:bidi="ar"/>
              </w:rPr>
              <w:t>投标人</w:t>
            </w:r>
            <w:r>
              <w:rPr>
                <w:rFonts w:hint="eastAsia" w:ascii="宋体" w:hAnsi="宋体" w:eastAsia="宋体" w:cs="宋体"/>
                <w:color w:val="000000"/>
                <w:kern w:val="0"/>
                <w:sz w:val="21"/>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第三方日志接入</w:t>
            </w:r>
          </w:p>
        </w:tc>
        <w:tc>
          <w:tcPr>
            <w:tcW w:w="6765" w:type="dxa"/>
            <w:shd w:val="clear" w:color="auto" w:fill="auto"/>
          </w:tcPr>
          <w:p>
            <w:pPr>
              <w:widowControl/>
              <w:spacing w:line="360" w:lineRule="auto"/>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支持对700+网络安全设备规则，包括网络设备、安全设备、中间件、操作系统等；接入方式支持文件、数据库、API、Syslog、FTP、Snmp trap、Kafka、wmi、webservice、winlogbeat等方式进日志行接入，并支持用户对日志进行自定义解析规则，支持接入设备自动发现功能。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restart"/>
            <w:shd w:val="clear" w:color="auto" w:fill="auto"/>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情报关联与分析服务</w:t>
            </w: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情报威胁检测</w:t>
            </w:r>
          </w:p>
        </w:tc>
        <w:tc>
          <w:tcPr>
            <w:tcW w:w="6765" w:type="dxa"/>
            <w:shd w:val="clear" w:color="auto" w:fill="auto"/>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支持APT 情报告警、Rootkit 告警、感染型病毒告警、木马病毒、挖矿病毒、蠕虫病毒、勒索病毒、恶意下载、DGA病毒等情报威胁检测并产生告警。（需提供截图打印</w:t>
            </w:r>
            <w:r>
              <w:rPr>
                <w:rFonts w:hint="eastAsia" w:ascii="宋体" w:hAnsi="宋体" w:cs="宋体"/>
                <w:color w:val="000000"/>
                <w:kern w:val="0"/>
                <w:sz w:val="21"/>
                <w:szCs w:val="21"/>
                <w:lang w:eastAsia="zh-CN" w:bidi="ar"/>
              </w:rPr>
              <w:t>并</w:t>
            </w:r>
            <w:r>
              <w:rPr>
                <w:rFonts w:hint="eastAsia" w:ascii="宋体" w:hAnsi="宋体" w:eastAsia="宋体" w:cs="宋体"/>
                <w:color w:val="000000"/>
                <w:kern w:val="0"/>
                <w:sz w:val="21"/>
                <w:szCs w:val="21"/>
                <w:lang w:bidi="ar"/>
              </w:rPr>
              <w:t>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w:t>
            </w:r>
            <w:r>
              <w:rPr>
                <w:rFonts w:hint="eastAsia" w:ascii="宋体" w:hAnsi="宋体" w:eastAsia="宋体" w:cs="宋体"/>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威胁感知模块赋能态势感知</w:t>
            </w:r>
          </w:p>
        </w:tc>
        <w:tc>
          <w:tcPr>
            <w:tcW w:w="6765" w:type="dxa"/>
            <w:shd w:val="clear" w:color="auto" w:fill="auto"/>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支持通过网络侧（N）与终端侧（E）关联聚合，可以实现进程级取证，失陷主机定位更精准，并以可视化图谱直观清晰地展示出完整的攻击链，帮助用户快速找到症结，避免全盘查杀对业务产生影响。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威胁情报共享</w:t>
            </w:r>
          </w:p>
        </w:tc>
        <w:tc>
          <w:tcPr>
            <w:tcW w:w="6765" w:type="dxa"/>
            <w:shd w:val="clear" w:color="auto" w:fill="auto"/>
          </w:tcPr>
          <w:p>
            <w:pPr>
              <w:widowControl/>
              <w:spacing w:line="360" w:lineRule="auto"/>
              <w:textAlignment w:val="top"/>
              <w:rPr>
                <w:rFonts w:hint="eastAsia" w:ascii="宋体" w:hAnsi="宋体" w:eastAsia="宋体" w:cs="宋体"/>
                <w:color w:val="000000"/>
                <w:kern w:val="0"/>
                <w:sz w:val="21"/>
                <w:szCs w:val="21"/>
                <w:lang w:bidi="ar"/>
              </w:rPr>
            </w:pPr>
            <w:r>
              <w:rPr>
                <w:rStyle w:val="60"/>
                <w:rFonts w:hint="eastAsia" w:ascii="宋体" w:hAnsi="宋体" w:eastAsia="宋体" w:cs="宋体"/>
                <w:sz w:val="21"/>
                <w:szCs w:val="21"/>
                <w:lang w:bidi="ar"/>
              </w:rPr>
              <w:t>支持云端与本地威胁情报共享，实时收集同步攻击者</w:t>
            </w:r>
            <w:r>
              <w:rPr>
                <w:rStyle w:val="61"/>
                <w:rFonts w:hint="eastAsia" w:ascii="宋体" w:hAnsi="宋体" w:eastAsia="宋体" w:cs="宋体"/>
                <w:sz w:val="21"/>
                <w:szCs w:val="21"/>
                <w:lang w:bidi="ar"/>
              </w:rPr>
              <w:t>IP</w:t>
            </w:r>
            <w:r>
              <w:rPr>
                <w:rStyle w:val="60"/>
                <w:rFonts w:hint="eastAsia" w:ascii="宋体" w:hAnsi="宋体" w:eastAsia="宋体" w:cs="宋体"/>
                <w:sz w:val="21"/>
                <w:szCs w:val="21"/>
                <w:lang w:bidi="ar"/>
              </w:rPr>
              <w:t>，并详细展示情报列表，包括</w:t>
            </w:r>
            <w:r>
              <w:rPr>
                <w:rStyle w:val="61"/>
                <w:rFonts w:hint="eastAsia" w:ascii="宋体" w:hAnsi="宋体" w:eastAsia="宋体" w:cs="宋体"/>
                <w:sz w:val="21"/>
                <w:szCs w:val="21"/>
                <w:lang w:bidi="ar"/>
              </w:rPr>
              <w:t>IOC</w:t>
            </w:r>
            <w:r>
              <w:rPr>
                <w:rStyle w:val="60"/>
                <w:rFonts w:hint="eastAsia" w:ascii="宋体" w:hAnsi="宋体" w:eastAsia="宋体" w:cs="宋体"/>
                <w:sz w:val="21"/>
                <w:szCs w:val="21"/>
                <w:lang w:bidi="ar"/>
              </w:rPr>
              <w:t>、区域、来源、更新时间、剩余封锁时间、状态、操作等，并可对本地威胁情报及云端威胁情报联动同品牌防火墙实现自动封锁。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restart"/>
            <w:shd w:val="clear" w:color="auto" w:fill="auto"/>
          </w:tcPr>
          <w:p>
            <w:pPr>
              <w:spacing w:line="360" w:lineRule="auto"/>
              <w:jc w:val="center"/>
              <w:rPr>
                <w:rFonts w:hint="eastAsia" w:ascii="宋体" w:hAnsi="宋体" w:eastAsia="宋体" w:cs="宋体"/>
                <w:color w:val="000000"/>
                <w:sz w:val="21"/>
                <w:szCs w:val="21"/>
              </w:rPr>
            </w:pPr>
          </w:p>
          <w:p>
            <w:pPr>
              <w:spacing w:line="360" w:lineRule="auto"/>
              <w:jc w:val="center"/>
              <w:rPr>
                <w:rFonts w:hint="eastAsia" w:ascii="宋体" w:hAnsi="宋体" w:eastAsia="宋体" w:cs="宋体"/>
                <w:color w:val="000000"/>
                <w:sz w:val="21"/>
                <w:szCs w:val="21"/>
              </w:rPr>
            </w:pPr>
          </w:p>
          <w:p>
            <w:pPr>
              <w:spacing w:line="360" w:lineRule="auto"/>
              <w:jc w:val="center"/>
              <w:rPr>
                <w:rFonts w:hint="eastAsia" w:ascii="宋体" w:hAnsi="宋体" w:eastAsia="宋体" w:cs="宋体"/>
                <w:color w:val="000000"/>
                <w:sz w:val="21"/>
                <w:szCs w:val="21"/>
              </w:rPr>
            </w:pP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多维度威胁检测服务</w:t>
            </w: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主机行为UEBA分析</w:t>
            </w:r>
          </w:p>
        </w:tc>
        <w:tc>
          <w:tcPr>
            <w:tcW w:w="6765" w:type="dxa"/>
            <w:shd w:val="clear" w:color="auto" w:fill="auto"/>
          </w:tcPr>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利用EBA技术进行资产的行为分析，对这些对象进行持续的学习和行为画像构建，以基线画像的形式检测异于基线的异常行为作为入口点，结合以降维、聚类、决策树为主的计算处理模型发现异常用户/资产行为。并支持用户对EBA基线进行自定义调整，优化模型。（需提供截图打印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入侵威胁检测</w:t>
            </w:r>
          </w:p>
        </w:tc>
        <w:tc>
          <w:tcPr>
            <w:tcW w:w="6765" w:type="dxa"/>
            <w:shd w:val="clear" w:color="auto" w:fill="auto"/>
          </w:tcPr>
          <w:p>
            <w:pPr>
              <w:widowControl/>
              <w:spacing w:line="360" w:lineRule="auto"/>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支持端扫描探测攻击、口令爆破攻击、Web 通用攻击、通用组件漏洞攻击、恶意邮件、横向移动攻击、隧道攻击、紧急应用漏洞、黑客工具攻击、漏洞攻击、 WebShell、数据库安全、AD 域安全等攻击检测并产生告警。（需提供截图打印加盖</w:t>
            </w:r>
            <w:r>
              <w:rPr>
                <w:rFonts w:hint="eastAsia" w:ascii="宋体" w:hAnsi="宋体" w:cs="宋体"/>
                <w:color w:val="auto"/>
                <w:kern w:val="0"/>
                <w:sz w:val="21"/>
                <w:szCs w:val="21"/>
                <w:lang w:eastAsia="zh-CN" w:bidi="ar"/>
              </w:rPr>
              <w:t>投标人</w:t>
            </w:r>
            <w:r>
              <w:rPr>
                <w:rFonts w:hint="eastAsia" w:ascii="宋体" w:hAnsi="宋体" w:eastAsia="宋体" w:cs="宋体"/>
                <w:color w:val="auto"/>
                <w:kern w:val="0"/>
                <w:sz w:val="21"/>
                <w:szCs w:val="21"/>
                <w:lang w:bidi="ar"/>
              </w:rPr>
              <w:t>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告警消减</w:t>
            </w:r>
          </w:p>
        </w:tc>
        <w:tc>
          <w:tcPr>
            <w:tcW w:w="6765" w:type="dxa"/>
            <w:shd w:val="clear" w:color="auto" w:fill="auto"/>
          </w:tcPr>
          <w:p>
            <w:pPr>
              <w:widowControl/>
              <w:spacing w:line="360" w:lineRule="auto"/>
              <w:textAlignment w:val="top"/>
              <w:rPr>
                <w:rFonts w:hint="eastAsia" w:ascii="宋体" w:hAnsi="宋体" w:eastAsia="宋体" w:cs="宋体"/>
                <w:color w:val="000000"/>
                <w:kern w:val="0"/>
                <w:sz w:val="21"/>
                <w:szCs w:val="21"/>
                <w:lang w:bidi="ar"/>
              </w:rPr>
            </w:pPr>
            <w:r>
              <w:rPr>
                <w:rStyle w:val="60"/>
                <w:rFonts w:hint="eastAsia" w:ascii="宋体" w:hAnsi="宋体" w:eastAsia="宋体" w:cs="宋体"/>
                <w:sz w:val="21"/>
                <w:szCs w:val="21"/>
                <w:lang w:bidi="ar"/>
              </w:rPr>
              <w:t>支持多维度模糊聚类算法将大量外部攻击日志聚合成少量攻击事件，聚合维度包括攻击</w:t>
            </w:r>
            <w:r>
              <w:rPr>
                <w:rStyle w:val="61"/>
                <w:rFonts w:hint="eastAsia" w:ascii="宋体" w:hAnsi="宋体" w:eastAsia="宋体" w:cs="宋体"/>
                <w:sz w:val="21"/>
                <w:szCs w:val="21"/>
                <w:lang w:bidi="ar"/>
              </w:rPr>
              <w:t>IP</w:t>
            </w:r>
            <w:r>
              <w:rPr>
                <w:rStyle w:val="60"/>
                <w:rFonts w:hint="eastAsia" w:ascii="宋体" w:hAnsi="宋体" w:eastAsia="宋体" w:cs="宋体"/>
                <w:sz w:val="21"/>
                <w:szCs w:val="21"/>
                <w:lang w:bidi="ar"/>
              </w:rPr>
              <w:t>、攻击地址、攻击目标和目标手法。支持根据自身业务和安全运维经验自定义告警/事件，以便提高告警的精确度，减少运维成本。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shd w:val="clear" w:color="auto" w:fill="auto"/>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威胁分析与处置服务</w:t>
            </w: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溯源中心</w:t>
            </w:r>
          </w:p>
        </w:tc>
        <w:tc>
          <w:tcPr>
            <w:tcW w:w="6765" w:type="dxa"/>
            <w:shd w:val="clear" w:color="auto" w:fill="auto"/>
          </w:tcPr>
          <w:p>
            <w:pPr>
              <w:widowControl/>
              <w:spacing w:line="360" w:lineRule="auto"/>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自动化溯源，可自动化复现受害者从最开始的遭受攻击到权限维持各个阶段的黑客行为，包括攻击入口溯源。支持基于可视化的形式展示威胁的影响面，通过大数据分析和关联检索技术，能够直观的看到失陷主机的威胁影响面，同时基于列表模式展示攻击、违规访问、风险访问、可疑行为、正常访问等详细信息。支持攻击溯源功能，分析出首次失陷、疑似入口点、首次遭受攻击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1148" w:type="dxa"/>
            <w:vMerge w:val="restart"/>
            <w:shd w:val="clear" w:color="auto" w:fill="auto"/>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流量采集服务</w:t>
            </w:r>
          </w:p>
        </w:tc>
        <w:tc>
          <w:tcPr>
            <w:tcW w:w="1115" w:type="dxa"/>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基本要求</w:t>
            </w:r>
          </w:p>
        </w:tc>
        <w:tc>
          <w:tcPr>
            <w:tcW w:w="6765" w:type="dxa"/>
            <w:shd w:val="clear" w:color="auto" w:fill="auto"/>
          </w:tcPr>
          <w:p>
            <w:pPr>
              <w:widowControl/>
              <w:spacing w:line="360" w:lineRule="auto"/>
              <w:textAlignment w:val="top"/>
              <w:rPr>
                <w:rFonts w:hint="eastAsia" w:ascii="宋体" w:hAnsi="宋体" w:eastAsia="宋体" w:cs="宋体"/>
                <w:color w:val="000000"/>
                <w:kern w:val="0"/>
                <w:sz w:val="21"/>
                <w:szCs w:val="21"/>
              </w:rPr>
            </w:pPr>
            <w:r>
              <w:rPr>
                <w:rFonts w:hint="eastAsia" w:ascii="宋体" w:hAnsi="宋体" w:eastAsia="宋体" w:cs="宋体"/>
                <w:color w:val="000000"/>
                <w:sz w:val="21"/>
                <w:szCs w:val="21"/>
                <w:lang w:val="zh-TW" w:eastAsia="zh-TW"/>
              </w:rPr>
              <w:t>★</w:t>
            </w:r>
            <w:r>
              <w:rPr>
                <w:rFonts w:hint="eastAsia" w:ascii="宋体" w:hAnsi="宋体" w:eastAsia="宋体" w:cs="宋体"/>
                <w:color w:val="000000"/>
                <w:kern w:val="0"/>
                <w:sz w:val="21"/>
                <w:szCs w:val="21"/>
              </w:rPr>
              <w:t>提供不少于5套流量采集</w:t>
            </w:r>
            <w:r>
              <w:rPr>
                <w:rFonts w:hint="eastAsia" w:ascii="宋体" w:hAnsi="宋体" w:eastAsia="宋体" w:cs="宋体"/>
                <w:color w:val="000000"/>
                <w:sz w:val="21"/>
                <w:szCs w:val="21"/>
              </w:rPr>
              <w:t xml:space="preserve">服务 </w:t>
            </w:r>
            <w:r>
              <w:rPr>
                <w:rFonts w:hint="eastAsia" w:ascii="宋体" w:hAnsi="宋体" w:eastAsia="宋体" w:cs="宋体"/>
                <w:color w:val="000000"/>
                <w:kern w:val="0"/>
                <w:sz w:val="21"/>
                <w:szCs w:val="21"/>
              </w:rPr>
              <w:t>；其中2套（</w:t>
            </w:r>
            <w:r>
              <w:rPr>
                <w:rFonts w:hint="eastAsia" w:ascii="宋体" w:hAnsi="宋体" w:eastAsia="宋体" w:cs="宋体"/>
                <w:kern w:val="0"/>
                <w:sz w:val="21"/>
                <w:szCs w:val="21"/>
              </w:rPr>
              <w:t>市府大楼核心、应急核心）</w:t>
            </w:r>
            <w:r>
              <w:rPr>
                <w:rFonts w:hint="eastAsia" w:ascii="宋体" w:hAnsi="宋体" w:eastAsia="宋体" w:cs="宋体"/>
                <w:color w:val="000000"/>
                <w:kern w:val="0"/>
                <w:sz w:val="21"/>
                <w:szCs w:val="21"/>
              </w:rPr>
              <w:t>支持不低于 8Gbps 的数据采集分析服务:3套（政务云)支持不低于 3Gbps 的数据采集分析服务；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rPr>
                <w:rFonts w:hint="eastAsia" w:ascii="宋体" w:hAnsi="宋体" w:eastAsia="宋体" w:cs="宋体"/>
                <w:color w:val="000000"/>
                <w:kern w:val="0"/>
                <w:sz w:val="21"/>
                <w:szCs w:val="21"/>
                <w:lang w:val="zh-TW" w:eastAsia="zh-TW"/>
              </w:rPr>
            </w:pPr>
            <w:r>
              <w:rPr>
                <w:rFonts w:hint="eastAsia" w:ascii="宋体" w:hAnsi="宋体" w:eastAsia="宋体" w:cs="宋体"/>
                <w:color w:val="000000"/>
                <w:kern w:val="0"/>
                <w:sz w:val="21"/>
                <w:szCs w:val="21"/>
                <w:lang w:val="zh-TW" w:eastAsia="zh-TW"/>
              </w:rPr>
              <w:t>基础检测功能</w:t>
            </w:r>
          </w:p>
          <w:p>
            <w:pPr>
              <w:widowControl/>
              <w:spacing w:line="360" w:lineRule="auto"/>
              <w:jc w:val="center"/>
              <w:rPr>
                <w:rFonts w:hint="eastAsia" w:ascii="宋体" w:hAnsi="宋体" w:eastAsia="宋体" w:cs="宋体"/>
                <w:color w:val="000000"/>
                <w:kern w:val="0"/>
                <w:sz w:val="21"/>
                <w:szCs w:val="21"/>
              </w:rPr>
            </w:pPr>
          </w:p>
        </w:tc>
        <w:tc>
          <w:tcPr>
            <w:tcW w:w="6765" w:type="dxa"/>
            <w:shd w:val="clear" w:color="auto" w:fill="auto"/>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具备报文检测引擎,可实现IP碎片重组、TCP流重组、应用层协议识别与解析等,  具备多种的入侵攻击模式或恶意URL监测模式,可完成模式匹配并生成事件,可提取URL记录和 域名记录,在特征事件触发时可以基于五元组和二元组(IP对)进行原始报文的录制。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监测识别规则库</w:t>
            </w:r>
          </w:p>
        </w:tc>
        <w:tc>
          <w:tcPr>
            <w:tcW w:w="6765" w:type="dxa"/>
            <w:shd w:val="clear" w:color="auto" w:fill="auto"/>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能够识别应用类型超过1100种，应用识别规则总数超过3000条，具备亿万级别URL识别能力。漏洞利用规则特征库数量在4000条以上，漏洞利用特征具备中文相关介绍，包括但不限于漏洞描述，漏洞名称，危险等级，影响系统，对应CVE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异常会话检测</w:t>
            </w:r>
          </w:p>
        </w:tc>
        <w:tc>
          <w:tcPr>
            <w:tcW w:w="6765" w:type="dxa"/>
            <w:shd w:val="clear" w:color="auto" w:fill="auto"/>
            <w:vAlign w:val="center"/>
          </w:tcPr>
          <w:p>
            <w:pPr>
              <w:pStyle w:val="62"/>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可实现对外联行为分析、间歇会话连接分析、加密通道分析、异常域名分析、上下行流量分析等在内 的多场景网络异常通信行为分析能力。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vMerge w:val="restart"/>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深度监测能力</w:t>
            </w:r>
          </w:p>
        </w:tc>
        <w:tc>
          <w:tcPr>
            <w:tcW w:w="6765" w:type="dxa"/>
            <w:shd w:val="clear" w:color="auto" w:fill="auto"/>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vMerge w:val="continue"/>
            <w:shd w:val="clear" w:color="auto" w:fill="auto"/>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765" w:type="dxa"/>
            <w:shd w:val="clear" w:color="auto" w:fill="auto"/>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支持对常见应用服务（HTTP、FTP、SSH、SMTP、IMAP）和数据库软件（MySQL、Oracle、MSSQL）的口令暴力破解检测功能</w:t>
            </w:r>
            <w:r>
              <w:rPr>
                <w:rFonts w:hint="eastAsia" w:ascii="宋体" w:hAnsi="宋体" w:eastAsia="宋体" w:cs="宋体"/>
                <w:color w:val="000000"/>
                <w:kern w:val="0"/>
                <w:sz w:val="21"/>
                <w:szCs w:val="2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vMerge w:val="continue"/>
            <w:shd w:val="clear" w:color="auto" w:fill="auto"/>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765" w:type="dxa"/>
            <w:shd w:val="clear" w:color="auto" w:fill="auto"/>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可提供最新的威胁情报信息，能够对新爆发的流行高危漏洞进行预警和自动检测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高级检测</w:t>
            </w:r>
          </w:p>
        </w:tc>
        <w:tc>
          <w:tcPr>
            <w:tcW w:w="6765" w:type="dxa"/>
            <w:shd w:val="clear" w:color="auto" w:fill="auto"/>
            <w:vAlign w:val="center"/>
          </w:tcPr>
          <w:p>
            <w:pPr>
              <w:pStyle w:val="19"/>
              <w:shd w:val="clear" w:color="auto" w:fill="FFFFFF"/>
              <w:spacing w:before="0" w:beforeAutospacing="0" w:after="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zh-TW" w:eastAsia="zh-TW"/>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trPr>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vMerge w:val="restart"/>
            <w:shd w:val="clear" w:color="auto" w:fill="auto"/>
            <w:vAlign w:val="center"/>
          </w:tcPr>
          <w:p>
            <w:pPr>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Web应用安全检测能力</w:t>
            </w:r>
          </w:p>
        </w:tc>
        <w:tc>
          <w:tcPr>
            <w:tcW w:w="6765" w:type="dxa"/>
            <w:shd w:val="clear" w:color="auto" w:fill="auto"/>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支持HTTP 1.0/1.1，HTTPS协议的安全威胁检测；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vMerge w:val="continue"/>
            <w:shd w:val="clear" w:color="auto" w:fill="auto"/>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765" w:type="dxa"/>
            <w:shd w:val="clear" w:color="auto" w:fill="auto"/>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vMerge w:val="continue"/>
            <w:shd w:val="clear" w:color="auto" w:fill="auto"/>
          </w:tcPr>
          <w:p>
            <w:pPr>
              <w:widowControl/>
              <w:spacing w:line="360" w:lineRule="auto"/>
              <w:jc w:val="center"/>
              <w:textAlignment w:val="center"/>
              <w:rPr>
                <w:rFonts w:hint="eastAsia" w:ascii="宋体" w:hAnsi="宋体" w:eastAsia="宋体" w:cs="宋体"/>
                <w:color w:val="000000"/>
                <w:kern w:val="0"/>
                <w:sz w:val="21"/>
                <w:szCs w:val="21"/>
                <w:lang w:bidi="ar"/>
              </w:rPr>
            </w:pPr>
          </w:p>
        </w:tc>
        <w:tc>
          <w:tcPr>
            <w:tcW w:w="6765" w:type="dxa"/>
            <w:shd w:val="clear" w:color="auto" w:fill="auto"/>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支持敏感数据泄密功能检测能力，支持敏感信息自定义，支持根据文件类型和敏感关键字进行信息过滤；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8" w:type="dxa"/>
            <w:vMerge w:val="continue"/>
            <w:shd w:val="clear" w:color="auto" w:fill="auto"/>
          </w:tcPr>
          <w:p>
            <w:pPr>
              <w:spacing w:line="360" w:lineRule="auto"/>
              <w:jc w:val="center"/>
              <w:rPr>
                <w:rFonts w:hint="eastAsia" w:ascii="宋体" w:hAnsi="宋体" w:eastAsia="宋体" w:cs="宋体"/>
                <w:color w:val="000000"/>
                <w:sz w:val="21"/>
                <w:szCs w:val="21"/>
              </w:rPr>
            </w:pPr>
          </w:p>
        </w:tc>
        <w:tc>
          <w:tcPr>
            <w:tcW w:w="1115"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违规访问检测</w:t>
            </w:r>
          </w:p>
        </w:tc>
        <w:tc>
          <w:tcPr>
            <w:tcW w:w="6765" w:type="dxa"/>
            <w:shd w:val="clear" w:color="auto" w:fill="auto"/>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能够针对IP，IP组，服务，端口，访问时间等策略，主动建立针对性的业务和应用访问逻辑规则，包括白名单（哪些访问逻辑是正常的）和黑名单（哪些访问逻辑肯定是异常的）两种方式</w:t>
            </w:r>
          </w:p>
        </w:tc>
      </w:tr>
    </w:tbl>
    <w:p>
      <w:pPr>
        <w:pStyle w:val="4"/>
        <w:numPr>
          <w:ilvl w:val="0"/>
          <w:numId w:val="0"/>
        </w:numPr>
        <w:spacing w:line="360" w:lineRule="auto"/>
        <w:ind w:right="25" w:rightChars="0"/>
        <w:jc w:val="both"/>
        <w:rPr>
          <w:rFonts w:hint="eastAsia" w:ascii="宋体" w:hAnsi="宋体" w:eastAsia="宋体" w:cs="宋体"/>
          <w:sz w:val="24"/>
          <w:szCs w:val="24"/>
          <w:lang w:val="en-US" w:eastAsia="zh-CN"/>
        </w:rPr>
      </w:pPr>
      <w:bookmarkStart w:id="76" w:name="_Toc128762286"/>
    </w:p>
    <w:p>
      <w:pPr>
        <w:pStyle w:val="4"/>
        <w:numPr>
          <w:ilvl w:val="0"/>
          <w:numId w:val="0"/>
        </w:numPr>
        <w:spacing w:line="360" w:lineRule="auto"/>
        <w:ind w:right="25" w:rightChars="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网络安全数据规范治理</w:t>
      </w:r>
      <w:bookmarkEnd w:id="76"/>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86" w:type="pct"/>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安全数据技术规范制订</w:t>
            </w:r>
          </w:p>
        </w:tc>
        <w:tc>
          <w:tcPr>
            <w:tcW w:w="4013" w:type="pct"/>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制定安全数据技术规范，包括台州市政务外网安全运营数据的采集技术规范、处理技术规范、存储技术规范、建库技术规范等。为安全数据的采集、处理、存储、共享及分析利用提供支撑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pct"/>
            <w:vMerge w:val="restart"/>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安全数据标准制订</w:t>
            </w:r>
          </w:p>
        </w:tc>
        <w:tc>
          <w:tcPr>
            <w:tcW w:w="4013" w:type="pct"/>
            <w:vAlign w:val="center"/>
          </w:tcPr>
          <w:p>
            <w:pPr>
              <w:pStyle w:val="19"/>
              <w:spacing w:before="0" w:beforeAutospacing="0" w:after="0" w:afterAutospacing="0"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日志数据接入，日志平台供应商需要按平台数据要求与平台对接，按要求提供相关数据，</w:t>
            </w:r>
            <w:r>
              <w:rPr>
                <w:rFonts w:hint="eastAsia" w:ascii="宋体" w:hAnsi="宋体" w:eastAsia="宋体" w:cs="宋体"/>
                <w:sz w:val="21"/>
                <w:szCs w:val="21"/>
              </w:rPr>
              <w:t>根据接入安全业务系统的数据评估结果，结合国标、行标、地标以及不同安全厂商的不同类型标准，梳理符合安全业务字段数据的数据元，然后基于数据标准对安全业务系统数据进行数据治理，由于数据标准直接决定数据治理后的数据质量，所以需要对大量标准集中梳理后持续迭代优化，保证清洗后的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pct"/>
            <w:vMerge w:val="continue"/>
            <w:vAlign w:val="center"/>
          </w:tcPr>
          <w:p>
            <w:pPr>
              <w:spacing w:line="360" w:lineRule="auto"/>
              <w:jc w:val="center"/>
              <w:rPr>
                <w:rFonts w:hint="eastAsia" w:ascii="宋体" w:hAnsi="宋体" w:eastAsia="宋体" w:cs="宋体"/>
                <w:color w:val="000000"/>
                <w:sz w:val="21"/>
                <w:szCs w:val="21"/>
              </w:rPr>
            </w:pPr>
          </w:p>
        </w:tc>
        <w:tc>
          <w:tcPr>
            <w:tcW w:w="4013" w:type="pct"/>
            <w:vAlign w:val="center"/>
          </w:tcPr>
          <w:p>
            <w:pPr>
              <w:pStyle w:val="19"/>
              <w:spacing w:before="0" w:beforeAutospacing="0" w:after="0" w:afterAutospacing="0"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政务云安全数据接入，政务云安全开发单位需要按平台要求与平台对接，提供平台需要的数据，</w:t>
            </w:r>
            <w:r>
              <w:rPr>
                <w:rFonts w:hint="eastAsia" w:ascii="宋体" w:hAnsi="宋体" w:eastAsia="宋体" w:cs="宋体"/>
                <w:sz w:val="21"/>
                <w:szCs w:val="21"/>
              </w:rPr>
              <w:t>根据接入安全业务系统的数据评估结果，结合国标、行标、地标以及不同安全厂商的不同类型标准，梳理符合安全业务字段数据的数据元，然后基于数据标准对安全业务系统数据进行数据治理，由于数据标准直接决定数据治理后的数据质量，所以需要对大量标准集中梳理后持续迭代优化，保证清洗后的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pct"/>
            <w:vMerge w:val="continue"/>
            <w:vAlign w:val="center"/>
          </w:tcPr>
          <w:p>
            <w:pPr>
              <w:spacing w:line="360" w:lineRule="auto"/>
              <w:jc w:val="center"/>
              <w:rPr>
                <w:rFonts w:hint="eastAsia" w:ascii="宋体" w:hAnsi="宋体" w:eastAsia="宋体" w:cs="宋体"/>
                <w:color w:val="000000"/>
                <w:sz w:val="21"/>
                <w:szCs w:val="21"/>
              </w:rPr>
            </w:pPr>
          </w:p>
        </w:tc>
        <w:tc>
          <w:tcPr>
            <w:tcW w:w="4013" w:type="pct"/>
            <w:vAlign w:val="center"/>
          </w:tcPr>
          <w:p>
            <w:pPr>
              <w:pStyle w:val="19"/>
              <w:spacing w:before="0" w:beforeAutospacing="0" w:after="0" w:afterAutospacing="0"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政务外网边界安全数据接入，边界安全系统提供单位或相关设备供应商需要按平台要求与平台对接，提供平台需要的数据，</w:t>
            </w:r>
            <w:r>
              <w:rPr>
                <w:rFonts w:hint="eastAsia" w:ascii="宋体" w:hAnsi="宋体" w:eastAsia="宋体" w:cs="宋体"/>
                <w:sz w:val="21"/>
                <w:szCs w:val="21"/>
              </w:rPr>
              <w:t>根据接入安全业务系统的数据评估结果，结合国标、行标、地标以及不同安全厂商的不同类型标准，梳理符合安全业务字段数据的数据元，然后基于数据标准对安全业务系统数据进行数据治理，由于数据标准直接决定数据治理后的数据质量，所以需要对大量标准集中梳理后持续迭代优化，保证清洗后的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6" w:type="pct"/>
            <w:vMerge w:val="continue"/>
            <w:vAlign w:val="center"/>
          </w:tcPr>
          <w:p>
            <w:pPr>
              <w:spacing w:line="360" w:lineRule="auto"/>
              <w:jc w:val="center"/>
              <w:rPr>
                <w:rFonts w:hint="eastAsia" w:ascii="宋体" w:hAnsi="宋体" w:eastAsia="宋体" w:cs="宋体"/>
                <w:color w:val="000000"/>
                <w:sz w:val="21"/>
                <w:szCs w:val="21"/>
              </w:rPr>
            </w:pPr>
          </w:p>
        </w:tc>
        <w:tc>
          <w:tcPr>
            <w:tcW w:w="4013" w:type="pct"/>
            <w:vAlign w:val="center"/>
          </w:tcPr>
          <w:p>
            <w:pPr>
              <w:pStyle w:val="19"/>
              <w:spacing w:before="0" w:beforeAutospacing="0" w:after="0" w:afterAutospacing="0"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政务外网终端数据接入，政务外网终端安全系统或设备提供单位需要按平台要求与平台对接，提供平台需要的数据，</w:t>
            </w:r>
            <w:r>
              <w:rPr>
                <w:rFonts w:hint="eastAsia" w:ascii="宋体" w:hAnsi="宋体" w:eastAsia="宋体" w:cs="宋体"/>
                <w:sz w:val="21"/>
                <w:szCs w:val="21"/>
              </w:rPr>
              <w:t>根据接入安全业务系统的数据评估结果，结合国标、行标、地标以及不同安全厂商的不同类型标准，梳理符合安全业务字段数据的数据元，然后基于数据标准对安全业务系统数据进行数据治理，由于数据标准直接决定数据治理后的数据质量，所以需要对大量标准集中梳理后持续迭代优化，保证清洗后的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pct"/>
            <w:vMerge w:val="continue"/>
            <w:vAlign w:val="center"/>
          </w:tcPr>
          <w:p>
            <w:pPr>
              <w:spacing w:line="360" w:lineRule="auto"/>
              <w:jc w:val="center"/>
              <w:rPr>
                <w:rFonts w:hint="eastAsia" w:ascii="宋体" w:hAnsi="宋体" w:eastAsia="宋体" w:cs="宋体"/>
                <w:color w:val="000000"/>
                <w:sz w:val="21"/>
                <w:szCs w:val="21"/>
              </w:rPr>
            </w:pPr>
          </w:p>
        </w:tc>
        <w:tc>
          <w:tcPr>
            <w:tcW w:w="4013" w:type="pct"/>
            <w:vAlign w:val="center"/>
          </w:tcPr>
          <w:p>
            <w:pPr>
              <w:pStyle w:val="19"/>
              <w:spacing w:before="0" w:beforeAutospacing="0" w:after="0" w:afterAutospacing="0"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漏扫数据接入，漏扫系统或设备提供商需要按平台要求与平台对接，提供平台需要的数据，</w:t>
            </w:r>
            <w:r>
              <w:rPr>
                <w:rFonts w:hint="eastAsia" w:ascii="宋体" w:hAnsi="宋体" w:eastAsia="宋体" w:cs="宋体"/>
                <w:sz w:val="21"/>
                <w:szCs w:val="21"/>
              </w:rPr>
              <w:t>根据接入安全业务系统的数据评估结果，结合国标、行标、地标以及不同安全厂商的不同类型标准，梳理符合安全业务字段数据的数据元，然后基于数据标准对安全业务系统数据进行数据治理，由于数据标准直接决定数据治理后的数据质量，所以需要对大量标准集中梳理后持续迭代优化，保证清洗后的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pct"/>
            <w:vMerge w:val="continue"/>
            <w:vAlign w:val="center"/>
          </w:tcPr>
          <w:p>
            <w:pPr>
              <w:spacing w:line="360" w:lineRule="auto"/>
              <w:jc w:val="center"/>
              <w:rPr>
                <w:rFonts w:hint="eastAsia" w:ascii="宋体" w:hAnsi="宋体" w:eastAsia="宋体" w:cs="宋体"/>
                <w:color w:val="000000"/>
                <w:sz w:val="21"/>
                <w:szCs w:val="21"/>
              </w:rPr>
            </w:pPr>
          </w:p>
        </w:tc>
        <w:tc>
          <w:tcPr>
            <w:tcW w:w="4013" w:type="pct"/>
            <w:vAlign w:val="center"/>
          </w:tcPr>
          <w:p>
            <w:pPr>
              <w:pStyle w:val="19"/>
              <w:spacing w:before="0" w:beforeAutospacing="0" w:after="0" w:afterAutospacing="0"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其他安全数据接入，包括安全资产、安全处置信息等相关安全系统或设备提供商按要求与平台对接，提供平台需要的数据，</w:t>
            </w:r>
            <w:r>
              <w:rPr>
                <w:rFonts w:hint="eastAsia" w:ascii="宋体" w:hAnsi="宋体" w:eastAsia="宋体" w:cs="宋体"/>
                <w:sz w:val="21"/>
                <w:szCs w:val="21"/>
              </w:rPr>
              <w:t>根据接入安全业务系统的数据评估结果，结合国标、行标、地标以及不同安全厂商的不同类型标准，梳理符合安全业务字段数据的数据元，然后基于数据标准对安全业务系统数据进行数据治理，由于数据标准直接决定数据治理后的数据质量，所以需要对大量标准集中梳理后持续迭代优化，保证清洗后的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pct"/>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信息资源编目服务</w:t>
            </w:r>
          </w:p>
        </w:tc>
        <w:tc>
          <w:tcPr>
            <w:tcW w:w="4013" w:type="pct"/>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结合相关信息共享目录要求，对数据资源名称、数据资源摘要、数据资源提供方、数据资源分类、数据资源共享属性、数据资源公开属性、数据资源标识符、元数据标识符、数据项描述等元数据信息进行明确，对已注册的基础数据按照业务、层级等进行编目、发布，形成《台州市政务外网安全运营平台数据资源目录》。将编制好的数据资源目录，根据IRS的相关要求，上传到IRS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pct"/>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数据治理服务</w:t>
            </w:r>
          </w:p>
        </w:tc>
        <w:tc>
          <w:tcPr>
            <w:tcW w:w="4013" w:type="pct"/>
            <w:vAlign w:val="center"/>
          </w:tcPr>
          <w:p>
            <w:pPr>
              <w:widowControl/>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提供安全数据治理人工服务，建立数据治理工作规范，明确数据治理工作流程，通过安全治理系统提供的工具，支持通过可视化配置方式对多种来源的数据进行数据人工治理，支持内置数据标准化的解析规则和灵活的自定义解析规则。包括：过滤、解析与标准化、关联补齐、打标签等。对相关安全数据进行业务数据价值挖掘，对业务数据标签化处理。对安全数据数据资产进行业务标签配置，可以新增和删除标签，每类数据资源可以设置多种标签，可根据业务标签对安全数据资源进行检索筛选。在主题库建设的过程中，存在大量需要人工维护（添加，修改，删除）的信息。此类数据主要是在数据清洗和数据比对过程中产生的大量需要进行人工判断、维护的数据。服务单位需要对这些数据进行人工维护，与相关部门进行对接沟通，将问题数据反馈到相关部门，确定每条数据的处理方案，数据处理方案确定后，由人工进行处理，人工处理方式包括但不限于字段补全、数值修改等，相关人工处理需要进行记录。</w:t>
            </w:r>
          </w:p>
        </w:tc>
      </w:tr>
    </w:tbl>
    <w:p>
      <w:pPr>
        <w:pStyle w:val="4"/>
        <w:numPr>
          <w:ilvl w:val="0"/>
          <w:numId w:val="0"/>
        </w:numPr>
        <w:spacing w:line="360" w:lineRule="auto"/>
        <w:ind w:right="25" w:rightChars="0"/>
        <w:jc w:val="both"/>
        <w:rPr>
          <w:rFonts w:hint="eastAsia" w:ascii="宋体" w:hAnsi="宋体" w:eastAsia="宋体" w:cs="宋体"/>
          <w:sz w:val="24"/>
          <w:szCs w:val="24"/>
        </w:rPr>
      </w:pPr>
      <w:bookmarkStart w:id="77" w:name="_Toc128762287"/>
      <w:r>
        <w:rPr>
          <w:rFonts w:hint="eastAsia" w:ascii="宋体" w:hAnsi="宋体" w:eastAsia="宋体" w:cs="宋体"/>
          <w:sz w:val="24"/>
          <w:szCs w:val="24"/>
          <w:lang w:val="en-US" w:eastAsia="zh-CN"/>
        </w:rPr>
        <w:t>5.</w:t>
      </w:r>
      <w:r>
        <w:rPr>
          <w:rFonts w:hint="eastAsia" w:ascii="宋体" w:hAnsi="宋体" w:eastAsia="宋体" w:cs="宋体"/>
          <w:sz w:val="24"/>
          <w:szCs w:val="24"/>
        </w:rPr>
        <w:t>系统对接</w:t>
      </w:r>
      <w:bookmarkEnd w:id="77"/>
    </w:p>
    <w:tbl>
      <w:tblPr>
        <w:tblStyle w:val="22"/>
        <w:tblW w:w="908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48" w:type="dxa"/>
            <w:vMerge w:val="restart"/>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安全系统对接</w:t>
            </w:r>
          </w:p>
        </w:tc>
        <w:tc>
          <w:tcPr>
            <w:tcW w:w="7437" w:type="dxa"/>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与浙江省政务外网安全监管平台系统对接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8" w:type="dxa"/>
            <w:vMerge w:val="continue"/>
            <w:vAlign w:val="center"/>
          </w:tcPr>
          <w:p>
            <w:pPr>
              <w:spacing w:line="360" w:lineRule="auto"/>
              <w:jc w:val="center"/>
              <w:rPr>
                <w:rFonts w:hint="eastAsia" w:ascii="宋体" w:hAnsi="宋体" w:eastAsia="宋体" w:cs="宋体"/>
                <w:color w:val="000000"/>
                <w:sz w:val="21"/>
                <w:szCs w:val="21"/>
              </w:rPr>
            </w:pPr>
          </w:p>
        </w:tc>
        <w:tc>
          <w:tcPr>
            <w:tcW w:w="7437" w:type="dxa"/>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与台州市委网信办的网络安全协调指挥平台对接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8"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安全数据采集</w:t>
            </w:r>
          </w:p>
        </w:tc>
        <w:tc>
          <w:tcPr>
            <w:tcW w:w="7437" w:type="dxa"/>
            <w:vAlign w:val="center"/>
          </w:tcPr>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支持Kafka\Api\Syslog等多种采集方式。支持对接不同的安全数据源。</w:t>
            </w:r>
          </w:p>
          <w:p>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支持多元异构日志数据采集,基于现有的安全系统，包括但不限于政务终端安全管理系统、日志审计系统、县市区安全风险数据、政务云安全、漏洞扫描、边界安全等系统采集的数据</w:t>
            </w:r>
          </w:p>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据采集过程中，针对不同厂商、不同系统、不同标准的源数据，对接相关厂商，按照既定的安全数据规范设置不同的解析规则，定义不同的数据字段标准化规则，添加不同的业务属性信息，并输出至安全数据采集模块，实现数据标准化采集。</w:t>
            </w:r>
          </w:p>
        </w:tc>
      </w:tr>
    </w:tbl>
    <w:p>
      <w:pPr>
        <w:autoSpaceDE w:val="0"/>
        <w:autoSpaceDN w:val="0"/>
        <w:adjustRightInd w:val="0"/>
        <w:spacing w:line="360" w:lineRule="auto"/>
        <w:ind w:right="23"/>
        <w:jc w:val="both"/>
        <w:outlineLvl w:val="0"/>
        <w:rPr>
          <w:rFonts w:hint="eastAsia" w:ascii="宋体" w:hAnsi="宋体" w:eastAsia="宋体" w:cs="宋体"/>
          <w:b/>
          <w:kern w:val="0"/>
          <w:sz w:val="24"/>
          <w:szCs w:val="24"/>
        </w:rPr>
      </w:pPr>
      <w:bookmarkStart w:id="78" w:name="_Toc128762288"/>
    </w:p>
    <w:p>
      <w:pPr>
        <w:autoSpaceDE w:val="0"/>
        <w:autoSpaceDN w:val="0"/>
        <w:adjustRightInd w:val="0"/>
        <w:spacing w:line="360" w:lineRule="auto"/>
        <w:ind w:right="23"/>
        <w:jc w:val="both"/>
        <w:outlineLvl w:val="0"/>
        <w:rPr>
          <w:rFonts w:hint="eastAsia" w:ascii="宋体" w:hAnsi="宋体" w:eastAsia="宋体" w:cs="宋体"/>
          <w:b/>
          <w:kern w:val="0"/>
          <w:sz w:val="24"/>
          <w:szCs w:val="24"/>
        </w:rPr>
      </w:pP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其他要求</w:t>
      </w:r>
      <w:bookmarkEnd w:id="78"/>
    </w:p>
    <w:p>
      <w:pPr>
        <w:pStyle w:val="4"/>
        <w:numPr>
          <w:ilvl w:val="0"/>
          <w:numId w:val="0"/>
        </w:numPr>
        <w:spacing w:line="360" w:lineRule="auto"/>
        <w:ind w:right="25" w:rightChars="0"/>
        <w:jc w:val="both"/>
        <w:rPr>
          <w:rFonts w:hint="eastAsia" w:ascii="宋体" w:hAnsi="宋体" w:eastAsia="宋体" w:cs="宋体"/>
          <w:sz w:val="24"/>
          <w:szCs w:val="24"/>
        </w:rPr>
      </w:pPr>
      <w:bookmarkStart w:id="79" w:name="_Toc128762289"/>
      <w:r>
        <w:rPr>
          <w:rFonts w:hint="eastAsia" w:ascii="宋体" w:hAnsi="宋体" w:eastAsia="宋体" w:cs="宋体"/>
          <w:sz w:val="24"/>
          <w:szCs w:val="24"/>
          <w:lang w:val="en-US" w:eastAsia="zh-CN"/>
        </w:rPr>
        <w:t>1.</w:t>
      </w:r>
      <w:r>
        <w:rPr>
          <w:rFonts w:hint="eastAsia" w:ascii="宋体" w:hAnsi="宋体" w:eastAsia="宋体" w:cs="宋体"/>
          <w:sz w:val="24"/>
          <w:szCs w:val="24"/>
        </w:rPr>
        <w:t>项目进度要求</w:t>
      </w:r>
      <w:bookmarkEnd w:id="79"/>
    </w:p>
    <w:p>
      <w:pPr>
        <w:pStyle w:val="2"/>
        <w:spacing w:line="360" w:lineRule="auto"/>
        <w:ind w:firstLine="547" w:firstLineChars="22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合同签订后 90 天内完成台州市政务外网安全运营平台建设并上线试运行，试运行</w:t>
      </w:r>
    </w:p>
    <w:p>
      <w:pPr>
        <w:pStyle w:val="2"/>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3个月后</w:t>
      </w:r>
      <w:r>
        <w:rPr>
          <w:rFonts w:hint="eastAsia" w:ascii="宋体" w:hAnsi="宋体" w:cs="宋体"/>
          <w:kern w:val="2"/>
          <w:sz w:val="24"/>
          <w:szCs w:val="24"/>
          <w:lang w:val="en-US" w:eastAsia="zh-CN" w:bidi="ar-SA"/>
        </w:rPr>
        <w:t>通过</w:t>
      </w:r>
      <w:r>
        <w:rPr>
          <w:rFonts w:hint="eastAsia" w:ascii="宋体" w:hAnsi="宋体" w:eastAsia="宋体" w:cs="宋体"/>
          <w:kern w:val="2"/>
          <w:sz w:val="24"/>
          <w:szCs w:val="24"/>
          <w:lang w:val="en-US" w:eastAsia="zh-CN" w:bidi="ar-SA"/>
        </w:rPr>
        <w:t>项目竣工验收。</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供应商应按照上述时间安排，制定相应的项目实施详细进度计划，确定每个实施阶段的时间表及工作目标。</w:t>
      </w:r>
    </w:p>
    <w:p>
      <w:pPr>
        <w:pStyle w:val="4"/>
        <w:numPr>
          <w:ilvl w:val="0"/>
          <w:numId w:val="0"/>
        </w:numPr>
        <w:spacing w:line="360" w:lineRule="auto"/>
        <w:ind w:right="25" w:rightChars="0"/>
        <w:jc w:val="both"/>
        <w:rPr>
          <w:rFonts w:hint="eastAsia" w:ascii="宋体" w:hAnsi="宋体" w:eastAsia="宋体" w:cs="宋体"/>
          <w:sz w:val="24"/>
          <w:szCs w:val="24"/>
        </w:rPr>
      </w:pPr>
      <w:bookmarkStart w:id="80" w:name="_Toc128762290"/>
      <w:r>
        <w:rPr>
          <w:rFonts w:hint="eastAsia" w:ascii="宋体" w:hAnsi="宋体" w:eastAsia="宋体" w:cs="宋体"/>
          <w:sz w:val="24"/>
          <w:szCs w:val="24"/>
          <w:lang w:val="en-US" w:eastAsia="zh-CN"/>
        </w:rPr>
        <w:t>2.</w:t>
      </w:r>
      <w:r>
        <w:rPr>
          <w:rFonts w:hint="eastAsia" w:ascii="宋体" w:hAnsi="宋体" w:eastAsia="宋体" w:cs="宋体"/>
          <w:sz w:val="24"/>
          <w:szCs w:val="24"/>
        </w:rPr>
        <w:t>项目组织及实施要求</w:t>
      </w:r>
      <w:bookmarkEnd w:id="80"/>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供应商中标后需要在台州市大数据发展管理局成立工作团队，向采购人提供项目管理人员和技术人员配置情况，并指定一名专职的项目经理，负责项目协调和调度工作。除项目经理外，项目组须配备专职的技术负责人，并按照项目实施的要求，配置相应的项目管理、系统设计、开发、测试、集成、培训、质量保证等人员。</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 xml:space="preserve">本项目分为建设期服务及运维服务，实施阶段要求按照项目实施进展合理安排驻场服务，要求供应商明确各分项建设内容实施阶段的人员驻场安排，项目经理要求在项目建设各阶段在现场开展相关工作，并保证一定的到场率。 </w:t>
      </w:r>
    </w:p>
    <w:p>
      <w:pPr>
        <w:pStyle w:val="2"/>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2.3</w:t>
      </w:r>
      <w:r>
        <w:rPr>
          <w:rFonts w:hint="eastAsia" w:ascii="宋体" w:hAnsi="宋体" w:eastAsia="宋体" w:cs="宋体"/>
          <w:sz w:val="24"/>
          <w:szCs w:val="24"/>
        </w:rPr>
        <w:t>项目小组团队成员在实施各阶段至少安排6人进驻现场开展各项工作，并在验收后提供不少于</w:t>
      </w:r>
      <w:r>
        <w:rPr>
          <w:rFonts w:hint="eastAsia" w:ascii="宋体" w:hAnsi="宋体" w:eastAsia="宋体" w:cs="宋体"/>
          <w:color w:val="000000"/>
          <w:kern w:val="0"/>
          <w:sz w:val="24"/>
          <w:szCs w:val="24"/>
          <w:lang w:bidi="ar"/>
        </w:rPr>
        <w:t>2人2年驻场服务</w:t>
      </w:r>
      <w:r>
        <w:rPr>
          <w:rFonts w:hint="eastAsia" w:ascii="宋体" w:hAnsi="宋体" w:eastAsia="宋体" w:cs="宋体"/>
          <w:sz w:val="24"/>
          <w:szCs w:val="24"/>
        </w:rPr>
        <w:t>的驻场服务</w:t>
      </w:r>
      <w:r>
        <w:rPr>
          <w:rFonts w:hint="eastAsia" w:ascii="宋体" w:hAnsi="宋体" w:cs="宋体"/>
          <w:color w:val="000000"/>
          <w:kern w:val="0"/>
          <w:sz w:val="24"/>
          <w:szCs w:val="24"/>
          <w:lang w:eastAsia="zh-CN" w:bidi="ar"/>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在项目建设与运维过程中，供应商应严格遵守并落实</w:t>
      </w:r>
      <w:r>
        <w:rPr>
          <w:rFonts w:hint="eastAsia" w:ascii="宋体" w:hAnsi="宋体" w:cs="宋体"/>
          <w:sz w:val="24"/>
          <w:szCs w:val="24"/>
          <w:lang w:eastAsia="zh-CN"/>
        </w:rPr>
        <w:t>采购人</w:t>
      </w:r>
      <w:r>
        <w:rPr>
          <w:rFonts w:hint="eastAsia" w:ascii="宋体" w:hAnsi="宋体" w:eastAsia="宋体" w:cs="宋体"/>
          <w:sz w:val="24"/>
          <w:szCs w:val="24"/>
        </w:rPr>
        <w:t>制定的网络和数据安全管理制度。</w:t>
      </w:r>
    </w:p>
    <w:p>
      <w:pPr>
        <w:pStyle w:val="2"/>
        <w:spacing w:line="360" w:lineRule="auto"/>
        <w:ind w:firstLine="547" w:firstLineChars="228"/>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参与此项目的技术人员必须具有承担过相同类型项目实施的经验，能够与用户进行良好的沟通，掌握相关领域的相关基础知识，具备相关应用和开发的能力。</w:t>
      </w:r>
    </w:p>
    <w:p>
      <w:pPr>
        <w:pStyle w:val="2"/>
        <w:spacing w:line="360" w:lineRule="auto"/>
        <w:ind w:firstLine="547" w:firstLineChars="228"/>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供应商在项目合同签订后，需组织相关实施人员在该项目招标需求的基础上进行深入调研，编制需求规格说明书。需求规格说明经采购人、供应商确认后作为项目验收的依据。</w:t>
      </w:r>
    </w:p>
    <w:p>
      <w:pPr>
        <w:pStyle w:val="2"/>
        <w:spacing w:line="360" w:lineRule="auto"/>
        <w:ind w:firstLine="547" w:firstLineChars="228"/>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要求供应商在各阶段及时提供相应的项目管理文档、开发类文档及实施类文档，以便采购人及时了解项目进展情况。</w:t>
      </w:r>
    </w:p>
    <w:p>
      <w:pPr>
        <w:pStyle w:val="2"/>
        <w:spacing w:line="360" w:lineRule="auto"/>
        <w:ind w:firstLine="547" w:firstLineChars="228"/>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对上述安排供应商应列出详细实施方案，包括但不限于项目管理计划、项目服务流程、项目实施流程、项目进度计划、项目验收计划、项目组织结构（人员姓名、经验、学历和在本项目中的职责分工等，项目小组成员须提供社保证明）等。</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本方案对项目提出的主要需求，是供应商编制投标文件和报价的主要依据，但不应作为编制正式实施方案的完整的详细要求。在编制正式的项目建设实施方案和详细设计时，供应商应深入分析和充分考虑采购人对本项目现在及未来发展的需求，设计出完整的优质方案。方案中要体现开放接口，便于系统功能的扩充和完善。</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中标后供应商所作的详细设计应完全满足用户的需求。</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10安全保密要求。本次项目要求供应商建立可行的安全保密措施，提供对本项目的保密承诺，实施过程中接触的所有秘密，包括(但不限于)技术方案、过程文档及其他资料，无论是书面的、口头的、图形的、电磁的、光介质的或其他任何形式的信息，包括(但不限于)数据、模型、样品、草案、技术、方法、仪器设备和其他信息，同时承诺不向任何第三方透漏。为保障相关数据及应用安全，将在遵循国家相关法律法规的基础上，严格遵守台州市关于数据安全和保密的要求。</w:t>
      </w:r>
    </w:p>
    <w:p>
      <w:pPr>
        <w:pStyle w:val="4"/>
        <w:numPr>
          <w:ilvl w:val="0"/>
          <w:numId w:val="0"/>
        </w:numPr>
        <w:spacing w:line="360" w:lineRule="auto"/>
        <w:ind w:right="25" w:rightChars="0"/>
        <w:jc w:val="both"/>
        <w:rPr>
          <w:rFonts w:hint="eastAsia" w:ascii="宋体" w:hAnsi="宋体" w:eastAsia="宋体" w:cs="宋体"/>
          <w:sz w:val="24"/>
          <w:szCs w:val="24"/>
        </w:rPr>
      </w:pPr>
      <w:bookmarkStart w:id="81" w:name="_Toc128762291"/>
      <w:r>
        <w:rPr>
          <w:rFonts w:hint="eastAsia" w:ascii="宋体" w:hAnsi="宋体" w:eastAsia="宋体" w:cs="宋体"/>
          <w:sz w:val="24"/>
          <w:szCs w:val="24"/>
          <w:lang w:val="en-US" w:eastAsia="zh-CN"/>
        </w:rPr>
        <w:t>3.</w:t>
      </w:r>
      <w:r>
        <w:rPr>
          <w:rFonts w:hint="eastAsia" w:ascii="宋体" w:hAnsi="宋体" w:eastAsia="宋体" w:cs="宋体"/>
          <w:sz w:val="24"/>
          <w:szCs w:val="24"/>
        </w:rPr>
        <w:t>安装、测试及系统集成要求</w:t>
      </w:r>
      <w:bookmarkEnd w:id="81"/>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负责本项目范围内应用软件的现场安装部署、集成、测试和调试，保证系统功能、性能要求的实现，提供售后服务。同时负责对应用于该项目的软硬件设备的系统集成。在安装、配置和测试、调试过程中，供应商应对最终用户技术人员所提出的技术问题，给予满意的答复。</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2要求有完整的安装和配置程序，具有详细的系统安装、部署及配置说明手册、用户使用说明书和系统维护说明书。系统实际安装与操作必须与说明书描述一致。</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3要求具有完整的系统测试计划，包括根据用户需求编写的测试用例，合理的测试方案和测试方法。要求保留完整的测试报告。</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4项目实施过程中，如果牵涉到与第三方产品集成工作，供应商应与系统集成商及其他供应商通力合作，并提供必要的技术支持。</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5供应商负责解决系统建设中全部技术问题，对用户单位项目建设中碰到的其他技术问题，有责任和义务提供咨询和帮助。</w:t>
      </w:r>
    </w:p>
    <w:p>
      <w:pPr>
        <w:pStyle w:val="4"/>
        <w:numPr>
          <w:ilvl w:val="0"/>
          <w:numId w:val="0"/>
        </w:numPr>
        <w:spacing w:line="360" w:lineRule="auto"/>
        <w:ind w:right="25" w:rightChars="0"/>
        <w:jc w:val="both"/>
        <w:rPr>
          <w:rFonts w:hint="eastAsia" w:ascii="宋体" w:hAnsi="宋体" w:eastAsia="宋体" w:cs="宋体"/>
          <w:sz w:val="24"/>
          <w:szCs w:val="24"/>
        </w:rPr>
      </w:pPr>
      <w:bookmarkStart w:id="82" w:name="_Toc128762292"/>
      <w:r>
        <w:rPr>
          <w:rFonts w:hint="eastAsia" w:ascii="宋体" w:hAnsi="宋体" w:eastAsia="宋体" w:cs="宋体"/>
          <w:sz w:val="24"/>
          <w:szCs w:val="24"/>
          <w:lang w:val="en-US" w:eastAsia="zh-CN"/>
        </w:rPr>
        <w:t>4.</w:t>
      </w:r>
      <w:r>
        <w:rPr>
          <w:rFonts w:hint="eastAsia" w:ascii="宋体" w:hAnsi="宋体" w:eastAsia="宋体" w:cs="宋体"/>
          <w:sz w:val="24"/>
          <w:szCs w:val="24"/>
        </w:rPr>
        <w:t>售后服务要求</w:t>
      </w:r>
      <w:bookmarkEnd w:id="82"/>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1供应商应保证对本项目提供3年的质量保证期。</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2在保修期内由于系统本身质量原因造成的软硬件故障，供应商须做好系统运维工作。</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质量保证期自项目正式验收合格之日开始计算。由于本项目的特殊性（必须满足业务7*24小时不间断工作），质量保证期内，在接到系统故障通知后，供应商必须在15分钟内响应。对于影响平台系统正常运行的严重故障，供应商工程师及其它相关技术人员必须在在接到故障通知后2小时内赶到现场，查找原因，提出解决方案，并工作直至故障修妥完全恢复正常服务为止，一般要求保证系统在4小时之内修复，并需要提供确保承诺实现的措施。</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为保证系统正常、安全地运行，技术支持力量和优良的服务是系统正常、安全运行的保障。供应商应据此制定系统详细的技术支持与服务方案，包括服务内容、服务方式、服务响应时间、应急措施及组织结构等。</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5供应商须做出无推诿承诺。即供应商应提供特殊措施，无论由于哪一方产生的问题而使系统发生不正常情况时，并在得到采购人通知后，立即派工程师到场，全力协助系统集成商和其他供应商，使系统尽快恢复正常。</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4.6保质期内因系统本身缺陷造成各种故障应由供应商免费技术服务和维修。系统保质期内故障时间不得超过5天，如达不到要求，每超过一天，质保期相应延长10天。</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4.7在质量保证期结束前，须由供应商工程师和采购人代表进行一次全面检查，任何缺陷必须由供应商负责修改。在修改之后，供应商应将缺陷原因、修改内容、完成修改及恢复正常的时间和日期等报告给采购人。</w:t>
      </w:r>
    </w:p>
    <w:p>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4.8质量保证期结束后，供应商应保证以优惠价格优先对采购人进行系统技术支持和维护。</w:t>
      </w:r>
    </w:p>
    <w:p>
      <w:pPr>
        <w:pStyle w:val="4"/>
        <w:numPr>
          <w:ilvl w:val="0"/>
          <w:numId w:val="0"/>
        </w:numPr>
        <w:spacing w:line="360" w:lineRule="auto"/>
        <w:ind w:right="25" w:rightChars="0"/>
        <w:jc w:val="both"/>
        <w:rPr>
          <w:rFonts w:hint="eastAsia" w:ascii="宋体" w:hAnsi="宋体" w:eastAsia="宋体" w:cs="宋体"/>
          <w:sz w:val="24"/>
          <w:szCs w:val="24"/>
        </w:rPr>
      </w:pPr>
      <w:bookmarkStart w:id="83" w:name="_Toc128762293"/>
      <w:r>
        <w:rPr>
          <w:rFonts w:hint="eastAsia" w:ascii="宋体" w:hAnsi="宋体" w:eastAsia="宋体" w:cs="宋体"/>
          <w:sz w:val="24"/>
          <w:szCs w:val="24"/>
          <w:lang w:val="en-US" w:eastAsia="zh-CN"/>
        </w:rPr>
        <w:t>5.</w:t>
      </w:r>
      <w:r>
        <w:rPr>
          <w:rFonts w:hint="eastAsia" w:ascii="宋体" w:hAnsi="宋体" w:eastAsia="宋体" w:cs="宋体"/>
          <w:sz w:val="24"/>
          <w:szCs w:val="24"/>
        </w:rPr>
        <w:t>等保及第三方测评</w:t>
      </w:r>
      <w:bookmarkEnd w:id="83"/>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系统定级为等保三级，供应商有义务作好等保测评配合工作，并对测评过程中出现的问题或缺陷进行整改，直至通过第三方安全等保测评。</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平台要根据信创的需求进行适配，新建设的系统要求满足信创环境部署需求。新建系统要求适配信创终端，满足信创终端和非信创终端访问的需求。系统不单独采购信创硬件设备，相关安全系统采用软件化部署，应用系统部署在台州市政务云平台，通过现有的资源服务，满足应用部署需求。</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本项目还需要进行商用密码应用安全性评估（简称“密评”），在采用商用密码技术、产品和服务集成建设过程中，对其密码应用的合规性、正确性、有效性进行评估。测评要参照《商用密码应用安全性评估管理办法（试行）》、《信息安全等级保护商用密码管理办法》《信息系统密码测评要求》等办法，邀请具有密评资质的第三方测评单位进行测评。</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项目验收前，系统须由第三方评测机构对系统功能、性能和密评测试，供应商有义务作好配合工作，并对测试过程中出现的问题或缺陷进行整改，直至通过第三方测评。</w:t>
      </w:r>
    </w:p>
    <w:p>
      <w:pPr>
        <w:pStyle w:val="4"/>
        <w:numPr>
          <w:ilvl w:val="0"/>
          <w:numId w:val="0"/>
        </w:numPr>
        <w:spacing w:line="360" w:lineRule="auto"/>
        <w:ind w:right="25" w:rightChars="0"/>
        <w:jc w:val="both"/>
        <w:rPr>
          <w:rFonts w:hint="eastAsia" w:ascii="宋体" w:hAnsi="宋体" w:eastAsia="宋体" w:cs="宋体"/>
          <w:sz w:val="24"/>
          <w:szCs w:val="24"/>
        </w:rPr>
      </w:pPr>
      <w:bookmarkStart w:id="84" w:name="_Toc128762294"/>
      <w:r>
        <w:rPr>
          <w:rFonts w:hint="eastAsia" w:ascii="宋体" w:hAnsi="宋体" w:eastAsia="宋体" w:cs="宋体"/>
          <w:sz w:val="24"/>
          <w:szCs w:val="24"/>
          <w:lang w:val="en-US" w:eastAsia="zh-CN"/>
        </w:rPr>
        <w:t>6.</w:t>
      </w:r>
      <w:r>
        <w:rPr>
          <w:rFonts w:hint="eastAsia" w:ascii="宋体" w:hAnsi="宋体" w:eastAsia="宋体" w:cs="宋体"/>
          <w:sz w:val="24"/>
          <w:szCs w:val="24"/>
        </w:rPr>
        <w:t>软件版权要求</w:t>
      </w:r>
      <w:bookmarkEnd w:id="84"/>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1本项目所采购的软硬件产品。供应商须保证采购人及其用户对供应商所提供的软硬件产品享有合法的使用权。供应商就本项目所使用软硬件产品，保证其合法性。 </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2供应商须保证采购人及其用户单位在使用过程中不受到第三方关于侵犯专利权等知识产权的指控。任何第三方如果提出指控，供应商须与第三方交涉并承担可能发生的一切法律责任和费用。 </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3供应商在项目定制化开发过程中取得的专利、软件著作权与采购人共同所有。</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4源代码定制开发部分，源代码版权属于采购人。</w:t>
      </w:r>
    </w:p>
    <w:p>
      <w:pPr>
        <w:pStyle w:val="55"/>
        <w:spacing w:line="360" w:lineRule="auto"/>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6.5 系统运行中所产生的数据，所有权归业主所有。</w:t>
      </w:r>
    </w:p>
    <w:p>
      <w:pPr>
        <w:pStyle w:val="4"/>
        <w:numPr>
          <w:ilvl w:val="0"/>
          <w:numId w:val="0"/>
        </w:numPr>
        <w:spacing w:line="360" w:lineRule="auto"/>
        <w:ind w:left="420" w:leftChars="0" w:right="25" w:rightChars="0"/>
        <w:jc w:val="both"/>
        <w:rPr>
          <w:rFonts w:hint="eastAsia" w:ascii="宋体" w:hAnsi="宋体" w:eastAsia="宋体" w:cs="宋体"/>
          <w:sz w:val="24"/>
          <w:szCs w:val="24"/>
        </w:rPr>
      </w:pPr>
      <w:bookmarkStart w:id="85" w:name="_Toc128762295"/>
      <w:r>
        <w:rPr>
          <w:rFonts w:hint="eastAsia" w:ascii="宋体" w:hAnsi="宋体" w:eastAsia="宋体" w:cs="宋体"/>
          <w:sz w:val="24"/>
          <w:szCs w:val="24"/>
          <w:lang w:val="en-US" w:eastAsia="zh-CN"/>
        </w:rPr>
        <w:t>7.</w:t>
      </w:r>
      <w:r>
        <w:rPr>
          <w:rFonts w:hint="eastAsia" w:ascii="宋体" w:hAnsi="宋体" w:eastAsia="宋体" w:cs="宋体"/>
          <w:sz w:val="24"/>
          <w:szCs w:val="24"/>
        </w:rPr>
        <w:t>培训要求</w:t>
      </w:r>
      <w:bookmarkEnd w:id="85"/>
    </w:p>
    <w:p>
      <w:pPr>
        <w:pStyle w:val="55"/>
        <w:spacing w:line="360" w:lineRule="auto"/>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在项目进行的过程中，供应商需要对用户提供全面的培训。根据业务分工特性，可以将培训分为以下三类：</w:t>
      </w:r>
    </w:p>
    <w:p>
      <w:pPr>
        <w:pStyle w:val="20"/>
        <w:widowControl/>
        <w:numPr>
          <w:ilvl w:val="0"/>
          <w:numId w:val="0"/>
        </w:numPr>
        <w:spacing w:after="0" w:line="360" w:lineRule="auto"/>
        <w:ind w:left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7.1</w:t>
      </w:r>
      <w:r>
        <w:rPr>
          <w:rFonts w:hint="eastAsia" w:ascii="宋体" w:hAnsi="宋体" w:eastAsia="宋体" w:cs="宋体"/>
          <w:kern w:val="2"/>
          <w:sz w:val="24"/>
          <w:szCs w:val="24"/>
        </w:rPr>
        <w:t>日常操作培训</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面向市大数据发展中心、县（市）区大数据管理部门、市级部门主管信息化的处室。负责管理平台的相关工作人员，主要是政务外网安全运营平台操作培训。由具有丰富经验的培训师主讲，对工作人员进行系统的操作培训，配以实际操作的指导，并提供全部详细的培训资料，保证工作人员可以迅速并正确掌握相关系统的使用。</w:t>
      </w:r>
    </w:p>
    <w:p>
      <w:pPr>
        <w:pStyle w:val="20"/>
        <w:widowControl/>
        <w:numPr>
          <w:ilvl w:val="0"/>
          <w:numId w:val="0"/>
        </w:numPr>
        <w:spacing w:after="0" w:line="360" w:lineRule="auto"/>
        <w:ind w:left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7.</w:t>
      </w:r>
      <w:r>
        <w:rPr>
          <w:rFonts w:hint="eastAsia" w:ascii="宋体" w:hAnsi="宋体" w:cs="宋体"/>
          <w:kern w:val="2"/>
          <w:sz w:val="24"/>
          <w:szCs w:val="24"/>
          <w:lang w:val="en-US" w:eastAsia="zh-CN"/>
        </w:rPr>
        <w:t>2</w:t>
      </w:r>
      <w:r>
        <w:rPr>
          <w:rFonts w:hint="eastAsia" w:ascii="宋体" w:hAnsi="宋体" w:eastAsia="宋体" w:cs="宋体"/>
          <w:kern w:val="2"/>
          <w:sz w:val="24"/>
          <w:szCs w:val="24"/>
        </w:rPr>
        <w:t>系统管理培训</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各级平台的管理员需要对相关系统进行配置、对用户进行管理、对流程进行设置，需要面对更加负责的操作，因此需要针对性的培训，主要包括以下四个方面：</w:t>
      </w:r>
    </w:p>
    <w:p>
      <w:pPr>
        <w:pStyle w:val="55"/>
        <w:spacing w:line="360" w:lineRule="auto"/>
        <w:ind w:firstLine="480"/>
        <w:rPr>
          <w:rFonts w:hint="eastAsia" w:ascii="宋体" w:hAnsi="宋体" w:eastAsia="宋体" w:cs="宋体"/>
          <w:sz w:val="24"/>
          <w:szCs w:val="24"/>
        </w:rPr>
      </w:pPr>
      <w:r>
        <w:rPr>
          <w:rFonts w:hint="eastAsia" w:ascii="宋体" w:hAnsi="宋体" w:eastAsia="宋体" w:cs="宋体"/>
          <w:kern w:val="2"/>
          <w:sz w:val="24"/>
          <w:szCs w:val="24"/>
          <w:lang w:val="en-US" w:eastAsia="zh-CN"/>
        </w:rPr>
        <w:t>7.</w:t>
      </w:r>
      <w:r>
        <w:rPr>
          <w:rFonts w:hint="eastAsia" w:ascii="宋体" w:hAnsi="宋体" w:cs="宋体"/>
          <w:kern w:val="2"/>
          <w:sz w:val="24"/>
          <w:szCs w:val="24"/>
          <w:lang w:val="en-US" w:eastAsia="zh-CN"/>
        </w:rPr>
        <w:t>2.</w:t>
      </w:r>
      <w:r>
        <w:rPr>
          <w:rFonts w:hint="eastAsia" w:ascii="宋体" w:hAnsi="宋体" w:eastAsia="宋体" w:cs="宋体"/>
          <w:sz w:val="24"/>
          <w:szCs w:val="24"/>
        </w:rPr>
        <w:t>1系统日常维护培训。对安全运营平台管理人员进行系统的日常维护培训，包括对微小系统故障的排除等。保证系统运行的可靠性及持续性。在系统扩展时，也提供对系统管理人员的后续培训。</w:t>
      </w:r>
    </w:p>
    <w:p>
      <w:pPr>
        <w:pStyle w:val="55"/>
        <w:spacing w:line="360" w:lineRule="auto"/>
        <w:ind w:firstLine="480"/>
        <w:rPr>
          <w:rFonts w:hint="eastAsia" w:ascii="宋体" w:hAnsi="宋体" w:eastAsia="宋体" w:cs="宋体"/>
          <w:sz w:val="24"/>
          <w:szCs w:val="24"/>
        </w:rPr>
      </w:pPr>
      <w:r>
        <w:rPr>
          <w:rFonts w:hint="eastAsia" w:ascii="宋体" w:hAnsi="宋体" w:eastAsia="宋体" w:cs="宋体"/>
          <w:kern w:val="2"/>
          <w:sz w:val="24"/>
          <w:szCs w:val="24"/>
          <w:lang w:val="en-US" w:eastAsia="zh-CN"/>
        </w:rPr>
        <w:t>7.</w:t>
      </w:r>
      <w:r>
        <w:rPr>
          <w:rFonts w:hint="eastAsia" w:ascii="宋体" w:hAnsi="宋体" w:cs="宋体"/>
          <w:kern w:val="2"/>
          <w:sz w:val="24"/>
          <w:szCs w:val="24"/>
          <w:lang w:val="en-US" w:eastAsia="zh-CN"/>
        </w:rPr>
        <w:t>2.</w:t>
      </w:r>
      <w:r>
        <w:rPr>
          <w:rFonts w:hint="eastAsia" w:ascii="宋体" w:hAnsi="宋体" w:eastAsia="宋体" w:cs="宋体"/>
          <w:sz w:val="24"/>
          <w:szCs w:val="24"/>
        </w:rPr>
        <w:t>2系统相关技术培训。对安全运营平台管理人员进行相关技术的培训，包括安全数据采集、安全事件处理、安全数据分析和数据治理等相关技术的培训，有利于系统管理人员对系统的日常维护。避免管理操作不当引起的系统故障。</w:t>
      </w:r>
    </w:p>
    <w:p>
      <w:pPr>
        <w:pStyle w:val="55"/>
        <w:spacing w:line="360" w:lineRule="auto"/>
        <w:ind w:firstLine="480"/>
        <w:rPr>
          <w:rFonts w:hint="eastAsia" w:ascii="宋体" w:hAnsi="宋体" w:eastAsia="宋体" w:cs="宋体"/>
          <w:sz w:val="24"/>
          <w:szCs w:val="24"/>
        </w:rPr>
      </w:pPr>
      <w:r>
        <w:rPr>
          <w:rFonts w:hint="eastAsia" w:ascii="宋体" w:hAnsi="宋体" w:eastAsia="宋体" w:cs="宋体"/>
          <w:kern w:val="2"/>
          <w:sz w:val="24"/>
          <w:szCs w:val="24"/>
          <w:lang w:val="en-US" w:eastAsia="zh-CN"/>
        </w:rPr>
        <w:t>7.</w:t>
      </w:r>
      <w:r>
        <w:rPr>
          <w:rFonts w:hint="eastAsia" w:ascii="宋体" w:hAnsi="宋体" w:cs="宋体"/>
          <w:kern w:val="2"/>
          <w:sz w:val="24"/>
          <w:szCs w:val="24"/>
          <w:lang w:val="en-US" w:eastAsia="zh-CN"/>
        </w:rPr>
        <w:t>2.</w:t>
      </w:r>
      <w:r>
        <w:rPr>
          <w:rFonts w:hint="eastAsia" w:ascii="宋体" w:hAnsi="宋体" w:eastAsia="宋体" w:cs="宋体"/>
          <w:sz w:val="24"/>
          <w:szCs w:val="24"/>
        </w:rPr>
        <w:t>3系统架构培训。除了进行普通系统操作培训外，还进一步向系统管理人员介绍安全运营平台总体设计及其各部分之间的关系，使系统管理人员全面地了解安全运营平台，以便为其他用户提供技术支持。</w:t>
      </w:r>
    </w:p>
    <w:p>
      <w:pPr>
        <w:pStyle w:val="55"/>
        <w:spacing w:line="360" w:lineRule="auto"/>
        <w:ind w:firstLine="480"/>
        <w:rPr>
          <w:rFonts w:hint="eastAsia" w:ascii="宋体" w:hAnsi="宋体" w:eastAsia="宋体" w:cs="宋体"/>
          <w:sz w:val="24"/>
          <w:szCs w:val="24"/>
        </w:rPr>
      </w:pPr>
      <w:r>
        <w:rPr>
          <w:rFonts w:hint="eastAsia" w:ascii="宋体" w:hAnsi="宋体" w:eastAsia="宋体" w:cs="宋体"/>
          <w:kern w:val="2"/>
          <w:sz w:val="24"/>
          <w:szCs w:val="24"/>
          <w:lang w:val="en-US" w:eastAsia="zh-CN"/>
        </w:rPr>
        <w:t>7.</w:t>
      </w:r>
      <w:r>
        <w:rPr>
          <w:rFonts w:hint="eastAsia" w:ascii="宋体" w:hAnsi="宋体" w:cs="宋体"/>
          <w:kern w:val="2"/>
          <w:sz w:val="24"/>
          <w:szCs w:val="24"/>
          <w:lang w:val="en-US" w:eastAsia="zh-CN"/>
        </w:rPr>
        <w:t>2.</w:t>
      </w:r>
      <w:r>
        <w:rPr>
          <w:rFonts w:hint="eastAsia" w:ascii="宋体" w:hAnsi="宋体" w:eastAsia="宋体" w:cs="宋体"/>
          <w:sz w:val="24"/>
          <w:szCs w:val="24"/>
        </w:rPr>
        <w:t>4系统二次开发培训。对系统管理人员进行系统二次开发的培训，以利于系统功能的扩展及完善。</w:t>
      </w:r>
    </w:p>
    <w:p>
      <w:pPr>
        <w:pStyle w:val="20"/>
        <w:widowControl/>
        <w:numPr>
          <w:ilvl w:val="0"/>
          <w:numId w:val="0"/>
        </w:numPr>
        <w:spacing w:after="0" w:line="360" w:lineRule="auto"/>
        <w:ind w:left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7.3</w:t>
      </w:r>
      <w:r>
        <w:rPr>
          <w:rFonts w:hint="eastAsia" w:ascii="宋体" w:hAnsi="宋体" w:eastAsia="宋体" w:cs="宋体"/>
          <w:kern w:val="2"/>
          <w:sz w:val="24"/>
          <w:szCs w:val="24"/>
        </w:rPr>
        <w:t>高级技术培训</w:t>
      </w:r>
    </w:p>
    <w:p>
      <w:pPr>
        <w:pStyle w:val="5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部分高级用户进行系统中关键功能（安全数据分析）培训，使用户对功能及其相关技术有深入的掌握，了解功能在本系统中所处的位置和起到的作用，从而对系统架构有更深层次的理解，使这些系统能够发挥出最大的效益。</w:t>
      </w:r>
    </w:p>
    <w:p>
      <w:pPr>
        <w:pStyle w:val="4"/>
        <w:numPr>
          <w:ilvl w:val="0"/>
          <w:numId w:val="0"/>
        </w:numPr>
        <w:spacing w:line="360" w:lineRule="auto"/>
        <w:ind w:right="25" w:rightChars="0"/>
        <w:jc w:val="both"/>
        <w:rPr>
          <w:rFonts w:hint="eastAsia" w:ascii="宋体" w:hAnsi="宋体" w:eastAsia="宋体" w:cs="宋体"/>
          <w:sz w:val="24"/>
          <w:szCs w:val="24"/>
        </w:rPr>
      </w:pPr>
      <w:bookmarkStart w:id="86" w:name="_Toc128762296"/>
      <w:r>
        <w:rPr>
          <w:rFonts w:hint="eastAsia" w:ascii="宋体" w:hAnsi="宋体" w:eastAsia="宋体" w:cs="宋体"/>
          <w:sz w:val="24"/>
          <w:szCs w:val="24"/>
          <w:lang w:val="en-US" w:eastAsia="zh-CN"/>
        </w:rPr>
        <w:t>8.</w:t>
      </w:r>
      <w:r>
        <w:rPr>
          <w:rFonts w:hint="eastAsia" w:ascii="宋体" w:hAnsi="宋体" w:eastAsia="宋体" w:cs="宋体"/>
          <w:sz w:val="24"/>
          <w:szCs w:val="24"/>
        </w:rPr>
        <w:t>交付要求</w:t>
      </w:r>
      <w:bookmarkEnd w:id="86"/>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供应商应按照招标文件所约定的内容和时间进行交付。按照计算机软件工程规范国家标准分阶段交付应用系统的文档，所交付的文档与文件应该是电子版式及纸质形式。交付的文档包括但不限于：需求规格说明书、概要设计说明书、详细设计说明书、数据库设计说明书、项目测试方案、项目测试报告、用户操作手册、管理与维护手册、安装部署手册、总结报告及采购人认为需要的其他材料。</w:t>
      </w:r>
    </w:p>
    <w:p>
      <w:pPr>
        <w:pStyle w:val="4"/>
        <w:numPr>
          <w:ilvl w:val="0"/>
          <w:numId w:val="0"/>
        </w:numPr>
        <w:spacing w:line="360" w:lineRule="auto"/>
        <w:ind w:right="25" w:rightChars="0"/>
        <w:jc w:val="both"/>
        <w:rPr>
          <w:rFonts w:hint="eastAsia" w:ascii="宋体" w:hAnsi="宋体" w:eastAsia="宋体" w:cs="宋体"/>
          <w:sz w:val="24"/>
          <w:szCs w:val="24"/>
        </w:rPr>
      </w:pPr>
      <w:bookmarkStart w:id="87" w:name="_Toc128762297"/>
      <w:r>
        <w:rPr>
          <w:rFonts w:hint="eastAsia" w:ascii="宋体" w:hAnsi="宋体" w:eastAsia="宋体" w:cs="宋体"/>
          <w:sz w:val="24"/>
          <w:szCs w:val="24"/>
          <w:lang w:val="en-US" w:eastAsia="zh-CN"/>
        </w:rPr>
        <w:t>9.</w:t>
      </w:r>
      <w:r>
        <w:rPr>
          <w:rFonts w:hint="eastAsia" w:ascii="宋体" w:hAnsi="宋体" w:eastAsia="宋体" w:cs="宋体"/>
          <w:sz w:val="24"/>
          <w:szCs w:val="24"/>
        </w:rPr>
        <w:t>项目验收要求</w:t>
      </w:r>
      <w:bookmarkEnd w:id="87"/>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项目的验收包括初步验收、试运行和竣工验收，验收相关费用由供应商承担。</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1项目初验</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项目初验前，供应商应首先对系统进行自测，并将系统自测报告提交甲方和监理方审查。供应商依本合同约定向采购人提交成果及相关文档，并向采购人提出初验申请。采购人接到供应商初验申请后，组织相关单位进行初验，初验合格后联合签署初验报告。</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2试运行</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初验合格后，系统进入试运行，试运行时间为3个月。</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3竣工验收</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系统通过试运行后，供应商向采购人提出竣工验收（即终验）申请，采购人组织相关单位进行系统的终验。系统终验通过，进入正式运行阶段。系统终验收合格的条件必须至少满足以下三个要求：已提供了合同要求的全部设备、软件和资料，试运行时性能满足合同要求，性能测试和试运行验收时出现的问题已被解决。</w:t>
      </w:r>
    </w:p>
    <w:p>
      <w:pPr>
        <w:pStyle w:val="2"/>
        <w:numPr>
          <w:ilvl w:val="0"/>
          <w:numId w:val="18"/>
        </w:numPr>
        <w:spacing w:line="360" w:lineRule="auto"/>
        <w:ind w:left="0" w:leftChars="0" w:firstLine="0" w:firstLineChars="0"/>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报价要求</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投标报价：包括需求调研、开发设计、系统集成、测试、实施部署、培训、维护、税费、密评（1年）、等保测评（1年）等费用，即一直到整个系统调试验收合格交付业主使用，采购人不再另行支付费用。</w:t>
      </w:r>
    </w:p>
    <w:p>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rPr>
        <w:t>供应商在总报价基础上按采购清单的各子系统分别报价，采购人在今后系统扩展需增加建设时，若采购供应商子系统内容，供应商不得超过本次投标报价。</w:t>
      </w:r>
    </w:p>
    <w:p>
      <w:pPr>
        <w:pStyle w:val="2"/>
        <w:spacing w:line="360" w:lineRule="auto"/>
        <w:ind w:left="0" w:leftChars="0" w:firstLine="0" w:firstLineChars="0"/>
        <w:rPr>
          <w:rFonts w:hint="eastAsia" w:ascii="宋体" w:hAnsi="宋体" w:eastAsia="宋体" w:cs="宋体"/>
          <w:b/>
          <w:bCs/>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11.</w:t>
      </w:r>
      <w:r>
        <w:rPr>
          <w:rFonts w:hint="eastAsia" w:ascii="宋体" w:hAnsi="宋体" w:eastAsia="宋体" w:cs="宋体"/>
          <w:b/>
          <w:color w:val="000000" w:themeColor="text1"/>
          <w:kern w:val="0"/>
          <w:sz w:val="24"/>
          <w:szCs w:val="24"/>
          <w14:textFill>
            <w14:solidFill>
              <w14:schemeClr w14:val="tx1"/>
            </w14:solidFill>
          </w14:textFill>
        </w:rPr>
        <w:t>演示</w:t>
      </w:r>
    </w:p>
    <w:p>
      <w:pPr>
        <w:pStyle w:val="11"/>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应提前做好演示准备（包括演示设备）。投标人需依照安全数据运营功能、安全数据共享功能、安全数据综合分析功能三个部分内容提供真实系统的操作录屏，配有人员讲解。录屏总时长不超过20分钟（录屏文件需通过“政采云视频讲标系统”进行线上实时在线播放，播放结束后发至公共交易中心指定邮箱）。PPT、图片演示的，不得分。</w:t>
      </w:r>
    </w:p>
    <w:p>
      <w:pPr>
        <w:pStyle w:val="2"/>
        <w:spacing w:line="360" w:lineRule="auto"/>
        <w:ind w:left="0" w:leftChars="0" w:firstLine="420" w:firstLineChars="20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3"/>
        <w:snapToGrid w:val="0"/>
        <w:spacing w:line="360" w:lineRule="auto"/>
        <w:ind w:firstLine="482" w:firstLineChars="200"/>
        <w:outlineLvl w:val="0"/>
        <w:rPr>
          <w:rFonts w:hint="eastAsia" w:eastAsia="宋体" w:asciiTheme="minorEastAsia" w:hAnsi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hint="eastAsia" w:ascii="宋体" w:hAnsi="宋体" w:cs="宋体"/>
          <w:b/>
          <w:bCs/>
          <w:sz w:val="24"/>
        </w:rPr>
        <w:t>维保期</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宋体" w:hAnsi="宋体" w:cs="宋体"/>
          <w:sz w:val="24"/>
        </w:rPr>
        <w:t>免费维保期至少_</w:t>
      </w:r>
      <w:r>
        <w:rPr>
          <w:rFonts w:ascii="宋体" w:hAnsi="宋体" w:cs="宋体"/>
          <w:sz w:val="24"/>
          <w:u w:val="single"/>
        </w:rPr>
        <w:t>3</w:t>
      </w:r>
      <w:r>
        <w:rPr>
          <w:rFonts w:hint="eastAsia" w:ascii="宋体" w:hAnsi="宋体" w:cs="宋体"/>
          <w:sz w:val="24"/>
          <w:u w:val="single"/>
        </w:rPr>
        <w:t>_</w:t>
      </w:r>
      <w:r>
        <w:rPr>
          <w:rFonts w:hint="eastAsia" w:ascii="宋体" w:hAnsi="宋体" w:cs="宋体"/>
          <w:sz w:val="24"/>
        </w:rPr>
        <w:t>年（产品技术需求栏中有特别注明的除外）</w:t>
      </w:r>
      <w:r>
        <w:rPr>
          <w:rFonts w:hint="eastAsia" w:ascii="宋体" w:hAnsi="宋体" w:cs="宋体"/>
          <w:sz w:val="24"/>
          <w:lang w:eastAsia="zh-CN"/>
        </w:rPr>
        <w:t>。</w:t>
      </w:r>
    </w:p>
    <w:p>
      <w:pPr>
        <w:spacing w:line="360" w:lineRule="auto"/>
        <w:ind w:firstLine="482" w:firstLineChars="200"/>
        <w:rPr>
          <w:rFonts w:hint="eastAsia"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（二）服务时间及地点：</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1、项目工期：自签订合同之日起_</w:t>
      </w:r>
      <w:r>
        <w:rPr>
          <w:rFonts w:ascii="宋体" w:hAnsi="宋体" w:cs="宋体"/>
          <w:sz w:val="24"/>
          <w:u w:val="single"/>
        </w:rPr>
        <w:t>90</w:t>
      </w:r>
      <w:r>
        <w:rPr>
          <w:rFonts w:hint="eastAsia" w:ascii="宋体" w:hAnsi="宋体" w:cs="宋体"/>
          <w:sz w:val="24"/>
        </w:rPr>
        <w:t>_个天内完成项目建设。</w:t>
      </w:r>
    </w:p>
    <w:p>
      <w:pPr>
        <w:pStyle w:val="13"/>
        <w:snapToGrid w:val="0"/>
        <w:spacing w:line="360" w:lineRule="auto"/>
        <w:ind w:firstLine="480" w:firstLineChars="200"/>
        <w:outlineLvl w:val="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宋体" w:hAnsi="宋体" w:cs="宋体"/>
          <w:sz w:val="24"/>
        </w:rPr>
        <w:t>2、交货地点：台州市大数据发展中心。</w:t>
      </w:r>
    </w:p>
    <w:p>
      <w:pPr>
        <w:pStyle w:val="13"/>
        <w:snapToGrid w:val="0"/>
        <w:spacing w:line="360" w:lineRule="auto"/>
        <w:ind w:firstLine="482" w:firstLineChars="200"/>
        <w:outlineLvl w:val="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hAnsi="宋体" w:cs="宋体"/>
          <w:sz w:val="24"/>
        </w:rPr>
        <w:t>合同签订后</w:t>
      </w:r>
      <w:r>
        <w:rPr>
          <w:rFonts w:hAnsi="宋体" w:cs="宋体"/>
          <w:sz w:val="24"/>
        </w:rPr>
        <w:t>20</w:t>
      </w:r>
      <w:r>
        <w:rPr>
          <w:rFonts w:hint="eastAsia" w:hAnsi="宋体" w:cs="宋体"/>
          <w:sz w:val="24"/>
        </w:rPr>
        <w:t>个工作日内预付合同款项的</w:t>
      </w:r>
      <w:r>
        <w:rPr>
          <w:rFonts w:hAnsi="宋体" w:cs="宋体"/>
          <w:sz w:val="24"/>
        </w:rPr>
        <w:t>40</w:t>
      </w:r>
      <w:r>
        <w:rPr>
          <w:rFonts w:hint="eastAsia" w:hAnsi="宋体" w:cs="宋体"/>
          <w:sz w:val="24"/>
        </w:rPr>
        <w:t>％</w:t>
      </w:r>
      <w:r>
        <w:rPr>
          <w:rFonts w:hint="eastAsia" w:asciiTheme="minorEastAsia" w:hAnsiTheme="minorEastAsia" w:eastAsiaTheme="minorEastAsia"/>
          <w:color w:val="000000" w:themeColor="text1"/>
          <w:kern w:val="0"/>
          <w:sz w:val="24"/>
          <w:highlight w:val="none"/>
          <w:shd w:val="clear"/>
          <w:lang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lang w:val="en-US" w:eastAsia="zh-CN"/>
          <w14:textFill>
            <w14:solidFill>
              <w14:schemeClr w14:val="tx1"/>
            </w14:solidFill>
          </w14:textFill>
        </w:rPr>
        <w:t>需提供预付款保函</w:t>
      </w:r>
      <w:r>
        <w:rPr>
          <w:rFonts w:hint="eastAsia" w:asciiTheme="minorEastAsia" w:hAnsiTheme="minorEastAsia" w:eastAsiaTheme="minorEastAsia"/>
          <w:color w:val="000000" w:themeColor="text1"/>
          <w:kern w:val="0"/>
          <w:sz w:val="24"/>
          <w:highlight w:val="none"/>
          <w:shd w:val="clear"/>
          <w:lang w:eastAsia="zh-CN"/>
          <w14:textFill>
            <w14:solidFill>
              <w14:schemeClr w14:val="tx1"/>
            </w14:solidFill>
          </w14:textFill>
        </w:rPr>
        <w:t>）</w:t>
      </w:r>
      <w:r>
        <w:rPr>
          <w:rFonts w:hint="eastAsia" w:hAnsi="宋体" w:cs="宋体"/>
          <w:sz w:val="24"/>
        </w:rPr>
        <w:t>，初验合格后</w:t>
      </w:r>
      <w:r>
        <w:rPr>
          <w:rFonts w:hAnsi="宋体" w:cs="宋体"/>
          <w:sz w:val="24"/>
        </w:rPr>
        <w:t>20</w:t>
      </w:r>
      <w:r>
        <w:rPr>
          <w:rFonts w:hint="eastAsia" w:hAnsi="宋体" w:cs="宋体"/>
          <w:sz w:val="24"/>
        </w:rPr>
        <w:t>个工作日内支付合同款项的</w:t>
      </w:r>
      <w:r>
        <w:rPr>
          <w:rFonts w:hAnsi="宋体" w:cs="宋体"/>
          <w:sz w:val="24"/>
        </w:rPr>
        <w:t>40</w:t>
      </w:r>
      <w:r>
        <w:rPr>
          <w:rFonts w:hint="eastAsia" w:hAnsi="宋体" w:cs="宋体"/>
          <w:sz w:val="24"/>
        </w:rPr>
        <w:t>％,验收合格后</w:t>
      </w:r>
      <w:r>
        <w:rPr>
          <w:rFonts w:hAnsi="宋体" w:cs="宋体"/>
          <w:sz w:val="24"/>
        </w:rPr>
        <w:t>20</w:t>
      </w:r>
      <w:r>
        <w:rPr>
          <w:rFonts w:hint="eastAsia" w:hAnsi="宋体" w:cs="宋体"/>
          <w:sz w:val="24"/>
        </w:rPr>
        <w:t>个工作日内支付合同款项的2</w:t>
      </w:r>
      <w:r>
        <w:rPr>
          <w:rFonts w:hAnsi="宋体" w:cs="宋体"/>
          <w:sz w:val="24"/>
        </w:rPr>
        <w:t>0</w:t>
      </w:r>
      <w:r>
        <w:rPr>
          <w:rFonts w:hint="eastAsia" w:hAnsi="宋体" w:cs="宋体"/>
          <w:sz w:val="24"/>
        </w:rPr>
        <w:t>％。</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color w:val="000000" w:themeColor="text1"/>
          <w:sz w:val="24"/>
          <w14:textFill>
            <w14:solidFill>
              <w14:schemeClr w14:val="tx1"/>
            </w14:solidFill>
          </w14:textFill>
        </w:rPr>
        <w:t>（四）</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ascii="宋体" w:hAnsi="宋体" w:cs="宋体"/>
          <w:sz w:val="24"/>
        </w:rPr>
        <w:t>合同签订前，中标人应先缴纳合同总金额1%的履约保证金，合同期满无</w:t>
      </w:r>
      <w:r>
        <w:rPr>
          <w:rFonts w:hint="eastAsia" w:ascii="宋体" w:hAnsi="宋体" w:cs="宋体"/>
          <w:sz w:val="24"/>
          <w:lang w:eastAsia="zh-CN"/>
        </w:rPr>
        <w:t>违约情形的，将在</w:t>
      </w:r>
      <w:r>
        <w:rPr>
          <w:rFonts w:hint="eastAsia" w:ascii="宋体" w:hAnsi="宋体" w:cs="宋体"/>
          <w:sz w:val="24"/>
          <w:lang w:val="en-US" w:eastAsia="zh-CN"/>
        </w:rPr>
        <w:t>15个工作日内</w:t>
      </w:r>
      <w:r>
        <w:rPr>
          <w:rFonts w:hint="eastAsia" w:ascii="宋体" w:hAnsi="宋体" w:cs="宋体"/>
          <w:sz w:val="24"/>
        </w:rPr>
        <w:t>退还</w:t>
      </w:r>
      <w:r>
        <w:rPr>
          <w:rFonts w:hint="eastAsia" w:ascii="宋体" w:hAnsi="宋体" w:cs="宋体"/>
          <w:sz w:val="24"/>
          <w:lang w:eastAsia="zh-CN"/>
        </w:rPr>
        <w:t>。</w:t>
      </w:r>
      <w:r>
        <w:rPr>
          <w:rFonts w:hint="eastAsia" w:ascii="宋体" w:hAnsi="宋体" w:cs="宋体"/>
          <w:sz w:val="24"/>
        </w:rPr>
        <w:t>（供应商以电汇、转账、或者金融机构、担保机构出具的保函等形式提交履约保证金，注明用途为“履约保证金”。）</w:t>
      </w:r>
    </w:p>
    <w:p>
      <w:pPr>
        <w:snapToGrid w:val="0"/>
        <w:spacing w:line="360" w:lineRule="auto"/>
        <w:ind w:firstLine="480" w:firstLineChars="200"/>
        <w:rPr>
          <w:rFonts w:cs="Arial" w:asciiTheme="minorEastAsia" w:hAnsiTheme="minorEastAsia" w:eastAsiaTheme="minorEastAsia"/>
          <w:sz w:val="24"/>
        </w:rPr>
      </w:pPr>
    </w:p>
    <w:p>
      <w:pPr>
        <w:snapToGrid w:val="0"/>
        <w:spacing w:line="360" w:lineRule="auto"/>
        <w:rPr>
          <w:rFonts w:asciiTheme="minorEastAsia" w:hAnsiTheme="minorEastAsia" w:eastAsiaTheme="minorEastAsia"/>
          <w:b/>
          <w:sz w:val="24"/>
        </w:rPr>
      </w:pPr>
    </w:p>
    <w:p>
      <w:pPr>
        <w:pStyle w:val="20"/>
        <w:spacing w:line="360" w:lineRule="auto"/>
        <w:ind w:firstLine="0" w:firstLineChars="0"/>
        <w:rPr>
          <w:rFonts w:asciiTheme="minorEastAsia" w:hAnsiTheme="minorEastAsia" w:eastAsiaTheme="minorEastAsia"/>
          <w:b/>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5"/>
        </w:numPr>
        <w:spacing w:line="360" w:lineRule="auto"/>
        <w:jc w:val="center"/>
        <w:rPr>
          <w:rFonts w:asciiTheme="minorEastAsia" w:hAnsiTheme="minorEastAsia" w:eastAsiaTheme="minorEastAsia"/>
          <w:b/>
          <w:sz w:val="36"/>
          <w:szCs w:val="36"/>
        </w:rPr>
      </w:pPr>
      <w:bookmarkStart w:id="88" w:name="_Toc31173_WPSOffice_Level1"/>
      <w:r>
        <w:rPr>
          <w:rFonts w:hint="eastAsia" w:asciiTheme="minorEastAsia" w:hAnsiTheme="minorEastAsia" w:eastAsiaTheme="minorEastAsia"/>
          <w:b/>
          <w:sz w:val="36"/>
          <w:szCs w:val="36"/>
        </w:rPr>
        <w:t>评标</w:t>
      </w:r>
      <w:bookmarkEnd w:id="88"/>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0"/>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0"/>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color w:val="0000FF"/>
          <w:kern w:val="0"/>
          <w:sz w:val="24"/>
          <w:u w:val="single"/>
          <w:lang w:val="en-US" w:eastAsia="zh-CN"/>
        </w:rPr>
        <w:t>8</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2"/>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2"/>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0"/>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1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0"/>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19"/>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pStyle w:val="13"/>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宋体" w:hAnsi="宋体" w:cs="宋体"/>
          <w:sz w:val="24"/>
          <w:u w:val="none"/>
          <w:lang w:val="en-US" w:eastAsia="zh-CN"/>
        </w:rPr>
        <w:t>本</w:t>
      </w:r>
      <w:r>
        <w:rPr>
          <w:rFonts w:hint="eastAsia" w:asciiTheme="minorEastAsia" w:hAnsiTheme="minorEastAsia" w:eastAsiaTheme="minorEastAsia"/>
          <w:kern w:val="0"/>
          <w:sz w:val="24"/>
        </w:rPr>
        <w:t>项目评标方法为综合评分法，总计100分，评标按以下标准及要求进行：</w:t>
      </w:r>
    </w:p>
    <w:tbl>
      <w:tblPr>
        <w:tblStyle w:val="22"/>
        <w:tblW w:w="9602" w:type="dxa"/>
        <w:tblInd w:w="-218" w:type="dxa"/>
        <w:tblLayout w:type="fixed"/>
        <w:tblCellMar>
          <w:top w:w="0" w:type="dxa"/>
          <w:left w:w="108" w:type="dxa"/>
          <w:bottom w:w="0" w:type="dxa"/>
          <w:right w:w="108" w:type="dxa"/>
        </w:tblCellMar>
      </w:tblPr>
      <w:tblGrid>
        <w:gridCol w:w="1091"/>
        <w:gridCol w:w="968"/>
        <w:gridCol w:w="6878"/>
        <w:gridCol w:w="665"/>
      </w:tblGrid>
      <w:tr>
        <w:tblPrEx>
          <w:tblCellMar>
            <w:top w:w="0" w:type="dxa"/>
            <w:left w:w="108" w:type="dxa"/>
            <w:bottom w:w="0" w:type="dxa"/>
            <w:right w:w="108" w:type="dxa"/>
          </w:tblCellMar>
        </w:tblPrEx>
        <w:trPr>
          <w:trHeight w:val="45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b/>
                <w:bCs/>
                <w:color w:val="000000" w:themeColor="text1"/>
                <w:lang w:eastAsia="zh-CN"/>
                <w14:textFill>
                  <w14:solidFill>
                    <w14:schemeClr w14:val="tx1"/>
                  </w14:solidFill>
                </w14:textFill>
              </w:rPr>
              <w:t>评分</w:t>
            </w:r>
            <w:r>
              <w:rPr>
                <w:rFonts w:hint="eastAsia"/>
                <w:b/>
                <w:bCs/>
                <w:color w:val="000000" w:themeColor="text1"/>
                <w14:textFill>
                  <w14:solidFill>
                    <w14:schemeClr w14:val="tx1"/>
                  </w14:solidFill>
                </w14:textFill>
              </w:rPr>
              <w:t>项目</w:t>
            </w:r>
          </w:p>
        </w:tc>
        <w:tc>
          <w:tcPr>
            <w:tcW w:w="7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b/>
                <w:bCs/>
                <w:color w:val="000000" w:themeColor="text1"/>
                <w:lang w:eastAsia="zh-CN"/>
                <w14:textFill>
                  <w14:solidFill>
                    <w14:schemeClr w14:val="tx1"/>
                  </w14:solidFill>
                </w14:textFill>
              </w:rPr>
              <w:t>评分</w:t>
            </w:r>
            <w:r>
              <w:rPr>
                <w:rFonts w:hint="eastAsia"/>
                <w:b/>
                <w:bCs/>
                <w:color w:val="000000" w:themeColor="text1"/>
                <w14:textFill>
                  <w14:solidFill>
                    <w14:schemeClr w14:val="tx1"/>
                  </w14:solidFill>
                </w14:textFill>
              </w:rPr>
              <w:t>细则</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分值</w:t>
            </w:r>
          </w:p>
        </w:tc>
      </w:tr>
      <w:tr>
        <w:tblPrEx>
          <w:tblCellMar>
            <w:top w:w="0" w:type="dxa"/>
            <w:left w:w="108" w:type="dxa"/>
            <w:bottom w:w="0" w:type="dxa"/>
            <w:right w:w="108" w:type="dxa"/>
          </w:tblCellMar>
        </w:tblPrEx>
        <w:trPr>
          <w:trHeight w:val="90" w:hRule="atLeast"/>
        </w:trPr>
        <w:tc>
          <w:tcPr>
            <w:tcW w:w="1091" w:type="dxa"/>
            <w:vMerge w:val="restart"/>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技术响应</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w:t>
            </w:r>
          </w:p>
        </w:tc>
        <w:tc>
          <w:tcPr>
            <w:tcW w:w="7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w:t>
            </w:r>
            <w:r>
              <w:rPr>
                <w:rFonts w:hint="eastAsia" w:ascii="宋体" w:hAnsi="宋体" w:eastAsia="宋体" w:cs="宋体"/>
                <w:color w:val="auto"/>
                <w:kern w:val="0"/>
                <w:sz w:val="21"/>
                <w:szCs w:val="21"/>
              </w:rPr>
              <w:t>文件</w:t>
            </w:r>
            <w:r>
              <w:rPr>
                <w:rFonts w:hint="eastAsia" w:ascii="宋体" w:hAnsi="宋体" w:cs="宋体"/>
                <w:color w:val="auto"/>
                <w:kern w:val="0"/>
                <w:sz w:val="21"/>
                <w:szCs w:val="21"/>
                <w:lang w:eastAsia="zh-CN"/>
              </w:rPr>
              <w:t>响应招标文件的</w:t>
            </w:r>
            <w:r>
              <w:rPr>
                <w:rFonts w:hint="eastAsia" w:ascii="宋体" w:hAnsi="宋体" w:eastAsia="宋体" w:cs="宋体"/>
                <w:color w:val="auto"/>
                <w:kern w:val="0"/>
                <w:sz w:val="21"/>
                <w:szCs w:val="21"/>
              </w:rPr>
              <w:t>程度进行评分：</w:t>
            </w:r>
            <w:r>
              <w:rPr>
                <w:rFonts w:hint="eastAsia" w:ascii="宋体" w:hAnsi="宋体" w:cs="宋体"/>
                <w:color w:val="auto"/>
                <w:kern w:val="0"/>
                <w:sz w:val="21"/>
                <w:szCs w:val="21"/>
                <w:lang w:eastAsia="zh-CN"/>
              </w:rPr>
              <w:t>基础分</w:t>
            </w:r>
            <w:r>
              <w:rPr>
                <w:rFonts w:hint="eastAsia" w:ascii="宋体" w:hAnsi="宋体" w:cs="宋体"/>
                <w:color w:val="auto"/>
                <w:kern w:val="0"/>
                <w:sz w:val="21"/>
                <w:szCs w:val="21"/>
                <w:lang w:val="en-US" w:eastAsia="zh-CN"/>
              </w:rPr>
              <w:t>20分，</w:t>
            </w:r>
            <w:r>
              <w:rPr>
                <w:rFonts w:hint="eastAsia" w:ascii="宋体" w:hAnsi="宋体" w:eastAsia="宋体" w:cs="宋体"/>
                <w:color w:val="auto"/>
                <w:kern w:val="0"/>
                <w:sz w:val="21"/>
                <w:szCs w:val="21"/>
              </w:rPr>
              <w:t>参数负偏离1</w:t>
            </w:r>
            <w:r>
              <w:rPr>
                <w:rFonts w:hint="eastAsia" w:ascii="宋体" w:hAnsi="宋体" w:eastAsia="宋体" w:cs="宋体"/>
                <w:color w:val="auto"/>
                <w:kern w:val="0"/>
                <w:sz w:val="21"/>
                <w:szCs w:val="21"/>
                <w:lang w:eastAsia="zh-CN"/>
              </w:rPr>
              <w:t>项扣1分；招标文件中标“★”的条款，负偏离1项扣</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 xml:space="preserve">分，扣完为止。（注：主要性能参数指标负偏离 </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lang w:eastAsia="zh-CN"/>
              </w:rPr>
              <w:t xml:space="preserve"> 项（含）以上的，投标无效）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2</w:t>
            </w:r>
            <w:r>
              <w:rPr>
                <w:rFonts w:hint="eastAsia" w:ascii="宋体" w:hAnsi="宋体" w:cs="宋体"/>
                <w:color w:val="auto"/>
                <w:kern w:val="0"/>
                <w:sz w:val="21"/>
                <w:szCs w:val="21"/>
                <w:lang w:val="en-US" w:eastAsia="zh-CN" w:bidi="ar"/>
              </w:rPr>
              <w:t>0</w:t>
            </w:r>
          </w:p>
        </w:tc>
      </w:tr>
      <w:tr>
        <w:tblPrEx>
          <w:tblCellMar>
            <w:top w:w="0" w:type="dxa"/>
            <w:left w:w="108" w:type="dxa"/>
            <w:bottom w:w="0" w:type="dxa"/>
            <w:right w:w="108" w:type="dxa"/>
          </w:tblCellMar>
        </w:tblPrEx>
        <w:trPr>
          <w:trHeight w:val="1125"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eastAsia" w:ascii="宋体" w:hAnsi="宋体" w:eastAsia="宋体" w:cs="宋体"/>
                <w:color w:val="auto"/>
                <w:kern w:val="0"/>
                <w:sz w:val="21"/>
                <w:szCs w:val="21"/>
              </w:rPr>
            </w:pPr>
            <w:r>
              <w:rPr>
                <w:rFonts w:hint="eastAsia" w:ascii="宋体" w:hAnsi="宋体" w:cs="宋体"/>
                <w:color w:val="000000"/>
                <w:kern w:val="0"/>
                <w:szCs w:val="21"/>
              </w:rPr>
              <w:t>总体建设方案</w:t>
            </w:r>
          </w:p>
        </w:tc>
        <w:tc>
          <w:tcPr>
            <w:tcW w:w="6878"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0"/>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根据投标人对</w:t>
            </w:r>
            <w:r>
              <w:rPr>
                <w:rFonts w:hint="eastAsia" w:ascii="宋体" w:hAnsi="宋体" w:cs="宋体"/>
                <w:szCs w:val="21"/>
                <w:lang w:eastAsia="zh-CN"/>
              </w:rPr>
              <w:t>采购人</w:t>
            </w:r>
            <w:r>
              <w:rPr>
                <w:rFonts w:hint="eastAsia" w:ascii="宋体" w:hAnsi="宋体" w:cs="宋体"/>
                <w:szCs w:val="21"/>
              </w:rPr>
              <w:t>案需求的理解、提供的项目实现思路、体系构架、功能模块等进行综合打分：</w:t>
            </w:r>
          </w:p>
          <w:p>
            <w:pPr>
              <w:pStyle w:val="10"/>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①对项目的实现思路、体系架构齐全，包含了招标需求中的全部内容，对具体的实施方案作出了详细、准确的阐述，且项目方案贴合实际的</w:t>
            </w:r>
            <w:r>
              <w:rPr>
                <w:rFonts w:hint="eastAsia" w:ascii="宋体" w:hAnsi="宋体" w:cs="宋体"/>
                <w:szCs w:val="21"/>
                <w:lang w:eastAsia="zh-CN"/>
              </w:rPr>
              <w:t>，</w:t>
            </w:r>
            <w:r>
              <w:rPr>
                <w:rFonts w:hint="eastAsia" w:ascii="宋体" w:hAnsi="宋体" w:cs="宋体"/>
                <w:szCs w:val="21"/>
              </w:rPr>
              <w:t>得</w:t>
            </w:r>
            <w:r>
              <w:rPr>
                <w:rFonts w:hint="eastAsia"/>
                <w:color w:val="auto"/>
                <w:lang w:val="en-US" w:eastAsia="zh-CN"/>
              </w:rPr>
              <w:t>4-5</w:t>
            </w:r>
            <w:r>
              <w:rPr>
                <w:rFonts w:hint="eastAsia" w:ascii="宋体" w:hAnsi="宋体" w:cs="宋体"/>
                <w:szCs w:val="21"/>
              </w:rPr>
              <w:t>分；</w:t>
            </w:r>
          </w:p>
          <w:p>
            <w:pPr>
              <w:pStyle w:val="10"/>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②对项目的实现思路、体系架构较齐全，包含了招标需求中的大部分内容，对具体的实施方案作出了详细、准确的阐述，但方案没有针对项目的实际情况的</w:t>
            </w:r>
            <w:r>
              <w:rPr>
                <w:rFonts w:hint="eastAsia" w:ascii="宋体" w:hAnsi="宋体" w:cs="宋体"/>
                <w:szCs w:val="21"/>
                <w:lang w:eastAsia="zh-CN"/>
              </w:rPr>
              <w:t>，</w:t>
            </w:r>
            <w:r>
              <w:rPr>
                <w:rFonts w:hint="eastAsia" w:ascii="宋体" w:hAnsi="宋体" w:cs="宋体"/>
                <w:szCs w:val="21"/>
              </w:rPr>
              <w:t>得</w:t>
            </w:r>
            <w:r>
              <w:rPr>
                <w:rFonts w:hint="eastAsia" w:ascii="宋体" w:hAnsi="宋体" w:cs="宋体"/>
                <w:color w:val="auto"/>
                <w:szCs w:val="21"/>
                <w:lang w:val="en-US" w:eastAsia="zh-CN"/>
              </w:rPr>
              <w:t>2.1-3.9</w:t>
            </w:r>
            <w:r>
              <w:rPr>
                <w:rFonts w:hint="eastAsia" w:ascii="宋体" w:hAnsi="宋体" w:cs="宋体"/>
                <w:szCs w:val="21"/>
              </w:rPr>
              <w:t>分；</w:t>
            </w:r>
          </w:p>
          <w:p>
            <w:pPr>
              <w:pStyle w:val="10"/>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③对项目的实现思路、体系架构只包含了招标需求中的部分内容，实施方案不明确，没有针对实际情况的</w:t>
            </w:r>
            <w:r>
              <w:rPr>
                <w:rFonts w:hint="eastAsia" w:ascii="宋体" w:hAnsi="宋体" w:cs="宋体"/>
                <w:szCs w:val="21"/>
                <w:lang w:eastAsia="zh-CN"/>
              </w:rPr>
              <w:t>，</w:t>
            </w:r>
            <w:r>
              <w:rPr>
                <w:rFonts w:hint="eastAsia" w:ascii="宋体" w:hAnsi="宋体" w:cs="宋体"/>
                <w:szCs w:val="21"/>
              </w:rPr>
              <w:t>得</w:t>
            </w:r>
            <w:r>
              <w:rPr>
                <w:rFonts w:hint="eastAsia" w:ascii="宋体" w:hAnsi="宋体" w:cs="宋体"/>
                <w:b w:val="0"/>
                <w:bCs w:val="0"/>
                <w:color w:val="auto"/>
                <w:szCs w:val="21"/>
                <w:lang w:val="en-US" w:eastAsia="zh-CN"/>
              </w:rPr>
              <w:t>0-2</w:t>
            </w:r>
            <w:r>
              <w:rPr>
                <w:rFonts w:hint="eastAsia" w:ascii="宋体" w:hAnsi="宋体" w:cs="宋体"/>
                <w:szCs w:val="21"/>
              </w:rPr>
              <w:t>分；</w:t>
            </w:r>
          </w:p>
          <w:p>
            <w:pPr>
              <w:pStyle w:val="10"/>
              <w:rPr>
                <w:rFonts w:hint="eastAsia" w:ascii="宋体" w:hAnsi="宋体" w:eastAsia="宋体" w:cs="宋体"/>
                <w:color w:val="auto"/>
                <w:kern w:val="0"/>
                <w:sz w:val="21"/>
                <w:szCs w:val="21"/>
              </w:rPr>
            </w:pPr>
            <w:r>
              <w:rPr>
                <w:rFonts w:hint="eastAsia" w:ascii="宋体" w:hAnsi="宋体" w:cs="宋体"/>
                <w:szCs w:val="21"/>
              </w:rPr>
              <w:t>④未提及此项的不得分。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5</w:t>
            </w:r>
          </w:p>
        </w:tc>
      </w:tr>
      <w:tr>
        <w:tblPrEx>
          <w:tblCellMar>
            <w:top w:w="0" w:type="dxa"/>
            <w:left w:w="108" w:type="dxa"/>
            <w:bottom w:w="0" w:type="dxa"/>
            <w:right w:w="108" w:type="dxa"/>
          </w:tblCellMar>
        </w:tblPrEx>
        <w:trPr>
          <w:trHeight w:val="90"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vMerge w:val="restart"/>
            <w:tcBorders>
              <w:top w:val="single" w:color="000000" w:sz="4" w:space="0"/>
              <w:left w:val="single" w:color="000000" w:sz="4" w:space="0"/>
              <w:right w:val="single" w:color="auto"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建设方案</w:t>
            </w:r>
          </w:p>
        </w:tc>
        <w:tc>
          <w:tcPr>
            <w:tcW w:w="6878"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2"/>
              <w:spacing w:line="24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根据投标人提供</w:t>
            </w:r>
            <w:r>
              <w:rPr>
                <w:rFonts w:hint="eastAsia" w:ascii="宋体" w:hAnsi="宋体" w:cs="宋体"/>
                <w:kern w:val="0"/>
                <w:sz w:val="21"/>
                <w:szCs w:val="21"/>
                <w:lang w:eastAsia="zh-CN"/>
              </w:rPr>
              <w:t>的</w:t>
            </w:r>
            <w:r>
              <w:rPr>
                <w:rFonts w:hint="eastAsia" w:ascii="宋体" w:hAnsi="宋体" w:eastAsia="宋体" w:cs="宋体"/>
                <w:kern w:val="0"/>
                <w:sz w:val="21"/>
                <w:szCs w:val="21"/>
              </w:rPr>
              <w:t>安全数据运营方面</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建设方案是否能满足采购需求</w:t>
            </w:r>
            <w:r>
              <w:rPr>
                <w:rFonts w:hint="eastAsia" w:ascii="宋体" w:hAnsi="宋体" w:cs="宋体"/>
                <w:kern w:val="0"/>
                <w:sz w:val="21"/>
                <w:szCs w:val="21"/>
                <w:lang w:eastAsia="zh-CN"/>
              </w:rPr>
              <w:t>进行打分：</w:t>
            </w:r>
          </w:p>
          <w:p>
            <w:pPr>
              <w:pStyle w:val="2"/>
              <w:spacing w:line="240" w:lineRule="auto"/>
              <w:rPr>
                <w:rFonts w:hint="eastAsia"/>
                <w:color w:val="auto"/>
                <w:lang w:val="en-US" w:eastAsia="zh-CN"/>
              </w:rPr>
            </w:pPr>
            <w:r>
              <w:rPr>
                <w:rFonts w:hint="eastAsia" w:ascii="宋体" w:hAnsi="宋体" w:cs="宋体"/>
                <w:color w:val="auto"/>
                <w:szCs w:val="21"/>
              </w:rPr>
              <w:t>①</w:t>
            </w:r>
            <w:r>
              <w:rPr>
                <w:rFonts w:hint="eastAsia" w:ascii="宋体" w:hAnsi="宋体" w:eastAsiaTheme="minorEastAsia" w:cstheme="minorBidi"/>
                <w:b w:val="0"/>
                <w:bCs w:val="0"/>
                <w:color w:val="auto"/>
                <w:kern w:val="2"/>
                <w:sz w:val="21"/>
                <w:szCs w:val="21"/>
                <w:lang w:val="en-US" w:eastAsia="zh-CN" w:bidi="ar-SA"/>
              </w:rPr>
              <w:t>方案逻辑清晰、完整详实、可操作性强，</w:t>
            </w:r>
            <w:r>
              <w:rPr>
                <w:rFonts w:hint="eastAsia"/>
                <w:color w:val="auto"/>
                <w:lang w:eastAsia="zh-CN"/>
              </w:rPr>
              <w:t>得</w:t>
            </w:r>
            <w:r>
              <w:rPr>
                <w:rFonts w:hint="eastAsia"/>
                <w:color w:val="auto"/>
                <w:lang w:val="en-US" w:eastAsia="zh-CN"/>
              </w:rPr>
              <w:t>4-5分；</w:t>
            </w:r>
          </w:p>
          <w:p>
            <w:pPr>
              <w:keepNext w:val="0"/>
              <w:keepLines w:val="0"/>
              <w:suppressLineNumbers w:val="0"/>
              <w:spacing w:before="0" w:beforeAutospacing="0" w:after="0" w:afterAutospacing="0" w:line="240" w:lineRule="auto"/>
              <w:ind w:left="0" w:right="0" w:firstLine="420" w:firstLineChars="200"/>
              <w:jc w:val="left"/>
              <w:rPr>
                <w:rFonts w:hint="default" w:ascii="宋体" w:hAnsi="宋体" w:cs="宋体"/>
                <w:color w:val="auto"/>
                <w:szCs w:val="21"/>
              </w:rPr>
            </w:pPr>
            <w:r>
              <w:rPr>
                <w:rFonts w:hint="eastAsia" w:ascii="宋体" w:hAnsi="宋体" w:cs="宋体"/>
                <w:color w:val="auto"/>
                <w:szCs w:val="21"/>
              </w:rPr>
              <w:t>②方案合理、</w:t>
            </w:r>
            <w:r>
              <w:rPr>
                <w:rFonts w:hint="eastAsia" w:ascii="宋体" w:hAnsi="宋体"/>
                <w:color w:val="auto"/>
                <w:kern w:val="0"/>
                <w:szCs w:val="21"/>
              </w:rPr>
              <w:t>内容常规、操作性一般</w:t>
            </w:r>
            <w:r>
              <w:rPr>
                <w:rFonts w:hint="eastAsia" w:ascii="宋体" w:hAnsi="宋体" w:cs="宋体"/>
                <w:color w:val="auto"/>
                <w:szCs w:val="21"/>
              </w:rPr>
              <w:t>的得</w:t>
            </w:r>
            <w:r>
              <w:rPr>
                <w:rFonts w:hint="eastAsia" w:ascii="宋体" w:hAnsi="宋体" w:cs="宋体"/>
                <w:color w:val="auto"/>
                <w:szCs w:val="21"/>
                <w:lang w:val="en-US" w:eastAsia="zh-CN"/>
              </w:rPr>
              <w:t>2.1-3.9</w:t>
            </w:r>
            <w:r>
              <w:rPr>
                <w:rFonts w:hint="eastAsia" w:ascii="宋体" w:hAnsi="宋体" w:cs="宋体"/>
                <w:color w:val="auto"/>
                <w:szCs w:val="21"/>
              </w:rPr>
              <w:t>分；</w:t>
            </w:r>
          </w:p>
          <w:p>
            <w:pPr>
              <w:pStyle w:val="2"/>
              <w:spacing w:line="240" w:lineRule="auto"/>
              <w:rPr>
                <w:rFonts w:hint="eastAsia" w:ascii="宋体" w:hAnsi="宋体" w:cs="宋体"/>
                <w:color w:val="auto"/>
                <w:szCs w:val="21"/>
              </w:rPr>
            </w:pPr>
            <w:r>
              <w:rPr>
                <w:rFonts w:hint="eastAsia" w:ascii="宋体" w:hAnsi="宋体" w:cs="宋体"/>
                <w:color w:val="auto"/>
                <w:szCs w:val="21"/>
              </w:rPr>
              <w:t>③方案粗糙、</w:t>
            </w:r>
            <w:r>
              <w:rPr>
                <w:rFonts w:hint="eastAsia" w:ascii="宋体" w:hAnsi="宋体"/>
                <w:color w:val="auto"/>
                <w:kern w:val="0"/>
                <w:szCs w:val="21"/>
              </w:rPr>
              <w:t>内容缺漏、操作性差</w:t>
            </w:r>
            <w:r>
              <w:rPr>
                <w:rFonts w:hint="eastAsia" w:ascii="宋体" w:hAnsi="宋体" w:cs="宋体"/>
                <w:color w:val="auto"/>
                <w:szCs w:val="21"/>
              </w:rPr>
              <w:t>的</w:t>
            </w:r>
            <w:r>
              <w:rPr>
                <w:rFonts w:hint="eastAsia" w:ascii="宋体" w:hAnsi="宋体" w:cs="宋体"/>
                <w:b w:val="0"/>
                <w:bCs w:val="0"/>
                <w:color w:val="auto"/>
                <w:szCs w:val="21"/>
              </w:rPr>
              <w:t>得</w:t>
            </w:r>
            <w:r>
              <w:rPr>
                <w:rFonts w:hint="eastAsia" w:ascii="宋体" w:hAnsi="宋体" w:cs="宋体"/>
                <w:b w:val="0"/>
                <w:bCs w:val="0"/>
                <w:color w:val="auto"/>
                <w:szCs w:val="21"/>
                <w:lang w:val="en-US" w:eastAsia="zh-CN"/>
              </w:rPr>
              <w:t>1.1-2</w:t>
            </w:r>
            <w:r>
              <w:rPr>
                <w:rFonts w:hint="eastAsia" w:ascii="宋体" w:hAnsi="宋体" w:cs="宋体"/>
                <w:b w:val="0"/>
                <w:bCs w:val="0"/>
                <w:color w:val="auto"/>
                <w:szCs w:val="21"/>
              </w:rPr>
              <w:t>分。</w:t>
            </w:r>
          </w:p>
          <w:p>
            <w:pPr>
              <w:widowControl/>
              <w:spacing w:line="240" w:lineRule="auto"/>
              <w:ind w:firstLine="420" w:firstLineChars="200"/>
              <w:jc w:val="left"/>
              <w:textAlignment w:val="center"/>
              <w:rPr>
                <w:rFonts w:hint="eastAsia" w:ascii="宋体" w:hAnsi="宋体" w:eastAsia="宋体" w:cs="宋体"/>
                <w:kern w:val="0"/>
                <w:sz w:val="21"/>
                <w:szCs w:val="21"/>
              </w:rPr>
            </w:pPr>
            <w:r>
              <w:rPr>
                <w:rFonts w:hint="eastAsia" w:ascii="宋体" w:hAnsi="宋体" w:cs="宋体"/>
                <w:color w:val="auto"/>
                <w:szCs w:val="21"/>
              </w:rPr>
              <w:t>④</w:t>
            </w:r>
            <w:r>
              <w:rPr>
                <w:rFonts w:hint="eastAsia" w:ascii="宋体" w:hAnsi="宋体" w:cs="宋体"/>
                <w:color w:val="auto"/>
                <w:szCs w:val="21"/>
                <w:lang w:eastAsia="zh-CN"/>
              </w:rPr>
              <w:t>方案差的得</w:t>
            </w:r>
            <w:r>
              <w:rPr>
                <w:rFonts w:hint="eastAsia" w:ascii="宋体" w:hAnsi="宋体" w:cs="宋体"/>
                <w:color w:val="auto"/>
                <w:szCs w:val="21"/>
                <w:lang w:val="en-US" w:eastAsia="zh-CN"/>
              </w:rPr>
              <w:t>1-0分，</w:t>
            </w:r>
            <w:r>
              <w:rPr>
                <w:rFonts w:hint="eastAsia" w:ascii="宋体" w:hAnsi="宋体" w:cs="宋体"/>
                <w:color w:val="auto"/>
                <w:szCs w:val="21"/>
              </w:rPr>
              <w:t>未提及此项的不得分。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r>
      <w:tr>
        <w:tblPrEx>
          <w:tblCellMar>
            <w:top w:w="0" w:type="dxa"/>
            <w:left w:w="108" w:type="dxa"/>
            <w:bottom w:w="0" w:type="dxa"/>
            <w:right w:w="108" w:type="dxa"/>
          </w:tblCellMar>
        </w:tblPrEx>
        <w:trPr>
          <w:trHeight w:val="1830"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vMerge w:val="continue"/>
            <w:tcBorders>
              <w:left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kern w:val="0"/>
                <w:sz w:val="21"/>
                <w:szCs w:val="21"/>
                <w:lang w:bidi="ar"/>
              </w:rPr>
            </w:pPr>
          </w:p>
        </w:tc>
        <w:tc>
          <w:tcPr>
            <w:tcW w:w="6878" w:type="dxa"/>
            <w:tcBorders>
              <w:top w:val="single" w:color="000000" w:sz="4" w:space="0"/>
              <w:left w:val="nil"/>
              <w:bottom w:val="single" w:color="000000" w:sz="4" w:space="0"/>
              <w:right w:val="single" w:color="000000" w:sz="4" w:space="0"/>
            </w:tcBorders>
            <w:shd w:val="clear" w:color="auto" w:fill="auto"/>
            <w:vAlign w:val="center"/>
          </w:tcPr>
          <w:p>
            <w:pPr>
              <w:pStyle w:val="2"/>
              <w:spacing w:line="24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根据投标人提供</w:t>
            </w:r>
            <w:r>
              <w:rPr>
                <w:rFonts w:hint="eastAsia" w:ascii="宋体" w:hAnsi="宋体" w:cs="宋体"/>
                <w:kern w:val="0"/>
                <w:sz w:val="21"/>
                <w:szCs w:val="21"/>
                <w:lang w:eastAsia="zh-CN"/>
              </w:rPr>
              <w:t>的</w:t>
            </w:r>
            <w:r>
              <w:rPr>
                <w:rFonts w:hint="eastAsia" w:ascii="宋体" w:hAnsi="宋体" w:eastAsia="宋体" w:cs="宋体"/>
                <w:kern w:val="0"/>
                <w:sz w:val="21"/>
                <w:szCs w:val="21"/>
              </w:rPr>
              <w:t>安全数据共享方面</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建设方案是否能满足采购需求</w:t>
            </w:r>
            <w:r>
              <w:rPr>
                <w:rFonts w:hint="eastAsia" w:ascii="宋体" w:hAnsi="宋体" w:cs="宋体"/>
                <w:kern w:val="0"/>
                <w:sz w:val="21"/>
                <w:szCs w:val="21"/>
                <w:lang w:eastAsia="zh-CN"/>
              </w:rPr>
              <w:t>进行打分：</w:t>
            </w:r>
          </w:p>
          <w:p>
            <w:pPr>
              <w:pStyle w:val="2"/>
              <w:spacing w:line="240" w:lineRule="auto"/>
              <w:rPr>
                <w:rFonts w:hint="eastAsia"/>
                <w:color w:val="auto"/>
                <w:lang w:val="en-US" w:eastAsia="zh-CN"/>
              </w:rPr>
            </w:pPr>
            <w:r>
              <w:rPr>
                <w:rFonts w:hint="eastAsia" w:ascii="宋体" w:hAnsi="宋体" w:cs="宋体"/>
                <w:color w:val="auto"/>
                <w:szCs w:val="21"/>
              </w:rPr>
              <w:t>①</w:t>
            </w:r>
            <w:r>
              <w:rPr>
                <w:rFonts w:hint="eastAsia" w:ascii="宋体" w:hAnsi="宋体" w:eastAsiaTheme="minorEastAsia" w:cstheme="minorBidi"/>
                <w:b w:val="0"/>
                <w:bCs w:val="0"/>
                <w:color w:val="auto"/>
                <w:kern w:val="2"/>
                <w:sz w:val="21"/>
                <w:szCs w:val="21"/>
                <w:lang w:val="en-US" w:eastAsia="zh-CN" w:bidi="ar-SA"/>
              </w:rPr>
              <w:t>方案逻辑清晰、完整详实、可操作性强，</w:t>
            </w:r>
            <w:r>
              <w:rPr>
                <w:rFonts w:hint="eastAsia"/>
                <w:color w:val="auto"/>
                <w:lang w:eastAsia="zh-CN"/>
              </w:rPr>
              <w:t>得</w:t>
            </w:r>
            <w:r>
              <w:rPr>
                <w:rFonts w:hint="eastAsia"/>
                <w:color w:val="auto"/>
                <w:lang w:val="en-US" w:eastAsia="zh-CN"/>
              </w:rPr>
              <w:t>4-5分；</w:t>
            </w:r>
          </w:p>
          <w:p>
            <w:pPr>
              <w:keepNext w:val="0"/>
              <w:keepLines w:val="0"/>
              <w:suppressLineNumbers w:val="0"/>
              <w:spacing w:before="0" w:beforeAutospacing="0" w:after="0" w:afterAutospacing="0" w:line="240" w:lineRule="auto"/>
              <w:ind w:left="0" w:right="0" w:firstLine="420" w:firstLineChars="200"/>
              <w:jc w:val="left"/>
              <w:rPr>
                <w:rFonts w:hint="default" w:ascii="宋体" w:hAnsi="宋体" w:cs="宋体"/>
                <w:color w:val="auto"/>
                <w:szCs w:val="21"/>
              </w:rPr>
            </w:pPr>
            <w:r>
              <w:rPr>
                <w:rFonts w:hint="eastAsia" w:ascii="宋体" w:hAnsi="宋体" w:cs="宋体"/>
                <w:color w:val="auto"/>
                <w:szCs w:val="21"/>
              </w:rPr>
              <w:t>②方案合理、</w:t>
            </w:r>
            <w:r>
              <w:rPr>
                <w:rFonts w:hint="eastAsia" w:ascii="宋体" w:hAnsi="宋体"/>
                <w:color w:val="auto"/>
                <w:kern w:val="0"/>
                <w:szCs w:val="21"/>
              </w:rPr>
              <w:t>内容常规、操作性一般</w:t>
            </w:r>
            <w:r>
              <w:rPr>
                <w:rFonts w:hint="eastAsia" w:ascii="宋体" w:hAnsi="宋体" w:cs="宋体"/>
                <w:color w:val="auto"/>
                <w:szCs w:val="21"/>
              </w:rPr>
              <w:t>的得</w:t>
            </w:r>
            <w:r>
              <w:rPr>
                <w:rFonts w:hint="eastAsia" w:ascii="宋体" w:hAnsi="宋体" w:cs="宋体"/>
                <w:color w:val="auto"/>
                <w:szCs w:val="21"/>
                <w:lang w:val="en-US" w:eastAsia="zh-CN"/>
              </w:rPr>
              <w:t>2.1-3.9</w:t>
            </w:r>
            <w:r>
              <w:rPr>
                <w:rFonts w:hint="eastAsia" w:ascii="宋体" w:hAnsi="宋体" w:cs="宋体"/>
                <w:color w:val="auto"/>
                <w:szCs w:val="21"/>
              </w:rPr>
              <w:t>分；</w:t>
            </w:r>
          </w:p>
          <w:p>
            <w:pPr>
              <w:pStyle w:val="2"/>
              <w:spacing w:line="240" w:lineRule="auto"/>
              <w:rPr>
                <w:rFonts w:hint="eastAsia" w:ascii="宋体" w:hAnsi="宋体" w:cs="宋体"/>
                <w:color w:val="auto"/>
                <w:szCs w:val="21"/>
              </w:rPr>
            </w:pPr>
            <w:r>
              <w:rPr>
                <w:rFonts w:hint="eastAsia" w:ascii="宋体" w:hAnsi="宋体" w:cs="宋体"/>
                <w:color w:val="auto"/>
                <w:szCs w:val="21"/>
              </w:rPr>
              <w:t>③方案粗糙、</w:t>
            </w:r>
            <w:r>
              <w:rPr>
                <w:rFonts w:hint="eastAsia" w:ascii="宋体" w:hAnsi="宋体"/>
                <w:color w:val="auto"/>
                <w:kern w:val="0"/>
                <w:szCs w:val="21"/>
              </w:rPr>
              <w:t>内容缺漏、操作性差</w:t>
            </w:r>
            <w:r>
              <w:rPr>
                <w:rFonts w:hint="eastAsia" w:ascii="宋体" w:hAnsi="宋体" w:cs="宋体"/>
                <w:color w:val="auto"/>
                <w:szCs w:val="21"/>
              </w:rPr>
              <w:t>的</w:t>
            </w:r>
            <w:r>
              <w:rPr>
                <w:rFonts w:hint="eastAsia" w:ascii="宋体" w:hAnsi="宋体" w:cs="宋体"/>
                <w:b w:val="0"/>
                <w:bCs w:val="0"/>
                <w:color w:val="auto"/>
                <w:szCs w:val="21"/>
              </w:rPr>
              <w:t>得</w:t>
            </w:r>
            <w:r>
              <w:rPr>
                <w:rFonts w:hint="eastAsia" w:ascii="宋体" w:hAnsi="宋体" w:cs="宋体"/>
                <w:b w:val="0"/>
                <w:bCs w:val="0"/>
                <w:color w:val="auto"/>
                <w:szCs w:val="21"/>
                <w:lang w:val="en-US" w:eastAsia="zh-CN"/>
              </w:rPr>
              <w:t>1.1-2</w:t>
            </w:r>
            <w:r>
              <w:rPr>
                <w:rFonts w:hint="eastAsia" w:ascii="宋体" w:hAnsi="宋体" w:cs="宋体"/>
                <w:b w:val="0"/>
                <w:bCs w:val="0"/>
                <w:color w:val="auto"/>
                <w:szCs w:val="21"/>
              </w:rPr>
              <w:t>分。</w:t>
            </w:r>
          </w:p>
          <w:p>
            <w:pPr>
              <w:spacing w:line="240" w:lineRule="auto"/>
              <w:ind w:firstLine="420" w:firstLineChars="200"/>
              <w:rPr>
                <w:rFonts w:hint="eastAsia" w:ascii="宋体" w:hAnsi="宋体" w:eastAsia="宋体" w:cs="宋体"/>
                <w:kern w:val="0"/>
                <w:sz w:val="21"/>
                <w:szCs w:val="21"/>
              </w:rPr>
            </w:pPr>
            <w:r>
              <w:rPr>
                <w:rFonts w:hint="eastAsia" w:ascii="宋体" w:hAnsi="宋体" w:cs="宋体"/>
                <w:color w:val="auto"/>
                <w:szCs w:val="21"/>
              </w:rPr>
              <w:t>④</w:t>
            </w:r>
            <w:r>
              <w:rPr>
                <w:rFonts w:hint="eastAsia" w:ascii="宋体" w:hAnsi="宋体" w:cs="宋体"/>
                <w:color w:val="auto"/>
                <w:szCs w:val="21"/>
                <w:lang w:eastAsia="zh-CN"/>
              </w:rPr>
              <w:t>方案差的得</w:t>
            </w:r>
            <w:r>
              <w:rPr>
                <w:rFonts w:hint="eastAsia" w:ascii="宋体" w:hAnsi="宋体" w:cs="宋体"/>
                <w:color w:val="auto"/>
                <w:szCs w:val="21"/>
                <w:lang w:val="en-US" w:eastAsia="zh-CN"/>
              </w:rPr>
              <w:t>1-0分，</w:t>
            </w:r>
            <w:r>
              <w:rPr>
                <w:rFonts w:hint="eastAsia" w:ascii="宋体" w:hAnsi="宋体" w:cs="宋体"/>
                <w:color w:val="auto"/>
                <w:szCs w:val="21"/>
              </w:rPr>
              <w:t>未提及此项的不得分。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r>
      <w:tr>
        <w:tblPrEx>
          <w:tblCellMar>
            <w:top w:w="0" w:type="dxa"/>
            <w:left w:w="108" w:type="dxa"/>
            <w:bottom w:w="0" w:type="dxa"/>
            <w:right w:w="108" w:type="dxa"/>
          </w:tblCellMar>
        </w:tblPrEx>
        <w:trPr>
          <w:trHeight w:val="1686"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vMerge w:val="continue"/>
            <w:tcBorders>
              <w:left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kern w:val="0"/>
                <w:sz w:val="21"/>
                <w:szCs w:val="21"/>
                <w:lang w:bidi="ar"/>
              </w:rPr>
            </w:pPr>
          </w:p>
        </w:tc>
        <w:tc>
          <w:tcPr>
            <w:tcW w:w="6878" w:type="dxa"/>
            <w:tcBorders>
              <w:top w:val="single" w:color="000000" w:sz="4" w:space="0"/>
              <w:left w:val="nil"/>
              <w:bottom w:val="single" w:color="000000" w:sz="4" w:space="0"/>
              <w:right w:val="single" w:color="000000" w:sz="4" w:space="0"/>
            </w:tcBorders>
            <w:shd w:val="clear" w:color="auto" w:fill="auto"/>
            <w:vAlign w:val="center"/>
          </w:tcPr>
          <w:p>
            <w:pPr>
              <w:pStyle w:val="2"/>
              <w:spacing w:line="24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根据投标人提供</w:t>
            </w:r>
            <w:r>
              <w:rPr>
                <w:rFonts w:hint="eastAsia" w:ascii="宋体" w:hAnsi="宋体" w:cs="宋体"/>
                <w:kern w:val="0"/>
                <w:sz w:val="21"/>
                <w:szCs w:val="21"/>
                <w:lang w:eastAsia="zh-CN"/>
              </w:rPr>
              <w:t>的</w:t>
            </w:r>
            <w:r>
              <w:rPr>
                <w:rFonts w:hint="eastAsia" w:ascii="宋体" w:hAnsi="宋体" w:eastAsia="宋体" w:cs="宋体"/>
                <w:kern w:val="0"/>
                <w:sz w:val="21"/>
                <w:szCs w:val="21"/>
              </w:rPr>
              <w:t>网络安全数据综合分析方面</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建设方案是否能满足采购需求</w:t>
            </w:r>
            <w:r>
              <w:rPr>
                <w:rFonts w:hint="eastAsia" w:ascii="宋体" w:hAnsi="宋体" w:cs="宋体"/>
                <w:kern w:val="0"/>
                <w:sz w:val="21"/>
                <w:szCs w:val="21"/>
                <w:lang w:eastAsia="zh-CN"/>
              </w:rPr>
              <w:t>进行打分：</w:t>
            </w:r>
          </w:p>
          <w:p>
            <w:pPr>
              <w:pStyle w:val="2"/>
              <w:spacing w:line="240" w:lineRule="auto"/>
              <w:rPr>
                <w:rFonts w:hint="eastAsia"/>
                <w:color w:val="auto"/>
                <w:lang w:val="en-US" w:eastAsia="zh-CN"/>
              </w:rPr>
            </w:pPr>
            <w:r>
              <w:rPr>
                <w:rFonts w:hint="eastAsia" w:ascii="宋体" w:hAnsi="宋体" w:cs="宋体"/>
                <w:color w:val="auto"/>
                <w:szCs w:val="21"/>
              </w:rPr>
              <w:t>①</w:t>
            </w:r>
            <w:r>
              <w:rPr>
                <w:rFonts w:hint="eastAsia" w:ascii="宋体" w:hAnsi="宋体" w:eastAsiaTheme="minorEastAsia" w:cstheme="minorBidi"/>
                <w:b w:val="0"/>
                <w:bCs w:val="0"/>
                <w:color w:val="auto"/>
                <w:kern w:val="2"/>
                <w:sz w:val="21"/>
                <w:szCs w:val="21"/>
                <w:lang w:val="en-US" w:eastAsia="zh-CN" w:bidi="ar-SA"/>
              </w:rPr>
              <w:t>方案逻辑清晰、完整详实、可操作性强，</w:t>
            </w:r>
            <w:r>
              <w:rPr>
                <w:rFonts w:hint="eastAsia"/>
                <w:color w:val="auto"/>
                <w:lang w:eastAsia="zh-CN"/>
              </w:rPr>
              <w:t>得</w:t>
            </w:r>
            <w:r>
              <w:rPr>
                <w:rFonts w:hint="eastAsia"/>
                <w:color w:val="auto"/>
                <w:lang w:val="en-US" w:eastAsia="zh-CN"/>
              </w:rPr>
              <w:t>3.1-4分；</w:t>
            </w:r>
          </w:p>
          <w:p>
            <w:pPr>
              <w:keepNext w:val="0"/>
              <w:keepLines w:val="0"/>
              <w:suppressLineNumbers w:val="0"/>
              <w:spacing w:before="0" w:beforeAutospacing="0" w:after="0" w:afterAutospacing="0" w:line="240" w:lineRule="auto"/>
              <w:ind w:left="0" w:right="0" w:firstLine="420" w:firstLineChars="200"/>
              <w:jc w:val="left"/>
              <w:rPr>
                <w:rFonts w:hint="default" w:ascii="宋体" w:hAnsi="宋体" w:cs="宋体"/>
                <w:color w:val="auto"/>
                <w:szCs w:val="21"/>
              </w:rPr>
            </w:pPr>
            <w:r>
              <w:rPr>
                <w:rFonts w:hint="eastAsia" w:ascii="宋体" w:hAnsi="宋体" w:cs="宋体"/>
                <w:color w:val="auto"/>
                <w:szCs w:val="21"/>
              </w:rPr>
              <w:t>②方案合理、</w:t>
            </w:r>
            <w:r>
              <w:rPr>
                <w:rFonts w:hint="eastAsia" w:ascii="宋体" w:hAnsi="宋体"/>
                <w:color w:val="auto"/>
                <w:kern w:val="0"/>
                <w:szCs w:val="21"/>
              </w:rPr>
              <w:t>内容常规、操作性一般</w:t>
            </w:r>
            <w:r>
              <w:rPr>
                <w:rFonts w:hint="eastAsia" w:ascii="宋体" w:hAnsi="宋体" w:cs="宋体"/>
                <w:color w:val="auto"/>
                <w:szCs w:val="21"/>
              </w:rPr>
              <w:t>的得</w:t>
            </w:r>
            <w:r>
              <w:rPr>
                <w:rFonts w:hint="eastAsia" w:ascii="宋体" w:hAnsi="宋体" w:cs="宋体"/>
                <w:color w:val="auto"/>
                <w:szCs w:val="21"/>
                <w:lang w:val="en-US" w:eastAsia="zh-CN"/>
              </w:rPr>
              <w:t>2.1-3</w:t>
            </w:r>
            <w:r>
              <w:rPr>
                <w:rFonts w:hint="eastAsia" w:ascii="宋体" w:hAnsi="宋体" w:cs="宋体"/>
                <w:color w:val="auto"/>
                <w:szCs w:val="21"/>
              </w:rPr>
              <w:t>分；</w:t>
            </w:r>
          </w:p>
          <w:p>
            <w:pPr>
              <w:pStyle w:val="2"/>
              <w:spacing w:line="240" w:lineRule="auto"/>
              <w:rPr>
                <w:rFonts w:hint="eastAsia" w:ascii="宋体" w:hAnsi="宋体" w:cs="宋体"/>
                <w:color w:val="auto"/>
                <w:szCs w:val="21"/>
              </w:rPr>
            </w:pPr>
            <w:r>
              <w:rPr>
                <w:rFonts w:hint="eastAsia" w:ascii="宋体" w:hAnsi="宋体" w:cs="宋体"/>
                <w:color w:val="auto"/>
                <w:szCs w:val="21"/>
              </w:rPr>
              <w:t>③方案粗糙、</w:t>
            </w:r>
            <w:r>
              <w:rPr>
                <w:rFonts w:hint="eastAsia" w:ascii="宋体" w:hAnsi="宋体"/>
                <w:color w:val="auto"/>
                <w:kern w:val="0"/>
                <w:szCs w:val="21"/>
              </w:rPr>
              <w:t>内容缺漏、操作性差</w:t>
            </w:r>
            <w:r>
              <w:rPr>
                <w:rFonts w:hint="eastAsia" w:ascii="宋体" w:hAnsi="宋体" w:cs="宋体"/>
                <w:color w:val="auto"/>
                <w:szCs w:val="21"/>
              </w:rPr>
              <w:t>的</w:t>
            </w:r>
            <w:r>
              <w:rPr>
                <w:rFonts w:hint="eastAsia" w:ascii="宋体" w:hAnsi="宋体" w:cs="宋体"/>
                <w:b w:val="0"/>
                <w:bCs w:val="0"/>
                <w:color w:val="auto"/>
                <w:szCs w:val="21"/>
              </w:rPr>
              <w:t>得</w:t>
            </w:r>
            <w:r>
              <w:rPr>
                <w:rFonts w:hint="eastAsia" w:ascii="宋体" w:hAnsi="宋体" w:cs="宋体"/>
                <w:b w:val="0"/>
                <w:bCs w:val="0"/>
                <w:color w:val="auto"/>
                <w:szCs w:val="21"/>
                <w:lang w:val="en-US" w:eastAsia="zh-CN"/>
              </w:rPr>
              <w:t>1.1-2</w:t>
            </w:r>
            <w:r>
              <w:rPr>
                <w:rFonts w:hint="eastAsia" w:ascii="宋体" w:hAnsi="宋体" w:cs="宋体"/>
                <w:b w:val="0"/>
                <w:bCs w:val="0"/>
                <w:color w:val="auto"/>
                <w:szCs w:val="21"/>
              </w:rPr>
              <w:t>分。</w:t>
            </w:r>
          </w:p>
          <w:p>
            <w:pPr>
              <w:spacing w:line="240" w:lineRule="auto"/>
              <w:ind w:firstLine="420" w:firstLineChars="200"/>
              <w:rPr>
                <w:rFonts w:hint="eastAsia" w:ascii="宋体" w:hAnsi="宋体" w:eastAsia="宋体" w:cs="宋体"/>
                <w:kern w:val="0"/>
                <w:sz w:val="21"/>
                <w:szCs w:val="21"/>
              </w:rPr>
            </w:pPr>
            <w:r>
              <w:rPr>
                <w:rFonts w:hint="eastAsia" w:ascii="宋体" w:hAnsi="宋体" w:cs="宋体"/>
                <w:color w:val="auto"/>
                <w:szCs w:val="21"/>
              </w:rPr>
              <w:t>④</w:t>
            </w:r>
            <w:r>
              <w:rPr>
                <w:rFonts w:hint="eastAsia" w:ascii="宋体" w:hAnsi="宋体" w:cs="宋体"/>
                <w:color w:val="auto"/>
                <w:szCs w:val="21"/>
                <w:lang w:eastAsia="zh-CN"/>
              </w:rPr>
              <w:t>方案差的得</w:t>
            </w:r>
            <w:r>
              <w:rPr>
                <w:rFonts w:hint="eastAsia" w:ascii="宋体" w:hAnsi="宋体" w:cs="宋体"/>
                <w:color w:val="auto"/>
                <w:szCs w:val="21"/>
                <w:lang w:val="en-US" w:eastAsia="zh-CN"/>
              </w:rPr>
              <w:t>1-0分，</w:t>
            </w:r>
            <w:r>
              <w:rPr>
                <w:rFonts w:hint="eastAsia" w:ascii="宋体" w:hAnsi="宋体" w:cs="宋体"/>
                <w:color w:val="auto"/>
                <w:szCs w:val="21"/>
              </w:rPr>
              <w:t>未提及此项的不得分。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r>
      <w:tr>
        <w:tblPrEx>
          <w:tblCellMar>
            <w:top w:w="0" w:type="dxa"/>
            <w:left w:w="108" w:type="dxa"/>
            <w:bottom w:w="0" w:type="dxa"/>
            <w:right w:w="108" w:type="dxa"/>
          </w:tblCellMar>
        </w:tblPrEx>
        <w:trPr>
          <w:trHeight w:val="1686"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c>
          <w:tcPr>
            <w:tcW w:w="6878" w:type="dxa"/>
            <w:tcBorders>
              <w:top w:val="single" w:color="000000" w:sz="4" w:space="0"/>
              <w:left w:val="nil"/>
              <w:bottom w:val="single" w:color="000000" w:sz="4" w:space="0"/>
              <w:right w:val="single" w:color="000000" w:sz="4" w:space="0"/>
            </w:tcBorders>
            <w:shd w:val="clear" w:color="auto" w:fill="auto"/>
            <w:vAlign w:val="center"/>
          </w:tcPr>
          <w:p>
            <w:pPr>
              <w:pStyle w:val="2"/>
              <w:spacing w:line="240" w:lineRule="auto"/>
              <w:rPr>
                <w:rFonts w:hint="eastAsia" w:ascii="宋体" w:hAnsi="宋体" w:cs="宋体"/>
                <w:kern w:val="0"/>
                <w:sz w:val="21"/>
                <w:szCs w:val="21"/>
                <w:lang w:eastAsia="zh-CN"/>
              </w:rPr>
            </w:pPr>
            <w:r>
              <w:rPr>
                <w:rFonts w:hint="eastAsia" w:ascii="宋体" w:hAnsi="宋体" w:eastAsia="宋体" w:cs="宋体"/>
                <w:kern w:val="0"/>
                <w:sz w:val="21"/>
                <w:szCs w:val="21"/>
              </w:rPr>
              <w:t>根据投标人提供得项目建设方案，综合评估以上3个系统对接方案得合理性、耦合性等方面否能满足采购需求</w:t>
            </w:r>
            <w:r>
              <w:rPr>
                <w:rFonts w:hint="eastAsia" w:ascii="宋体" w:hAnsi="宋体" w:cs="宋体"/>
                <w:kern w:val="0"/>
                <w:sz w:val="21"/>
                <w:szCs w:val="21"/>
                <w:lang w:eastAsia="zh-CN"/>
              </w:rPr>
              <w:t>：</w:t>
            </w:r>
          </w:p>
          <w:p>
            <w:pPr>
              <w:pStyle w:val="2"/>
              <w:spacing w:line="240" w:lineRule="auto"/>
              <w:rPr>
                <w:rFonts w:hint="eastAsia"/>
                <w:color w:val="auto"/>
                <w:lang w:val="en-US" w:eastAsia="zh-CN"/>
              </w:rPr>
            </w:pPr>
            <w:r>
              <w:rPr>
                <w:rFonts w:hint="eastAsia" w:ascii="宋体" w:hAnsi="宋体" w:cs="宋体"/>
                <w:color w:val="auto"/>
                <w:szCs w:val="21"/>
              </w:rPr>
              <w:t>①</w:t>
            </w:r>
            <w:r>
              <w:rPr>
                <w:rFonts w:hint="eastAsia" w:ascii="宋体" w:hAnsi="宋体" w:eastAsiaTheme="minorEastAsia" w:cstheme="minorBidi"/>
                <w:b w:val="0"/>
                <w:bCs w:val="0"/>
                <w:color w:val="auto"/>
                <w:kern w:val="2"/>
                <w:sz w:val="21"/>
                <w:szCs w:val="21"/>
                <w:lang w:val="en-US" w:eastAsia="zh-CN" w:bidi="ar-SA"/>
              </w:rPr>
              <w:t>方案逻辑清晰、完整详实、可操作性强，</w:t>
            </w:r>
            <w:r>
              <w:rPr>
                <w:rFonts w:hint="eastAsia"/>
                <w:color w:val="auto"/>
                <w:lang w:eastAsia="zh-CN"/>
              </w:rPr>
              <w:t>得</w:t>
            </w:r>
            <w:r>
              <w:rPr>
                <w:rFonts w:hint="eastAsia"/>
                <w:color w:val="auto"/>
                <w:lang w:val="en-US" w:eastAsia="zh-CN"/>
              </w:rPr>
              <w:t>2.1-3分；</w:t>
            </w:r>
          </w:p>
          <w:p>
            <w:pPr>
              <w:keepNext w:val="0"/>
              <w:keepLines w:val="0"/>
              <w:suppressLineNumbers w:val="0"/>
              <w:spacing w:before="0" w:beforeAutospacing="0" w:after="0" w:afterAutospacing="0" w:line="240" w:lineRule="auto"/>
              <w:ind w:left="0" w:right="0" w:firstLine="420" w:firstLineChars="200"/>
              <w:jc w:val="left"/>
              <w:rPr>
                <w:rFonts w:hint="default" w:ascii="宋体" w:hAnsi="宋体" w:cs="宋体"/>
                <w:color w:val="auto"/>
                <w:szCs w:val="21"/>
              </w:rPr>
            </w:pPr>
            <w:r>
              <w:rPr>
                <w:rFonts w:hint="eastAsia" w:ascii="宋体" w:hAnsi="宋体" w:cs="宋体"/>
                <w:color w:val="auto"/>
                <w:szCs w:val="21"/>
              </w:rPr>
              <w:t>②方案合理、</w:t>
            </w:r>
            <w:r>
              <w:rPr>
                <w:rFonts w:hint="eastAsia" w:ascii="宋体" w:hAnsi="宋体"/>
                <w:color w:val="auto"/>
                <w:kern w:val="0"/>
                <w:szCs w:val="21"/>
              </w:rPr>
              <w:t>内容常规、操作性一般</w:t>
            </w:r>
            <w:r>
              <w:rPr>
                <w:rFonts w:hint="eastAsia" w:ascii="宋体" w:hAnsi="宋体" w:cs="宋体"/>
                <w:color w:val="auto"/>
                <w:szCs w:val="21"/>
              </w:rPr>
              <w:t>的得</w:t>
            </w:r>
            <w:r>
              <w:rPr>
                <w:rFonts w:hint="eastAsia" w:ascii="宋体" w:hAnsi="宋体" w:cs="宋体"/>
                <w:color w:val="auto"/>
                <w:szCs w:val="21"/>
                <w:lang w:val="en-US" w:eastAsia="zh-CN"/>
              </w:rPr>
              <w:t>1.1-2</w:t>
            </w:r>
            <w:r>
              <w:rPr>
                <w:rFonts w:hint="eastAsia" w:ascii="宋体" w:hAnsi="宋体" w:cs="宋体"/>
                <w:color w:val="auto"/>
                <w:szCs w:val="21"/>
              </w:rPr>
              <w:t>分；</w:t>
            </w:r>
          </w:p>
          <w:p>
            <w:pPr>
              <w:pStyle w:val="2"/>
              <w:spacing w:line="240" w:lineRule="auto"/>
              <w:rPr>
                <w:rFonts w:hint="eastAsia" w:ascii="宋体" w:hAnsi="宋体" w:cs="宋体"/>
                <w:color w:val="auto"/>
                <w:szCs w:val="21"/>
              </w:rPr>
            </w:pPr>
            <w:r>
              <w:rPr>
                <w:rFonts w:hint="eastAsia" w:ascii="宋体" w:hAnsi="宋体" w:cs="宋体"/>
                <w:color w:val="auto"/>
                <w:szCs w:val="21"/>
              </w:rPr>
              <w:t>③方案粗糙、</w:t>
            </w:r>
            <w:r>
              <w:rPr>
                <w:rFonts w:hint="eastAsia" w:ascii="宋体" w:hAnsi="宋体"/>
                <w:color w:val="auto"/>
                <w:kern w:val="0"/>
                <w:szCs w:val="21"/>
              </w:rPr>
              <w:t>内容缺漏、操作性差</w:t>
            </w:r>
            <w:r>
              <w:rPr>
                <w:rFonts w:hint="eastAsia" w:ascii="宋体" w:hAnsi="宋体" w:cs="宋体"/>
                <w:color w:val="auto"/>
                <w:szCs w:val="21"/>
              </w:rPr>
              <w:t>的</w:t>
            </w:r>
            <w:r>
              <w:rPr>
                <w:rFonts w:hint="eastAsia" w:ascii="宋体" w:hAnsi="宋体" w:cs="宋体"/>
                <w:b w:val="0"/>
                <w:bCs w:val="0"/>
                <w:color w:val="auto"/>
                <w:szCs w:val="21"/>
              </w:rPr>
              <w:t>得</w:t>
            </w:r>
            <w:r>
              <w:rPr>
                <w:rFonts w:hint="eastAsia" w:ascii="宋体" w:hAnsi="宋体" w:cs="宋体"/>
                <w:b w:val="0"/>
                <w:bCs w:val="0"/>
                <w:color w:val="auto"/>
                <w:szCs w:val="21"/>
                <w:lang w:val="en-US" w:eastAsia="zh-CN"/>
              </w:rPr>
              <w:t>0-1</w:t>
            </w:r>
            <w:r>
              <w:rPr>
                <w:rFonts w:hint="eastAsia" w:ascii="宋体" w:hAnsi="宋体" w:cs="宋体"/>
                <w:b w:val="0"/>
                <w:bCs w:val="0"/>
                <w:color w:val="auto"/>
                <w:szCs w:val="21"/>
              </w:rPr>
              <w:t>分。</w:t>
            </w:r>
          </w:p>
          <w:p>
            <w:pPr>
              <w:spacing w:line="240" w:lineRule="auto"/>
              <w:ind w:firstLine="420" w:firstLineChars="200"/>
              <w:rPr>
                <w:rFonts w:hint="eastAsia" w:ascii="宋体" w:hAnsi="宋体" w:eastAsia="宋体" w:cs="宋体"/>
                <w:kern w:val="0"/>
                <w:sz w:val="21"/>
                <w:szCs w:val="21"/>
              </w:rPr>
            </w:pPr>
            <w:r>
              <w:rPr>
                <w:rFonts w:hint="eastAsia" w:ascii="宋体" w:hAnsi="宋体" w:cs="宋体"/>
                <w:color w:val="auto"/>
                <w:szCs w:val="21"/>
              </w:rPr>
              <w:t>④未提及此项的不得分。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r>
      <w:tr>
        <w:tblPrEx>
          <w:tblCellMar>
            <w:top w:w="0" w:type="dxa"/>
            <w:left w:w="108" w:type="dxa"/>
            <w:bottom w:w="0" w:type="dxa"/>
            <w:right w:w="108" w:type="dxa"/>
          </w:tblCellMar>
        </w:tblPrEx>
        <w:trPr>
          <w:trHeight w:val="1682"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c>
          <w:tcPr>
            <w:tcW w:w="6878" w:type="dxa"/>
            <w:tcBorders>
              <w:top w:val="single" w:color="000000" w:sz="4" w:space="0"/>
              <w:left w:val="nil"/>
              <w:bottom w:val="single" w:color="000000" w:sz="4" w:space="0"/>
              <w:right w:val="single" w:color="000000" w:sz="4" w:space="0"/>
            </w:tcBorders>
            <w:shd w:val="clear" w:color="auto" w:fill="auto"/>
            <w:vAlign w:val="center"/>
          </w:tcPr>
          <w:p>
            <w:pPr>
              <w:pStyle w:val="2"/>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根据投标人提供安全数据仓存储方案，从独立性、先进性、合理性等方面由专家判定是能否足采购需求</w:t>
            </w:r>
            <w:r>
              <w:rPr>
                <w:rFonts w:hint="eastAsia" w:ascii="宋体" w:hAnsi="宋体" w:cs="宋体"/>
                <w:color w:val="auto"/>
                <w:kern w:val="0"/>
                <w:sz w:val="21"/>
                <w:szCs w:val="21"/>
                <w:lang w:val="en-US" w:eastAsia="zh-CN"/>
              </w:rPr>
              <w:t>:</w:t>
            </w:r>
          </w:p>
          <w:p>
            <w:pPr>
              <w:pStyle w:val="2"/>
              <w:spacing w:line="240" w:lineRule="auto"/>
              <w:rPr>
                <w:rFonts w:hint="eastAsia"/>
                <w:color w:val="auto"/>
                <w:lang w:val="en-US" w:eastAsia="zh-CN"/>
              </w:rPr>
            </w:pPr>
            <w:r>
              <w:rPr>
                <w:rFonts w:hint="eastAsia" w:ascii="宋体" w:hAnsi="宋体" w:cs="宋体"/>
                <w:color w:val="auto"/>
                <w:szCs w:val="21"/>
              </w:rPr>
              <w:t>①</w:t>
            </w:r>
            <w:r>
              <w:rPr>
                <w:rFonts w:hint="eastAsia" w:ascii="宋体" w:hAnsi="宋体" w:eastAsiaTheme="minorEastAsia" w:cstheme="minorBidi"/>
                <w:b w:val="0"/>
                <w:bCs w:val="0"/>
                <w:color w:val="auto"/>
                <w:kern w:val="2"/>
                <w:sz w:val="21"/>
                <w:szCs w:val="21"/>
                <w:lang w:val="en-US" w:eastAsia="zh-CN" w:bidi="ar-SA"/>
              </w:rPr>
              <w:t>方案逻辑清晰、完整详实、可操作性强，</w:t>
            </w:r>
            <w:r>
              <w:rPr>
                <w:rFonts w:hint="eastAsia"/>
                <w:color w:val="auto"/>
                <w:lang w:eastAsia="zh-CN"/>
              </w:rPr>
              <w:t>得</w:t>
            </w:r>
            <w:r>
              <w:rPr>
                <w:rFonts w:hint="eastAsia"/>
                <w:color w:val="auto"/>
                <w:lang w:val="en-US" w:eastAsia="zh-CN"/>
              </w:rPr>
              <w:t>2.1-3分；</w:t>
            </w:r>
          </w:p>
          <w:p>
            <w:pPr>
              <w:keepNext w:val="0"/>
              <w:keepLines w:val="0"/>
              <w:suppressLineNumbers w:val="0"/>
              <w:spacing w:before="0" w:beforeAutospacing="0" w:after="0" w:afterAutospacing="0" w:line="240" w:lineRule="auto"/>
              <w:ind w:left="0" w:right="0" w:firstLine="420" w:firstLineChars="200"/>
              <w:jc w:val="left"/>
              <w:rPr>
                <w:rFonts w:hint="default" w:ascii="宋体" w:hAnsi="宋体" w:cs="宋体"/>
                <w:color w:val="auto"/>
                <w:szCs w:val="21"/>
              </w:rPr>
            </w:pPr>
            <w:r>
              <w:rPr>
                <w:rFonts w:hint="eastAsia" w:ascii="宋体" w:hAnsi="宋体" w:cs="宋体"/>
                <w:color w:val="auto"/>
                <w:szCs w:val="21"/>
              </w:rPr>
              <w:t>②方案合理、</w:t>
            </w:r>
            <w:r>
              <w:rPr>
                <w:rFonts w:hint="eastAsia" w:ascii="宋体" w:hAnsi="宋体"/>
                <w:color w:val="auto"/>
                <w:kern w:val="0"/>
                <w:szCs w:val="21"/>
              </w:rPr>
              <w:t>内容常规、操作性一般</w:t>
            </w:r>
            <w:r>
              <w:rPr>
                <w:rFonts w:hint="eastAsia" w:ascii="宋体" w:hAnsi="宋体" w:cs="宋体"/>
                <w:color w:val="auto"/>
                <w:szCs w:val="21"/>
              </w:rPr>
              <w:t>的得</w:t>
            </w:r>
            <w:r>
              <w:rPr>
                <w:rFonts w:hint="eastAsia" w:ascii="宋体" w:hAnsi="宋体" w:cs="宋体"/>
                <w:color w:val="auto"/>
                <w:szCs w:val="21"/>
                <w:lang w:val="en-US" w:eastAsia="zh-CN"/>
              </w:rPr>
              <w:t>1.1-2</w:t>
            </w:r>
            <w:r>
              <w:rPr>
                <w:rFonts w:hint="eastAsia" w:ascii="宋体" w:hAnsi="宋体" w:cs="宋体"/>
                <w:color w:val="auto"/>
                <w:szCs w:val="21"/>
              </w:rPr>
              <w:t>分；</w:t>
            </w:r>
          </w:p>
          <w:p>
            <w:pPr>
              <w:pStyle w:val="2"/>
              <w:spacing w:line="240" w:lineRule="auto"/>
              <w:rPr>
                <w:rFonts w:hint="eastAsia" w:ascii="宋体" w:hAnsi="宋体" w:cs="宋体"/>
                <w:color w:val="auto"/>
                <w:szCs w:val="21"/>
              </w:rPr>
            </w:pPr>
            <w:r>
              <w:rPr>
                <w:rFonts w:hint="eastAsia" w:ascii="宋体" w:hAnsi="宋体" w:cs="宋体"/>
                <w:color w:val="auto"/>
                <w:szCs w:val="21"/>
              </w:rPr>
              <w:t>③方案粗糙、</w:t>
            </w:r>
            <w:r>
              <w:rPr>
                <w:rFonts w:hint="eastAsia" w:ascii="宋体" w:hAnsi="宋体"/>
                <w:color w:val="auto"/>
                <w:kern w:val="0"/>
                <w:szCs w:val="21"/>
              </w:rPr>
              <w:t>内容缺漏、操作性差</w:t>
            </w:r>
            <w:r>
              <w:rPr>
                <w:rFonts w:hint="eastAsia" w:ascii="宋体" w:hAnsi="宋体" w:cs="宋体"/>
                <w:color w:val="auto"/>
                <w:szCs w:val="21"/>
              </w:rPr>
              <w:t>的</w:t>
            </w:r>
            <w:r>
              <w:rPr>
                <w:rFonts w:hint="eastAsia" w:ascii="宋体" w:hAnsi="宋体" w:cs="宋体"/>
                <w:b w:val="0"/>
                <w:bCs w:val="0"/>
                <w:color w:val="auto"/>
                <w:szCs w:val="21"/>
              </w:rPr>
              <w:t>得</w:t>
            </w:r>
            <w:r>
              <w:rPr>
                <w:rFonts w:hint="eastAsia" w:ascii="宋体" w:hAnsi="宋体" w:cs="宋体"/>
                <w:b w:val="0"/>
                <w:bCs w:val="0"/>
                <w:color w:val="auto"/>
                <w:szCs w:val="21"/>
                <w:lang w:val="en-US" w:eastAsia="zh-CN"/>
              </w:rPr>
              <w:t>0-1</w:t>
            </w:r>
            <w:r>
              <w:rPr>
                <w:rFonts w:hint="eastAsia" w:ascii="宋体" w:hAnsi="宋体" w:cs="宋体"/>
                <w:b w:val="0"/>
                <w:bCs w:val="0"/>
                <w:color w:val="auto"/>
                <w:szCs w:val="21"/>
              </w:rPr>
              <w:t>分。</w:t>
            </w:r>
          </w:p>
          <w:p>
            <w:pPr>
              <w:spacing w:line="240" w:lineRule="auto"/>
              <w:ind w:firstLine="420" w:firstLineChars="200"/>
              <w:rPr>
                <w:rFonts w:hint="eastAsia" w:ascii="宋体" w:hAnsi="宋体" w:eastAsia="宋体" w:cs="宋体"/>
                <w:color w:val="auto"/>
                <w:kern w:val="0"/>
                <w:sz w:val="21"/>
                <w:szCs w:val="21"/>
              </w:rPr>
            </w:pPr>
            <w:r>
              <w:rPr>
                <w:rFonts w:hint="eastAsia" w:ascii="宋体" w:hAnsi="宋体" w:cs="宋体"/>
                <w:color w:val="auto"/>
                <w:szCs w:val="21"/>
              </w:rPr>
              <w:t>④</w:t>
            </w:r>
            <w:r>
              <w:rPr>
                <w:rFonts w:hint="eastAsia" w:ascii="宋体" w:hAnsi="宋体" w:eastAsia="宋体" w:cs="宋体"/>
                <w:color w:val="auto"/>
                <w:kern w:val="0"/>
                <w:sz w:val="21"/>
                <w:szCs w:val="21"/>
              </w:rPr>
              <w:t>无方案无措施的不得分。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3</w:t>
            </w:r>
          </w:p>
        </w:tc>
      </w:tr>
      <w:tr>
        <w:tblPrEx>
          <w:tblCellMar>
            <w:top w:w="0" w:type="dxa"/>
            <w:left w:w="108" w:type="dxa"/>
            <w:bottom w:w="0" w:type="dxa"/>
            <w:right w:w="108" w:type="dxa"/>
          </w:tblCellMar>
        </w:tblPrEx>
        <w:trPr>
          <w:trHeight w:val="1682"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c>
          <w:tcPr>
            <w:tcW w:w="6878" w:type="dxa"/>
            <w:tcBorders>
              <w:top w:val="single" w:color="000000" w:sz="4" w:space="0"/>
              <w:left w:val="nil"/>
              <w:bottom w:val="single" w:color="auto" w:sz="4" w:space="0"/>
              <w:right w:val="single" w:color="000000" w:sz="4" w:space="0"/>
            </w:tcBorders>
            <w:shd w:val="clear" w:color="auto" w:fill="auto"/>
            <w:vAlign w:val="center"/>
          </w:tcPr>
          <w:p>
            <w:pPr>
              <w:spacing w:line="240" w:lineRule="auto"/>
              <w:ind w:firstLine="420" w:firstLineChars="200"/>
              <w:rPr>
                <w:rFonts w:hint="eastAsia" w:ascii="宋体" w:hAnsi="宋体" w:cs="宋体"/>
                <w:color w:val="auto"/>
                <w:szCs w:val="21"/>
              </w:rPr>
            </w:pPr>
            <w:r>
              <w:rPr>
                <w:rFonts w:hint="eastAsia" w:ascii="宋体" w:hAnsi="宋体" w:eastAsia="宋体" w:cs="宋体"/>
                <w:color w:val="auto"/>
                <w:kern w:val="0"/>
                <w:sz w:val="21"/>
                <w:szCs w:val="21"/>
                <w:lang w:val="en-US" w:eastAsia="zh-CN" w:bidi="ar-SA"/>
              </w:rPr>
              <w:t>根据投标人提供得项目建设方案，综合评估本项目数据归集方案能否满足采购需求：</w:t>
            </w:r>
            <w:r>
              <w:rPr>
                <w:rFonts w:hint="eastAsia" w:ascii="宋体" w:hAnsi="宋体" w:eastAsia="宋体" w:cs="宋体"/>
                <w:color w:val="auto"/>
                <w:kern w:val="0"/>
                <w:sz w:val="21"/>
                <w:szCs w:val="21"/>
                <w:lang w:val="en-US" w:eastAsia="zh-CN" w:bidi="ar-SA"/>
              </w:rPr>
              <w:br w:type="textWrapping"/>
            </w: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①方案逻辑清晰、完整详实、可操作性强，得2.1-3分；</w:t>
            </w:r>
            <w:r>
              <w:rPr>
                <w:rFonts w:hint="eastAsia" w:ascii="宋体" w:hAnsi="宋体" w:eastAsia="宋体" w:cs="宋体"/>
                <w:color w:val="auto"/>
                <w:kern w:val="0"/>
                <w:sz w:val="21"/>
                <w:szCs w:val="21"/>
                <w:lang w:val="en-US" w:eastAsia="zh-CN" w:bidi="ar-SA"/>
              </w:rPr>
              <w:br w:type="textWrapping"/>
            </w: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②方案合理、内容常规、操作性一般的得1.1-2分；</w:t>
            </w:r>
            <w:r>
              <w:rPr>
                <w:rFonts w:hint="eastAsia" w:ascii="宋体" w:hAnsi="宋体" w:eastAsia="宋体" w:cs="宋体"/>
                <w:color w:val="auto"/>
                <w:kern w:val="0"/>
                <w:sz w:val="21"/>
                <w:szCs w:val="21"/>
                <w:lang w:val="en-US" w:eastAsia="zh-CN" w:bidi="ar-SA"/>
              </w:rPr>
              <w:br w:type="textWrapping"/>
            </w: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③方案粗糙、内容缺漏、操作性差的得0-1分。</w:t>
            </w:r>
            <w:r>
              <w:rPr>
                <w:rFonts w:hint="eastAsia" w:ascii="宋体" w:hAnsi="宋体" w:eastAsia="宋体" w:cs="宋体"/>
                <w:color w:val="auto"/>
                <w:kern w:val="0"/>
                <w:sz w:val="21"/>
                <w:szCs w:val="21"/>
                <w:lang w:val="en-US" w:eastAsia="zh-CN" w:bidi="ar-SA"/>
              </w:rPr>
              <w:br w:type="textWrapping"/>
            </w: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④未提及此项的不得分。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p>
        </w:tc>
      </w:tr>
      <w:tr>
        <w:tblPrEx>
          <w:tblCellMar>
            <w:top w:w="0" w:type="dxa"/>
            <w:left w:w="108" w:type="dxa"/>
            <w:bottom w:w="0" w:type="dxa"/>
            <w:right w:w="108" w:type="dxa"/>
          </w:tblCellMar>
        </w:tblPrEx>
        <w:trPr>
          <w:trHeight w:val="1550"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Cs w:val="21"/>
                <w:lang w:bidi="ar"/>
              </w:rPr>
              <w:t>产品演示</w:t>
            </w:r>
          </w:p>
        </w:tc>
        <w:tc>
          <w:tcPr>
            <w:tcW w:w="68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auto"/>
              </w:rPr>
            </w:pPr>
            <w:r>
              <w:rPr>
                <w:rFonts w:hint="eastAsia"/>
                <w:color w:val="auto"/>
              </w:rPr>
              <w:t xml:space="preserve">安全数据运营功能演示： </w:t>
            </w:r>
          </w:p>
          <w:p>
            <w:pPr>
              <w:widowControl/>
              <w:textAlignment w:val="center"/>
              <w:rPr>
                <w:rFonts w:hint="eastAsia"/>
                <w:color w:val="auto"/>
              </w:rPr>
            </w:pPr>
            <w:r>
              <w:rPr>
                <w:rFonts w:hint="eastAsia"/>
                <w:color w:val="auto"/>
              </w:rPr>
              <w:t>1.支持灵活自定义编排威胁的响应处置流程，并支持多种执行节点包括：动作调度、剧本应用、决策器、过滤器、人工审批、人工录入、并行分支等必要的关键节点（1分）；</w:t>
            </w:r>
          </w:p>
          <w:p>
            <w:pPr>
              <w:widowControl/>
              <w:textAlignment w:val="center"/>
              <w:rPr>
                <w:rFonts w:hint="eastAsia"/>
                <w:color w:val="auto"/>
              </w:rPr>
            </w:pPr>
            <w:r>
              <w:rPr>
                <w:rFonts w:hint="eastAsia"/>
                <w:color w:val="auto"/>
              </w:rPr>
              <w:t>2.支持结合用户工单流转情况进行统一展示，包括工单总数、流转中、超时工单、已结束工单、已撤销工单等（1分）；</w:t>
            </w:r>
          </w:p>
          <w:p>
            <w:pPr>
              <w:widowControl/>
              <w:textAlignment w:val="center"/>
              <w:rPr>
                <w:rFonts w:hint="eastAsia"/>
                <w:color w:val="auto"/>
              </w:rPr>
            </w:pPr>
            <w:r>
              <w:rPr>
                <w:rFonts w:hint="eastAsia"/>
                <w:color w:val="auto"/>
              </w:rPr>
              <w:t>3.支持针对用户安全运营业务流程，可进行图形化的方式进行自定义工单流程（至少包含录入节点和审批节点），并可以根据业务不同内容进行工单的自定义；具备灵活的表单配置能力（1分）。</w:t>
            </w:r>
          </w:p>
          <w:p>
            <w:pPr>
              <w:widowControl/>
              <w:textAlignment w:val="center"/>
              <w:rPr>
                <w:rFonts w:hint="eastAsia"/>
                <w:color w:val="auto"/>
              </w:rPr>
            </w:pPr>
            <w:r>
              <w:rPr>
                <w:rFonts w:hint="eastAsia"/>
                <w:color w:val="auto"/>
              </w:rPr>
              <w:t>4.支持基于运营管理过程的流程工单闭环情况，进行对应评分的记分统计，包括工单完成情况、待处理超时工单等维度；</w:t>
            </w:r>
          </w:p>
          <w:p>
            <w:pPr>
              <w:widowControl/>
              <w:textAlignment w:val="center"/>
              <w:rPr>
                <w:rFonts w:hint="eastAsia"/>
                <w:color w:val="auto"/>
                <w:lang w:eastAsia="zh-CN"/>
              </w:rPr>
            </w:pPr>
            <w:r>
              <w:rPr>
                <w:rFonts w:hint="eastAsia"/>
                <w:color w:val="auto"/>
              </w:rPr>
              <w:t>5.支持通过浙政钉（或钉钉）进行业务通知告警（1分）</w:t>
            </w:r>
            <w:r>
              <w:rPr>
                <w:rFonts w:hint="eastAsia"/>
                <w:color w:val="auto"/>
                <w:lang w:eastAsia="zh-CN"/>
              </w:rPr>
              <w:t>。</w:t>
            </w:r>
          </w:p>
          <w:p>
            <w:pPr>
              <w:pStyle w:val="2"/>
              <w:rPr>
                <w:rFonts w:hint="default"/>
                <w:color w:val="auto"/>
                <w:lang w:val="en-US" w:eastAsia="zh-CN"/>
              </w:rPr>
            </w:pPr>
            <w:r>
              <w:rPr>
                <w:rFonts w:hint="eastAsia" w:ascii="宋体" w:hAnsi="宋体" w:cs="宋体"/>
                <w:color w:val="auto"/>
                <w:kern w:val="0"/>
                <w:sz w:val="21"/>
                <w:szCs w:val="21"/>
                <w:lang w:eastAsia="zh-CN"/>
              </w:rPr>
              <w:t>上述</w:t>
            </w:r>
            <w:r>
              <w:rPr>
                <w:rFonts w:hint="eastAsia" w:ascii="宋体" w:hAnsi="宋体" w:cs="宋体"/>
                <w:color w:val="auto"/>
                <w:kern w:val="0"/>
                <w:sz w:val="21"/>
                <w:szCs w:val="21"/>
                <w:lang w:val="en-US" w:eastAsia="zh-CN"/>
              </w:rPr>
              <w:t>5项中</w:t>
            </w:r>
            <w:r>
              <w:rPr>
                <w:rFonts w:hint="eastAsia" w:ascii="宋体" w:hAnsi="宋体" w:cs="宋体"/>
                <w:color w:val="auto"/>
                <w:kern w:val="0"/>
                <w:sz w:val="21"/>
                <w:szCs w:val="21"/>
                <w:lang w:eastAsia="zh-CN"/>
              </w:rPr>
              <w:t>每一项功能点完全实现的，每项得</w:t>
            </w:r>
            <w:r>
              <w:rPr>
                <w:rFonts w:hint="eastAsia" w:ascii="宋体" w:hAnsi="宋体" w:cs="宋体"/>
                <w:color w:val="auto"/>
                <w:kern w:val="0"/>
                <w:sz w:val="21"/>
                <w:szCs w:val="21"/>
                <w:lang w:val="en-US" w:eastAsia="zh-CN"/>
              </w:rPr>
              <w:t>1分；部分实现的，</w:t>
            </w:r>
            <w:r>
              <w:rPr>
                <w:rFonts w:hint="eastAsia" w:ascii="宋体" w:hAnsi="宋体" w:cs="宋体"/>
                <w:color w:val="auto"/>
                <w:kern w:val="0"/>
                <w:sz w:val="21"/>
                <w:szCs w:val="21"/>
                <w:lang w:eastAsia="zh-CN"/>
              </w:rPr>
              <w:t>每项</w:t>
            </w:r>
            <w:r>
              <w:rPr>
                <w:rFonts w:hint="eastAsia" w:ascii="宋体" w:hAnsi="宋体" w:cs="宋体"/>
                <w:color w:val="auto"/>
                <w:kern w:val="0"/>
                <w:sz w:val="21"/>
                <w:szCs w:val="21"/>
                <w:lang w:val="en-US" w:eastAsia="zh-CN"/>
              </w:rPr>
              <w:t>得0-0.5，不能实现的不得分。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r>
      <w:tr>
        <w:tblPrEx>
          <w:tblCellMar>
            <w:top w:w="0" w:type="dxa"/>
            <w:left w:w="108" w:type="dxa"/>
            <w:bottom w:w="0" w:type="dxa"/>
            <w:right w:w="108" w:type="dxa"/>
          </w:tblCellMar>
        </w:tblPrEx>
        <w:trPr>
          <w:trHeight w:val="1760"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auto"/>
              </w:rPr>
            </w:pPr>
            <w:r>
              <w:rPr>
                <w:rFonts w:hint="eastAsia"/>
                <w:color w:val="auto"/>
              </w:rPr>
              <w:t>安全数据共享功能演示：</w:t>
            </w:r>
          </w:p>
          <w:p>
            <w:pPr>
              <w:widowControl/>
              <w:textAlignment w:val="center"/>
              <w:rPr>
                <w:rFonts w:hint="eastAsia"/>
                <w:color w:val="auto"/>
              </w:rPr>
            </w:pPr>
            <w:r>
              <w:rPr>
                <w:rFonts w:hint="eastAsia"/>
                <w:color w:val="auto"/>
              </w:rPr>
              <w:t>1.支持元数据版本管理，记录元数据历史版本、差异比较（1分）；</w:t>
            </w:r>
          </w:p>
          <w:p>
            <w:pPr>
              <w:widowControl/>
              <w:textAlignment w:val="center"/>
              <w:rPr>
                <w:rFonts w:hint="eastAsia"/>
                <w:color w:val="auto"/>
              </w:rPr>
            </w:pPr>
            <w:r>
              <w:rPr>
                <w:rFonts w:hint="eastAsia"/>
                <w:color w:val="auto"/>
              </w:rPr>
              <w:t>2. 演示异构数据库（无目的表的情况下）自动建表能力（1分）；</w:t>
            </w:r>
          </w:p>
          <w:p>
            <w:pPr>
              <w:widowControl/>
              <w:textAlignment w:val="center"/>
              <w:rPr>
                <w:rFonts w:hint="eastAsia"/>
                <w:color w:val="auto"/>
              </w:rPr>
            </w:pPr>
            <w:r>
              <w:rPr>
                <w:rFonts w:hint="eastAsia"/>
                <w:color w:val="auto"/>
              </w:rPr>
              <w:t>3.具演示多种条件组合查询数据表的能力，查询条件包括但不限于目录名称、数据表名、数据表描述、业务标签、创建者、大小等（1分）；</w:t>
            </w:r>
          </w:p>
          <w:p>
            <w:pPr>
              <w:widowControl/>
              <w:textAlignment w:val="center"/>
              <w:rPr>
                <w:rFonts w:hint="eastAsia"/>
                <w:color w:val="auto"/>
              </w:rPr>
            </w:pPr>
            <w:r>
              <w:rPr>
                <w:rFonts w:hint="eastAsia"/>
                <w:color w:val="auto"/>
              </w:rPr>
              <w:t>4. 演示数据全链路血缘的能力；展示细粒度的数据血缘关系，包括不限于数据表级、字段级数据血缘关系展示（1分）；</w:t>
            </w:r>
          </w:p>
          <w:p>
            <w:pPr>
              <w:widowControl/>
              <w:textAlignment w:val="center"/>
              <w:rPr>
                <w:rFonts w:hint="eastAsia"/>
                <w:color w:val="auto"/>
                <w:lang w:eastAsia="zh-CN"/>
              </w:rPr>
            </w:pPr>
            <w:r>
              <w:rPr>
                <w:rFonts w:hint="eastAsia"/>
                <w:color w:val="auto"/>
              </w:rPr>
              <w:t>5. 演示数据标准清洗能力，集成提供去除空白、空值过滤、全角半角转换、正则校验、长度校验、去重等清洗能力，并支持规则自定义，支持配置问题数据处理方式（1分）</w:t>
            </w:r>
            <w:r>
              <w:rPr>
                <w:rFonts w:hint="eastAsia"/>
                <w:color w:val="auto"/>
                <w:lang w:eastAsia="zh-CN"/>
              </w:rPr>
              <w:t>。</w:t>
            </w:r>
          </w:p>
          <w:p>
            <w:pPr>
              <w:pStyle w:val="2"/>
              <w:rPr>
                <w:rFonts w:hint="eastAsia"/>
                <w:color w:val="auto"/>
                <w:lang w:eastAsia="zh-CN"/>
              </w:rPr>
            </w:pPr>
            <w:r>
              <w:rPr>
                <w:rFonts w:hint="eastAsia" w:ascii="宋体" w:hAnsi="宋体" w:cs="宋体"/>
                <w:color w:val="auto"/>
                <w:kern w:val="0"/>
                <w:sz w:val="21"/>
                <w:szCs w:val="21"/>
                <w:lang w:eastAsia="zh-CN"/>
              </w:rPr>
              <w:t>上述</w:t>
            </w:r>
            <w:r>
              <w:rPr>
                <w:rFonts w:hint="eastAsia" w:ascii="宋体" w:hAnsi="宋体" w:cs="宋体"/>
                <w:color w:val="auto"/>
                <w:kern w:val="0"/>
                <w:sz w:val="21"/>
                <w:szCs w:val="21"/>
                <w:lang w:val="en-US" w:eastAsia="zh-CN"/>
              </w:rPr>
              <w:t>5项中</w:t>
            </w:r>
            <w:r>
              <w:rPr>
                <w:rFonts w:hint="eastAsia" w:ascii="宋体" w:hAnsi="宋体" w:cs="宋体"/>
                <w:color w:val="auto"/>
                <w:kern w:val="0"/>
                <w:sz w:val="21"/>
                <w:szCs w:val="21"/>
                <w:lang w:eastAsia="zh-CN"/>
              </w:rPr>
              <w:t>每一项功能点完全实现的，每项得</w:t>
            </w:r>
            <w:r>
              <w:rPr>
                <w:rFonts w:hint="eastAsia" w:ascii="宋体" w:hAnsi="宋体" w:cs="宋体"/>
                <w:color w:val="auto"/>
                <w:kern w:val="0"/>
                <w:sz w:val="21"/>
                <w:szCs w:val="21"/>
                <w:lang w:val="en-US" w:eastAsia="zh-CN"/>
              </w:rPr>
              <w:t>1分；部分实现的，</w:t>
            </w:r>
            <w:r>
              <w:rPr>
                <w:rFonts w:hint="eastAsia" w:ascii="宋体" w:hAnsi="宋体" w:cs="宋体"/>
                <w:color w:val="auto"/>
                <w:kern w:val="0"/>
                <w:sz w:val="21"/>
                <w:szCs w:val="21"/>
                <w:lang w:eastAsia="zh-CN"/>
              </w:rPr>
              <w:t>每项</w:t>
            </w:r>
            <w:r>
              <w:rPr>
                <w:rFonts w:hint="eastAsia" w:ascii="宋体" w:hAnsi="宋体" w:cs="宋体"/>
                <w:color w:val="auto"/>
                <w:kern w:val="0"/>
                <w:sz w:val="21"/>
                <w:szCs w:val="21"/>
                <w:lang w:val="en-US" w:eastAsia="zh-CN"/>
              </w:rPr>
              <w:t>得0-0.5，不能实现的不得分。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r>
      <w:tr>
        <w:tblPrEx>
          <w:tblCellMar>
            <w:top w:w="0" w:type="dxa"/>
            <w:left w:w="108" w:type="dxa"/>
            <w:bottom w:w="0" w:type="dxa"/>
            <w:right w:w="108" w:type="dxa"/>
          </w:tblCellMar>
        </w:tblPrEx>
        <w:trPr>
          <w:trHeight w:val="699" w:hRule="atLeast"/>
        </w:trPr>
        <w:tc>
          <w:tcPr>
            <w:tcW w:w="1091" w:type="dxa"/>
            <w:vMerge w:val="continue"/>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rPr>
            </w:pPr>
            <w:r>
              <w:rPr>
                <w:rFonts w:hint="eastAsia"/>
              </w:rPr>
              <w:t>安全数据综合分析功能演示：</w:t>
            </w:r>
          </w:p>
          <w:p>
            <w:pPr>
              <w:widowControl/>
              <w:textAlignment w:val="center"/>
              <w:rPr>
                <w:rFonts w:hint="eastAsia"/>
              </w:rPr>
            </w:pPr>
            <w:r>
              <w:rPr>
                <w:rFonts w:hint="eastAsia"/>
              </w:rPr>
              <w:t>1．支持安全事件详情总览，包括安全事件名称，安全事件等级、数据源、处置状态、告警举证数、资产IP、事件描述等（1分）；</w:t>
            </w:r>
          </w:p>
          <w:p>
            <w:pPr>
              <w:widowControl/>
              <w:textAlignment w:val="center"/>
              <w:rPr>
                <w:rFonts w:hint="eastAsia"/>
              </w:rPr>
            </w:pPr>
            <w:r>
              <w:rPr>
                <w:rFonts w:hint="eastAsia"/>
              </w:rPr>
              <w:t>2.支持通过安全事件详情查看攻击故事线。安全事件按照攻击入口和进程树的视角进行安全分析。可详细点开进程链中任意进程查看进程详情。（1分）；</w:t>
            </w:r>
          </w:p>
          <w:p>
            <w:pPr>
              <w:widowControl/>
              <w:textAlignment w:val="center"/>
              <w:rPr>
                <w:rFonts w:hint="eastAsia"/>
              </w:rPr>
            </w:pPr>
            <w:r>
              <w:rPr>
                <w:rFonts w:hint="eastAsia"/>
              </w:rPr>
              <w:t>3.支持以时间轴视角，对风险资产上的终端及网络告警进行关联，同时支持向前、向后进行全局调查，展现内网影响面分析。（2分）</w:t>
            </w:r>
          </w:p>
          <w:p>
            <w:pPr>
              <w:widowControl/>
              <w:textAlignment w:val="center"/>
              <w:rPr>
                <w:rFonts w:hint="eastAsia"/>
                <w:color w:val="auto"/>
              </w:rPr>
            </w:pPr>
            <w:r>
              <w:rPr>
                <w:rFonts w:hint="eastAsia"/>
              </w:rPr>
              <w:t>4.自动化提取安全事件中需要响应处置的“IP、域名、主机、进程、文件”等信息，</w:t>
            </w:r>
            <w:r>
              <w:rPr>
                <w:rFonts w:hint="eastAsia"/>
                <w:color w:val="auto"/>
              </w:rPr>
              <w:t>可查看相关威胁情报、同时针对精准威胁可开启失陷实体自动遏制。（1分）</w:t>
            </w:r>
          </w:p>
          <w:p>
            <w:pPr>
              <w:pStyle w:val="2"/>
              <w:rPr>
                <w:rFonts w:hint="eastAsia"/>
                <w:color w:val="auto"/>
                <w:lang w:val="en-US" w:eastAsia="zh-CN"/>
              </w:rPr>
            </w:pPr>
            <w:r>
              <w:rPr>
                <w:rFonts w:hint="eastAsia"/>
                <w:color w:val="auto"/>
                <w:lang w:eastAsia="zh-CN"/>
              </w:rPr>
              <w:t>上述</w:t>
            </w:r>
            <w:r>
              <w:rPr>
                <w:rFonts w:hint="eastAsia"/>
                <w:color w:val="auto"/>
                <w:lang w:val="en-US" w:eastAsia="zh-CN"/>
              </w:rPr>
              <w:t>4项中第1、2、4项：</w:t>
            </w:r>
            <w:r>
              <w:rPr>
                <w:rFonts w:hint="eastAsia"/>
                <w:color w:val="auto"/>
                <w:lang w:eastAsia="zh-CN"/>
              </w:rPr>
              <w:t>每一项功能点完全实现的，每项得</w:t>
            </w:r>
            <w:r>
              <w:rPr>
                <w:rFonts w:hint="eastAsia"/>
                <w:color w:val="auto"/>
                <w:lang w:val="en-US" w:eastAsia="zh-CN"/>
              </w:rPr>
              <w:t>1分；部分实现的，</w:t>
            </w:r>
            <w:r>
              <w:rPr>
                <w:rFonts w:hint="eastAsia"/>
                <w:color w:val="auto"/>
                <w:lang w:eastAsia="zh-CN"/>
              </w:rPr>
              <w:t>每项</w:t>
            </w:r>
            <w:r>
              <w:rPr>
                <w:rFonts w:hint="eastAsia"/>
                <w:color w:val="auto"/>
                <w:lang w:val="en-US" w:eastAsia="zh-CN"/>
              </w:rPr>
              <w:t>得0-0.5，不能实现的不得分。</w:t>
            </w:r>
          </w:p>
          <w:p>
            <w:pPr>
              <w:pStyle w:val="2"/>
              <w:rPr>
                <w:rFonts w:hint="default"/>
                <w:lang w:val="en-US"/>
              </w:rPr>
            </w:pPr>
            <w:r>
              <w:rPr>
                <w:rFonts w:hint="eastAsia" w:ascii="宋体" w:hAnsi="宋体" w:cs="宋体"/>
                <w:color w:val="auto"/>
                <w:kern w:val="0"/>
                <w:sz w:val="21"/>
                <w:szCs w:val="21"/>
                <w:lang w:val="en-US" w:eastAsia="zh-CN"/>
              </w:rPr>
              <w:t>第3项：</w:t>
            </w:r>
            <w:r>
              <w:rPr>
                <w:rFonts w:hint="eastAsia"/>
                <w:color w:val="auto"/>
                <w:lang w:eastAsia="zh-CN"/>
              </w:rPr>
              <w:t>每一项功能点完全实现的，每项得</w:t>
            </w:r>
            <w:r>
              <w:rPr>
                <w:rFonts w:hint="eastAsia"/>
                <w:color w:val="auto"/>
                <w:lang w:val="en-US" w:eastAsia="zh-CN"/>
              </w:rPr>
              <w:t>2分；部分实现的，</w:t>
            </w:r>
            <w:r>
              <w:rPr>
                <w:rFonts w:hint="eastAsia"/>
                <w:color w:val="auto"/>
                <w:lang w:eastAsia="zh-CN"/>
              </w:rPr>
              <w:t>每项</w:t>
            </w:r>
            <w:r>
              <w:rPr>
                <w:rFonts w:hint="eastAsia"/>
                <w:color w:val="auto"/>
                <w:lang w:val="en-US" w:eastAsia="zh-CN"/>
              </w:rPr>
              <w:t>得0-1，不能实现的不得分。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r>
      <w:tr>
        <w:tblPrEx>
          <w:tblCellMar>
            <w:top w:w="0" w:type="dxa"/>
            <w:left w:w="108" w:type="dxa"/>
            <w:bottom w:w="0" w:type="dxa"/>
            <w:right w:w="108" w:type="dxa"/>
          </w:tblCellMar>
        </w:tblPrEx>
        <w:trPr>
          <w:trHeight w:val="285" w:hRule="atLeast"/>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实力信誉与售后服务</w:t>
            </w:r>
          </w:p>
          <w:p>
            <w:pPr>
              <w:jc w:val="center"/>
              <w:rPr>
                <w:rFonts w:hint="eastAsia" w:ascii="宋体" w:hAnsi="宋体" w:eastAsia="宋体" w:cs="宋体"/>
                <w:color w:val="000000"/>
                <w:sz w:val="21"/>
                <w:szCs w:val="21"/>
              </w:rPr>
            </w:pPr>
            <w:r>
              <w:rPr>
                <w:rFonts w:hint="eastAsia" w:ascii="宋体" w:hAnsi="宋体" w:eastAsia="宋体" w:cs="宋体"/>
                <w:b/>
                <w:bCs/>
                <w:kern w:val="0"/>
                <w:sz w:val="21"/>
                <w:szCs w:val="21"/>
                <w:lang w:val="en-US" w:eastAsia="zh-CN"/>
              </w:rPr>
              <w:t>1</w:t>
            </w:r>
            <w:r>
              <w:rPr>
                <w:rFonts w:hint="eastAsia" w:ascii="宋体" w:hAnsi="宋体" w:cs="宋体"/>
                <w:b/>
                <w:bCs/>
                <w:kern w:val="0"/>
                <w:sz w:val="21"/>
                <w:szCs w:val="21"/>
                <w:lang w:val="en-US" w:eastAsia="zh-CN"/>
              </w:rPr>
              <w:t>5</w:t>
            </w:r>
            <w:r>
              <w:rPr>
                <w:rFonts w:hint="eastAsia" w:ascii="宋体" w:hAnsi="宋体" w:eastAsia="宋体" w:cs="宋体"/>
                <w:b/>
                <w:bCs/>
                <w:kern w:val="0"/>
                <w:sz w:val="21"/>
                <w:szCs w:val="21"/>
              </w:rPr>
              <w:t>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项目经理及团队成员</w:t>
            </w:r>
          </w:p>
        </w:tc>
        <w:tc>
          <w:tcPr>
            <w:tcW w:w="6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评估本项目实施团队的人员质量、数量及合理性情况进行综合评分，</w:t>
            </w:r>
            <w:r>
              <w:rPr>
                <w:rFonts w:hint="eastAsia" w:ascii="宋体" w:hAnsi="宋体" w:cs="宋体"/>
                <w:kern w:val="0"/>
                <w:sz w:val="21"/>
                <w:szCs w:val="21"/>
                <w:lang w:eastAsia="zh-CN"/>
              </w:rPr>
              <w:t>团队质量高，完全招标文件要求的，</w:t>
            </w:r>
            <w:r>
              <w:rPr>
                <w:rFonts w:hint="eastAsia" w:ascii="宋体" w:hAnsi="宋体" w:eastAsia="宋体" w:cs="宋体"/>
                <w:kern w:val="0"/>
                <w:sz w:val="21"/>
                <w:szCs w:val="21"/>
              </w:rPr>
              <w:t>得2.1-3分</w:t>
            </w:r>
            <w:r>
              <w:rPr>
                <w:rFonts w:hint="eastAsia" w:ascii="宋体" w:hAnsi="宋体" w:cs="宋体"/>
                <w:kern w:val="0"/>
                <w:sz w:val="21"/>
                <w:szCs w:val="21"/>
                <w:lang w:eastAsia="zh-CN"/>
              </w:rPr>
              <w:t>；团队合理，基本满足招标文件要求的，</w:t>
            </w:r>
            <w:r>
              <w:rPr>
                <w:rFonts w:hint="eastAsia" w:ascii="宋体" w:hAnsi="宋体" w:eastAsia="宋体" w:cs="宋体"/>
                <w:kern w:val="0"/>
                <w:sz w:val="21"/>
                <w:szCs w:val="21"/>
              </w:rPr>
              <w:t>得1.1-2分</w:t>
            </w:r>
            <w:r>
              <w:rPr>
                <w:rFonts w:hint="eastAsia" w:ascii="宋体" w:hAnsi="宋体" w:cs="宋体"/>
                <w:kern w:val="0"/>
                <w:sz w:val="21"/>
                <w:szCs w:val="21"/>
                <w:lang w:eastAsia="zh-CN"/>
              </w:rPr>
              <w:t>；团队质量</w:t>
            </w:r>
            <w:r>
              <w:rPr>
                <w:rFonts w:hint="eastAsia" w:ascii="宋体" w:hAnsi="宋体" w:eastAsia="宋体" w:cs="宋体"/>
                <w:kern w:val="0"/>
                <w:sz w:val="21"/>
                <w:szCs w:val="21"/>
              </w:rPr>
              <w:t>差</w:t>
            </w:r>
            <w:r>
              <w:rPr>
                <w:rFonts w:hint="eastAsia" w:ascii="宋体" w:hAnsi="宋体" w:cs="宋体"/>
                <w:kern w:val="0"/>
                <w:sz w:val="21"/>
                <w:szCs w:val="21"/>
                <w:lang w:eastAsia="zh-CN"/>
              </w:rPr>
              <w:t>，</w:t>
            </w:r>
            <w:r>
              <w:rPr>
                <w:rFonts w:hint="eastAsia" w:ascii="宋体" w:hAnsi="宋体" w:eastAsia="宋体" w:cs="宋体"/>
                <w:kern w:val="0"/>
                <w:sz w:val="21"/>
                <w:szCs w:val="21"/>
              </w:rPr>
              <w:t>得0.1-1分</w:t>
            </w:r>
            <w:r>
              <w:rPr>
                <w:rFonts w:hint="eastAsia" w:ascii="宋体" w:hAnsi="宋体" w:cs="宋体"/>
                <w:kern w:val="0"/>
                <w:sz w:val="21"/>
                <w:szCs w:val="21"/>
                <w:lang w:eastAsia="zh-CN"/>
              </w:rPr>
              <w:t>。</w:t>
            </w:r>
          </w:p>
          <w:p>
            <w:pPr>
              <w:widowControl/>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注：需提供</w:t>
            </w:r>
            <w:r>
              <w:rPr>
                <w:rFonts w:hint="eastAsia" w:ascii="宋体" w:hAnsi="宋体" w:cs="宋体"/>
                <w:kern w:val="0"/>
                <w:sz w:val="21"/>
                <w:szCs w:val="21"/>
                <w:lang w:eastAsia="zh-CN"/>
              </w:rPr>
              <w:t>该人员在投标人处</w:t>
            </w:r>
            <w:r>
              <w:rPr>
                <w:rFonts w:hint="eastAsia" w:ascii="宋体" w:hAnsi="宋体" w:eastAsia="宋体" w:cs="宋体"/>
                <w:kern w:val="0"/>
                <w:sz w:val="21"/>
                <w:szCs w:val="21"/>
              </w:rPr>
              <w:t>近三个月</w:t>
            </w:r>
            <w:r>
              <w:rPr>
                <w:rFonts w:hint="eastAsia" w:ascii="宋体" w:hAnsi="宋体" w:cs="宋体"/>
                <w:kern w:val="0"/>
                <w:sz w:val="21"/>
                <w:szCs w:val="21"/>
                <w:lang w:eastAsia="zh-CN"/>
              </w:rPr>
              <w:t>的</w:t>
            </w:r>
            <w:r>
              <w:rPr>
                <w:rFonts w:hint="eastAsia" w:ascii="宋体" w:hAnsi="宋体" w:eastAsia="宋体" w:cs="宋体"/>
                <w:kern w:val="0"/>
                <w:sz w:val="21"/>
                <w:szCs w:val="21"/>
              </w:rPr>
              <w:t>社保</w:t>
            </w:r>
            <w:r>
              <w:rPr>
                <w:rFonts w:hint="eastAsia" w:ascii="宋体" w:hAnsi="宋体" w:cs="宋体"/>
                <w:kern w:val="0"/>
                <w:sz w:val="21"/>
                <w:szCs w:val="21"/>
                <w:lang w:eastAsia="zh-CN"/>
              </w:rPr>
              <w:t>证明</w:t>
            </w:r>
            <w:r>
              <w:rPr>
                <w:rFonts w:hint="eastAsia" w:ascii="宋体" w:hAnsi="宋体" w:eastAsia="宋体" w:cs="宋体"/>
                <w:kern w:val="0"/>
                <w:sz w:val="21"/>
                <w:szCs w:val="21"/>
              </w:rPr>
              <w:t>及相关证书扫描件证明，不提供或提供不全的不得分</w:t>
            </w:r>
            <w:r>
              <w:rPr>
                <w:rFonts w:hint="eastAsia" w:ascii="宋体" w:hAnsi="宋体" w:cs="宋体"/>
                <w:kern w:val="0"/>
                <w:sz w:val="21"/>
                <w:szCs w:val="21"/>
                <w:lang w:eastAsia="zh-CN"/>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r>
      <w:tr>
        <w:tblPrEx>
          <w:tblCellMar>
            <w:top w:w="0" w:type="dxa"/>
            <w:left w:w="108" w:type="dxa"/>
            <w:bottom w:w="0" w:type="dxa"/>
            <w:right w:w="108" w:type="dxa"/>
          </w:tblCellMar>
        </w:tblPrEx>
        <w:trPr>
          <w:trHeight w:val="3268"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资质资信</w:t>
            </w:r>
          </w:p>
        </w:tc>
        <w:tc>
          <w:tcPr>
            <w:tcW w:w="6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根据投标人的专业资质认证情况进行评分：</w:t>
            </w:r>
          </w:p>
          <w:p>
            <w:pP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rPr>
              <w:t>投标人为国家信息安全漏洞共享平台CNVD用户组成员得1分</w:t>
            </w:r>
            <w:r>
              <w:rPr>
                <w:rFonts w:hint="eastAsia" w:ascii="宋体" w:hAnsi="宋体" w:eastAsia="宋体" w:cs="宋体"/>
                <w:kern w:val="0"/>
                <w:sz w:val="21"/>
                <w:szCs w:val="21"/>
              </w:rPr>
              <w:t>；</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 xml:space="preserve"> </w:t>
            </w:r>
            <w:r>
              <w:rPr>
                <w:rFonts w:hint="eastAsia" w:ascii="宋体" w:hAnsi="宋体" w:eastAsia="宋体" w:cs="宋体"/>
                <w:kern w:val="0"/>
                <w:sz w:val="21"/>
                <w:szCs w:val="21"/>
              </w:rPr>
              <w:t>投标人具备ITSS 信息技术服务运行维护体系认证证书，一级得2分，二级得1分，其他不得分；</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3. 具备国家信息安全测评信息安全服务资质证书（安全运营类一级）要求的得1分；</w:t>
            </w:r>
            <w:bookmarkStart w:id="162" w:name="_GoBack"/>
            <w:bookmarkEnd w:id="162"/>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4.具备大数据服务能力评估数据工程专项认证证书，三级及以上得2分，二级得1分，其他不得分。</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5.具备国家互联网应急响应中心网络安全应急服务国家级支撑单位证书得1分。</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注：提供相关证书复印件并加盖投标人单位公章，证书获得日期须在本项目招标公告发布日期之前，否则不得分。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p>
        </w:tc>
      </w:tr>
      <w:tr>
        <w:tblPrEx>
          <w:tblCellMar>
            <w:top w:w="0" w:type="dxa"/>
            <w:left w:w="108" w:type="dxa"/>
            <w:bottom w:w="0" w:type="dxa"/>
            <w:right w:w="108" w:type="dxa"/>
          </w:tblCellMar>
        </w:tblPrEx>
        <w:trPr>
          <w:trHeight w:val="1125"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软著</w:t>
            </w:r>
          </w:p>
        </w:tc>
        <w:tc>
          <w:tcPr>
            <w:tcW w:w="6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投标人取得相关领域软件著作权证书，且证书名称中包含以下关键词之一的：“数据治理”、“数据采集”、“数据标准”、“数据可视化”、“数据安全”。每具有一项上述证书得1分，最多得4分。同一证书只计一次，不得重复计分；不同证书具有相同的关键字，只算为一项满足，计1分。</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注：提供相关证书</w:t>
            </w:r>
            <w:r>
              <w:rPr>
                <w:rFonts w:hint="eastAsia" w:ascii="宋体" w:hAnsi="宋体" w:cs="宋体"/>
                <w:kern w:val="0"/>
                <w:sz w:val="21"/>
                <w:szCs w:val="21"/>
                <w:lang w:eastAsia="zh-CN"/>
              </w:rPr>
              <w:t>扫描</w:t>
            </w:r>
            <w:r>
              <w:rPr>
                <w:rFonts w:hint="eastAsia" w:ascii="宋体" w:hAnsi="宋体" w:eastAsia="宋体" w:cs="宋体"/>
                <w:kern w:val="0"/>
                <w:sz w:val="21"/>
                <w:szCs w:val="21"/>
              </w:rPr>
              <w:t>件并加盖投标人单位公章，证书获得日期须在本项目招标公告发布日期之前，否则不得分。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r>
      <w:tr>
        <w:tblPrEx>
          <w:tblCellMar>
            <w:top w:w="0" w:type="dxa"/>
            <w:left w:w="108" w:type="dxa"/>
            <w:bottom w:w="0" w:type="dxa"/>
            <w:right w:w="108" w:type="dxa"/>
          </w:tblCellMar>
        </w:tblPrEx>
        <w:trPr>
          <w:trHeight w:val="1125" w:hRule="atLeast"/>
        </w:trPr>
        <w:tc>
          <w:tcPr>
            <w:tcW w:w="109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案例</w:t>
            </w:r>
          </w:p>
        </w:tc>
        <w:tc>
          <w:tcPr>
            <w:tcW w:w="6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根据投标人提供的自202</w:t>
            </w:r>
            <w:r>
              <w:rPr>
                <w:rFonts w:hint="eastAsia" w:ascii="宋体" w:hAnsi="宋体" w:cs="宋体"/>
                <w:kern w:val="0"/>
                <w:sz w:val="21"/>
                <w:szCs w:val="21"/>
                <w:lang w:val="en-US" w:eastAsia="zh-CN"/>
              </w:rPr>
              <w:t>0</w:t>
            </w:r>
            <w:r>
              <w:rPr>
                <w:rFonts w:hint="eastAsia" w:ascii="宋体" w:hAnsi="宋体" w:eastAsia="宋体" w:cs="宋体"/>
                <w:kern w:val="0"/>
                <w:sz w:val="21"/>
                <w:szCs w:val="21"/>
              </w:rPr>
              <w:t>年</w:t>
            </w:r>
            <w:r>
              <w:rPr>
                <w:rFonts w:hint="eastAsia" w:ascii="宋体" w:hAnsi="宋体" w:cs="宋体"/>
                <w:kern w:val="0"/>
                <w:sz w:val="21"/>
                <w:szCs w:val="21"/>
                <w:lang w:val="en-US" w:eastAsia="zh-CN"/>
              </w:rPr>
              <w:t>3月1日</w:t>
            </w:r>
            <w:r>
              <w:rPr>
                <w:rFonts w:hint="eastAsia" w:ascii="宋体" w:hAnsi="宋体" w:eastAsia="宋体" w:cs="宋体"/>
                <w:kern w:val="0"/>
                <w:sz w:val="21"/>
                <w:szCs w:val="21"/>
              </w:rPr>
              <w:t>以来（以合同签订时间为准）类似项目建设、服务或运维的业绩情况，每提供一个得0.5分，最多可得1分。</w:t>
            </w:r>
            <w:r>
              <w:rPr>
                <w:rFonts w:hint="eastAsia" w:ascii="宋体" w:hAnsi="宋体" w:eastAsia="宋体" w:cs="宋体"/>
                <w:color w:val="auto"/>
                <w:kern w:val="0"/>
                <w:sz w:val="21"/>
                <w:szCs w:val="21"/>
              </w:rPr>
              <w:t>（建设、服务或运维需</w:t>
            </w:r>
            <w:r>
              <w:rPr>
                <w:rFonts w:hint="eastAsia" w:ascii="宋体" w:hAnsi="宋体" w:eastAsia="宋体" w:cs="宋体"/>
                <w:kern w:val="0"/>
                <w:sz w:val="21"/>
                <w:szCs w:val="21"/>
              </w:rPr>
              <w:t>同时提供合同，同一合同不重复计分）</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注：提供原件备查。</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r>
      <w:tr>
        <w:tblPrEx>
          <w:tblCellMar>
            <w:top w:w="0" w:type="dxa"/>
            <w:left w:w="108" w:type="dxa"/>
            <w:bottom w:w="0" w:type="dxa"/>
            <w:right w:w="108" w:type="dxa"/>
          </w:tblCellMar>
        </w:tblPrEx>
        <w:trPr>
          <w:trHeight w:val="633" w:hRule="atLeast"/>
        </w:trPr>
        <w:tc>
          <w:tcPr>
            <w:tcW w:w="1091"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售后服务承诺</w:t>
            </w:r>
          </w:p>
          <w:p>
            <w:pPr>
              <w:jc w:val="center"/>
              <w:rPr>
                <w:rFonts w:hint="eastAsia" w:ascii="宋体" w:hAnsi="宋体" w:eastAsia="宋体" w:cs="宋体"/>
                <w:color w:val="000000"/>
                <w:sz w:val="21"/>
                <w:szCs w:val="21"/>
              </w:rPr>
            </w:pPr>
            <w:r>
              <w:rPr>
                <w:rFonts w:hint="eastAsia" w:ascii="宋体" w:hAnsi="宋体" w:cs="宋体"/>
                <w:b/>
                <w:bCs/>
                <w:sz w:val="21"/>
                <w:szCs w:val="21"/>
                <w:lang w:val="en-US" w:eastAsia="zh-CN"/>
              </w:rPr>
              <w:t>7</w:t>
            </w:r>
            <w:r>
              <w:rPr>
                <w:rFonts w:hint="eastAsia" w:ascii="宋体" w:hAnsi="宋体" w:eastAsia="宋体" w:cs="宋体"/>
                <w:b/>
                <w:bCs/>
                <w:sz w:val="21"/>
                <w:szCs w:val="21"/>
              </w:rPr>
              <w:t>分</w:t>
            </w:r>
          </w:p>
        </w:tc>
        <w:tc>
          <w:tcPr>
            <w:tcW w:w="784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
              <w:ind w:left="0" w:leftChars="0" w:firstLine="420" w:firstLineChars="200"/>
              <w:rPr>
                <w:rFonts w:hint="eastAsia" w:ascii="宋体" w:hAnsi="宋体" w:cs="宋体"/>
                <w:color w:val="auto"/>
                <w:szCs w:val="21"/>
              </w:rPr>
            </w:pPr>
            <w:r>
              <w:rPr>
                <w:rFonts w:hint="eastAsia"/>
              </w:rPr>
              <w:t>售后服务：根据投标人提供的驻场人员，售后服务方案、售后服务承诺以及售后服务保障措施等打分</w:t>
            </w:r>
            <w:r>
              <w:rPr>
                <w:rFonts w:hint="eastAsia"/>
                <w:lang w:eastAsia="zh-CN"/>
              </w:rPr>
              <w:t>：</w:t>
            </w:r>
          </w:p>
          <w:p>
            <w:pPr>
              <w:pStyle w:val="2"/>
              <w:spacing w:line="240" w:lineRule="auto"/>
              <w:rPr>
                <w:rFonts w:hint="eastAsia"/>
                <w:color w:val="auto"/>
                <w:lang w:val="en-US" w:eastAsia="zh-CN"/>
              </w:rPr>
            </w:pPr>
            <w:r>
              <w:rPr>
                <w:rFonts w:hint="eastAsia" w:ascii="宋体" w:hAnsi="宋体" w:cs="宋体"/>
                <w:color w:val="auto"/>
                <w:szCs w:val="21"/>
              </w:rPr>
              <w:t>①</w:t>
            </w:r>
            <w:r>
              <w:rPr>
                <w:rFonts w:hint="eastAsia"/>
                <w:lang w:eastAsia="zh-CN"/>
              </w:rPr>
              <w:t>人员优秀，</w:t>
            </w:r>
            <w:r>
              <w:rPr>
                <w:rFonts w:hint="eastAsia"/>
                <w:lang w:val="en-US" w:eastAsia="zh-CN"/>
              </w:rPr>
              <w:t>方案完整详实、可操作性强，措施有力的，</w:t>
            </w:r>
            <w:r>
              <w:rPr>
                <w:rFonts w:hint="eastAsia"/>
                <w:lang w:eastAsia="zh-CN"/>
              </w:rPr>
              <w:t>得</w:t>
            </w:r>
            <w:r>
              <w:rPr>
                <w:rFonts w:hint="eastAsia"/>
                <w:lang w:val="en-US" w:eastAsia="zh-CN"/>
              </w:rPr>
              <w:t>3.1-4分；</w:t>
            </w:r>
          </w:p>
          <w:p>
            <w:pPr>
              <w:keepNext w:val="0"/>
              <w:keepLines w:val="0"/>
              <w:suppressLineNumbers w:val="0"/>
              <w:spacing w:before="0" w:beforeAutospacing="0" w:after="0" w:afterAutospacing="0" w:line="240" w:lineRule="auto"/>
              <w:ind w:left="0" w:right="0" w:firstLine="420" w:firstLineChars="200"/>
              <w:jc w:val="left"/>
              <w:rPr>
                <w:rFonts w:hint="default" w:ascii="宋体" w:hAnsi="宋体" w:cs="宋体"/>
                <w:color w:val="auto"/>
                <w:szCs w:val="21"/>
              </w:rPr>
            </w:pPr>
            <w:r>
              <w:rPr>
                <w:rFonts w:hint="eastAsia" w:ascii="宋体" w:hAnsi="宋体" w:cs="宋体"/>
                <w:color w:val="auto"/>
                <w:szCs w:val="21"/>
              </w:rPr>
              <w:t>②方案合理、</w:t>
            </w:r>
            <w:r>
              <w:rPr>
                <w:rFonts w:hint="eastAsia" w:ascii="宋体" w:hAnsi="宋体"/>
                <w:color w:val="auto"/>
                <w:kern w:val="0"/>
                <w:szCs w:val="21"/>
              </w:rPr>
              <w:t>内容常规、操作性一般</w:t>
            </w:r>
            <w:r>
              <w:rPr>
                <w:rFonts w:hint="eastAsia" w:ascii="宋体" w:hAnsi="宋体" w:cs="宋体"/>
                <w:color w:val="auto"/>
                <w:szCs w:val="21"/>
              </w:rPr>
              <w:t>的得</w:t>
            </w:r>
            <w:r>
              <w:rPr>
                <w:rFonts w:hint="eastAsia" w:ascii="宋体" w:hAnsi="宋体" w:cs="宋体"/>
                <w:color w:val="auto"/>
                <w:szCs w:val="21"/>
                <w:lang w:val="en-US" w:eastAsia="zh-CN"/>
              </w:rPr>
              <w:t>2.1-3</w:t>
            </w:r>
            <w:r>
              <w:rPr>
                <w:rFonts w:hint="eastAsia" w:ascii="宋体" w:hAnsi="宋体" w:cs="宋体"/>
                <w:color w:val="auto"/>
                <w:szCs w:val="21"/>
              </w:rPr>
              <w:t>分；</w:t>
            </w:r>
          </w:p>
          <w:p>
            <w:pPr>
              <w:pStyle w:val="2"/>
              <w:spacing w:line="240" w:lineRule="auto"/>
              <w:rPr>
                <w:rFonts w:hint="eastAsia" w:ascii="宋体" w:hAnsi="宋体" w:cs="宋体"/>
                <w:b w:val="0"/>
                <w:bCs w:val="0"/>
                <w:color w:val="auto"/>
                <w:szCs w:val="21"/>
              </w:rPr>
            </w:pPr>
            <w:r>
              <w:rPr>
                <w:rFonts w:hint="eastAsia" w:ascii="宋体" w:hAnsi="宋体" w:cs="宋体"/>
                <w:color w:val="auto"/>
                <w:szCs w:val="21"/>
              </w:rPr>
              <w:t>③方案粗糙、</w:t>
            </w:r>
            <w:r>
              <w:rPr>
                <w:rFonts w:hint="eastAsia" w:ascii="宋体" w:hAnsi="宋体"/>
                <w:color w:val="auto"/>
                <w:kern w:val="0"/>
                <w:szCs w:val="21"/>
              </w:rPr>
              <w:t>内容缺漏、操作性差</w:t>
            </w:r>
            <w:r>
              <w:rPr>
                <w:rFonts w:hint="eastAsia" w:ascii="宋体" w:hAnsi="宋体" w:cs="宋体"/>
                <w:color w:val="auto"/>
                <w:szCs w:val="21"/>
              </w:rPr>
              <w:t>的</w:t>
            </w:r>
            <w:r>
              <w:rPr>
                <w:rFonts w:hint="eastAsia" w:ascii="宋体" w:hAnsi="宋体" w:cs="宋体"/>
                <w:b w:val="0"/>
                <w:bCs w:val="0"/>
                <w:color w:val="auto"/>
                <w:szCs w:val="21"/>
              </w:rPr>
              <w:t>得</w:t>
            </w:r>
            <w:r>
              <w:rPr>
                <w:rFonts w:hint="eastAsia" w:ascii="宋体" w:hAnsi="宋体" w:cs="宋体"/>
                <w:b w:val="0"/>
                <w:bCs w:val="0"/>
                <w:color w:val="auto"/>
                <w:szCs w:val="21"/>
                <w:lang w:val="en-US" w:eastAsia="zh-CN"/>
              </w:rPr>
              <w:t>1.1-2</w:t>
            </w:r>
            <w:r>
              <w:rPr>
                <w:rFonts w:hint="eastAsia" w:ascii="宋体" w:hAnsi="宋体" w:cs="宋体"/>
                <w:b w:val="0"/>
                <w:bCs w:val="0"/>
                <w:color w:val="auto"/>
                <w:szCs w:val="21"/>
              </w:rPr>
              <w:t>分。</w:t>
            </w:r>
          </w:p>
          <w:p>
            <w:pPr>
              <w:pStyle w:val="2"/>
              <w:spacing w:line="240" w:lineRule="auto"/>
              <w:rPr>
                <w:rFonts w:hint="eastAsia"/>
              </w:rPr>
            </w:pPr>
            <w:r>
              <w:rPr>
                <w:rFonts w:hint="eastAsia" w:ascii="宋体" w:hAnsi="宋体" w:cs="宋体"/>
                <w:color w:val="auto"/>
                <w:szCs w:val="21"/>
              </w:rPr>
              <w:t>④</w:t>
            </w:r>
            <w:r>
              <w:rPr>
                <w:rFonts w:hint="eastAsia" w:ascii="宋体" w:hAnsi="宋体" w:cs="宋体"/>
                <w:color w:val="auto"/>
                <w:szCs w:val="21"/>
                <w:lang w:eastAsia="zh-CN"/>
              </w:rPr>
              <w:t>方案差的得</w:t>
            </w:r>
            <w:r>
              <w:rPr>
                <w:rFonts w:hint="eastAsia" w:ascii="宋体" w:hAnsi="宋体" w:cs="宋体"/>
                <w:color w:val="auto"/>
                <w:szCs w:val="21"/>
                <w:lang w:val="en-US" w:eastAsia="zh-CN"/>
              </w:rPr>
              <w:t>1-0分，</w:t>
            </w:r>
            <w:r>
              <w:rPr>
                <w:rFonts w:hint="eastAsia" w:ascii="宋体" w:hAnsi="宋体" w:cs="宋体"/>
                <w:color w:val="auto"/>
                <w:szCs w:val="21"/>
              </w:rPr>
              <w:t>未提及此项的不得分。</w:t>
            </w:r>
          </w:p>
        </w:tc>
        <w:tc>
          <w:tcPr>
            <w:tcW w:w="6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FF"/>
                <w:kern w:val="0"/>
                <w:sz w:val="21"/>
                <w:szCs w:val="21"/>
                <w:lang w:eastAsia="zh-CN" w:bidi="ar"/>
              </w:rPr>
            </w:pPr>
            <w:r>
              <w:rPr>
                <w:rFonts w:hint="eastAsia" w:ascii="宋体" w:hAnsi="宋体" w:cs="宋体"/>
                <w:color w:val="auto"/>
                <w:kern w:val="0"/>
                <w:sz w:val="21"/>
                <w:szCs w:val="21"/>
                <w:lang w:val="en-US" w:eastAsia="zh-CN" w:bidi="ar"/>
              </w:rPr>
              <w:t>4</w:t>
            </w:r>
          </w:p>
        </w:tc>
      </w:tr>
      <w:tr>
        <w:tblPrEx>
          <w:tblCellMar>
            <w:top w:w="0" w:type="dxa"/>
            <w:left w:w="108" w:type="dxa"/>
            <w:bottom w:w="0" w:type="dxa"/>
            <w:right w:w="108" w:type="dxa"/>
          </w:tblCellMar>
        </w:tblPrEx>
        <w:trPr>
          <w:trHeight w:val="937" w:hRule="atLeast"/>
        </w:trPr>
        <w:tc>
          <w:tcPr>
            <w:tcW w:w="109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sz w:val="21"/>
                <w:szCs w:val="21"/>
              </w:rPr>
            </w:pPr>
          </w:p>
        </w:tc>
        <w:tc>
          <w:tcPr>
            <w:tcW w:w="784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cs="宋体"/>
                <w:color w:val="auto"/>
                <w:szCs w:val="21"/>
              </w:rPr>
            </w:pPr>
            <w:r>
              <w:rPr>
                <w:rFonts w:hint="eastAsia" w:ascii="宋体" w:hAnsi="宋体" w:eastAsia="宋体" w:cs="宋体"/>
                <w:kern w:val="0"/>
                <w:sz w:val="21"/>
                <w:szCs w:val="21"/>
              </w:rPr>
              <w:t>培训服务：综合评定投标人提供得业务培训方案</w:t>
            </w:r>
            <w:r>
              <w:rPr>
                <w:rFonts w:hint="eastAsia" w:ascii="宋体" w:hAnsi="宋体" w:cs="宋体"/>
                <w:kern w:val="0"/>
                <w:sz w:val="21"/>
                <w:szCs w:val="21"/>
                <w:lang w:eastAsia="zh-CN"/>
              </w:rPr>
              <w:t>：</w:t>
            </w:r>
            <w:r>
              <w:rPr>
                <w:rFonts w:hint="eastAsia" w:ascii="宋体" w:hAnsi="宋体" w:cs="宋体"/>
                <w:color w:val="auto"/>
                <w:szCs w:val="21"/>
              </w:rPr>
              <w:t>①</w:t>
            </w:r>
            <w:r>
              <w:rPr>
                <w:rFonts w:hint="eastAsia" w:ascii="宋体" w:hAnsi="宋体" w:eastAsia="宋体" w:cs="宋体"/>
                <w:kern w:val="0"/>
                <w:sz w:val="21"/>
                <w:szCs w:val="21"/>
              </w:rPr>
              <w:t>培训时间安排</w:t>
            </w:r>
            <w:r>
              <w:rPr>
                <w:rFonts w:hint="eastAsia" w:ascii="宋体" w:hAnsi="宋体" w:cs="宋体"/>
                <w:kern w:val="0"/>
                <w:sz w:val="21"/>
                <w:szCs w:val="21"/>
                <w:lang w:eastAsia="zh-CN"/>
              </w:rPr>
              <w:t>科学、</w:t>
            </w:r>
            <w:r>
              <w:rPr>
                <w:rFonts w:hint="eastAsia" w:ascii="宋体" w:hAnsi="宋体" w:eastAsia="宋体" w:cs="宋体"/>
                <w:kern w:val="0"/>
                <w:sz w:val="21"/>
                <w:szCs w:val="21"/>
              </w:rPr>
              <w:t>合理</w:t>
            </w:r>
            <w:r>
              <w:rPr>
                <w:rFonts w:hint="eastAsia" w:ascii="宋体" w:hAnsi="宋体" w:cs="宋体"/>
                <w:kern w:val="0"/>
                <w:sz w:val="21"/>
                <w:szCs w:val="21"/>
                <w:lang w:eastAsia="zh-CN"/>
              </w:rPr>
              <w:t>，</w:t>
            </w:r>
            <w:r>
              <w:rPr>
                <w:rFonts w:hint="eastAsia" w:ascii="宋体" w:hAnsi="宋体" w:eastAsia="宋体" w:cs="宋体"/>
                <w:kern w:val="0"/>
                <w:sz w:val="21"/>
                <w:szCs w:val="21"/>
              </w:rPr>
              <w:t>培训课程内容完整丰富</w:t>
            </w:r>
            <w:r>
              <w:rPr>
                <w:rFonts w:hint="eastAsia" w:ascii="宋体" w:hAnsi="宋体" w:cs="宋体"/>
                <w:kern w:val="0"/>
                <w:sz w:val="21"/>
                <w:szCs w:val="21"/>
                <w:lang w:eastAsia="zh-CN"/>
              </w:rPr>
              <w:t>，</w:t>
            </w:r>
            <w:r>
              <w:rPr>
                <w:rFonts w:hint="eastAsia" w:ascii="宋体" w:hAnsi="宋体"/>
                <w:color w:val="auto"/>
                <w:kern w:val="0"/>
                <w:szCs w:val="21"/>
              </w:rPr>
              <w:t>操作性强</w:t>
            </w:r>
            <w:r>
              <w:rPr>
                <w:rFonts w:hint="eastAsia" w:ascii="宋体" w:hAnsi="宋体" w:eastAsia="宋体" w:cs="宋体"/>
                <w:kern w:val="0"/>
                <w:sz w:val="21"/>
                <w:szCs w:val="21"/>
              </w:rPr>
              <w:t>的</w:t>
            </w:r>
            <w:r>
              <w:rPr>
                <w:rFonts w:hint="eastAsia" w:ascii="宋体" w:hAnsi="宋体" w:cs="宋体"/>
                <w:kern w:val="0"/>
                <w:sz w:val="21"/>
                <w:szCs w:val="21"/>
                <w:lang w:eastAsia="zh-CN"/>
              </w:rPr>
              <w:t>，</w:t>
            </w:r>
            <w:r>
              <w:rPr>
                <w:rFonts w:hint="eastAsia" w:ascii="宋体" w:hAnsi="宋体" w:eastAsia="宋体" w:cs="宋体"/>
                <w:kern w:val="0"/>
                <w:sz w:val="21"/>
                <w:szCs w:val="21"/>
              </w:rPr>
              <w:t>得0.8-1分</w:t>
            </w:r>
            <w:r>
              <w:rPr>
                <w:rFonts w:hint="eastAsia" w:ascii="宋体" w:hAnsi="宋体" w:cs="宋体"/>
                <w:kern w:val="0"/>
                <w:sz w:val="21"/>
                <w:szCs w:val="21"/>
                <w:lang w:eastAsia="zh-CN"/>
              </w:rPr>
              <w:t>；</w:t>
            </w:r>
            <w:r>
              <w:rPr>
                <w:rFonts w:hint="eastAsia" w:ascii="宋体" w:hAnsi="宋体" w:cs="宋体"/>
                <w:color w:val="auto"/>
                <w:szCs w:val="21"/>
              </w:rPr>
              <w:t>②方案合理、</w:t>
            </w:r>
            <w:r>
              <w:rPr>
                <w:rFonts w:hint="eastAsia" w:ascii="宋体" w:hAnsi="宋体"/>
                <w:color w:val="auto"/>
                <w:kern w:val="0"/>
                <w:szCs w:val="21"/>
              </w:rPr>
              <w:t>内容常规、操作性一般</w:t>
            </w:r>
            <w:r>
              <w:rPr>
                <w:rFonts w:hint="eastAsia" w:ascii="宋体" w:hAnsi="宋体" w:cs="宋体"/>
                <w:color w:val="auto"/>
                <w:szCs w:val="21"/>
              </w:rPr>
              <w:t>的得</w:t>
            </w:r>
            <w:r>
              <w:rPr>
                <w:rFonts w:hint="eastAsia" w:ascii="宋体" w:hAnsi="宋体" w:eastAsia="宋体" w:cs="宋体"/>
                <w:kern w:val="0"/>
                <w:sz w:val="21"/>
                <w:szCs w:val="21"/>
              </w:rPr>
              <w:t>0.4-0.7分</w:t>
            </w:r>
            <w:r>
              <w:rPr>
                <w:rFonts w:hint="eastAsia" w:ascii="宋体" w:hAnsi="宋体" w:cs="宋体"/>
                <w:color w:val="auto"/>
                <w:szCs w:val="21"/>
              </w:rPr>
              <w:t>；</w:t>
            </w:r>
          </w:p>
          <w:p>
            <w:pPr>
              <w:widowControl/>
              <w:textAlignment w:val="center"/>
              <w:rPr>
                <w:rFonts w:hint="eastAsia" w:ascii="宋体" w:hAnsi="宋体" w:eastAsia="宋体" w:cs="宋体"/>
                <w:kern w:val="0"/>
                <w:sz w:val="21"/>
                <w:szCs w:val="21"/>
              </w:rPr>
            </w:pPr>
            <w:r>
              <w:rPr>
                <w:rFonts w:hint="eastAsia" w:ascii="宋体" w:hAnsi="宋体" w:cs="宋体"/>
                <w:color w:val="auto"/>
                <w:szCs w:val="21"/>
              </w:rPr>
              <w:t>③方案粗糙、</w:t>
            </w:r>
            <w:r>
              <w:rPr>
                <w:rFonts w:hint="eastAsia" w:ascii="宋体" w:hAnsi="宋体"/>
                <w:color w:val="auto"/>
                <w:kern w:val="0"/>
                <w:szCs w:val="21"/>
              </w:rPr>
              <w:t>内容缺漏、操作性差</w:t>
            </w:r>
            <w:r>
              <w:rPr>
                <w:rFonts w:hint="eastAsia" w:ascii="宋体" w:hAnsi="宋体" w:cs="宋体"/>
                <w:color w:val="auto"/>
                <w:szCs w:val="21"/>
              </w:rPr>
              <w:t>的得</w:t>
            </w:r>
            <w:r>
              <w:rPr>
                <w:rFonts w:hint="eastAsia" w:ascii="宋体" w:hAnsi="宋体" w:eastAsia="宋体" w:cs="宋体"/>
                <w:kern w:val="0"/>
                <w:sz w:val="21"/>
                <w:szCs w:val="21"/>
              </w:rPr>
              <w:t>0.1-0.3分，无不得分。</w:t>
            </w:r>
          </w:p>
        </w:tc>
        <w:tc>
          <w:tcPr>
            <w:tcW w:w="6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r>
      <w:tr>
        <w:tblPrEx>
          <w:tblCellMar>
            <w:top w:w="0" w:type="dxa"/>
            <w:left w:w="108" w:type="dxa"/>
            <w:bottom w:w="0" w:type="dxa"/>
            <w:right w:w="108" w:type="dxa"/>
          </w:tblCellMar>
        </w:tblPrEx>
        <w:trPr>
          <w:trHeight w:val="1125" w:hRule="atLeast"/>
        </w:trPr>
        <w:tc>
          <w:tcPr>
            <w:tcW w:w="10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其他优惠承诺</w:t>
            </w:r>
          </w:p>
        </w:tc>
        <w:tc>
          <w:tcPr>
            <w:tcW w:w="6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根据投标人给出的优惠条件（除价格外）和特色服务承诺进行评分： ①与本项目完全契合，具有实质性、科学性，重点突出得2分； ②与本项目契合，基本具有实质性、科学性，得1分； ③与本项目不契合，或未提供不得分。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1018"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价格</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b/>
                <w:bCs/>
                <w:color w:val="000000"/>
                <w:kern w:val="0"/>
                <w:sz w:val="21"/>
                <w:szCs w:val="21"/>
                <w:lang w:bidi="ar"/>
              </w:rPr>
              <w:t>15分</w:t>
            </w:r>
          </w:p>
        </w:tc>
        <w:tc>
          <w:tcPr>
            <w:tcW w:w="7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以合格投标人/供应商有效总报价中的最低价为基准价，基准价为15分。报价得分＝（评标基准价/最终报价）×15%×100（小数点后保留2位小数）。（注：对于小型和微型企业产品的价格给予20%的扣除，用扣除后的价格参与评审。)</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r>
    </w:tbl>
    <w:p>
      <w:pPr>
        <w:spacing w:line="360" w:lineRule="auto"/>
        <w:rPr>
          <w:rFonts w:hint="eastAsia"/>
          <w:b/>
          <w:bCs/>
        </w:rPr>
      </w:pPr>
    </w:p>
    <w:p>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pPr>
        <w:pStyle w:val="28"/>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原件备查，采购机构在项目评审直至合同签订、履约期间，有权要求投标人出具投标文件中的合同、证书、报告及其他相关证明材料，予以确认其的真实性和有效性，如出现与事实不符等情况，将根据有关规定以“提供虚假材料谋取中标（成交）”予以处理。</w:t>
      </w:r>
    </w:p>
    <w:p>
      <w:pPr>
        <w:pStyle w:val="13"/>
        <w:snapToGrid w:val="0"/>
        <w:spacing w:line="360" w:lineRule="auto"/>
        <w:ind w:firstLine="482" w:firstLineChars="200"/>
        <w:rPr>
          <w:rFonts w:hint="eastAsia" w:asciiTheme="minorEastAsia" w:hAnsiTheme="minorEastAsia" w:eastAsiaTheme="minorEastAsia"/>
          <w:b/>
          <w:sz w:val="24"/>
        </w:rPr>
      </w:pP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spacing w:line="360" w:lineRule="auto"/>
        <w:jc w:val="center"/>
        <w:rPr>
          <w:rFonts w:asciiTheme="minorEastAsia" w:hAnsiTheme="minorEastAsia" w:eastAsiaTheme="minorEastAsia"/>
          <w:b/>
          <w:sz w:val="36"/>
          <w:szCs w:val="36"/>
        </w:rPr>
      </w:pPr>
      <w:bookmarkStart w:id="89" w:name="_Toc27944_WPSOffice_Level1"/>
      <w:r>
        <w:rPr>
          <w:rFonts w:hint="eastAsia" w:asciiTheme="minorEastAsia" w:hAnsiTheme="minorEastAsia" w:eastAsiaTheme="minorEastAsia"/>
          <w:b/>
          <w:sz w:val="36"/>
          <w:szCs w:val="36"/>
        </w:rPr>
        <w:t xml:space="preserve">第五章 </w:t>
      </w:r>
      <w:bookmarkEnd w:id="89"/>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3"/>
        <w:snapToGrid w:val="0"/>
        <w:spacing w:line="360" w:lineRule="auto"/>
        <w:rPr>
          <w:rFonts w:hAnsi="宋体"/>
          <w:sz w:val="24"/>
        </w:rPr>
      </w:pPr>
      <w:r>
        <w:rPr>
          <w:rFonts w:hAnsi="宋体"/>
          <w:sz w:val="24"/>
        </w:rPr>
        <w:t>项目名称：                                项目编号：</w:t>
      </w:r>
    </w:p>
    <w:p>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3"/>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3"/>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3"/>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9"/>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3"/>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3"/>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3"/>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3"/>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3"/>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3"/>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3"/>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3"/>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3"/>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3"/>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3"/>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3"/>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3"/>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90" w:name="_Toc5481_WPSOffice_Level1"/>
      <w:r>
        <w:rPr>
          <w:rFonts w:hint="eastAsia" w:asciiTheme="minorEastAsia" w:hAnsiTheme="minorEastAsia" w:eastAsiaTheme="minorEastAsia"/>
          <w:b/>
          <w:sz w:val="36"/>
          <w:szCs w:val="36"/>
        </w:rPr>
        <w:t>第六章 投标文件格式</w:t>
      </w:r>
      <w:bookmarkEnd w:id="90"/>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91" w:name="_Toc32372_WPSOffice_Level1"/>
      <w:bookmarkStart w:id="92" w:name="_Toc4956_WPSOffice_Level1"/>
      <w:bookmarkStart w:id="93" w:name="_Toc19093_WPSOffice_Level1"/>
      <w:r>
        <w:rPr>
          <w:rFonts w:hint="eastAsia"/>
          <w:sz w:val="52"/>
          <w:szCs w:val="52"/>
        </w:rPr>
        <w:t>项目名称</w:t>
      </w:r>
      <w:bookmarkEnd w:id="91"/>
      <w:bookmarkEnd w:id="92"/>
      <w:bookmarkEnd w:id="9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9"/>
        </w:numPr>
        <w:spacing w:line="360" w:lineRule="auto"/>
        <w:ind w:hanging="5"/>
        <w:rPr>
          <w:rFonts w:hint="eastAsia"/>
          <w:sz w:val="28"/>
          <w:szCs w:val="36"/>
        </w:rPr>
      </w:pPr>
      <w:bookmarkStart w:id="94" w:name="_Toc12587_WPSOffice_Level1"/>
      <w:bookmarkStart w:id="95" w:name="_Toc27049_WPSOffice_Level1"/>
      <w:bookmarkStart w:id="96" w:name="_Toc29616_WPSOffice_Level1"/>
      <w:bookmarkStart w:id="97" w:name="_Toc32100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94"/>
      <w:bookmarkEnd w:id="95"/>
    </w:p>
    <w:p>
      <w:pPr>
        <w:numPr>
          <w:ilvl w:val="0"/>
          <w:numId w:val="19"/>
        </w:numPr>
        <w:spacing w:line="360" w:lineRule="auto"/>
        <w:ind w:hanging="5"/>
        <w:rPr>
          <w:sz w:val="28"/>
          <w:szCs w:val="36"/>
          <w:highlight w:val="none"/>
        </w:rPr>
      </w:pPr>
      <w:bookmarkStart w:id="98" w:name="_Toc28306_WPSOffice_Level1"/>
      <w:bookmarkStart w:id="99" w:name="_Toc25574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rPr>
        <w:t>）</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98"/>
      <w:bookmarkEnd w:id="99"/>
    </w:p>
    <w:p>
      <w:pPr>
        <w:numPr>
          <w:ilvl w:val="0"/>
          <w:numId w:val="19"/>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19"/>
        </w:numPr>
        <w:spacing w:line="360" w:lineRule="auto"/>
        <w:ind w:hanging="5"/>
        <w:rPr>
          <w:sz w:val="28"/>
          <w:szCs w:val="36"/>
        </w:rPr>
      </w:pPr>
      <w:r>
        <w:rPr>
          <w:rFonts w:hint="eastAsia"/>
          <w:sz w:val="28"/>
          <w:szCs w:val="36"/>
        </w:rPr>
        <w:t>法人或者其他组织的营业执照等证明文件，自然人的身份证明</w:t>
      </w:r>
      <w:bookmarkEnd w:id="96"/>
      <w:bookmarkEnd w:id="97"/>
    </w:p>
    <w:p>
      <w:pPr>
        <w:numPr>
          <w:ilvl w:val="0"/>
          <w:numId w:val="19"/>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9"/>
        </w:numPr>
        <w:spacing w:line="360" w:lineRule="auto"/>
        <w:ind w:hanging="5"/>
        <w:rPr>
          <w:sz w:val="28"/>
          <w:szCs w:val="36"/>
        </w:rPr>
      </w:pPr>
      <w:bookmarkStart w:id="100" w:name="_Toc30751_WPSOffice_Level1"/>
      <w:bookmarkStart w:id="101" w:name="_Toc2696_WPSOffice_Level1"/>
      <w:r>
        <w:rPr>
          <w:rFonts w:hint="eastAsia"/>
          <w:sz w:val="28"/>
          <w:szCs w:val="36"/>
        </w:rPr>
        <w:t>具备履行合同所必需的设备和专业技术能力的证明材料</w:t>
      </w:r>
      <w:bookmarkEnd w:id="100"/>
      <w:bookmarkEnd w:id="101"/>
    </w:p>
    <w:p>
      <w:pPr>
        <w:numPr>
          <w:ilvl w:val="0"/>
          <w:numId w:val="19"/>
        </w:numPr>
        <w:spacing w:line="360" w:lineRule="auto"/>
        <w:ind w:hanging="5"/>
        <w:rPr>
          <w:sz w:val="28"/>
          <w:szCs w:val="36"/>
        </w:rPr>
      </w:pPr>
      <w:bookmarkStart w:id="102" w:name="_Toc14150_WPSOffice_Level1"/>
      <w:bookmarkStart w:id="103" w:name="_Toc4587_WPSOffice_Level1"/>
      <w:r>
        <w:rPr>
          <w:rFonts w:hint="eastAsia"/>
          <w:sz w:val="28"/>
          <w:szCs w:val="36"/>
        </w:rPr>
        <w:t>本项目要求的特定资质证书</w:t>
      </w:r>
      <w:bookmarkEnd w:id="102"/>
      <w:bookmarkEnd w:id="103"/>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2"/>
        <w:ind w:left="0" w:leftChars="0" w:firstLine="0" w:firstLineChars="0"/>
        <w:rPr>
          <w:rFonts w:ascii="宋体" w:hAnsi="宋体"/>
          <w:b/>
          <w:sz w:val="28"/>
        </w:rPr>
      </w:pPr>
    </w:p>
    <w:p>
      <w:pPr>
        <w:pStyle w:val="2"/>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104" w:name="_Toc30723_WPSOffice_Level1"/>
      <w:bookmarkStart w:id="105" w:name="_Toc31708_WPSOffice_Level1"/>
      <w:r>
        <w:rPr>
          <w:rFonts w:hint="eastAsia" w:ascii="宋体" w:hAnsi="宋体"/>
          <w:b/>
          <w:kern w:val="0"/>
          <w:sz w:val="32"/>
          <w:szCs w:val="32"/>
          <w:lang w:val="zh-CN"/>
        </w:rPr>
        <w:t>投标声明书</w:t>
      </w:r>
      <w:bookmarkEnd w:id="104"/>
      <w:bookmarkEnd w:id="105"/>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20"/>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20"/>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20"/>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20"/>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20"/>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20"/>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1"/>
        <w:ind w:left="0" w:leftChars="0" w:firstLine="0" w:firstLineChars="0"/>
        <w:rPr>
          <w:rFonts w:hint="eastAsia"/>
          <w:lang w:val="en-US" w:eastAsia="zh-CN"/>
        </w:rPr>
      </w:pPr>
    </w:p>
    <w:p>
      <w:pPr>
        <w:pStyle w:val="21"/>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106" w:name="_Toc24373_WPSOffice_Level1"/>
      <w:bookmarkStart w:id="107" w:name="_Toc6870_WPSOffice_Level1"/>
      <w:r>
        <w:rPr>
          <w:b/>
          <w:sz w:val="32"/>
          <w:szCs w:val="32"/>
        </w:rPr>
        <w:t>授权</w:t>
      </w:r>
      <w:r>
        <w:rPr>
          <w:rFonts w:hint="eastAsia"/>
          <w:b/>
          <w:sz w:val="32"/>
          <w:szCs w:val="32"/>
        </w:rPr>
        <w:t>委托</w:t>
      </w:r>
      <w:r>
        <w:rPr>
          <w:b/>
          <w:sz w:val="32"/>
          <w:szCs w:val="32"/>
        </w:rPr>
        <w:t>书</w:t>
      </w:r>
      <w:bookmarkEnd w:id="106"/>
      <w:bookmarkEnd w:id="107"/>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21"/>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21"/>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21"/>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21"/>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21"/>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21"/>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pPr>
        <w:numPr>
          <w:ilvl w:val="0"/>
          <w:numId w:val="21"/>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21"/>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2"/>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ascii="宋体" w:hAnsi="宋体"/>
          <w:b/>
          <w:sz w:val="28"/>
        </w:rPr>
      </w:pPr>
    </w:p>
    <w:p>
      <w:pPr>
        <w:jc w:val="center"/>
        <w:rPr>
          <w:rFonts w:hint="eastAsia"/>
          <w:sz w:val="52"/>
          <w:szCs w:val="52"/>
        </w:rPr>
      </w:pPr>
      <w:bookmarkStart w:id="108" w:name="_Toc26389_WPSOffice_Level1"/>
      <w:bookmarkStart w:id="109" w:name="_Toc12331_WPSOffice_Level1"/>
      <w:bookmarkStart w:id="110" w:name="_Toc16825_WPSOffice_Level1"/>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项目名称</w:t>
      </w:r>
      <w:bookmarkEnd w:id="108"/>
      <w:bookmarkEnd w:id="109"/>
      <w:bookmarkEnd w:id="110"/>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jc w:val="both"/>
        <w:rPr>
          <w:b/>
          <w:bCs/>
          <w:sz w:val="32"/>
          <w:szCs w:val="32"/>
          <w:lang w:val="zh-CN"/>
        </w:rPr>
      </w:pPr>
      <w:bookmarkStart w:id="111" w:name="_Toc5889_WPSOffice_Level1"/>
      <w:bookmarkStart w:id="112"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111"/>
      <w:bookmarkEnd w:id="112"/>
    </w:p>
    <w:p>
      <w:pPr>
        <w:spacing w:line="360" w:lineRule="auto"/>
        <w:rPr>
          <w:sz w:val="24"/>
          <w:szCs w:val="24"/>
        </w:rPr>
      </w:pPr>
    </w:p>
    <w:p>
      <w:pPr>
        <w:spacing w:line="360" w:lineRule="auto"/>
        <w:ind w:firstLine="562" w:firstLineChars="200"/>
        <w:rPr>
          <w:b/>
          <w:bCs/>
          <w:sz w:val="28"/>
          <w:szCs w:val="28"/>
        </w:rPr>
      </w:pPr>
      <w:bookmarkStart w:id="113" w:name="_Toc20529_WPSOffice_Level1"/>
      <w:bookmarkStart w:id="114" w:name="_Toc21250_WPSOffice_Level1"/>
      <w:r>
        <w:rPr>
          <w:rFonts w:hint="eastAsia"/>
          <w:b/>
          <w:bCs/>
          <w:sz w:val="28"/>
          <w:szCs w:val="28"/>
        </w:rPr>
        <w:t>第一部分  技术方案描述部分</w:t>
      </w:r>
      <w:bookmarkEnd w:id="113"/>
      <w:bookmarkEnd w:id="114"/>
    </w:p>
    <w:p>
      <w:pPr>
        <w:numPr>
          <w:ilvl w:val="0"/>
          <w:numId w:val="22"/>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4</w:t>
      </w:r>
      <w:r>
        <w:rPr>
          <w:rFonts w:hint="eastAsia"/>
          <w:sz w:val="28"/>
          <w:szCs w:val="28"/>
        </w:rPr>
        <w:t>）</w:t>
      </w:r>
    </w:p>
    <w:p>
      <w:pPr>
        <w:numPr>
          <w:ilvl w:val="0"/>
          <w:numId w:val="22"/>
        </w:numPr>
        <w:spacing w:line="360" w:lineRule="auto"/>
        <w:ind w:left="5" w:firstLine="415"/>
        <w:rPr>
          <w:sz w:val="28"/>
          <w:szCs w:val="28"/>
        </w:rPr>
      </w:pPr>
      <w:r>
        <w:rPr>
          <w:rFonts w:hint="eastAsia"/>
          <w:sz w:val="28"/>
          <w:szCs w:val="28"/>
        </w:rPr>
        <w:t>项目需求的理解与分析</w:t>
      </w:r>
    </w:p>
    <w:p>
      <w:pPr>
        <w:numPr>
          <w:ilvl w:val="0"/>
          <w:numId w:val="22"/>
        </w:numPr>
        <w:spacing w:line="360" w:lineRule="auto"/>
        <w:ind w:left="5" w:firstLine="415"/>
        <w:rPr>
          <w:sz w:val="28"/>
          <w:szCs w:val="28"/>
        </w:rPr>
      </w:pPr>
      <w:r>
        <w:rPr>
          <w:rFonts w:hint="eastAsia"/>
          <w:sz w:val="28"/>
          <w:szCs w:val="28"/>
        </w:rPr>
        <w:t>总体设计（技术、服务）方案</w:t>
      </w:r>
    </w:p>
    <w:p>
      <w:pPr>
        <w:numPr>
          <w:ilvl w:val="0"/>
          <w:numId w:val="22"/>
        </w:numPr>
        <w:spacing w:line="360" w:lineRule="auto"/>
        <w:ind w:left="5" w:firstLine="415"/>
        <w:rPr>
          <w:sz w:val="28"/>
          <w:szCs w:val="28"/>
        </w:rPr>
      </w:pPr>
      <w:r>
        <w:rPr>
          <w:rFonts w:hint="eastAsia"/>
          <w:sz w:val="28"/>
          <w:szCs w:val="28"/>
        </w:rPr>
        <w:t>功能设计方案</w:t>
      </w:r>
    </w:p>
    <w:p>
      <w:pPr>
        <w:numPr>
          <w:ilvl w:val="0"/>
          <w:numId w:val="22"/>
        </w:numPr>
        <w:spacing w:line="360" w:lineRule="auto"/>
        <w:ind w:left="5" w:firstLine="415"/>
        <w:rPr>
          <w:sz w:val="28"/>
          <w:szCs w:val="28"/>
        </w:rPr>
      </w:pPr>
      <w:r>
        <w:rPr>
          <w:rFonts w:hint="eastAsia"/>
          <w:sz w:val="28"/>
          <w:szCs w:val="28"/>
        </w:rPr>
        <w:t>质量保证方案</w:t>
      </w:r>
    </w:p>
    <w:p>
      <w:pPr>
        <w:numPr>
          <w:ilvl w:val="0"/>
          <w:numId w:val="22"/>
        </w:numPr>
        <w:spacing w:line="360" w:lineRule="auto"/>
        <w:ind w:left="5" w:firstLine="415"/>
        <w:rPr>
          <w:rFonts w:hint="default" w:eastAsia="宋体"/>
          <w:lang w:val="en-US" w:eastAsia="zh-CN"/>
        </w:rPr>
      </w:pPr>
      <w:r>
        <w:rPr>
          <w:rFonts w:hint="eastAsia"/>
          <w:sz w:val="28"/>
          <w:szCs w:val="28"/>
        </w:rPr>
        <w:t>项目实施方案</w:t>
      </w:r>
    </w:p>
    <w:p>
      <w:pPr>
        <w:numPr>
          <w:ilvl w:val="0"/>
          <w:numId w:val="22"/>
        </w:numPr>
        <w:spacing w:line="360" w:lineRule="auto"/>
        <w:ind w:left="5" w:firstLine="415"/>
        <w:rPr>
          <w:rFonts w:hint="default" w:eastAsia="宋体"/>
          <w:lang w:val="en-US" w:eastAsia="zh-CN"/>
        </w:rPr>
      </w:pPr>
      <w:r>
        <w:rPr>
          <w:rFonts w:hint="eastAsia"/>
          <w:sz w:val="28"/>
          <w:szCs w:val="28"/>
          <w:lang w:val="en-US" w:eastAsia="zh-CN"/>
        </w:rPr>
        <w:t>项目分包方案</w:t>
      </w:r>
    </w:p>
    <w:p>
      <w:pPr>
        <w:numPr>
          <w:ilvl w:val="0"/>
          <w:numId w:val="22"/>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5</w:t>
      </w:r>
      <w:r>
        <w:rPr>
          <w:rFonts w:hint="eastAsia"/>
          <w:sz w:val="28"/>
          <w:szCs w:val="28"/>
        </w:rPr>
        <w:t>）</w:t>
      </w:r>
    </w:p>
    <w:p>
      <w:pPr>
        <w:numPr>
          <w:ilvl w:val="0"/>
          <w:numId w:val="22"/>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6</w:t>
      </w:r>
      <w:r>
        <w:rPr>
          <w:rFonts w:hint="eastAsia"/>
          <w:sz w:val="28"/>
          <w:szCs w:val="28"/>
        </w:rPr>
        <w:t>）</w:t>
      </w:r>
    </w:p>
    <w:p>
      <w:pPr>
        <w:numPr>
          <w:ilvl w:val="0"/>
          <w:numId w:val="22"/>
        </w:numPr>
        <w:spacing w:line="360" w:lineRule="auto"/>
        <w:ind w:left="5" w:firstLine="415"/>
        <w:rPr>
          <w:sz w:val="28"/>
          <w:szCs w:val="28"/>
        </w:rPr>
      </w:pPr>
      <w:r>
        <w:rPr>
          <w:rFonts w:hint="eastAsia"/>
          <w:sz w:val="28"/>
          <w:szCs w:val="28"/>
        </w:rPr>
        <w:t>工程量/原材料、人工费清单（均不含报价）</w:t>
      </w:r>
    </w:p>
    <w:p>
      <w:pPr>
        <w:numPr>
          <w:ilvl w:val="0"/>
          <w:numId w:val="22"/>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7</w:t>
      </w:r>
      <w:r>
        <w:rPr>
          <w:rFonts w:hint="eastAsia"/>
          <w:sz w:val="28"/>
          <w:szCs w:val="28"/>
        </w:rPr>
        <w:t>）</w:t>
      </w:r>
    </w:p>
    <w:p>
      <w:pPr>
        <w:numPr>
          <w:ilvl w:val="0"/>
          <w:numId w:val="22"/>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22"/>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8</w:t>
      </w:r>
      <w:r>
        <w:rPr>
          <w:rFonts w:hint="eastAsia"/>
          <w:sz w:val="28"/>
          <w:szCs w:val="28"/>
        </w:rPr>
        <w:t>）</w:t>
      </w:r>
    </w:p>
    <w:p>
      <w:pPr>
        <w:numPr>
          <w:ilvl w:val="0"/>
          <w:numId w:val="22"/>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115" w:name="_Toc20986_WPSOffice_Level1"/>
      <w:bookmarkStart w:id="116" w:name="_Toc30029_WPSOffice_Level1"/>
      <w:r>
        <w:rPr>
          <w:rFonts w:hint="eastAsia"/>
          <w:b/>
          <w:bCs/>
          <w:sz w:val="28"/>
          <w:szCs w:val="28"/>
        </w:rPr>
        <w:t xml:space="preserve">第二部分  </w:t>
      </w:r>
      <w:bookmarkEnd w:id="115"/>
      <w:bookmarkEnd w:id="116"/>
      <w:r>
        <w:rPr>
          <w:rFonts w:hint="eastAsia"/>
          <w:b/>
          <w:bCs/>
          <w:sz w:val="28"/>
          <w:szCs w:val="28"/>
        </w:rPr>
        <w:t>商务响应及其他部分</w:t>
      </w:r>
    </w:p>
    <w:p>
      <w:pPr>
        <w:numPr>
          <w:ilvl w:val="0"/>
          <w:numId w:val="23"/>
        </w:numPr>
        <w:spacing w:line="360" w:lineRule="auto"/>
        <w:ind w:hanging="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23"/>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pStyle w:val="2"/>
        <w:numPr>
          <w:ilvl w:val="0"/>
          <w:numId w:val="23"/>
        </w:numPr>
        <w:spacing w:line="360" w:lineRule="auto"/>
        <w:ind w:hanging="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pPr>
        <w:pStyle w:val="2"/>
        <w:spacing w:line="360" w:lineRule="auto"/>
        <w:ind w:firstLine="480" w:firstLineChars="200"/>
        <w:rPr>
          <w:sz w:val="24"/>
          <w:szCs w:val="24"/>
        </w:rPr>
      </w:pPr>
    </w:p>
    <w:p>
      <w:pPr>
        <w:pStyle w:val="2"/>
        <w:ind w:left="0" w:leftChars="0" w:firstLine="0" w:firstLineChars="0"/>
        <w:rPr>
          <w:sz w:val="28"/>
          <w:szCs w:val="28"/>
        </w:rPr>
      </w:pPr>
    </w:p>
    <w:p>
      <w:pPr>
        <w:pStyle w:val="32"/>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4</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117" w:name="_Toc13307_WPSOffice_Level1"/>
      <w:bookmarkStart w:id="118" w:name="_Toc14261_WPSOffice_Level1"/>
      <w:r>
        <w:rPr>
          <w:rFonts w:hint="eastAsia"/>
          <w:b/>
          <w:color w:val="auto"/>
          <w:sz w:val="32"/>
          <w:szCs w:val="32"/>
        </w:rPr>
        <w:t>投标</w:t>
      </w:r>
      <w:r>
        <w:rPr>
          <w:rFonts w:hint="eastAsia"/>
          <w:b/>
          <w:bCs/>
          <w:color w:val="auto"/>
          <w:sz w:val="32"/>
          <w:szCs w:val="32"/>
        </w:rPr>
        <w:t>人基本情况表</w:t>
      </w:r>
      <w:bookmarkEnd w:id="117"/>
      <w:bookmarkEnd w:id="118"/>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1</w:t>
            </w:r>
            <w:r>
              <w:rPr>
                <w:rFonts w:hint="eastAsia"/>
                <w:bCs/>
              </w:rPr>
              <w:t>.</w:t>
            </w:r>
          </w:p>
          <w:p>
            <w:pPr>
              <w:pStyle w:val="32"/>
              <w:shd w:val="clear" w:color="auto" w:fill="FFFFFF"/>
              <w:spacing w:before="0" w:beforeAutospacing="0" w:after="0" w:afterAutospacing="0"/>
              <w:jc w:val="center"/>
              <w:rPr>
                <w:bCs/>
              </w:rPr>
            </w:pPr>
            <w:r>
              <w:rPr>
                <w:rFonts w:hint="eastAsia"/>
                <w:bCs/>
              </w:rPr>
              <w:t>企</w:t>
            </w:r>
          </w:p>
          <w:p>
            <w:pPr>
              <w:pStyle w:val="32"/>
              <w:shd w:val="clear" w:color="auto" w:fill="FFFFFF"/>
              <w:spacing w:before="0" w:beforeAutospacing="0" w:after="0" w:afterAutospacing="0"/>
              <w:jc w:val="center"/>
              <w:rPr>
                <w:bCs/>
              </w:rPr>
            </w:pPr>
            <w:r>
              <w:rPr>
                <w:rFonts w:hint="eastAsia"/>
                <w:bCs/>
              </w:rPr>
              <w:t>业</w:t>
            </w:r>
          </w:p>
          <w:p>
            <w:pPr>
              <w:pStyle w:val="32"/>
              <w:shd w:val="clear" w:color="auto" w:fill="FFFFFF"/>
              <w:spacing w:before="0" w:beforeAutospacing="0" w:after="0" w:afterAutospacing="0"/>
              <w:jc w:val="center"/>
              <w:rPr>
                <w:bCs/>
              </w:rPr>
            </w:pPr>
            <w:r>
              <w:rPr>
                <w:rFonts w:hint="eastAsia"/>
                <w:bCs/>
              </w:rPr>
              <w:t>概</w:t>
            </w:r>
          </w:p>
          <w:p>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平方米</w:t>
            </w:r>
          </w:p>
          <w:p>
            <w:pPr>
              <w:pStyle w:val="32"/>
              <w:shd w:val="clear" w:color="auto" w:fill="FFFFFF"/>
              <w:spacing w:before="0" w:beforeAutospacing="0" w:after="0" w:afterAutospacing="0"/>
              <w:jc w:val="center"/>
              <w:rPr>
                <w:bCs/>
              </w:rPr>
            </w:pPr>
            <w:r>
              <w:rPr>
                <w:rFonts w:hint="eastAsia"/>
                <w:bCs/>
              </w:rPr>
              <w:t>□自有</w:t>
            </w:r>
          </w:p>
          <w:p>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2</w:t>
            </w:r>
            <w:r>
              <w:rPr>
                <w:rFonts w:hint="eastAsia"/>
                <w:bCs/>
              </w:rPr>
              <w:t>．</w:t>
            </w:r>
          </w:p>
          <w:p>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pPr>
              <w:pStyle w:val="32"/>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bl>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ind w:left="0" w:leftChars="0" w:firstLine="0" w:firstLineChars="0"/>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pPr>
        <w:spacing w:line="360" w:lineRule="auto"/>
        <w:jc w:val="center"/>
        <w:rPr>
          <w:rFonts w:ascii="宋体" w:hAnsi="宋体"/>
          <w:sz w:val="24"/>
        </w:rPr>
      </w:pPr>
      <w:bookmarkStart w:id="119" w:name="_Toc26601_WPSOffice_Level1"/>
      <w:bookmarkStart w:id="120"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119"/>
      <w:bookmarkEnd w:id="120"/>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4"/>
        <w:tabs>
          <w:tab w:val="left" w:pos="360"/>
        </w:tabs>
        <w:spacing w:line="360" w:lineRule="auto"/>
        <w:ind w:right="84" w:rightChars="40"/>
        <w:rPr>
          <w:rFonts w:ascii="宋体"/>
          <w:b/>
          <w:szCs w:val="21"/>
        </w:rPr>
      </w:pPr>
      <w:r>
        <w:rPr>
          <w:rFonts w:hint="eastAsia" w:ascii="宋体"/>
          <w:b/>
          <w:szCs w:val="21"/>
        </w:rPr>
        <w:t>要求：</w:t>
      </w:r>
    </w:p>
    <w:p>
      <w:pPr>
        <w:pStyle w:val="3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4"/>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121" w:name="_Toc23671_WPSOffice_Level1"/>
      <w:bookmarkStart w:id="122" w:name="_Toc20569_WPSOffice_Level1"/>
      <w:r>
        <w:rPr>
          <w:rFonts w:hint="eastAsia" w:ascii="宋体" w:hAnsi="宋体"/>
          <w:b/>
          <w:sz w:val="32"/>
          <w:szCs w:val="32"/>
        </w:rPr>
        <w:t>项目实施人员一览表</w:t>
      </w:r>
      <w:bookmarkEnd w:id="121"/>
      <w:bookmarkEnd w:id="122"/>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1"/>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123" w:name="_Toc23055_WPSOffice_Level1"/>
      <w:bookmarkStart w:id="124" w:name="_Toc12710_WPSOffice_Level1"/>
      <w:r>
        <w:rPr>
          <w:rFonts w:hint="eastAsia" w:ascii="宋体" w:hAnsi="宋体"/>
          <w:b/>
          <w:bCs/>
          <w:sz w:val="32"/>
          <w:szCs w:val="32"/>
        </w:rPr>
        <w:t>项目负责人资格情况表</w:t>
      </w:r>
      <w:bookmarkEnd w:id="123"/>
      <w:bookmarkEnd w:id="124"/>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5"/>
        <w:spacing w:line="360" w:lineRule="auto"/>
        <w:jc w:val="left"/>
        <w:rPr>
          <w:rFonts w:hint="eastAsia"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6"/>
        <w:spacing w:line="360" w:lineRule="auto"/>
        <w:jc w:val="center"/>
        <w:rPr>
          <w:rFonts w:ascii="宋体" w:hAnsi="宋体" w:cs="Arial"/>
          <w:sz w:val="28"/>
          <w:szCs w:val="28"/>
        </w:rPr>
      </w:pPr>
      <w:bookmarkStart w:id="125" w:name="_Toc17604_WPSOffice_Level1"/>
      <w:bookmarkStart w:id="126" w:name="_Toc11030_WPSOffice_Level1"/>
      <w:r>
        <w:rPr>
          <w:rFonts w:hint="eastAsia" w:ascii="宋体" w:hAnsi="宋体"/>
          <w:b/>
          <w:sz w:val="32"/>
          <w:szCs w:val="32"/>
        </w:rPr>
        <w:t>证书一览表</w:t>
      </w:r>
      <w:bookmarkEnd w:id="125"/>
      <w:bookmarkEnd w:id="126"/>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rPr>
          <w:rFonts w:ascii="宋体" w:hAnsi="宋体"/>
          <w:b/>
          <w:sz w:val="28"/>
        </w:rPr>
      </w:pPr>
    </w:p>
    <w:p>
      <w:pPr>
        <w:pStyle w:val="21"/>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jc w:val="center"/>
        <w:rPr>
          <w:rFonts w:hint="eastAsia" w:ascii="宋体" w:hAnsi="宋体"/>
          <w:b/>
          <w:bCs/>
          <w:kern w:val="0"/>
          <w:sz w:val="32"/>
          <w:szCs w:val="32"/>
        </w:rPr>
      </w:pPr>
      <w:bookmarkStart w:id="127" w:name="_Toc7134_WPSOffice_Level1"/>
      <w:bookmarkStart w:id="128" w:name="_Toc19231_WPSOffice_Level1"/>
      <w:r>
        <w:rPr>
          <w:rFonts w:hint="eastAsia" w:ascii="宋体" w:hAnsi="宋体"/>
          <w:b/>
          <w:bCs/>
          <w:kern w:val="0"/>
          <w:sz w:val="32"/>
          <w:szCs w:val="32"/>
        </w:rPr>
        <w:t>投标人类似项目实施情况一览表</w:t>
      </w:r>
      <w:bookmarkEnd w:id="127"/>
      <w:bookmarkEnd w:id="128"/>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6"/>
        <w:tabs>
          <w:tab w:val="left" w:pos="1050"/>
        </w:tabs>
        <w:spacing w:line="360" w:lineRule="auto"/>
        <w:rPr>
          <w:rFonts w:ascii="宋体" w:hAnsi="宋体"/>
          <w:b/>
          <w:sz w:val="28"/>
        </w:rPr>
      </w:pPr>
    </w:p>
    <w:p>
      <w:pPr>
        <w:pStyle w:val="36"/>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pPr>
        <w:spacing w:line="360" w:lineRule="auto"/>
        <w:ind w:left="549" w:hanging="549" w:hangingChars="171"/>
        <w:jc w:val="center"/>
        <w:rPr>
          <w:rFonts w:ascii="宋体" w:hAnsi="宋体"/>
          <w:b/>
          <w:sz w:val="18"/>
          <w:szCs w:val="18"/>
        </w:rPr>
      </w:pPr>
      <w:bookmarkStart w:id="129" w:name="_Toc21582_WPSOffice_Level1"/>
      <w:bookmarkStart w:id="130" w:name="_Toc3068_WPSOffice_Level1"/>
      <w:r>
        <w:rPr>
          <w:rFonts w:hint="eastAsia" w:ascii="宋体" w:hAnsi="宋体"/>
          <w:b/>
          <w:sz w:val="32"/>
          <w:szCs w:val="32"/>
        </w:rPr>
        <w:t>商务需求响应表(第 标)</w:t>
      </w:r>
      <w:bookmarkEnd w:id="129"/>
      <w:bookmarkEnd w:id="130"/>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sz w:val="52"/>
          <w:szCs w:val="52"/>
        </w:rPr>
      </w:pPr>
      <w:bookmarkStart w:id="131" w:name="_Toc21322_WPSOffice_Level1"/>
      <w:bookmarkStart w:id="132" w:name="_Toc30468_WPSOffice_Level1"/>
      <w:bookmarkStart w:id="133" w:name="_Toc4615_WPSOffice_Level1"/>
    </w:p>
    <w:p>
      <w:pPr>
        <w:pStyle w:val="21"/>
        <w:rPr>
          <w:rFonts w:hint="eastAsia"/>
        </w:rPr>
      </w:pPr>
    </w:p>
    <w:p>
      <w:pPr>
        <w:pStyle w:val="21"/>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131"/>
      <w:bookmarkEnd w:id="132"/>
      <w:bookmarkEnd w:id="13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134" w:name="_Toc8885_WPSOffice_Level1"/>
      <w:bookmarkStart w:id="135" w:name="_Toc9453_WPSOffice_Level1"/>
      <w:r>
        <w:rPr>
          <w:rFonts w:hint="eastAsia"/>
          <w:sz w:val="84"/>
          <w:szCs w:val="84"/>
        </w:rPr>
        <w:t>报</w:t>
      </w:r>
      <w:bookmarkEnd w:id="134"/>
      <w:bookmarkEnd w:id="135"/>
    </w:p>
    <w:p>
      <w:pPr>
        <w:jc w:val="center"/>
        <w:rPr>
          <w:sz w:val="84"/>
          <w:szCs w:val="84"/>
        </w:rPr>
      </w:pPr>
      <w:bookmarkStart w:id="136" w:name="_Toc7485_WPSOffice_Level1"/>
      <w:bookmarkStart w:id="137" w:name="_Toc10910_WPSOffice_Level1"/>
      <w:r>
        <w:rPr>
          <w:rFonts w:hint="eastAsia"/>
          <w:sz w:val="84"/>
          <w:szCs w:val="84"/>
        </w:rPr>
        <w:t>价</w:t>
      </w:r>
      <w:bookmarkEnd w:id="136"/>
      <w:bookmarkEnd w:id="137"/>
    </w:p>
    <w:p>
      <w:pPr>
        <w:jc w:val="center"/>
        <w:rPr>
          <w:sz w:val="84"/>
          <w:szCs w:val="84"/>
        </w:rPr>
      </w:pPr>
      <w:bookmarkStart w:id="138" w:name="_Toc14572_WPSOffice_Level1"/>
      <w:bookmarkStart w:id="139" w:name="_Toc3932_WPSOffice_Level1"/>
      <w:r>
        <w:rPr>
          <w:rFonts w:hint="eastAsia"/>
          <w:sz w:val="84"/>
          <w:szCs w:val="84"/>
        </w:rPr>
        <w:t>文</w:t>
      </w:r>
      <w:bookmarkEnd w:id="138"/>
      <w:bookmarkEnd w:id="139"/>
    </w:p>
    <w:p>
      <w:pPr>
        <w:jc w:val="center"/>
        <w:rPr>
          <w:sz w:val="84"/>
          <w:szCs w:val="84"/>
        </w:rPr>
      </w:pPr>
      <w:bookmarkStart w:id="140" w:name="_Toc16973_WPSOffice_Level1"/>
      <w:bookmarkStart w:id="141" w:name="_Toc7562_WPSOffice_Level1"/>
      <w:r>
        <w:rPr>
          <w:rFonts w:hint="eastAsia"/>
          <w:sz w:val="84"/>
          <w:szCs w:val="84"/>
        </w:rPr>
        <w:t>件</w:t>
      </w:r>
      <w:bookmarkEnd w:id="140"/>
      <w:bookmarkEnd w:id="141"/>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42" w:name="_Toc4603_WPSOffice_Level1"/>
      <w:bookmarkStart w:id="143" w:name="_Toc26700_WPSOffice_Level1"/>
      <w:r>
        <w:rPr>
          <w:rFonts w:hint="eastAsia" w:ascii="宋体" w:hAnsi="宋体"/>
          <w:sz w:val="36"/>
          <w:szCs w:val="36"/>
        </w:rPr>
        <w:t>投标人全称（公章）：</w:t>
      </w:r>
      <w:bookmarkEnd w:id="142"/>
      <w:bookmarkEnd w:id="143"/>
    </w:p>
    <w:p>
      <w:pPr>
        <w:spacing w:line="360" w:lineRule="auto"/>
        <w:ind w:right="-108" w:firstLine="720" w:firstLineChars="200"/>
        <w:rPr>
          <w:rFonts w:ascii="宋体" w:hAnsi="宋体"/>
          <w:sz w:val="36"/>
          <w:szCs w:val="36"/>
        </w:rPr>
      </w:pPr>
      <w:bookmarkStart w:id="144" w:name="_Toc32593_WPSOffice_Level1"/>
      <w:bookmarkStart w:id="145" w:name="_Toc1391_WPSOffice_Level1"/>
      <w:r>
        <w:rPr>
          <w:rFonts w:hint="eastAsia" w:ascii="宋体" w:hAnsi="宋体"/>
          <w:sz w:val="36"/>
          <w:szCs w:val="36"/>
        </w:rPr>
        <w:t>地    址：</w:t>
      </w:r>
      <w:bookmarkEnd w:id="144"/>
      <w:bookmarkEnd w:id="145"/>
    </w:p>
    <w:p>
      <w:pPr>
        <w:spacing w:line="360" w:lineRule="auto"/>
        <w:ind w:right="-108" w:firstLine="720" w:firstLineChars="200"/>
        <w:rPr>
          <w:rFonts w:ascii="宋体" w:hAnsi="宋体"/>
          <w:sz w:val="36"/>
          <w:szCs w:val="36"/>
        </w:rPr>
      </w:pPr>
      <w:bookmarkStart w:id="146" w:name="_Toc20938_WPSOffice_Level1"/>
      <w:bookmarkStart w:id="147" w:name="_Toc3791_WPSOffice_Level1"/>
      <w:r>
        <w:rPr>
          <w:rFonts w:hint="eastAsia" w:ascii="宋体" w:hAnsi="宋体"/>
          <w:sz w:val="36"/>
          <w:szCs w:val="36"/>
        </w:rPr>
        <w:t>时    间：</w:t>
      </w:r>
      <w:bookmarkEnd w:id="146"/>
      <w:bookmarkEnd w:id="147"/>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21"/>
      </w:pPr>
    </w:p>
    <w:p>
      <w:pPr>
        <w:pStyle w:val="21"/>
      </w:pPr>
    </w:p>
    <w:p>
      <w:pPr>
        <w:pStyle w:val="21"/>
      </w:pPr>
    </w:p>
    <w:p>
      <w:pPr>
        <w:pStyle w:val="21"/>
      </w:pPr>
    </w:p>
    <w:p>
      <w:pPr>
        <w:pStyle w:val="2"/>
        <w:rPr>
          <w:rFonts w:ascii="仿宋_GB2312" w:hAnsi="宋体" w:eastAsia="仿宋_GB2312"/>
          <w:b/>
          <w:sz w:val="36"/>
          <w:szCs w:val="36"/>
        </w:rPr>
      </w:pPr>
    </w:p>
    <w:p>
      <w:pPr>
        <w:spacing w:line="480" w:lineRule="auto"/>
        <w:jc w:val="center"/>
        <w:rPr>
          <w:rFonts w:hint="eastAsia" w:ascii="宋体" w:hAnsi="宋体"/>
          <w:b/>
          <w:bCs/>
          <w:sz w:val="36"/>
          <w:szCs w:val="36"/>
        </w:rPr>
      </w:pPr>
      <w:bookmarkStart w:id="148" w:name="_Toc29537_WPSOffice_Level1"/>
      <w:bookmarkStart w:id="149" w:name="_Toc19972_WPSOffice_Level1"/>
      <w:r>
        <w:rPr>
          <w:rFonts w:hint="eastAsia" w:ascii="宋体" w:hAnsi="宋体"/>
          <w:b/>
          <w:bCs/>
          <w:sz w:val="36"/>
          <w:szCs w:val="36"/>
        </w:rPr>
        <w:t>报价文件目录</w:t>
      </w:r>
      <w:bookmarkEnd w:id="148"/>
      <w:bookmarkEnd w:id="149"/>
    </w:p>
    <w:p>
      <w:pPr>
        <w:pStyle w:val="21"/>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150" w:name="_Toc6778_WPSOffice_Level1"/>
      <w:bookmarkStart w:id="151"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150"/>
      <w:bookmarkEnd w:id="151"/>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152" w:name="_Toc11601_WPSOffice_Level1"/>
      <w:bookmarkStart w:id="153"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152"/>
      <w:bookmarkEnd w:id="153"/>
    </w:p>
    <w:p>
      <w:pPr>
        <w:pStyle w:val="13"/>
        <w:spacing w:line="360" w:lineRule="auto"/>
        <w:jc w:val="both"/>
        <w:outlineLvl w:val="1"/>
        <w:rPr>
          <w:rFonts w:hint="eastAsia" w:asciiTheme="minorEastAsia" w:hAnsiTheme="minorEastAsia" w:eastAsiaTheme="minorEastAsia" w:cstheme="minorEastAsia"/>
          <w:sz w:val="28"/>
          <w:szCs w:val="28"/>
        </w:rPr>
      </w:pPr>
      <w:bookmarkStart w:id="154" w:name="_Toc17543_WPSOffice_Level1"/>
      <w:bookmarkStart w:id="155" w:name="_Toc45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bookmarkEnd w:id="154"/>
      <w:bookmarkEnd w:id="155"/>
    </w:p>
    <w:p>
      <w:pPr>
        <w:spacing w:line="360" w:lineRule="auto"/>
        <w:jc w:val="both"/>
        <w:rPr>
          <w:rFonts w:hint="eastAsia" w:asciiTheme="minorEastAsia" w:hAnsiTheme="minorEastAsia" w:eastAsiaTheme="minorEastAsia" w:cstheme="minorEastAsia"/>
          <w:sz w:val="28"/>
          <w:szCs w:val="28"/>
        </w:rPr>
      </w:pPr>
      <w:bookmarkStart w:id="156" w:name="_Toc14672_WPSOffice_Level1"/>
      <w:bookmarkStart w:id="157" w:name="_Toc3001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156"/>
      <w:bookmarkEnd w:id="157"/>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ascii="宋体" w:hAnsi="宋体"/>
          <w:b/>
          <w:sz w:val="32"/>
          <w:szCs w:val="32"/>
        </w:rPr>
      </w:pPr>
      <w:bookmarkStart w:id="158" w:name="_Toc30363_WPSOffice_Level1"/>
      <w:bookmarkStart w:id="159" w:name="_Toc16144_WPSOffice_Level1"/>
      <w:r>
        <w:rPr>
          <w:rFonts w:hint="eastAsia" w:ascii="宋体" w:hAnsi="宋体"/>
          <w:b/>
          <w:sz w:val="32"/>
          <w:szCs w:val="32"/>
        </w:rPr>
        <w:t xml:space="preserve">开标一览表 </w:t>
      </w:r>
      <w:bookmarkEnd w:id="158"/>
      <w:bookmarkEnd w:id="159"/>
    </w:p>
    <w:p>
      <w:pPr>
        <w:spacing w:line="360" w:lineRule="auto"/>
        <w:ind w:left="-2" w:hanging="2"/>
        <w:jc w:val="center"/>
        <w:rPr>
          <w:rFonts w:ascii="宋体" w:hAnsi="宋体"/>
          <w:b/>
          <w:sz w:val="32"/>
          <w:szCs w:val="32"/>
        </w:rPr>
      </w:pPr>
    </w:p>
    <w:p>
      <w:pPr>
        <w:pStyle w:val="13"/>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bl>
    <w:p>
      <w:pPr>
        <w:spacing w:line="360" w:lineRule="auto"/>
        <w:ind w:firstLine="422" w:firstLineChars="20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1"/>
        <w:ind w:left="0" w:leftChars="0" w:firstLine="0" w:firstLineChars="0"/>
        <w:rPr>
          <w:rFonts w:hint="eastAsia" w:ascii="宋体" w:hAnsi="宋体"/>
          <w:sz w:val="24"/>
        </w:rPr>
      </w:pPr>
    </w:p>
    <w:p>
      <w:pPr>
        <w:pStyle w:val="21"/>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1"/>
        <w:ind w:left="0" w:leftChars="0" w:firstLine="0" w:firstLineChars="0"/>
        <w:rPr>
          <w:rFonts w:hint="eastAsia"/>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13</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3"/>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816"/>
        <w:gridCol w:w="3327"/>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659"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序号</w:t>
            </w:r>
          </w:p>
        </w:tc>
        <w:tc>
          <w:tcPr>
            <w:tcW w:w="3816"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报价名称（成本组成内容）</w:t>
            </w:r>
          </w:p>
        </w:tc>
        <w:tc>
          <w:tcPr>
            <w:tcW w:w="3327"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小计</w:t>
            </w:r>
          </w:p>
        </w:tc>
        <w:tc>
          <w:tcPr>
            <w:tcW w:w="1315"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9" w:type="dxa"/>
            <w:tcMar>
              <w:top w:w="57" w:type="dxa"/>
              <w:left w:w="108" w:type="dxa"/>
              <w:bottom w:w="0" w:type="dxa"/>
              <w:right w:w="108" w:type="dxa"/>
            </w:tcMar>
            <w:vAlign w:val="center"/>
          </w:tcPr>
          <w:p>
            <w:pPr>
              <w:pStyle w:val="5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816"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安全数据运营系统</w:t>
            </w:r>
          </w:p>
        </w:tc>
        <w:tc>
          <w:tcPr>
            <w:tcW w:w="3327"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c>
          <w:tcPr>
            <w:tcW w:w="1315"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9" w:type="dxa"/>
            <w:tcMar>
              <w:top w:w="57" w:type="dxa"/>
              <w:left w:w="108" w:type="dxa"/>
              <w:bottom w:w="0" w:type="dxa"/>
              <w:right w:w="108" w:type="dxa"/>
            </w:tcMar>
            <w:vAlign w:val="center"/>
          </w:tcPr>
          <w:p>
            <w:pPr>
              <w:pStyle w:val="5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816"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安全数据共享系统</w:t>
            </w:r>
          </w:p>
        </w:tc>
        <w:tc>
          <w:tcPr>
            <w:tcW w:w="3327"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c>
          <w:tcPr>
            <w:tcW w:w="1315"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9"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3816"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网络安全综合分析服务</w:t>
            </w:r>
          </w:p>
        </w:tc>
        <w:tc>
          <w:tcPr>
            <w:tcW w:w="3327"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c>
          <w:tcPr>
            <w:tcW w:w="1315"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9"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3816"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网络安全数据规范治理</w:t>
            </w:r>
          </w:p>
        </w:tc>
        <w:tc>
          <w:tcPr>
            <w:tcW w:w="3327"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c>
          <w:tcPr>
            <w:tcW w:w="1315"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9"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816"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对接服务</w:t>
            </w:r>
          </w:p>
        </w:tc>
        <w:tc>
          <w:tcPr>
            <w:tcW w:w="3327"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c>
          <w:tcPr>
            <w:tcW w:w="1315"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9"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816" w:type="dxa"/>
            <w:tcMar>
              <w:top w:w="57" w:type="dxa"/>
              <w:left w:w="108" w:type="dxa"/>
              <w:bottom w:w="0" w:type="dxa"/>
              <w:right w:w="108" w:type="dxa"/>
            </w:tcMar>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等保测评</w:t>
            </w:r>
          </w:p>
        </w:tc>
        <w:tc>
          <w:tcPr>
            <w:tcW w:w="3327"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c>
          <w:tcPr>
            <w:tcW w:w="1315"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9"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816" w:type="dxa"/>
            <w:tcMar>
              <w:top w:w="57" w:type="dxa"/>
              <w:left w:w="108" w:type="dxa"/>
              <w:bottom w:w="0" w:type="dxa"/>
              <w:right w:w="108" w:type="dxa"/>
            </w:tcMar>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密评</w:t>
            </w:r>
          </w:p>
        </w:tc>
        <w:tc>
          <w:tcPr>
            <w:tcW w:w="3327"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c>
          <w:tcPr>
            <w:tcW w:w="1315"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9"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816" w:type="dxa"/>
            <w:tcMar>
              <w:top w:w="57" w:type="dxa"/>
              <w:left w:w="108" w:type="dxa"/>
              <w:bottom w:w="0" w:type="dxa"/>
              <w:right w:w="108" w:type="dxa"/>
            </w:tcMar>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运维驻场</w:t>
            </w:r>
          </w:p>
        </w:tc>
        <w:tc>
          <w:tcPr>
            <w:tcW w:w="3327"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c>
          <w:tcPr>
            <w:tcW w:w="1315"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9"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3816" w:type="dxa"/>
            <w:tcMar>
              <w:top w:w="57" w:type="dxa"/>
              <w:left w:w="108" w:type="dxa"/>
              <w:bottom w:w="0"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3327"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c>
          <w:tcPr>
            <w:tcW w:w="1315" w:type="dxa"/>
            <w:tcMar>
              <w:top w:w="57" w:type="dxa"/>
              <w:left w:w="108" w:type="dxa"/>
              <w:bottom w:w="0" w:type="dxa"/>
              <w:right w:w="108" w:type="dxa"/>
            </w:tcMar>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9117" w:type="dxa"/>
            <w:gridSpan w:val="4"/>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rPr>
          <w:rFonts w:ascii="宋体" w:hAnsi="宋体" w:cs="宋体"/>
          <w:kern w:val="0"/>
          <w:sz w:val="24"/>
        </w:rPr>
      </w:pPr>
    </w:p>
    <w:p>
      <w:pPr>
        <w:spacing w:line="360" w:lineRule="auto"/>
        <w:ind w:left="420"/>
        <w:rPr>
          <w:rFonts w:ascii="宋体" w:hAnsi="宋体"/>
          <w:sz w:val="24"/>
        </w:rPr>
      </w:pPr>
      <w:r>
        <w:rPr>
          <w:rFonts w:hint="eastAsia" w:ascii="宋体" w:hAnsi="宋体"/>
          <w:sz w:val="24"/>
        </w:rPr>
        <w:t>投标人名称（公章）：</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napToGrid w:val="0"/>
        <w:spacing w:beforeLines="50" w:after="50" w:line="360" w:lineRule="auto"/>
        <w:rPr>
          <w:rFonts w:hint="eastAsia" w:ascii="宋体" w:hAnsi="宋体"/>
          <w:b/>
          <w:sz w:val="28"/>
        </w:rPr>
      </w:pP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4</w:t>
      </w:r>
    </w:p>
    <w:p>
      <w:pPr>
        <w:pStyle w:val="42"/>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24"/>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2"/>
        <w:spacing w:line="360" w:lineRule="auto"/>
        <w:ind w:firstLine="480" w:firstLineChars="200"/>
        <w:rPr>
          <w:rFonts w:ascii="宋体" w:hAnsi="宋体" w:cs="Arial"/>
          <w:bCs/>
          <w:sz w:val="24"/>
        </w:rPr>
      </w:pPr>
    </w:p>
    <w:p>
      <w:pPr>
        <w:pStyle w:val="42"/>
        <w:spacing w:line="360" w:lineRule="auto"/>
        <w:rPr>
          <w:rFonts w:ascii="宋体" w:hAnsi="宋体"/>
          <w:sz w:val="24"/>
        </w:rPr>
      </w:pPr>
    </w:p>
    <w:p>
      <w:pPr>
        <w:pStyle w:val="42"/>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2"/>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6" w:type="first"/>
          <w:footerReference r:id="rId8" w:type="first"/>
          <w:headerReference r:id="rId5" w:type="default"/>
          <w:footerReference r:id="rId7"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3"/>
        <w:spacing w:line="360" w:lineRule="auto"/>
        <w:jc w:val="center"/>
        <w:outlineLvl w:val="1"/>
        <w:rPr>
          <w:rFonts w:hAnsi="宋体" w:cs="宋体"/>
          <w:b/>
          <w:sz w:val="32"/>
          <w:szCs w:val="32"/>
          <w:lang w:val="en-GB"/>
        </w:rPr>
      </w:pPr>
      <w:bookmarkStart w:id="160" w:name="_Toc17646_WPSOffice_Level1"/>
      <w:bookmarkStart w:id="161" w:name="_Toc27483_WPSOffice_Level1"/>
      <w:r>
        <w:rPr>
          <w:rFonts w:hint="eastAsia" w:hAnsi="宋体" w:cs="宋体"/>
          <w:b/>
          <w:sz w:val="32"/>
          <w:szCs w:val="32"/>
          <w:lang w:val="en-GB"/>
        </w:rPr>
        <w:t>残疾人福利性单位声明函</w:t>
      </w:r>
      <w:bookmarkEnd w:id="160"/>
      <w:bookmarkEnd w:id="161"/>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eastAsia="zh-CN"/>
        </w:rPr>
        <w:t>台州市</w:t>
      </w:r>
      <w:r>
        <w:rPr>
          <w:rFonts w:hint="eastAsia" w:ascii="宋体" w:hAnsi="宋体" w:cs="宋体"/>
          <w:sz w:val="24"/>
          <w:u w:val="single"/>
        </w:rPr>
        <w:t xml:space="preserve">政府采购中心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1"/>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s>
      <w:spacing w:after="120"/>
      <w:ind w:left="480"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6"/>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pF+MKAgAAAQQAAA4AAABkcnMvZTJvRG9jLnhtbK1TS27bMBDdF+gd&#10;CO5r2andBI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ZcGnnFlhqOGHnz8O978P&#10;v76zabSndT6nrFtHeaF7Cx0NTZLq3Q3Ir55ZuK6F3agrRGhrJUqiN4kvs0dPexwfQdbtByipjtgG&#10;SEBdhSZ6R24wQqfW7E+tUV1gkg5n5+cXM84k3UxeT6bT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PqRfjCgIAAAEEAAAOAAAAAAAAAAEAIAAAAB8BAABk&#10;cnMvZTJvRG9jLnhtbFBLBQYAAAAABgAGAFkBAACb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6"/>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30kI8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Fu1pnc8p69ZRXujeQkdDk6R6dwPyq2cWrmthN+oKEdpaiZLoTeLL7NHTHsdHkHX7AUqqI7YB&#10;ElBXoYnekRuM0Kk1+1NrVBeYpMPZ+fnFjDNJN5PXk7OzRC0T+fDWoQ/vFBgWg4IjNT5hi92ND5GL&#10;yIeUWMrCSjdNan5j/zqgxHiSuEe6PfHQrbujF2so96QCoZ8l+kkU1IDfOGtpjgpu6dtw1ry35EMc&#10;uSHAIVgPgbCSHhY8cNaH16Efza1DvakJd3D6irxa6SQkmtpzOLKkyUj6jlMcR+/xPmU9/Nz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N9JCPCgIAAAEEAAAOAAAAAAAAAAEAIAAAAB8BAABk&#10;cnMvZTJvRG9jLnhtbFBLBQYAAAAABgAGAFkBAACb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C4B4F6E7"/>
    <w:multiLevelType w:val="singleLevel"/>
    <w:tmpl w:val="C4B4F6E7"/>
    <w:lvl w:ilvl="0" w:tentative="0">
      <w:start w:val="1"/>
      <w:numFmt w:val="bullet"/>
      <w:lvlText w:val=""/>
      <w:lvlJc w:val="left"/>
      <w:pPr>
        <w:ind w:left="420" w:hanging="420"/>
      </w:pPr>
      <w:rPr>
        <w:rFonts w:hint="default" w:ascii="Wingdings" w:hAnsi="Wingdings"/>
      </w:rPr>
    </w:lvl>
  </w:abstractNum>
  <w:abstractNum w:abstractNumId="3">
    <w:nsid w:val="C4FA0FF4"/>
    <w:multiLevelType w:val="singleLevel"/>
    <w:tmpl w:val="C4FA0FF4"/>
    <w:lvl w:ilvl="0" w:tentative="0">
      <w:start w:val="1"/>
      <w:numFmt w:val="bullet"/>
      <w:lvlText w:val=""/>
      <w:lvlJc w:val="left"/>
      <w:pPr>
        <w:ind w:left="420" w:hanging="420"/>
      </w:pPr>
      <w:rPr>
        <w:rFonts w:hint="default" w:ascii="Wingdings" w:hAnsi="Wingdings"/>
      </w:rPr>
    </w:lvl>
  </w:abstractNum>
  <w:abstractNum w:abstractNumId="4">
    <w:nsid w:val="C8F99F11"/>
    <w:multiLevelType w:val="singleLevel"/>
    <w:tmpl w:val="C8F99F11"/>
    <w:lvl w:ilvl="0" w:tentative="0">
      <w:start w:val="1"/>
      <w:numFmt w:val="decimal"/>
      <w:lvlText w:val="%1."/>
      <w:lvlJc w:val="left"/>
      <w:pPr>
        <w:ind w:left="425" w:hanging="425"/>
      </w:pPr>
      <w:rPr>
        <w:rFonts w:hint="default"/>
      </w:rPr>
    </w:lvl>
  </w:abstractNum>
  <w:abstractNum w:abstractNumId="5">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6">
    <w:nsid w:val="F931D4A4"/>
    <w:multiLevelType w:val="singleLevel"/>
    <w:tmpl w:val="F931D4A4"/>
    <w:lvl w:ilvl="0" w:tentative="0">
      <w:start w:val="1"/>
      <w:numFmt w:val="decimal"/>
      <w:lvlText w:val="%1."/>
      <w:lvlJc w:val="left"/>
      <w:pPr>
        <w:tabs>
          <w:tab w:val="left" w:pos="312"/>
        </w:tabs>
      </w:pPr>
    </w:lvl>
  </w:abstractNum>
  <w:abstractNum w:abstractNumId="7">
    <w:nsid w:val="FFE261BA"/>
    <w:multiLevelType w:val="singleLevel"/>
    <w:tmpl w:val="FFE261BA"/>
    <w:lvl w:ilvl="0" w:tentative="0">
      <w:start w:val="1"/>
      <w:numFmt w:val="bullet"/>
      <w:lvlText w:val=""/>
      <w:lvlJc w:val="left"/>
      <w:pPr>
        <w:ind w:left="420" w:hanging="420"/>
      </w:pPr>
      <w:rPr>
        <w:rFonts w:hint="default" w:ascii="Wingdings" w:hAnsi="Wingdings"/>
      </w:rPr>
    </w:lvl>
  </w:abstractNum>
  <w:abstractNum w:abstractNumId="8">
    <w:nsid w:val="028B6910"/>
    <w:multiLevelType w:val="singleLevel"/>
    <w:tmpl w:val="028B6910"/>
    <w:lvl w:ilvl="0" w:tentative="0">
      <w:start w:val="1"/>
      <w:numFmt w:val="bullet"/>
      <w:lvlText w:val=""/>
      <w:lvlJc w:val="left"/>
      <w:pPr>
        <w:ind w:left="420" w:hanging="420"/>
      </w:pPr>
      <w:rPr>
        <w:rFonts w:hint="default" w:ascii="Wingdings" w:hAnsi="Wingdings"/>
      </w:rPr>
    </w:lvl>
  </w:abstractNum>
  <w:abstractNum w:abstractNumId="9">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0">
    <w:nsid w:val="0E6F692C"/>
    <w:multiLevelType w:val="multilevel"/>
    <w:tmpl w:val="0E6F692C"/>
    <w:lvl w:ilvl="0" w:tentative="0">
      <w:start w:val="1"/>
      <w:numFmt w:val="bullet"/>
      <w:lvlText w:val=""/>
      <w:lvlJc w:val="left"/>
      <w:pPr>
        <w:ind w:left="900" w:hanging="480"/>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11">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12">
    <w:nsid w:val="112441B5"/>
    <w:multiLevelType w:val="singleLevel"/>
    <w:tmpl w:val="112441B5"/>
    <w:lvl w:ilvl="0" w:tentative="0">
      <w:start w:val="1"/>
      <w:numFmt w:val="decimalEnclosedCircleChinese"/>
      <w:suff w:val="nothing"/>
      <w:lvlText w:val="%1　"/>
      <w:lvlJc w:val="left"/>
      <w:pPr>
        <w:ind w:left="0" w:firstLine="400"/>
      </w:pPr>
      <w:rPr>
        <w:rFonts w:hint="eastAsia"/>
      </w:rPr>
    </w:lvl>
  </w:abstractNum>
  <w:abstractNum w:abstractNumId="13">
    <w:nsid w:val="461E5E94"/>
    <w:multiLevelType w:val="singleLevel"/>
    <w:tmpl w:val="461E5E94"/>
    <w:lvl w:ilvl="0" w:tentative="0">
      <w:start w:val="2"/>
      <w:numFmt w:val="chineseCounting"/>
      <w:suff w:val="space"/>
      <w:lvlText w:val="第%1章"/>
      <w:lvlJc w:val="left"/>
      <w:rPr>
        <w:rFonts w:hint="eastAsia"/>
      </w:rPr>
    </w:lvl>
  </w:abstractNum>
  <w:abstractNum w:abstractNumId="14">
    <w:nsid w:val="4A433F4E"/>
    <w:multiLevelType w:val="multilevel"/>
    <w:tmpl w:val="4A433F4E"/>
    <w:lvl w:ilvl="0" w:tentative="0">
      <w:start w:val="1"/>
      <w:numFmt w:val="bullet"/>
      <w:lvlText w:val=""/>
      <w:lvlJc w:val="left"/>
      <w:pPr>
        <w:ind w:left="900" w:hanging="480"/>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15">
    <w:nsid w:val="4BD86652"/>
    <w:multiLevelType w:val="multilevel"/>
    <w:tmpl w:val="4BD86652"/>
    <w:lvl w:ilvl="0" w:tentative="0">
      <w:start w:val="1"/>
      <w:numFmt w:val="bullet"/>
      <w:lvlText w:val=""/>
      <w:lvlJc w:val="left"/>
      <w:pPr>
        <w:ind w:left="900" w:hanging="480"/>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16">
    <w:nsid w:val="53F985B4"/>
    <w:multiLevelType w:val="singleLevel"/>
    <w:tmpl w:val="53F985B4"/>
    <w:lvl w:ilvl="0" w:tentative="0">
      <w:start w:val="1"/>
      <w:numFmt w:val="decimal"/>
      <w:lvlText w:val="%1."/>
      <w:lvlJc w:val="left"/>
      <w:pPr>
        <w:tabs>
          <w:tab w:val="left" w:pos="312"/>
        </w:tabs>
      </w:pPr>
    </w:lvl>
  </w:abstractNum>
  <w:abstractNum w:abstractNumId="17">
    <w:nsid w:val="5BE338C7"/>
    <w:multiLevelType w:val="singleLevel"/>
    <w:tmpl w:val="5BE338C7"/>
    <w:lvl w:ilvl="0" w:tentative="0">
      <w:start w:val="1"/>
      <w:numFmt w:val="decimal"/>
      <w:lvlText w:val="%1."/>
      <w:lvlJc w:val="left"/>
      <w:pPr>
        <w:ind w:left="425" w:hanging="425"/>
      </w:pPr>
      <w:rPr>
        <w:rFonts w:hint="default"/>
      </w:rPr>
    </w:lvl>
  </w:abstractNum>
  <w:abstractNum w:abstractNumId="18">
    <w:nsid w:val="5C50CAAA"/>
    <w:multiLevelType w:val="singleLevel"/>
    <w:tmpl w:val="5C50CAAA"/>
    <w:lvl w:ilvl="0" w:tentative="0">
      <w:start w:val="10"/>
      <w:numFmt w:val="decimal"/>
      <w:lvlText w:val="%1."/>
      <w:lvlJc w:val="left"/>
      <w:pPr>
        <w:tabs>
          <w:tab w:val="left" w:pos="312"/>
        </w:tabs>
      </w:pPr>
    </w:lvl>
  </w:abstractNum>
  <w:abstractNum w:abstractNumId="19">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0">
    <w:nsid w:val="66DDD653"/>
    <w:multiLevelType w:val="singleLevel"/>
    <w:tmpl w:val="66DDD653"/>
    <w:lvl w:ilvl="0" w:tentative="0">
      <w:start w:val="1"/>
      <w:numFmt w:val="chineseCounting"/>
      <w:suff w:val="space"/>
      <w:lvlText w:val="第%1章"/>
      <w:lvlJc w:val="left"/>
      <w:rPr>
        <w:rFonts w:hint="eastAsia"/>
      </w:rPr>
    </w:lvl>
  </w:abstractNum>
  <w:abstractNum w:abstractNumId="21">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22">
    <w:nsid w:val="6CA3735F"/>
    <w:multiLevelType w:val="multilevel"/>
    <w:tmpl w:val="6CA3735F"/>
    <w:lvl w:ilvl="0" w:tentative="0">
      <w:start w:val="1"/>
      <w:numFmt w:val="bullet"/>
      <w:pStyle w:val="57"/>
      <w:lvlText w:val=""/>
      <w:lvlJc w:val="left"/>
      <w:pPr>
        <w:ind w:left="1002" w:hanging="420"/>
      </w:pPr>
      <w:rPr>
        <w:rFonts w:hint="default" w:ascii="Wingdings" w:hAnsi="Wingdings"/>
      </w:rPr>
    </w:lvl>
    <w:lvl w:ilvl="1" w:tentative="0">
      <w:start w:val="1"/>
      <w:numFmt w:val="bullet"/>
      <w:lvlText w:val=""/>
      <w:lvlJc w:val="left"/>
      <w:pPr>
        <w:ind w:left="1422" w:hanging="420"/>
      </w:pPr>
      <w:rPr>
        <w:rFonts w:hint="default" w:ascii="Wingdings" w:hAnsi="Wingdings"/>
      </w:rPr>
    </w:lvl>
    <w:lvl w:ilvl="2" w:tentative="0">
      <w:start w:val="1"/>
      <w:numFmt w:val="bullet"/>
      <w:lvlText w:val=""/>
      <w:lvlJc w:val="left"/>
      <w:pPr>
        <w:ind w:left="1842" w:hanging="420"/>
      </w:pPr>
      <w:rPr>
        <w:rFonts w:hint="default" w:ascii="Wingdings" w:hAnsi="Wingdings"/>
      </w:rPr>
    </w:lvl>
    <w:lvl w:ilvl="3" w:tentative="0">
      <w:start w:val="1"/>
      <w:numFmt w:val="bullet"/>
      <w:lvlText w:val=""/>
      <w:lvlJc w:val="left"/>
      <w:pPr>
        <w:ind w:left="2262" w:hanging="420"/>
      </w:pPr>
      <w:rPr>
        <w:rFonts w:hint="default" w:ascii="Wingdings" w:hAnsi="Wingdings"/>
      </w:rPr>
    </w:lvl>
    <w:lvl w:ilvl="4" w:tentative="0">
      <w:start w:val="1"/>
      <w:numFmt w:val="bullet"/>
      <w:lvlText w:val=""/>
      <w:lvlJc w:val="left"/>
      <w:pPr>
        <w:ind w:left="2682" w:hanging="420"/>
      </w:pPr>
      <w:rPr>
        <w:rFonts w:hint="default" w:ascii="Wingdings" w:hAnsi="Wingdings"/>
      </w:rPr>
    </w:lvl>
    <w:lvl w:ilvl="5" w:tentative="0">
      <w:start w:val="1"/>
      <w:numFmt w:val="bullet"/>
      <w:lvlText w:val=""/>
      <w:lvlJc w:val="left"/>
      <w:pPr>
        <w:ind w:left="3102" w:hanging="420"/>
      </w:pPr>
      <w:rPr>
        <w:rFonts w:hint="default" w:ascii="Wingdings" w:hAnsi="Wingdings"/>
      </w:rPr>
    </w:lvl>
    <w:lvl w:ilvl="6" w:tentative="0">
      <w:start w:val="1"/>
      <w:numFmt w:val="bullet"/>
      <w:lvlText w:val=""/>
      <w:lvlJc w:val="left"/>
      <w:pPr>
        <w:ind w:left="3522" w:hanging="420"/>
      </w:pPr>
      <w:rPr>
        <w:rFonts w:hint="default" w:ascii="Wingdings" w:hAnsi="Wingdings"/>
      </w:rPr>
    </w:lvl>
    <w:lvl w:ilvl="7" w:tentative="0">
      <w:start w:val="1"/>
      <w:numFmt w:val="bullet"/>
      <w:lvlText w:val=""/>
      <w:lvlJc w:val="left"/>
      <w:pPr>
        <w:ind w:left="3942" w:hanging="420"/>
      </w:pPr>
      <w:rPr>
        <w:rFonts w:hint="default" w:ascii="Wingdings" w:hAnsi="Wingdings"/>
      </w:rPr>
    </w:lvl>
    <w:lvl w:ilvl="8" w:tentative="0">
      <w:start w:val="1"/>
      <w:numFmt w:val="bullet"/>
      <w:lvlText w:val=""/>
      <w:lvlJc w:val="left"/>
      <w:pPr>
        <w:ind w:left="4362" w:hanging="420"/>
      </w:pPr>
      <w:rPr>
        <w:rFonts w:hint="default" w:ascii="Wingdings" w:hAnsi="Wingdings"/>
      </w:rPr>
    </w:lvl>
  </w:abstractNum>
  <w:abstractNum w:abstractNumId="23">
    <w:nsid w:val="7488A27B"/>
    <w:multiLevelType w:val="singleLevel"/>
    <w:tmpl w:val="7488A27B"/>
    <w:lvl w:ilvl="0" w:tentative="0">
      <w:start w:val="1"/>
      <w:numFmt w:val="decimal"/>
      <w:lvlText w:val="%1."/>
      <w:lvlJc w:val="left"/>
      <w:pPr>
        <w:ind w:left="425" w:hanging="425"/>
      </w:pPr>
      <w:rPr>
        <w:rFonts w:hint="default" w:ascii="宋体" w:hAnsi="宋体" w:eastAsia="宋体" w:cs="宋体"/>
        <w:sz w:val="28"/>
        <w:szCs w:val="28"/>
      </w:rPr>
    </w:lvl>
  </w:abstractNum>
  <w:num w:numId="1">
    <w:abstractNumId w:val="19"/>
  </w:num>
  <w:num w:numId="2">
    <w:abstractNumId w:val="11"/>
  </w:num>
  <w:num w:numId="3">
    <w:abstractNumId w:val="22"/>
  </w:num>
  <w:num w:numId="4">
    <w:abstractNumId w:val="20"/>
  </w:num>
  <w:num w:numId="5">
    <w:abstractNumId w:val="13"/>
  </w:num>
  <w:num w:numId="6">
    <w:abstractNumId w:val="21"/>
  </w:num>
  <w:num w:numId="7">
    <w:abstractNumId w:val="6"/>
  </w:num>
  <w:num w:numId="8">
    <w:abstractNumId w:val="5"/>
  </w:num>
  <w:num w:numId="9">
    <w:abstractNumId w:val="9"/>
  </w:num>
  <w:num w:numId="10">
    <w:abstractNumId w:val="10"/>
  </w:num>
  <w:num w:numId="11">
    <w:abstractNumId w:val="15"/>
  </w:num>
  <w:num w:numId="12">
    <w:abstractNumId w:val="7"/>
  </w:num>
  <w:num w:numId="13">
    <w:abstractNumId w:val="14"/>
  </w:num>
  <w:num w:numId="14">
    <w:abstractNumId w:val="8"/>
  </w:num>
  <w:num w:numId="15">
    <w:abstractNumId w:val="3"/>
  </w:num>
  <w:num w:numId="16">
    <w:abstractNumId w:val="12"/>
  </w:num>
  <w:num w:numId="17">
    <w:abstractNumId w:val="2"/>
  </w:num>
  <w:num w:numId="18">
    <w:abstractNumId w:val="18"/>
  </w:num>
  <w:num w:numId="19">
    <w:abstractNumId w:val="0"/>
  </w:num>
  <w:num w:numId="20">
    <w:abstractNumId w:val="17"/>
  </w:num>
  <w:num w:numId="21">
    <w:abstractNumId w:val="1"/>
  </w:num>
  <w:num w:numId="22">
    <w:abstractNumId w:val="23"/>
  </w:num>
  <w:num w:numId="23">
    <w:abstractNumId w:val="4"/>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傑">
    <w15:presenceInfo w15:providerId="None" w15:userId="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jE0M2YwZDc0ZDdiMWQwZjcxMzI0NTQ1NTY2NmQifQ=="/>
    <w:docVar w:name="KSO_WPS_MARK_KEY" w:val="9d7a97d6-a5db-4587-9ab5-bb2249521f3a"/>
  </w:docVars>
  <w:rsids>
    <w:rsidRoot w:val="685F2B0C"/>
    <w:rsid w:val="00030D77"/>
    <w:rsid w:val="00071BA1"/>
    <w:rsid w:val="000A2B60"/>
    <w:rsid w:val="001146EF"/>
    <w:rsid w:val="00165EE9"/>
    <w:rsid w:val="00186236"/>
    <w:rsid w:val="00291503"/>
    <w:rsid w:val="00310860"/>
    <w:rsid w:val="00315916"/>
    <w:rsid w:val="0049548B"/>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FC1E7F"/>
    <w:rsid w:val="00FF7A94"/>
    <w:rsid w:val="010742D5"/>
    <w:rsid w:val="010F7B98"/>
    <w:rsid w:val="01270A4D"/>
    <w:rsid w:val="01851778"/>
    <w:rsid w:val="01853E11"/>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F72BF"/>
    <w:rsid w:val="058A4223"/>
    <w:rsid w:val="05903056"/>
    <w:rsid w:val="059E1050"/>
    <w:rsid w:val="05B01B1D"/>
    <w:rsid w:val="05E17C80"/>
    <w:rsid w:val="05E55725"/>
    <w:rsid w:val="05E5760D"/>
    <w:rsid w:val="06066F04"/>
    <w:rsid w:val="0639353C"/>
    <w:rsid w:val="06474E34"/>
    <w:rsid w:val="06484055"/>
    <w:rsid w:val="065949DD"/>
    <w:rsid w:val="06653EC4"/>
    <w:rsid w:val="0699402C"/>
    <w:rsid w:val="069C64C8"/>
    <w:rsid w:val="06A0112C"/>
    <w:rsid w:val="06A411DD"/>
    <w:rsid w:val="06A81BEC"/>
    <w:rsid w:val="06DC60DB"/>
    <w:rsid w:val="06F44F8B"/>
    <w:rsid w:val="06F84851"/>
    <w:rsid w:val="06FB0045"/>
    <w:rsid w:val="07406708"/>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D2959"/>
    <w:rsid w:val="0CEF3BF8"/>
    <w:rsid w:val="0D000761"/>
    <w:rsid w:val="0D3F7F2E"/>
    <w:rsid w:val="0D6344EC"/>
    <w:rsid w:val="0D705EC6"/>
    <w:rsid w:val="0D7446FA"/>
    <w:rsid w:val="0D8458C4"/>
    <w:rsid w:val="0D870C14"/>
    <w:rsid w:val="0DB14507"/>
    <w:rsid w:val="0DB757B9"/>
    <w:rsid w:val="0DE545F3"/>
    <w:rsid w:val="0DE7555E"/>
    <w:rsid w:val="0E0316BF"/>
    <w:rsid w:val="0E072513"/>
    <w:rsid w:val="0E5C239D"/>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F2EE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6C6F88"/>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9232C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2F24F09"/>
    <w:rsid w:val="23280561"/>
    <w:rsid w:val="2330019D"/>
    <w:rsid w:val="235E2799"/>
    <w:rsid w:val="23666663"/>
    <w:rsid w:val="23693289"/>
    <w:rsid w:val="23795972"/>
    <w:rsid w:val="239147E1"/>
    <w:rsid w:val="23BB34F7"/>
    <w:rsid w:val="23CB333E"/>
    <w:rsid w:val="23F2590A"/>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0616A1"/>
    <w:rsid w:val="277F68D2"/>
    <w:rsid w:val="27870FB2"/>
    <w:rsid w:val="278F0AAA"/>
    <w:rsid w:val="27B84345"/>
    <w:rsid w:val="27CB7A47"/>
    <w:rsid w:val="27CF31D6"/>
    <w:rsid w:val="27E53B63"/>
    <w:rsid w:val="27F52A10"/>
    <w:rsid w:val="280E4470"/>
    <w:rsid w:val="283E405F"/>
    <w:rsid w:val="28D9203E"/>
    <w:rsid w:val="293D309F"/>
    <w:rsid w:val="295E1181"/>
    <w:rsid w:val="298330BD"/>
    <w:rsid w:val="29B00B02"/>
    <w:rsid w:val="29B661A7"/>
    <w:rsid w:val="29DB1483"/>
    <w:rsid w:val="29DC3277"/>
    <w:rsid w:val="29FA460F"/>
    <w:rsid w:val="2A0817DD"/>
    <w:rsid w:val="2A0B6D48"/>
    <w:rsid w:val="2A397DF9"/>
    <w:rsid w:val="2A5A068E"/>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ED76F10"/>
    <w:rsid w:val="2F011E82"/>
    <w:rsid w:val="2F415E64"/>
    <w:rsid w:val="2F60404A"/>
    <w:rsid w:val="2F6858EF"/>
    <w:rsid w:val="2F7674B4"/>
    <w:rsid w:val="2FC51659"/>
    <w:rsid w:val="2FCB2DE8"/>
    <w:rsid w:val="2FCF57BA"/>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2B7FFB"/>
    <w:rsid w:val="32494369"/>
    <w:rsid w:val="324C0B81"/>
    <w:rsid w:val="32517D1E"/>
    <w:rsid w:val="329B0438"/>
    <w:rsid w:val="32B63AAA"/>
    <w:rsid w:val="33091096"/>
    <w:rsid w:val="331F1100"/>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737C8"/>
    <w:rsid w:val="39581B4E"/>
    <w:rsid w:val="395B6912"/>
    <w:rsid w:val="396271DB"/>
    <w:rsid w:val="39A56F77"/>
    <w:rsid w:val="39BC119D"/>
    <w:rsid w:val="39BE4A11"/>
    <w:rsid w:val="3A27520A"/>
    <w:rsid w:val="3A3F6C87"/>
    <w:rsid w:val="3A465FD4"/>
    <w:rsid w:val="3A4B4EF0"/>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75006C"/>
    <w:rsid w:val="3D880E45"/>
    <w:rsid w:val="3D9C69C1"/>
    <w:rsid w:val="3DA0424A"/>
    <w:rsid w:val="3DA419D7"/>
    <w:rsid w:val="3DDA6370"/>
    <w:rsid w:val="3DDD2C1B"/>
    <w:rsid w:val="3DFF5060"/>
    <w:rsid w:val="3E136870"/>
    <w:rsid w:val="3E367A41"/>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43078"/>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9F24F9"/>
    <w:rsid w:val="43AE218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11C9A"/>
    <w:rsid w:val="456A35B3"/>
    <w:rsid w:val="45A45439"/>
    <w:rsid w:val="45CA7348"/>
    <w:rsid w:val="45CB72CE"/>
    <w:rsid w:val="461F4864"/>
    <w:rsid w:val="462B6DAB"/>
    <w:rsid w:val="46977D08"/>
    <w:rsid w:val="469B5592"/>
    <w:rsid w:val="46A5400A"/>
    <w:rsid w:val="46C67C71"/>
    <w:rsid w:val="46DB6342"/>
    <w:rsid w:val="46E76BE4"/>
    <w:rsid w:val="46F207EA"/>
    <w:rsid w:val="46F40267"/>
    <w:rsid w:val="46F87058"/>
    <w:rsid w:val="47283388"/>
    <w:rsid w:val="4750618B"/>
    <w:rsid w:val="477A20CD"/>
    <w:rsid w:val="47C35102"/>
    <w:rsid w:val="47C90408"/>
    <w:rsid w:val="47CA3491"/>
    <w:rsid w:val="47CD2C5F"/>
    <w:rsid w:val="47DE0285"/>
    <w:rsid w:val="47EA0372"/>
    <w:rsid w:val="47F77566"/>
    <w:rsid w:val="48131737"/>
    <w:rsid w:val="481C1F20"/>
    <w:rsid w:val="482932B2"/>
    <w:rsid w:val="48353471"/>
    <w:rsid w:val="48452D6C"/>
    <w:rsid w:val="48490177"/>
    <w:rsid w:val="48734131"/>
    <w:rsid w:val="48801F0A"/>
    <w:rsid w:val="48877A3B"/>
    <w:rsid w:val="489C4879"/>
    <w:rsid w:val="489C7EA5"/>
    <w:rsid w:val="48B61A88"/>
    <w:rsid w:val="49276E58"/>
    <w:rsid w:val="494B4338"/>
    <w:rsid w:val="497C5511"/>
    <w:rsid w:val="49B65DC9"/>
    <w:rsid w:val="4A131AB1"/>
    <w:rsid w:val="4A34760C"/>
    <w:rsid w:val="4A457825"/>
    <w:rsid w:val="4A64259A"/>
    <w:rsid w:val="4AA4128B"/>
    <w:rsid w:val="4AAA7028"/>
    <w:rsid w:val="4AD50D4A"/>
    <w:rsid w:val="4ADC75C4"/>
    <w:rsid w:val="4B2977E3"/>
    <w:rsid w:val="4B3A3263"/>
    <w:rsid w:val="4B404F96"/>
    <w:rsid w:val="4B5F395F"/>
    <w:rsid w:val="4B6F13A9"/>
    <w:rsid w:val="4BB73A13"/>
    <w:rsid w:val="4BE22955"/>
    <w:rsid w:val="4C1415FC"/>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862FA"/>
    <w:rsid w:val="4DF85FC0"/>
    <w:rsid w:val="4E1074C8"/>
    <w:rsid w:val="4E2B1D2E"/>
    <w:rsid w:val="4E527CB0"/>
    <w:rsid w:val="4E6F1EF6"/>
    <w:rsid w:val="4E7B029B"/>
    <w:rsid w:val="4E9C2A45"/>
    <w:rsid w:val="4EB37374"/>
    <w:rsid w:val="4ECB07EA"/>
    <w:rsid w:val="4EDA18B9"/>
    <w:rsid w:val="4F216F20"/>
    <w:rsid w:val="4F573543"/>
    <w:rsid w:val="4F6D467A"/>
    <w:rsid w:val="4FED507D"/>
    <w:rsid w:val="4FFB62E9"/>
    <w:rsid w:val="501C4E89"/>
    <w:rsid w:val="502B325D"/>
    <w:rsid w:val="503F0BFC"/>
    <w:rsid w:val="505D795E"/>
    <w:rsid w:val="50630959"/>
    <w:rsid w:val="50DD3BA3"/>
    <w:rsid w:val="50E61CAB"/>
    <w:rsid w:val="50E8074E"/>
    <w:rsid w:val="5132754D"/>
    <w:rsid w:val="513564CC"/>
    <w:rsid w:val="514E3A09"/>
    <w:rsid w:val="517C3AF1"/>
    <w:rsid w:val="51915B3D"/>
    <w:rsid w:val="519F5121"/>
    <w:rsid w:val="51A0570A"/>
    <w:rsid w:val="51CA2B0A"/>
    <w:rsid w:val="5229273F"/>
    <w:rsid w:val="52547228"/>
    <w:rsid w:val="529432E6"/>
    <w:rsid w:val="52A8026E"/>
    <w:rsid w:val="52EC7710"/>
    <w:rsid w:val="532C197B"/>
    <w:rsid w:val="534C6115"/>
    <w:rsid w:val="53561F88"/>
    <w:rsid w:val="536B5C40"/>
    <w:rsid w:val="537E0A5E"/>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35DD3"/>
    <w:rsid w:val="553D5A1E"/>
    <w:rsid w:val="555B4C1C"/>
    <w:rsid w:val="55665E4B"/>
    <w:rsid w:val="557564F8"/>
    <w:rsid w:val="557C6AE7"/>
    <w:rsid w:val="55A0704C"/>
    <w:rsid w:val="55A923B9"/>
    <w:rsid w:val="55D37E92"/>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2157D7"/>
    <w:rsid w:val="58344161"/>
    <w:rsid w:val="585D0DF7"/>
    <w:rsid w:val="585D45E2"/>
    <w:rsid w:val="587316C8"/>
    <w:rsid w:val="58AD641D"/>
    <w:rsid w:val="58B420E4"/>
    <w:rsid w:val="58F92391"/>
    <w:rsid w:val="59135C67"/>
    <w:rsid w:val="593C1329"/>
    <w:rsid w:val="595A34E9"/>
    <w:rsid w:val="595B7937"/>
    <w:rsid w:val="597C7365"/>
    <w:rsid w:val="597F7369"/>
    <w:rsid w:val="59997155"/>
    <w:rsid w:val="59A2414B"/>
    <w:rsid w:val="59CC6BD4"/>
    <w:rsid w:val="59FE08FA"/>
    <w:rsid w:val="5A060D86"/>
    <w:rsid w:val="5A886394"/>
    <w:rsid w:val="5A9F6060"/>
    <w:rsid w:val="5ACF7403"/>
    <w:rsid w:val="5B46719F"/>
    <w:rsid w:val="5B737DCF"/>
    <w:rsid w:val="5B842E95"/>
    <w:rsid w:val="5BA42A14"/>
    <w:rsid w:val="5BB47CCC"/>
    <w:rsid w:val="5BD05B9D"/>
    <w:rsid w:val="5BD343E6"/>
    <w:rsid w:val="5BE00F61"/>
    <w:rsid w:val="5BFB5206"/>
    <w:rsid w:val="5C826D06"/>
    <w:rsid w:val="5CB65A64"/>
    <w:rsid w:val="5CD26BB3"/>
    <w:rsid w:val="5CEB063E"/>
    <w:rsid w:val="5D0B0214"/>
    <w:rsid w:val="5D1A0A42"/>
    <w:rsid w:val="5D4F1710"/>
    <w:rsid w:val="5D71045F"/>
    <w:rsid w:val="5D740167"/>
    <w:rsid w:val="5D7B7702"/>
    <w:rsid w:val="5DA55EAC"/>
    <w:rsid w:val="5DAC626B"/>
    <w:rsid w:val="5DC133FE"/>
    <w:rsid w:val="5E146811"/>
    <w:rsid w:val="5E3F1ED0"/>
    <w:rsid w:val="5E4A015A"/>
    <w:rsid w:val="5E4E1E2F"/>
    <w:rsid w:val="5E7E280E"/>
    <w:rsid w:val="5EA343F9"/>
    <w:rsid w:val="5EF37FFE"/>
    <w:rsid w:val="5F164D5E"/>
    <w:rsid w:val="5F2D2E3D"/>
    <w:rsid w:val="5F4203B1"/>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27638"/>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4D3C1B"/>
    <w:rsid w:val="668B029F"/>
    <w:rsid w:val="66921396"/>
    <w:rsid w:val="669A00A1"/>
    <w:rsid w:val="669A0A1D"/>
    <w:rsid w:val="66C77EC3"/>
    <w:rsid w:val="66CD32EE"/>
    <w:rsid w:val="66EF31C1"/>
    <w:rsid w:val="67286643"/>
    <w:rsid w:val="67340A1D"/>
    <w:rsid w:val="67415D12"/>
    <w:rsid w:val="675C3E88"/>
    <w:rsid w:val="67645CC5"/>
    <w:rsid w:val="67720C6A"/>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A0FB2"/>
    <w:rsid w:val="6A21429B"/>
    <w:rsid w:val="6A317FEC"/>
    <w:rsid w:val="6A395739"/>
    <w:rsid w:val="6A5D1615"/>
    <w:rsid w:val="6A667351"/>
    <w:rsid w:val="6A690452"/>
    <w:rsid w:val="6ABA4DEE"/>
    <w:rsid w:val="6AC86B5F"/>
    <w:rsid w:val="6AD5470C"/>
    <w:rsid w:val="6AF1512E"/>
    <w:rsid w:val="6B372870"/>
    <w:rsid w:val="6B4C78DC"/>
    <w:rsid w:val="6B6D4BD4"/>
    <w:rsid w:val="6B736C65"/>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1A3CC7"/>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616FE7"/>
    <w:rsid w:val="747D3462"/>
    <w:rsid w:val="74812030"/>
    <w:rsid w:val="74886161"/>
    <w:rsid w:val="74A039B1"/>
    <w:rsid w:val="74E66F49"/>
    <w:rsid w:val="74EB245C"/>
    <w:rsid w:val="753C15BB"/>
    <w:rsid w:val="75585493"/>
    <w:rsid w:val="755E6626"/>
    <w:rsid w:val="75697399"/>
    <w:rsid w:val="75841DF5"/>
    <w:rsid w:val="758C4CA2"/>
    <w:rsid w:val="75D40046"/>
    <w:rsid w:val="75D96E3B"/>
    <w:rsid w:val="76295398"/>
    <w:rsid w:val="762F29E5"/>
    <w:rsid w:val="764374F1"/>
    <w:rsid w:val="76944E76"/>
    <w:rsid w:val="769A26CA"/>
    <w:rsid w:val="76C34928"/>
    <w:rsid w:val="76D17FE1"/>
    <w:rsid w:val="76DF15B8"/>
    <w:rsid w:val="76FB601C"/>
    <w:rsid w:val="7708778F"/>
    <w:rsid w:val="770B7BD2"/>
    <w:rsid w:val="778364BE"/>
    <w:rsid w:val="7799548D"/>
    <w:rsid w:val="77ED1FBE"/>
    <w:rsid w:val="7872306D"/>
    <w:rsid w:val="787764A6"/>
    <w:rsid w:val="78867CFB"/>
    <w:rsid w:val="78AE1EE3"/>
    <w:rsid w:val="78D06FA5"/>
    <w:rsid w:val="78F044C0"/>
    <w:rsid w:val="793B1C09"/>
    <w:rsid w:val="793D3D59"/>
    <w:rsid w:val="795F47C4"/>
    <w:rsid w:val="795F4B87"/>
    <w:rsid w:val="7964594B"/>
    <w:rsid w:val="799447B2"/>
    <w:rsid w:val="79993DEC"/>
    <w:rsid w:val="79CD1CC3"/>
    <w:rsid w:val="79CF6CD8"/>
    <w:rsid w:val="79D33A4B"/>
    <w:rsid w:val="79E02F00"/>
    <w:rsid w:val="79EA1578"/>
    <w:rsid w:val="79F9227E"/>
    <w:rsid w:val="7A03141B"/>
    <w:rsid w:val="7A2F68CB"/>
    <w:rsid w:val="7A532F6D"/>
    <w:rsid w:val="7A855D33"/>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A21FB"/>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3"/>
    <w:next w:val="1"/>
    <w:qFormat/>
    <w:uiPriority w:val="0"/>
    <w:pPr>
      <w:tabs>
        <w:tab w:val="left" w:pos="8280"/>
      </w:tabs>
      <w:autoSpaceDE w:val="0"/>
      <w:autoSpaceDN w:val="0"/>
      <w:adjustRightInd w:val="0"/>
      <w:spacing w:line="360" w:lineRule="auto"/>
      <w:ind w:right="25"/>
      <w:outlineLvl w:val="1"/>
    </w:pPr>
    <w:rPr>
      <w:rFonts w:ascii="宋体" w:hAnsi="宋体"/>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5"/>
    <w:next w:val="7"/>
    <w:qFormat/>
    <w:uiPriority w:val="0"/>
    <w:pPr>
      <w:keepLines/>
      <w:tabs>
        <w:tab w:val="left" w:pos="432"/>
        <w:tab w:val="clear" w:pos="8280"/>
      </w:tabs>
      <w:spacing w:before="280" w:after="290" w:line="376" w:lineRule="auto"/>
      <w:outlineLvl w:val="3"/>
    </w:pPr>
    <w:rPr>
      <w:rFonts w:ascii="Arial" w:hAnsi="Arial" w:eastAsia="黑体"/>
      <w:kern w:val="0"/>
      <w:szCs w:val="28"/>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customStyle="1" w:styleId="7">
    <w:name w:val="my正文"/>
    <w:basedOn w:val="1"/>
    <w:qFormat/>
    <w:uiPriority w:val="0"/>
    <w:pPr>
      <w:widowControl/>
      <w:ind w:firstLine="480" w:firstLineChars="200"/>
    </w:pPr>
    <w:rPr>
      <w:rFonts w:eastAsia="仿宋_GB2312"/>
      <w:sz w:val="30"/>
      <w:lang w:val="zh-CN"/>
    </w:rPr>
  </w:style>
  <w:style w:type="paragraph" w:styleId="8">
    <w:name w:val="E-mail Signature"/>
    <w:basedOn w:val="1"/>
    <w:unhideWhenUsed/>
    <w:qFormat/>
    <w:uiPriority w:val="99"/>
  </w:style>
  <w:style w:type="paragraph" w:styleId="9">
    <w:name w:val="List Number"/>
    <w:basedOn w:val="1"/>
    <w:qFormat/>
    <w:uiPriority w:val="0"/>
    <w:pPr>
      <w:numPr>
        <w:ilvl w:val="0"/>
        <w:numId w:val="2"/>
      </w:numPr>
    </w:pPr>
  </w:style>
  <w:style w:type="paragraph" w:styleId="10">
    <w:name w:val="annotation text"/>
    <w:basedOn w:val="1"/>
    <w:qFormat/>
    <w:uiPriority w:val="0"/>
    <w:pPr>
      <w:jc w:val="left"/>
    </w:pPr>
  </w:style>
  <w:style w:type="paragraph" w:styleId="11">
    <w:name w:val="Body Text"/>
    <w:basedOn w:val="1"/>
    <w:next w:val="6"/>
    <w:qFormat/>
    <w:uiPriority w:val="0"/>
    <w:pPr>
      <w:spacing w:line="360" w:lineRule="exact"/>
    </w:pPr>
    <w:rPr>
      <w:sz w:val="24"/>
    </w:rPr>
  </w:style>
  <w:style w:type="paragraph" w:styleId="12">
    <w:name w:val="Body Text Indent"/>
    <w:basedOn w:val="1"/>
    <w:next w:val="1"/>
    <w:qFormat/>
    <w:uiPriority w:val="0"/>
    <w:pPr>
      <w:spacing w:after="120"/>
      <w:ind w:left="420" w:leftChars="200"/>
    </w:p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Normal (Web)"/>
    <w:basedOn w:val="1"/>
    <w:next w:val="8"/>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1"/>
    <w:next w:val="1"/>
    <w:qFormat/>
    <w:uiPriority w:val="0"/>
    <w:pPr>
      <w:ind w:firstLine="200" w:firstLineChars="200"/>
    </w:pPr>
  </w:style>
  <w:style w:type="paragraph" w:styleId="21">
    <w:name w:val="Body Text First Indent 2"/>
    <w:basedOn w:val="12"/>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0"/>
    <w:rPr>
      <w:color w:val="0000FF"/>
      <w:u w:val="single"/>
    </w:rPr>
  </w:style>
  <w:style w:type="character" w:styleId="26">
    <w:name w:val="annotation reference"/>
    <w:basedOn w:val="24"/>
    <w:qFormat/>
    <w:uiPriority w:val="0"/>
    <w:rPr>
      <w:sz w:val="21"/>
      <w:szCs w:val="21"/>
    </w:rPr>
  </w:style>
  <w:style w:type="paragraph" w:customStyle="1" w:styleId="27">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5"/>
    <w:qFormat/>
    <w:uiPriority w:val="0"/>
    <w:rPr>
      <w:kern w:val="2"/>
      <w:sz w:val="18"/>
      <w:szCs w:val="18"/>
    </w:rPr>
  </w:style>
  <w:style w:type="paragraph" w:customStyle="1" w:styleId="52">
    <w:name w:val="英文"/>
    <w:basedOn w:val="1"/>
    <w:link w:val="53"/>
    <w:qFormat/>
    <w:uiPriority w:val="0"/>
    <w:pPr>
      <w:adjustRightInd w:val="0"/>
      <w:snapToGrid w:val="0"/>
      <w:spacing w:line="360" w:lineRule="auto"/>
      <w:ind w:firstLine="480" w:firstLineChars="200"/>
    </w:pPr>
    <w:rPr>
      <w:rFonts w:ascii="Arial" w:hAnsi="Arial" w:cs="Arial"/>
      <w:sz w:val="24"/>
    </w:rPr>
  </w:style>
  <w:style w:type="character" w:customStyle="1" w:styleId="53">
    <w:name w:val="英文 Char"/>
    <w:link w:val="52"/>
    <w:qFormat/>
    <w:uiPriority w:val="0"/>
    <w:rPr>
      <w:rFonts w:ascii="Arial" w:hAnsi="Arial" w:cs="Arial"/>
      <w:sz w:val="24"/>
    </w:rPr>
  </w:style>
  <w:style w:type="paragraph" w:customStyle="1" w:styleId="5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5">
    <w:name w:val="MY正文"/>
    <w:basedOn w:val="1"/>
    <w:qFormat/>
    <w:uiPriority w:val="0"/>
    <w:pPr>
      <w:spacing w:line="360" w:lineRule="auto"/>
      <w:ind w:firstLine="560" w:firstLineChars="200"/>
    </w:pPr>
    <w:rPr>
      <w:rFonts w:ascii="等线" w:hAnsi="等线" w:eastAsia="仿宋_GB2312"/>
      <w:sz w:val="28"/>
      <w:szCs w:val="28"/>
    </w:rPr>
  </w:style>
  <w:style w:type="paragraph" w:customStyle="1" w:styleId="56">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57">
    <w:name w:val="表格一级（深信服）"/>
    <w:basedOn w:val="29"/>
    <w:qFormat/>
    <w:uiPriority w:val="0"/>
    <w:pPr>
      <w:numPr>
        <w:ilvl w:val="0"/>
        <w:numId w:val="3"/>
      </w:numPr>
      <w:spacing w:line="360" w:lineRule="auto"/>
      <w:ind w:right="100" w:rightChars="100" w:firstLine="0" w:firstLineChars="0"/>
      <w:jc w:val="left"/>
    </w:pPr>
    <w:rPr>
      <w:rFonts w:ascii="Arial" w:hAnsi="Arial" w:eastAsia="Songti SC"/>
      <w:szCs w:val="22"/>
    </w:rPr>
  </w:style>
  <w:style w:type="paragraph" w:customStyle="1" w:styleId="58">
    <w:name w:val="A 正文 文本"/>
    <w:basedOn w:val="1"/>
    <w:qFormat/>
    <w:uiPriority w:val="0"/>
    <w:pPr>
      <w:spacing w:line="360" w:lineRule="auto"/>
      <w:ind w:firstLine="480" w:firstLineChars="200"/>
      <w:jc w:val="left"/>
    </w:pPr>
    <w:rPr>
      <w:rFonts w:ascii="等线" w:hAnsi="等线" w:eastAsia="等线"/>
    </w:rPr>
  </w:style>
  <w:style w:type="paragraph" w:customStyle="1" w:styleId="59">
    <w:name w:val="*正文"/>
    <w:basedOn w:val="1"/>
    <w:qFormat/>
    <w:uiPriority w:val="0"/>
    <w:pPr>
      <w:spacing w:before="120" w:after="120" w:line="360" w:lineRule="auto"/>
      <w:ind w:firstLine="200" w:firstLineChars="200"/>
    </w:pPr>
    <w:rPr>
      <w:rFonts w:ascii="新宋体" w:hAnsi="新宋体" w:eastAsia="仿宋"/>
      <w:szCs w:val="28"/>
    </w:rPr>
  </w:style>
  <w:style w:type="character" w:customStyle="1" w:styleId="60">
    <w:name w:val="font71"/>
    <w:basedOn w:val="24"/>
    <w:qFormat/>
    <w:uiPriority w:val="0"/>
    <w:rPr>
      <w:rFonts w:hint="eastAsia" w:ascii="宋体" w:hAnsi="宋体" w:eastAsia="宋体" w:cs="宋体"/>
      <w:color w:val="000000"/>
      <w:sz w:val="21"/>
      <w:szCs w:val="21"/>
      <w:u w:val="none"/>
    </w:rPr>
  </w:style>
  <w:style w:type="character" w:customStyle="1" w:styleId="61">
    <w:name w:val="font111"/>
    <w:basedOn w:val="24"/>
    <w:qFormat/>
    <w:uiPriority w:val="0"/>
    <w:rPr>
      <w:rFonts w:ascii="微软雅黑" w:hAnsi="微软雅黑" w:eastAsia="微软雅黑" w:cs="微软雅黑"/>
      <w:color w:val="000000"/>
      <w:sz w:val="18"/>
      <w:szCs w:val="18"/>
      <w:u w:val="none"/>
    </w:rPr>
  </w:style>
  <w:style w:type="paragraph" w:customStyle="1" w:styleId="62">
    <w:name w:val="0表格样式"/>
    <w:qFormat/>
    <w:uiPriority w:val="0"/>
    <w:rPr>
      <w:rFonts w:ascii="Calibri" w:hAnsi="Calibri" w:eastAsia="仿宋" w:cs="仿宋_GB2312"/>
      <w:kern w:val="2"/>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59722</Words>
  <Characters>62237</Characters>
  <Lines>154</Lines>
  <Paragraphs>43</Paragraphs>
  <TotalTime>15</TotalTime>
  <ScaleCrop>false</ScaleCrop>
  <LinksUpToDate>false</LinksUpToDate>
  <CharactersWithSpaces>64045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2023-03-20T03:18:20Z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EA4A0E49513944B4AD60CAF286B291CA</vt:lpwstr>
  </property>
</Properties>
</file>