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hint="eastAsia"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0"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lang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r>
        <w:rPr>
          <w:rFonts w:hint="eastAsia" w:ascii="宋体"/>
          <w:b/>
          <w:kern w:val="0"/>
          <w:sz w:val="32"/>
        </w:rPr>
        <w:t>TZ</w:t>
      </w:r>
      <w:r>
        <w:rPr>
          <w:rFonts w:ascii="宋体"/>
          <w:b/>
          <w:kern w:val="0"/>
          <w:sz w:val="32"/>
        </w:rPr>
        <w:t>CG-</w:t>
      </w:r>
      <w:r>
        <w:rPr>
          <w:rFonts w:hint="eastAsia" w:ascii="宋体"/>
          <w:b/>
          <w:kern w:val="0"/>
          <w:sz w:val="32"/>
        </w:rPr>
        <w:t>202</w:t>
      </w:r>
      <w:r>
        <w:rPr>
          <w:rFonts w:hint="eastAsia" w:ascii="宋体"/>
          <w:b/>
          <w:kern w:val="0"/>
          <w:sz w:val="32"/>
          <w:lang w:val="en-US" w:eastAsia="zh-CN"/>
        </w:rPr>
        <w:t>2</w:t>
      </w:r>
      <w:r>
        <w:rPr>
          <w:rFonts w:ascii="宋体"/>
          <w:b/>
          <w:kern w:val="0"/>
          <w:sz w:val="32"/>
        </w:rPr>
        <w:t>-</w:t>
      </w:r>
      <w:r>
        <w:rPr>
          <w:rFonts w:hint="eastAsia" w:ascii="宋体"/>
          <w:b/>
          <w:kern w:val="0"/>
          <w:sz w:val="32"/>
        </w:rPr>
        <w:t>GK0</w:t>
      </w:r>
      <w:r>
        <w:rPr>
          <w:rFonts w:hint="eastAsia" w:ascii="宋体"/>
          <w:b/>
          <w:kern w:val="0"/>
          <w:sz w:val="32"/>
          <w:lang w:val="en-US" w:eastAsia="zh-CN"/>
        </w:rPr>
        <w:t>13</w:t>
      </w:r>
      <w:r>
        <w:rPr>
          <w:rFonts w:hint="eastAsia" w:ascii="宋体"/>
          <w:b/>
          <w:kern w:val="0"/>
          <w:sz w:val="32"/>
        </w:rPr>
        <w:t>号</w:t>
      </w: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ind w:left="0" w:leftChars="0" w:firstLine="0" w:firstLineChars="0"/>
        <w:jc w:val="center"/>
        <w:rPr>
          <w:rFonts w:ascii="宋体"/>
          <w:kern w:val="0"/>
          <w:sz w:val="28"/>
        </w:rPr>
      </w:pPr>
      <w:r>
        <w:rPr>
          <w:rFonts w:hint="eastAsia" w:ascii="宋体"/>
          <w:kern w:val="0"/>
          <w:sz w:val="28"/>
        </w:rPr>
        <w:t>采购项目：</w:t>
      </w:r>
      <w:r>
        <w:rPr>
          <w:rFonts w:hint="eastAsia" w:ascii="宋体" w:hAnsi="宋体" w:cs="宋体"/>
          <w:sz w:val="24"/>
        </w:rPr>
        <w:t>中队勤务室高清视频会议指挥调度系统建设</w:t>
      </w:r>
    </w:p>
    <w:p>
      <w:pPr>
        <w:autoSpaceDE w:val="0"/>
        <w:autoSpaceDN w:val="0"/>
        <w:adjustRightInd w:val="0"/>
        <w:spacing w:line="360" w:lineRule="auto"/>
        <w:ind w:left="0" w:leftChars="0" w:firstLine="0" w:firstLineChars="0"/>
        <w:jc w:val="center"/>
        <w:rPr>
          <w:rFonts w:ascii="宋体"/>
          <w:kern w:val="0"/>
          <w:sz w:val="28"/>
        </w:rPr>
      </w:pPr>
      <w:r>
        <w:rPr>
          <w:rFonts w:hint="eastAsia" w:ascii="宋体"/>
          <w:kern w:val="0"/>
          <w:sz w:val="28"/>
        </w:rPr>
        <w:t>采 购 人：</w:t>
      </w:r>
      <w:r>
        <w:rPr>
          <w:rFonts w:hint="eastAsia" w:ascii="宋体" w:hAnsi="宋体" w:cs="宋体"/>
          <w:sz w:val="24"/>
        </w:rPr>
        <w:t>台州市公安局交通警察局</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both"/>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lang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2022</w:t>
      </w:r>
      <w:r>
        <w:rPr>
          <w:rFonts w:hint="eastAsia" w:ascii="宋体" w:hAnsi="宋体" w:cs="宋体"/>
          <w:kern w:val="0"/>
          <w:sz w:val="28"/>
          <w:szCs w:val="28"/>
        </w:rPr>
        <w:t xml:space="preserve">年 </w:t>
      </w:r>
      <w:r>
        <w:rPr>
          <w:rFonts w:hint="eastAsia" w:ascii="宋体" w:hAnsi="宋体" w:cs="宋体"/>
          <w:kern w:val="0"/>
          <w:sz w:val="28"/>
          <w:szCs w:val="28"/>
          <w:lang w:val="en-US" w:eastAsia="zh-CN"/>
        </w:rPr>
        <w:t>8</w:t>
      </w:r>
      <w:r>
        <w:rPr>
          <w:rFonts w:hint="eastAsia" w:ascii="宋体" w:hAnsi="宋体" w:cs="宋体"/>
          <w:kern w:val="0"/>
          <w:sz w:val="28"/>
          <w:szCs w:val="28"/>
        </w:rPr>
        <w:t xml:space="preserve"> 月 </w:t>
      </w:r>
      <w:r>
        <w:rPr>
          <w:rFonts w:hint="eastAsia" w:ascii="宋体" w:hAnsi="宋体" w:cs="宋体"/>
          <w:kern w:val="0"/>
          <w:sz w:val="28"/>
          <w:szCs w:val="28"/>
          <w:lang w:val="en-US" w:eastAsia="zh-CN"/>
        </w:rPr>
        <w:t>1</w:t>
      </w:r>
      <w:r>
        <w:rPr>
          <w:rFonts w:hint="eastAsia" w:ascii="宋体" w:hAnsi="宋体" w:cs="宋体"/>
          <w:kern w:val="0"/>
          <w:sz w:val="28"/>
          <w:szCs w:val="28"/>
        </w:rPr>
        <w:t xml:space="preserve"> 日</w:t>
      </w:r>
    </w:p>
    <w:p>
      <w:pPr>
        <w:spacing w:line="360" w:lineRule="auto"/>
      </w:pPr>
    </w:p>
    <w:p>
      <w:pPr>
        <w:pStyle w:val="18"/>
      </w:pPr>
    </w:p>
    <w:p>
      <w:pPr>
        <w:pStyle w:val="18"/>
      </w:pPr>
    </w:p>
    <w:p>
      <w:pPr>
        <w:pStyle w:val="18"/>
      </w:pPr>
    </w:p>
    <w:p>
      <w:pPr>
        <w:pStyle w:val="18"/>
      </w:pPr>
    </w:p>
    <w:p>
      <w:pPr>
        <w:pStyle w:val="18"/>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both"/>
            <w:rPr>
              <w:rFonts w:ascii="宋体" w:hAnsi="宋体"/>
              <w:kern w:val="0"/>
              <w:sz w:val="28"/>
              <w:szCs w:val="28"/>
            </w:rPr>
          </w:pPr>
          <w:bookmarkStart w:id="0" w:name="_Toc25017_WPSOffice_Type1"/>
        </w:p>
        <w:p>
          <w:pPr>
            <w:pStyle w:val="18"/>
          </w:pPr>
        </w:p>
        <w:p>
          <w:pPr>
            <w:spacing w:line="480" w:lineRule="auto"/>
            <w:jc w:val="center"/>
            <w:rPr>
              <w:rFonts w:hint="eastAsia" w:ascii="宋体" w:hAnsi="宋体"/>
              <w:b/>
              <w:bCs/>
              <w:sz w:val="36"/>
              <w:szCs w:val="36"/>
            </w:rPr>
          </w:pPr>
          <w:r>
            <w:rPr>
              <w:rFonts w:hint="eastAsia" w:ascii="宋体" w:hAnsi="宋体"/>
              <w:b/>
              <w:bCs/>
              <w:sz w:val="36"/>
              <w:szCs w:val="36"/>
            </w:rPr>
            <w:t>目  录</w:t>
          </w:r>
        </w:p>
        <w:p>
          <w:pPr>
            <w:pStyle w:val="15"/>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hint="eastAsia" w:eastAsiaTheme="minorEastAsia" w:cstheme="minorBidi"/>
              <w:sz w:val="28"/>
              <w:szCs w:val="28"/>
            </w:rPr>
            <w:tab/>
          </w:r>
          <w:bookmarkStart w:id="1" w:name="_Toc4350_WPSOffice_Level1Page"/>
          <w:r>
            <w:rPr>
              <w:rFonts w:hint="eastAsia" w:eastAsiaTheme="minorEastAsia" w:cstheme="minorBidi"/>
              <w:sz w:val="28"/>
              <w:szCs w:val="28"/>
            </w:rPr>
            <w:t>3</w:t>
          </w:r>
          <w:bookmarkEnd w:id="1"/>
          <w:r>
            <w:rPr>
              <w:rFonts w:hint="eastAsia" w:eastAsiaTheme="minorEastAsia" w:cstheme="minorBidi"/>
              <w:sz w:val="28"/>
              <w:szCs w:val="28"/>
            </w:rPr>
            <w:fldChar w:fldCharType="end"/>
          </w:r>
        </w:p>
        <w:p>
          <w:pPr>
            <w:pStyle w:val="15"/>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hint="eastAsia"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5"/>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hint="eastAsia"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4</w:t>
          </w:r>
        </w:p>
        <w:p>
          <w:pPr>
            <w:pStyle w:val="15"/>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hint="eastAsia" w:eastAsiaTheme="minorEastAsia" w:cstheme="minorBidi"/>
              <w:sz w:val="28"/>
              <w:szCs w:val="28"/>
            </w:rPr>
            <w:tab/>
          </w:r>
          <w:bookmarkStart w:id="2" w:name="_Toc31173_WPSOffice_Level1Page"/>
          <w:r>
            <w:rPr>
              <w:rFonts w:hint="eastAsia" w:eastAsiaTheme="minorEastAsia" w:cstheme="minorBidi"/>
              <w:sz w:val="28"/>
              <w:szCs w:val="28"/>
            </w:rPr>
            <w:t>22</w:t>
          </w:r>
          <w:bookmarkEnd w:id="2"/>
          <w:r>
            <w:rPr>
              <w:rFonts w:hint="eastAsia" w:eastAsiaTheme="minorEastAsia" w:cstheme="minorBidi"/>
              <w:sz w:val="28"/>
              <w:szCs w:val="28"/>
            </w:rPr>
            <w:fldChar w:fldCharType="end"/>
          </w:r>
        </w:p>
        <w:p>
          <w:pPr>
            <w:pStyle w:val="15"/>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hint="eastAsia" w:eastAsiaTheme="minorEastAsia" w:cstheme="minorBidi"/>
              <w:sz w:val="28"/>
              <w:szCs w:val="28"/>
            </w:rPr>
            <w:tab/>
          </w:r>
          <w:bookmarkStart w:id="3" w:name="_Toc27944_WPSOffice_Level1Page"/>
          <w:r>
            <w:rPr>
              <w:rFonts w:hint="eastAsia" w:eastAsiaTheme="minorEastAsia" w:cstheme="minorBidi"/>
              <w:sz w:val="28"/>
              <w:szCs w:val="28"/>
            </w:rPr>
            <w:t>35</w:t>
          </w:r>
          <w:bookmarkEnd w:id="3"/>
          <w:r>
            <w:rPr>
              <w:rFonts w:hint="eastAsia" w:eastAsiaTheme="minorEastAsia" w:cstheme="minorBidi"/>
              <w:sz w:val="28"/>
              <w:szCs w:val="28"/>
            </w:rPr>
            <w:fldChar w:fldCharType="end"/>
          </w:r>
        </w:p>
        <w:p>
          <w:pPr>
            <w:pStyle w:val="15"/>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hint="eastAsia" w:eastAsiaTheme="minorEastAsia" w:cstheme="minorBidi"/>
              <w:sz w:val="28"/>
              <w:szCs w:val="28"/>
            </w:rPr>
            <w:tab/>
          </w:r>
          <w:bookmarkStart w:id="4" w:name="_Toc5481_WPSOffice_Level1Page"/>
          <w:r>
            <w:rPr>
              <w:rFonts w:hint="eastAsia" w:eastAsiaTheme="minorEastAsia" w:cstheme="minorBidi"/>
              <w:sz w:val="28"/>
              <w:szCs w:val="28"/>
            </w:rPr>
            <w:t>41</w:t>
          </w:r>
          <w:bookmarkEnd w:id="4"/>
          <w:r>
            <w:rPr>
              <w:rFonts w:hint="eastAsia"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5" w:name="_Toc4350_WPSOffice_Level1"/>
      <w:r>
        <w:rPr>
          <w:rFonts w:hint="eastAsia" w:ascii="宋体" w:hAnsi="宋体" w:cs="宋体"/>
          <w:b/>
          <w:kern w:val="0"/>
          <w:sz w:val="36"/>
          <w:szCs w:val="36"/>
        </w:rPr>
        <w:t>投标邀请</w:t>
      </w:r>
      <w:bookmarkEnd w:id="5"/>
    </w:p>
    <w:p>
      <w:pPr>
        <w:pStyle w:val="4"/>
        <w:ind w:firstLine="480" w:firstLineChars="200"/>
        <w:rPr>
          <w:rFonts w:cs="宋体"/>
          <w:b w:val="0"/>
          <w:sz w:val="24"/>
          <w:szCs w:val="24"/>
        </w:rPr>
      </w:pPr>
      <w:bookmarkStart w:id="6" w:name="_Toc35393621"/>
      <w:bookmarkStart w:id="7" w:name="_Toc28359079"/>
      <w:bookmarkStart w:id="8" w:name="_Toc35393790"/>
      <w:bookmarkStart w:id="9" w:name="_Toc28359002"/>
      <w:bookmarkStart w:id="10" w:name="_Hlk24379207"/>
      <w:r>
        <w:rPr>
          <w:rFonts w:hint="eastAsia" w:cs="宋体"/>
          <w:b w:val="0"/>
          <w:sz w:val="24"/>
          <w:szCs w:val="24"/>
          <w:lang w:eastAsia="zh-CN"/>
        </w:rPr>
        <w:t>台州市</w:t>
      </w:r>
      <w:r>
        <w:rPr>
          <w:rFonts w:hint="eastAsia" w:cs="宋体"/>
          <w:b w:val="0"/>
          <w:sz w:val="24"/>
          <w:szCs w:val="24"/>
        </w:rPr>
        <w:t>政府采购中</w:t>
      </w:r>
      <w:r>
        <w:rPr>
          <w:rFonts w:hint="eastAsia" w:ascii="宋体" w:hAnsi="宋体" w:eastAsia="宋体" w:cs="宋体"/>
          <w:b w:val="0"/>
          <w:sz w:val="24"/>
          <w:szCs w:val="24"/>
        </w:rPr>
        <w:t>心受台州市公安局交通警察局委</w:t>
      </w:r>
      <w:r>
        <w:rPr>
          <w:rFonts w:hint="eastAsia" w:cs="宋体"/>
          <w:b w:val="0"/>
          <w:sz w:val="24"/>
          <w:szCs w:val="24"/>
        </w:rPr>
        <w:t>托，</w:t>
      </w:r>
      <w:r>
        <w:rPr>
          <w:rFonts w:hint="eastAsia" w:ascii="宋体" w:hAnsi="宋体" w:eastAsia="宋体" w:cs="宋体"/>
          <w:b w:val="0"/>
          <w:sz w:val="24"/>
          <w:szCs w:val="24"/>
        </w:rPr>
        <w:t>就中队勤务室高清视频会议指挥调度系统建设项目进行公开招标，欢迎符合资格条件的</w:t>
      </w:r>
      <w:r>
        <w:rPr>
          <w:rFonts w:hint="eastAsia" w:cs="宋体"/>
          <w:b w:val="0"/>
          <w:sz w:val="24"/>
          <w:szCs w:val="24"/>
        </w:rPr>
        <w:t>国内投标人参加投标。</w:t>
      </w:r>
    </w:p>
    <w:p>
      <w:pPr>
        <w:pStyle w:val="4"/>
        <w:ind w:firstLine="482" w:firstLineChars="200"/>
        <w:rPr>
          <w:rFonts w:cs="宋体"/>
          <w:bCs/>
          <w:sz w:val="24"/>
          <w:szCs w:val="24"/>
        </w:rPr>
      </w:pPr>
      <w:r>
        <w:rPr>
          <w:rFonts w:hint="eastAsia" w:cs="宋体"/>
          <w:bCs/>
          <w:sz w:val="24"/>
          <w:szCs w:val="24"/>
        </w:rPr>
        <w:t>一、项目基本情况</w:t>
      </w:r>
      <w:bookmarkEnd w:id="6"/>
      <w:bookmarkEnd w:id="7"/>
      <w:bookmarkEnd w:id="8"/>
      <w:bookmarkEnd w:id="9"/>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480" w:firstLineChars="200"/>
        <w:jc w:val="both"/>
        <w:rPr>
          <w:rFonts w:ascii="宋体" w:hAnsi="宋体" w:cs="宋体"/>
          <w:sz w:val="24"/>
        </w:rPr>
      </w:pPr>
      <w:r>
        <w:rPr>
          <w:rFonts w:hint="eastAsia" w:ascii="宋体" w:hAnsi="宋体" w:cs="宋体"/>
          <w:sz w:val="24"/>
        </w:rPr>
        <w:t>项目编号：</w:t>
      </w:r>
      <w:r>
        <w:rPr>
          <w:rFonts w:hint="eastAsia" w:ascii="宋体" w:hAnsi="宋体" w:eastAsia="宋体" w:cs="宋体"/>
          <w:sz w:val="24"/>
        </w:rPr>
        <w:t>TZCG-202</w:t>
      </w:r>
      <w:r>
        <w:rPr>
          <w:rFonts w:hint="eastAsia" w:ascii="宋体" w:hAnsi="宋体" w:eastAsia="宋体" w:cs="宋体"/>
          <w:sz w:val="24"/>
          <w:lang w:val="en-US" w:eastAsia="zh-CN"/>
        </w:rPr>
        <w:t>2</w:t>
      </w:r>
      <w:r>
        <w:rPr>
          <w:rFonts w:hint="eastAsia" w:ascii="宋体" w:hAnsi="宋体" w:eastAsia="宋体" w:cs="宋体"/>
          <w:sz w:val="24"/>
        </w:rPr>
        <w:t>-GK0</w:t>
      </w:r>
      <w:r>
        <w:rPr>
          <w:rFonts w:hint="eastAsia" w:ascii="宋体" w:hAnsi="宋体" w:eastAsia="宋体" w:cs="宋体"/>
          <w:sz w:val="24"/>
          <w:lang w:val="en-US" w:eastAsia="zh-CN"/>
        </w:rPr>
        <w:t>13</w:t>
      </w:r>
      <w:r>
        <w:rPr>
          <w:rFonts w:hint="eastAsia" w:ascii="宋体" w:hAnsi="宋体" w:eastAsia="宋体" w:cs="宋体"/>
          <w:sz w:val="24"/>
        </w:rPr>
        <w:t>号</w:t>
      </w:r>
    </w:p>
    <w:bookmarkEnd w:id="10"/>
    <w:p>
      <w:pPr>
        <w:spacing w:line="360" w:lineRule="auto"/>
        <w:ind w:firstLine="480" w:firstLineChars="200"/>
        <w:rPr>
          <w:rFonts w:hint="eastAsia" w:ascii="宋体" w:hAnsi="宋体" w:cs="宋体"/>
          <w:kern w:val="0"/>
          <w:sz w:val="24"/>
        </w:rPr>
      </w:pPr>
      <w:r>
        <w:rPr>
          <w:rFonts w:hint="eastAsia" w:ascii="宋体" w:hAnsi="宋体" w:cs="宋体"/>
          <w:sz w:val="24"/>
        </w:rPr>
        <w:t>项目名称：</w:t>
      </w:r>
      <w:r>
        <w:rPr>
          <w:rFonts w:hint="eastAsia" w:ascii="宋体" w:hAnsi="宋体" w:eastAsia="宋体" w:cs="宋体"/>
          <w:b w:val="0"/>
          <w:sz w:val="24"/>
          <w:szCs w:val="24"/>
        </w:rPr>
        <w:t>中队勤务室高清视频会议指挥调度系统建设</w:t>
      </w:r>
      <w:r>
        <w:rPr>
          <w:rFonts w:hint="eastAsia" w:ascii="宋体" w:hAnsi="宋体" w:cs="宋体"/>
          <w:kern w:val="0"/>
          <w:sz w:val="24"/>
        </w:rPr>
        <w:t>项目</w:t>
      </w:r>
    </w:p>
    <w:tbl>
      <w:tblPr>
        <w:tblStyle w:val="19"/>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9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97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30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（万元）</w:t>
            </w:r>
          </w:p>
        </w:tc>
        <w:tc>
          <w:tcPr>
            <w:tcW w:w="1585" w:type="dxa"/>
            <w:vAlign w:val="center"/>
          </w:tcPr>
          <w:p>
            <w:pPr>
              <w:jc w:val="center"/>
              <w:rPr>
                <w:rFonts w:ascii="宋体" w:hAnsi="宋体" w:cs="宋体"/>
                <w:b/>
                <w:sz w:val="21"/>
                <w:szCs w:val="21"/>
              </w:rPr>
            </w:pPr>
            <w:r>
              <w:rPr>
                <w:rFonts w:hint="eastAsia" w:ascii="宋体" w:hAnsi="宋体" w:cs="宋体"/>
                <w:b/>
                <w:sz w:val="21"/>
                <w:szCs w:val="21"/>
              </w:rPr>
              <w:t>最高限价</w:t>
            </w:r>
          </w:p>
          <w:p>
            <w:pPr>
              <w:jc w:val="center"/>
              <w:rPr>
                <w:rFonts w:ascii="宋体" w:hAnsi="宋体" w:cs="宋体"/>
                <w:b/>
                <w:sz w:val="21"/>
                <w:szCs w:val="21"/>
              </w:rPr>
            </w:pPr>
            <w:r>
              <w:rPr>
                <w:rFonts w:hint="eastAsia" w:ascii="宋体" w:hAnsi="宋体" w:cs="宋体"/>
                <w:b/>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1</w:t>
            </w:r>
          </w:p>
        </w:tc>
        <w:tc>
          <w:tcPr>
            <w:tcW w:w="2741" w:type="dxa"/>
            <w:vAlign w:val="center"/>
          </w:tcPr>
          <w:p>
            <w:pPr>
              <w:spacing w:line="360" w:lineRule="auto"/>
              <w:jc w:val="center"/>
              <w:rPr>
                <w:rFonts w:hint="eastAsia" w:ascii="宋体" w:hAnsi="宋体" w:eastAsia="宋体" w:cs="宋体"/>
                <w:b w:val="0"/>
                <w:sz w:val="24"/>
                <w:szCs w:val="24"/>
              </w:rPr>
            </w:pPr>
            <w:r>
              <w:rPr>
                <w:rFonts w:hint="eastAsia" w:ascii="宋体" w:hAnsi="宋体" w:eastAsia="宋体" w:cs="宋体"/>
                <w:b w:val="0"/>
                <w:sz w:val="24"/>
                <w:szCs w:val="24"/>
              </w:rPr>
              <w:t>中队勤务室高清视频会议指挥调度系统建设</w:t>
            </w:r>
          </w:p>
        </w:tc>
        <w:tc>
          <w:tcPr>
            <w:tcW w:w="999" w:type="dxa"/>
            <w:vAlign w:val="center"/>
          </w:tcPr>
          <w:p>
            <w:pPr>
              <w:spacing w:line="360" w:lineRule="auto"/>
              <w:ind w:firstLine="240" w:firstLineChars="100"/>
              <w:jc w:val="both"/>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w:t>
            </w:r>
          </w:p>
        </w:tc>
        <w:tc>
          <w:tcPr>
            <w:tcW w:w="979" w:type="dxa"/>
            <w:vAlign w:val="center"/>
          </w:tcPr>
          <w:p>
            <w:pPr>
              <w:spacing w:line="360" w:lineRule="auto"/>
              <w:ind w:firstLine="240" w:firstLineChars="100"/>
              <w:jc w:val="both"/>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项</w:t>
            </w:r>
          </w:p>
        </w:tc>
        <w:tc>
          <w:tcPr>
            <w:tcW w:w="1303" w:type="dxa"/>
            <w:vAlign w:val="center"/>
          </w:tcPr>
          <w:p>
            <w:pPr>
              <w:spacing w:line="360" w:lineRule="auto"/>
              <w:ind w:firstLine="480" w:firstLineChars="200"/>
              <w:jc w:val="both"/>
              <w:rPr>
                <w:rFonts w:hint="eastAsia" w:ascii="宋体" w:hAnsi="宋体" w:eastAsia="宋体" w:cs="宋体"/>
                <w:b w:val="0"/>
                <w:sz w:val="24"/>
                <w:szCs w:val="24"/>
              </w:rPr>
            </w:pPr>
            <w:r>
              <w:rPr>
                <w:rFonts w:hint="eastAsia" w:ascii="宋体" w:hAnsi="宋体" w:eastAsia="宋体" w:cs="宋体"/>
                <w:b w:val="0"/>
                <w:sz w:val="24"/>
                <w:szCs w:val="24"/>
              </w:rPr>
              <w:t>185</w:t>
            </w:r>
          </w:p>
        </w:tc>
        <w:tc>
          <w:tcPr>
            <w:tcW w:w="1585" w:type="dxa"/>
            <w:vAlign w:val="center"/>
          </w:tcPr>
          <w:p>
            <w:pPr>
              <w:spacing w:line="360" w:lineRule="auto"/>
              <w:ind w:firstLine="480" w:firstLineChars="200"/>
              <w:jc w:val="both"/>
              <w:rPr>
                <w:rFonts w:hint="eastAsia" w:ascii="宋体" w:hAnsi="宋体" w:eastAsia="宋体" w:cs="宋体"/>
                <w:b w:val="0"/>
                <w:sz w:val="24"/>
                <w:szCs w:val="24"/>
              </w:rPr>
            </w:pPr>
            <w:r>
              <w:rPr>
                <w:rFonts w:hint="eastAsia" w:ascii="宋体" w:hAnsi="宋体" w:eastAsia="宋体" w:cs="宋体"/>
                <w:b w:val="0"/>
                <w:sz w:val="24"/>
                <w:szCs w:val="24"/>
                <w:lang w:val="en-US" w:eastAsia="zh-CN"/>
              </w:rPr>
              <w:t>177</w:t>
            </w:r>
          </w:p>
        </w:tc>
      </w:tr>
    </w:tbl>
    <w:p>
      <w:pPr>
        <w:pStyle w:val="4"/>
        <w:ind w:right="0" w:firstLine="482" w:firstLineChars="200"/>
        <w:rPr>
          <w:rFonts w:cs="宋体"/>
          <w:bCs/>
          <w:sz w:val="24"/>
          <w:szCs w:val="24"/>
        </w:rPr>
      </w:pPr>
      <w:bookmarkStart w:id="11" w:name="_Toc35393791"/>
      <w:bookmarkStart w:id="12" w:name="_Toc28359003"/>
      <w:bookmarkStart w:id="13" w:name="_Toc35393622"/>
      <w:bookmarkStart w:id="14" w:name="_Toc28359080"/>
      <w:r>
        <w:rPr>
          <w:rFonts w:hint="eastAsia" w:cs="宋体"/>
          <w:bCs/>
          <w:sz w:val="24"/>
          <w:szCs w:val="24"/>
        </w:rPr>
        <w:t>二、投标人的资格要求</w:t>
      </w:r>
      <w:bookmarkEnd w:id="11"/>
      <w:bookmarkEnd w:id="12"/>
      <w:bookmarkEnd w:id="13"/>
      <w:bookmarkEnd w:id="14"/>
    </w:p>
    <w:p>
      <w:pPr>
        <w:spacing w:line="360" w:lineRule="auto"/>
        <w:ind w:firstLine="480" w:firstLineChars="200"/>
        <w:rPr>
          <w:rFonts w:ascii="宋体" w:hAnsi="宋体" w:cs="宋体"/>
          <w:sz w:val="24"/>
        </w:rPr>
      </w:pPr>
      <w:r>
        <w:rPr>
          <w:rFonts w:hint="eastAsia" w:ascii="宋体" w:hAnsi="宋体" w:cs="宋体"/>
          <w:sz w:val="24"/>
        </w:rPr>
        <w:t>（一）满足《中华人民共和国政府采购法》第二十二条规定</w:t>
      </w:r>
      <w:bookmarkStart w:id="15" w:name="_Toc28359004"/>
      <w:bookmarkStart w:id="16" w:name="_Toc35393623"/>
      <w:bookmarkStart w:id="17" w:name="_Toc35393792"/>
      <w:bookmarkStart w:id="18" w:name="_Toc28359081"/>
      <w:r>
        <w:rPr>
          <w:rFonts w:hint="eastAsia" w:ascii="宋体" w:hAnsi="宋体" w:cs="宋体"/>
          <w:sz w:val="24"/>
        </w:rPr>
        <w:t>。</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ascii="宋体" w:hAnsi="宋体" w:cs="宋体"/>
          <w:sz w:val="24"/>
        </w:rPr>
      </w:pPr>
      <w:r>
        <w:rPr>
          <w:rFonts w:hint="eastAsia" w:ascii="宋体" w:hAnsi="宋体" w:cs="宋体"/>
          <w:sz w:val="24"/>
        </w:rPr>
        <w:t>（二）本项目的特定资格要求：</w:t>
      </w:r>
      <w:r>
        <w:rPr>
          <w:rFonts w:hint="eastAsia" w:asciiTheme="minorEastAsia" w:hAnsiTheme="minorEastAsia" w:eastAsiaTheme="minorEastAsia"/>
          <w:sz w:val="24"/>
        </w:rPr>
        <w:t>本项目不接受联合体投标。</w:t>
      </w:r>
    </w:p>
    <w:p>
      <w:pPr>
        <w:spacing w:line="360" w:lineRule="auto"/>
        <w:ind w:firstLine="480" w:firstLineChars="200"/>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ind w:right="0" w:firstLine="482" w:firstLineChars="200"/>
        <w:rPr>
          <w:rFonts w:cs="宋体"/>
          <w:bCs/>
          <w:sz w:val="24"/>
          <w:szCs w:val="24"/>
        </w:rPr>
      </w:pPr>
      <w:r>
        <w:rPr>
          <w:rFonts w:hint="eastAsia" w:cs="宋体"/>
          <w:bCs/>
          <w:sz w:val="24"/>
          <w:szCs w:val="24"/>
        </w:rPr>
        <w:t>三、获取招标文件</w:t>
      </w:r>
      <w:bookmarkEnd w:id="15"/>
      <w:bookmarkEnd w:id="16"/>
      <w:bookmarkEnd w:id="17"/>
      <w:bookmarkEnd w:id="18"/>
    </w:p>
    <w:p>
      <w:pPr>
        <w:spacing w:line="360" w:lineRule="auto"/>
        <w:ind w:firstLine="480" w:firstLineChars="200"/>
        <w:rPr>
          <w:rFonts w:ascii="宋体" w:hAnsi="宋体" w:cs="宋体"/>
          <w:sz w:val="24"/>
        </w:rPr>
      </w:pPr>
      <w:r>
        <w:rPr>
          <w:rFonts w:hint="eastAsia" w:ascii="宋体" w:hAnsi="宋体" w:cs="宋体"/>
          <w:sz w:val="24"/>
        </w:rPr>
        <w:t>（一）时间：</w:t>
      </w:r>
      <w:r>
        <w:rPr>
          <w:rFonts w:hint="eastAsia" w:ascii="宋体" w:hAnsi="宋体" w:cs="宋体"/>
          <w:sz w:val="24"/>
          <w:u w:val="single"/>
          <w:lang w:val="en-US" w:eastAsia="zh-CN"/>
        </w:rPr>
        <w:t>20222</w:t>
      </w:r>
      <w:r>
        <w:rPr>
          <w:rFonts w:hint="eastAsia" w:ascii="宋体" w:hAnsi="宋体" w:cs="宋体"/>
          <w:sz w:val="24"/>
          <w:u w:val="single"/>
        </w:rPr>
        <w:t>年</w:t>
      </w:r>
      <w:r>
        <w:rPr>
          <w:rFonts w:hint="eastAsia" w:ascii="宋体" w:hAnsi="宋体" w:cs="宋体"/>
          <w:sz w:val="24"/>
          <w:u w:val="single"/>
          <w:lang w:val="en-US" w:eastAsia="zh-CN"/>
        </w:rPr>
        <w:t>8</w:t>
      </w:r>
      <w:r>
        <w:rPr>
          <w:rFonts w:hint="eastAsia" w:ascii="宋体" w:hAnsi="宋体" w:cs="宋体"/>
          <w:sz w:val="24"/>
          <w:u w:val="single"/>
        </w:rPr>
        <w:t>月</w:t>
      </w:r>
      <w:r>
        <w:rPr>
          <w:rFonts w:hint="eastAsia" w:ascii="宋体" w:hAnsi="宋体" w:cs="宋体"/>
          <w:sz w:val="24"/>
          <w:u w:val="single"/>
          <w:lang w:val="en-US" w:eastAsia="zh-CN"/>
        </w:rPr>
        <w:t>2</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lang w:val="en-US" w:eastAsia="zh-CN"/>
        </w:rPr>
        <w:t>2022</w:t>
      </w:r>
      <w:r>
        <w:rPr>
          <w:rFonts w:hint="eastAsia" w:ascii="宋体" w:hAnsi="宋体" w:cs="宋体"/>
          <w:sz w:val="24"/>
          <w:u w:val="single"/>
        </w:rPr>
        <w:t>年</w:t>
      </w:r>
      <w:r>
        <w:rPr>
          <w:rFonts w:hint="eastAsia" w:ascii="宋体" w:hAnsi="宋体" w:cs="宋体"/>
          <w:sz w:val="24"/>
          <w:u w:val="single"/>
          <w:lang w:val="en-US" w:eastAsia="zh-CN"/>
        </w:rPr>
        <w:t>8</w:t>
      </w:r>
      <w:r>
        <w:rPr>
          <w:rFonts w:hint="eastAsia" w:ascii="宋体" w:hAnsi="宋体" w:cs="宋体"/>
          <w:sz w:val="24"/>
          <w:u w:val="single"/>
        </w:rPr>
        <w:t>月</w:t>
      </w:r>
      <w:r>
        <w:rPr>
          <w:rFonts w:hint="eastAsia" w:ascii="宋体" w:hAnsi="宋体" w:cs="宋体"/>
          <w:sz w:val="24"/>
          <w:u w:val="single"/>
          <w:lang w:val="en-US" w:eastAsia="zh-CN"/>
        </w:rPr>
        <w:t>9</w:t>
      </w:r>
      <w:r>
        <w:rPr>
          <w:rFonts w:hint="eastAsia" w:ascii="宋体" w:hAnsi="宋体" w:cs="宋体"/>
          <w:sz w:val="24"/>
          <w:u w:val="single"/>
        </w:rPr>
        <w:t>日</w:t>
      </w:r>
    </w:p>
    <w:p>
      <w:pPr>
        <w:pStyle w:val="25"/>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（二）方式：浙江政府采购网</w:t>
      </w:r>
      <w:r>
        <w:rPr>
          <w:rFonts w:hint="eastAsia" w:ascii="宋体" w:hAnsi="宋体" w:eastAsia="宋体" w:cs="宋体"/>
          <w:kern w:val="2"/>
          <w:sz w:val="24"/>
          <w:szCs w:val="24"/>
        </w:rPr>
        <w:t>（https://zfcg.czt.zj.gov.cn）</w:t>
      </w:r>
      <w:r>
        <w:rPr>
          <w:rFonts w:hint="eastAsia" w:ascii="宋体" w:hAnsi="宋体" w:eastAsia="宋体" w:cs="宋体"/>
          <w:sz w:val="24"/>
          <w:szCs w:val="24"/>
        </w:rPr>
        <w:t>免费下载</w:t>
      </w:r>
    </w:p>
    <w:p>
      <w:pPr>
        <w:pStyle w:val="4"/>
        <w:ind w:right="0" w:firstLine="482" w:firstLineChars="200"/>
        <w:rPr>
          <w:rFonts w:cs="宋体"/>
          <w:bCs/>
          <w:sz w:val="24"/>
          <w:szCs w:val="24"/>
        </w:rPr>
      </w:pPr>
      <w:bookmarkStart w:id="19" w:name="_Toc28359082"/>
      <w:bookmarkStart w:id="20" w:name="_Toc28359005"/>
      <w:bookmarkStart w:id="21" w:name="_Toc35393793"/>
      <w:bookmarkStart w:id="22" w:name="_Toc35393624"/>
      <w:r>
        <w:rPr>
          <w:rFonts w:hint="eastAsia" w:cs="宋体"/>
          <w:bCs/>
          <w:sz w:val="24"/>
          <w:szCs w:val="24"/>
        </w:rPr>
        <w:t>四、提交投标文件</w:t>
      </w:r>
      <w:bookmarkEnd w:id="19"/>
      <w:bookmarkEnd w:id="20"/>
      <w:bookmarkEnd w:id="21"/>
      <w:bookmarkEnd w:id="22"/>
    </w:p>
    <w:p>
      <w:pPr>
        <w:spacing w:line="360" w:lineRule="auto"/>
        <w:ind w:firstLine="480" w:firstLineChars="200"/>
        <w:rPr>
          <w:rFonts w:ascii="宋体" w:hAnsi="宋体" w:cs="宋体"/>
          <w:iCs/>
          <w:sz w:val="24"/>
          <w:u w:val="single"/>
        </w:rPr>
      </w:pPr>
      <w:bookmarkStart w:id="23" w:name="_Toc28359084"/>
      <w:bookmarkStart w:id="24" w:name="_Toc35393794"/>
      <w:bookmarkStart w:id="25" w:name="_Toc28359007"/>
      <w:bookmarkStart w:id="26" w:name="_Toc35393625"/>
      <w:r>
        <w:rPr>
          <w:rFonts w:hint="eastAsia" w:ascii="宋体" w:hAnsi="宋体" w:cs="宋体"/>
          <w:sz w:val="24"/>
        </w:rPr>
        <w:t>（一）截止时间（开标时间）：</w:t>
      </w:r>
      <w:r>
        <w:rPr>
          <w:rFonts w:hint="eastAsia" w:ascii="宋体" w:hAnsi="宋体" w:cs="宋体"/>
          <w:bCs/>
          <w:sz w:val="24"/>
          <w:u w:val="single"/>
          <w:lang w:val="en-US" w:eastAsia="zh-CN"/>
        </w:rPr>
        <w:t>2022</w:t>
      </w:r>
      <w:r>
        <w:rPr>
          <w:rFonts w:hint="eastAsia" w:ascii="宋体" w:hAnsi="宋体" w:cs="宋体"/>
          <w:bCs/>
          <w:sz w:val="24"/>
          <w:u w:val="single"/>
        </w:rPr>
        <w:t>年</w:t>
      </w:r>
      <w:r>
        <w:rPr>
          <w:rFonts w:hint="eastAsia" w:ascii="宋体" w:hAnsi="宋体" w:cs="宋体"/>
          <w:sz w:val="24"/>
          <w:u w:val="single"/>
          <w:lang w:val="en-US" w:eastAsia="zh-CN"/>
        </w:rPr>
        <w:t>8</w:t>
      </w:r>
      <w:r>
        <w:rPr>
          <w:rFonts w:hint="eastAsia" w:ascii="宋体" w:hAnsi="宋体" w:cs="宋体"/>
          <w:bCs/>
          <w:sz w:val="24"/>
          <w:u w:val="single"/>
        </w:rPr>
        <w:t>月</w:t>
      </w:r>
      <w:r>
        <w:rPr>
          <w:rFonts w:hint="eastAsia" w:ascii="宋体" w:hAnsi="宋体" w:cs="宋体"/>
          <w:sz w:val="24"/>
          <w:u w:val="single"/>
          <w:lang w:val="en-US" w:eastAsia="zh-CN"/>
        </w:rPr>
        <w:t>23</w:t>
      </w:r>
      <w:r>
        <w:rPr>
          <w:rFonts w:hint="eastAsia" w:ascii="宋体" w:hAnsi="宋体" w:cs="宋体"/>
          <w:bCs/>
          <w:sz w:val="24"/>
          <w:u w:val="single"/>
        </w:rPr>
        <w:t>日</w:t>
      </w:r>
      <w:r>
        <w:rPr>
          <w:rFonts w:hint="eastAsia" w:ascii="宋体" w:hAnsi="宋体" w:cs="宋体"/>
          <w:bCs/>
          <w:sz w:val="24"/>
          <w:u w:val="single"/>
          <w:lang w:val="en-US" w:eastAsia="zh-CN"/>
        </w:rPr>
        <w:t>9</w:t>
      </w:r>
      <w:r>
        <w:rPr>
          <w:rFonts w:hint="eastAsia" w:ascii="宋体" w:hAnsi="宋体" w:cs="宋体"/>
          <w:bCs/>
          <w:sz w:val="24"/>
          <w:u w:val="single"/>
        </w:rPr>
        <w:t>点整</w:t>
      </w:r>
      <w:r>
        <w:rPr>
          <w:rFonts w:hint="eastAsia" w:ascii="宋体" w:hAnsi="宋体" w:cs="宋体"/>
          <w:bCs/>
          <w:sz w:val="24"/>
        </w:rPr>
        <w:t>（北京时间）</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（二）投标网址：浙江政府采购云平台（http://www.zcygov.cn）</w:t>
      </w:r>
    </w:p>
    <w:bookmarkEnd w:id="23"/>
    <w:bookmarkEnd w:id="24"/>
    <w:bookmarkEnd w:id="25"/>
    <w:bookmarkEnd w:id="26"/>
    <w:p>
      <w:pPr>
        <w:pStyle w:val="18"/>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18"/>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kern w:val="0"/>
          <w:sz w:val="24"/>
          <w:lang w:eastAsia="zh-CN"/>
        </w:rPr>
        <w:t>、</w:t>
      </w:r>
      <w:r>
        <w:rPr>
          <w:rFonts w:hint="eastAsia" w:ascii="宋体" w:hAnsi="宋体" w:cs="宋体"/>
          <w:kern w:val="0"/>
          <w:sz w:val="24"/>
        </w:rPr>
        <w:t>台州市公共资源交易网（https://tzztb.zjtz.gov.cn）</w:t>
      </w:r>
    </w:p>
    <w:p>
      <w:pPr>
        <w:pStyle w:val="18"/>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7" w:name="_Toc35393626"/>
      <w:bookmarkStart w:id="28" w:name="_Toc35393795"/>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9" w:name="_Toc28359085"/>
      <w:bookmarkStart w:id="30" w:name="_Toc28359008"/>
      <w:bookmarkStart w:id="31" w:name="_Toc35393796"/>
      <w:bookmarkStart w:id="32" w:name="_Toc35393627"/>
      <w:r>
        <w:rPr>
          <w:rFonts w:hint="eastAsia" w:cs="宋体"/>
          <w:bCs/>
          <w:sz w:val="24"/>
          <w:szCs w:val="24"/>
        </w:rPr>
        <w:t>七、联系</w:t>
      </w:r>
      <w:bookmarkEnd w:id="29"/>
      <w:bookmarkEnd w:id="30"/>
      <w:bookmarkEnd w:id="31"/>
      <w:bookmarkEnd w:id="32"/>
      <w:r>
        <w:rPr>
          <w:rFonts w:hint="eastAsia" w:cs="宋体"/>
          <w:bCs/>
          <w:sz w:val="24"/>
          <w:szCs w:val="24"/>
        </w:rPr>
        <w:t>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jc w:val="left"/>
        <w:rPr>
          <w:rFonts w:ascii="宋体" w:hAnsi="宋体" w:cs="宋体"/>
          <w:sz w:val="24"/>
        </w:rPr>
      </w:pPr>
      <w:r>
        <w:rPr>
          <w:rFonts w:hint="eastAsia" w:ascii="宋体" w:hAnsi="宋体" w:cs="宋体"/>
          <w:sz w:val="24"/>
        </w:rPr>
        <w:t>名 称：</w:t>
      </w:r>
      <w:r>
        <w:rPr>
          <w:rFonts w:hint="eastAsia" w:ascii="宋体" w:hAnsi="宋体" w:cs="宋体"/>
          <w:sz w:val="24"/>
          <w:u w:val="single"/>
        </w:rPr>
        <w:t>　</w:t>
      </w:r>
      <w:r>
        <w:rPr>
          <w:rFonts w:hint="eastAsia" w:ascii="宋体" w:hAnsi="宋体" w:eastAsia="宋体" w:cs="宋体"/>
          <w:sz w:val="24"/>
          <w:u w:val="single"/>
        </w:rPr>
        <w:t xml:space="preserve"> 台州市公安局交通警察局    </w:t>
      </w:r>
      <w:r>
        <w:rPr>
          <w:rFonts w:hint="eastAsia" w:ascii="宋体" w:hAnsi="宋体" w:cs="宋体"/>
          <w:sz w:val="24"/>
          <w:u w:val="single"/>
        </w:rPr>
        <w:t xml:space="preserve">    </w:t>
      </w:r>
    </w:p>
    <w:p>
      <w:pPr>
        <w:spacing w:line="360" w:lineRule="auto"/>
        <w:ind w:firstLine="480" w:firstLineChars="200"/>
        <w:jc w:val="left"/>
        <w:rPr>
          <w:rFonts w:hint="eastAsia"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sz w:val="24"/>
          <w:u w:val="single"/>
        </w:rPr>
        <w:t>　</w:t>
      </w:r>
      <w:r>
        <w:rPr>
          <w:rFonts w:hint="eastAsia" w:ascii="宋体" w:hAnsi="宋体" w:eastAsia="宋体" w:cs="宋体"/>
          <w:sz w:val="24"/>
          <w:u w:val="single"/>
        </w:rPr>
        <w:t xml:space="preserve"> 台州市椒江区机场北路451号    </w:t>
      </w:r>
    </w:p>
    <w:p>
      <w:pPr>
        <w:spacing w:line="360" w:lineRule="auto"/>
        <w:ind w:firstLine="480" w:firstLineChars="200"/>
        <w:jc w:val="left"/>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　</w:t>
      </w:r>
      <w:r>
        <w:rPr>
          <w:rFonts w:hint="eastAsia" w:ascii="宋体" w:hAnsi="宋体" w:eastAsia="宋体" w:cs="宋体"/>
          <w:sz w:val="24"/>
          <w:u w:val="single"/>
        </w:rPr>
        <w:t>童</w:t>
      </w:r>
      <w:r>
        <w:rPr>
          <w:rFonts w:hint="eastAsia" w:ascii="宋体" w:hAnsi="宋体" w:eastAsia="宋体" w:cs="宋体"/>
          <w:sz w:val="24"/>
          <w:u w:val="single"/>
          <w:lang w:eastAsia="zh-CN"/>
        </w:rPr>
        <w:t>先生</w:t>
      </w:r>
      <w:r>
        <w:rPr>
          <w:rFonts w:hint="eastAsia" w:ascii="宋体" w:hAnsi="宋体" w:eastAsia="宋体" w:cs="宋体"/>
          <w:sz w:val="24"/>
          <w:u w:val="single"/>
        </w:rPr>
        <w:t>　　　</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bookmarkStart w:id="33" w:name="_Toc28359009"/>
      <w:bookmarkStart w:id="34" w:name="_Toc28359086"/>
    </w:p>
    <w:p>
      <w:pPr>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1</w:t>
      </w:r>
      <w:r>
        <w:rPr>
          <w:rFonts w:ascii="宋体" w:hAnsi="宋体" w:cs="宋体"/>
          <w:sz w:val="24"/>
          <w:u w:val="single"/>
        </w:rPr>
        <w:t>3857660076</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bookmarkEnd w:id="33"/>
    <w:bookmarkEnd w:id="34"/>
    <w:p>
      <w:pPr>
        <w:spacing w:line="360" w:lineRule="auto"/>
        <w:ind w:firstLine="480" w:firstLineChars="200"/>
        <w:jc w:val="left"/>
        <w:rPr>
          <w:rFonts w:ascii="宋体" w:hAnsi="宋体" w:cs="宋体"/>
          <w:sz w:val="24"/>
        </w:rPr>
      </w:pPr>
      <w:r>
        <w:rPr>
          <w:rFonts w:hint="eastAsia" w:ascii="宋体" w:hAnsi="宋体" w:cs="宋体"/>
          <w:sz w:val="24"/>
        </w:rPr>
        <w:t>（二）</w:t>
      </w:r>
      <w:r>
        <w:rPr>
          <w:rFonts w:hint="eastAsia" w:ascii="宋体" w:hAnsi="宋体" w:cs="宋体"/>
          <w:b/>
          <w:bCs/>
          <w:sz w:val="24"/>
        </w:rPr>
        <w:t>采购组织机构</w:t>
      </w:r>
    </w:p>
    <w:p>
      <w:pPr>
        <w:spacing w:line="360" w:lineRule="auto"/>
        <w:ind w:firstLine="480" w:firstLineChars="200"/>
        <w:jc w:val="left"/>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  台州市政府采购中心             </w:t>
      </w:r>
    </w:p>
    <w:p>
      <w:pPr>
        <w:spacing w:line="360" w:lineRule="auto"/>
        <w:ind w:firstLine="480" w:firstLineChars="200"/>
        <w:jc w:val="left"/>
        <w:rPr>
          <w:rFonts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sz w:val="24"/>
          <w:u w:val="single"/>
        </w:rPr>
        <w:t xml:space="preserve">    台州市市府大道777号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项目联系人：</w:t>
      </w:r>
      <w:bookmarkStart w:id="35" w:name="_Toc28359087"/>
      <w:bookmarkStart w:id="36" w:name="_Toc28359010"/>
      <w:r>
        <w:rPr>
          <w:rFonts w:hint="eastAsia" w:ascii="宋体" w:hAnsi="宋体" w:cs="宋体"/>
          <w:sz w:val="24"/>
          <w:u w:val="single"/>
          <w:lang w:eastAsia="zh-CN"/>
        </w:rPr>
        <w:t>谢</w:t>
      </w:r>
      <w:r>
        <w:rPr>
          <w:rFonts w:hint="eastAsia" w:ascii="宋体" w:hAnsi="宋体" w:cs="宋体"/>
          <w:sz w:val="24"/>
          <w:u w:val="single"/>
        </w:rPr>
        <w:t>女士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 xml:space="preserve">88685062        </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lang w:eastAsia="zh-CN"/>
        </w:rPr>
        <w:t>侯</w:t>
      </w:r>
      <w:r>
        <w:rPr>
          <w:rFonts w:hint="eastAsia" w:ascii="宋体" w:hAnsi="宋体" w:cs="宋体"/>
          <w:sz w:val="24"/>
          <w:u w:val="single"/>
        </w:rPr>
        <w:t>女士（受理注册、中标结果相关质疑及答复）</w:t>
      </w:r>
    </w:p>
    <w:p>
      <w:pPr>
        <w:spacing w:line="360" w:lineRule="auto"/>
        <w:ind w:firstLine="480" w:firstLineChars="200"/>
        <w:jc w:val="left"/>
        <w:rPr>
          <w:rFonts w:hint="eastAsia"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u w:val="single"/>
          <w:lang w:val="en-US" w:eastAsia="zh-CN"/>
        </w:rPr>
        <w:t xml:space="preserve">0576-88685121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技术人员：</w:t>
      </w:r>
      <w:r>
        <w:rPr>
          <w:rFonts w:hint="eastAsia" w:ascii="宋体" w:hAnsi="宋体" w:cs="宋体"/>
          <w:sz w:val="24"/>
          <w:u w:val="single"/>
          <w:lang w:eastAsia="zh-CN"/>
        </w:rPr>
        <w:t>徐</w:t>
      </w:r>
      <w:r>
        <w:rPr>
          <w:rFonts w:hint="eastAsia" w:ascii="宋体" w:hAnsi="宋体" w:cs="宋体"/>
          <w:sz w:val="24"/>
          <w:u w:val="single"/>
        </w:rPr>
        <w:t xml:space="preserve">女士   </w:t>
      </w:r>
      <w:r>
        <w:rPr>
          <w:rFonts w:hint="eastAsia" w:ascii="宋体" w:hAnsi="宋体" w:cs="宋体"/>
          <w:sz w:val="24"/>
          <w:u w:val="single"/>
          <w:lang w:val="en-US" w:eastAsia="zh-CN"/>
        </w:rPr>
        <w:t xml:space="preserve">                    </w:t>
      </w:r>
      <w:r>
        <w:rPr>
          <w:rFonts w:hint="eastAsia" w:ascii="宋体" w:hAnsi="宋体" w:cs="宋体"/>
          <w:sz w:val="24"/>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lang w:val="en-US" w:eastAsia="zh-CN"/>
        </w:rPr>
        <w:t xml:space="preserve">0576-88685161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lang w:eastAsia="zh-CN"/>
        </w:rPr>
        <w:t>台州市政府采购监管处</w:t>
      </w:r>
      <w:r>
        <w:rPr>
          <w:rFonts w:hint="eastAsia" w:ascii="宋体" w:hAnsi="宋体" w:cs="宋体"/>
          <w:sz w:val="24"/>
          <w:u w:val="single"/>
          <w:lang w:val="en-US" w:eastAsia="zh-CN"/>
        </w:rPr>
        <w:t xml:space="preserve">          </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地址：</w:t>
      </w:r>
      <w:r>
        <w:rPr>
          <w:rFonts w:hint="eastAsia" w:ascii="宋体" w:hAnsi="宋体" w:cs="宋体"/>
          <w:sz w:val="24"/>
          <w:u w:val="single"/>
          <w:lang w:eastAsia="zh-CN"/>
        </w:rPr>
        <w:t>台州市财政局</w:t>
      </w:r>
      <w:r>
        <w:rPr>
          <w:rFonts w:hint="eastAsia" w:ascii="宋体" w:hAnsi="宋体" w:cs="宋体"/>
          <w:sz w:val="24"/>
          <w:u w:val="single"/>
          <w:lang w:val="en-US" w:eastAsia="zh-CN"/>
        </w:rPr>
        <w:t xml:space="preserve">                 </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联系人：</w:t>
      </w:r>
      <w:r>
        <w:rPr>
          <w:rFonts w:hint="eastAsia" w:ascii="宋体" w:hAnsi="宋体" w:cs="宋体"/>
          <w:sz w:val="24"/>
          <w:u w:val="single"/>
          <w:lang w:eastAsia="zh-CN"/>
        </w:rPr>
        <w:t>陈女士</w:t>
      </w:r>
      <w:r>
        <w:rPr>
          <w:rFonts w:hint="eastAsia" w:ascii="宋体" w:hAnsi="宋体" w:cs="宋体"/>
          <w:sz w:val="24"/>
          <w:u w:val="single"/>
          <w:lang w:val="en-US" w:eastAsia="zh-CN"/>
        </w:rPr>
        <w:t xml:space="preserve">                     </w:t>
      </w:r>
      <w:r>
        <w:rPr>
          <w:rFonts w:hint="eastAsia" w:ascii="宋体" w:hAnsi="宋体" w:cs="宋体"/>
          <w:sz w:val="24"/>
          <w:u w:val="single"/>
        </w:rPr>
        <w:t>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 xml:space="preserve">88206705              </w:t>
      </w:r>
      <w:r>
        <w:rPr>
          <w:rFonts w:hint="eastAsia" w:ascii="宋体" w:hAnsi="宋体" w:cs="宋体"/>
          <w:sz w:val="24"/>
          <w:u w:val="single"/>
        </w:rPr>
        <w:t xml:space="preserve"> </w:t>
      </w:r>
    </w:p>
    <w:p>
      <w:pPr>
        <w:spacing w:line="360" w:lineRule="auto"/>
        <w:ind w:firstLine="482" w:firstLineChars="200"/>
        <w:rPr>
          <w:rFonts w:ascii="宋体" w:hAnsi="宋体" w:cs="宋体"/>
          <w:b/>
          <w:sz w:val="24"/>
        </w:rPr>
      </w:pPr>
      <w:r>
        <w:rPr>
          <w:rFonts w:hint="eastAsia" w:ascii="宋体" w:hAnsi="宋体" w:cs="宋体"/>
          <w:b/>
          <w:sz w:val="24"/>
        </w:rPr>
        <w:t>（四）政采云平台</w:t>
      </w:r>
    </w:p>
    <w:p>
      <w:pPr>
        <w:spacing w:line="360" w:lineRule="auto"/>
        <w:ind w:firstLine="480" w:firstLineChars="200"/>
        <w:rPr>
          <w:rFonts w:hint="eastAsia" w:ascii="宋体" w:hAnsi="宋体" w:cs="宋体"/>
          <w:sz w:val="24"/>
          <w:shd w:val="clear" w:color="auto" w:fill="FFFFFF"/>
        </w:rPr>
      </w:pPr>
      <w:r>
        <w:rPr>
          <w:rFonts w:hint="eastAsia" w:ascii="宋体" w:hAnsi="宋体" w:cs="宋体"/>
          <w:sz w:val="24"/>
        </w:rPr>
        <w:t>联系电话：</w:t>
      </w:r>
      <w:r>
        <w:rPr>
          <w:rFonts w:hint="eastAsia" w:ascii="宋体" w:hAnsi="宋体" w:cs="宋体"/>
          <w:sz w:val="24"/>
          <w:u w:val="single"/>
        </w:rPr>
        <w:t>4008817190</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sz w:val="24"/>
        </w:rPr>
      </w:pPr>
      <w:r>
        <w:rPr>
          <w:rFonts w:hint="eastAsia" w:ascii="宋体" w:hAnsi="宋体" w:cs="宋体"/>
          <w:sz w:val="24"/>
          <w:shd w:val="clear" w:color="auto" w:fill="FFFFFF"/>
          <w:lang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widowControl/>
        <w:spacing w:line="360" w:lineRule="auto"/>
        <w:jc w:val="right"/>
      </w:pPr>
      <w:r>
        <w:rPr>
          <w:rFonts w:hint="eastAsia" w:ascii="宋体" w:hAnsi="宋体" w:cs="宋体"/>
          <w:kern w:val="0"/>
          <w:sz w:val="24"/>
        </w:rPr>
        <w:t xml:space="preserve">                                    </w:t>
      </w:r>
      <w:r>
        <w:rPr>
          <w:rFonts w:hint="eastAsia" w:asciiTheme="minorEastAsia" w:hAnsiTheme="minorEastAsia" w:eastAsiaTheme="minorEastAsia" w:cstheme="minorEastAsia"/>
          <w:kern w:val="0"/>
          <w:sz w:val="24"/>
          <w:lang w:val="en-US" w:eastAsia="zh-CN"/>
        </w:rPr>
        <w:t>2022</w:t>
      </w:r>
      <w:r>
        <w:rPr>
          <w:rFonts w:hint="eastAsia" w:asciiTheme="minorEastAsia" w:hAnsiTheme="minorEastAsia" w:eastAsiaTheme="minorEastAsia" w:cstheme="minorEastAsia"/>
          <w:kern w:val="0"/>
          <w:sz w:val="24"/>
        </w:rPr>
        <w:t>年</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kern w:val="0"/>
          <w:sz w:val="24"/>
        </w:rPr>
        <w:t>月</w:t>
      </w:r>
      <w:r>
        <w:rPr>
          <w:rFonts w:hint="eastAsia" w:asciiTheme="minorEastAsia" w:hAnsiTheme="minorEastAsia" w:eastAsiaTheme="minorEastAsia" w:cstheme="minorEastAsia"/>
          <w:kern w:val="0"/>
          <w:sz w:val="24"/>
          <w:lang w:val="en-US" w:eastAsia="zh-CN"/>
        </w:rPr>
        <w:t>1</w:t>
      </w:r>
      <w:r>
        <w:rPr>
          <w:rFonts w:hint="eastAsia" w:asciiTheme="minorEastAsia" w:hAnsiTheme="minorEastAsia" w:eastAsiaTheme="minorEastAsia" w:cstheme="minorEastAsia"/>
          <w:kern w:val="0"/>
          <w:sz w:val="24"/>
        </w:rPr>
        <w:t>日</w:t>
      </w:r>
    </w:p>
    <w:bookmarkEnd w:id="35"/>
    <w:bookmarkEnd w:id="36"/>
    <w:p>
      <w:pPr>
        <w:numPr>
          <w:ilvl w:val="0"/>
          <w:numId w:val="4"/>
        </w:numPr>
        <w:spacing w:line="360" w:lineRule="auto"/>
        <w:jc w:val="center"/>
        <w:rPr>
          <w:rFonts w:asciiTheme="minorEastAsia" w:hAnsiTheme="minorEastAsia" w:eastAsiaTheme="minorEastAsia"/>
          <w:b/>
          <w:sz w:val="36"/>
          <w:szCs w:val="36"/>
        </w:rPr>
      </w:pPr>
      <w:bookmarkStart w:id="37" w:name="_Toc25017_WPSOffice_Level1"/>
      <w:r>
        <w:rPr>
          <w:rFonts w:hint="eastAsia" w:asciiTheme="minorEastAsia" w:hAnsiTheme="minorEastAsia" w:eastAsiaTheme="minorEastAsia"/>
          <w:b/>
          <w:sz w:val="36"/>
          <w:szCs w:val="36"/>
        </w:rPr>
        <w:t>投标人须知</w:t>
      </w:r>
      <w:bookmarkEnd w:id="37"/>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19"/>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序号</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是否允许联合体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rPr>
            </w:pPr>
            <w:r>
              <w:rPr>
                <w:rFonts w:hint="eastAsia" w:ascii="宋体" w:hAnsi="宋体" w:eastAsia="宋体" w:cs="宋体"/>
              </w:rPr>
              <w:t>□是 /</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是否允许分包</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rPr>
            </w:pPr>
            <w:r>
              <w:rPr>
                <w:rFonts w:hint="eastAsia" w:ascii="宋体" w:hAnsi="宋体" w:eastAsia="宋体" w:cs="宋体"/>
              </w:rPr>
              <w:t>□是/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是否包含政府强制采购节能产品</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rPr>
            </w:pPr>
            <w:r>
              <w:rPr>
                <w:rFonts w:hint="eastAsia" w:ascii="宋体" w:hAnsi="宋体" w:eastAsia="宋体" w:cs="宋体"/>
              </w:rPr>
              <w:t>□是（具体清单见招标需求）/</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答疑会或</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szCs w:val="21"/>
              </w:rPr>
              <w:t>现场踏勘</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kern w:val="0"/>
                <w:szCs w:val="21"/>
              </w:rPr>
            </w:pPr>
            <w:r>
              <w:rPr>
                <w:rFonts w:hint="eastAsia" w:ascii="宋体" w:hAnsi="宋体" w:eastAsia="宋体" w:cs="宋体"/>
                <w:color w:val="auto"/>
                <w:kern w:val="2"/>
                <w:sz w:val="21"/>
                <w:szCs w:val="21"/>
                <w:lang w:val="en-US" w:eastAsia="zh-CN" w:bidi="ar-SA"/>
              </w:rPr>
              <w:t>领取招标采购文件后，采购人将统一组织现场勘察，各投标人请在202</w:t>
            </w:r>
            <w:r>
              <w:rPr>
                <w:rFonts w:hint="eastAsia" w:ascii="宋体" w:hAnsi="宋体" w:cs="宋体"/>
                <w:color w:val="auto"/>
                <w:kern w:val="2"/>
                <w:sz w:val="21"/>
                <w:szCs w:val="21"/>
                <w:lang w:val="en-US" w:eastAsia="zh-CN" w:bidi="ar-SA"/>
              </w:rPr>
              <w:t>2</w:t>
            </w:r>
            <w:r>
              <w:rPr>
                <w:rFonts w:hint="eastAsia" w:ascii="宋体" w:hAnsi="宋体" w:eastAsia="宋体" w:cs="宋体"/>
                <w:color w:val="auto"/>
                <w:kern w:val="2"/>
                <w:sz w:val="21"/>
                <w:szCs w:val="21"/>
                <w:lang w:val="en-US" w:eastAsia="zh-CN" w:bidi="ar-SA"/>
              </w:rPr>
              <w:t xml:space="preserve">年 </w:t>
            </w:r>
            <w:r>
              <w:rPr>
                <w:rFonts w:hint="eastAsia" w:ascii="宋体" w:hAnsi="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月</w:t>
            </w:r>
            <w:r>
              <w:rPr>
                <w:rFonts w:hint="eastAsia" w:ascii="宋体" w:hAnsi="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日前将公司名称、联系人、联系电话告知采购联系人：</w:t>
            </w:r>
            <w:r>
              <w:rPr>
                <w:rFonts w:hint="eastAsia" w:ascii="宋体" w:hAnsi="宋体" w:cs="宋体"/>
                <w:color w:val="auto"/>
                <w:kern w:val="2"/>
                <w:sz w:val="21"/>
                <w:szCs w:val="21"/>
                <w:u w:val="single"/>
                <w:lang w:val="en-US" w:eastAsia="zh-CN" w:bidi="ar-SA"/>
              </w:rPr>
              <w:t xml:space="preserve">  童浩 </w:t>
            </w:r>
            <w:r>
              <w:rPr>
                <w:rFonts w:hint="eastAsia" w:ascii="宋体" w:hAnsi="宋体" w:eastAsia="宋体" w:cs="宋体"/>
                <w:color w:val="auto"/>
                <w:kern w:val="2"/>
                <w:sz w:val="21"/>
                <w:szCs w:val="21"/>
                <w:lang w:val="en-US" w:eastAsia="zh-CN" w:bidi="ar-SA"/>
              </w:rPr>
              <w:t>；联系电话：</w:t>
            </w:r>
            <w:r>
              <w:rPr>
                <w:rFonts w:hint="eastAsia" w:ascii="宋体" w:hAnsi="宋体" w:cs="宋体"/>
                <w:color w:val="auto"/>
                <w:sz w:val="24"/>
                <w:u w:val="single"/>
                <w:lang w:val="en-US" w:eastAsia="zh-CN"/>
              </w:rPr>
              <w:t xml:space="preserve">13857660076 </w:t>
            </w:r>
            <w:r>
              <w:rPr>
                <w:rFonts w:hint="eastAsia" w:ascii="宋体" w:hAnsi="宋体" w:eastAsia="宋体" w:cs="宋体"/>
                <w:color w:val="auto"/>
                <w:kern w:val="2"/>
                <w:sz w:val="21"/>
                <w:szCs w:val="21"/>
                <w:lang w:val="en-US" w:eastAsia="zh-CN" w:bidi="ar-SA"/>
              </w:rPr>
              <w:t>，具体勘察时间、地点另行通知。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rPr>
              <w:t>投标文件的制作和投标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w:t>
            </w:r>
            <w:r>
              <w:rPr>
                <w:rFonts w:hint="eastAsia" w:ascii="宋体" w:hAnsi="宋体" w:cs="宋体"/>
                <w:lang w:eastAsia="zh-CN"/>
              </w:rPr>
              <w:t>《</w:t>
            </w:r>
            <w:r>
              <w:rPr>
                <w:rFonts w:hint="eastAsia" w:ascii="宋体" w:hAnsi="宋体" w:eastAsia="宋体" w:cs="宋体"/>
              </w:rPr>
              <w:t>政府采购项目电子交易操作指南</w:t>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lang w:val="en-US" w:eastAsia="zh-CN"/>
              </w:rPr>
              <w:t>9:00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kern w:val="0"/>
                <w:szCs w:val="21"/>
              </w:rPr>
            </w:pPr>
            <w:r>
              <w:rPr>
                <w:rFonts w:hint="eastAsia" w:ascii="宋体" w:hAnsi="宋体" w:eastAsia="宋体" w:cs="宋体"/>
              </w:rPr>
              <w:t>3.投标文件解密：投标人应在开标当天北京时间</w:t>
            </w:r>
            <w:r>
              <w:rPr>
                <w:rFonts w:hint="eastAsia"/>
                <w:lang w:val="en-US" w:eastAsia="zh-CN"/>
              </w:rPr>
              <w:t>9:00</w:t>
            </w:r>
            <w:r>
              <w:rPr>
                <w:rFonts w:hint="eastAsia"/>
              </w:rPr>
              <w:t>至</w:t>
            </w:r>
            <w:r>
              <w:rPr>
                <w:rFonts w:hint="eastAsia"/>
                <w:lang w:val="en-US" w:eastAsia="zh-CN"/>
              </w:rPr>
              <w:t>9:30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rPr>
              <w:t>备份投标文件的递交</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1.使用前提：在解密截止时间前，投标人自行在线解密操作失败</w:t>
            </w:r>
            <w:r>
              <w:rPr>
                <w:rFonts w:hint="eastAsia" w:ascii="宋体" w:hAnsi="宋体" w:cs="宋体"/>
                <w:lang w:eastAsia="zh-CN"/>
              </w:rPr>
              <w:t>，</w:t>
            </w:r>
            <w:r>
              <w:rPr>
                <w:rFonts w:hint="eastAsia" w:ascii="宋体" w:hAnsi="宋体" w:eastAsia="宋体" w:cs="宋体"/>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2.递交截止时间：开标当天</w:t>
            </w:r>
            <w:r>
              <w:rPr>
                <w:rFonts w:hint="eastAsia" w:ascii="宋体" w:hAnsi="宋体" w:cs="宋体"/>
                <w:lang w:val="en-US" w:eastAsia="zh-CN"/>
              </w:rPr>
              <w:t>9:50</w:t>
            </w:r>
            <w:r>
              <w:rPr>
                <w:rFonts w:hint="eastAsia" w:ascii="宋体" w:hAnsi="宋体" w:eastAsia="宋体" w:cs="宋体"/>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2"/>
              <w:keepNext w:val="0"/>
              <w:keepLines w:val="0"/>
              <w:pageBreakBefore w:val="0"/>
              <w:kinsoku/>
              <w:wordWrap/>
              <w:overflowPunct/>
              <w:topLinePunct w:val="0"/>
              <w:bidi w:val="0"/>
              <w:adjustRightInd/>
              <w:snapToGrid/>
              <w:spacing w:line="300" w:lineRule="auto"/>
              <w:ind w:firstLine="0"/>
              <w:jc w:val="center"/>
              <w:textAlignment w:val="auto"/>
              <w:rPr>
                <w:rFonts w:hint="eastAsia" w:ascii="宋体" w:hAnsi="宋体" w:eastAsia="宋体" w:cs="宋体"/>
                <w:szCs w:val="21"/>
              </w:rPr>
            </w:pPr>
            <w:r>
              <w:rPr>
                <w:rFonts w:hint="eastAsia" w:ascii="宋体" w:hAnsi="宋体" w:eastAsia="宋体" w:cs="宋体"/>
                <w:szCs w:val="21"/>
              </w:rPr>
              <w:t>不见面开标</w:t>
            </w:r>
          </w:p>
          <w:p>
            <w:pPr>
              <w:pStyle w:val="2"/>
              <w:keepNext w:val="0"/>
              <w:keepLines w:val="0"/>
              <w:pageBreakBefore w:val="0"/>
              <w:kinsoku/>
              <w:wordWrap/>
              <w:overflowPunct/>
              <w:topLinePunct w:val="0"/>
              <w:bidi w:val="0"/>
              <w:adjustRightInd/>
              <w:snapToGrid/>
              <w:spacing w:line="300" w:lineRule="auto"/>
              <w:ind w:firstLine="0"/>
              <w:jc w:val="center"/>
              <w:textAlignment w:val="auto"/>
              <w:rPr>
                <w:rFonts w:hint="eastAsia" w:ascii="宋体" w:hAnsi="宋体" w:eastAsia="宋体" w:cs="宋体"/>
                <w:szCs w:val="21"/>
              </w:rPr>
            </w:pP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6"/>
              <w:keepNext w:val="0"/>
              <w:keepLines w:val="0"/>
              <w:pageBreakBefore w:val="0"/>
              <w:kinsoku/>
              <w:wordWrap/>
              <w:overflowPunct/>
              <w:topLinePunct w:val="0"/>
              <w:bidi w:val="0"/>
              <w:adjustRightInd/>
              <w:snapToGrid/>
              <w:spacing w:before="0" w:beforeAutospacing="0" w:after="0" w:afterAutospacing="0"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本项目开评标环节实行全流程电子化，采取政采云不见面开标大厅实现，</w:t>
            </w:r>
            <w:r>
              <w:rPr>
                <w:rFonts w:hint="eastAsia" w:ascii="宋体" w:hAnsi="宋体" w:eastAsia="宋体" w:cs="宋体"/>
                <w:sz w:val="21"/>
                <w:szCs w:val="21"/>
                <w:lang w:eastAsia="zh-CN"/>
              </w:rPr>
              <w:t>投标人</w:t>
            </w:r>
            <w:r>
              <w:rPr>
                <w:rFonts w:hint="eastAsia" w:ascii="宋体" w:hAnsi="宋体" w:eastAsia="宋体" w:cs="宋体"/>
                <w:sz w:val="21"/>
                <w:szCs w:val="21"/>
              </w:rPr>
              <w:t>可自行登录政采云平台进入开标大厅观看现场直播画面。采购组织机构按照采购文件规定的时间通过电子交易平台组织开标、开启</w:t>
            </w:r>
            <w:r>
              <w:rPr>
                <w:rFonts w:hint="eastAsia" w:ascii="宋体" w:hAnsi="宋体" w:eastAsia="宋体" w:cs="宋体"/>
                <w:sz w:val="21"/>
                <w:szCs w:val="21"/>
                <w:lang w:eastAsia="zh-CN"/>
              </w:rPr>
              <w:t>投标</w:t>
            </w:r>
            <w:r>
              <w:rPr>
                <w:rFonts w:hint="eastAsia" w:ascii="宋体" w:hAnsi="宋体" w:eastAsia="宋体" w:cs="宋体"/>
                <w:sz w:val="21"/>
                <w:szCs w:val="21"/>
              </w:rPr>
              <w:t>文件，所有</w:t>
            </w:r>
            <w:r>
              <w:rPr>
                <w:rFonts w:hint="eastAsia" w:ascii="宋体" w:hAnsi="宋体" w:eastAsia="宋体" w:cs="宋体"/>
                <w:sz w:val="21"/>
                <w:szCs w:val="21"/>
                <w:lang w:eastAsia="zh-CN"/>
              </w:rPr>
              <w:t>投标人</w:t>
            </w:r>
            <w:r>
              <w:rPr>
                <w:rFonts w:hint="eastAsia" w:ascii="宋体" w:hAnsi="宋体" w:eastAsia="宋体" w:cs="宋体"/>
                <w:sz w:val="21"/>
                <w:szCs w:val="21"/>
              </w:rPr>
              <w:t>均应当准时在线参加。如未参加，造成无法响应或响应失败等后果由</w:t>
            </w:r>
            <w:r>
              <w:rPr>
                <w:rFonts w:hint="eastAsia" w:ascii="宋体" w:hAnsi="宋体" w:eastAsia="宋体" w:cs="宋体"/>
                <w:sz w:val="21"/>
                <w:szCs w:val="21"/>
                <w:lang w:eastAsia="zh-CN"/>
              </w:rPr>
              <w:t>投标人</w:t>
            </w:r>
            <w:r>
              <w:rPr>
                <w:rFonts w:hint="eastAsia" w:ascii="宋体" w:hAnsi="宋体" w:eastAsia="宋体" w:cs="宋体"/>
                <w:sz w:val="21"/>
                <w:szCs w:val="21"/>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lang w:val="en-US" w:eastAsia="zh-CN"/>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lang w:val="en-US" w:eastAsia="zh-CN"/>
              </w:rPr>
              <w:t>远程询标/</w:t>
            </w:r>
            <w:r>
              <w:rPr>
                <w:rFonts w:hint="eastAsia" w:ascii="宋体" w:hAnsi="宋体" w:eastAsia="宋体" w:cs="宋体"/>
                <w:szCs w:val="21"/>
              </w:rPr>
              <w:t>远程在线演示要求</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szCs w:val="21"/>
                <w:lang w:val="en-US" w:eastAsia="zh-CN"/>
              </w:rPr>
              <w:t>要求</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本项目线上协商通过“政采云视频讲标系统”进行线上视频演示，投标人登录政采云系统-----进入开标大厅---进入本项目进行操作。政采云视频讲标系统在线上视频协商时需要投标人电脑配置有摄像头、音箱和必要的网络带宽（浏览器建议用谷歌浏览器，网络带宽不少于50兆，请勿用无线，以免出现卡顿现象。摄像头建议用中档及以上摄像头，以利于演示时的画面质量；音箱请提前予以调试，以避免演示时出现没有声音现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bCs/>
                <w:kern w:val="2"/>
                <w:sz w:val="21"/>
                <w:szCs w:val="21"/>
                <w:lang w:val="en-US" w:eastAsia="zh-CN" w:bidi="ar-SA"/>
              </w:rPr>
              <w:t xml:space="preserve">   “政采云视频讲标系统”评委可以看见和听见投标人的画面和声音，投标人只能听见的评委的声音，看不见评委的画面。政采云视频讲标系统目前不支持手机端。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9</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eastAsia="宋体" w:cs="宋体"/>
                <w:szCs w:val="21"/>
              </w:rPr>
              <w:t>投标与开标注意事项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0"/>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bCs/>
                <w:szCs w:val="21"/>
              </w:rPr>
            </w:pPr>
            <w:r>
              <w:rPr>
                <w:rFonts w:hint="eastAsia" w:ascii="宋体" w:hAnsi="宋体" w:eastAsia="宋体" w:cs="宋体"/>
                <w:bCs/>
                <w:szCs w:val="21"/>
              </w:rPr>
              <w:t>1.本项目实行电子投标，投标人自行承担投标一切费用。</w:t>
            </w:r>
          </w:p>
          <w:p>
            <w:pPr>
              <w:pStyle w:val="10"/>
              <w:keepNext w:val="0"/>
              <w:keepLines w:val="0"/>
              <w:pageBreakBefore w:val="0"/>
              <w:kinsoku/>
              <w:wordWrap/>
              <w:overflowPunct/>
              <w:topLinePunct w:val="0"/>
              <w:bidi w:val="0"/>
              <w:adjustRightInd/>
              <w:snapToGrid/>
              <w:spacing w:line="300" w:lineRule="auto"/>
              <w:ind w:firstLine="420" w:firstLineChars="200"/>
              <w:textAlignment w:val="auto"/>
              <w:rPr>
                <w:rFonts w:hint="default"/>
                <w:lang w:val="en-US" w:eastAsia="zh-CN"/>
              </w:rPr>
            </w:pPr>
            <w:r>
              <w:rPr>
                <w:rFonts w:hint="eastAsia" w:ascii="宋体" w:hAnsi="宋体" w:eastAsia="宋体" w:cs="宋体"/>
                <w:bCs/>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0</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信用信息查询渠道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szCs w:val="21"/>
              </w:rPr>
              <w:t>http://www.creditchina.gov.cn</w:t>
            </w:r>
            <w:r>
              <w:rPr>
                <w:rFonts w:hint="eastAsia" w:ascii="宋体" w:hAnsi="宋体" w:eastAsia="宋体" w:cs="宋体"/>
                <w:szCs w:val="21"/>
              </w:rPr>
              <w:fldChar w:fldCharType="end"/>
            </w:r>
            <w:r>
              <w:rPr>
                <w:rFonts w:hint="eastAsia" w:ascii="宋体" w:hAnsi="宋体" w:cs="宋体"/>
                <w:szCs w:val="21"/>
                <w:lang w:eastAsia="zh-CN"/>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中国政府采购网（网址：http://www.ccgp.gov.cn</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rPr>
              <w:t>中小企业预留份额情况</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根据《政府采购促进中小企业发展管理办法》</w:t>
            </w:r>
            <w:r>
              <w:rPr>
                <w:rFonts w:hint="eastAsia" w:ascii="宋体" w:hAnsi="宋体" w:cs="宋体"/>
                <w:szCs w:val="21"/>
                <w:lang w:eastAsia="zh-CN"/>
              </w:rPr>
              <w:t>（</w:t>
            </w:r>
            <w:r>
              <w:rPr>
                <w:rFonts w:hint="eastAsia" w:ascii="宋体" w:hAnsi="宋体" w:eastAsia="宋体" w:cs="宋体"/>
                <w:szCs w:val="21"/>
              </w:rPr>
              <w:t>财库〔2020〕46号</w:t>
            </w:r>
            <w:r>
              <w:rPr>
                <w:rFonts w:hint="eastAsia" w:ascii="宋体" w:hAnsi="宋体" w:cs="宋体"/>
                <w:szCs w:val="21"/>
                <w:lang w:eastAsia="zh-CN"/>
              </w:rPr>
              <w:t>）</w:t>
            </w:r>
            <w:r>
              <w:rPr>
                <w:rFonts w:hint="eastAsia" w:ascii="宋体" w:hAnsi="宋体" w:eastAsia="宋体" w:cs="宋体"/>
                <w:szCs w:val="21"/>
              </w:rPr>
              <w:t>文件的规定，本项目(□是 /</w:t>
            </w:r>
            <w:r>
              <w:rPr>
                <w:rFonts w:hint="eastAsia" w:ascii="宋体" w:hAnsi="宋体" w:cs="宋体"/>
                <w:szCs w:val="21"/>
                <w:lang w:eastAsia="zh-CN"/>
              </w:rPr>
              <w:t>☑</w:t>
            </w:r>
            <w:r>
              <w:rPr>
                <w:rFonts w:hint="eastAsia" w:ascii="宋体" w:hAnsi="宋体" w:eastAsia="宋体" w:cs="宋体"/>
                <w:szCs w:val="21"/>
              </w:rPr>
              <w:t xml:space="preserve"> 否</w:t>
            </w:r>
            <w:r>
              <w:rPr>
                <w:rFonts w:hint="eastAsia" w:ascii="宋体" w:hAnsi="宋体" w:eastAsia="宋体" w:cs="宋体"/>
                <w:szCs w:val="21"/>
                <w:shd w:val="clear" w:color="auto" w:fill="FFFFFF"/>
              </w:rPr>
              <w:t>)</w:t>
            </w:r>
            <w:r>
              <w:rPr>
                <w:rFonts w:hint="eastAsia" w:ascii="宋体" w:hAnsi="宋体" w:eastAsia="宋体" w:cs="宋体"/>
                <w:szCs w:val="21"/>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中小企业优惠措施</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1.项目属性</w:t>
            </w:r>
            <w:r>
              <w:rPr>
                <w:rFonts w:hint="eastAsia" w:ascii="宋体" w:hAnsi="宋体" w:cs="宋体"/>
                <w:szCs w:val="21"/>
                <w:u w:val="none"/>
                <w:lang w:eastAsia="zh-CN"/>
              </w:rPr>
              <w:t>：</w:t>
            </w:r>
            <w:r>
              <w:rPr>
                <w:rFonts w:hint="eastAsia" w:ascii="宋体" w:hAnsi="宋体" w:eastAsia="宋体" w:cs="宋体"/>
                <w:szCs w:val="21"/>
                <w:u w:val="single"/>
              </w:rPr>
              <w:t>货物类</w:t>
            </w:r>
            <w:r>
              <w:rPr>
                <w:rFonts w:hint="eastAsia" w:ascii="宋体" w:hAnsi="宋体" w:cs="宋体"/>
                <w:szCs w:val="21"/>
                <w:lang w:eastAsia="zh-CN"/>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2.中小企业划分标准所属行业（具体根据《中小企业划型标准规定》执行）</w:t>
            </w:r>
            <w:r>
              <w:rPr>
                <w:rFonts w:hint="eastAsia" w:ascii="宋体" w:hAnsi="宋体" w:cs="宋体"/>
                <w:szCs w:val="21"/>
                <w:lang w:eastAsia="zh-CN"/>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采购标的：</w:t>
            </w:r>
            <w:r>
              <w:rPr>
                <w:rFonts w:hint="eastAsia" w:ascii="宋体" w:hAnsi="宋体" w:eastAsia="宋体" w:cs="宋体"/>
                <w:szCs w:val="21"/>
                <w:u w:val="single"/>
              </w:rPr>
              <w:t xml:space="preserve">  </w:t>
            </w:r>
            <w:r>
              <w:rPr>
                <w:rFonts w:hint="eastAsia" w:ascii="宋体" w:hAnsi="宋体" w:cs="宋体"/>
                <w:szCs w:val="21"/>
                <w:u w:val="single"/>
                <w:lang w:val="en-US" w:eastAsia="zh-CN"/>
              </w:rPr>
              <w:t>视频会议系统</w:t>
            </w:r>
            <w:r>
              <w:rPr>
                <w:rFonts w:hint="eastAsia" w:ascii="宋体" w:hAnsi="宋体" w:eastAsia="宋体" w:cs="宋体"/>
                <w:szCs w:val="21"/>
                <w:u w:val="single"/>
              </w:rPr>
              <w:t xml:space="preserve">  </w:t>
            </w:r>
            <w:r>
              <w:rPr>
                <w:rFonts w:hint="eastAsia" w:ascii="宋体" w:hAnsi="宋体" w:eastAsia="宋体" w:cs="宋体"/>
                <w:szCs w:val="21"/>
              </w:rPr>
              <w:t>，所属行业：</w:t>
            </w:r>
            <w:r>
              <w:rPr>
                <w:rFonts w:hint="eastAsia" w:ascii="宋体" w:hAnsi="宋体" w:eastAsia="宋体" w:cs="宋体"/>
                <w:szCs w:val="21"/>
                <w:u w:val="single"/>
              </w:rPr>
              <w:t xml:space="preserve"> 软件和信息技术服务业  </w:t>
            </w:r>
            <w:r>
              <w:rPr>
                <w:rFonts w:hint="eastAsia" w:ascii="宋体" w:hAnsi="宋体" w:eastAsia="宋体" w:cs="宋体"/>
                <w:szCs w:val="21"/>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3.属于享受政府采购支持政策的残疾人福利性单位，</w:t>
            </w:r>
            <w:r>
              <w:rPr>
                <w:rFonts w:hint="eastAsia" w:ascii="宋体" w:hAnsi="宋体" w:eastAsia="宋体" w:cs="宋体"/>
                <w:color w:val="000000" w:themeColor="text1"/>
                <w:szCs w:val="21"/>
                <w14:textFill>
                  <w14:solidFill>
                    <w14:schemeClr w14:val="tx1"/>
                  </w14:solidFill>
                </w14:textFill>
              </w:rPr>
              <w:t>应符合财库</w:t>
            </w:r>
            <w:r>
              <w:rPr>
                <w:rFonts w:hint="eastAsia" w:ascii="宋体" w:hAnsi="宋体" w:eastAsia="宋体" w:cs="宋体"/>
                <w:szCs w:val="21"/>
              </w:rPr>
              <w:t>〔20</w:t>
            </w:r>
            <w:r>
              <w:rPr>
                <w:rFonts w:hint="eastAsia" w:ascii="宋体" w:hAnsi="宋体" w:cs="宋体"/>
                <w:szCs w:val="21"/>
                <w:lang w:val="en-US" w:eastAsia="zh-CN"/>
              </w:rPr>
              <w:t>17</w:t>
            </w:r>
            <w:r>
              <w:rPr>
                <w:rFonts w:hint="eastAsia" w:ascii="宋体" w:hAnsi="宋体" w:eastAsia="宋体" w:cs="宋体"/>
                <w:szCs w:val="21"/>
              </w:rPr>
              <w:t>〕</w:t>
            </w:r>
            <w:r>
              <w:rPr>
                <w:rFonts w:hint="eastAsia" w:ascii="宋体" w:hAnsi="宋体" w:eastAsia="宋体" w:cs="宋体"/>
                <w:color w:val="000000" w:themeColor="text1"/>
                <w:szCs w:val="21"/>
                <w14:textFill>
                  <w14:solidFill>
                    <w14:schemeClr w14:val="tx1"/>
                  </w14:solidFill>
                </w14:textFill>
              </w:rPr>
              <w:t>141号文件规定</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视同小型、微型企业</w:t>
            </w:r>
            <w:r>
              <w:rPr>
                <w:rFonts w:hint="eastAsia" w:ascii="宋体" w:hAnsi="宋体" w:eastAsia="宋体" w:cs="宋体"/>
                <w:szCs w:val="21"/>
                <w:lang w:eastAsia="zh-CN"/>
              </w:rPr>
              <w:t>，</w:t>
            </w: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文件中提供《残疾人福利性单位声明函》（见附件）</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享受评审中价格扣除政策</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4.根据财库〔20</w:t>
            </w:r>
            <w:r>
              <w:rPr>
                <w:rFonts w:hint="eastAsia" w:ascii="宋体" w:hAnsi="宋体" w:cs="宋体"/>
                <w:szCs w:val="21"/>
                <w:lang w:val="en-US" w:eastAsia="zh-CN"/>
              </w:rPr>
              <w:t>14</w:t>
            </w:r>
            <w:r>
              <w:rPr>
                <w:rFonts w:hint="eastAsia" w:ascii="宋体" w:hAnsi="宋体" w:eastAsia="宋体" w:cs="宋体"/>
                <w:szCs w:val="21"/>
              </w:rPr>
              <w:t>〕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kinsoku/>
              <w:wordWrap/>
              <w:overflowPunct/>
              <w:topLinePunct w:val="0"/>
              <w:bidi w:val="0"/>
              <w:adjustRightInd/>
              <w:snapToGrid/>
              <w:spacing w:line="300" w:lineRule="auto"/>
              <w:textAlignment w:val="auto"/>
              <w:rPr>
                <w:rFonts w:hint="eastAsia" w:ascii="宋体" w:hAnsi="宋体" w:eastAsia="宋体" w:cs="宋体"/>
                <w:color w:val="111F2C"/>
                <w:szCs w:val="21"/>
                <w:shd w:val="clear" w:color="auto" w:fill="FFFFFF"/>
              </w:rPr>
            </w:pPr>
            <w:r>
              <w:rPr>
                <w:rFonts w:hint="eastAsia" w:ascii="宋体" w:hAnsi="宋体" w:eastAsia="宋体" w:cs="宋体"/>
                <w:szCs w:val="21"/>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质疑渠道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szCs w:val="21"/>
                <w:lang w:val="zh-CN"/>
              </w:rPr>
              <w:t>实质性条款</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kern w:val="0"/>
                <w:szCs w:val="21"/>
                <w:lang w:val="zh-CN"/>
              </w:rPr>
              <w:t>带“</w:t>
            </w:r>
            <w:r>
              <w:rPr>
                <w:rFonts w:hint="eastAsia" w:ascii="宋体" w:hAnsi="宋体" w:eastAsia="宋体" w:cs="宋体"/>
                <w:bCs/>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rPr>
              <w:t>主要性能参数</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带“★”的条款是</w:t>
            </w:r>
            <w:r>
              <w:rPr>
                <w:rFonts w:hint="eastAsia" w:ascii="宋体" w:hAnsi="宋体" w:eastAsia="宋体" w:cs="宋体"/>
              </w:rPr>
              <w:t>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书面形式</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解释权</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本招标文件解释权属于采购人和采购组织机构。</w:t>
            </w:r>
          </w:p>
        </w:tc>
      </w:tr>
    </w:tbl>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tabs>
          <w:tab w:val="left" w:pos="7980"/>
        </w:tabs>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应仔细阅读本项目招标公告及招标文件的所有内容（包括补充、澄清以及修改等，且均为招标文件的组成部分），按照招标文件要求以及格式编制投标文件，并保证其真实性，否则由此引起的一切后果应由投标</w:t>
      </w:r>
      <w:r>
        <w:rPr>
          <w:rFonts w:hint="eastAsia" w:asciiTheme="minorEastAsia" w:hAnsiTheme="minorEastAsia" w:eastAsiaTheme="minorEastAsia"/>
          <w:sz w:val="24"/>
        </w:rPr>
        <w:t>人</w:t>
      </w:r>
      <w:r>
        <w:rPr>
          <w:rFonts w:asciiTheme="minorEastAsia" w:hAnsiTheme="minorEastAsia" w:eastAsiaTheme="minorEastAsia"/>
          <w:sz w:val="24"/>
        </w:rPr>
        <w:t>承担。</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8"/>
        <w:spacing w:line="360" w:lineRule="auto"/>
        <w:ind w:firstLine="480" w:firstLineChars="200"/>
      </w:pPr>
      <w:r>
        <w:t>本招标文件仅适用于本次招标公告中所涉及的项目和内容。</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pStyle w:val="18"/>
        <w:spacing w:after="0" w:line="360" w:lineRule="auto"/>
        <w:ind w:left="0" w:leftChars="0" w:firstLine="480" w:firstLineChars="200"/>
        <w:rPr>
          <w:rFonts w:hint="eastAsia" w:eastAsia="宋体"/>
          <w:lang w:eastAsia="zh-CN"/>
        </w:rPr>
      </w:pPr>
      <w:r>
        <w:rPr>
          <w:rFonts w:hint="eastAsia" w:ascii="宋体" w:hAnsi="宋体"/>
          <w:sz w:val="24"/>
        </w:rPr>
        <w:t>5.联合体：</w:t>
      </w:r>
      <w:r>
        <w:rPr>
          <w:rFonts w:hint="eastAsia"/>
          <w:sz w:val="24"/>
        </w:rPr>
        <w:t>两个或两个以上法人或者其他组织可以组成一个联合体，以一个投标人的身份共同投标</w:t>
      </w:r>
      <w:r>
        <w:rPr>
          <w:rFonts w:hint="eastAsia"/>
          <w:sz w:val="24"/>
          <w:lang w:eastAsia="zh-CN"/>
        </w:rPr>
        <w:t>。</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宋体" w:hAnsi="宋体" w:cs="宋体"/>
          <w:sz w:val="24"/>
        </w:rPr>
      </w:pPr>
      <w:r>
        <w:rPr>
          <w:rFonts w:hint="eastAsia" w:asciiTheme="minorEastAsia" w:hAnsiTheme="minorEastAsia" w:eastAsiaTheme="minorEastAsia"/>
          <w:sz w:val="24"/>
        </w:rPr>
        <w:t>4.联合体各方中至少应当有一方符合采购人规定的资格要求。由同一资质条件的投</w:t>
      </w:r>
      <w:r>
        <w:rPr>
          <w:rFonts w:hint="eastAsia" w:ascii="宋体" w:hAnsi="宋体" w:cs="宋体"/>
          <w:sz w:val="24"/>
        </w:rPr>
        <w:t>标人组成的联合体，应当按照资质等级较低的投标人确定联合体资质等级；</w:t>
      </w:r>
    </w:p>
    <w:p>
      <w:pPr>
        <w:snapToGrid w:val="0"/>
        <w:spacing w:line="360" w:lineRule="auto"/>
        <w:ind w:firstLine="480" w:firstLineChars="200"/>
        <w:rPr>
          <w:rFonts w:ascii="宋体" w:hAnsi="宋体" w:cs="宋体"/>
          <w:sz w:val="24"/>
        </w:rPr>
      </w:pPr>
      <w:r>
        <w:rPr>
          <w:rFonts w:hint="eastAsia" w:ascii="宋体" w:hAnsi="宋体" w:cs="宋体"/>
          <w:sz w:val="24"/>
        </w:rPr>
        <w:t>5.联合体各方不得再以自己名义单独在同一合同项中投标，也不得组成新的联合体参加同一项目投标；</w:t>
      </w:r>
    </w:p>
    <w:p>
      <w:pPr>
        <w:snapToGrid w:val="0"/>
        <w:spacing w:line="360" w:lineRule="auto"/>
        <w:ind w:firstLine="480" w:firstLineChars="200"/>
        <w:rPr>
          <w:rFonts w:ascii="宋体" w:hAnsi="宋体" w:cs="宋体"/>
          <w:sz w:val="24"/>
        </w:rPr>
      </w:pPr>
      <w:r>
        <w:rPr>
          <w:rFonts w:hint="eastAsia" w:ascii="宋体" w:hAnsi="宋体" w:cs="宋体"/>
          <w:sz w:val="24"/>
        </w:rPr>
        <w:t>6.联合体各方应当共同与采购人签订采购合同，就合同约定的事项对采购人承担连带责任；</w:t>
      </w:r>
    </w:p>
    <w:p>
      <w:pPr>
        <w:snapToGrid w:val="0"/>
        <w:spacing w:line="360" w:lineRule="auto"/>
        <w:ind w:firstLine="480" w:firstLineChars="200"/>
        <w:rPr>
          <w:rFonts w:ascii="宋体" w:hAnsi="宋体" w:cs="宋体"/>
          <w:sz w:val="24"/>
        </w:rPr>
      </w:pPr>
      <w:r>
        <w:rPr>
          <w:rFonts w:hint="eastAsia" w:ascii="宋体" w:hAnsi="宋体" w:cs="宋体"/>
          <w:sz w:val="24"/>
        </w:rPr>
        <w:t>7.投标时，应以联合体协议中确定的主体方名义投标，对联合体各方均具有约束力。</w:t>
      </w:r>
    </w:p>
    <w:p>
      <w:pPr>
        <w:snapToGrid w:val="0"/>
        <w:spacing w:line="360" w:lineRule="auto"/>
        <w:ind w:firstLine="482" w:firstLineChars="200"/>
        <w:rPr>
          <w:rFonts w:ascii="宋体" w:hAnsi="宋体" w:cs="宋体"/>
          <w:b/>
          <w:bCs/>
          <w:sz w:val="24"/>
        </w:rPr>
      </w:pPr>
      <w:r>
        <w:rPr>
          <w:rFonts w:hint="eastAsia" w:ascii="宋体" w:hAnsi="宋体" w:cs="宋体"/>
          <w:b/>
          <w:bCs/>
          <w:sz w:val="24"/>
        </w:rPr>
        <w:t>（五）语言文字以及度量衡单位</w:t>
      </w:r>
    </w:p>
    <w:p>
      <w:pPr>
        <w:snapToGrid w:val="0"/>
        <w:spacing w:line="360" w:lineRule="auto"/>
        <w:ind w:firstLine="480" w:firstLineChars="200"/>
        <w:rPr>
          <w:rFonts w:ascii="宋体" w:hAnsi="宋体" w:cs="宋体"/>
          <w:sz w:val="24"/>
        </w:rPr>
      </w:pPr>
      <w:r>
        <w:rPr>
          <w:rFonts w:hint="eastAsia" w:ascii="宋体" w:hAnsi="宋体" w:cs="宋体"/>
          <w:sz w:val="24"/>
        </w:rPr>
        <w:t>1.投标文件以及投标人与</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r>
        <w:rPr>
          <w:rFonts w:hint="eastAsia" w:ascii="宋体" w:hAnsi="宋体" w:cs="宋体"/>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宋体" w:hAnsi="宋体" w:cs="宋体"/>
          <w:sz w:val="24"/>
        </w:rPr>
      </w:pPr>
      <w:r>
        <w:rPr>
          <w:rFonts w:hint="eastAsia" w:ascii="宋体" w:hAnsi="宋体" w:cs="宋体"/>
          <w:sz w:val="24"/>
        </w:rPr>
        <w:t>2.所有计量均采用中国法定的计量单位。</w:t>
      </w:r>
    </w:p>
    <w:p>
      <w:pPr>
        <w:snapToGrid w:val="0"/>
        <w:spacing w:line="360" w:lineRule="auto"/>
        <w:ind w:firstLine="480" w:firstLineChars="200"/>
        <w:rPr>
          <w:rFonts w:ascii="宋体" w:hAnsi="宋体" w:cs="宋体"/>
          <w:sz w:val="24"/>
        </w:rPr>
      </w:pPr>
      <w:r>
        <w:rPr>
          <w:rFonts w:hint="eastAsia" w:ascii="宋体" w:hAnsi="宋体" w:cs="宋体"/>
          <w:sz w:val="24"/>
        </w:rPr>
        <w:t>3.所有报价一律使用人民币，货币单位：元。</w:t>
      </w:r>
    </w:p>
    <w:p>
      <w:pPr>
        <w:pStyle w:val="26"/>
        <w:tabs>
          <w:tab w:val="left" w:pos="437"/>
        </w:tabs>
        <w:spacing w:line="360" w:lineRule="auto"/>
        <w:ind w:firstLine="482"/>
        <w:rPr>
          <w:rFonts w:ascii="宋体" w:hAnsi="宋体" w:cs="宋体"/>
          <w:b/>
          <w:bCs/>
          <w:sz w:val="24"/>
          <w:szCs w:val="24"/>
        </w:rPr>
      </w:pPr>
      <w:r>
        <w:rPr>
          <w:rFonts w:hint="eastAsia" w:ascii="宋体" w:hAnsi="宋体" w:cs="宋体"/>
          <w:b/>
          <w:bCs/>
          <w:sz w:val="24"/>
          <w:szCs w:val="24"/>
        </w:rPr>
        <w:t>（六）现场踏勘</w:t>
      </w:r>
    </w:p>
    <w:p>
      <w:pPr>
        <w:snapToGrid w:val="0"/>
        <w:spacing w:line="360" w:lineRule="auto"/>
        <w:ind w:firstLine="480" w:firstLineChars="200"/>
        <w:rPr>
          <w:rFonts w:ascii="宋体" w:hAnsi="宋体" w:cs="宋体"/>
          <w:sz w:val="24"/>
        </w:rPr>
      </w:pPr>
      <w:r>
        <w:rPr>
          <w:rFonts w:hint="eastAsia" w:ascii="宋体" w:hAnsi="宋体" w:cs="宋体"/>
          <w:sz w:val="24"/>
        </w:rPr>
        <w:t>1.招标文件规定组织踏勘现场的，采购人按招标文件规定的时间、地点组织投标人踏勘项目现场。</w:t>
      </w:r>
    </w:p>
    <w:p>
      <w:pPr>
        <w:snapToGrid w:val="0"/>
        <w:spacing w:line="360" w:lineRule="auto"/>
        <w:ind w:firstLine="480" w:firstLineChars="200"/>
        <w:rPr>
          <w:rFonts w:ascii="宋体" w:hAnsi="宋体" w:cs="宋体"/>
          <w:sz w:val="24"/>
        </w:rPr>
      </w:pPr>
      <w:r>
        <w:rPr>
          <w:rFonts w:hint="eastAsia" w:ascii="宋体" w:hAnsi="宋体" w:cs="宋体"/>
          <w:sz w:val="24"/>
        </w:rPr>
        <w:t>2.投标人自行承担踏勘现场发生的责任、风险和自身费用。</w:t>
      </w:r>
    </w:p>
    <w:p>
      <w:pPr>
        <w:snapToGrid w:val="0"/>
        <w:spacing w:line="360" w:lineRule="auto"/>
        <w:ind w:firstLine="480" w:firstLineChars="200"/>
        <w:rPr>
          <w:rFonts w:ascii="宋体" w:hAnsi="宋体" w:cs="宋体"/>
          <w:sz w:val="24"/>
        </w:rPr>
      </w:pPr>
      <w:r>
        <w:rPr>
          <w:rFonts w:hint="eastAsia" w:ascii="宋体" w:hAnsi="宋体" w:cs="宋体"/>
          <w:sz w:val="24"/>
        </w:rPr>
        <w:t>3.采购人在踏勘现场中介绍的资料和数据等，不构成对招标文件的修改或不作为投标人编制投标文件的依据。</w:t>
      </w:r>
    </w:p>
    <w:p>
      <w:pPr>
        <w:pStyle w:val="10"/>
        <w:snapToGrid w:val="0"/>
        <w:spacing w:line="360" w:lineRule="auto"/>
        <w:ind w:firstLine="482" w:firstLineChars="200"/>
        <w:rPr>
          <w:rFonts w:hAnsi="宋体" w:cs="宋体"/>
          <w:b/>
          <w:sz w:val="24"/>
        </w:rPr>
      </w:pPr>
      <w:r>
        <w:rPr>
          <w:rFonts w:hint="eastAsia" w:hAnsi="宋体" w:cs="宋体"/>
          <w:b/>
          <w:sz w:val="24"/>
        </w:rPr>
        <w:t>（七）特别说明</w:t>
      </w:r>
    </w:p>
    <w:p>
      <w:pPr>
        <w:pStyle w:val="10"/>
        <w:snapToGrid w:val="0"/>
        <w:spacing w:line="360" w:lineRule="auto"/>
        <w:ind w:firstLine="480" w:firstLineChars="200"/>
        <w:rPr>
          <w:rFonts w:hAnsi="宋体" w:cs="宋体"/>
          <w:sz w:val="24"/>
        </w:rPr>
      </w:pPr>
      <w:r>
        <w:rPr>
          <w:rFonts w:hint="eastAsia" w:hAnsi="宋体" w:cs="宋体"/>
          <w:sz w:val="24"/>
        </w:rPr>
        <w:t>1.投标人投标所使用的资格、信誉、荣誉、业绩与企业认证必须为本法人所拥有且所提供的资料都是真实有效的。投标人投标所使用的采购项目实施人员必须为本法人员工。</w:t>
      </w:r>
    </w:p>
    <w:p>
      <w:pPr>
        <w:pStyle w:val="26"/>
        <w:snapToGrid w:val="0"/>
        <w:spacing w:line="360" w:lineRule="auto"/>
        <w:ind w:firstLine="480"/>
        <w:rPr>
          <w:rFonts w:ascii="宋体" w:hAnsi="宋体" w:cs="宋体"/>
          <w:sz w:val="24"/>
          <w:szCs w:val="24"/>
        </w:rPr>
      </w:pPr>
      <w:r>
        <w:rPr>
          <w:rFonts w:hint="eastAsia" w:ascii="宋体" w:hAnsi="宋体" w:cs="宋体"/>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而招标文件中未明确规定要求“提供官网截图或相应检测报告的证明材料”的，应提供其他具体有效的证明材料。</w:t>
      </w:r>
    </w:p>
    <w:p>
      <w:pPr>
        <w:pStyle w:val="26"/>
        <w:snapToGrid w:val="0"/>
        <w:spacing w:line="360" w:lineRule="auto"/>
        <w:ind w:firstLine="480"/>
        <w:rPr>
          <w:rFonts w:ascii="宋体" w:hAnsi="宋体" w:cs="宋体"/>
          <w:sz w:val="24"/>
          <w:szCs w:val="24"/>
        </w:rPr>
      </w:pPr>
      <w:r>
        <w:rPr>
          <w:rFonts w:hint="eastAsia" w:ascii="宋体" w:hAnsi="宋体" w:cs="宋体"/>
          <w:sz w:val="24"/>
          <w:szCs w:val="24"/>
        </w:rPr>
        <w:t>3.本招标文件中关于电子招投标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2"/>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文件。【特别提示：如在投标时有要求提供资料原件的，将原件扫描放入投标文件】若参与多标项投标的，则按每个标项分别独立编制投标文件。</w:t>
      </w:r>
    </w:p>
    <w:p>
      <w:pPr>
        <w:snapToGrid w:val="0"/>
        <w:spacing w:line="360" w:lineRule="auto"/>
        <w:ind w:firstLine="482" w:firstLineChars="200"/>
        <w:rPr>
          <w:rFonts w:hint="eastAsia" w:ascii="宋体" w:hAnsi="宋体"/>
          <w:b/>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snapToGrid w:val="0"/>
        <w:spacing w:line="360" w:lineRule="auto"/>
        <w:ind w:firstLine="480" w:firstLineChars="200"/>
        <w:rPr>
          <w:rFonts w:hint="eastAsia" w:ascii="宋体" w:hAnsi="宋体" w:cs="宋体"/>
          <w:sz w:val="24"/>
        </w:rPr>
      </w:pPr>
      <w:r>
        <w:rPr>
          <w:rFonts w:hint="eastAsia" w:ascii="宋体" w:hAnsi="宋体"/>
          <w:b w:val="0"/>
          <w:bCs/>
          <w:sz w:val="24"/>
          <w:lang w:eastAsia="zh-CN"/>
        </w:rPr>
        <w:t>（</w:t>
      </w:r>
      <w:r>
        <w:rPr>
          <w:rFonts w:hint="eastAsia" w:ascii="宋体" w:hAnsi="宋体"/>
          <w:b w:val="0"/>
          <w:bCs/>
          <w:sz w:val="24"/>
          <w:lang w:val="en-US" w:eastAsia="zh-CN"/>
        </w:rPr>
        <w:t>1</w:t>
      </w:r>
      <w:r>
        <w:rPr>
          <w:rFonts w:hint="eastAsia" w:ascii="宋体" w:hAnsi="宋体"/>
          <w:b w:val="0"/>
          <w:bCs/>
          <w:sz w:val="24"/>
          <w:lang w:eastAsia="zh-CN"/>
        </w:rPr>
        <w:t>）</w:t>
      </w:r>
      <w:r>
        <w:rPr>
          <w:rFonts w:hint="eastAsia" w:ascii="宋体" w:hAnsi="宋体" w:cs="宋体"/>
          <w:sz w:val="24"/>
        </w:rPr>
        <w:t>投标声明书；</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授权委托书（法定代表人亲自办理投标事宜的，则无需提交</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联合体授权委托书及联合体声明、协议（若项目接受联合体投标时需提供）；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符合参与政府采购活动的资格条件并且没有税收缴纳、社会保障等方面的失信记录的承诺函；</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2"/>
        <w:widowControl/>
        <w:adjustRightInd w:val="0"/>
        <w:snapToGrid w:val="0"/>
        <w:spacing w:line="360" w:lineRule="auto"/>
        <w:ind w:firstLine="482" w:firstLineChars="200"/>
        <w:rPr>
          <w:rFonts w:hint="eastAsia" w:ascii="宋体" w:hAnsi="宋体" w:eastAsia="宋体" w:cs="宋体"/>
          <w:b/>
          <w:bCs/>
          <w:sz w:val="24"/>
          <w:szCs w:val="24"/>
          <w:lang w:eastAsia="zh-CN"/>
        </w:rPr>
      </w:pPr>
      <w:r>
        <w:rPr>
          <w:rFonts w:hint="eastAsia" w:ascii="宋体" w:hAnsi="宋体" w:cs="宋体"/>
          <w:b/>
          <w:bCs/>
          <w:sz w:val="24"/>
          <w:szCs w:val="24"/>
        </w:rPr>
        <w:t>（1）技术方案描述部分</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①投标人情况介绍（人员与技术力量、经营业绩等）；</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②项目需求的理解与分析</w:t>
      </w:r>
      <w:r>
        <w:rPr>
          <w:rFonts w:hint="eastAsia" w:ascii="宋体" w:hAnsi="宋体" w:cs="宋体"/>
          <w:sz w:val="24"/>
          <w:szCs w:val="24"/>
          <w:lang w:eastAsia="zh-CN"/>
        </w:rPr>
        <w:t>（</w:t>
      </w:r>
      <w:r>
        <w:rPr>
          <w:rFonts w:hint="eastAsia" w:ascii="宋体" w:hAnsi="宋体" w:cs="宋体"/>
          <w:sz w:val="24"/>
          <w:szCs w:val="24"/>
        </w:rPr>
        <w:t>投标人对项目现状及需求的理解</w:t>
      </w:r>
      <w:r>
        <w:rPr>
          <w:rFonts w:hint="eastAsia" w:ascii="宋体" w:hAnsi="宋体" w:cs="宋体"/>
          <w:sz w:val="24"/>
          <w:szCs w:val="24"/>
          <w:lang w:eastAsia="zh-CN"/>
        </w:rPr>
        <w:t>状况</w:t>
      </w:r>
      <w:r>
        <w:rPr>
          <w:rFonts w:hint="eastAsia" w:ascii="宋体" w:hAnsi="宋体" w:cs="宋体"/>
          <w:sz w:val="24"/>
          <w:szCs w:val="24"/>
        </w:rPr>
        <w:t>，对项目现状和需求描述的全面性、准确性、针对性，项目功能设计完备、对系统各组成部分等功能进行准确的分析，对项目重点、难点的把握，解决方案及合理化建议</w:t>
      </w:r>
      <w:r>
        <w:rPr>
          <w:rFonts w:hint="eastAsia" w:ascii="宋体" w:hAnsi="宋体" w:cs="宋体"/>
          <w:sz w:val="24"/>
          <w:szCs w:val="24"/>
          <w:lang w:eastAsia="zh-CN"/>
        </w:rPr>
        <w:t>）</w:t>
      </w:r>
      <w:r>
        <w:rPr>
          <w:rFonts w:hint="eastAsia" w:ascii="宋体" w:hAnsi="宋体" w:cs="宋体"/>
          <w:sz w:val="24"/>
          <w:szCs w:val="24"/>
        </w:rPr>
        <w:t>；</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③项目组织实施方案（包括项目工期、确保项目供货的措施或方案、项目实施进度安排、项目实施人员及项目负责人的资质、类似经验及社保证明等）；</w:t>
      </w:r>
    </w:p>
    <w:p>
      <w:pPr>
        <w:pStyle w:val="2"/>
        <w:widowControl/>
        <w:adjustRightInd w:val="0"/>
        <w:snapToGrid w:val="0"/>
        <w:spacing w:line="360" w:lineRule="auto"/>
        <w:ind w:firstLine="480" w:firstLineChars="200"/>
        <w:rPr>
          <w:rFonts w:ascii="宋体" w:hAnsi="宋体" w:cs="宋体" w:eastAsiaTheme="minorEastAsia"/>
          <w:sz w:val="24"/>
          <w:szCs w:val="24"/>
        </w:rPr>
      </w:pPr>
      <w:r>
        <w:rPr>
          <w:rFonts w:hint="eastAsia" w:asciiTheme="minorEastAsia" w:hAnsiTheme="minorEastAsia" w:eastAsiaTheme="minorEastAsia"/>
          <w:kern w:val="0"/>
          <w:sz w:val="24"/>
          <w:szCs w:val="24"/>
        </w:rPr>
        <w:t>④</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2"/>
        <w:widowControl/>
        <w:adjustRightInd w:val="0"/>
        <w:snapToGrid w:val="0"/>
        <w:spacing w:line="360" w:lineRule="auto"/>
        <w:ind w:firstLine="482" w:firstLineChars="200"/>
        <w:rPr>
          <w:rFonts w:hint="eastAsia" w:ascii="宋体" w:hAnsi="宋体" w:eastAsia="宋体" w:cs="宋体"/>
          <w:b/>
          <w:bCs/>
          <w:sz w:val="24"/>
          <w:szCs w:val="24"/>
          <w:lang w:eastAsia="zh-CN"/>
        </w:rPr>
      </w:pPr>
      <w:r>
        <w:rPr>
          <w:rFonts w:hint="eastAsia" w:ascii="宋体" w:hAnsi="宋体" w:cs="宋体"/>
          <w:b/>
          <w:bCs/>
          <w:sz w:val="24"/>
          <w:szCs w:val="24"/>
        </w:rPr>
        <w:t>（2）投标产品描述部分</w:t>
      </w:r>
    </w:p>
    <w:p>
      <w:pPr>
        <w:pStyle w:val="2"/>
        <w:widowControl/>
        <w:adjustRightInd w:val="0"/>
        <w:snapToGrid w:val="0"/>
        <w:spacing w:line="360" w:lineRule="auto"/>
        <w:ind w:firstLine="480" w:firstLineChars="200"/>
        <w:rPr>
          <w:rFonts w:ascii="宋体" w:hAnsi="宋体" w:cs="宋体"/>
          <w:sz w:val="24"/>
          <w:szCs w:val="24"/>
        </w:rPr>
      </w:pPr>
      <w:r>
        <w:rPr>
          <w:rFonts w:hint="eastAsia"/>
          <w:sz w:val="24"/>
        </w:rPr>
        <w:t>①投标产品描述及相关资料；</w:t>
      </w:r>
    </w:p>
    <w:p>
      <w:pPr>
        <w:pStyle w:val="2"/>
        <w:widowControl/>
        <w:adjustRightInd w:val="0"/>
        <w:snapToGrid w:val="0"/>
        <w:spacing w:line="360" w:lineRule="auto"/>
        <w:ind w:firstLine="480" w:firstLineChars="200"/>
        <w:rPr>
          <w:sz w:val="24"/>
        </w:rPr>
      </w:pPr>
      <w:r>
        <w:rPr>
          <w:rFonts w:hint="eastAsia"/>
          <w:sz w:val="24"/>
        </w:rPr>
        <w:t>②技术需求响应表；</w:t>
      </w:r>
    </w:p>
    <w:p>
      <w:pPr>
        <w:pStyle w:val="2"/>
        <w:widowControl/>
        <w:adjustRightInd w:val="0"/>
        <w:snapToGrid w:val="0"/>
        <w:spacing w:line="360" w:lineRule="auto"/>
        <w:ind w:firstLine="480" w:firstLineChars="200"/>
        <w:rPr>
          <w:rFonts w:ascii="宋体" w:hAnsi="宋体" w:cs="宋体"/>
          <w:sz w:val="24"/>
          <w:szCs w:val="24"/>
        </w:rPr>
      </w:pPr>
      <w:r>
        <w:rPr>
          <w:rFonts w:hint="eastAsia"/>
          <w:sz w:val="24"/>
        </w:rPr>
        <w:t>③投标人</w:t>
      </w:r>
      <w:r>
        <w:rPr>
          <w:sz w:val="24"/>
        </w:rPr>
        <w:t>需要说明的其他</w:t>
      </w:r>
      <w:r>
        <w:rPr>
          <w:rFonts w:hint="eastAsia"/>
          <w:sz w:val="24"/>
        </w:rPr>
        <w:t>内容（包括可能影响投标人技术性能评分项的各类证明材料）。</w:t>
      </w:r>
    </w:p>
    <w:p>
      <w:pPr>
        <w:autoSpaceDE w:val="0"/>
        <w:autoSpaceDN w:val="0"/>
        <w:adjustRightInd w:val="0"/>
        <w:spacing w:line="360" w:lineRule="auto"/>
        <w:ind w:firstLine="482" w:firstLineChars="200"/>
        <w:rPr>
          <w:rFonts w:hint="eastAsia" w:asciiTheme="minorEastAsia" w:hAnsiTheme="minorEastAsia" w:eastAsiaTheme="minorEastAsia"/>
          <w:b/>
          <w:bCs/>
          <w:kern w:val="0"/>
          <w:sz w:val="24"/>
          <w:lang w:eastAsia="zh-CN"/>
        </w:rPr>
      </w:pPr>
      <w:r>
        <w:rPr>
          <w:rFonts w:hint="eastAsia" w:asciiTheme="minorEastAsia" w:hAnsiTheme="minorEastAsia" w:eastAsiaTheme="minorEastAsia"/>
          <w:b/>
          <w:bCs/>
          <w:kern w:val="0"/>
          <w:sz w:val="24"/>
        </w:rPr>
        <w:t>（3）商务及其他部分</w:t>
      </w:r>
    </w:p>
    <w:p>
      <w:pPr>
        <w:autoSpaceDE w:val="0"/>
        <w:autoSpaceDN w:val="0"/>
        <w:adjustRightInd w:val="0"/>
        <w:spacing w:line="360" w:lineRule="auto"/>
        <w:ind w:firstLine="480" w:firstLineChars="200"/>
        <w:rPr>
          <w:rFonts w:ascii="宋体" w:hAnsi="宋体" w:cs="宋体"/>
          <w:sz w:val="24"/>
        </w:rPr>
      </w:pPr>
      <w:r>
        <w:rPr>
          <w:rFonts w:hint="eastAsia"/>
          <w:sz w:val="24"/>
        </w:rPr>
        <w:t>①证书一览表（</w:t>
      </w:r>
      <w:r>
        <w:rPr>
          <w:rFonts w:hint="eastAsia" w:asciiTheme="minorEastAsia" w:hAnsiTheme="minorEastAsia" w:eastAsiaTheme="minorEastAsia"/>
          <w:sz w:val="24"/>
        </w:rPr>
        <w:t>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2"/>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②近三年来类似项目的成功案例（投标人类似项目实施情况一览表、合同及其相应的发票、用户验收报告等）；</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③售后服务描述及承诺</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2"/>
        <w:widowControl/>
        <w:adjustRightInd w:val="0"/>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rPr>
        <w:t>B.针对本项目的售后服务措施及承诺（售后技术服务方案、人员配备、故障响应时间、技术培训方案等）</w:t>
      </w:r>
      <w:r>
        <w:rPr>
          <w:rFonts w:hint="eastAsia" w:ascii="宋体" w:hAnsi="宋体" w:cs="宋体"/>
          <w:sz w:val="24"/>
          <w:szCs w:val="24"/>
          <w:lang w:eastAsia="zh-CN"/>
        </w:rPr>
        <w:t>；</w:t>
      </w:r>
    </w:p>
    <w:p>
      <w:pPr>
        <w:snapToGrid w:val="0"/>
        <w:spacing w:line="360" w:lineRule="auto"/>
        <w:ind w:firstLine="480" w:firstLineChars="200"/>
        <w:rPr>
          <w:rFonts w:ascii="宋体" w:hAnsi="宋体" w:cs="宋体"/>
          <w:sz w:val="24"/>
        </w:rPr>
      </w:pPr>
      <w:r>
        <w:rPr>
          <w:rFonts w:hint="eastAsia" w:ascii="宋体" w:hAnsi="宋体" w:cs="宋体"/>
          <w:sz w:val="24"/>
        </w:rPr>
        <w:t>④投标人认为需要提供的其他资料（包括可能影响投标人商务与技术文件评分的各类证明材料）。</w:t>
      </w:r>
    </w:p>
    <w:p>
      <w:pPr>
        <w:autoSpaceDE w:val="0"/>
        <w:autoSpaceDN w:val="0"/>
        <w:adjustRightInd w:val="0"/>
        <w:spacing w:line="360" w:lineRule="auto"/>
        <w:ind w:left="426" w:firstLine="65" w:firstLineChars="27"/>
        <w:rPr>
          <w:rFonts w:hint="eastAsia" w:asciiTheme="minorEastAsia" w:hAnsiTheme="minorEastAsia" w:eastAsiaTheme="minorEastAsia"/>
          <w:b/>
          <w:kern w:val="0"/>
          <w:sz w:val="24"/>
          <w:lang w:eastAsia="zh-CN"/>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（1）开标一览表</w:t>
      </w:r>
      <w:r>
        <w:rPr>
          <w:rFonts w:hint="eastAsia" w:asciiTheme="minorEastAsia" w:hAnsiTheme="minorEastAsia" w:eastAsiaTheme="minorEastAsia"/>
          <w:kern w:val="0"/>
          <w:sz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（2）报价明细表</w:t>
      </w:r>
      <w:r>
        <w:rPr>
          <w:rFonts w:hint="eastAsia" w:asciiTheme="minorEastAsia" w:hAnsiTheme="minorEastAsia" w:eastAsiaTheme="minorEastAsia"/>
          <w:kern w:val="0"/>
          <w:sz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val="en-GB" w:eastAsia="zh-CN"/>
        </w:rPr>
      </w:pPr>
      <w:r>
        <w:rPr>
          <w:rFonts w:hint="eastAsia" w:asciiTheme="minorEastAsia" w:hAnsiTheme="minorEastAsia" w:eastAsiaTheme="minorEastAsia"/>
          <w:kern w:val="0"/>
          <w:sz w:val="24"/>
        </w:rPr>
        <w:t>（3）</w:t>
      </w:r>
      <w:r>
        <w:rPr>
          <w:rFonts w:hint="eastAsia" w:asciiTheme="minorEastAsia" w:hAnsiTheme="minorEastAsia" w:eastAsiaTheme="minorEastAsia"/>
          <w:color w:val="000000" w:themeColor="text1"/>
          <w:kern w:val="0"/>
          <w:sz w:val="24"/>
          <w14:textFill>
            <w14:solidFill>
              <w14:schemeClr w14:val="tx1"/>
            </w14:solidFill>
          </w14:textFill>
        </w:rPr>
        <w:t>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kern w:val="0"/>
          <w:sz w:val="24"/>
          <w:lang w:val="en-GB" w:eastAsia="zh-CN"/>
        </w:rPr>
        <w:t>；</w:t>
      </w:r>
    </w:p>
    <w:p>
      <w:pPr>
        <w:autoSpaceDE w:val="0"/>
        <w:autoSpaceDN w:val="0"/>
        <w:adjustRightInd w:val="0"/>
        <w:spacing w:line="360" w:lineRule="auto"/>
        <w:ind w:firstLine="480" w:firstLineChars="200"/>
        <w:rPr>
          <w:rFonts w:hint="eastAsia" w:asciiTheme="minorEastAsia" w:hAnsiTheme="minorEastAsia" w:eastAsiaTheme="minorEastAsia"/>
          <w:b/>
          <w:kern w:val="0"/>
          <w:sz w:val="24"/>
          <w:lang w:eastAsia="zh-CN"/>
        </w:rPr>
      </w:pPr>
      <w:r>
        <w:rPr>
          <w:rFonts w:hint="eastAsia" w:asciiTheme="minorEastAsia" w:hAnsiTheme="minorEastAsia" w:eastAsiaTheme="minorEastAsia"/>
          <w:kern w:val="0"/>
          <w:sz w:val="24"/>
        </w:rPr>
        <w:t>（4）针对报价投标人认为其他需要说明的</w:t>
      </w:r>
      <w:r>
        <w:rPr>
          <w:rFonts w:hint="eastAsia" w:asciiTheme="minorEastAsia" w:hAnsiTheme="minorEastAsia" w:eastAsiaTheme="minorEastAsia"/>
          <w:kern w:val="0"/>
          <w:sz w:val="24"/>
          <w:lang w:eastAsia="zh-CN"/>
        </w:rPr>
        <w:t>。</w:t>
      </w:r>
    </w:p>
    <w:p>
      <w:pPr>
        <w:pStyle w:val="2"/>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（二）投标报价</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2"/>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2"/>
        <w:spacing w:line="360" w:lineRule="auto"/>
        <w:ind w:firstLine="480" w:firstLineChars="200"/>
        <w:rPr>
          <w:rFonts w:ascii="宋体" w:hAnsi="宋体"/>
          <w:sz w:val="24"/>
          <w:lang w:val="en-GB"/>
        </w:rPr>
      </w:pPr>
      <w:r>
        <w:rPr>
          <w:rFonts w:hint="eastAsia" w:ascii="宋体" w:hAnsi="宋体"/>
          <w:sz w:val="24"/>
        </w:rPr>
        <w:t>1.投标文件有效期为</w:t>
      </w:r>
      <w:r>
        <w:rPr>
          <w:rFonts w:hint="eastAsia" w:ascii="宋体" w:hAnsi="宋体"/>
          <w:sz w:val="24"/>
          <w:lang w:val="en-GB"/>
        </w:rPr>
        <w:t>投标截止日起90天。</w:t>
      </w:r>
    </w:p>
    <w:p>
      <w:pPr>
        <w:pStyle w:val="2"/>
        <w:spacing w:line="360" w:lineRule="auto"/>
        <w:ind w:firstLine="480" w:firstLineChars="200"/>
        <w:rPr>
          <w:rFonts w:ascii="宋体" w:hAnsi="宋体"/>
          <w:sz w:val="24"/>
          <w:lang w:val="en-GB"/>
        </w:rPr>
      </w:pPr>
      <w:r>
        <w:rPr>
          <w:rFonts w:hint="eastAsia" w:ascii="宋体" w:hAnsi="宋体"/>
          <w:sz w:val="24"/>
        </w:rPr>
        <w:t>2.</w:t>
      </w:r>
      <w:r>
        <w:rPr>
          <w:rFonts w:hint="eastAsia" w:ascii="宋体" w:hAnsi="宋体"/>
          <w:sz w:val="24"/>
          <w:lang w:val="en-GB"/>
        </w:rPr>
        <w:t>在特殊情况下，采购人可与投标人协商延长投标文件的有效期。</w:t>
      </w:r>
    </w:p>
    <w:p>
      <w:pPr>
        <w:snapToGrid w:val="0"/>
        <w:spacing w:line="360" w:lineRule="auto"/>
        <w:ind w:firstLine="480" w:firstLineChars="200"/>
        <w:outlineLvl w:val="0"/>
        <w:rPr>
          <w:rFonts w:asciiTheme="minorEastAsia" w:hAnsiTheme="minorEastAsia" w:eastAsiaTheme="minorEastAsia"/>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投标文件</w:t>
      </w:r>
      <w:r>
        <w:rPr>
          <w:rFonts w:asciiTheme="minorEastAsia" w:hAnsiTheme="minorEastAsia" w:eastAsiaTheme="minorEastAsia"/>
          <w:sz w:val="24"/>
        </w:rPr>
        <w:t>自开标之日起至合同履行完毕均应保持有效。</w:t>
      </w:r>
    </w:p>
    <w:p>
      <w:pPr>
        <w:snapToGrid w:val="0"/>
        <w:spacing w:line="360" w:lineRule="auto"/>
        <w:ind w:firstLine="482" w:firstLineChars="200"/>
        <w:outlineLvl w:val="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hint="eastAsia" w:asciiTheme="minorEastAsia" w:hAnsiTheme="minorEastAsia" w:eastAsiaTheme="minorEastAsia"/>
          <w:b/>
          <w:sz w:val="24"/>
          <w:lang w:eastAsia="zh-CN"/>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2"/>
        <w:spacing w:line="360" w:lineRule="auto"/>
        <w:ind w:firstLine="480" w:firstLineChars="200"/>
        <w:rPr>
          <w:sz w:val="24"/>
          <w:szCs w:val="22"/>
        </w:rPr>
      </w:pPr>
      <w:r>
        <w:rPr>
          <w:rFonts w:hint="eastAsia" w:cs="宋体" w:asciiTheme="minorEastAsia" w:hAnsiTheme="minorEastAsia" w:eastAsiaTheme="minorEastAsia"/>
          <w:sz w:val="24"/>
          <w:szCs w:val="24"/>
        </w:rPr>
        <w:t>4.采</w:t>
      </w:r>
      <w:r>
        <w:rPr>
          <w:rFonts w:hint="eastAsia"/>
          <w:sz w:val="24"/>
          <w:szCs w:val="22"/>
        </w:rPr>
        <w:t>购组织机构工作人员当众宣布投标人名称、投标价格和招标文件规定的需要宣布的其他内容（以开标一览表要求为准）；</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2"/>
        <w:spacing w:line="360" w:lineRule="auto"/>
        <w:ind w:firstLine="482" w:firstLineChars="200"/>
        <w:rPr>
          <w:b/>
          <w:bCs/>
          <w:sz w:val="24"/>
          <w:szCs w:val="22"/>
        </w:rPr>
      </w:pPr>
      <w:r>
        <w:rPr>
          <w:rFonts w:hint="eastAsia"/>
          <w:b/>
          <w:bCs/>
          <w:sz w:val="24"/>
          <w:szCs w:val="22"/>
        </w:rPr>
        <w:t>（二）开标异议</w:t>
      </w:r>
    </w:p>
    <w:p>
      <w:pPr>
        <w:pStyle w:val="2"/>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2"/>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0"/>
        <w:snapToGrid w:val="0"/>
        <w:spacing w:line="360" w:lineRule="auto"/>
        <w:ind w:firstLine="482" w:firstLineChars="200"/>
        <w:outlineLvl w:val="1"/>
        <w:rPr>
          <w:rFonts w:asciiTheme="minorEastAsia" w:hAnsiTheme="minorEastAsia"/>
          <w:b/>
          <w:sz w:val="24"/>
        </w:rPr>
      </w:pPr>
      <w:r>
        <w:rPr>
          <w:rFonts w:hint="eastAsia" w:asciiTheme="minorEastAsia" w:hAnsiTheme="minorEastAsia" w:eastAsiaTheme="minorEastAsia"/>
          <w:b/>
          <w:sz w:val="24"/>
        </w:rPr>
        <w:t>六、评标（详见第四章）</w:t>
      </w:r>
    </w:p>
    <w:p>
      <w:pPr>
        <w:pStyle w:val="16"/>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16"/>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numPr>
          <w:ilvl w:val="0"/>
          <w:numId w:val="5"/>
        </w:numPr>
        <w:spacing w:line="360" w:lineRule="auto"/>
        <w:ind w:firstLine="482" w:firstLineChars="200"/>
        <w:rPr>
          <w:rFonts w:hint="eastAsia"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b/>
          <w:bCs/>
          <w:kern w:val="0"/>
          <w:sz w:val="24"/>
          <w:szCs w:val="24"/>
          <w:lang w:val="en-US" w:eastAsia="zh-CN" w:bidi="ar-SA"/>
        </w:rPr>
        <w:t>发布中标结果公告</w:t>
      </w:r>
    </w:p>
    <w:p>
      <w:pPr>
        <w:numPr>
          <w:ilvl w:val="0"/>
          <w:numId w:val="0"/>
        </w:num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w:t>
      </w:r>
      <w:r>
        <w:rPr>
          <w:rFonts w:hint="eastAsia" w:cs="Times New Roman" w:asciiTheme="minorEastAsia" w:hAnsiTheme="minorEastAsia" w:eastAsiaTheme="minorEastAsia"/>
          <w:kern w:val="0"/>
          <w:sz w:val="24"/>
          <w:szCs w:val="24"/>
          <w:lang w:val="en-US" w:eastAsia="zh-CN" w:bidi="ar-SA"/>
        </w:rPr>
        <w:t>期为1个工</w:t>
      </w:r>
      <w:r>
        <w:rPr>
          <w:sz w:val="24"/>
        </w:rPr>
        <w:t>作日</w:t>
      </w:r>
      <w:r>
        <w:rPr>
          <w:rFonts w:hint="eastAsia" w:ascii="宋体" w:hAnsi="宋体"/>
          <w:kern w:val="0"/>
          <w:sz w:val="24"/>
        </w:rPr>
        <w:t>。</w:t>
      </w:r>
    </w:p>
    <w:p>
      <w:pPr>
        <w:pStyle w:val="7"/>
        <w:numPr>
          <w:ilvl w:val="0"/>
          <w:numId w:val="5"/>
        </w:numPr>
        <w:spacing w:line="360" w:lineRule="auto"/>
        <w:ind w:left="0" w:leftChars="0" w:firstLine="482" w:firstLineChars="200"/>
        <w:jc w:val="both"/>
        <w:rPr>
          <w:rFonts w:hint="eastAsia"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b/>
          <w:bCs/>
          <w:kern w:val="0"/>
          <w:sz w:val="24"/>
          <w:szCs w:val="24"/>
          <w:lang w:val="en-US" w:eastAsia="zh-CN" w:bidi="ar-SA"/>
        </w:rPr>
        <w:t>发放中标通知书</w:t>
      </w:r>
    </w:p>
    <w:p>
      <w:pPr>
        <w:pStyle w:val="7"/>
        <w:numPr>
          <w:ilvl w:val="0"/>
          <w:numId w:val="0"/>
        </w:numPr>
        <w:spacing w:line="360" w:lineRule="auto"/>
        <w:ind w:firstLine="480" w:firstLineChars="20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w:t>
      </w:r>
      <w:r>
        <w:rPr>
          <w:rFonts w:hint="eastAsia"/>
          <w:sz w:val="24"/>
        </w:rPr>
        <w:t>发放中标通知书</w:t>
      </w:r>
      <w:r>
        <w:rPr>
          <w:rFonts w:hint="eastAsia" w:ascii="宋体" w:hAnsi="宋体"/>
          <w:kern w:val="0"/>
          <w:sz w:val="24"/>
        </w:rPr>
        <w:t>。</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6"/>
        <w:spacing w:before="0" w:beforeAutospacing="0" w:after="0" w:afterAutospacing="0" w:line="360" w:lineRule="auto"/>
        <w:ind w:firstLine="480" w:firstLineChars="200"/>
        <w:jc w:val="both"/>
        <w:rPr>
          <w:rFonts w:hint="default"/>
        </w:rPr>
      </w:pPr>
      <w:r>
        <w:t>1.采购人应当自中标通知书发出之日起30日内，按照招标文件和中标人投标文件内容要求，与中标人签订书面合同或者电子合同。所签订的合同不得对招标文件确定的事项和中标人投标文件作实质性修改。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16"/>
        <w:spacing w:before="0" w:beforeAutospacing="0" w:after="0" w:afterAutospacing="0" w:line="360" w:lineRule="auto"/>
        <w:ind w:firstLine="480" w:firstLineChars="200"/>
        <w:jc w:val="both"/>
        <w:rPr>
          <w:rFonts w:hint="default"/>
        </w:rPr>
      </w:pPr>
      <w:r>
        <w:t>2.采购人不得向中标人提出任何不合理的要求作为签订合同的条件。</w:t>
      </w:r>
    </w:p>
    <w:p>
      <w:pPr>
        <w:pStyle w:val="16"/>
        <w:spacing w:before="0" w:beforeAutospacing="0" w:after="0" w:afterAutospacing="0" w:line="360" w:lineRule="auto"/>
        <w:ind w:firstLine="480" w:firstLineChars="200"/>
        <w:jc w:val="both"/>
        <w:rPr>
          <w:rFonts w:hint="default"/>
        </w:rPr>
      </w:pPr>
      <w:r>
        <w:t>3.中标人无故拖延、拒签合同的</w:t>
      </w:r>
      <w:r>
        <w:rPr>
          <w:rFonts w:hint="eastAsia"/>
          <w:lang w:eastAsia="zh-CN"/>
        </w:rPr>
        <w:t>，</w:t>
      </w:r>
      <w:r>
        <w:t>将取消中标资格。</w:t>
      </w:r>
    </w:p>
    <w:p>
      <w:pPr>
        <w:pStyle w:val="16"/>
        <w:spacing w:before="0" w:beforeAutospacing="0" w:after="0" w:afterAutospacing="0" w:line="360" w:lineRule="auto"/>
        <w:ind w:firstLine="480" w:firstLineChars="200"/>
        <w:jc w:val="both"/>
        <w:rPr>
          <w:rFonts w:hint="default"/>
        </w:rPr>
      </w:pPr>
      <w: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6"/>
        <w:spacing w:before="0" w:beforeAutospacing="0" w:after="0" w:afterAutospacing="0" w:line="360" w:lineRule="auto"/>
        <w:ind w:firstLine="480" w:firstLineChars="200"/>
        <w:jc w:val="both"/>
        <w:rPr>
          <w:rFonts w:hint="default"/>
        </w:rPr>
      </w:pPr>
      <w:r>
        <w:t>5.询问或者质疑事项可能影响中标结果的，采购人应当暂停签订合同，已经签订合同的，应当中止履行合同。</w:t>
      </w:r>
    </w:p>
    <w:p>
      <w:pPr>
        <w:pStyle w:val="16"/>
        <w:spacing w:before="0" w:beforeAutospacing="0" w:after="0" w:afterAutospacing="0" w:line="360" w:lineRule="auto"/>
        <w:ind w:firstLine="482" w:firstLineChars="200"/>
        <w:jc w:val="both"/>
        <w:rPr>
          <w:rFonts w:hint="default" w:cs="仿宋_GB2312"/>
          <w:b/>
        </w:rPr>
      </w:pPr>
      <w:r>
        <w:rPr>
          <w:b/>
        </w:rPr>
        <w:t>（二）合同公告及备案</w:t>
      </w:r>
    </w:p>
    <w:p>
      <w:pPr>
        <w:pStyle w:val="9"/>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7"/>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7"/>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7"/>
        <w:spacing w:line="360" w:lineRule="auto"/>
        <w:ind w:firstLine="482" w:firstLineChars="200"/>
        <w:jc w:val="both"/>
        <w:rPr>
          <w:rFonts w:ascii="宋体" w:hAnsi="宋体"/>
          <w:b/>
          <w:bCs/>
          <w:sz w:val="24"/>
        </w:rPr>
      </w:pPr>
      <w:r>
        <w:rPr>
          <w:rFonts w:hint="eastAsia" w:ascii="宋体" w:hAnsi="宋体"/>
          <w:b/>
          <w:bCs/>
          <w:sz w:val="24"/>
        </w:rPr>
        <w:t>（一）询问</w:t>
      </w:r>
    </w:p>
    <w:p>
      <w:pPr>
        <w:pStyle w:val="7"/>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w:t>
      </w:r>
      <w:r>
        <w:rPr>
          <w:rFonts w:hint="eastAsia"/>
          <w:sz w:val="24"/>
        </w:rPr>
        <w:t>第一章“</w:t>
      </w:r>
      <w:r>
        <w:rPr>
          <w:rFonts w:hint="eastAsia" w:ascii="宋体" w:hAnsi="宋体"/>
          <w:sz w:val="24"/>
        </w:rPr>
        <w:t>投标邀请</w:t>
      </w:r>
      <w:r>
        <w:rPr>
          <w:rFonts w:hint="eastAsia"/>
          <w:sz w:val="24"/>
        </w:rPr>
        <w:t>”</w:t>
      </w:r>
      <w:r>
        <w:rPr>
          <w:rFonts w:hint="eastAsia" w:ascii="宋体" w:hAnsi="宋体"/>
          <w:sz w:val="24"/>
        </w:rPr>
        <w:t>中“采购人、采购组织机构的名称、地址和联系方式”。</w:t>
      </w:r>
    </w:p>
    <w:p>
      <w:pPr>
        <w:pStyle w:val="7"/>
        <w:spacing w:line="360" w:lineRule="auto"/>
        <w:ind w:firstLine="482" w:firstLineChars="200"/>
        <w:jc w:val="both"/>
        <w:rPr>
          <w:rFonts w:ascii="宋体" w:hAnsi="宋体"/>
          <w:b/>
          <w:bCs/>
          <w:sz w:val="24"/>
        </w:rPr>
      </w:pPr>
      <w:r>
        <w:rPr>
          <w:rFonts w:hint="eastAsia" w:ascii="宋体" w:hAnsi="宋体"/>
          <w:b/>
          <w:bCs/>
          <w:sz w:val="24"/>
        </w:rPr>
        <w:t>（二）质疑</w:t>
      </w:r>
    </w:p>
    <w:p>
      <w:pPr>
        <w:pStyle w:val="7"/>
        <w:spacing w:line="360" w:lineRule="auto"/>
        <w:ind w:firstLine="480" w:firstLineChars="200"/>
        <w:jc w:val="both"/>
        <w:rPr>
          <w:rFonts w:ascii="宋体" w:hAnsi="宋体"/>
          <w:sz w:val="24"/>
        </w:rPr>
      </w:pPr>
      <w:r>
        <w:rPr>
          <w:rFonts w:hint="eastAsia" w:ascii="宋体" w:hAnsi="宋体"/>
          <w:sz w:val="24"/>
        </w:rPr>
        <w:t>1.报名本项目的投标人认为招标文件、采购过程和中标结果使自己的权益受到损害的，通过政采云平台的质疑系统一次性向采购人或采购组织机构提出质疑：</w:t>
      </w:r>
    </w:p>
    <w:p>
      <w:pPr>
        <w:pStyle w:val="7"/>
        <w:spacing w:line="360" w:lineRule="auto"/>
        <w:ind w:firstLine="480" w:firstLineChars="200"/>
        <w:jc w:val="both"/>
        <w:rPr>
          <w:rFonts w:ascii="宋体" w:hAnsi="宋体"/>
          <w:sz w:val="24"/>
        </w:rPr>
      </w:pPr>
      <w:r>
        <w:rPr>
          <w:rFonts w:hint="eastAsia" w:ascii="宋体" w:hAnsi="宋体"/>
          <w:sz w:val="24"/>
        </w:rPr>
        <w:t>（1）投标人认为招标文件的内容损害其权益的，应当自获取之日起（获取截止日之后收到招标文件的，以获取截止日为准）7个工作日内提出质疑；</w:t>
      </w:r>
    </w:p>
    <w:p>
      <w:pPr>
        <w:pStyle w:val="7"/>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7"/>
        <w:spacing w:line="360" w:lineRule="auto"/>
        <w:ind w:firstLine="480" w:firstLineChars="200"/>
        <w:jc w:val="both"/>
        <w:rPr>
          <w:rFonts w:hint="eastAsia" w:ascii="宋体" w:hAnsi="宋体" w:eastAsia="宋体"/>
          <w:sz w:val="24"/>
          <w:lang w:eastAsia="zh-CN"/>
        </w:rPr>
      </w:pPr>
      <w:r>
        <w:rPr>
          <w:rFonts w:hint="eastAsia" w:ascii="宋体" w:hAnsi="宋体"/>
          <w:sz w:val="24"/>
        </w:rPr>
        <w:t>（3）投标人对中标结果提出质疑的，应当在中标结果公告期限届满之日起7个工作日内提出质疑</w:t>
      </w:r>
      <w:r>
        <w:rPr>
          <w:rFonts w:hint="eastAsia" w:ascii="宋体" w:hAnsi="宋体"/>
          <w:sz w:val="24"/>
          <w:lang w:eastAsia="zh-CN"/>
        </w:rPr>
        <w:t>。</w:t>
      </w:r>
    </w:p>
    <w:p>
      <w:pPr>
        <w:pStyle w:val="7"/>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7"/>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7"/>
        <w:spacing w:line="360" w:lineRule="auto"/>
        <w:ind w:firstLine="482" w:firstLineChars="200"/>
        <w:jc w:val="both"/>
        <w:rPr>
          <w:rFonts w:ascii="宋体" w:hAnsi="宋体"/>
          <w:b/>
          <w:bCs/>
          <w:sz w:val="24"/>
        </w:rPr>
      </w:pPr>
      <w:r>
        <w:rPr>
          <w:rFonts w:hint="eastAsia" w:ascii="宋体" w:hAnsi="宋体"/>
          <w:b/>
          <w:bCs/>
          <w:sz w:val="24"/>
        </w:rPr>
        <w:t>（三）投诉</w:t>
      </w:r>
    </w:p>
    <w:p>
      <w:pPr>
        <w:pStyle w:val="7"/>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7"/>
        <w:spacing w:line="360" w:lineRule="auto"/>
        <w:ind w:firstLine="480" w:firstLineChars="200"/>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8" w:name="_Toc13072_WPSOffice_Level1"/>
      <w:r>
        <w:rPr>
          <w:rFonts w:hint="eastAsia" w:asciiTheme="minorEastAsia" w:hAnsiTheme="minorEastAsia" w:eastAsiaTheme="minorEastAsia"/>
          <w:b/>
          <w:sz w:val="36"/>
          <w:szCs w:val="36"/>
        </w:rPr>
        <w:t>招标需求</w:t>
      </w:r>
      <w:bookmarkEnd w:id="38"/>
    </w:p>
    <w:p>
      <w:pPr>
        <w:tabs>
          <w:tab w:val="left" w:pos="8280"/>
        </w:tabs>
        <w:autoSpaceDE w:val="0"/>
        <w:autoSpaceDN w:val="0"/>
        <w:adjustRightIn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个标项，具体内容如下表：</w:t>
      </w:r>
    </w:p>
    <w:tbl>
      <w:tblPr>
        <w:tblStyle w:val="19"/>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340"/>
        <w:gridCol w:w="1636"/>
        <w:gridCol w:w="723"/>
        <w:gridCol w:w="720"/>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8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标项号</w:t>
            </w:r>
          </w:p>
        </w:tc>
        <w:tc>
          <w:tcPr>
            <w:tcW w:w="2340"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项目名称</w:t>
            </w:r>
          </w:p>
        </w:tc>
        <w:tc>
          <w:tcPr>
            <w:tcW w:w="1636"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1"/>
                <w:szCs w:val="21"/>
              </w:rPr>
              <w:t>简要技术要求</w:t>
            </w:r>
          </w:p>
        </w:tc>
        <w:tc>
          <w:tcPr>
            <w:tcW w:w="723"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数量</w:t>
            </w:r>
          </w:p>
        </w:tc>
        <w:tc>
          <w:tcPr>
            <w:tcW w:w="720"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单位</w:t>
            </w:r>
          </w:p>
        </w:tc>
        <w:tc>
          <w:tcPr>
            <w:tcW w:w="114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总预算（万元）</w:t>
            </w:r>
          </w:p>
        </w:tc>
        <w:tc>
          <w:tcPr>
            <w:tcW w:w="1203" w:type="dxa"/>
            <w:vAlign w:val="center"/>
          </w:tcPr>
          <w:p>
            <w:pPr>
              <w:tabs>
                <w:tab w:val="left" w:pos="8280"/>
              </w:tabs>
              <w:autoSpaceDE w:val="0"/>
              <w:autoSpaceDN w:val="0"/>
              <w:adjustRightInd w:val="0"/>
              <w:jc w:val="center"/>
              <w:rPr>
                <w:rFonts w:ascii="宋体" w:hAnsi="宋体"/>
                <w:b/>
                <w:sz w:val="21"/>
                <w:szCs w:val="21"/>
              </w:rPr>
            </w:pPr>
            <w:r>
              <w:rPr>
                <w:rFonts w:hint="eastAsia" w:ascii="宋体" w:hAnsi="宋体"/>
                <w:b/>
                <w:sz w:val="21"/>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82"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2340"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cs="宋体"/>
                <w:bCs/>
                <w:sz w:val="21"/>
                <w:szCs w:val="21"/>
                <w:lang w:eastAsia="zh-CN"/>
              </w:rPr>
              <w:t>中队勤务室高清视频会议指挥调度系统建设</w:t>
            </w:r>
          </w:p>
        </w:tc>
        <w:tc>
          <w:tcPr>
            <w:tcW w:w="1636"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eastAsia="宋体" w:cs="宋体"/>
                <w:sz w:val="21"/>
                <w:szCs w:val="21"/>
              </w:rPr>
              <w:t>详见技术需求</w:t>
            </w:r>
          </w:p>
        </w:tc>
        <w:tc>
          <w:tcPr>
            <w:tcW w:w="723"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1</w:t>
            </w:r>
          </w:p>
        </w:tc>
        <w:tc>
          <w:tcPr>
            <w:tcW w:w="720" w:type="dxa"/>
            <w:vAlign w:val="center"/>
          </w:tcPr>
          <w:p>
            <w:pPr>
              <w:tabs>
                <w:tab w:val="left" w:pos="8280"/>
              </w:tabs>
              <w:autoSpaceDE w:val="0"/>
              <w:autoSpaceDN w:val="0"/>
              <w:adjustRightInd w:val="0"/>
              <w:jc w:val="center"/>
              <w:rPr>
                <w:rFonts w:hint="eastAsia" w:ascii="宋体" w:hAnsi="宋体" w:eastAsia="宋体" w:cs="宋体"/>
                <w:bCs/>
                <w:sz w:val="21"/>
                <w:szCs w:val="21"/>
                <w:lang w:eastAsia="zh-CN"/>
              </w:rPr>
            </w:pPr>
            <w:r>
              <w:rPr>
                <w:rFonts w:hint="eastAsia" w:ascii="宋体" w:hAnsi="宋体" w:cs="宋体"/>
                <w:bCs/>
                <w:sz w:val="21"/>
                <w:szCs w:val="21"/>
                <w:lang w:eastAsia="zh-CN"/>
              </w:rPr>
              <w:t>项</w:t>
            </w:r>
          </w:p>
        </w:tc>
        <w:tc>
          <w:tcPr>
            <w:tcW w:w="1142" w:type="dxa"/>
            <w:vAlign w:val="center"/>
          </w:tcPr>
          <w:p>
            <w:pPr>
              <w:tabs>
                <w:tab w:val="left" w:pos="8280"/>
              </w:tabs>
              <w:autoSpaceDE w:val="0"/>
              <w:autoSpaceDN w:val="0"/>
              <w:adjustRightInd w:val="0"/>
              <w:jc w:val="center"/>
              <w:rPr>
                <w:rFonts w:hint="eastAsia" w:ascii="宋体" w:hAnsi="宋体" w:eastAsia="宋体" w:cs="宋体"/>
                <w:bCs/>
                <w:sz w:val="21"/>
                <w:szCs w:val="21"/>
              </w:rPr>
            </w:pPr>
            <w:r>
              <w:rPr>
                <w:rFonts w:hint="eastAsia" w:ascii="宋体" w:hAnsi="宋体" w:cs="宋体"/>
                <w:sz w:val="24"/>
                <w:lang w:val="en-US" w:eastAsia="zh-CN"/>
              </w:rPr>
              <w:t>185</w:t>
            </w:r>
          </w:p>
        </w:tc>
        <w:tc>
          <w:tcPr>
            <w:tcW w:w="1203"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cs="宋体"/>
                <w:sz w:val="24"/>
                <w:lang w:val="en-US" w:eastAsia="zh-CN"/>
              </w:rPr>
              <w:t>177</w:t>
            </w:r>
          </w:p>
        </w:tc>
      </w:tr>
    </w:tbl>
    <w:p>
      <w:pPr>
        <w:tabs>
          <w:tab w:val="left" w:pos="8280"/>
        </w:tabs>
        <w:autoSpaceDE w:val="0"/>
        <w:autoSpaceDN w:val="0"/>
        <w:adjustRightInd w:val="0"/>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sz w:val="24"/>
        </w:rPr>
        <w:t>二、技术需求</w:t>
      </w:r>
    </w:p>
    <w:p>
      <w:pPr>
        <w:pStyle w:val="10"/>
        <w:numPr>
          <w:ilvl w:val="0"/>
          <w:numId w:val="0"/>
        </w:numPr>
        <w:snapToGrid w:val="0"/>
        <w:spacing w:line="360" w:lineRule="auto"/>
        <w:ind w:leftChars="0" w:firstLine="482" w:firstLineChars="200"/>
        <w:outlineLvl w:val="0"/>
        <w:rPr>
          <w:rFonts w:hAnsi="宋体" w:cs="宋体"/>
          <w:b/>
          <w:color w:val="000000"/>
          <w:sz w:val="24"/>
          <w:szCs w:val="24"/>
        </w:rPr>
      </w:pPr>
      <w:r>
        <w:rPr>
          <w:rFonts w:hint="eastAsia" w:hAnsi="宋体" w:cs="宋体"/>
          <w:b/>
          <w:color w:val="000000"/>
          <w:sz w:val="24"/>
          <w:szCs w:val="24"/>
          <w:lang w:eastAsia="zh-CN"/>
        </w:rPr>
        <w:t>（一）</w:t>
      </w:r>
      <w:r>
        <w:rPr>
          <w:rFonts w:hint="eastAsia" w:hAnsi="宋体" w:cs="宋体"/>
          <w:b/>
          <w:color w:val="000000"/>
          <w:sz w:val="24"/>
          <w:szCs w:val="24"/>
        </w:rPr>
        <w:t>项目背景、建设目标、现状情况</w:t>
      </w:r>
    </w:p>
    <w:p>
      <w:pPr>
        <w:pStyle w:val="10"/>
        <w:adjustRightInd w:val="0"/>
        <w:snapToGrid w:val="0"/>
        <w:spacing w:line="360" w:lineRule="auto"/>
        <w:ind w:firstLine="482" w:firstLineChars="200"/>
        <w:rPr>
          <w:rFonts w:ascii="宋体" w:hAnsi="宋体" w:eastAsia="宋体"/>
          <w:bCs/>
          <w:sz w:val="24"/>
        </w:rPr>
      </w:pPr>
      <w:r>
        <w:rPr>
          <w:rFonts w:hint="eastAsia" w:ascii="宋体" w:hAnsi="宋体" w:eastAsia="宋体"/>
          <w:b/>
          <w:sz w:val="24"/>
        </w:rPr>
        <w:t>项目背景：</w:t>
      </w:r>
      <w:r>
        <w:rPr>
          <w:rFonts w:hint="eastAsia" w:ascii="宋体" w:hAnsi="宋体" w:eastAsia="宋体"/>
          <w:bCs/>
          <w:sz w:val="24"/>
        </w:rPr>
        <w:t>目前台州市公安局交通警察局（下称交警局）所使用的高清视频会议系统仅仅部署了交警局日常会议召开的视频会议设备，该视频会议系统已通过数字级联至台州市公安局高清视频会议系统平台，能够满足参与部级、省厅、市局召开的会议，但无法满足交警日常指挥调度、应急指挥需求。</w:t>
      </w:r>
    </w:p>
    <w:p>
      <w:pPr>
        <w:pStyle w:val="10"/>
        <w:adjustRightInd w:val="0"/>
        <w:snapToGrid w:val="0"/>
        <w:spacing w:line="360" w:lineRule="auto"/>
        <w:ind w:firstLine="482" w:firstLineChars="200"/>
        <w:rPr>
          <w:rFonts w:ascii="宋体" w:hAnsi="宋体" w:eastAsia="宋体"/>
          <w:bCs/>
          <w:color w:val="000000"/>
          <w:sz w:val="24"/>
        </w:rPr>
      </w:pPr>
      <w:r>
        <w:rPr>
          <w:rFonts w:hint="eastAsia" w:ascii="宋体" w:hAnsi="宋体" w:eastAsia="宋体"/>
          <w:b/>
          <w:color w:val="000000"/>
          <w:sz w:val="24"/>
        </w:rPr>
        <w:t>现状情况：</w:t>
      </w:r>
      <w:r>
        <w:rPr>
          <w:rFonts w:hint="eastAsia" w:ascii="宋体" w:hAnsi="宋体" w:eastAsia="宋体"/>
          <w:bCs/>
          <w:color w:val="000000"/>
          <w:sz w:val="24"/>
        </w:rPr>
        <w:t>目前交警局指挥中心视频会议设备已部署至中心会场2套、高速勤务室会场</w:t>
      </w:r>
      <w:r>
        <w:rPr>
          <w:rFonts w:ascii="宋体" w:hAnsi="宋体" w:eastAsia="宋体"/>
          <w:bCs/>
          <w:color w:val="000000"/>
          <w:sz w:val="24"/>
        </w:rPr>
        <w:t>9</w:t>
      </w:r>
      <w:r>
        <w:rPr>
          <w:rFonts w:hint="eastAsia" w:ascii="宋体" w:hAnsi="宋体" w:eastAsia="宋体"/>
          <w:bCs/>
          <w:color w:val="000000"/>
          <w:sz w:val="24"/>
        </w:rPr>
        <w:t>套，另有高清MCU设备1套（含24路用户多点控制，已级联至台州市公安局情指中心高清M</w:t>
      </w:r>
      <w:r>
        <w:rPr>
          <w:rFonts w:ascii="宋体" w:hAnsi="宋体" w:eastAsia="宋体"/>
          <w:bCs/>
          <w:color w:val="000000"/>
          <w:sz w:val="24"/>
        </w:rPr>
        <w:t>CU</w:t>
      </w:r>
      <w:r>
        <w:rPr>
          <w:rFonts w:hint="eastAsia" w:ascii="宋体" w:hAnsi="宋体" w:eastAsia="宋体"/>
          <w:bCs/>
          <w:color w:val="000000"/>
          <w:sz w:val="24"/>
        </w:rPr>
        <w:t>）。</w:t>
      </w:r>
    </w:p>
    <w:p>
      <w:pPr>
        <w:pStyle w:val="10"/>
        <w:adjustRightInd w:val="0"/>
        <w:snapToGrid w:val="0"/>
        <w:spacing w:line="360" w:lineRule="auto"/>
        <w:ind w:firstLine="482" w:firstLineChars="200"/>
        <w:rPr>
          <w:rFonts w:ascii="宋体" w:hAnsi="宋体" w:eastAsia="宋体"/>
          <w:b/>
          <w:sz w:val="24"/>
        </w:rPr>
      </w:pPr>
      <w:r>
        <w:rPr>
          <w:rFonts w:hint="eastAsia" w:ascii="宋体" w:hAnsi="宋体" w:eastAsia="宋体"/>
          <w:b/>
          <w:sz w:val="24"/>
        </w:rPr>
        <w:t>建设目标：</w:t>
      </w:r>
    </w:p>
    <w:p>
      <w:pPr>
        <w:adjustRightInd w:val="0"/>
        <w:snapToGrid w:val="0"/>
        <w:spacing w:line="360" w:lineRule="auto"/>
        <w:ind w:firstLine="480" w:firstLineChars="200"/>
        <w:rPr>
          <w:rFonts w:hint="eastAsia"/>
        </w:rPr>
      </w:pPr>
      <w:r>
        <w:rPr>
          <w:rFonts w:hint="eastAsia" w:ascii="宋体" w:hAnsi="宋体" w:eastAsia="宋体"/>
          <w:bCs/>
          <w:sz w:val="24"/>
        </w:rPr>
        <w:t>在处置各类应急突发事件时，要求能够快速召开视频会议进行视频指挥调度，为此在交警局和5个交警直属大队、6个高速交警大队、20个交警中队之间建设完整的一套高清视频勤务指挥调度系统，主要包括：2个指挥中心主会场、5个直属大队管控中心会场、9个高速大队勤务室会场（包括3个高速驻点会场）、20个中队分会场、6个县市大队管控中心会场；本次扩容MCU高清接入数至48路，后期应满足90路的高清会场接入。以便满足日常的指挥以及应急指挥需要，要求充分利用现有视频会议设备，确保新建系统的稳定性及与市局、省厅系统的兼容性和连通性，确保新建系统与</w:t>
      </w:r>
      <w:r>
        <w:rPr>
          <w:rFonts w:hint="eastAsia" w:ascii="Calibri" w:hAnsi="宋体" w:cs="宋体"/>
          <w:kern w:val="0"/>
          <w:sz w:val="24"/>
        </w:rPr>
        <w:t>台州市公安局情指中心高清指挥系统MCU兼容、现有交通警察局视频会议终端设备互换性，确保新建系统与交警局高清视频会议系统MCU兼容、现有视频会议终端设备互换性</w:t>
      </w:r>
      <w:r>
        <w:rPr>
          <w:rFonts w:hint="eastAsia" w:hAnsi="宋体" w:cs="宋体"/>
          <w:sz w:val="24"/>
        </w:rPr>
        <w:t>。</w:t>
      </w:r>
    </w:p>
    <w:p>
      <w:pPr>
        <w:pStyle w:val="26"/>
        <w:numPr>
          <w:ilvl w:val="0"/>
          <w:numId w:val="0"/>
        </w:numPr>
        <w:spacing w:line="360" w:lineRule="auto"/>
        <w:ind w:leftChars="0"/>
        <w:rPr>
          <w:rFonts w:hint="eastAsia" w:ascii="宋体" w:hAnsi="宋体" w:cs="宋体"/>
          <w:b/>
          <w:sz w:val="24"/>
          <w:szCs w:val="24"/>
          <w:lang w:eastAsia="zh-CN"/>
        </w:rPr>
      </w:pPr>
    </w:p>
    <w:p>
      <w:pPr>
        <w:pStyle w:val="26"/>
        <w:numPr>
          <w:ilvl w:val="0"/>
          <w:numId w:val="0"/>
        </w:numPr>
        <w:spacing w:line="360" w:lineRule="auto"/>
        <w:ind w:leftChars="0"/>
        <w:rPr>
          <w:rFonts w:ascii="宋体" w:hAnsi="宋体" w:cs="宋体"/>
          <w:b/>
          <w:sz w:val="24"/>
          <w:szCs w:val="24"/>
        </w:rPr>
      </w:pPr>
      <w:r>
        <w:rPr>
          <w:rFonts w:hint="eastAsia" w:ascii="宋体" w:hAnsi="宋体" w:cs="宋体"/>
          <w:b/>
          <w:sz w:val="24"/>
          <w:szCs w:val="24"/>
          <w:lang w:eastAsia="zh-CN"/>
        </w:rPr>
        <w:t>（二）</w:t>
      </w:r>
      <w:r>
        <w:rPr>
          <w:rFonts w:hint="eastAsia" w:ascii="宋体" w:hAnsi="宋体" w:cs="宋体"/>
          <w:b/>
          <w:sz w:val="24"/>
          <w:szCs w:val="24"/>
        </w:rPr>
        <w:t>项目建设内容</w:t>
      </w:r>
    </w:p>
    <w:p>
      <w:pPr>
        <w:adjustRightInd w:val="0"/>
        <w:snapToGrid w:val="0"/>
        <w:spacing w:line="360" w:lineRule="auto"/>
        <w:ind w:firstLine="420" w:firstLineChars="200"/>
      </w:pPr>
      <w:r>
        <w:rPr>
          <w:rFonts w:hint="eastAsia"/>
        </w:rPr>
        <w:t>本项目建设一套高清视频勤务指挥调度系统，实现交警局指挥中心、大队管控室、中队勤务室高清视频勤务指挥调度系统，包括：2个指挥中心主会场、5个直属大队管控中心会场、6个县市大队管控中心会场、9个高速大队勤务室会场（包括3个高速驻点会场）、20个中队分会场；本次扩容MCU高清接入数至48路，后期应满足90路的高清会场接入。▲方案设计必须充分考虑现有设备的利用，实现与台州市公安局高清视频会议系统、台州市公安局情指高清视频会议系统、台州市公安局交通警察局高清视频会议系统、浙江省厅交管局交通视频指挥系统的对接联网，完成43个会场设备调试接入，承诺配合完成90个会场设备接入调试，实现各种会议的便捷参会和应急指挥时多部门快速组网、联动共享。</w:t>
      </w:r>
      <w:r>
        <w:rPr>
          <w:rFonts w:hint="eastAsia"/>
          <w:lang w:eastAsia="zh-CN"/>
        </w:rPr>
        <w:t>以上</w:t>
      </w:r>
      <w:r>
        <w:rPr>
          <w:rFonts w:hint="eastAsia"/>
          <w:lang w:val="en-US" w:eastAsia="zh-CN"/>
        </w:rPr>
        <w:t>接口免费开放，</w:t>
      </w:r>
      <w:r>
        <w:rPr>
          <w:rFonts w:hint="eastAsia"/>
        </w:rPr>
        <w:t>由采购人负责相关接口的协调工作，接口上的技术问题由中标公司负责处理</w:t>
      </w:r>
      <w:r>
        <w:rPr>
          <w:rFonts w:hint="eastAsia"/>
          <w:lang w:val="en-US" w:eastAsia="zh-CN"/>
        </w:rPr>
        <w:t>。</w:t>
      </w:r>
    </w:p>
    <w:p>
      <w:pPr>
        <w:pStyle w:val="2"/>
        <w:rPr>
          <w:rFonts w:hAnsi="宋体" w:cs="宋体"/>
          <w:sz w:val="24"/>
        </w:rPr>
      </w:pPr>
      <w:r>
        <w:rPr>
          <w:rFonts w:hint="eastAsia" w:hAnsi="宋体" w:cs="宋体"/>
          <w:sz w:val="24"/>
        </w:rPr>
        <w:t>需利旧设备具体清单见下：</w:t>
      </w:r>
    </w:p>
    <w:p>
      <w:pPr>
        <w:pStyle w:val="2"/>
        <w:rPr>
          <w:rFonts w:hAnsi="宋体" w:cs="宋体"/>
          <w:sz w:val="24"/>
        </w:rPr>
      </w:pPr>
    </w:p>
    <w:p>
      <w:pPr>
        <w:pStyle w:val="2"/>
        <w:rPr>
          <w:rFonts w:hint="eastAsia" w:hAnsi="宋体" w:cs="宋体"/>
          <w:sz w:val="24"/>
        </w:rPr>
      </w:pPr>
    </w:p>
    <w:tbl>
      <w:tblPr>
        <w:tblStyle w:val="19"/>
        <w:tblW w:w="8780" w:type="dxa"/>
        <w:tblInd w:w="0" w:type="dxa"/>
        <w:tblLayout w:type="fixed"/>
        <w:tblCellMar>
          <w:top w:w="15" w:type="dxa"/>
          <w:left w:w="15" w:type="dxa"/>
          <w:bottom w:w="15" w:type="dxa"/>
          <w:right w:w="15" w:type="dxa"/>
        </w:tblCellMar>
      </w:tblPr>
      <w:tblGrid>
        <w:gridCol w:w="866"/>
        <w:gridCol w:w="5670"/>
        <w:gridCol w:w="1134"/>
        <w:gridCol w:w="1098"/>
        <w:gridCol w:w="12"/>
      </w:tblGrid>
      <w:tr>
        <w:tblPrEx>
          <w:tblCellMar>
            <w:top w:w="15" w:type="dxa"/>
            <w:left w:w="15" w:type="dxa"/>
            <w:bottom w:w="15" w:type="dxa"/>
            <w:right w:w="15" w:type="dxa"/>
          </w:tblCellMar>
        </w:tblPrEx>
        <w:trPr>
          <w:trHeight w:val="375" w:hRule="atLeast"/>
        </w:trPr>
        <w:tc>
          <w:tcPr>
            <w:tcW w:w="8780" w:type="dxa"/>
            <w:gridSpan w:val="5"/>
            <w:tcBorders>
              <w:bottom w:val="single" w:color="000000" w:sz="4" w:space="0"/>
            </w:tcBorders>
            <w:shd w:val="clear" w:color="auto" w:fill="FFFFFF"/>
            <w:noWrap w:val="0"/>
            <w:vAlign w:val="center"/>
          </w:tcPr>
          <w:p>
            <w:pPr>
              <w:widowControl/>
              <w:ind w:firstLine="562"/>
              <w:jc w:val="center"/>
              <w:rPr>
                <w:rFonts w:ascii="宋体" w:hAnsi="宋体" w:cs="宋体"/>
                <w:b/>
                <w:bCs/>
                <w:color w:val="000000"/>
                <w:sz w:val="28"/>
                <w:szCs w:val="28"/>
              </w:rPr>
            </w:pPr>
            <w:r>
              <w:rPr>
                <w:rFonts w:hint="eastAsia" w:ascii="宋体" w:hAnsi="宋体" w:cs="宋体"/>
                <w:b/>
                <w:bCs/>
                <w:color w:val="000000"/>
                <w:sz w:val="24"/>
              </w:rPr>
              <w:t>台州交警中队勤务室高清视频会议系统设备已部署清单</w:t>
            </w:r>
          </w:p>
        </w:tc>
      </w:tr>
      <w:tr>
        <w:tblPrEx>
          <w:tblCellMar>
            <w:top w:w="15" w:type="dxa"/>
            <w:left w:w="15" w:type="dxa"/>
            <w:bottom w:w="15" w:type="dxa"/>
            <w:right w:w="15" w:type="dxa"/>
          </w:tblCellMar>
        </w:tblPrEx>
        <w:trPr>
          <w:gridAfter w:val="1"/>
          <w:wAfter w:w="12" w:type="dxa"/>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sz w:val="18"/>
                <w:szCs w:val="18"/>
              </w:rPr>
            </w:pPr>
            <w:r>
              <w:rPr>
                <w:rFonts w:hint="eastAsia" w:ascii="宋体" w:hAnsi="宋体" w:cs="宋体"/>
                <w:b/>
                <w:bCs/>
                <w:color w:val="000000"/>
                <w:sz w:val="18"/>
                <w:szCs w:val="18"/>
              </w:rPr>
              <w:t>一、</w:t>
            </w:r>
          </w:p>
        </w:tc>
        <w:tc>
          <w:tcPr>
            <w:tcW w:w="790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ascii="宋体" w:hAnsi="宋体" w:cs="宋体"/>
                <w:b/>
                <w:bCs/>
                <w:color w:val="000000"/>
                <w:sz w:val="18"/>
                <w:szCs w:val="18"/>
              </w:rPr>
            </w:pPr>
            <w:r>
              <w:rPr>
                <w:rFonts w:hint="eastAsia" w:ascii="宋体" w:hAnsi="宋体" w:cs="宋体"/>
                <w:b/>
                <w:bCs/>
                <w:color w:val="000000"/>
                <w:sz w:val="18"/>
                <w:szCs w:val="18"/>
              </w:rPr>
              <w:t>平台配置</w:t>
            </w:r>
          </w:p>
        </w:tc>
      </w:tr>
      <w:tr>
        <w:tblPrEx>
          <w:tblCellMar>
            <w:top w:w="15" w:type="dxa"/>
            <w:left w:w="15" w:type="dxa"/>
            <w:bottom w:w="15" w:type="dxa"/>
            <w:right w:w="15" w:type="dxa"/>
          </w:tblCellMar>
        </w:tblPrEx>
        <w:trPr>
          <w:gridAfter w:val="1"/>
          <w:wAfter w:w="12" w:type="dxa"/>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sz w:val="18"/>
                <w:szCs w:val="18"/>
              </w:rPr>
            </w:pPr>
          </w:p>
        </w:tc>
        <w:tc>
          <w:tcPr>
            <w:tcW w:w="5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sz w:val="18"/>
                <w:szCs w:val="18"/>
              </w:rPr>
            </w:pPr>
            <w:r>
              <w:rPr>
                <w:rFonts w:hint="eastAsia" w:ascii="宋体" w:hAnsi="宋体" w:cs="宋体"/>
                <w:b/>
                <w:bCs/>
                <w:color w:val="000000"/>
                <w:sz w:val="18"/>
                <w:szCs w:val="18"/>
              </w:rPr>
              <w:t>型号</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sz w:val="18"/>
                <w:szCs w:val="18"/>
              </w:rPr>
            </w:pPr>
            <w:r>
              <w:rPr>
                <w:rFonts w:hint="eastAsia" w:ascii="宋体" w:hAnsi="宋体" w:cs="宋体"/>
                <w:b/>
                <w:bCs/>
                <w:color w:val="000000"/>
                <w:sz w:val="18"/>
                <w:szCs w:val="18"/>
              </w:rPr>
              <w:t>单位</w:t>
            </w:r>
          </w:p>
        </w:tc>
        <w:tc>
          <w:tcPr>
            <w:tcW w:w="10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sz w:val="18"/>
                <w:szCs w:val="18"/>
              </w:rPr>
            </w:pPr>
            <w:r>
              <w:rPr>
                <w:rFonts w:hint="eastAsia" w:ascii="宋体" w:hAnsi="宋体" w:cs="宋体"/>
                <w:b/>
                <w:bCs/>
                <w:color w:val="000000"/>
                <w:sz w:val="18"/>
                <w:szCs w:val="18"/>
              </w:rPr>
              <w:t>数量</w:t>
            </w:r>
          </w:p>
        </w:tc>
      </w:tr>
      <w:tr>
        <w:tblPrEx>
          <w:tblCellMar>
            <w:top w:w="15" w:type="dxa"/>
            <w:left w:w="15" w:type="dxa"/>
            <w:bottom w:w="15" w:type="dxa"/>
            <w:right w:w="15" w:type="dxa"/>
          </w:tblCellMar>
        </w:tblPrEx>
        <w:trPr>
          <w:gridAfter w:val="1"/>
          <w:wAfter w:w="12" w:type="dxa"/>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p>
        </w:tc>
        <w:tc>
          <w:tcPr>
            <w:tcW w:w="5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ascii="宋体" w:hAnsi="宋体" w:cs="宋体"/>
                <w:b/>
                <w:bCs/>
                <w:color w:val="000000"/>
                <w:sz w:val="18"/>
                <w:szCs w:val="18"/>
              </w:rPr>
            </w:pPr>
            <w:r>
              <w:rPr>
                <w:rFonts w:hint="eastAsia" w:ascii="宋体" w:hAnsi="宋体" w:cs="宋体"/>
                <w:b/>
                <w:bCs/>
                <w:color w:val="000000"/>
                <w:sz w:val="18"/>
                <w:szCs w:val="18"/>
              </w:rPr>
              <w:t>MCU配置</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p>
        </w:tc>
      </w:tr>
      <w:tr>
        <w:tblPrEx>
          <w:tblCellMar>
            <w:top w:w="15" w:type="dxa"/>
            <w:left w:w="15" w:type="dxa"/>
            <w:bottom w:w="15" w:type="dxa"/>
            <w:right w:w="15" w:type="dxa"/>
          </w:tblCellMar>
        </w:tblPrEx>
        <w:trPr>
          <w:gridAfter w:val="1"/>
          <w:wAfter w:w="12" w:type="dxa"/>
          <w:trHeight w:val="450" w:hRule="atLeast"/>
        </w:trPr>
        <w:tc>
          <w:tcPr>
            <w:tcW w:w="8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p>
        </w:tc>
        <w:tc>
          <w:tcPr>
            <w:tcW w:w="5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ascii="宋体" w:hAnsi="宋体" w:cs="宋体"/>
                <w:color w:val="000000"/>
                <w:sz w:val="18"/>
                <w:szCs w:val="18"/>
              </w:rPr>
            </w:pPr>
            <w:r>
              <w:rPr>
                <w:rFonts w:hint="eastAsia" w:ascii="宋体" w:hAnsi="宋体" w:cs="宋体"/>
                <w:color w:val="000000"/>
                <w:sz w:val="18"/>
                <w:szCs w:val="18"/>
              </w:rPr>
              <w:t>科达JD2000,配置24路授权</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台</w:t>
            </w:r>
          </w:p>
        </w:tc>
        <w:tc>
          <w:tcPr>
            <w:tcW w:w="10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w:t>
            </w:r>
          </w:p>
        </w:tc>
      </w:tr>
      <w:tr>
        <w:tblPrEx>
          <w:tblCellMar>
            <w:top w:w="15" w:type="dxa"/>
            <w:left w:w="15" w:type="dxa"/>
            <w:bottom w:w="15" w:type="dxa"/>
            <w:right w:w="15" w:type="dxa"/>
          </w:tblCellMar>
        </w:tblPrEx>
        <w:trPr>
          <w:gridAfter w:val="1"/>
          <w:wAfter w:w="12" w:type="dxa"/>
          <w:trHeight w:val="450" w:hRule="atLeast"/>
        </w:trPr>
        <w:tc>
          <w:tcPr>
            <w:tcW w:w="8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b/>
                <w:bCs/>
                <w:color w:val="000000"/>
                <w:sz w:val="18"/>
                <w:szCs w:val="18"/>
              </w:rPr>
            </w:pPr>
            <w:r>
              <w:rPr>
                <w:rFonts w:hint="eastAsia" w:ascii="宋体" w:hAnsi="宋体" w:cs="宋体"/>
                <w:b/>
                <w:bCs/>
                <w:color w:val="000000"/>
                <w:sz w:val="18"/>
                <w:szCs w:val="18"/>
              </w:rPr>
              <w:t>二、</w:t>
            </w:r>
          </w:p>
        </w:tc>
        <w:tc>
          <w:tcPr>
            <w:tcW w:w="790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ascii="宋体" w:hAnsi="宋体" w:cs="宋体"/>
                <w:b/>
                <w:bCs/>
                <w:color w:val="000000"/>
                <w:sz w:val="18"/>
                <w:szCs w:val="18"/>
              </w:rPr>
            </w:pPr>
            <w:r>
              <w:rPr>
                <w:rFonts w:hint="eastAsia" w:ascii="宋体" w:hAnsi="宋体" w:cs="宋体"/>
                <w:b/>
                <w:bCs/>
                <w:color w:val="000000"/>
                <w:sz w:val="18"/>
                <w:szCs w:val="18"/>
              </w:rPr>
              <w:t>会场配置</w:t>
            </w:r>
          </w:p>
        </w:tc>
      </w:tr>
      <w:tr>
        <w:tblPrEx>
          <w:tblCellMar>
            <w:top w:w="15" w:type="dxa"/>
            <w:left w:w="15" w:type="dxa"/>
            <w:bottom w:w="15" w:type="dxa"/>
            <w:right w:w="15" w:type="dxa"/>
          </w:tblCellMar>
        </w:tblPrEx>
        <w:trPr>
          <w:gridAfter w:val="1"/>
          <w:wAfter w:w="12" w:type="dxa"/>
          <w:trHeight w:val="450" w:hRule="atLeast"/>
        </w:trPr>
        <w:tc>
          <w:tcPr>
            <w:tcW w:w="8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w:t>
            </w:r>
          </w:p>
        </w:tc>
        <w:tc>
          <w:tcPr>
            <w:tcW w:w="5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ascii="宋体" w:hAnsi="宋体" w:cs="宋体"/>
                <w:b/>
                <w:bCs/>
                <w:color w:val="000000"/>
                <w:sz w:val="18"/>
                <w:szCs w:val="18"/>
              </w:rPr>
            </w:pPr>
            <w:r>
              <w:rPr>
                <w:rFonts w:hint="eastAsia" w:ascii="宋体" w:hAnsi="宋体" w:cs="宋体"/>
                <w:b/>
                <w:bCs/>
                <w:color w:val="000000"/>
                <w:sz w:val="18"/>
                <w:szCs w:val="18"/>
              </w:rPr>
              <w:t>交警局指挥中心会场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p>
        </w:tc>
      </w:tr>
      <w:tr>
        <w:tblPrEx>
          <w:tblCellMar>
            <w:top w:w="15" w:type="dxa"/>
            <w:left w:w="15" w:type="dxa"/>
            <w:bottom w:w="15" w:type="dxa"/>
            <w:right w:w="15" w:type="dxa"/>
          </w:tblCellMar>
        </w:tblPrEx>
        <w:trPr>
          <w:gridAfter w:val="1"/>
          <w:wAfter w:w="12" w:type="dxa"/>
          <w:trHeight w:val="450" w:hRule="atLeast"/>
        </w:trPr>
        <w:tc>
          <w:tcPr>
            <w:tcW w:w="8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p>
        </w:tc>
        <w:tc>
          <w:tcPr>
            <w:tcW w:w="5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ascii="宋体" w:hAnsi="宋体" w:cs="宋体"/>
                <w:color w:val="000000"/>
                <w:sz w:val="18"/>
                <w:szCs w:val="18"/>
              </w:rPr>
            </w:pPr>
            <w:r>
              <w:rPr>
                <w:rFonts w:hint="eastAsia" w:ascii="宋体" w:hAnsi="宋体" w:cs="宋体"/>
                <w:color w:val="000000"/>
                <w:kern w:val="0"/>
                <w:sz w:val="20"/>
                <w:szCs w:val="20"/>
                <w:lang w:bidi="ar"/>
              </w:rPr>
              <w:t>科达NEX1200</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台</w:t>
            </w:r>
          </w:p>
        </w:tc>
        <w:tc>
          <w:tcPr>
            <w:tcW w:w="10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r>
              <w:rPr>
                <w:rFonts w:hint="eastAsia" w:ascii="宋体" w:hAnsi="宋体" w:cs="宋体"/>
                <w:color w:val="000000"/>
                <w:sz w:val="18"/>
                <w:szCs w:val="18"/>
              </w:rPr>
              <w:t>2</w:t>
            </w:r>
          </w:p>
        </w:tc>
      </w:tr>
      <w:tr>
        <w:tblPrEx>
          <w:tblCellMar>
            <w:top w:w="15" w:type="dxa"/>
            <w:left w:w="15" w:type="dxa"/>
            <w:bottom w:w="15" w:type="dxa"/>
            <w:right w:w="15" w:type="dxa"/>
          </w:tblCellMar>
        </w:tblPrEx>
        <w:trPr>
          <w:gridAfter w:val="1"/>
          <w:wAfter w:w="12" w:type="dxa"/>
          <w:trHeight w:val="450" w:hRule="atLeast"/>
        </w:trPr>
        <w:tc>
          <w:tcPr>
            <w:tcW w:w="8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p>
        </w:tc>
        <w:tc>
          <w:tcPr>
            <w:tcW w:w="5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ascii="宋体" w:hAnsi="宋体" w:cs="宋体"/>
                <w:color w:val="000000"/>
                <w:sz w:val="18"/>
                <w:szCs w:val="18"/>
              </w:rPr>
            </w:pPr>
            <w:r>
              <w:rPr>
                <w:rFonts w:hint="eastAsia" w:ascii="宋体" w:hAnsi="宋体" w:cs="宋体"/>
                <w:color w:val="000000"/>
                <w:sz w:val="18"/>
                <w:szCs w:val="18"/>
              </w:rPr>
              <w:t>科达H900配科达MOON50摄像机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套</w:t>
            </w:r>
          </w:p>
        </w:tc>
        <w:tc>
          <w:tcPr>
            <w:tcW w:w="10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w:t>
            </w:r>
          </w:p>
        </w:tc>
      </w:tr>
      <w:tr>
        <w:tblPrEx>
          <w:tblCellMar>
            <w:top w:w="15" w:type="dxa"/>
            <w:left w:w="15" w:type="dxa"/>
            <w:bottom w:w="15" w:type="dxa"/>
            <w:right w:w="15" w:type="dxa"/>
          </w:tblCellMar>
        </w:tblPrEx>
        <w:trPr>
          <w:gridAfter w:val="1"/>
          <w:wAfter w:w="12" w:type="dxa"/>
          <w:trHeight w:val="450" w:hRule="atLeast"/>
        </w:trPr>
        <w:tc>
          <w:tcPr>
            <w:tcW w:w="8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r>
              <w:rPr>
                <w:rFonts w:hint="eastAsia" w:ascii="宋体" w:hAnsi="宋体" w:cs="宋体"/>
                <w:color w:val="000000"/>
                <w:sz w:val="18"/>
                <w:szCs w:val="18"/>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ascii="宋体" w:hAnsi="宋体" w:cs="宋体"/>
                <w:b/>
                <w:bCs/>
                <w:color w:val="000000"/>
                <w:sz w:val="18"/>
                <w:szCs w:val="18"/>
              </w:rPr>
            </w:pPr>
            <w:r>
              <w:rPr>
                <w:rFonts w:hint="eastAsia" w:ascii="宋体" w:hAnsi="宋体" w:cs="宋体"/>
                <w:b/>
                <w:bCs/>
                <w:color w:val="000000"/>
                <w:sz w:val="18"/>
                <w:szCs w:val="18"/>
              </w:rPr>
              <w:t>高速大队会场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p>
        </w:tc>
      </w:tr>
      <w:tr>
        <w:tblPrEx>
          <w:tblCellMar>
            <w:top w:w="15" w:type="dxa"/>
            <w:left w:w="15" w:type="dxa"/>
            <w:bottom w:w="15" w:type="dxa"/>
            <w:right w:w="15" w:type="dxa"/>
          </w:tblCellMar>
        </w:tblPrEx>
        <w:trPr>
          <w:gridAfter w:val="1"/>
          <w:wAfter w:w="12" w:type="dxa"/>
          <w:trHeight w:val="450" w:hRule="atLeast"/>
        </w:trPr>
        <w:tc>
          <w:tcPr>
            <w:tcW w:w="8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p>
        </w:tc>
        <w:tc>
          <w:tcPr>
            <w:tcW w:w="5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ascii="宋体" w:hAnsi="宋体" w:cs="宋体"/>
                <w:color w:val="000000"/>
                <w:sz w:val="18"/>
                <w:szCs w:val="18"/>
              </w:rPr>
            </w:pPr>
            <w:r>
              <w:rPr>
                <w:rFonts w:hint="eastAsia" w:ascii="宋体" w:hAnsi="宋体" w:cs="宋体"/>
                <w:color w:val="000000"/>
                <w:sz w:val="18"/>
                <w:szCs w:val="18"/>
              </w:rPr>
              <w:t>科达SKY</w:t>
            </w:r>
            <w:r>
              <w:rPr>
                <w:rFonts w:ascii="宋体" w:hAnsi="宋体" w:cs="宋体"/>
                <w:color w:val="000000"/>
                <w:sz w:val="18"/>
                <w:szCs w:val="18"/>
              </w:rPr>
              <w:t xml:space="preserve"> </w:t>
            </w:r>
            <w:r>
              <w:rPr>
                <w:rFonts w:hint="eastAsia" w:ascii="宋体" w:hAnsi="宋体" w:cs="宋体"/>
                <w:color w:val="000000"/>
                <w:sz w:val="18"/>
                <w:szCs w:val="18"/>
              </w:rPr>
              <w:t>X310L配VSZ-C2112摄像机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套</w:t>
            </w:r>
          </w:p>
        </w:tc>
        <w:tc>
          <w:tcPr>
            <w:tcW w:w="10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sz w:val="18"/>
                <w:szCs w:val="18"/>
              </w:rPr>
            </w:pPr>
            <w:r>
              <w:rPr>
                <w:rFonts w:ascii="宋体" w:hAnsi="宋体" w:cs="宋体"/>
                <w:color w:val="000000"/>
                <w:sz w:val="18"/>
                <w:szCs w:val="18"/>
              </w:rPr>
              <w:t>9</w:t>
            </w:r>
          </w:p>
        </w:tc>
      </w:tr>
      <w:tr>
        <w:tblPrEx>
          <w:tblCellMar>
            <w:top w:w="15" w:type="dxa"/>
            <w:left w:w="15" w:type="dxa"/>
            <w:bottom w:w="15" w:type="dxa"/>
            <w:right w:w="15" w:type="dxa"/>
          </w:tblCellMar>
        </w:tblPrEx>
        <w:trPr>
          <w:trHeight w:val="285" w:hRule="atLeast"/>
        </w:trPr>
        <w:tc>
          <w:tcPr>
            <w:tcW w:w="878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sz w:val="18"/>
                <w:szCs w:val="18"/>
              </w:rPr>
            </w:pPr>
          </w:p>
        </w:tc>
      </w:tr>
    </w:tbl>
    <w:p>
      <w:pPr>
        <w:pStyle w:val="2"/>
        <w:rPr>
          <w:rFonts w:hAnsi="宋体" w:cs="宋体"/>
          <w:sz w:val="24"/>
        </w:rPr>
      </w:pPr>
    </w:p>
    <w:p>
      <w:pPr>
        <w:pStyle w:val="49"/>
        <w:spacing w:line="360" w:lineRule="auto"/>
        <w:ind w:firstLine="0" w:firstLineChars="0"/>
        <w:rPr>
          <w:rFonts w:ascii="宋体" w:hAnsi="宋体" w:cs="宋体"/>
          <w:b/>
          <w:bCs/>
          <w:color w:val="000000"/>
          <w:sz w:val="24"/>
        </w:rPr>
      </w:pPr>
      <w:r>
        <w:rPr>
          <w:rFonts w:ascii="宋体" w:hAnsi="宋体" w:cs="宋体"/>
          <w:b/>
          <w:bCs/>
          <w:color w:val="000000"/>
          <w:sz w:val="24"/>
        </w:rPr>
        <w:t>2</w:t>
      </w:r>
      <w:r>
        <w:rPr>
          <w:rFonts w:hint="eastAsia" w:ascii="宋体" w:hAnsi="宋体" w:cs="宋体"/>
          <w:b/>
          <w:bCs/>
          <w:color w:val="000000"/>
          <w:sz w:val="24"/>
        </w:rPr>
        <w:t>.1高清视频指挥调度功能</w:t>
      </w:r>
    </w:p>
    <w:p>
      <w:pPr>
        <w:spacing w:line="360" w:lineRule="auto"/>
        <w:rPr>
          <w:rFonts w:ascii="宋体" w:hAnsi="宋体" w:cs="宋体"/>
          <w:b/>
          <w:bCs/>
          <w:color w:val="000000"/>
          <w:sz w:val="24"/>
        </w:rPr>
      </w:pPr>
      <w:r>
        <w:rPr>
          <w:rFonts w:ascii="宋体" w:hAnsi="宋体" w:cs="宋体"/>
          <w:b/>
          <w:bCs/>
          <w:color w:val="000000"/>
          <w:sz w:val="24"/>
        </w:rPr>
        <w:t>2</w:t>
      </w:r>
      <w:r>
        <w:rPr>
          <w:rFonts w:hint="eastAsia" w:ascii="宋体" w:hAnsi="宋体" w:cs="宋体"/>
          <w:b/>
          <w:bCs/>
          <w:color w:val="000000"/>
          <w:sz w:val="24"/>
        </w:rPr>
        <w:t>.1.1图像资源联网整合</w:t>
      </w:r>
    </w:p>
    <w:p>
      <w:pPr>
        <w:spacing w:line="360" w:lineRule="auto"/>
        <w:ind w:firstLine="640"/>
        <w:rPr>
          <w:rFonts w:ascii="宋体" w:hAnsi="宋体" w:cs="宋体"/>
          <w:color w:val="000000"/>
          <w:sz w:val="24"/>
        </w:rPr>
      </w:pPr>
      <w:r>
        <w:rPr>
          <w:rFonts w:hint="eastAsia" w:ascii="宋体" w:hAnsi="宋体" w:cs="宋体"/>
          <w:color w:val="000000"/>
          <w:sz w:val="24"/>
        </w:rPr>
        <w:t>高清视频指挥系统可与视频监控系统对接，通过媒体接入网关，将原有的视频监控系统接入到视频指挥系统。通过一台操作终端，即可实现全网视频资源的统一调度。视频中心管理平台支持H.323、SIP、GB/T28181等标准体系，平台将原本分散的设备资源集中管理。各类资源的有效对接，实现音视频灵活的调用。</w:t>
      </w:r>
    </w:p>
    <w:p>
      <w:pPr>
        <w:spacing w:line="360" w:lineRule="auto"/>
        <w:rPr>
          <w:rFonts w:ascii="宋体" w:hAnsi="宋体" w:cs="宋体"/>
          <w:b/>
          <w:bCs/>
          <w:color w:val="000000"/>
          <w:sz w:val="24"/>
        </w:rPr>
      </w:pPr>
      <w:r>
        <w:rPr>
          <w:rFonts w:ascii="宋体" w:hAnsi="宋体" w:cs="宋体"/>
          <w:b/>
          <w:bCs/>
          <w:color w:val="000000"/>
          <w:sz w:val="24"/>
        </w:rPr>
        <w:t>2</w:t>
      </w:r>
      <w:r>
        <w:rPr>
          <w:rFonts w:hint="eastAsia" w:ascii="宋体" w:hAnsi="宋体" w:cs="宋体"/>
          <w:b/>
          <w:bCs/>
          <w:color w:val="000000"/>
          <w:sz w:val="24"/>
        </w:rPr>
        <w:t>.1.2扁平化调度</w:t>
      </w:r>
    </w:p>
    <w:p>
      <w:pPr>
        <w:spacing w:line="360" w:lineRule="auto"/>
        <w:ind w:firstLine="640"/>
        <w:rPr>
          <w:rFonts w:ascii="宋体" w:hAnsi="宋体" w:cs="宋体"/>
          <w:color w:val="000000"/>
          <w:sz w:val="24"/>
        </w:rPr>
      </w:pPr>
      <w:r>
        <w:rPr>
          <w:rFonts w:hint="eastAsia" w:ascii="宋体" w:hAnsi="宋体" w:cs="宋体"/>
          <w:color w:val="000000"/>
          <w:sz w:val="24"/>
        </w:rPr>
        <w:t>系统采用人性化的界面设计，调度区所有被调度终端采用扁平化呈现，每一个方框代表一个被调度终端，指挥员可对所有图像资源一览无余，系统支持快速选取会议场景、设置多种调度预案，方便日常的点名及警情汇报、应急调度、重大活动指挥保障、演习等应用，方便突发事件发生时，指挥员快速调度，为领导提供快速决策支持。</w:t>
      </w:r>
    </w:p>
    <w:p>
      <w:pPr>
        <w:spacing w:line="360" w:lineRule="auto"/>
        <w:rPr>
          <w:rFonts w:ascii="宋体" w:hAnsi="宋体" w:cs="宋体"/>
          <w:b/>
          <w:bCs/>
          <w:color w:val="000000"/>
          <w:sz w:val="24"/>
        </w:rPr>
      </w:pPr>
      <w:r>
        <w:rPr>
          <w:rFonts w:ascii="宋体" w:hAnsi="宋体" w:cs="宋体"/>
          <w:b/>
          <w:bCs/>
          <w:color w:val="000000"/>
          <w:sz w:val="24"/>
        </w:rPr>
        <w:t>2</w:t>
      </w:r>
      <w:r>
        <w:rPr>
          <w:rFonts w:hint="eastAsia" w:ascii="宋体" w:hAnsi="宋体" w:cs="宋体"/>
          <w:b/>
          <w:bCs/>
          <w:color w:val="000000"/>
          <w:sz w:val="24"/>
        </w:rPr>
        <w:t>.1.3与会议系统融合</w:t>
      </w:r>
    </w:p>
    <w:p>
      <w:pPr>
        <w:spacing w:line="360" w:lineRule="auto"/>
        <w:ind w:firstLine="640"/>
        <w:rPr>
          <w:rFonts w:ascii="宋体" w:hAnsi="宋体" w:cs="宋体"/>
          <w:color w:val="000000"/>
          <w:sz w:val="24"/>
        </w:rPr>
      </w:pPr>
      <w:r>
        <w:rPr>
          <w:rFonts w:hint="eastAsia" w:ascii="宋体" w:hAnsi="宋体" w:cs="宋体"/>
          <w:color w:val="000000"/>
          <w:sz w:val="24"/>
        </w:rPr>
        <w:t>要求与现有交警局高清视频会议系统融合，即可整体入会，也可以实现单机入会。</w:t>
      </w:r>
    </w:p>
    <w:p>
      <w:pPr>
        <w:spacing w:line="360" w:lineRule="auto"/>
        <w:rPr>
          <w:rFonts w:ascii="宋体" w:hAnsi="宋体" w:cs="宋体"/>
          <w:b/>
          <w:bCs/>
          <w:color w:val="000000"/>
          <w:sz w:val="24"/>
        </w:rPr>
      </w:pPr>
      <w:r>
        <w:rPr>
          <w:rFonts w:ascii="宋体" w:hAnsi="宋体" w:cs="宋体"/>
          <w:b/>
          <w:bCs/>
          <w:color w:val="000000"/>
          <w:sz w:val="24"/>
        </w:rPr>
        <w:t>2</w:t>
      </w:r>
      <w:r>
        <w:rPr>
          <w:rFonts w:hint="eastAsia" w:ascii="宋体" w:hAnsi="宋体" w:cs="宋体"/>
          <w:b/>
          <w:bCs/>
          <w:color w:val="000000"/>
          <w:sz w:val="24"/>
        </w:rPr>
        <w:t>.2会议功能</w:t>
      </w:r>
    </w:p>
    <w:p>
      <w:pPr>
        <w:spacing w:line="360" w:lineRule="auto"/>
        <w:rPr>
          <w:rFonts w:ascii="宋体" w:hAnsi="宋体" w:cs="宋体"/>
          <w:b/>
          <w:bCs/>
          <w:color w:val="000000"/>
          <w:sz w:val="24"/>
        </w:rPr>
      </w:pPr>
      <w:r>
        <w:rPr>
          <w:rFonts w:ascii="宋体" w:hAnsi="宋体" w:cs="宋体"/>
          <w:b/>
          <w:bCs/>
          <w:color w:val="000000"/>
          <w:sz w:val="24"/>
        </w:rPr>
        <w:t>2</w:t>
      </w:r>
      <w:r>
        <w:rPr>
          <w:rFonts w:hint="eastAsia" w:ascii="宋体" w:hAnsi="宋体" w:cs="宋体"/>
          <w:b/>
          <w:bCs/>
          <w:color w:val="000000"/>
          <w:sz w:val="24"/>
        </w:rPr>
        <w:t>.2.1会议召集与点名</w:t>
      </w:r>
    </w:p>
    <w:p>
      <w:pPr>
        <w:spacing w:line="360" w:lineRule="auto"/>
        <w:ind w:firstLine="640"/>
        <w:rPr>
          <w:rFonts w:ascii="宋体" w:hAnsi="宋体" w:cs="宋体"/>
          <w:color w:val="000000"/>
          <w:sz w:val="24"/>
        </w:rPr>
      </w:pPr>
      <w:r>
        <w:rPr>
          <w:rFonts w:hint="eastAsia" w:ascii="宋体" w:hAnsi="宋体" w:cs="宋体"/>
          <w:color w:val="000000"/>
          <w:sz w:val="24"/>
        </w:rPr>
        <w:t>会议系统支持多种会议召集模式，如即时会议、预约会议、分组会议、会议讨论等不同会议召集方式，支持公开、封闭、密码、终端方式召集会议。</w:t>
      </w:r>
    </w:p>
    <w:p>
      <w:pPr>
        <w:spacing w:line="360" w:lineRule="auto"/>
        <w:rPr>
          <w:rFonts w:ascii="宋体" w:hAnsi="宋体" w:cs="宋体"/>
          <w:b/>
          <w:bCs/>
          <w:color w:val="000000"/>
          <w:sz w:val="24"/>
        </w:rPr>
      </w:pPr>
      <w:r>
        <w:rPr>
          <w:rFonts w:ascii="宋体" w:hAnsi="宋体" w:cs="宋体"/>
          <w:b/>
          <w:bCs/>
          <w:color w:val="000000"/>
          <w:sz w:val="24"/>
        </w:rPr>
        <w:t>2</w:t>
      </w:r>
      <w:r>
        <w:rPr>
          <w:rFonts w:hint="eastAsia" w:ascii="宋体" w:hAnsi="宋体" w:cs="宋体"/>
          <w:b/>
          <w:bCs/>
          <w:color w:val="000000"/>
          <w:sz w:val="24"/>
        </w:rPr>
        <w:t>.2.2会议控制</w:t>
      </w:r>
    </w:p>
    <w:p>
      <w:pPr>
        <w:spacing w:line="360" w:lineRule="auto"/>
        <w:ind w:firstLine="640"/>
        <w:rPr>
          <w:rFonts w:ascii="宋体" w:hAnsi="宋体" w:cs="宋体"/>
          <w:color w:val="000000"/>
          <w:sz w:val="24"/>
        </w:rPr>
      </w:pPr>
      <w:r>
        <w:rPr>
          <w:rFonts w:hint="eastAsia" w:ascii="宋体" w:hAnsi="宋体" w:cs="宋体"/>
          <w:color w:val="000000"/>
          <w:sz w:val="24"/>
        </w:rPr>
        <w:t>在视频会议应用中，支持多种会议控制方式：主席控制、导演控制、自动轮询以及语音激励，可根据会议的不同需要选择不同的会议控制方式。</w:t>
      </w:r>
    </w:p>
    <w:p>
      <w:pPr>
        <w:spacing w:line="360" w:lineRule="auto"/>
        <w:ind w:firstLine="640"/>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.2.2.1主席控制模式</w:t>
      </w:r>
    </w:p>
    <w:p>
      <w:pPr>
        <w:spacing w:line="360" w:lineRule="auto"/>
        <w:ind w:firstLine="640"/>
        <w:rPr>
          <w:rFonts w:ascii="宋体" w:hAnsi="宋体" w:cs="宋体"/>
          <w:color w:val="000000"/>
          <w:sz w:val="24"/>
        </w:rPr>
      </w:pPr>
      <w:r>
        <w:rPr>
          <w:rFonts w:hint="eastAsia" w:ascii="宋体" w:hAnsi="宋体" w:cs="宋体"/>
          <w:color w:val="000000"/>
          <w:sz w:val="24"/>
        </w:rPr>
        <w:t>任意一个会场都可以通过终端遥控器控制，申请经允许可成为主席会场，成为主席的会场可以点名某一个分会场发言，可以选择自己想要观看的会场，具有强制退出任一会场、结束会议及远遥摄像头的能力，各个分会场也可以使用遥控器申请发言。</w:t>
      </w:r>
    </w:p>
    <w:p>
      <w:pPr>
        <w:spacing w:line="360" w:lineRule="auto"/>
        <w:ind w:firstLine="640"/>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.2.2.2导演控制模式</w:t>
      </w:r>
    </w:p>
    <w:p>
      <w:pPr>
        <w:spacing w:line="360" w:lineRule="auto"/>
        <w:ind w:firstLine="640"/>
        <w:rPr>
          <w:rFonts w:ascii="宋体" w:hAnsi="宋体" w:cs="宋体"/>
          <w:color w:val="000000"/>
          <w:sz w:val="24"/>
        </w:rPr>
      </w:pPr>
      <w:r>
        <w:rPr>
          <w:rFonts w:hint="eastAsia" w:ascii="宋体" w:hAnsi="宋体" w:cs="宋体"/>
          <w:color w:val="000000"/>
          <w:sz w:val="24"/>
        </w:rPr>
        <w:t>图控中心管理员通过系统可以按议程控制会议的进程。</w:t>
      </w:r>
    </w:p>
    <w:p>
      <w:pPr>
        <w:spacing w:line="360" w:lineRule="auto"/>
        <w:ind w:firstLine="640"/>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.2.2.3自动轮询</w:t>
      </w:r>
    </w:p>
    <w:p>
      <w:pPr>
        <w:spacing w:line="360" w:lineRule="auto"/>
        <w:ind w:firstLine="640"/>
        <w:rPr>
          <w:rFonts w:ascii="宋体" w:hAnsi="宋体" w:cs="宋体"/>
          <w:color w:val="000000"/>
          <w:sz w:val="24"/>
        </w:rPr>
      </w:pPr>
      <w:r>
        <w:rPr>
          <w:rFonts w:hint="eastAsia" w:ascii="宋体" w:hAnsi="宋体" w:cs="宋体"/>
          <w:color w:val="000000"/>
          <w:sz w:val="24"/>
        </w:rPr>
        <w:t>通过设置循环切换的周期和需自动轮询的会场，可将这些会场图像依次循环发送到其他各会场，也可以广播形式发送指定会场图像。</w:t>
      </w:r>
    </w:p>
    <w:p>
      <w:pPr>
        <w:spacing w:line="360" w:lineRule="auto"/>
        <w:ind w:firstLine="640"/>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.2.2.4语音激励</w:t>
      </w:r>
    </w:p>
    <w:p>
      <w:pPr>
        <w:spacing w:line="360" w:lineRule="auto"/>
        <w:ind w:firstLine="640"/>
        <w:rPr>
          <w:rFonts w:ascii="宋体" w:hAnsi="宋体" w:cs="宋体"/>
          <w:color w:val="000000"/>
          <w:sz w:val="24"/>
        </w:rPr>
      </w:pPr>
      <w:r>
        <w:rPr>
          <w:rFonts w:hint="eastAsia" w:ascii="宋体" w:hAnsi="宋体" w:cs="宋体"/>
          <w:color w:val="000000"/>
          <w:sz w:val="24"/>
        </w:rPr>
        <w:t>根据与会者发音的强度和讲话时间长短选择最符合条件的发言者，将其画面发给所有分会场。</w:t>
      </w:r>
    </w:p>
    <w:p>
      <w:pPr>
        <w:spacing w:line="360" w:lineRule="auto"/>
        <w:rPr>
          <w:rFonts w:ascii="宋体" w:hAnsi="宋体" w:cs="宋体"/>
          <w:b/>
          <w:bCs/>
          <w:color w:val="000000"/>
          <w:sz w:val="24"/>
        </w:rPr>
      </w:pPr>
      <w:r>
        <w:rPr>
          <w:rFonts w:ascii="宋体" w:hAnsi="宋体" w:cs="宋体"/>
          <w:b/>
          <w:bCs/>
          <w:color w:val="000000"/>
          <w:sz w:val="24"/>
        </w:rPr>
        <w:t>2</w:t>
      </w:r>
      <w:r>
        <w:rPr>
          <w:rFonts w:hint="eastAsia" w:ascii="宋体" w:hAnsi="宋体" w:cs="宋体"/>
          <w:b/>
          <w:bCs/>
          <w:color w:val="000000"/>
          <w:sz w:val="24"/>
        </w:rPr>
        <w:t>.2.3多画面图像显示功能</w:t>
      </w:r>
    </w:p>
    <w:p>
      <w:pPr>
        <w:spacing w:line="360" w:lineRule="auto"/>
        <w:ind w:firstLine="640"/>
        <w:rPr>
          <w:rFonts w:ascii="宋体" w:hAnsi="宋体" w:cs="宋体"/>
          <w:color w:val="000000"/>
          <w:sz w:val="24"/>
        </w:rPr>
      </w:pPr>
      <w:r>
        <w:rPr>
          <w:rFonts w:hint="eastAsia" w:ascii="宋体" w:hAnsi="宋体" w:cs="宋体"/>
          <w:color w:val="000000"/>
          <w:sz w:val="24"/>
        </w:rPr>
        <w:t>主会场可以按预设时间轮询观看各分会场图像，或以多画面方式观看各分会场图像，各分会场所观看的图像可以手动任意切换。可增强系统应用的灵活性，便于在单一显示设备上以分屏形式同时显示多个远端会场的图像。</w:t>
      </w:r>
    </w:p>
    <w:p>
      <w:pPr>
        <w:spacing w:line="360" w:lineRule="auto"/>
        <w:ind w:firstLine="640"/>
        <w:rPr>
          <w:rFonts w:ascii="宋体" w:hAnsi="宋体" w:cs="宋体"/>
          <w:color w:val="000000"/>
          <w:sz w:val="24"/>
        </w:rPr>
      </w:pPr>
      <w:r>
        <w:rPr>
          <w:rFonts w:hint="eastAsia" w:ascii="宋体" w:hAnsi="宋体" w:cs="宋体"/>
          <w:color w:val="000000"/>
          <w:sz w:val="24"/>
        </w:rPr>
        <w:t>整个视频会议系统应支持丰富的画面组合显示方式，可支持1、2、4、9、16、VIP（如5＋1、7＋1等）等多种灵活的画面组合模式。动态双码流传输功能。</w:t>
      </w:r>
    </w:p>
    <w:p>
      <w:pPr>
        <w:spacing w:line="360" w:lineRule="auto"/>
        <w:ind w:firstLine="640"/>
        <w:rPr>
          <w:rFonts w:ascii="宋体" w:hAnsi="宋体" w:cs="宋体"/>
          <w:color w:val="000000"/>
          <w:sz w:val="24"/>
        </w:rPr>
      </w:pPr>
      <w:r>
        <w:rPr>
          <w:rFonts w:hint="eastAsia" w:ascii="宋体" w:hAnsi="宋体" w:cs="宋体"/>
          <w:color w:val="000000"/>
          <w:sz w:val="24"/>
        </w:rPr>
        <w:t>会议系统MCU和高清视频会议终端应支持标准的H.239双视频流功能。</w:t>
      </w:r>
    </w:p>
    <w:p>
      <w:pPr>
        <w:spacing w:line="360" w:lineRule="auto"/>
        <w:ind w:firstLine="640"/>
        <w:rPr>
          <w:rFonts w:ascii="宋体" w:hAnsi="宋体" w:cs="宋体"/>
          <w:color w:val="000000"/>
          <w:sz w:val="24"/>
        </w:rPr>
      </w:pPr>
      <w:r>
        <w:rPr>
          <w:rFonts w:hint="eastAsia" w:ascii="宋体" w:hAnsi="宋体" w:cs="宋体"/>
          <w:color w:val="000000"/>
          <w:sz w:val="24"/>
        </w:rPr>
        <w:t>在交警大队、交警中队高清终端的双路视频可以通过任意两路高清接口输入和输出，图像可以是双路活动图像，也可以是1路活动图像＋1路计算机信号（分辨率不低于1280X1024）。</w:t>
      </w:r>
    </w:p>
    <w:p>
      <w:pPr>
        <w:spacing w:line="360" w:lineRule="auto"/>
        <w:ind w:firstLine="640"/>
        <w:rPr>
          <w:rFonts w:ascii="宋体" w:hAnsi="宋体" w:cs="宋体"/>
          <w:color w:val="000000"/>
          <w:sz w:val="24"/>
        </w:rPr>
      </w:pPr>
      <w:r>
        <w:rPr>
          <w:rFonts w:hint="eastAsia" w:ascii="宋体" w:hAnsi="宋体" w:cs="宋体"/>
          <w:color w:val="000000"/>
          <w:sz w:val="24"/>
        </w:rPr>
        <w:t>两路视频的带宽可以自由指定，可以根据实际情况和需要动态调整。</w:t>
      </w:r>
    </w:p>
    <w:p>
      <w:pPr>
        <w:spacing w:line="360" w:lineRule="auto"/>
        <w:ind w:firstLine="640"/>
        <w:rPr>
          <w:rFonts w:ascii="宋体" w:hAnsi="宋体" w:cs="宋体"/>
          <w:color w:val="000000"/>
          <w:sz w:val="24"/>
        </w:rPr>
      </w:pPr>
      <w:r>
        <w:rPr>
          <w:rFonts w:hint="eastAsia" w:ascii="宋体" w:hAnsi="宋体" w:cs="宋体"/>
          <w:color w:val="000000"/>
          <w:sz w:val="24"/>
        </w:rPr>
        <w:t xml:space="preserve">高清终端双流图像的显示可以实现单屏双显，双屏双显、单屏三显等方式。 </w:t>
      </w:r>
    </w:p>
    <w:p>
      <w:pPr>
        <w:spacing w:line="360" w:lineRule="auto"/>
        <w:rPr>
          <w:rFonts w:ascii="宋体" w:hAnsi="宋体" w:cs="宋体"/>
          <w:b/>
          <w:bCs/>
          <w:color w:val="000000"/>
          <w:sz w:val="24"/>
        </w:rPr>
      </w:pPr>
      <w:r>
        <w:rPr>
          <w:rFonts w:ascii="宋体" w:hAnsi="宋体" w:cs="宋体"/>
          <w:b/>
          <w:bCs/>
          <w:color w:val="000000"/>
          <w:sz w:val="24"/>
        </w:rPr>
        <w:t>2</w:t>
      </w:r>
      <w:r>
        <w:rPr>
          <w:rFonts w:hint="eastAsia" w:ascii="宋体" w:hAnsi="宋体" w:cs="宋体"/>
          <w:b/>
          <w:bCs/>
          <w:color w:val="000000"/>
          <w:sz w:val="24"/>
        </w:rPr>
        <w:t>.2.4会议录播与点播回放功能</w:t>
      </w:r>
    </w:p>
    <w:p>
      <w:pPr>
        <w:pStyle w:val="9"/>
        <w:ind w:firstLine="241" w:firstLineChars="100"/>
        <w:rPr>
          <w:color w:val="000000"/>
        </w:rPr>
      </w:pPr>
      <w:r>
        <w:rPr>
          <w:rFonts w:hint="eastAsia" w:ascii="宋体" w:hAnsi="宋体" w:cs="宋体"/>
          <w:b/>
          <w:bCs/>
          <w:color w:val="000000"/>
          <w:sz w:val="24"/>
        </w:rPr>
        <w:t>利用现有科达的录播服务器实现以下功能。</w:t>
      </w:r>
    </w:p>
    <w:p>
      <w:pPr>
        <w:spacing w:line="360" w:lineRule="auto"/>
        <w:ind w:firstLine="640"/>
        <w:rPr>
          <w:rFonts w:ascii="宋体" w:hAnsi="宋体" w:cs="宋体"/>
          <w:color w:val="000000"/>
          <w:sz w:val="24"/>
        </w:rPr>
      </w:pPr>
      <w:r>
        <w:rPr>
          <w:rFonts w:hint="eastAsia" w:ascii="宋体" w:hAnsi="宋体" w:cs="宋体"/>
          <w:color w:val="000000"/>
          <w:sz w:val="24"/>
        </w:rPr>
        <w:t>系统支持配置录播服务器以实现数字化录播，实现对会议或会议中的多个终端图像同时进行录制，并可以对会议图像和双流内容进行同步录制。</w:t>
      </w:r>
    </w:p>
    <w:p>
      <w:pPr>
        <w:spacing w:line="360" w:lineRule="auto"/>
        <w:ind w:firstLine="640"/>
        <w:rPr>
          <w:rFonts w:ascii="宋体" w:hAnsi="宋体" w:cs="宋体"/>
          <w:color w:val="000000"/>
          <w:sz w:val="24"/>
        </w:rPr>
      </w:pPr>
      <w:r>
        <w:rPr>
          <w:rFonts w:hint="eastAsia" w:ascii="宋体" w:hAnsi="宋体" w:cs="宋体"/>
          <w:color w:val="000000"/>
          <w:sz w:val="24"/>
        </w:rPr>
        <w:t>具备录播控制功能，可进行开始、停止录像控制。录像回放时可进行开始、暂停、恢复、停止及指定播放点等操作。</w:t>
      </w:r>
    </w:p>
    <w:p>
      <w:pPr>
        <w:spacing w:line="360" w:lineRule="auto"/>
        <w:ind w:firstLine="640"/>
        <w:rPr>
          <w:rFonts w:ascii="宋体" w:hAnsi="宋体" w:cs="宋体"/>
          <w:color w:val="000000"/>
          <w:sz w:val="24"/>
        </w:rPr>
      </w:pPr>
      <w:r>
        <w:rPr>
          <w:rFonts w:hint="eastAsia" w:ascii="宋体" w:hAnsi="宋体" w:cs="宋体"/>
          <w:color w:val="000000"/>
          <w:sz w:val="24"/>
        </w:rPr>
        <w:t>录制后的会议资料可采用多种方式回放，包括通过PC浏览器登陆进行回放、通过微软WMP播放器进行回放。</w:t>
      </w:r>
    </w:p>
    <w:p>
      <w:pPr>
        <w:spacing w:line="360" w:lineRule="auto"/>
        <w:ind w:firstLine="640"/>
        <w:rPr>
          <w:rFonts w:ascii="宋体" w:hAnsi="宋体" w:cs="宋体"/>
          <w:color w:val="000000"/>
          <w:sz w:val="24"/>
        </w:rPr>
      </w:pPr>
      <w:r>
        <w:rPr>
          <w:rFonts w:hint="eastAsia" w:ascii="宋体" w:hAnsi="宋体" w:cs="宋体"/>
          <w:color w:val="000000"/>
          <w:sz w:val="24"/>
        </w:rPr>
        <w:t>会议录像与点播需具备登陆用户的认证、授权及分级管理。支持管理员及普通用户密码，可针对不同的用户分配不同的权限，普通用户无法观看保密文件。</w:t>
      </w:r>
    </w:p>
    <w:p>
      <w:pPr>
        <w:spacing w:line="360" w:lineRule="auto"/>
        <w:rPr>
          <w:rFonts w:ascii="宋体" w:hAnsi="宋体" w:cs="宋体"/>
          <w:b/>
          <w:bCs/>
          <w:color w:val="000000"/>
          <w:sz w:val="24"/>
        </w:rPr>
      </w:pPr>
      <w:r>
        <w:rPr>
          <w:rFonts w:ascii="宋体" w:hAnsi="宋体" w:cs="宋体"/>
          <w:b/>
          <w:bCs/>
          <w:color w:val="000000"/>
          <w:sz w:val="24"/>
        </w:rPr>
        <w:t>2</w:t>
      </w:r>
      <w:r>
        <w:rPr>
          <w:rFonts w:hint="eastAsia" w:ascii="宋体" w:hAnsi="宋体" w:cs="宋体"/>
          <w:b/>
          <w:bCs/>
          <w:color w:val="000000"/>
          <w:sz w:val="24"/>
        </w:rPr>
        <w:t>.2.5视音频软硬件接口功能</w:t>
      </w:r>
    </w:p>
    <w:p>
      <w:pPr>
        <w:spacing w:line="360" w:lineRule="auto"/>
        <w:ind w:firstLine="640"/>
        <w:rPr>
          <w:rFonts w:ascii="宋体" w:hAnsi="宋体" w:cs="宋体"/>
          <w:color w:val="000000"/>
          <w:sz w:val="24"/>
        </w:rPr>
      </w:pPr>
      <w:r>
        <w:rPr>
          <w:rFonts w:hint="eastAsia" w:ascii="宋体" w:hAnsi="宋体" w:cs="宋体"/>
          <w:color w:val="000000"/>
          <w:sz w:val="24"/>
        </w:rPr>
        <w:t>高清会议终端可实现多种高清视频输入/输出接口，双声道线性模拟音频接口，既可以和模拟麦克风、数字麦克风、蓝光DVD连接，又可以和调音台、功放连接。</w:t>
      </w:r>
    </w:p>
    <w:p>
      <w:pPr>
        <w:spacing w:line="360" w:lineRule="auto"/>
        <w:ind w:firstLine="640"/>
        <w:rPr>
          <w:rFonts w:ascii="宋体" w:hAnsi="宋体" w:cs="宋体"/>
          <w:color w:val="000000"/>
          <w:sz w:val="24"/>
        </w:rPr>
      </w:pPr>
      <w:r>
        <w:rPr>
          <w:rFonts w:hint="eastAsia" w:ascii="宋体" w:hAnsi="宋体" w:cs="宋体"/>
          <w:color w:val="000000"/>
          <w:sz w:val="24"/>
        </w:rPr>
        <w:t>系统还应提供开放的视音频传输和访问接口，包括视音频图像资源目录的获取、视频音频流媒体接口、视音频解码插件等接口，供图像综合调度系统简单调用所需视频流。</w:t>
      </w:r>
    </w:p>
    <w:p>
      <w:pPr>
        <w:spacing w:line="360" w:lineRule="auto"/>
        <w:rPr>
          <w:rFonts w:ascii="宋体" w:hAnsi="宋体" w:cs="宋体"/>
          <w:b/>
          <w:bCs/>
          <w:color w:val="000000"/>
          <w:sz w:val="24"/>
        </w:rPr>
      </w:pPr>
      <w:bookmarkStart w:id="39" w:name="_Toc355541349"/>
      <w:r>
        <w:rPr>
          <w:rFonts w:ascii="宋体" w:hAnsi="宋体" w:cs="宋体"/>
          <w:b/>
          <w:bCs/>
          <w:color w:val="000000"/>
          <w:sz w:val="24"/>
        </w:rPr>
        <w:t>2</w:t>
      </w:r>
      <w:r>
        <w:rPr>
          <w:rFonts w:hint="eastAsia" w:ascii="宋体" w:hAnsi="宋体" w:cs="宋体"/>
          <w:b/>
          <w:bCs/>
          <w:color w:val="000000"/>
          <w:sz w:val="24"/>
        </w:rPr>
        <w:t>.2.6系统扩展能力</w:t>
      </w:r>
      <w:bookmarkEnd w:id="39"/>
    </w:p>
    <w:p>
      <w:pPr>
        <w:spacing w:line="360" w:lineRule="auto"/>
        <w:ind w:firstLine="640"/>
        <w:rPr>
          <w:rFonts w:ascii="宋体" w:hAnsi="宋体" w:cs="宋体"/>
          <w:color w:val="000000"/>
          <w:sz w:val="24"/>
        </w:rPr>
      </w:pPr>
      <w:r>
        <w:rPr>
          <w:rFonts w:hint="eastAsia" w:ascii="宋体" w:hAnsi="宋体" w:cs="宋体"/>
          <w:color w:val="000000"/>
          <w:sz w:val="24"/>
        </w:rPr>
        <w:t>系统支持多级数字级联，可针对全局实现多级分布部署，召开全网会议时可实现各级会议之间数字级联，节省骨干网带宽。</w:t>
      </w:r>
    </w:p>
    <w:p>
      <w:pPr>
        <w:pStyle w:val="2"/>
        <w:rPr>
          <w:rFonts w:hint="eastAsia"/>
        </w:rPr>
      </w:pPr>
    </w:p>
    <w:p>
      <w:pPr>
        <w:spacing w:line="360" w:lineRule="auto"/>
        <w:ind w:firstLine="560" w:firstLineChars="200"/>
        <w:rPr>
          <w:rFonts w:ascii="宋体" w:hAnsi="宋体" w:cs="宋体"/>
          <w:bCs/>
          <w:sz w:val="28"/>
          <w:szCs w:val="28"/>
        </w:rPr>
      </w:pPr>
      <w:r>
        <w:rPr>
          <w:rFonts w:hint="eastAsia" w:ascii="宋体" w:hAnsi="宋体" w:cs="宋体"/>
          <w:bCs/>
          <w:sz w:val="28"/>
          <w:szCs w:val="28"/>
        </w:rPr>
        <w:t>（</w:t>
      </w:r>
      <w:r>
        <w:rPr>
          <w:rFonts w:hint="eastAsia" w:ascii="宋体" w:hAnsi="宋体" w:cs="宋体"/>
          <w:bCs/>
          <w:sz w:val="28"/>
          <w:szCs w:val="28"/>
          <w:lang w:eastAsia="zh-CN"/>
        </w:rPr>
        <w:t>三</w:t>
      </w:r>
      <w:r>
        <w:rPr>
          <w:rFonts w:hint="eastAsia" w:ascii="宋体" w:hAnsi="宋体" w:cs="宋体"/>
          <w:bCs/>
          <w:sz w:val="28"/>
          <w:szCs w:val="28"/>
        </w:rPr>
        <w:t>）采购内容一览表</w:t>
      </w:r>
    </w:p>
    <w:tbl>
      <w:tblPr>
        <w:tblStyle w:val="1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071"/>
        <w:gridCol w:w="764"/>
        <w:gridCol w:w="709"/>
        <w:gridCol w:w="2229"/>
        <w:gridCol w:w="123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pStyle w:val="18"/>
              <w:ind w:left="0" w:leftChars="0" w:firstLine="0"/>
            </w:pPr>
            <w:r>
              <w:rPr>
                <w:rFonts w:hint="eastAsia" w:ascii="宋体" w:hAnsi="宋体" w:cs="宋体"/>
                <w:bCs/>
                <w:kern w:val="0"/>
                <w:sz w:val="24"/>
              </w:rPr>
              <w:t>序号</w:t>
            </w:r>
          </w:p>
        </w:tc>
        <w:tc>
          <w:tcPr>
            <w:tcW w:w="2071" w:type="dxa"/>
            <w:noWrap w:val="0"/>
            <w:vAlign w:val="center"/>
          </w:tcPr>
          <w:p>
            <w:pPr>
              <w:pStyle w:val="18"/>
              <w:ind w:left="0" w:leftChars="0" w:firstLine="0"/>
            </w:pPr>
            <w:r>
              <w:rPr>
                <w:rFonts w:hint="eastAsia" w:ascii="宋体" w:hAnsi="宋体" w:cs="宋体"/>
                <w:bCs/>
                <w:kern w:val="0"/>
                <w:sz w:val="24"/>
              </w:rPr>
              <w:t>采购内容</w:t>
            </w:r>
          </w:p>
        </w:tc>
        <w:tc>
          <w:tcPr>
            <w:tcW w:w="764" w:type="dxa"/>
            <w:noWrap w:val="0"/>
            <w:vAlign w:val="center"/>
          </w:tcPr>
          <w:p>
            <w:pPr>
              <w:pStyle w:val="18"/>
              <w:ind w:left="0" w:leftChars="0" w:firstLine="0"/>
            </w:pPr>
            <w:r>
              <w:rPr>
                <w:rFonts w:hint="eastAsia" w:ascii="宋体" w:hAnsi="宋体" w:cs="宋体"/>
                <w:bCs/>
                <w:kern w:val="0"/>
                <w:sz w:val="24"/>
              </w:rPr>
              <w:t>数量</w:t>
            </w:r>
          </w:p>
        </w:tc>
        <w:tc>
          <w:tcPr>
            <w:tcW w:w="709" w:type="dxa"/>
            <w:noWrap w:val="0"/>
            <w:vAlign w:val="center"/>
          </w:tcPr>
          <w:p>
            <w:pPr>
              <w:pStyle w:val="18"/>
              <w:ind w:left="0" w:leftChars="0" w:firstLine="0"/>
            </w:pPr>
            <w:r>
              <w:rPr>
                <w:rFonts w:hint="eastAsia" w:ascii="宋体" w:hAnsi="宋体" w:cs="宋体"/>
                <w:bCs/>
                <w:kern w:val="0"/>
                <w:sz w:val="24"/>
              </w:rPr>
              <w:t>单位</w:t>
            </w:r>
          </w:p>
        </w:tc>
        <w:tc>
          <w:tcPr>
            <w:tcW w:w="2229" w:type="dxa"/>
            <w:noWrap w:val="0"/>
            <w:vAlign w:val="center"/>
          </w:tcPr>
          <w:p>
            <w:pPr>
              <w:pStyle w:val="18"/>
              <w:ind w:left="0" w:leftChars="0" w:firstLine="0"/>
            </w:pPr>
            <w:r>
              <w:rPr>
                <w:rFonts w:hint="eastAsia" w:ascii="宋体" w:hAnsi="宋体" w:cs="宋体"/>
                <w:bCs/>
                <w:kern w:val="0"/>
                <w:sz w:val="24"/>
              </w:rPr>
              <w:t>是否为核心产品，若不填则以所占金额比重衡量</w:t>
            </w:r>
          </w:p>
        </w:tc>
        <w:tc>
          <w:tcPr>
            <w:tcW w:w="1235" w:type="dxa"/>
            <w:noWrap w:val="0"/>
            <w:vAlign w:val="center"/>
          </w:tcPr>
          <w:p>
            <w:pPr>
              <w:spacing w:line="360" w:lineRule="auto"/>
              <w:jc w:val="center"/>
              <w:rPr>
                <w:rFonts w:hint="eastAsia" w:ascii="宋体" w:hAnsi="宋体" w:cs="宋体"/>
                <w:bCs/>
                <w:kern w:val="0"/>
                <w:sz w:val="24"/>
              </w:rPr>
            </w:pPr>
            <w:r>
              <w:rPr>
                <w:rFonts w:hint="eastAsia" w:ascii="宋体" w:hAnsi="宋体" w:cs="宋体"/>
                <w:bCs/>
                <w:kern w:val="0"/>
                <w:sz w:val="24"/>
              </w:rPr>
              <w:t>是否</w:t>
            </w:r>
          </w:p>
          <w:p>
            <w:pPr>
              <w:pStyle w:val="18"/>
              <w:ind w:left="0" w:leftChars="0" w:firstLine="0"/>
            </w:pPr>
            <w:r>
              <w:rPr>
                <w:rFonts w:hint="eastAsia" w:ascii="宋体" w:hAnsi="宋体" w:cs="宋体"/>
                <w:bCs/>
                <w:kern w:val="0"/>
                <w:sz w:val="24"/>
              </w:rPr>
              <w:t>为主要产品</w:t>
            </w:r>
          </w:p>
        </w:tc>
        <w:tc>
          <w:tcPr>
            <w:tcW w:w="1235" w:type="dxa"/>
            <w:noWrap w:val="0"/>
            <w:vAlign w:val="center"/>
          </w:tcPr>
          <w:p>
            <w:pPr>
              <w:pStyle w:val="18"/>
              <w:ind w:left="0" w:leftChars="0" w:firstLine="0"/>
            </w:pPr>
            <w:r>
              <w:rPr>
                <w:rFonts w:hint="eastAsia" w:ascii="宋体" w:hAnsi="宋体" w:cs="宋体"/>
                <w:bCs/>
                <w:kern w:val="0"/>
                <w:sz w:val="24"/>
              </w:rPr>
              <w:t>是否进口（进口的需提供进口批文）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top"/>
          </w:tcPr>
          <w:p>
            <w:pPr>
              <w:pStyle w:val="18"/>
              <w:ind w:left="0" w:leftChars="0" w:firstLine="0"/>
            </w:pPr>
            <w:r>
              <w:rPr>
                <w:rFonts w:hint="eastAsia"/>
              </w:rPr>
              <w:t>一、</w:t>
            </w:r>
          </w:p>
        </w:tc>
        <w:tc>
          <w:tcPr>
            <w:tcW w:w="8243" w:type="dxa"/>
            <w:gridSpan w:val="6"/>
            <w:noWrap w:val="0"/>
            <w:vAlign w:val="top"/>
          </w:tcPr>
          <w:p>
            <w:pPr>
              <w:pStyle w:val="18"/>
              <w:ind w:left="0" w:leftChars="0" w:firstLine="0"/>
            </w:pPr>
            <w:r>
              <w:rPr>
                <w:rFonts w:hint="eastAsia"/>
              </w:rPr>
              <w:t>平台配置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top"/>
          </w:tcPr>
          <w:p>
            <w:pPr>
              <w:pStyle w:val="18"/>
              <w:ind w:left="0" w:leftChars="0" w:firstLine="0"/>
            </w:pPr>
            <w:r>
              <w:rPr>
                <w:rFonts w:hint="eastAsia"/>
              </w:rPr>
              <w:t>1</w:t>
            </w:r>
          </w:p>
        </w:tc>
        <w:tc>
          <w:tcPr>
            <w:tcW w:w="2071" w:type="dxa"/>
            <w:noWrap w:val="0"/>
            <w:vAlign w:val="top"/>
          </w:tcPr>
          <w:p>
            <w:pPr>
              <w:pStyle w:val="18"/>
              <w:ind w:left="0" w:leftChars="0" w:firstLine="0"/>
              <w:rPr>
                <w:rFonts w:hint="eastAsia"/>
              </w:rPr>
            </w:pPr>
            <w:r>
              <w:rPr>
                <w:rFonts w:hint="eastAsia"/>
              </w:rPr>
              <w:t>M</w:t>
            </w:r>
            <w:r>
              <w:t>CU</w:t>
            </w:r>
            <w:r>
              <w:rPr>
                <w:rFonts w:hint="eastAsia"/>
              </w:rPr>
              <w:t>接入数</w:t>
            </w:r>
          </w:p>
        </w:tc>
        <w:tc>
          <w:tcPr>
            <w:tcW w:w="764" w:type="dxa"/>
            <w:noWrap w:val="0"/>
            <w:vAlign w:val="top"/>
          </w:tcPr>
          <w:p>
            <w:pPr>
              <w:pStyle w:val="18"/>
              <w:ind w:left="0" w:leftChars="0" w:firstLine="0"/>
            </w:pPr>
            <w:r>
              <w:rPr>
                <w:rFonts w:hint="eastAsia"/>
              </w:rPr>
              <w:t>2</w:t>
            </w:r>
            <w:r>
              <w:t>4</w:t>
            </w:r>
          </w:p>
        </w:tc>
        <w:tc>
          <w:tcPr>
            <w:tcW w:w="709" w:type="dxa"/>
            <w:noWrap w:val="0"/>
            <w:vAlign w:val="top"/>
          </w:tcPr>
          <w:p>
            <w:pPr>
              <w:pStyle w:val="18"/>
              <w:ind w:left="0" w:leftChars="0" w:firstLine="0"/>
            </w:pPr>
            <w:r>
              <w:rPr>
                <w:rFonts w:hint="eastAsia"/>
              </w:rPr>
              <w:t>个</w:t>
            </w:r>
          </w:p>
        </w:tc>
        <w:tc>
          <w:tcPr>
            <w:tcW w:w="2229" w:type="dxa"/>
            <w:noWrap w:val="0"/>
            <w:vAlign w:val="top"/>
          </w:tcPr>
          <w:p>
            <w:pPr>
              <w:pStyle w:val="18"/>
              <w:ind w:left="0" w:leftChars="0" w:firstLine="0"/>
            </w:pPr>
            <w:r>
              <w:rPr>
                <w:rFonts w:hint="eastAsia"/>
              </w:rPr>
              <w:t>是</w:t>
            </w:r>
          </w:p>
        </w:tc>
        <w:tc>
          <w:tcPr>
            <w:tcW w:w="1235" w:type="dxa"/>
            <w:noWrap w:val="0"/>
            <w:vAlign w:val="top"/>
          </w:tcPr>
          <w:p>
            <w:pPr>
              <w:pStyle w:val="18"/>
              <w:ind w:left="0" w:leftChars="0" w:firstLine="0"/>
            </w:pPr>
            <w:r>
              <w:rPr>
                <w:rFonts w:hint="eastAsia"/>
              </w:rPr>
              <w:t>是</w:t>
            </w:r>
          </w:p>
        </w:tc>
        <w:tc>
          <w:tcPr>
            <w:tcW w:w="1235" w:type="dxa"/>
            <w:noWrap w:val="0"/>
            <w:vAlign w:val="top"/>
          </w:tcPr>
          <w:p>
            <w:pPr>
              <w:pStyle w:val="18"/>
              <w:ind w:left="0" w:leftChars="0" w:firstLine="0"/>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pStyle w:val="18"/>
              <w:ind w:left="0" w:leftChars="0" w:firstLine="0"/>
            </w:pPr>
            <w:r>
              <w:rPr>
                <w:rFonts w:hint="eastAsia" w:ascii="宋体" w:hAnsi="宋体" w:cs="宋体"/>
                <w:sz w:val="24"/>
              </w:rPr>
              <w:t>2</w:t>
            </w:r>
          </w:p>
        </w:tc>
        <w:tc>
          <w:tcPr>
            <w:tcW w:w="2071" w:type="dxa"/>
            <w:noWrap w:val="0"/>
            <w:vAlign w:val="center"/>
          </w:tcPr>
          <w:p>
            <w:pPr>
              <w:pStyle w:val="18"/>
              <w:ind w:left="0" w:leftChars="0" w:firstLine="0"/>
            </w:pPr>
            <w:r>
              <w:rPr>
                <w:rFonts w:hint="eastAsia" w:ascii="宋体" w:hAnsi="宋体" w:cs="宋体"/>
                <w:sz w:val="24"/>
              </w:rPr>
              <w:t>视频会议终端</w:t>
            </w:r>
          </w:p>
        </w:tc>
        <w:tc>
          <w:tcPr>
            <w:tcW w:w="764" w:type="dxa"/>
            <w:noWrap w:val="0"/>
            <w:vAlign w:val="top"/>
          </w:tcPr>
          <w:p>
            <w:pPr>
              <w:pStyle w:val="18"/>
              <w:ind w:left="0" w:leftChars="0" w:firstLine="0"/>
            </w:pPr>
            <w:r>
              <w:rPr>
                <w:rFonts w:hint="eastAsia"/>
              </w:rPr>
              <w:t>2</w:t>
            </w:r>
            <w:r>
              <w:t>5</w:t>
            </w:r>
          </w:p>
        </w:tc>
        <w:tc>
          <w:tcPr>
            <w:tcW w:w="709" w:type="dxa"/>
            <w:noWrap w:val="0"/>
            <w:vAlign w:val="top"/>
          </w:tcPr>
          <w:p>
            <w:pPr>
              <w:pStyle w:val="18"/>
              <w:ind w:left="0" w:leftChars="0" w:firstLine="0"/>
            </w:pPr>
            <w:r>
              <w:rPr>
                <w:rFonts w:hint="eastAsia"/>
              </w:rPr>
              <w:t>台</w:t>
            </w:r>
          </w:p>
        </w:tc>
        <w:tc>
          <w:tcPr>
            <w:tcW w:w="2229" w:type="dxa"/>
            <w:noWrap w:val="0"/>
            <w:vAlign w:val="top"/>
          </w:tcPr>
          <w:p>
            <w:pPr>
              <w:pStyle w:val="18"/>
              <w:ind w:left="0" w:leftChars="0" w:firstLine="0"/>
            </w:pPr>
            <w:r>
              <w:rPr>
                <w:rFonts w:hint="eastAsia"/>
              </w:rPr>
              <w:t>是</w:t>
            </w:r>
          </w:p>
        </w:tc>
        <w:tc>
          <w:tcPr>
            <w:tcW w:w="1235" w:type="dxa"/>
            <w:noWrap w:val="0"/>
            <w:vAlign w:val="top"/>
          </w:tcPr>
          <w:p>
            <w:pPr>
              <w:pStyle w:val="18"/>
              <w:ind w:left="0" w:leftChars="0" w:firstLine="0"/>
            </w:pPr>
            <w:r>
              <w:rPr>
                <w:rFonts w:hint="eastAsia"/>
              </w:rPr>
              <w:t>是</w:t>
            </w:r>
          </w:p>
        </w:tc>
        <w:tc>
          <w:tcPr>
            <w:tcW w:w="1235" w:type="dxa"/>
            <w:noWrap w:val="0"/>
            <w:vAlign w:val="top"/>
          </w:tcPr>
          <w:p>
            <w:pPr>
              <w:pStyle w:val="18"/>
              <w:ind w:left="0" w:leftChars="0" w:firstLine="0"/>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pStyle w:val="18"/>
              <w:ind w:left="0" w:leftChars="0" w:firstLine="0"/>
            </w:pPr>
            <w:r>
              <w:rPr>
                <w:rFonts w:hint="eastAsia" w:ascii="宋体" w:hAnsi="宋体" w:cs="宋体"/>
                <w:sz w:val="24"/>
              </w:rPr>
              <w:t>3</w:t>
            </w:r>
          </w:p>
        </w:tc>
        <w:tc>
          <w:tcPr>
            <w:tcW w:w="2071" w:type="dxa"/>
            <w:noWrap w:val="0"/>
            <w:vAlign w:val="center"/>
          </w:tcPr>
          <w:p>
            <w:pPr>
              <w:pStyle w:val="18"/>
              <w:ind w:left="0" w:leftChars="0" w:firstLine="0"/>
            </w:pPr>
            <w:r>
              <w:rPr>
                <w:rFonts w:hint="eastAsia" w:ascii="宋体" w:hAnsi="宋体" w:cs="宋体"/>
                <w:sz w:val="24"/>
              </w:rPr>
              <w:t>高清会议摄像机</w:t>
            </w:r>
            <w:r>
              <w:rPr>
                <w:rFonts w:ascii="宋体" w:hAnsi="宋体" w:cs="宋体"/>
                <w:sz w:val="24"/>
              </w:rPr>
              <w:t>1</w:t>
            </w:r>
          </w:p>
        </w:tc>
        <w:tc>
          <w:tcPr>
            <w:tcW w:w="764" w:type="dxa"/>
            <w:noWrap w:val="0"/>
            <w:vAlign w:val="top"/>
          </w:tcPr>
          <w:p>
            <w:pPr>
              <w:pStyle w:val="18"/>
              <w:ind w:left="0" w:leftChars="0" w:firstLine="0"/>
            </w:pPr>
            <w:r>
              <w:rPr>
                <w:rFonts w:hint="eastAsia"/>
              </w:rPr>
              <w:t>2</w:t>
            </w:r>
            <w:r>
              <w:t>5</w:t>
            </w:r>
          </w:p>
        </w:tc>
        <w:tc>
          <w:tcPr>
            <w:tcW w:w="709" w:type="dxa"/>
            <w:noWrap w:val="0"/>
            <w:vAlign w:val="top"/>
          </w:tcPr>
          <w:p>
            <w:pPr>
              <w:pStyle w:val="18"/>
              <w:ind w:left="0" w:leftChars="0" w:firstLine="0"/>
            </w:pPr>
            <w:r>
              <w:rPr>
                <w:rFonts w:hint="eastAsia"/>
              </w:rPr>
              <w:t>台</w:t>
            </w:r>
          </w:p>
        </w:tc>
        <w:tc>
          <w:tcPr>
            <w:tcW w:w="2229" w:type="dxa"/>
            <w:noWrap w:val="0"/>
            <w:vAlign w:val="top"/>
          </w:tcPr>
          <w:p>
            <w:pPr>
              <w:pStyle w:val="18"/>
              <w:ind w:left="0" w:leftChars="0" w:firstLine="0"/>
            </w:pPr>
            <w:r>
              <w:rPr>
                <w:rFonts w:hint="eastAsia"/>
              </w:rPr>
              <w:t>是</w:t>
            </w:r>
          </w:p>
        </w:tc>
        <w:tc>
          <w:tcPr>
            <w:tcW w:w="1235" w:type="dxa"/>
            <w:noWrap w:val="0"/>
            <w:vAlign w:val="top"/>
          </w:tcPr>
          <w:p>
            <w:pPr>
              <w:pStyle w:val="18"/>
              <w:ind w:left="0" w:leftChars="0" w:firstLine="0"/>
            </w:pPr>
            <w:r>
              <w:rPr>
                <w:rFonts w:hint="eastAsia"/>
              </w:rPr>
              <w:t>是</w:t>
            </w:r>
          </w:p>
        </w:tc>
        <w:tc>
          <w:tcPr>
            <w:tcW w:w="1235" w:type="dxa"/>
            <w:noWrap w:val="0"/>
            <w:vAlign w:val="top"/>
          </w:tcPr>
          <w:p>
            <w:pPr>
              <w:pStyle w:val="18"/>
              <w:ind w:left="0" w:leftChars="0" w:firstLine="0"/>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pStyle w:val="18"/>
              <w:ind w:left="0" w:leftChars="0" w:firstLine="0"/>
            </w:pPr>
            <w:r>
              <w:rPr>
                <w:rFonts w:hint="eastAsia" w:ascii="宋体" w:hAnsi="宋体" w:cs="宋体"/>
                <w:sz w:val="24"/>
              </w:rPr>
              <w:t>4</w:t>
            </w:r>
          </w:p>
        </w:tc>
        <w:tc>
          <w:tcPr>
            <w:tcW w:w="2071" w:type="dxa"/>
            <w:noWrap w:val="0"/>
            <w:vAlign w:val="center"/>
          </w:tcPr>
          <w:p>
            <w:pPr>
              <w:pStyle w:val="18"/>
              <w:ind w:left="0" w:leftChars="0" w:firstLine="0"/>
            </w:pPr>
            <w:r>
              <w:rPr>
                <w:rFonts w:hint="eastAsia" w:ascii="宋体" w:hAnsi="宋体" w:cs="宋体"/>
                <w:sz w:val="24"/>
              </w:rPr>
              <w:t>高清会议摄像机2</w:t>
            </w:r>
          </w:p>
        </w:tc>
        <w:tc>
          <w:tcPr>
            <w:tcW w:w="764" w:type="dxa"/>
            <w:noWrap w:val="0"/>
            <w:vAlign w:val="top"/>
          </w:tcPr>
          <w:p>
            <w:pPr>
              <w:pStyle w:val="18"/>
              <w:ind w:left="0" w:leftChars="0" w:firstLine="0"/>
            </w:pPr>
            <w:r>
              <w:rPr>
                <w:rFonts w:hint="eastAsia"/>
              </w:rPr>
              <w:t>2</w:t>
            </w:r>
          </w:p>
        </w:tc>
        <w:tc>
          <w:tcPr>
            <w:tcW w:w="709" w:type="dxa"/>
            <w:noWrap w:val="0"/>
            <w:vAlign w:val="top"/>
          </w:tcPr>
          <w:p>
            <w:pPr>
              <w:pStyle w:val="18"/>
              <w:ind w:left="0" w:leftChars="0" w:firstLine="0"/>
            </w:pPr>
            <w:r>
              <w:rPr>
                <w:rFonts w:hint="eastAsia"/>
              </w:rPr>
              <w:t>台</w:t>
            </w:r>
          </w:p>
        </w:tc>
        <w:tc>
          <w:tcPr>
            <w:tcW w:w="2229" w:type="dxa"/>
            <w:noWrap w:val="0"/>
            <w:vAlign w:val="top"/>
          </w:tcPr>
          <w:p>
            <w:pPr>
              <w:pStyle w:val="18"/>
              <w:ind w:left="0" w:leftChars="0" w:firstLine="0"/>
            </w:pPr>
            <w:r>
              <w:rPr>
                <w:rFonts w:hint="eastAsia"/>
              </w:rPr>
              <w:t>是</w:t>
            </w:r>
          </w:p>
        </w:tc>
        <w:tc>
          <w:tcPr>
            <w:tcW w:w="1235" w:type="dxa"/>
            <w:noWrap w:val="0"/>
            <w:vAlign w:val="top"/>
          </w:tcPr>
          <w:p>
            <w:pPr>
              <w:pStyle w:val="18"/>
              <w:ind w:left="0" w:leftChars="0" w:firstLine="0"/>
            </w:pPr>
            <w:r>
              <w:rPr>
                <w:rFonts w:hint="eastAsia"/>
              </w:rPr>
              <w:t>是</w:t>
            </w:r>
          </w:p>
        </w:tc>
        <w:tc>
          <w:tcPr>
            <w:tcW w:w="1235" w:type="dxa"/>
            <w:noWrap w:val="0"/>
            <w:vAlign w:val="top"/>
          </w:tcPr>
          <w:p>
            <w:pPr>
              <w:pStyle w:val="18"/>
              <w:ind w:left="0" w:leftChars="0" w:firstLine="0"/>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pStyle w:val="18"/>
              <w:ind w:left="0" w:leftChars="0" w:firstLine="0"/>
            </w:pPr>
            <w:r>
              <w:rPr>
                <w:rFonts w:hint="eastAsia" w:ascii="宋体" w:hAnsi="宋体" w:cs="宋体"/>
                <w:sz w:val="24"/>
              </w:rPr>
              <w:t>5</w:t>
            </w:r>
          </w:p>
        </w:tc>
        <w:tc>
          <w:tcPr>
            <w:tcW w:w="2071" w:type="dxa"/>
            <w:noWrap w:val="0"/>
            <w:vAlign w:val="center"/>
          </w:tcPr>
          <w:p>
            <w:pPr>
              <w:pStyle w:val="18"/>
              <w:ind w:left="0" w:leftChars="0" w:firstLine="0"/>
            </w:pPr>
            <w:r>
              <w:rPr>
                <w:rFonts w:hint="eastAsia" w:ascii="宋体" w:hAnsi="宋体" w:cs="宋体"/>
                <w:sz w:val="24"/>
              </w:rPr>
              <w:t>话筒</w:t>
            </w:r>
          </w:p>
        </w:tc>
        <w:tc>
          <w:tcPr>
            <w:tcW w:w="764" w:type="dxa"/>
            <w:noWrap w:val="0"/>
            <w:vAlign w:val="top"/>
          </w:tcPr>
          <w:p>
            <w:pPr>
              <w:pStyle w:val="18"/>
              <w:ind w:left="0" w:leftChars="0" w:firstLine="0"/>
            </w:pPr>
            <w:r>
              <w:rPr>
                <w:rFonts w:hint="eastAsia"/>
              </w:rPr>
              <w:t>2</w:t>
            </w:r>
            <w:r>
              <w:t>5</w:t>
            </w:r>
          </w:p>
        </w:tc>
        <w:tc>
          <w:tcPr>
            <w:tcW w:w="709" w:type="dxa"/>
            <w:noWrap w:val="0"/>
            <w:vAlign w:val="top"/>
          </w:tcPr>
          <w:p>
            <w:pPr>
              <w:pStyle w:val="18"/>
              <w:ind w:left="0" w:leftChars="0" w:firstLine="0"/>
            </w:pPr>
            <w:r>
              <w:rPr>
                <w:rFonts w:hint="eastAsia"/>
              </w:rPr>
              <w:t>支</w:t>
            </w:r>
          </w:p>
        </w:tc>
        <w:tc>
          <w:tcPr>
            <w:tcW w:w="2229" w:type="dxa"/>
            <w:noWrap w:val="0"/>
            <w:vAlign w:val="top"/>
          </w:tcPr>
          <w:p>
            <w:pPr>
              <w:pStyle w:val="18"/>
              <w:ind w:left="0" w:leftChars="0" w:firstLine="0"/>
            </w:pPr>
            <w:r>
              <w:rPr>
                <w:rFonts w:hint="eastAsia"/>
              </w:rPr>
              <w:t>否</w:t>
            </w:r>
          </w:p>
        </w:tc>
        <w:tc>
          <w:tcPr>
            <w:tcW w:w="1235" w:type="dxa"/>
            <w:noWrap w:val="0"/>
            <w:vAlign w:val="top"/>
          </w:tcPr>
          <w:p>
            <w:pPr>
              <w:pStyle w:val="18"/>
              <w:ind w:left="0" w:leftChars="0" w:firstLine="0"/>
            </w:pPr>
            <w:r>
              <w:rPr>
                <w:rFonts w:hint="eastAsia"/>
              </w:rPr>
              <w:t>否</w:t>
            </w:r>
          </w:p>
        </w:tc>
        <w:tc>
          <w:tcPr>
            <w:tcW w:w="1235" w:type="dxa"/>
            <w:noWrap w:val="0"/>
            <w:vAlign w:val="top"/>
          </w:tcPr>
          <w:p>
            <w:pPr>
              <w:pStyle w:val="18"/>
              <w:ind w:left="0" w:leftChars="0" w:firstLine="0"/>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pStyle w:val="18"/>
              <w:ind w:left="0" w:leftChars="0" w:firstLine="0"/>
            </w:pPr>
            <w:r>
              <w:rPr>
                <w:rFonts w:ascii="宋体" w:hAnsi="宋体" w:cs="宋体"/>
                <w:sz w:val="24"/>
              </w:rPr>
              <w:t>6</w:t>
            </w:r>
          </w:p>
        </w:tc>
        <w:tc>
          <w:tcPr>
            <w:tcW w:w="2071" w:type="dxa"/>
            <w:noWrap w:val="0"/>
            <w:vAlign w:val="center"/>
          </w:tcPr>
          <w:p>
            <w:pPr>
              <w:pStyle w:val="18"/>
              <w:ind w:left="0" w:leftChars="0" w:firstLine="0"/>
            </w:pPr>
            <w:r>
              <w:rPr>
                <w:rFonts w:hint="eastAsia" w:ascii="宋体" w:hAnsi="宋体" w:cs="宋体"/>
                <w:sz w:val="24"/>
              </w:rPr>
              <w:t>电视机</w:t>
            </w:r>
          </w:p>
        </w:tc>
        <w:tc>
          <w:tcPr>
            <w:tcW w:w="764" w:type="dxa"/>
            <w:noWrap w:val="0"/>
            <w:vAlign w:val="top"/>
          </w:tcPr>
          <w:p>
            <w:pPr>
              <w:pStyle w:val="18"/>
              <w:ind w:left="0" w:leftChars="0" w:firstLine="0"/>
            </w:pPr>
            <w:r>
              <w:rPr>
                <w:rFonts w:hint="eastAsia"/>
              </w:rPr>
              <w:t>5</w:t>
            </w:r>
            <w:r>
              <w:t>0</w:t>
            </w:r>
          </w:p>
        </w:tc>
        <w:tc>
          <w:tcPr>
            <w:tcW w:w="709" w:type="dxa"/>
            <w:noWrap w:val="0"/>
            <w:vAlign w:val="top"/>
          </w:tcPr>
          <w:p>
            <w:pPr>
              <w:pStyle w:val="18"/>
              <w:ind w:left="0" w:leftChars="0" w:firstLine="0"/>
            </w:pPr>
            <w:r>
              <w:rPr>
                <w:rFonts w:hint="eastAsia"/>
              </w:rPr>
              <w:t>台</w:t>
            </w:r>
          </w:p>
        </w:tc>
        <w:tc>
          <w:tcPr>
            <w:tcW w:w="2229" w:type="dxa"/>
            <w:noWrap w:val="0"/>
            <w:vAlign w:val="top"/>
          </w:tcPr>
          <w:p>
            <w:pPr>
              <w:pStyle w:val="18"/>
              <w:ind w:left="0" w:leftChars="0" w:firstLine="0"/>
            </w:pPr>
            <w:r>
              <w:rPr>
                <w:rFonts w:hint="eastAsia"/>
              </w:rPr>
              <w:t>否</w:t>
            </w:r>
          </w:p>
        </w:tc>
        <w:tc>
          <w:tcPr>
            <w:tcW w:w="1235" w:type="dxa"/>
            <w:noWrap w:val="0"/>
            <w:vAlign w:val="top"/>
          </w:tcPr>
          <w:p>
            <w:pPr>
              <w:pStyle w:val="18"/>
              <w:ind w:left="0" w:leftChars="0" w:firstLine="0"/>
            </w:pPr>
            <w:r>
              <w:rPr>
                <w:rFonts w:hint="eastAsia"/>
              </w:rPr>
              <w:t>否</w:t>
            </w:r>
          </w:p>
        </w:tc>
        <w:tc>
          <w:tcPr>
            <w:tcW w:w="1235" w:type="dxa"/>
            <w:noWrap w:val="0"/>
            <w:vAlign w:val="top"/>
          </w:tcPr>
          <w:p>
            <w:pPr>
              <w:pStyle w:val="18"/>
              <w:ind w:left="0" w:leftChars="0" w:firstLine="0"/>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pStyle w:val="18"/>
              <w:ind w:left="0" w:leftChars="0" w:firstLine="0"/>
            </w:pPr>
            <w:r>
              <w:rPr>
                <w:rFonts w:ascii="宋体" w:hAnsi="宋体" w:cs="宋体"/>
                <w:sz w:val="24"/>
              </w:rPr>
              <w:t>7</w:t>
            </w:r>
          </w:p>
        </w:tc>
        <w:tc>
          <w:tcPr>
            <w:tcW w:w="2071" w:type="dxa"/>
            <w:noWrap w:val="0"/>
            <w:vAlign w:val="center"/>
          </w:tcPr>
          <w:p>
            <w:pPr>
              <w:pStyle w:val="18"/>
              <w:ind w:left="0" w:leftChars="0" w:firstLine="0"/>
            </w:pPr>
            <w:r>
              <w:rPr>
                <w:rFonts w:hint="eastAsia" w:ascii="等线" w:hAnsi="等线" w:cs="等线"/>
                <w:b/>
                <w:bCs/>
                <w:color w:val="000000"/>
                <w:kern w:val="0"/>
                <w:szCs w:val="21"/>
              </w:rPr>
              <w:t>安装调试、系统集成、巡检费用</w:t>
            </w:r>
          </w:p>
        </w:tc>
        <w:tc>
          <w:tcPr>
            <w:tcW w:w="764" w:type="dxa"/>
            <w:noWrap w:val="0"/>
            <w:vAlign w:val="top"/>
          </w:tcPr>
          <w:p>
            <w:pPr>
              <w:pStyle w:val="18"/>
              <w:ind w:left="0" w:leftChars="0" w:firstLine="0"/>
            </w:pPr>
            <w:r>
              <w:rPr>
                <w:rFonts w:hint="eastAsia"/>
              </w:rPr>
              <w:t>1</w:t>
            </w:r>
          </w:p>
        </w:tc>
        <w:tc>
          <w:tcPr>
            <w:tcW w:w="709" w:type="dxa"/>
            <w:noWrap w:val="0"/>
            <w:vAlign w:val="top"/>
          </w:tcPr>
          <w:p>
            <w:pPr>
              <w:pStyle w:val="18"/>
              <w:ind w:left="0" w:leftChars="0" w:firstLine="0"/>
            </w:pPr>
            <w:r>
              <w:rPr>
                <w:rFonts w:hint="eastAsia"/>
              </w:rPr>
              <w:t>项</w:t>
            </w:r>
          </w:p>
        </w:tc>
        <w:tc>
          <w:tcPr>
            <w:tcW w:w="2229" w:type="dxa"/>
            <w:noWrap w:val="0"/>
            <w:vAlign w:val="top"/>
          </w:tcPr>
          <w:p>
            <w:pPr>
              <w:pStyle w:val="18"/>
              <w:ind w:left="0" w:leftChars="0" w:firstLine="0"/>
            </w:pPr>
            <w:r>
              <w:rPr>
                <w:rFonts w:hint="eastAsia"/>
              </w:rPr>
              <w:t>否</w:t>
            </w:r>
          </w:p>
        </w:tc>
        <w:tc>
          <w:tcPr>
            <w:tcW w:w="1235" w:type="dxa"/>
            <w:noWrap w:val="0"/>
            <w:vAlign w:val="top"/>
          </w:tcPr>
          <w:p>
            <w:pPr>
              <w:pStyle w:val="18"/>
              <w:ind w:left="0" w:leftChars="0" w:firstLine="0"/>
            </w:pPr>
            <w:r>
              <w:rPr>
                <w:rFonts w:hint="eastAsia"/>
              </w:rPr>
              <w:t>否</w:t>
            </w:r>
          </w:p>
        </w:tc>
        <w:tc>
          <w:tcPr>
            <w:tcW w:w="1235" w:type="dxa"/>
            <w:noWrap w:val="0"/>
            <w:vAlign w:val="top"/>
          </w:tcPr>
          <w:p>
            <w:pPr>
              <w:pStyle w:val="18"/>
              <w:ind w:left="0" w:leftChars="0" w:firstLine="0"/>
            </w:pPr>
            <w:r>
              <w:rPr>
                <w:rFonts w:hint="eastAsia"/>
              </w:rPr>
              <w:t>否</w:t>
            </w:r>
          </w:p>
        </w:tc>
      </w:tr>
    </w:tbl>
    <w:p>
      <w:pPr>
        <w:spacing w:line="360" w:lineRule="auto"/>
        <w:rPr>
          <w:bCs/>
          <w:sz w:val="24"/>
        </w:rPr>
      </w:pPr>
    </w:p>
    <w:p>
      <w:pPr>
        <w:spacing w:line="360" w:lineRule="auto"/>
        <w:ind w:firstLine="560" w:firstLineChars="200"/>
        <w:rPr>
          <w:rFonts w:hint="eastAsia" w:ascii="宋体" w:hAnsi="宋体" w:cs="宋体"/>
          <w:bCs/>
          <w:sz w:val="28"/>
          <w:szCs w:val="28"/>
        </w:rPr>
      </w:pPr>
      <w:r>
        <w:rPr>
          <w:rFonts w:hint="eastAsia" w:ascii="宋体" w:hAnsi="宋体" w:cs="宋体"/>
          <w:bCs/>
          <w:sz w:val="28"/>
          <w:szCs w:val="28"/>
        </w:rPr>
        <w:t>（</w:t>
      </w:r>
      <w:r>
        <w:rPr>
          <w:rFonts w:hint="eastAsia" w:ascii="宋体" w:hAnsi="宋体" w:cs="宋体"/>
          <w:bCs/>
          <w:sz w:val="28"/>
          <w:szCs w:val="28"/>
          <w:lang w:eastAsia="zh-CN"/>
        </w:rPr>
        <w:t>四</w:t>
      </w:r>
      <w:r>
        <w:rPr>
          <w:rFonts w:hint="eastAsia" w:ascii="宋体" w:hAnsi="宋体" w:cs="宋体"/>
          <w:bCs/>
          <w:sz w:val="28"/>
          <w:szCs w:val="28"/>
        </w:rPr>
        <w:t>）项目具体技术参数需求</w:t>
      </w:r>
    </w:p>
    <w:tbl>
      <w:tblPr>
        <w:tblStyle w:val="19"/>
        <w:tblW w:w="9153" w:type="dxa"/>
        <w:tblInd w:w="-30" w:type="dxa"/>
        <w:tblLayout w:type="fixed"/>
        <w:tblCellMar>
          <w:top w:w="15" w:type="dxa"/>
          <w:left w:w="15" w:type="dxa"/>
          <w:bottom w:w="15" w:type="dxa"/>
          <w:right w:w="15" w:type="dxa"/>
        </w:tblCellMar>
      </w:tblPr>
      <w:tblGrid>
        <w:gridCol w:w="1389"/>
        <w:gridCol w:w="641"/>
        <w:gridCol w:w="709"/>
        <w:gridCol w:w="567"/>
        <w:gridCol w:w="1275"/>
        <w:gridCol w:w="851"/>
        <w:gridCol w:w="2551"/>
        <w:gridCol w:w="1170"/>
      </w:tblGrid>
      <w:tr>
        <w:tblPrEx>
          <w:tblCellMar>
            <w:top w:w="15" w:type="dxa"/>
            <w:left w:w="15" w:type="dxa"/>
            <w:bottom w:w="15" w:type="dxa"/>
            <w:right w:w="15" w:type="dxa"/>
          </w:tblCellMar>
        </w:tblPrEx>
        <w:trPr>
          <w:trHeight w:val="540" w:hRule="atLeast"/>
        </w:trPr>
        <w:tc>
          <w:tcPr>
            <w:tcW w:w="1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24"/>
              </w:rPr>
            </w:pPr>
            <w:r>
              <w:rPr>
                <w:rFonts w:hint="eastAsia" w:ascii="宋体" w:hAnsi="宋体" w:cs="宋体"/>
                <w:bCs/>
                <w:kern w:val="0"/>
                <w:sz w:val="24"/>
              </w:rPr>
              <w:t>货物名称</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24"/>
              </w:rPr>
            </w:pPr>
            <w:r>
              <w:rPr>
                <w:rFonts w:hint="eastAsia" w:ascii="宋体" w:hAnsi="宋体" w:cs="宋体"/>
                <w:bCs/>
                <w:kern w:val="0"/>
                <w:sz w:val="24"/>
              </w:rPr>
              <w:t>数量</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24"/>
              </w:rPr>
            </w:pPr>
            <w:r>
              <w:rPr>
                <w:rFonts w:hint="eastAsia" w:ascii="宋体" w:hAnsi="宋体" w:cs="宋体"/>
                <w:bCs/>
                <w:kern w:val="0"/>
                <w:sz w:val="24"/>
              </w:rPr>
              <w:t>单位</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24"/>
              </w:rPr>
            </w:pPr>
            <w:r>
              <w:rPr>
                <w:rFonts w:hint="eastAsia" w:ascii="宋体" w:hAnsi="宋体" w:cs="宋体"/>
                <w:bCs/>
                <w:kern w:val="0"/>
                <w:sz w:val="24"/>
              </w:rPr>
              <w:t>序号</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pStyle w:val="18"/>
              <w:spacing w:line="360" w:lineRule="auto"/>
              <w:ind w:left="0" w:leftChars="0" w:firstLine="0"/>
              <w:rPr>
                <w:rFonts w:hint="eastAsia" w:ascii="宋体" w:hAnsi="宋体" w:cs="宋体"/>
                <w:bCs/>
                <w:sz w:val="24"/>
              </w:rPr>
            </w:pPr>
            <w:r>
              <w:rPr>
                <w:rFonts w:hint="eastAsia" w:ascii="宋体" w:hAnsi="宋体" w:cs="宋体"/>
                <w:bCs/>
                <w:sz w:val="24"/>
              </w:rPr>
              <w:t>主要性能参数指标★/实质性参数指标▲</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24"/>
              </w:rPr>
            </w:pPr>
            <w:r>
              <w:rPr>
                <w:rFonts w:hint="eastAsia" w:ascii="宋体" w:hAnsi="宋体" w:cs="宋体"/>
                <w:bCs/>
                <w:kern w:val="0"/>
                <w:sz w:val="24"/>
              </w:rPr>
              <w:t>指标项</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24"/>
              </w:rPr>
            </w:pPr>
            <w:r>
              <w:rPr>
                <w:rFonts w:hint="eastAsia" w:ascii="宋体" w:hAnsi="宋体" w:cs="宋体"/>
                <w:bCs/>
                <w:kern w:val="0"/>
                <w:sz w:val="24"/>
              </w:rPr>
              <w:t>指标要求</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24"/>
              </w:rPr>
            </w:pPr>
            <w:r>
              <w:rPr>
                <w:rFonts w:hint="eastAsia" w:ascii="宋体" w:hAnsi="宋体" w:cs="宋体"/>
                <w:bCs/>
                <w:kern w:val="0"/>
                <w:sz w:val="24"/>
              </w:rPr>
              <w:t>其他</w:t>
            </w:r>
          </w:p>
        </w:tc>
      </w:tr>
      <w:tr>
        <w:tblPrEx>
          <w:tblCellMar>
            <w:top w:w="15" w:type="dxa"/>
            <w:left w:w="15" w:type="dxa"/>
            <w:bottom w:w="15" w:type="dxa"/>
            <w:right w:w="15" w:type="dxa"/>
          </w:tblCellMar>
        </w:tblPrEx>
        <w:trPr>
          <w:trHeight w:val="285" w:hRule="atLeast"/>
        </w:trPr>
        <w:tc>
          <w:tcPr>
            <w:tcW w:w="1389" w:type="dxa"/>
            <w:vMerge w:val="restart"/>
            <w:tcBorders>
              <w:top w:val="single" w:color="000000" w:sz="4" w:space="0"/>
              <w:left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24"/>
              </w:rPr>
            </w:pPr>
            <w:r>
              <w:rPr>
                <w:rFonts w:hint="eastAsia" w:ascii="等线" w:hAnsi="等线" w:eastAsia="等线" w:cs="等线"/>
                <w:color w:val="000000"/>
                <w:kern w:val="0"/>
                <w:szCs w:val="21"/>
              </w:rPr>
              <w:t>视频会议终端</w:t>
            </w:r>
          </w:p>
        </w:tc>
        <w:tc>
          <w:tcPr>
            <w:tcW w:w="641"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bCs/>
                <w:sz w:val="24"/>
              </w:rPr>
              <w:t>2</w:t>
            </w:r>
            <w:r>
              <w:rPr>
                <w:rFonts w:ascii="宋体" w:hAnsi="宋体" w:cs="宋体"/>
                <w:bCs/>
                <w:sz w:val="24"/>
              </w:rPr>
              <w:t>5</w:t>
            </w:r>
          </w:p>
        </w:tc>
        <w:tc>
          <w:tcPr>
            <w:tcW w:w="709"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bCs/>
                <w:sz w:val="24"/>
              </w:rPr>
              <w:t>台</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24"/>
              </w:rPr>
            </w:pPr>
            <w:r>
              <w:rPr>
                <w:rFonts w:hint="eastAsia" w:ascii="宋体" w:hAnsi="宋体" w:cs="宋体"/>
                <w:bCs/>
                <w:kern w:val="0"/>
                <w:sz w:val="24"/>
              </w:rPr>
              <w:t>1</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szCs w:val="21"/>
              </w:rPr>
              <w:t>★</w:t>
            </w: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rPr>
              <w:t>会议终端可以接入台州市公安局高清MCU、台州市公安局交通警察局MCU、台州市公安局高速交警支队MCU，实现扁平化视频调度，能够进行设备呼叫、图像及语音控制。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285"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24"/>
              </w:rPr>
            </w:pPr>
            <w:r>
              <w:rPr>
                <w:rFonts w:hint="eastAsia" w:ascii="宋体" w:hAnsi="宋体" w:cs="宋体"/>
                <w:bCs/>
                <w:kern w:val="0"/>
                <w:sz w:val="24"/>
              </w:rPr>
              <w:t>2</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center"/>
              <w:rPr>
                <w:rFonts w:hint="eastAsia"/>
              </w:rPr>
            </w:pPr>
            <w:r>
              <w:rPr>
                <w:rFonts w:hint="eastAsia"/>
              </w:rPr>
              <w:t>采用硬件分体式结构,嵌入式操作系统，非PC架构、非工控机架构。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285"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sz w:val="24"/>
              </w:rPr>
            </w:pPr>
            <w:r>
              <w:rPr>
                <w:rFonts w:ascii="宋体" w:hAnsi="宋体" w:cs="宋体"/>
                <w:bCs/>
                <w:kern w:val="0"/>
                <w:sz w:val="24"/>
              </w:rPr>
              <w:t>3</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center"/>
              <w:rPr>
                <w:rFonts w:hint="eastAsia"/>
              </w:rPr>
            </w:pPr>
            <w:r>
              <w:rPr>
                <w:rFonts w:hint="eastAsia"/>
              </w:rPr>
              <w:t>支持ITU-T H.323和IETF SIP通信标准，会议速率支持128Kbps－8Mbps。</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285"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4</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rPr>
              <w:t>支持H.261、H.263、MPEG4、H.264、H.264 High Profile、H.265视频编解码协议，具备较强的兼容性。</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rPr>
              <w:t>（投标人需提供权威机构检测报告证明）</w:t>
            </w:r>
          </w:p>
        </w:tc>
      </w:tr>
      <w:tr>
        <w:tblPrEx>
          <w:tblCellMar>
            <w:top w:w="15" w:type="dxa"/>
            <w:left w:w="15" w:type="dxa"/>
            <w:bottom w:w="15" w:type="dxa"/>
            <w:right w:w="15" w:type="dxa"/>
          </w:tblCellMar>
        </w:tblPrEx>
        <w:trPr>
          <w:trHeight w:val="285"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5</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center"/>
              <w:rPr>
                <w:rFonts w:hint="eastAsia" w:ascii="宋体" w:hAnsi="宋体" w:cs="宋体"/>
                <w:bCs/>
                <w:sz w:val="24"/>
              </w:rPr>
            </w:pPr>
            <w:r>
              <w:rPr>
                <w:rFonts w:hint="eastAsia"/>
              </w:rPr>
              <w:t>支持G.711、G.722、G.728、G.722.1AnnexC、G.719、MPEG4-AAC LC/LD、Opus等音频协议，可达到20KHz以上的宽频效果。</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285"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6</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center"/>
              <w:rPr>
                <w:rFonts w:hint="eastAsia"/>
              </w:rPr>
            </w:pPr>
            <w:r>
              <w:rPr>
                <w:rFonts w:hint="eastAsia"/>
              </w:rPr>
              <w:t>支持H.239、BFCP双流协议标准。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285"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7</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rPr>
              <w:t>支持在较低的带宽下实现高清视频会议效果，H.265协议时512Kbps带宽下实现1080P60帧图像格式编解码，384Kbps带宽下实现1080P30帧图像格式编解码，256Kbps带宽下实现720P30帧图像格式编解码，最大限度节省用户网络资源</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285"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8</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rPr>
              <w:t>采用H.265编解码协议时，在保证主视频1080p60fps前提下，辅视频也可以支持到1080p60fps</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285"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9</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szCs w:val="21"/>
              </w:rPr>
              <w:t>★</w:t>
            </w: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rPr>
              <w:t>支持不少于2路高清视频输入接口、2路高清输出接口。</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rPr>
              <w:t>（投标人需提供权威机构检测报告证明）</w:t>
            </w:r>
          </w:p>
        </w:tc>
      </w:tr>
      <w:tr>
        <w:tblPrEx>
          <w:tblCellMar>
            <w:top w:w="15" w:type="dxa"/>
            <w:left w:w="15" w:type="dxa"/>
            <w:bottom w:w="15" w:type="dxa"/>
            <w:right w:w="15" w:type="dxa"/>
          </w:tblCellMar>
        </w:tblPrEx>
        <w:trPr>
          <w:trHeight w:val="285"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1</w:t>
            </w:r>
            <w:r>
              <w:rPr>
                <w:rFonts w:ascii="宋体" w:hAnsi="宋体" w:cs="宋体"/>
                <w:bCs/>
                <w:kern w:val="0"/>
                <w:sz w:val="24"/>
              </w:rPr>
              <w:t>0</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rPr>
              <w:t>支持不少于3进3出独立的音频输入输出接口，支持HDMI伴随音频输入输出功能</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285"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1</w:t>
            </w:r>
            <w:r>
              <w:rPr>
                <w:rFonts w:ascii="宋体" w:hAnsi="宋体" w:cs="宋体"/>
                <w:bCs/>
                <w:kern w:val="0"/>
                <w:sz w:val="24"/>
              </w:rPr>
              <w:t>1</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rPr>
              <w:t>支持2个10/100/1000M以太网接口，支持网口热备份</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285"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ascii="宋体" w:hAnsi="宋体" w:cs="宋体"/>
                <w:bCs/>
                <w:kern w:val="0"/>
                <w:sz w:val="24"/>
              </w:rPr>
              <w:t>1</w:t>
            </w:r>
            <w:r>
              <w:rPr>
                <w:rFonts w:hint="eastAsia" w:ascii="宋体" w:hAnsi="宋体" w:cs="宋体"/>
                <w:bCs/>
                <w:kern w:val="0"/>
                <w:sz w:val="24"/>
              </w:rPr>
              <w:t>2</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rPr>
              <w:t>支持有线和无线两种双流输入连接方式，可通过线缆连接接入或者通过WIFI无线网络将计算机图像发送至终端作为辅流源，图像可达1080p高清</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285"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1</w:t>
            </w:r>
            <w:r>
              <w:rPr>
                <w:rFonts w:ascii="宋体" w:hAnsi="宋体" w:cs="宋体"/>
                <w:bCs/>
                <w:kern w:val="0"/>
                <w:sz w:val="24"/>
              </w:rPr>
              <w:t>3</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rPr>
              <w:t>终端配套的遥控器采用ZigBee无线通信技术控制，可控范围至少20m、控制信号不易被遮挡。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rPr>
            </w:pPr>
            <w:r>
              <w:rPr>
                <w:rFonts w:hint="eastAsia"/>
              </w:rPr>
              <w:t>（投标人需提供权威机构检测报告证明）</w:t>
            </w:r>
          </w:p>
        </w:tc>
      </w:tr>
      <w:tr>
        <w:tblPrEx>
          <w:tblCellMar>
            <w:top w:w="15" w:type="dxa"/>
            <w:left w:w="15" w:type="dxa"/>
            <w:bottom w:w="15" w:type="dxa"/>
            <w:right w:w="15" w:type="dxa"/>
          </w:tblCellMar>
        </w:tblPrEx>
        <w:trPr>
          <w:trHeight w:val="285" w:hRule="atLeast"/>
        </w:trPr>
        <w:tc>
          <w:tcPr>
            <w:tcW w:w="1389" w:type="dxa"/>
            <w:vMerge w:val="continue"/>
            <w:tcBorders>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1</w:t>
            </w:r>
            <w:r>
              <w:rPr>
                <w:rFonts w:ascii="宋体" w:hAnsi="宋体" w:cs="宋体"/>
                <w:bCs/>
                <w:kern w:val="0"/>
                <w:sz w:val="24"/>
              </w:rPr>
              <w:t>4</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szCs w:val="21"/>
              </w:rPr>
              <w:t>★</w:t>
            </w: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rPr>
              <w:t>具备较强的网络抗丢包能力，在IP网络达到25%丢包率情况下声音清晰、图像流畅、无马赛克，70%的丢包率情况下音频不受影响、声音基本清晰流畅，偶有卡顿，但可恢复。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Cs/>
                <w:sz w:val="24"/>
              </w:rPr>
            </w:pPr>
            <w:r>
              <w:rPr>
                <w:rFonts w:hint="eastAsia"/>
              </w:rPr>
              <w:t>（投标人需提供权威机构检测报告证明）</w:t>
            </w:r>
          </w:p>
        </w:tc>
      </w:tr>
      <w:tr>
        <w:tblPrEx>
          <w:tblCellMar>
            <w:top w:w="15" w:type="dxa"/>
            <w:left w:w="15" w:type="dxa"/>
            <w:bottom w:w="15" w:type="dxa"/>
            <w:right w:w="15" w:type="dxa"/>
          </w:tblCellMar>
        </w:tblPrEx>
        <w:trPr>
          <w:trHeight w:val="285" w:hRule="atLeast"/>
        </w:trPr>
        <w:tc>
          <w:tcPr>
            <w:tcW w:w="1389"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bCs/>
                <w:sz w:val="24"/>
              </w:rPr>
              <w:t>高清会议摄像机1</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bCs/>
                <w:sz w:val="24"/>
              </w:rPr>
              <w:t>2</w:t>
            </w:r>
            <w:r>
              <w:rPr>
                <w:rFonts w:ascii="宋体" w:hAnsi="宋体" w:cs="宋体"/>
                <w:bCs/>
                <w:sz w:val="24"/>
              </w:rPr>
              <w:t>5</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bCs/>
                <w:sz w:val="24"/>
              </w:rPr>
              <w:t>台</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24"/>
              </w:rPr>
            </w:pPr>
            <w:r>
              <w:rPr>
                <w:rFonts w:hint="eastAsia" w:ascii="宋体" w:hAnsi="宋体" w:cs="宋体"/>
                <w:bCs/>
                <w:kern w:val="0"/>
                <w:sz w:val="24"/>
              </w:rPr>
              <w:t>1</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center"/>
              <w:rPr>
                <w:rFonts w:hint="eastAsia" w:ascii="等线" w:hAnsi="等线" w:cs="等线"/>
                <w:color w:val="000000"/>
                <w:kern w:val="0"/>
                <w:szCs w:val="21"/>
              </w:rPr>
            </w:pPr>
            <w:r>
              <w:rPr>
                <w:rFonts w:hint="eastAsia" w:ascii="等线" w:hAnsi="等线" w:cs="等线"/>
                <w:color w:val="000000"/>
                <w:kern w:val="0"/>
                <w:szCs w:val="21"/>
              </w:rPr>
              <w:t>摄像机支持壁装、三脚架安装或吊顶安装等多种安装方式，可按用户需求进行安装。</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262" w:hRule="atLeast"/>
        </w:trPr>
        <w:tc>
          <w:tcPr>
            <w:tcW w:w="13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sz w:val="24"/>
              </w:rPr>
            </w:pPr>
            <w:r>
              <w:rPr>
                <w:rFonts w:hint="eastAsia" w:ascii="宋体" w:hAnsi="宋体" w:cs="宋体"/>
                <w:bCs/>
                <w:kern w:val="0"/>
                <w:sz w:val="24"/>
              </w:rPr>
              <w:t>2</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szCs w:val="21"/>
              </w:rPr>
              <w:t>★</w:t>
            </w: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ascii="等线" w:hAnsi="等线" w:cs="等线"/>
                <w:color w:val="000000"/>
                <w:kern w:val="0"/>
                <w:szCs w:val="21"/>
              </w:rPr>
              <w:t>镜头图像传感器采用不小于1/2.7" 图像传感器，支持1080p60、1080p50、1080p30、1080p25、720p60、720p50等高清信号输出</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ascii="宋体" w:hAnsi="宋体" w:cs="宋体"/>
                <w:bCs/>
                <w:kern w:val="0"/>
                <w:sz w:val="24"/>
              </w:rPr>
              <w:t>3</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szCs w:val="21"/>
              </w:rPr>
              <w:t>★</w:t>
            </w: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ascii="等线" w:hAnsi="等线" w:cs="等线"/>
                <w:color w:val="000000"/>
                <w:kern w:val="0"/>
                <w:szCs w:val="21"/>
              </w:rPr>
              <w:t>支持不小于12倍光学变焦</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4</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ascii="等线" w:hAnsi="等线" w:cs="等线"/>
                <w:color w:val="000000"/>
                <w:kern w:val="0"/>
                <w:szCs w:val="21"/>
              </w:rPr>
              <w:t>支持广角镜头，水平视角不小于72°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5</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ascii="等线" w:hAnsi="等线" w:cs="等线"/>
                <w:color w:val="000000"/>
                <w:kern w:val="0"/>
                <w:szCs w:val="21"/>
              </w:rPr>
              <w:t>视频输出接口具备至少一路HDMI接口</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6</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center"/>
              <w:rPr>
                <w:rFonts w:hint="eastAsia" w:ascii="等线" w:hAnsi="等线" w:cs="等线"/>
                <w:color w:val="000000"/>
                <w:kern w:val="0"/>
                <w:szCs w:val="21"/>
              </w:rPr>
            </w:pPr>
            <w:r>
              <w:rPr>
                <w:rFonts w:hint="eastAsia" w:ascii="等线" w:hAnsi="等线" w:cs="等线"/>
                <w:color w:val="000000"/>
                <w:kern w:val="0"/>
                <w:szCs w:val="21"/>
              </w:rPr>
              <w:t>水平转动范围：≥ ±175°，垂直转动范围：≥ -30°～30°</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7</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ascii="等线" w:hAnsi="等线" w:cs="等线"/>
                <w:color w:val="000000"/>
                <w:kern w:val="0"/>
                <w:szCs w:val="21"/>
              </w:rPr>
              <w:t>支持RS-232，RS-422/RS-485，控制方式。支持RS422控制接口，支持标准VISCA协议，支持摄像机通过控制口RS422实现菊花链控制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8"/>
              <w:ind w:left="0" w:leftChars="0" w:firstLine="0"/>
              <w:rPr>
                <w:rFonts w:hint="eastAsia"/>
              </w:rPr>
            </w:pPr>
            <w:r>
              <w:rPr>
                <w:rFonts w:hint="eastAsia" w:ascii="等线" w:hAnsi="等线" w:eastAsia="等线" w:cs="等线"/>
                <w:color w:val="000000"/>
                <w:kern w:val="0"/>
                <w:szCs w:val="21"/>
              </w:rPr>
              <w:t>高清会议摄像机2</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bCs/>
                <w:sz w:val="24"/>
              </w:rPr>
              <w:t>2</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bCs/>
                <w:sz w:val="24"/>
              </w:rPr>
              <w:t>台</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1</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ascii="等线" w:hAnsi="等线" w:eastAsia="等线" w:cs="等线"/>
                <w:color w:val="000000"/>
                <w:kern w:val="0"/>
                <w:szCs w:val="21"/>
              </w:rPr>
              <w:t>摄像机支持壁装、三脚架安装或吊顶安装等多种安装方式，可按用户需求进行安装</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2</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szCs w:val="21"/>
              </w:rPr>
              <w:t>★</w:t>
            </w: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ascii="等线" w:hAnsi="等线" w:eastAsia="等线" w:cs="等线"/>
                <w:color w:val="000000"/>
                <w:kern w:val="0"/>
                <w:szCs w:val="21"/>
              </w:rPr>
              <w:t>镜头图像传感器采用不小于1/2.8" 图像传感器，支持1080p60、1080p50、1080p30、1080p25、720p60、720p50等高清信号输出</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3</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szCs w:val="21"/>
              </w:rPr>
              <w:t>★</w:t>
            </w: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ascii="等线" w:hAnsi="等线" w:eastAsia="等线" w:cs="等线"/>
                <w:color w:val="000000"/>
                <w:kern w:val="0"/>
                <w:szCs w:val="21"/>
              </w:rPr>
              <w:t>支持不小于12倍光学变焦</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4</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ascii="等线" w:hAnsi="等线" w:eastAsia="等线" w:cs="等线"/>
                <w:color w:val="000000"/>
                <w:kern w:val="0"/>
                <w:szCs w:val="21"/>
              </w:rPr>
              <w:t>支持广角镜头，水平视角不小于72°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5</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ascii="等线" w:hAnsi="等线" w:eastAsia="等线" w:cs="等线"/>
                <w:color w:val="000000"/>
                <w:kern w:val="0"/>
                <w:szCs w:val="21"/>
              </w:rPr>
              <w:t>视频输出接口具备SDI、DVI、HDBaseT接口。支持供电、显示、控制多线合一，只连接一根超五类网线实现供电、图像显示、摄像机控制，支持信号传输100米</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6</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ascii="等线" w:hAnsi="等线" w:eastAsia="等线" w:cs="等线"/>
                <w:color w:val="000000"/>
                <w:kern w:val="0"/>
                <w:szCs w:val="21"/>
              </w:rPr>
              <w:t>支持RS422控制接口，支持标准VISCA协议，支持摄像机通过控制口RS422实现菊花链控制，菊花链控制摄像机不小于7个</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7</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ascii="等线" w:hAnsi="等线" w:eastAsia="等线" w:cs="等线"/>
                <w:color w:val="000000"/>
                <w:kern w:val="0"/>
                <w:szCs w:val="21"/>
              </w:rPr>
              <w:t>水平转动范围：≥ ±160°，垂直转动范围：≥ -90°～50°</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8</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等线" w:hAnsi="等线" w:eastAsia="等线" w:cs="等线"/>
                <w:color w:val="000000"/>
                <w:kern w:val="0"/>
                <w:szCs w:val="21"/>
                <w:lang w:eastAsia="zh-CN"/>
              </w:rPr>
            </w:pPr>
            <w:r>
              <w:rPr>
                <w:rFonts w:hint="eastAsia" w:ascii="等线" w:hAnsi="等线" w:eastAsia="等线" w:cs="等线"/>
                <w:color w:val="000000"/>
                <w:kern w:val="0"/>
                <w:szCs w:val="21"/>
              </w:rPr>
              <w:t>支持终端遥控器通过摄像机反向控制会议终端。</w:t>
            </w:r>
          </w:p>
          <w:p>
            <w:pPr>
              <w:spacing w:line="360" w:lineRule="auto"/>
              <w:rPr>
                <w:rFonts w:hint="eastAsia" w:ascii="宋体" w:hAnsi="宋体" w:cs="宋体"/>
                <w:bCs/>
                <w:sz w:val="24"/>
              </w:rPr>
            </w:pPr>
            <w:r>
              <w:rPr>
                <w:rFonts w:hint="eastAsia" w:ascii="等线" w:hAnsi="等线" w:eastAsia="等线" w:cs="等线"/>
                <w:color w:val="000000"/>
                <w:kern w:val="0"/>
                <w:szCs w:val="21"/>
              </w:rPr>
              <w:t>产品具有RoHS证书</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等线" w:hAnsi="等线" w:eastAsia="等线" w:cs="等线"/>
                <w:color w:val="000000"/>
                <w:kern w:val="0"/>
                <w:szCs w:val="21"/>
              </w:rPr>
              <w:t>MCU接入数</w:t>
            </w:r>
          </w:p>
        </w:tc>
        <w:tc>
          <w:tcPr>
            <w:tcW w:w="641" w:type="dxa"/>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bCs/>
                <w:sz w:val="24"/>
              </w:rPr>
              <w:t>2</w:t>
            </w:r>
            <w:r>
              <w:rPr>
                <w:rFonts w:ascii="宋体" w:hAnsi="宋体" w:cs="宋体"/>
                <w:bCs/>
                <w:sz w:val="24"/>
              </w:rPr>
              <w:t>4</w:t>
            </w:r>
          </w:p>
        </w:tc>
        <w:tc>
          <w:tcPr>
            <w:tcW w:w="709" w:type="dxa"/>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bCs/>
                <w:sz w:val="24"/>
              </w:rPr>
              <w:t>个</w:t>
            </w: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1</w:t>
            </w:r>
          </w:p>
        </w:tc>
        <w:tc>
          <w:tcPr>
            <w:tcW w:w="1275"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szCs w:val="21"/>
              </w:rPr>
              <w:t>★</w:t>
            </w:r>
          </w:p>
        </w:tc>
        <w:tc>
          <w:tcPr>
            <w:tcW w:w="851" w:type="dxa"/>
            <w:tcBorders>
              <w:top w:val="single" w:color="000000" w:sz="4" w:space="0"/>
              <w:left w:val="single" w:color="000000" w:sz="4" w:space="0"/>
              <w:bottom w:val="single" w:color="auto"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auto" w:sz="4" w:space="0"/>
              <w:right w:val="single" w:color="000000" w:sz="4" w:space="0"/>
            </w:tcBorders>
            <w:noWrap w:val="0"/>
            <w:vAlign w:val="top"/>
          </w:tcPr>
          <w:p>
            <w:pPr>
              <w:spacing w:line="360" w:lineRule="auto"/>
              <w:rPr>
                <w:rFonts w:hint="eastAsia" w:ascii="宋体" w:hAnsi="宋体" w:cs="宋体"/>
                <w:bCs/>
                <w:sz w:val="24"/>
              </w:rPr>
            </w:pPr>
            <w:r>
              <w:rPr>
                <w:rFonts w:hint="eastAsia" w:ascii="等线" w:hAnsi="等线" w:cs="等线"/>
                <w:color w:val="000000"/>
                <w:kern w:val="0"/>
                <w:szCs w:val="21"/>
              </w:rPr>
              <w:t>需扩容接入数24个</w:t>
            </w:r>
          </w:p>
        </w:tc>
        <w:tc>
          <w:tcPr>
            <w:tcW w:w="117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等线" w:hAnsi="等线" w:cs="等线"/>
                <w:color w:val="000000"/>
                <w:kern w:val="0"/>
                <w:szCs w:val="21"/>
              </w:rPr>
              <w:t>现有MCU（型号J</w:t>
            </w:r>
            <w:r>
              <w:rPr>
                <w:rFonts w:ascii="等线" w:hAnsi="等线" w:cs="等线"/>
                <w:color w:val="000000"/>
                <w:kern w:val="0"/>
                <w:szCs w:val="21"/>
              </w:rPr>
              <w:t>D2000</w:t>
            </w:r>
            <w:r>
              <w:rPr>
                <w:rFonts w:hint="eastAsia" w:ascii="等线" w:hAnsi="等线" w:cs="等线"/>
                <w:color w:val="000000"/>
                <w:kern w:val="0"/>
                <w:szCs w:val="21"/>
              </w:rPr>
              <w:t>），</w:t>
            </w:r>
            <w:r>
              <w:rPr>
                <w:rFonts w:hint="eastAsia" w:ascii="等线" w:hAnsi="等线" w:eastAsia="等线" w:cs="等线"/>
                <w:color w:val="000000"/>
                <w:kern w:val="0"/>
                <w:szCs w:val="21"/>
              </w:rPr>
              <w:t>所投产品与视频会议终端与交警局现有MCU为不同品牌的，投标人需确保所投产品与现有MCU兼容性。</w:t>
            </w:r>
          </w:p>
        </w:tc>
      </w:tr>
      <w:tr>
        <w:tblPrEx>
          <w:tblCellMar>
            <w:top w:w="15" w:type="dxa"/>
            <w:left w:w="15" w:type="dxa"/>
            <w:bottom w:w="15" w:type="dxa"/>
            <w:right w:w="15" w:type="dxa"/>
          </w:tblCellMar>
        </w:tblPrEx>
        <w:trPr>
          <w:trHeight w:val="100" w:hRule="atLeast"/>
        </w:trPr>
        <w:tc>
          <w:tcPr>
            <w:tcW w:w="1389"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等线" w:hAnsi="等线" w:eastAsia="等线" w:cs="等线"/>
                <w:color w:val="000000"/>
                <w:kern w:val="0"/>
                <w:szCs w:val="21"/>
              </w:rPr>
              <w:t>话筒</w:t>
            </w:r>
          </w:p>
        </w:tc>
        <w:tc>
          <w:tcPr>
            <w:tcW w:w="641"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bCs/>
                <w:sz w:val="24"/>
              </w:rPr>
              <w:t>2</w:t>
            </w:r>
            <w:r>
              <w:rPr>
                <w:rFonts w:ascii="宋体" w:hAnsi="宋体" w:cs="宋体"/>
                <w:bCs/>
                <w:sz w:val="24"/>
              </w:rPr>
              <w:t>5</w:t>
            </w:r>
          </w:p>
        </w:tc>
        <w:tc>
          <w:tcPr>
            <w:tcW w:w="709"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bCs/>
                <w:sz w:val="24"/>
              </w:rPr>
              <w:t>套</w:t>
            </w: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1</w:t>
            </w:r>
          </w:p>
        </w:tc>
        <w:tc>
          <w:tcPr>
            <w:tcW w:w="1275"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auto"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auto" w:sz="4" w:space="0"/>
              <w:right w:val="single" w:color="000000" w:sz="4" w:space="0"/>
            </w:tcBorders>
            <w:noWrap w:val="0"/>
            <w:vAlign w:val="top"/>
          </w:tcPr>
          <w:p>
            <w:pPr>
              <w:spacing w:line="360" w:lineRule="auto"/>
              <w:rPr>
                <w:rFonts w:hint="eastAsia" w:ascii="宋体" w:hAnsi="宋体" w:cs="宋体"/>
                <w:bCs/>
                <w:sz w:val="24"/>
              </w:rPr>
            </w:pPr>
            <w:r>
              <w:rPr>
                <w:rFonts w:hint="eastAsia" w:ascii="等线" w:hAnsi="等线" w:cs="等线"/>
                <w:kern w:val="0"/>
                <w:szCs w:val="21"/>
              </w:rPr>
              <w:t>90°单一锐指向</w:t>
            </w:r>
          </w:p>
        </w:tc>
        <w:tc>
          <w:tcPr>
            <w:tcW w:w="117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2</w:t>
            </w:r>
          </w:p>
        </w:tc>
        <w:tc>
          <w:tcPr>
            <w:tcW w:w="1275"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auto" w:sz="4" w:space="0"/>
              <w:right w:val="single" w:color="000000" w:sz="4" w:space="0"/>
            </w:tcBorders>
            <w:noWrap w:val="0"/>
            <w:vAlign w:val="top"/>
          </w:tcPr>
          <w:p>
            <w:pPr>
              <w:widowControl/>
              <w:spacing w:line="360" w:lineRule="auto"/>
              <w:textAlignment w:val="center"/>
              <w:rPr>
                <w:rFonts w:hint="eastAsia" w:ascii="宋体" w:hAnsi="宋体" w:cs="宋体"/>
                <w:bCs/>
                <w:color w:val="auto"/>
                <w:sz w:val="24"/>
              </w:rPr>
            </w:pPr>
          </w:p>
        </w:tc>
        <w:tc>
          <w:tcPr>
            <w:tcW w:w="2551" w:type="dxa"/>
            <w:tcBorders>
              <w:top w:val="single" w:color="000000" w:sz="4" w:space="0"/>
              <w:left w:val="single" w:color="000000" w:sz="4" w:space="0"/>
              <w:bottom w:val="single" w:color="auto" w:sz="4" w:space="0"/>
              <w:right w:val="single" w:color="000000" w:sz="4" w:space="0"/>
            </w:tcBorders>
            <w:noWrap w:val="0"/>
            <w:vAlign w:val="top"/>
          </w:tcPr>
          <w:p>
            <w:pPr>
              <w:spacing w:line="360" w:lineRule="auto"/>
              <w:rPr>
                <w:rFonts w:hint="eastAsia" w:ascii="宋体" w:hAnsi="宋体" w:cs="宋体"/>
                <w:bCs/>
                <w:color w:val="auto"/>
                <w:sz w:val="24"/>
              </w:rPr>
            </w:pPr>
            <w:r>
              <w:rPr>
                <w:rFonts w:hint="eastAsia" w:ascii="等线" w:hAnsi="等线" w:cs="等线"/>
                <w:color w:val="auto"/>
                <w:kern w:val="0"/>
                <w:szCs w:val="21"/>
              </w:rPr>
              <w:t>灵敏度</w:t>
            </w:r>
            <w:r>
              <w:rPr>
                <w:rFonts w:hint="eastAsia"/>
                <w:color w:val="auto"/>
                <w:lang w:eastAsia="zh-CN"/>
              </w:rPr>
              <w:t>≥</w:t>
            </w:r>
            <w:r>
              <w:rPr>
                <w:rFonts w:hint="eastAsia" w:ascii="等线" w:hAnsi="等线" w:cs="等线"/>
                <w:color w:val="auto"/>
                <w:kern w:val="0"/>
                <w:szCs w:val="21"/>
              </w:rPr>
              <w:t>-20dB</w:t>
            </w:r>
          </w:p>
        </w:tc>
        <w:tc>
          <w:tcPr>
            <w:tcW w:w="117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3</w:t>
            </w:r>
          </w:p>
        </w:tc>
        <w:tc>
          <w:tcPr>
            <w:tcW w:w="1275"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auto" w:sz="4" w:space="0"/>
              <w:right w:val="single" w:color="000000" w:sz="4" w:space="0"/>
            </w:tcBorders>
            <w:noWrap w:val="0"/>
            <w:vAlign w:val="top"/>
          </w:tcPr>
          <w:p>
            <w:pPr>
              <w:widowControl/>
              <w:spacing w:line="360" w:lineRule="auto"/>
              <w:textAlignment w:val="center"/>
              <w:rPr>
                <w:rFonts w:hint="eastAsia" w:ascii="宋体" w:hAnsi="宋体" w:cs="宋体"/>
                <w:bCs/>
                <w:color w:val="auto"/>
                <w:sz w:val="24"/>
              </w:rPr>
            </w:pPr>
          </w:p>
        </w:tc>
        <w:tc>
          <w:tcPr>
            <w:tcW w:w="2551" w:type="dxa"/>
            <w:tcBorders>
              <w:top w:val="single" w:color="000000" w:sz="4" w:space="0"/>
              <w:left w:val="single" w:color="000000" w:sz="4" w:space="0"/>
              <w:bottom w:val="single" w:color="auto" w:sz="4" w:space="0"/>
              <w:right w:val="single" w:color="000000" w:sz="4" w:space="0"/>
            </w:tcBorders>
            <w:noWrap w:val="0"/>
            <w:vAlign w:val="top"/>
          </w:tcPr>
          <w:p>
            <w:pPr>
              <w:spacing w:line="360" w:lineRule="auto"/>
              <w:rPr>
                <w:rFonts w:hint="eastAsia" w:ascii="宋体" w:hAnsi="宋体" w:cs="宋体"/>
                <w:bCs/>
                <w:color w:val="auto"/>
                <w:sz w:val="24"/>
              </w:rPr>
            </w:pPr>
            <w:r>
              <w:rPr>
                <w:rFonts w:hint="eastAsia" w:ascii="等线" w:hAnsi="等线" w:cs="等线"/>
                <w:color w:val="auto"/>
                <w:kern w:val="0"/>
                <w:szCs w:val="21"/>
              </w:rPr>
              <w:t>频响80Hz～15KHz</w:t>
            </w:r>
          </w:p>
        </w:tc>
        <w:tc>
          <w:tcPr>
            <w:tcW w:w="117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4</w:t>
            </w:r>
          </w:p>
        </w:tc>
        <w:tc>
          <w:tcPr>
            <w:tcW w:w="1275"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auto" w:sz="4" w:space="0"/>
              <w:right w:val="single" w:color="000000" w:sz="4" w:space="0"/>
            </w:tcBorders>
            <w:noWrap w:val="0"/>
            <w:vAlign w:val="top"/>
          </w:tcPr>
          <w:p>
            <w:pPr>
              <w:widowControl/>
              <w:spacing w:line="360" w:lineRule="auto"/>
              <w:textAlignment w:val="center"/>
              <w:rPr>
                <w:rFonts w:hint="eastAsia" w:ascii="宋体" w:hAnsi="宋体" w:cs="宋体"/>
                <w:bCs/>
                <w:color w:val="auto"/>
                <w:sz w:val="24"/>
              </w:rPr>
            </w:pPr>
          </w:p>
        </w:tc>
        <w:tc>
          <w:tcPr>
            <w:tcW w:w="2551" w:type="dxa"/>
            <w:tcBorders>
              <w:top w:val="single" w:color="000000" w:sz="4" w:space="0"/>
              <w:left w:val="single" w:color="000000" w:sz="4" w:space="0"/>
              <w:bottom w:val="single" w:color="auto" w:sz="4" w:space="0"/>
              <w:right w:val="single" w:color="000000" w:sz="4" w:space="0"/>
            </w:tcBorders>
            <w:noWrap w:val="0"/>
            <w:vAlign w:val="top"/>
          </w:tcPr>
          <w:p>
            <w:pPr>
              <w:spacing w:line="360" w:lineRule="auto"/>
              <w:rPr>
                <w:rFonts w:hint="eastAsia" w:ascii="宋体" w:hAnsi="宋体" w:cs="宋体"/>
                <w:bCs/>
                <w:color w:val="auto"/>
                <w:sz w:val="24"/>
              </w:rPr>
            </w:pPr>
            <w:r>
              <w:rPr>
                <w:rFonts w:hint="eastAsia" w:ascii="等线" w:hAnsi="等线" w:cs="等线"/>
                <w:color w:val="auto"/>
                <w:kern w:val="0"/>
                <w:szCs w:val="21"/>
              </w:rPr>
              <w:t>信噪比</w:t>
            </w:r>
            <w:r>
              <w:rPr>
                <w:rFonts w:hint="eastAsia"/>
                <w:color w:val="auto"/>
                <w:lang w:eastAsia="zh-CN"/>
              </w:rPr>
              <w:t>≥</w:t>
            </w:r>
            <w:r>
              <w:rPr>
                <w:rFonts w:hint="eastAsia" w:ascii="等线" w:hAnsi="等线" w:cs="等线"/>
                <w:color w:val="auto"/>
                <w:kern w:val="0"/>
                <w:szCs w:val="21"/>
              </w:rPr>
              <w:t>96dB</w:t>
            </w:r>
          </w:p>
        </w:tc>
        <w:tc>
          <w:tcPr>
            <w:tcW w:w="117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5</w:t>
            </w:r>
          </w:p>
        </w:tc>
        <w:tc>
          <w:tcPr>
            <w:tcW w:w="1275"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auto" w:sz="4" w:space="0"/>
              <w:right w:val="single" w:color="000000" w:sz="4" w:space="0"/>
            </w:tcBorders>
            <w:noWrap w:val="0"/>
            <w:vAlign w:val="top"/>
          </w:tcPr>
          <w:p>
            <w:pPr>
              <w:widowControl/>
              <w:spacing w:line="360" w:lineRule="auto"/>
              <w:textAlignment w:val="center"/>
              <w:rPr>
                <w:rFonts w:hint="eastAsia" w:ascii="宋体" w:hAnsi="宋体" w:cs="宋体"/>
                <w:bCs/>
                <w:color w:val="auto"/>
                <w:sz w:val="24"/>
              </w:rPr>
            </w:pPr>
          </w:p>
        </w:tc>
        <w:tc>
          <w:tcPr>
            <w:tcW w:w="2551" w:type="dxa"/>
            <w:tcBorders>
              <w:top w:val="single" w:color="000000" w:sz="4" w:space="0"/>
              <w:left w:val="single" w:color="000000" w:sz="4" w:space="0"/>
              <w:bottom w:val="single" w:color="auto" w:sz="4" w:space="0"/>
              <w:right w:val="single" w:color="000000" w:sz="4" w:space="0"/>
            </w:tcBorders>
            <w:noWrap w:val="0"/>
            <w:vAlign w:val="top"/>
          </w:tcPr>
          <w:p>
            <w:pPr>
              <w:spacing w:line="360" w:lineRule="auto"/>
              <w:rPr>
                <w:rFonts w:hint="eastAsia" w:ascii="宋体" w:hAnsi="宋体" w:cs="宋体"/>
                <w:bCs/>
                <w:color w:val="auto"/>
                <w:sz w:val="24"/>
              </w:rPr>
            </w:pPr>
            <w:r>
              <w:rPr>
                <w:rFonts w:hint="eastAsia" w:ascii="等线" w:hAnsi="等线" w:cs="等线"/>
                <w:color w:val="auto"/>
                <w:kern w:val="0"/>
                <w:szCs w:val="21"/>
              </w:rPr>
              <w:t>最佳拾音距离10～50cm</w:t>
            </w:r>
          </w:p>
        </w:tc>
        <w:tc>
          <w:tcPr>
            <w:tcW w:w="117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6</w:t>
            </w:r>
          </w:p>
        </w:tc>
        <w:tc>
          <w:tcPr>
            <w:tcW w:w="1275"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auto" w:sz="4" w:space="0"/>
              <w:right w:val="single" w:color="000000" w:sz="4" w:space="0"/>
            </w:tcBorders>
            <w:noWrap w:val="0"/>
            <w:vAlign w:val="top"/>
          </w:tcPr>
          <w:p>
            <w:pPr>
              <w:widowControl/>
              <w:spacing w:line="360" w:lineRule="auto"/>
              <w:textAlignment w:val="center"/>
              <w:rPr>
                <w:rFonts w:hint="eastAsia" w:ascii="宋体" w:hAnsi="宋体" w:cs="宋体"/>
                <w:bCs/>
                <w:color w:val="auto"/>
                <w:sz w:val="24"/>
              </w:rPr>
            </w:pPr>
          </w:p>
        </w:tc>
        <w:tc>
          <w:tcPr>
            <w:tcW w:w="2551" w:type="dxa"/>
            <w:tcBorders>
              <w:top w:val="single" w:color="000000" w:sz="4" w:space="0"/>
              <w:left w:val="single" w:color="000000" w:sz="4" w:space="0"/>
              <w:bottom w:val="single" w:color="auto" w:sz="4" w:space="0"/>
              <w:right w:val="single" w:color="000000" w:sz="4" w:space="0"/>
            </w:tcBorders>
            <w:noWrap w:val="0"/>
            <w:vAlign w:val="top"/>
          </w:tcPr>
          <w:p>
            <w:pPr>
              <w:spacing w:line="360" w:lineRule="auto"/>
              <w:rPr>
                <w:rFonts w:hint="eastAsia" w:ascii="宋体" w:hAnsi="宋体" w:cs="宋体"/>
                <w:bCs/>
                <w:color w:val="auto"/>
                <w:sz w:val="24"/>
              </w:rPr>
            </w:pPr>
            <w:r>
              <w:rPr>
                <w:rFonts w:hint="eastAsia" w:ascii="等线" w:hAnsi="等线" w:cs="等线"/>
                <w:color w:val="auto"/>
                <w:kern w:val="0"/>
                <w:szCs w:val="21"/>
              </w:rPr>
              <w:t>Micro USB数字音频接口供电,</w:t>
            </w:r>
          </w:p>
        </w:tc>
        <w:tc>
          <w:tcPr>
            <w:tcW w:w="117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等线" w:hAnsi="等线" w:eastAsia="等线" w:cs="等线"/>
                <w:color w:val="000000"/>
                <w:kern w:val="0"/>
                <w:szCs w:val="21"/>
              </w:rPr>
              <w:t>电视机</w:t>
            </w:r>
          </w:p>
        </w:tc>
        <w:tc>
          <w:tcPr>
            <w:tcW w:w="641"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bCs/>
                <w:sz w:val="24"/>
              </w:rPr>
              <w:t>5</w:t>
            </w:r>
            <w:r>
              <w:rPr>
                <w:rFonts w:ascii="宋体" w:hAnsi="宋体" w:cs="宋体"/>
                <w:bCs/>
                <w:sz w:val="24"/>
              </w:rPr>
              <w:t>0</w:t>
            </w:r>
          </w:p>
        </w:tc>
        <w:tc>
          <w:tcPr>
            <w:tcW w:w="709"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bCs/>
                <w:sz w:val="24"/>
              </w:rPr>
              <w:t>台</w:t>
            </w: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1</w:t>
            </w:r>
          </w:p>
        </w:tc>
        <w:tc>
          <w:tcPr>
            <w:tcW w:w="1275"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auto" w:sz="4" w:space="0"/>
              <w:right w:val="single" w:color="000000" w:sz="4" w:space="0"/>
            </w:tcBorders>
            <w:noWrap w:val="0"/>
            <w:vAlign w:val="top"/>
          </w:tcPr>
          <w:p>
            <w:pPr>
              <w:widowControl/>
              <w:spacing w:line="360" w:lineRule="auto"/>
              <w:textAlignment w:val="center"/>
              <w:rPr>
                <w:rFonts w:hint="eastAsia" w:ascii="宋体" w:hAnsi="宋体" w:cs="宋体"/>
                <w:bCs/>
                <w:color w:val="auto"/>
                <w:sz w:val="24"/>
              </w:rPr>
            </w:pPr>
          </w:p>
        </w:tc>
        <w:tc>
          <w:tcPr>
            <w:tcW w:w="2551" w:type="dxa"/>
            <w:tcBorders>
              <w:top w:val="single" w:color="000000" w:sz="4" w:space="0"/>
              <w:left w:val="single" w:color="000000" w:sz="4" w:space="0"/>
              <w:bottom w:val="single" w:color="auto" w:sz="4" w:space="0"/>
              <w:right w:val="single" w:color="000000" w:sz="4" w:space="0"/>
            </w:tcBorders>
            <w:noWrap w:val="0"/>
            <w:vAlign w:val="top"/>
          </w:tcPr>
          <w:p>
            <w:pPr>
              <w:spacing w:line="360" w:lineRule="auto"/>
              <w:rPr>
                <w:rFonts w:hint="eastAsia" w:ascii="宋体" w:hAnsi="宋体" w:cs="宋体"/>
                <w:bCs/>
                <w:color w:val="auto"/>
                <w:sz w:val="24"/>
              </w:rPr>
            </w:pPr>
            <w:r>
              <w:rPr>
                <w:rFonts w:hint="eastAsia" w:ascii="等线" w:hAnsi="等线" w:cs="等线"/>
                <w:color w:val="auto"/>
                <w:kern w:val="0"/>
                <w:szCs w:val="21"/>
              </w:rPr>
              <w:t>65寸电视机，四核CPU</w:t>
            </w:r>
          </w:p>
        </w:tc>
        <w:tc>
          <w:tcPr>
            <w:tcW w:w="117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等线" w:hAnsi="等线" w:eastAsia="等线" w:cs="等线"/>
                <w:color w:val="000000"/>
                <w:kern w:val="0"/>
                <w:szCs w:val="21"/>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2</w:t>
            </w:r>
          </w:p>
        </w:tc>
        <w:tc>
          <w:tcPr>
            <w:tcW w:w="1275"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auto" w:sz="4" w:space="0"/>
              <w:right w:val="single" w:color="000000" w:sz="4" w:space="0"/>
            </w:tcBorders>
            <w:noWrap w:val="0"/>
            <w:vAlign w:val="top"/>
          </w:tcPr>
          <w:p>
            <w:pPr>
              <w:widowControl/>
              <w:spacing w:line="360" w:lineRule="auto"/>
              <w:textAlignment w:val="center"/>
              <w:rPr>
                <w:rFonts w:hint="eastAsia" w:ascii="宋体" w:hAnsi="宋体" w:cs="宋体"/>
                <w:bCs/>
                <w:color w:val="auto"/>
                <w:sz w:val="24"/>
              </w:rPr>
            </w:pPr>
          </w:p>
        </w:tc>
        <w:tc>
          <w:tcPr>
            <w:tcW w:w="2551" w:type="dxa"/>
            <w:tcBorders>
              <w:top w:val="single" w:color="000000" w:sz="4" w:space="0"/>
              <w:left w:val="single" w:color="000000" w:sz="4" w:space="0"/>
              <w:bottom w:val="single" w:color="auto" w:sz="4" w:space="0"/>
              <w:right w:val="single" w:color="000000" w:sz="4" w:space="0"/>
            </w:tcBorders>
            <w:noWrap w:val="0"/>
            <w:vAlign w:val="top"/>
          </w:tcPr>
          <w:p>
            <w:pPr>
              <w:spacing w:line="360" w:lineRule="auto"/>
              <w:rPr>
                <w:rFonts w:hint="eastAsia" w:ascii="宋体" w:hAnsi="宋体" w:cs="宋体"/>
                <w:bCs/>
                <w:color w:val="auto"/>
                <w:sz w:val="24"/>
              </w:rPr>
            </w:pPr>
            <w:r>
              <w:rPr>
                <w:rFonts w:hint="eastAsia" w:ascii="等线" w:hAnsi="等线" w:cs="等线"/>
                <w:color w:val="auto"/>
                <w:kern w:val="0"/>
                <w:szCs w:val="21"/>
              </w:rPr>
              <w:t>内存1.5GB+8GB，超高清4K；</w:t>
            </w:r>
          </w:p>
        </w:tc>
        <w:tc>
          <w:tcPr>
            <w:tcW w:w="117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等线" w:hAnsi="等线" w:eastAsia="等线" w:cs="等线"/>
                <w:color w:val="000000"/>
                <w:kern w:val="0"/>
                <w:szCs w:val="21"/>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3</w:t>
            </w:r>
          </w:p>
        </w:tc>
        <w:tc>
          <w:tcPr>
            <w:tcW w:w="1275"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auto" w:sz="4" w:space="0"/>
              <w:right w:val="single" w:color="000000" w:sz="4" w:space="0"/>
            </w:tcBorders>
            <w:noWrap w:val="0"/>
            <w:vAlign w:val="top"/>
          </w:tcPr>
          <w:p>
            <w:pPr>
              <w:widowControl/>
              <w:spacing w:line="360" w:lineRule="auto"/>
              <w:textAlignment w:val="center"/>
              <w:rPr>
                <w:rFonts w:hint="eastAsia" w:ascii="宋体" w:hAnsi="宋体" w:cs="宋体"/>
                <w:bCs/>
                <w:color w:val="auto"/>
                <w:sz w:val="24"/>
              </w:rPr>
            </w:pPr>
          </w:p>
        </w:tc>
        <w:tc>
          <w:tcPr>
            <w:tcW w:w="2551" w:type="dxa"/>
            <w:tcBorders>
              <w:top w:val="single" w:color="000000" w:sz="4" w:space="0"/>
              <w:left w:val="single" w:color="000000" w:sz="4" w:space="0"/>
              <w:bottom w:val="single" w:color="auto" w:sz="4" w:space="0"/>
              <w:right w:val="single" w:color="000000" w:sz="4" w:space="0"/>
            </w:tcBorders>
            <w:noWrap w:val="0"/>
            <w:vAlign w:val="top"/>
          </w:tcPr>
          <w:p>
            <w:pPr>
              <w:spacing w:line="360" w:lineRule="auto"/>
              <w:rPr>
                <w:rFonts w:hint="eastAsia" w:ascii="宋体" w:hAnsi="宋体" w:cs="宋体"/>
                <w:bCs/>
                <w:color w:val="auto"/>
                <w:sz w:val="24"/>
              </w:rPr>
            </w:pPr>
            <w:r>
              <w:rPr>
                <w:rFonts w:hint="eastAsia" w:ascii="等线" w:hAnsi="等线" w:cs="等线"/>
                <w:color w:val="auto"/>
                <w:kern w:val="0"/>
                <w:szCs w:val="21"/>
              </w:rPr>
              <w:t>屏占比≥97%，色域值100%，色域标准BT.709</w:t>
            </w:r>
          </w:p>
        </w:tc>
        <w:tc>
          <w:tcPr>
            <w:tcW w:w="117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等线" w:hAnsi="等线" w:eastAsia="等线" w:cs="等线"/>
                <w:color w:val="000000"/>
                <w:kern w:val="0"/>
                <w:szCs w:val="21"/>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4</w:t>
            </w:r>
          </w:p>
        </w:tc>
        <w:tc>
          <w:tcPr>
            <w:tcW w:w="1275"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auto" w:sz="4" w:space="0"/>
              <w:right w:val="single" w:color="000000" w:sz="4" w:space="0"/>
            </w:tcBorders>
            <w:noWrap w:val="0"/>
            <w:vAlign w:val="top"/>
          </w:tcPr>
          <w:p>
            <w:pPr>
              <w:widowControl/>
              <w:spacing w:line="360" w:lineRule="auto"/>
              <w:textAlignment w:val="center"/>
              <w:rPr>
                <w:rFonts w:hint="eastAsia" w:ascii="宋体" w:hAnsi="宋体" w:cs="宋体"/>
                <w:bCs/>
                <w:color w:val="auto"/>
                <w:sz w:val="24"/>
              </w:rPr>
            </w:pPr>
          </w:p>
        </w:tc>
        <w:tc>
          <w:tcPr>
            <w:tcW w:w="2551" w:type="dxa"/>
            <w:tcBorders>
              <w:top w:val="single" w:color="000000" w:sz="4" w:space="0"/>
              <w:left w:val="single" w:color="000000" w:sz="4" w:space="0"/>
              <w:bottom w:val="single" w:color="auto" w:sz="4" w:space="0"/>
              <w:right w:val="single" w:color="000000" w:sz="4" w:space="0"/>
            </w:tcBorders>
            <w:noWrap w:val="0"/>
            <w:vAlign w:val="top"/>
          </w:tcPr>
          <w:p>
            <w:pPr>
              <w:spacing w:line="360" w:lineRule="auto"/>
              <w:rPr>
                <w:rFonts w:hint="eastAsia" w:ascii="宋体" w:hAnsi="宋体" w:cs="宋体"/>
                <w:bCs/>
                <w:color w:val="auto"/>
                <w:sz w:val="24"/>
              </w:rPr>
            </w:pPr>
            <w:r>
              <w:rPr>
                <w:rFonts w:hint="eastAsia" w:ascii="等线" w:hAnsi="等线" w:cs="等线"/>
                <w:color w:val="auto"/>
                <w:kern w:val="0"/>
                <w:szCs w:val="21"/>
              </w:rPr>
              <w:t>刷新率</w:t>
            </w:r>
            <w:r>
              <w:rPr>
                <w:rFonts w:hint="eastAsia"/>
                <w:color w:val="auto"/>
                <w:lang w:eastAsia="zh-CN"/>
              </w:rPr>
              <w:t>≥</w:t>
            </w:r>
            <w:r>
              <w:rPr>
                <w:rFonts w:hint="eastAsia" w:ascii="等线" w:hAnsi="等线" w:cs="等线"/>
                <w:color w:val="auto"/>
                <w:kern w:val="0"/>
                <w:szCs w:val="21"/>
              </w:rPr>
              <w:t>60Hz</w:t>
            </w:r>
          </w:p>
        </w:tc>
        <w:tc>
          <w:tcPr>
            <w:tcW w:w="117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等线" w:hAnsi="等线" w:eastAsia="等线" w:cs="等线"/>
                <w:color w:val="000000"/>
                <w:kern w:val="0"/>
                <w:szCs w:val="21"/>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5</w:t>
            </w:r>
          </w:p>
        </w:tc>
        <w:tc>
          <w:tcPr>
            <w:tcW w:w="1275"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auto"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auto" w:sz="4" w:space="0"/>
              <w:right w:val="single" w:color="000000" w:sz="4" w:space="0"/>
            </w:tcBorders>
            <w:noWrap w:val="0"/>
            <w:vAlign w:val="top"/>
          </w:tcPr>
          <w:p>
            <w:pPr>
              <w:spacing w:line="360" w:lineRule="auto"/>
              <w:rPr>
                <w:rFonts w:hint="eastAsia" w:ascii="宋体" w:hAnsi="宋体" w:cs="宋体"/>
                <w:bCs/>
                <w:sz w:val="24"/>
              </w:rPr>
            </w:pPr>
            <w:r>
              <w:rPr>
                <w:rFonts w:hint="eastAsia" w:ascii="等线" w:hAnsi="等线" w:cs="等线"/>
                <w:kern w:val="0"/>
                <w:szCs w:val="21"/>
              </w:rPr>
              <w:t>Android 8.0系统</w:t>
            </w:r>
          </w:p>
        </w:tc>
        <w:tc>
          <w:tcPr>
            <w:tcW w:w="117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等线" w:hAnsi="等线" w:eastAsia="等线" w:cs="等线"/>
                <w:color w:val="000000"/>
                <w:kern w:val="0"/>
                <w:szCs w:val="21"/>
              </w:rPr>
            </w:pP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6</w:t>
            </w:r>
          </w:p>
        </w:tc>
        <w:tc>
          <w:tcPr>
            <w:tcW w:w="1275"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auto"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auto" w:sz="4" w:space="0"/>
              <w:right w:val="single" w:color="000000" w:sz="4" w:space="0"/>
            </w:tcBorders>
            <w:noWrap w:val="0"/>
            <w:vAlign w:val="top"/>
          </w:tcPr>
          <w:p>
            <w:pPr>
              <w:spacing w:line="360" w:lineRule="auto"/>
              <w:rPr>
                <w:rFonts w:hint="eastAsia" w:ascii="宋体" w:hAnsi="宋体" w:cs="宋体"/>
                <w:bCs/>
                <w:sz w:val="24"/>
              </w:rPr>
            </w:pPr>
            <w:r>
              <w:rPr>
                <w:rFonts w:hint="eastAsia" w:ascii="等线" w:hAnsi="等线" w:cs="等线"/>
                <w:kern w:val="0"/>
                <w:szCs w:val="21"/>
              </w:rPr>
              <w:t>至少2路HDMI输入端口</w:t>
            </w:r>
          </w:p>
        </w:tc>
        <w:tc>
          <w:tcPr>
            <w:tcW w:w="117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vMerge w:val="continue"/>
            <w:tcBorders>
              <w:left w:val="single" w:color="000000" w:sz="4" w:space="0"/>
              <w:right w:val="single" w:color="000000" w:sz="4" w:space="0"/>
            </w:tcBorders>
            <w:noWrap w:val="0"/>
            <w:vAlign w:val="center"/>
          </w:tcPr>
          <w:p>
            <w:pPr>
              <w:spacing w:line="360" w:lineRule="auto"/>
              <w:jc w:val="center"/>
              <w:rPr>
                <w:rFonts w:hint="eastAsia" w:ascii="等线" w:hAnsi="等线" w:eastAsia="等线" w:cs="等线"/>
                <w:color w:val="000000"/>
                <w:kern w:val="0"/>
                <w:szCs w:val="21"/>
                <w:lang w:eastAsia="zh-CN"/>
              </w:rPr>
            </w:pPr>
            <w:r>
              <w:rPr>
                <w:rFonts w:hint="eastAsia" w:ascii="等线" w:hAnsi="等线" w:eastAsia="等线" w:cs="等线"/>
                <w:color w:val="000000"/>
                <w:kern w:val="0"/>
                <w:szCs w:val="21"/>
                <w:lang w:eastAsia="zh-CN"/>
              </w:rPr>
              <w:t>≥≤</w:t>
            </w:r>
          </w:p>
        </w:tc>
        <w:tc>
          <w:tcPr>
            <w:tcW w:w="641"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70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7</w:t>
            </w:r>
          </w:p>
        </w:tc>
        <w:tc>
          <w:tcPr>
            <w:tcW w:w="1275"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auto"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auto" w:sz="4" w:space="0"/>
              <w:right w:val="single" w:color="000000" w:sz="4" w:space="0"/>
            </w:tcBorders>
            <w:noWrap w:val="0"/>
            <w:vAlign w:val="top"/>
          </w:tcPr>
          <w:p>
            <w:pPr>
              <w:spacing w:line="360" w:lineRule="auto"/>
              <w:rPr>
                <w:rFonts w:hint="eastAsia" w:ascii="宋体" w:hAnsi="宋体" w:cs="宋体"/>
                <w:bCs/>
                <w:sz w:val="24"/>
              </w:rPr>
            </w:pPr>
            <w:r>
              <w:rPr>
                <w:rFonts w:hint="eastAsia" w:ascii="等线" w:hAnsi="等线" w:cs="等线"/>
                <w:kern w:val="0"/>
                <w:szCs w:val="21"/>
              </w:rPr>
              <w:t>芯片自带环绕声</w:t>
            </w:r>
          </w:p>
        </w:tc>
        <w:tc>
          <w:tcPr>
            <w:tcW w:w="117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等线" w:hAnsi="等线" w:eastAsia="等线" w:cs="等线"/>
                <w:color w:val="000000"/>
                <w:kern w:val="0"/>
                <w:szCs w:val="21"/>
              </w:rPr>
            </w:pPr>
            <w:r>
              <w:rPr>
                <w:rFonts w:hint="eastAsia" w:ascii="等线" w:hAnsi="等线" w:eastAsia="等线" w:cs="等线"/>
                <w:color w:val="000000"/>
                <w:kern w:val="0"/>
                <w:szCs w:val="21"/>
              </w:rPr>
              <w:t>电视机移动支架</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bCs/>
                <w:sz w:val="24"/>
              </w:rPr>
              <w:t>2</w:t>
            </w:r>
            <w:r>
              <w:rPr>
                <w:rFonts w:ascii="宋体" w:hAnsi="宋体" w:cs="宋体"/>
                <w:bCs/>
                <w:sz w:val="24"/>
              </w:rPr>
              <w:t>5</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bCs/>
                <w:sz w:val="24"/>
              </w:rPr>
              <w:t>套</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1</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ascii="等线" w:hAnsi="等线" w:eastAsia="等线" w:cs="等线"/>
                <w:kern w:val="0"/>
                <w:szCs w:val="21"/>
              </w:rPr>
              <w:t>定制黑色落地支架，加厚冷轧钢，适用55-80寸电视机，电视机中心高度可在1.4m-1.7m之间调节，承重≥150kg，底座采用万向轮，支持双电视安装。</w:t>
            </w:r>
          </w:p>
        </w:tc>
        <w:tc>
          <w:tcPr>
            <w:tcW w:w="117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r>
      <w:tr>
        <w:tblPrEx>
          <w:tblCellMar>
            <w:top w:w="15" w:type="dxa"/>
            <w:left w:w="15" w:type="dxa"/>
            <w:bottom w:w="15" w:type="dxa"/>
            <w:right w:w="15" w:type="dxa"/>
          </w:tblCellMar>
        </w:tblPrEx>
        <w:trPr>
          <w:trHeight w:val="100" w:hRule="atLeast"/>
        </w:trPr>
        <w:tc>
          <w:tcPr>
            <w:tcW w:w="13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等线" w:hAnsi="等线" w:eastAsia="等线" w:cs="等线"/>
                <w:color w:val="000000"/>
                <w:kern w:val="0"/>
                <w:szCs w:val="21"/>
              </w:rPr>
            </w:pPr>
            <w:r>
              <w:rPr>
                <w:rFonts w:hint="eastAsia" w:ascii="等线" w:hAnsi="等线" w:cs="等线"/>
                <w:b/>
                <w:bCs/>
                <w:color w:val="000000"/>
                <w:kern w:val="0"/>
                <w:szCs w:val="21"/>
              </w:rPr>
              <w:t>安装辅</w:t>
            </w:r>
            <w:r>
              <w:rPr>
                <w:rFonts w:hint="eastAsia" w:ascii="等线" w:hAnsi="等线" w:cs="等线"/>
                <w:b/>
                <w:bCs/>
                <w:color w:val="000000"/>
                <w:kern w:val="0"/>
                <w:szCs w:val="21"/>
                <w:lang w:eastAsia="zh-CN"/>
              </w:rPr>
              <w:t>材</w:t>
            </w:r>
            <w:r>
              <w:rPr>
                <w:rFonts w:hint="eastAsia" w:ascii="等线" w:hAnsi="等线" w:cs="等线"/>
                <w:b/>
                <w:bCs/>
                <w:color w:val="000000"/>
                <w:kern w:val="0"/>
                <w:szCs w:val="21"/>
              </w:rPr>
              <w:t>、系统对接、巡检费用</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bCs/>
                <w:sz w:val="24"/>
              </w:rPr>
              <w:t>1</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r>
              <w:rPr>
                <w:rFonts w:hint="eastAsia" w:ascii="宋体" w:hAnsi="宋体" w:cs="宋体"/>
                <w:bCs/>
                <w:sz w:val="24"/>
              </w:rPr>
              <w:t>套</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Cs/>
                <w:kern w:val="0"/>
                <w:sz w:val="24"/>
              </w:rPr>
            </w:pPr>
            <w:r>
              <w:rPr>
                <w:rFonts w:hint="eastAsia" w:ascii="宋体" w:hAnsi="宋体" w:cs="宋体"/>
                <w:bCs/>
                <w:kern w:val="0"/>
                <w:sz w:val="24"/>
              </w:rPr>
              <w:t>1</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center"/>
              <w:rPr>
                <w:rFonts w:hint="eastAsia" w:ascii="宋体" w:hAnsi="宋体" w:cs="宋体"/>
                <w:bCs/>
                <w:sz w:val="24"/>
              </w:rPr>
            </w:pPr>
          </w:p>
        </w:tc>
        <w:tc>
          <w:tcPr>
            <w:tcW w:w="2551"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bCs/>
                <w:sz w:val="24"/>
              </w:rPr>
            </w:pPr>
            <w:r>
              <w:rPr>
                <w:rFonts w:hint="eastAsia" w:ascii="等线" w:hAnsi="等线" w:eastAsia="等线" w:cs="等线"/>
                <w:color w:val="000000"/>
                <w:kern w:val="0"/>
                <w:szCs w:val="21"/>
              </w:rPr>
              <w:t>根据</w:t>
            </w:r>
            <w:r>
              <w:rPr>
                <w:rFonts w:hint="eastAsia" w:ascii="等线" w:hAnsi="等线" w:eastAsia="等线" w:cs="等线"/>
                <w:color w:val="000000"/>
                <w:kern w:val="0"/>
                <w:szCs w:val="21"/>
                <w:lang w:eastAsia="zh-CN"/>
              </w:rPr>
              <w:t>采购</w:t>
            </w:r>
            <w:r>
              <w:rPr>
                <w:rFonts w:hint="eastAsia" w:ascii="等线" w:hAnsi="等线" w:eastAsia="等线" w:cs="等线"/>
                <w:color w:val="000000"/>
                <w:kern w:val="0"/>
                <w:szCs w:val="21"/>
              </w:rPr>
              <w:t>人要求，将设备安装指定位置；完成设备调试与上级部指定系统对接，完成43个会场设备调试接入，承诺配合完成90个会场设备接入调试（报价应当包括）；开展定期原厂巡检工作。</w:t>
            </w:r>
          </w:p>
        </w:tc>
        <w:tc>
          <w:tcPr>
            <w:tcW w:w="117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Cs/>
                <w:sz w:val="24"/>
              </w:rPr>
            </w:pPr>
          </w:p>
        </w:tc>
      </w:tr>
    </w:tbl>
    <w:p>
      <w:pPr>
        <w:spacing w:line="360" w:lineRule="auto"/>
        <w:ind w:firstLine="286"/>
        <w:rPr>
          <w:bCs/>
          <w:sz w:val="24"/>
        </w:rPr>
      </w:pPr>
    </w:p>
    <w:p>
      <w:pPr>
        <w:spacing w:line="360" w:lineRule="auto"/>
        <w:ind w:firstLine="286"/>
        <w:rPr>
          <w:bCs/>
          <w:sz w:val="24"/>
        </w:rPr>
      </w:pPr>
      <w:r>
        <w:rPr>
          <w:rFonts w:hint="eastAsia"/>
          <w:bCs/>
          <w:sz w:val="24"/>
        </w:rPr>
        <w:t>备注：货物类技术参数必须按上表格式填写。</w:t>
      </w:r>
    </w:p>
    <w:p>
      <w:pPr>
        <w:spacing w:line="360" w:lineRule="auto"/>
        <w:rPr>
          <w:rFonts w:ascii="宋体" w:hAnsi="宋体" w:cs="宋体"/>
          <w:b/>
          <w:sz w:val="28"/>
          <w:szCs w:val="28"/>
        </w:rPr>
      </w:pPr>
      <w:r>
        <w:rPr>
          <w:rFonts w:hint="eastAsia" w:ascii="宋体" w:hAnsi="宋体" w:cs="宋体"/>
          <w:b/>
          <w:sz w:val="28"/>
          <w:szCs w:val="28"/>
          <w:lang w:eastAsia="zh-CN"/>
        </w:rPr>
        <w:t>（五）</w:t>
      </w:r>
      <w:r>
        <w:rPr>
          <w:rFonts w:hint="eastAsia" w:ascii="宋体" w:hAnsi="宋体" w:cs="宋体"/>
          <w:b/>
          <w:sz w:val="28"/>
          <w:szCs w:val="28"/>
        </w:rPr>
        <w:t>实施要求</w:t>
      </w:r>
    </w:p>
    <w:p>
      <w:pPr>
        <w:spacing w:line="360" w:lineRule="auto"/>
        <w:ind w:firstLine="480" w:firstLineChars="200"/>
        <w:rPr>
          <w:rFonts w:ascii="宋体" w:hAnsi="宋体" w:cs="宋体"/>
          <w:sz w:val="24"/>
        </w:rPr>
      </w:pPr>
      <w:r>
        <w:rPr>
          <w:rFonts w:hint="eastAsia" w:ascii="宋体" w:hAnsi="宋体" w:cs="宋体"/>
          <w:sz w:val="24"/>
        </w:rPr>
        <w:t>▲本项目是交钥匙工程，对方案中未体现，但又是必须的设备，中标方必须自行增加设备，中标方需要综合考虑现状及建设需求，以满足客户的业务应用要求，报价应包含方案的设计、设备的安装、对接、调试、培训、售后维护、必需的附件、税金等一切费用。</w:t>
      </w:r>
    </w:p>
    <w:p>
      <w:pPr>
        <w:spacing w:line="360" w:lineRule="auto"/>
        <w:ind w:firstLine="480" w:firstLineChars="200"/>
      </w:pPr>
      <w:r>
        <w:rPr>
          <w:rFonts w:hint="eastAsia" w:ascii="宋体" w:hAnsi="宋体" w:cs="宋体"/>
          <w:sz w:val="24"/>
        </w:rPr>
        <w:t>投标人须保证所提供的产品包括相关附件为相应厂家原装正品，软件产品为相关厂家正版软件，符合国家有关规定。投标人须保证所提供产品具有合法的版权或使用权，本项目采购的产品，如在本项目范围内使用过程中出现版权或使用权纠纷，应由中标方负责，采购人和招标代理不承担责任。</w:t>
      </w:r>
    </w:p>
    <w:p>
      <w:pPr>
        <w:spacing w:line="360" w:lineRule="auto"/>
        <w:ind w:firstLine="480" w:firstLineChars="200"/>
        <w:rPr>
          <w:rFonts w:ascii="宋体" w:hAnsi="宋体" w:cs="宋体"/>
          <w:color w:val="auto"/>
          <w:sz w:val="24"/>
        </w:rPr>
      </w:pPr>
      <w:r>
        <w:rPr>
          <w:rFonts w:hint="eastAsia" w:ascii="宋体" w:hAnsi="宋体" w:cs="宋体"/>
          <w:color w:val="auto"/>
          <w:sz w:val="24"/>
        </w:rPr>
        <w:t>在本项目监理公司的指导下实施，无条件配合监理人员的工作。</w:t>
      </w:r>
    </w:p>
    <w:p>
      <w:pPr>
        <w:pStyle w:val="2"/>
        <w:numPr>
          <w:ilvl w:val="0"/>
          <w:numId w:val="0"/>
        </w:numPr>
        <w:rPr>
          <w:rFonts w:ascii="宋体" w:hAnsi="宋体" w:cs="宋体"/>
          <w:b/>
          <w:sz w:val="24"/>
          <w:szCs w:val="24"/>
        </w:rPr>
      </w:pPr>
      <w:r>
        <w:rPr>
          <w:rFonts w:hint="eastAsia" w:ascii="宋体" w:hAnsi="宋体" w:cs="宋体"/>
          <w:b/>
          <w:sz w:val="24"/>
          <w:szCs w:val="24"/>
          <w:lang w:eastAsia="zh-CN"/>
        </w:rPr>
        <w:t>（六）</w:t>
      </w:r>
      <w:r>
        <w:rPr>
          <w:rFonts w:hint="eastAsia" w:ascii="宋体" w:hAnsi="宋体" w:cs="宋体"/>
          <w:b/>
          <w:sz w:val="24"/>
          <w:szCs w:val="24"/>
        </w:rPr>
        <w:t>安装调试要求</w:t>
      </w:r>
    </w:p>
    <w:p>
      <w:pPr>
        <w:spacing w:line="360" w:lineRule="auto"/>
        <w:ind w:firstLine="480" w:firstLineChars="200"/>
        <w:rPr>
          <w:rFonts w:ascii="宋体" w:hAnsi="宋体" w:cs="宋体"/>
          <w:sz w:val="24"/>
        </w:rPr>
      </w:pPr>
      <w:r>
        <w:rPr>
          <w:rFonts w:hint="eastAsia" w:ascii="宋体" w:hAnsi="宋体" w:cs="宋体"/>
          <w:sz w:val="24"/>
        </w:rPr>
        <w:t>1.由中标方负责将货物按合同签订的具体要求、具体数量、具体时间地点运送到最终目的地，并负责系统现场安装、调试、集成、技术培训、验收和售后服务等工作，系统经完工验收合格后交付</w:t>
      </w:r>
      <w:r>
        <w:rPr>
          <w:rFonts w:hint="eastAsia" w:ascii="宋体" w:hAnsi="宋体" w:cs="宋体"/>
          <w:sz w:val="24"/>
          <w:lang w:eastAsia="zh-CN"/>
        </w:rPr>
        <w:t>采购人</w:t>
      </w:r>
      <w:r>
        <w:rPr>
          <w:rFonts w:hint="eastAsia" w:ascii="宋体" w:hAnsi="宋体" w:cs="宋体"/>
          <w:sz w:val="24"/>
        </w:rPr>
        <w:t>使用。</w:t>
      </w:r>
    </w:p>
    <w:p>
      <w:pPr>
        <w:spacing w:line="360" w:lineRule="auto"/>
        <w:ind w:firstLine="480" w:firstLineChars="200"/>
        <w:rPr>
          <w:rFonts w:ascii="宋体" w:hAnsi="宋体" w:cs="宋体"/>
          <w:sz w:val="24"/>
        </w:rPr>
      </w:pPr>
      <w:r>
        <w:rPr>
          <w:rFonts w:hint="eastAsia" w:ascii="宋体" w:hAnsi="宋体" w:cs="宋体"/>
          <w:sz w:val="24"/>
        </w:rPr>
        <w:t>2.中标方应提供系统现场安装、调试、集成等分阶段的计划表。</w:t>
      </w:r>
    </w:p>
    <w:p>
      <w:pPr>
        <w:spacing w:line="360" w:lineRule="auto"/>
        <w:ind w:firstLine="480" w:firstLineChars="200"/>
        <w:rPr>
          <w:rFonts w:ascii="宋体" w:hAnsi="宋体" w:cs="宋体"/>
          <w:sz w:val="24"/>
        </w:rPr>
      </w:pPr>
      <w:r>
        <w:rPr>
          <w:rFonts w:hint="eastAsia" w:ascii="宋体" w:hAnsi="宋体" w:cs="宋体"/>
          <w:sz w:val="24"/>
        </w:rPr>
        <w:t>3.系统安装、联网调测所需各种工器具、仪表及安装材料辅料等均由中标方负责提供。</w:t>
      </w:r>
    </w:p>
    <w:p>
      <w:pPr>
        <w:spacing w:line="360" w:lineRule="auto"/>
        <w:ind w:firstLine="480" w:firstLineChars="200"/>
        <w:rPr>
          <w:rFonts w:ascii="宋体" w:hAnsi="宋体" w:cs="宋体"/>
          <w:sz w:val="24"/>
        </w:rPr>
      </w:pPr>
      <w:r>
        <w:rPr>
          <w:rFonts w:hint="eastAsia" w:ascii="宋体" w:hAnsi="宋体" w:cs="宋体"/>
          <w:sz w:val="24"/>
        </w:rPr>
        <w:t>4.安装调试由中标方负责，中标方调试前应提出完整的调试计划并经</w:t>
      </w:r>
      <w:r>
        <w:rPr>
          <w:rFonts w:hint="eastAsia" w:ascii="宋体" w:hAnsi="宋体" w:cs="宋体"/>
          <w:sz w:val="24"/>
          <w:lang w:eastAsia="zh-CN"/>
        </w:rPr>
        <w:t>采购人</w:t>
      </w:r>
      <w:r>
        <w:rPr>
          <w:rFonts w:hint="eastAsia" w:ascii="宋体" w:hAnsi="宋体" w:cs="宋体"/>
          <w:sz w:val="24"/>
        </w:rPr>
        <w:t>确认，包括安装调试的内容、项目、指标、方法和进度，并提供相应的仪器和工具。中标方有责任对</w:t>
      </w:r>
      <w:r>
        <w:rPr>
          <w:rFonts w:hint="eastAsia" w:ascii="宋体" w:hAnsi="宋体" w:cs="宋体"/>
          <w:sz w:val="24"/>
          <w:lang w:eastAsia="zh-CN"/>
        </w:rPr>
        <w:t>采购人</w:t>
      </w:r>
      <w:r>
        <w:rPr>
          <w:rFonts w:hint="eastAsia" w:ascii="宋体" w:hAnsi="宋体" w:cs="宋体"/>
          <w:sz w:val="24"/>
        </w:rPr>
        <w:t>提出的问题作出解答。调试应进行详细记录，调试结束后，由中标方技术人员签字后交给</w:t>
      </w:r>
      <w:r>
        <w:rPr>
          <w:rFonts w:hint="eastAsia" w:ascii="宋体" w:hAnsi="宋体" w:cs="宋体"/>
          <w:sz w:val="24"/>
          <w:lang w:eastAsia="zh-CN"/>
        </w:rPr>
        <w:t>采购人</w:t>
      </w:r>
      <w:r>
        <w:rPr>
          <w:rFonts w:hint="eastAsia" w:ascii="宋体" w:hAnsi="宋体" w:cs="宋体"/>
          <w:sz w:val="24"/>
        </w:rPr>
        <w:t>验收。</w:t>
      </w:r>
    </w:p>
    <w:p>
      <w:pPr>
        <w:spacing w:line="360" w:lineRule="auto"/>
        <w:ind w:firstLine="480" w:firstLineChars="200"/>
        <w:rPr>
          <w:rFonts w:ascii="宋体" w:hAnsi="宋体" w:cs="宋体"/>
          <w:sz w:val="24"/>
        </w:rPr>
      </w:pPr>
      <w:r>
        <w:rPr>
          <w:rFonts w:hint="eastAsia" w:ascii="宋体" w:hAnsi="宋体" w:cs="宋体"/>
          <w:sz w:val="24"/>
        </w:rPr>
        <w:t>5.在安装工作开始前，中标方应提供相关的安装技术资料、规范以及详细的测试内容、测试方法、测试目标和系统测试的必需仪器。在严格的系统测试后，中标方认为系统的质量和稳定性达到要求时，中标方应向</w:t>
      </w:r>
      <w:r>
        <w:rPr>
          <w:rFonts w:hint="eastAsia" w:ascii="宋体" w:hAnsi="宋体" w:cs="宋体"/>
          <w:sz w:val="24"/>
          <w:lang w:eastAsia="zh-CN"/>
        </w:rPr>
        <w:t>采购人</w:t>
      </w:r>
      <w:r>
        <w:rPr>
          <w:rFonts w:hint="eastAsia" w:ascii="宋体" w:hAnsi="宋体" w:cs="宋体"/>
          <w:sz w:val="24"/>
        </w:rPr>
        <w:t>提供汇总的测试记录和全套最新的软件。</w:t>
      </w:r>
    </w:p>
    <w:p>
      <w:pPr>
        <w:pStyle w:val="2"/>
        <w:ind w:firstLine="0"/>
        <w:rPr>
          <w:rFonts w:ascii="宋体" w:hAnsi="宋体" w:cs="宋体"/>
          <w:b/>
          <w:sz w:val="24"/>
          <w:szCs w:val="24"/>
        </w:rPr>
      </w:pPr>
    </w:p>
    <w:p>
      <w:pPr>
        <w:pStyle w:val="2"/>
        <w:numPr>
          <w:ilvl w:val="0"/>
          <w:numId w:val="0"/>
        </w:numPr>
        <w:ind w:firstLine="482" w:firstLineChars="200"/>
        <w:rPr>
          <w:rFonts w:ascii="宋体" w:hAnsi="宋体" w:cs="宋体"/>
          <w:b/>
          <w:sz w:val="24"/>
          <w:szCs w:val="24"/>
        </w:rPr>
      </w:pPr>
      <w:r>
        <w:rPr>
          <w:rFonts w:hint="eastAsia" w:ascii="宋体" w:hAnsi="宋体" w:cs="宋体"/>
          <w:b/>
          <w:sz w:val="24"/>
          <w:szCs w:val="24"/>
          <w:lang w:eastAsia="zh-CN"/>
        </w:rPr>
        <w:t>（七）</w:t>
      </w:r>
      <w:r>
        <w:rPr>
          <w:rFonts w:hint="eastAsia" w:ascii="宋体" w:hAnsi="宋体" w:cs="宋体"/>
          <w:b/>
          <w:sz w:val="24"/>
          <w:szCs w:val="24"/>
        </w:rPr>
        <w:t>验收要求</w:t>
      </w:r>
    </w:p>
    <w:p>
      <w:pPr>
        <w:spacing w:line="360" w:lineRule="auto"/>
        <w:ind w:firstLine="480" w:firstLineChars="200"/>
        <w:rPr>
          <w:rFonts w:ascii="宋体" w:hAnsi="宋体" w:cs="宋体"/>
          <w:sz w:val="24"/>
        </w:rPr>
      </w:pPr>
      <w:r>
        <w:rPr>
          <w:rFonts w:hint="eastAsia" w:ascii="宋体" w:hAnsi="宋体" w:cs="宋体"/>
          <w:sz w:val="24"/>
        </w:rPr>
        <w:t>为保证本项目建设达到预期的目标，中标单位应根据招标文件进行设计、施工、管理、验收和组织培训与提供服务。</w:t>
      </w:r>
    </w:p>
    <w:p>
      <w:pPr>
        <w:spacing w:line="360" w:lineRule="auto"/>
        <w:ind w:firstLine="480" w:firstLineChars="200"/>
        <w:rPr>
          <w:rFonts w:ascii="宋体" w:hAnsi="宋体" w:cs="宋体"/>
          <w:sz w:val="24"/>
        </w:rPr>
      </w:pPr>
      <w:r>
        <w:rPr>
          <w:rFonts w:hint="eastAsia" w:ascii="宋体" w:hAnsi="宋体" w:cs="宋体"/>
          <w:sz w:val="24"/>
        </w:rPr>
        <w:t>项目建设过程中，中标单位应严格执行有关施工质量检验的规定，建设单位应加强工程的质量检查，做好随工检验，确保工程质量。</w:t>
      </w:r>
    </w:p>
    <w:p>
      <w:pPr>
        <w:spacing w:line="360" w:lineRule="auto"/>
        <w:ind w:firstLine="480" w:firstLineChars="200"/>
        <w:rPr>
          <w:rFonts w:ascii="宋体" w:hAnsi="宋体" w:cs="宋体"/>
          <w:sz w:val="24"/>
        </w:rPr>
      </w:pPr>
      <w:r>
        <w:rPr>
          <w:rFonts w:hint="eastAsia" w:ascii="宋体" w:hAnsi="宋体" w:cs="宋体"/>
          <w:sz w:val="24"/>
        </w:rPr>
        <w:t xml:space="preserve">本验收中未涉及到的功能要求，应符合国家现行有关标准。当本验收中提出的检验及评估方法及要求与国标、行业标准不一致时，以国标、行业标准为准。 </w:t>
      </w:r>
    </w:p>
    <w:p>
      <w:pPr>
        <w:spacing w:line="360" w:lineRule="auto"/>
        <w:ind w:firstLine="480" w:firstLineChars="200"/>
        <w:rPr>
          <w:rFonts w:ascii="宋体" w:hAnsi="宋体" w:cs="宋体"/>
          <w:sz w:val="24"/>
        </w:rPr>
      </w:pPr>
      <w:r>
        <w:rPr>
          <w:rFonts w:hint="eastAsia" w:ascii="宋体" w:hAnsi="宋体" w:cs="宋体"/>
          <w:sz w:val="24"/>
          <w:lang w:val="en-US" w:eastAsia="zh-CN"/>
        </w:rPr>
        <w:t>1.</w:t>
      </w:r>
      <w:r>
        <w:rPr>
          <w:rFonts w:hint="eastAsia" w:ascii="宋体" w:hAnsi="宋体" w:cs="宋体"/>
          <w:sz w:val="24"/>
        </w:rPr>
        <w:t>测试、验收依据</w:t>
      </w:r>
      <w:r>
        <w:rPr>
          <w:rFonts w:hint="eastAsia" w:ascii="宋体" w:hAnsi="宋体" w:cs="宋体"/>
          <w:sz w:val="24"/>
        </w:rPr>
        <w:tab/>
      </w:r>
    </w:p>
    <w:p>
      <w:pPr>
        <w:spacing w:line="360" w:lineRule="auto"/>
        <w:ind w:firstLine="480" w:firstLineChars="200"/>
        <w:rPr>
          <w:rFonts w:ascii="宋体" w:hAnsi="宋体" w:cs="宋体"/>
          <w:sz w:val="24"/>
        </w:rPr>
      </w:pPr>
      <w:r>
        <w:rPr>
          <w:rFonts w:hint="eastAsia" w:ascii="宋体" w:hAnsi="宋体" w:cs="宋体"/>
          <w:sz w:val="24"/>
        </w:rPr>
        <w:t>招标文件;</w:t>
      </w:r>
    </w:p>
    <w:p>
      <w:pPr>
        <w:spacing w:line="360" w:lineRule="auto"/>
        <w:ind w:firstLine="480" w:firstLineChars="200"/>
        <w:rPr>
          <w:rFonts w:ascii="宋体" w:hAnsi="宋体" w:cs="宋体"/>
          <w:sz w:val="24"/>
        </w:rPr>
      </w:pPr>
      <w:r>
        <w:rPr>
          <w:rFonts w:hint="eastAsia" w:ascii="宋体" w:hAnsi="宋体" w:cs="宋体"/>
          <w:sz w:val="24"/>
        </w:rPr>
        <w:t>施工过程变更设计及联系单；</w:t>
      </w:r>
    </w:p>
    <w:p>
      <w:pPr>
        <w:spacing w:line="360" w:lineRule="auto"/>
        <w:ind w:firstLine="480" w:firstLineChars="200"/>
        <w:rPr>
          <w:rFonts w:ascii="宋体" w:hAnsi="宋体" w:cs="宋体"/>
          <w:sz w:val="24"/>
        </w:rPr>
      </w:pPr>
      <w:r>
        <w:rPr>
          <w:rFonts w:hint="eastAsia" w:ascii="宋体" w:hAnsi="宋体" w:cs="宋体"/>
          <w:sz w:val="24"/>
        </w:rPr>
        <w:t>系统工程承包合同；</w:t>
      </w:r>
    </w:p>
    <w:p>
      <w:pPr>
        <w:spacing w:line="360" w:lineRule="auto"/>
        <w:ind w:firstLine="480" w:firstLineChars="200"/>
        <w:rPr>
          <w:rFonts w:ascii="宋体" w:hAnsi="宋体" w:cs="宋体"/>
          <w:sz w:val="24"/>
        </w:rPr>
      </w:pPr>
      <w:r>
        <w:rPr>
          <w:rFonts w:hint="eastAsia" w:ascii="宋体" w:hAnsi="宋体" w:cs="宋体"/>
          <w:sz w:val="24"/>
        </w:rPr>
        <w:t>设备技术说明；</w:t>
      </w:r>
    </w:p>
    <w:p>
      <w:pPr>
        <w:spacing w:line="360" w:lineRule="auto"/>
        <w:ind w:firstLine="480" w:firstLineChars="200"/>
        <w:rPr>
          <w:rFonts w:ascii="宋体" w:hAnsi="宋体" w:cs="宋体"/>
          <w:sz w:val="24"/>
        </w:rPr>
      </w:pPr>
      <w:r>
        <w:rPr>
          <w:rFonts w:hint="eastAsia" w:ascii="宋体" w:hAnsi="宋体" w:cs="宋体"/>
          <w:sz w:val="24"/>
        </w:rPr>
        <w:t>系统竣工验收技术资料。</w:t>
      </w:r>
    </w:p>
    <w:p>
      <w:pPr>
        <w:spacing w:line="360" w:lineRule="auto"/>
        <w:ind w:firstLine="480" w:firstLineChars="200"/>
        <w:rPr>
          <w:rFonts w:ascii="宋体" w:hAnsi="宋体" w:cs="宋体"/>
          <w:sz w:val="24"/>
        </w:rPr>
      </w:pPr>
      <w:r>
        <w:rPr>
          <w:rFonts w:hint="eastAsia" w:ascii="宋体" w:hAnsi="宋体" w:cs="宋体"/>
          <w:sz w:val="24"/>
          <w:lang w:val="en-US" w:eastAsia="zh-CN"/>
        </w:rPr>
        <w:t>2.</w:t>
      </w:r>
      <w:r>
        <w:rPr>
          <w:rFonts w:hint="eastAsia" w:ascii="宋体" w:hAnsi="宋体" w:cs="宋体"/>
          <w:sz w:val="24"/>
        </w:rPr>
        <w:t>软件知识产权</w:t>
      </w:r>
    </w:p>
    <w:p>
      <w:pPr>
        <w:spacing w:line="360" w:lineRule="auto"/>
        <w:ind w:firstLine="480" w:firstLineChars="200"/>
        <w:rPr>
          <w:rFonts w:ascii="宋体" w:hAnsi="宋体" w:cs="宋体"/>
          <w:sz w:val="24"/>
        </w:rPr>
      </w:pPr>
      <w:r>
        <w:rPr>
          <w:rFonts w:hint="eastAsia" w:ascii="宋体" w:hAnsi="宋体" w:cs="宋体"/>
          <w:sz w:val="24"/>
        </w:rPr>
        <w:t>本项目产生的所有知识产权归</w:t>
      </w:r>
      <w:r>
        <w:rPr>
          <w:rFonts w:hint="eastAsia" w:ascii="宋体" w:hAnsi="宋体" w:cs="宋体"/>
          <w:sz w:val="24"/>
          <w:lang w:eastAsia="zh-CN"/>
        </w:rPr>
        <w:t>采购人</w:t>
      </w:r>
      <w:r>
        <w:rPr>
          <w:rFonts w:hint="eastAsia" w:ascii="宋体" w:hAnsi="宋体" w:cs="宋体"/>
          <w:sz w:val="24"/>
        </w:rPr>
        <w:t>所有。</w:t>
      </w:r>
    </w:p>
    <w:p>
      <w:pPr>
        <w:spacing w:line="360" w:lineRule="auto"/>
        <w:ind w:firstLine="480" w:firstLineChars="200"/>
        <w:rPr>
          <w:rFonts w:ascii="宋体" w:hAnsi="宋体" w:cs="宋体"/>
          <w:sz w:val="24"/>
        </w:rPr>
      </w:pPr>
      <w:r>
        <w:rPr>
          <w:rFonts w:hint="eastAsia" w:ascii="宋体" w:hAnsi="宋体" w:cs="宋体"/>
          <w:sz w:val="24"/>
        </w:rPr>
        <w:t>投标方须对所有成果、产品的知识产权负有瑕疵担保责任，因使用未被授权使用的技术、组件等知识产权问题引起的纠纷由投标方自行承担，招标方不承担因此产生的任何责任。</w:t>
      </w:r>
    </w:p>
    <w:p>
      <w:pPr>
        <w:spacing w:line="360" w:lineRule="auto"/>
        <w:ind w:firstLine="480" w:firstLineChars="200"/>
        <w:rPr>
          <w:rFonts w:ascii="宋体" w:hAnsi="宋体" w:cs="宋体"/>
          <w:sz w:val="24"/>
        </w:rPr>
      </w:pPr>
      <w:r>
        <w:rPr>
          <w:rFonts w:hint="eastAsia" w:ascii="宋体" w:hAnsi="宋体" w:cs="宋体"/>
          <w:sz w:val="24"/>
        </w:rPr>
        <w:t>投标方未经</w:t>
      </w:r>
      <w:r>
        <w:rPr>
          <w:rFonts w:hint="eastAsia" w:ascii="宋体" w:hAnsi="宋体" w:cs="宋体"/>
          <w:sz w:val="24"/>
          <w:lang w:eastAsia="zh-CN"/>
        </w:rPr>
        <w:t>采购人</w:t>
      </w:r>
      <w:r>
        <w:rPr>
          <w:rFonts w:hint="eastAsia" w:ascii="宋体" w:hAnsi="宋体" w:cs="宋体"/>
          <w:sz w:val="24"/>
        </w:rPr>
        <w:t>书面允许，不得侵犯本项目产生的所有知识产权。</w:t>
      </w:r>
    </w:p>
    <w:p>
      <w:pPr>
        <w:spacing w:line="360" w:lineRule="auto"/>
        <w:ind w:firstLine="480" w:firstLineChars="200"/>
        <w:rPr>
          <w:rFonts w:ascii="宋体" w:hAnsi="宋体" w:cs="宋体"/>
          <w:sz w:val="24"/>
        </w:rPr>
      </w:pPr>
      <w:r>
        <w:rPr>
          <w:rFonts w:hint="eastAsia" w:ascii="宋体" w:hAnsi="宋体" w:cs="宋体"/>
          <w:sz w:val="24"/>
          <w:lang w:val="en-US" w:eastAsia="zh-CN"/>
        </w:rPr>
        <w:t>3.</w:t>
      </w:r>
      <w:r>
        <w:rPr>
          <w:rFonts w:hint="eastAsia" w:ascii="宋体" w:hAnsi="宋体" w:cs="宋体"/>
          <w:sz w:val="24"/>
        </w:rPr>
        <w:t>数据保密</w:t>
      </w:r>
    </w:p>
    <w:p>
      <w:pPr>
        <w:spacing w:line="360" w:lineRule="auto"/>
        <w:ind w:firstLine="480" w:firstLineChars="200"/>
        <w:rPr>
          <w:rFonts w:ascii="宋体" w:hAnsi="宋体" w:cs="宋体"/>
          <w:sz w:val="24"/>
        </w:rPr>
      </w:pPr>
      <w:r>
        <w:rPr>
          <w:rFonts w:hint="eastAsia" w:ascii="宋体" w:hAnsi="宋体" w:cs="宋体"/>
          <w:sz w:val="24"/>
        </w:rPr>
        <w:t>在项目开发过程中和在系统运行过程中，投标方必须对招标方提供的任何数据及文档（包括设计文档、测试数据、文件档案资料及系统源代码等）有保密的责任和义务。</w:t>
      </w:r>
    </w:p>
    <w:p>
      <w:pPr>
        <w:spacing w:line="360" w:lineRule="auto"/>
        <w:ind w:firstLine="480" w:firstLineChars="200"/>
        <w:rPr>
          <w:rFonts w:ascii="宋体" w:hAnsi="宋体" w:cs="宋体"/>
          <w:sz w:val="24"/>
        </w:rPr>
      </w:pPr>
      <w:r>
        <w:rPr>
          <w:rFonts w:hint="eastAsia" w:ascii="宋体" w:hAnsi="宋体" w:cs="宋体"/>
          <w:sz w:val="24"/>
          <w:lang w:val="en-US" w:eastAsia="zh-CN"/>
        </w:rPr>
        <w:t>4.</w:t>
      </w:r>
      <w:r>
        <w:rPr>
          <w:rFonts w:hint="eastAsia" w:ascii="宋体" w:hAnsi="宋体" w:cs="宋体"/>
          <w:sz w:val="24"/>
        </w:rPr>
        <w:t>竣工验收文件</w:t>
      </w:r>
    </w:p>
    <w:p>
      <w:pPr>
        <w:spacing w:line="360" w:lineRule="auto"/>
        <w:ind w:firstLine="480" w:firstLineChars="200"/>
        <w:rPr>
          <w:rFonts w:ascii="宋体" w:hAnsi="宋体" w:cs="宋体"/>
          <w:sz w:val="24"/>
        </w:rPr>
      </w:pPr>
      <w:r>
        <w:rPr>
          <w:rFonts w:hint="eastAsia" w:ascii="宋体" w:hAnsi="宋体" w:cs="宋体"/>
          <w:sz w:val="24"/>
          <w:lang w:val="en-US" w:eastAsia="zh-CN"/>
        </w:rPr>
        <w:t>4.</w:t>
      </w:r>
      <w:r>
        <w:rPr>
          <w:rFonts w:hint="eastAsia" w:ascii="宋体" w:hAnsi="宋体" w:cs="宋体"/>
          <w:sz w:val="24"/>
        </w:rPr>
        <w:t>1</w:t>
      </w:r>
      <w:r>
        <w:rPr>
          <w:rFonts w:hint="eastAsia" w:ascii="宋体" w:hAnsi="宋体" w:cs="宋体"/>
          <w:sz w:val="24"/>
          <w:lang w:val="en-US" w:eastAsia="zh-CN"/>
        </w:rPr>
        <w:t xml:space="preserve"> </w:t>
      </w:r>
      <w:r>
        <w:rPr>
          <w:rFonts w:hint="eastAsia" w:ascii="宋体" w:hAnsi="宋体" w:cs="宋体"/>
          <w:sz w:val="24"/>
        </w:rPr>
        <w:t>由施工单位编制竣工验收文件一式三份交建设单位，其中一份由建设单位签收盖章后，退施工单位存档。</w:t>
      </w:r>
    </w:p>
    <w:p>
      <w:pPr>
        <w:spacing w:line="360" w:lineRule="auto"/>
        <w:ind w:firstLine="480" w:firstLineChars="200"/>
        <w:rPr>
          <w:rFonts w:ascii="宋体" w:hAnsi="宋体" w:cs="宋体"/>
          <w:sz w:val="24"/>
        </w:rPr>
      </w:pPr>
      <w:r>
        <w:rPr>
          <w:rFonts w:hint="eastAsia" w:ascii="宋体" w:hAnsi="宋体" w:cs="宋体"/>
          <w:sz w:val="24"/>
          <w:lang w:val="en-US" w:eastAsia="zh-CN"/>
        </w:rPr>
        <w:t>4.</w:t>
      </w:r>
      <w:r>
        <w:rPr>
          <w:rFonts w:hint="eastAsia" w:ascii="宋体" w:hAnsi="宋体" w:cs="宋体"/>
          <w:sz w:val="24"/>
        </w:rPr>
        <w:t>2竣工文件目录</w:t>
      </w:r>
    </w:p>
    <w:p>
      <w:pPr>
        <w:spacing w:line="360" w:lineRule="auto"/>
        <w:ind w:firstLine="480" w:firstLineChars="200"/>
        <w:rPr>
          <w:rFonts w:ascii="宋体" w:hAnsi="宋体" w:cs="宋体"/>
          <w:sz w:val="24"/>
        </w:rPr>
      </w:pPr>
      <w:r>
        <w:rPr>
          <w:rFonts w:hint="eastAsia" w:ascii="宋体" w:hAnsi="宋体" w:cs="宋体"/>
          <w:sz w:val="24"/>
        </w:rPr>
        <w:t>（2）系统图</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）设备配置图</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）设备概要说明书</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）设备清单一览表</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）用户使用报告</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7</w:t>
      </w:r>
      <w:r>
        <w:rPr>
          <w:rFonts w:hint="eastAsia" w:ascii="宋体" w:hAnsi="宋体" w:cs="宋体"/>
          <w:sz w:val="24"/>
        </w:rPr>
        <w:t>）试运行报告</w:t>
      </w:r>
    </w:p>
    <w:p>
      <w:pPr>
        <w:spacing w:line="360" w:lineRule="auto"/>
        <w:ind w:firstLine="480" w:firstLineChars="200"/>
        <w:rPr>
          <w:rFonts w:hint="eastAsia" w:ascii="宋体" w:hAnsi="宋体" w:cs="宋体"/>
          <w:sz w:val="24"/>
        </w:rPr>
      </w:pPr>
      <w:r>
        <w:rPr>
          <w:rFonts w:hint="eastAsia" w:ascii="宋体" w:hAnsi="宋体" w:cs="宋体"/>
          <w:sz w:val="24"/>
        </w:rPr>
        <w:t>（8）验收报告</w:t>
      </w:r>
    </w:p>
    <w:p>
      <w:pPr>
        <w:spacing w:line="360" w:lineRule="auto"/>
        <w:ind w:firstLine="482" w:firstLineChars="200"/>
        <w:rPr>
          <w:rFonts w:ascii="宋体" w:hAnsi="宋体" w:cs="宋体"/>
          <w:b/>
          <w:sz w:val="24"/>
        </w:rPr>
      </w:pPr>
      <w:r>
        <w:rPr>
          <w:rFonts w:hint="eastAsia" w:ascii="宋体" w:hAnsi="宋体" w:cs="宋体"/>
          <w:b/>
          <w:sz w:val="24"/>
          <w:lang w:eastAsia="zh-CN"/>
        </w:rPr>
        <w:t>（八）</w:t>
      </w:r>
      <w:r>
        <w:rPr>
          <w:rFonts w:hint="eastAsia" w:ascii="宋体" w:hAnsi="宋体" w:cs="宋体"/>
          <w:b/>
          <w:sz w:val="24"/>
        </w:rPr>
        <w:t>培训要求</w:t>
      </w:r>
    </w:p>
    <w:p>
      <w:pPr>
        <w:pStyle w:val="2"/>
        <w:spacing w:line="360" w:lineRule="auto"/>
        <w:jc w:val="left"/>
        <w:rPr>
          <w:rFonts w:ascii="宋体" w:hAnsi="宋体" w:cs="宋体"/>
          <w:sz w:val="24"/>
          <w:szCs w:val="24"/>
        </w:rPr>
      </w:pPr>
      <w:r>
        <w:rPr>
          <w:rFonts w:hint="eastAsia" w:ascii="宋体" w:hAnsi="宋体" w:cs="宋体"/>
          <w:sz w:val="24"/>
          <w:szCs w:val="24"/>
        </w:rPr>
        <w:t>（1）现场培训</w:t>
      </w:r>
    </w:p>
    <w:p>
      <w:pPr>
        <w:pStyle w:val="2"/>
        <w:spacing w:line="360" w:lineRule="auto"/>
        <w:ind w:firstLine="547" w:firstLineChars="228"/>
        <w:rPr>
          <w:rFonts w:ascii="宋体" w:hAnsi="宋体" w:cs="宋体"/>
          <w:sz w:val="24"/>
          <w:szCs w:val="24"/>
        </w:rPr>
      </w:pPr>
      <w:r>
        <w:rPr>
          <w:rFonts w:hint="eastAsia" w:ascii="宋体" w:hAnsi="宋体" w:cs="宋体"/>
          <w:sz w:val="24"/>
          <w:szCs w:val="24"/>
        </w:rPr>
        <w:t>培训内容：现场培训主要包括项目中所采用技术的讲解，产品安装、操作与维护的培训。培训的时间和内容将根据项目的实际实施进度，在客户端实施过程中传授相应的知识。</w:t>
      </w:r>
    </w:p>
    <w:p>
      <w:pPr>
        <w:pStyle w:val="2"/>
        <w:spacing w:line="360" w:lineRule="auto"/>
        <w:ind w:firstLine="547" w:firstLineChars="228"/>
        <w:rPr>
          <w:rFonts w:ascii="宋体" w:hAnsi="宋体" w:cs="宋体"/>
          <w:sz w:val="24"/>
          <w:szCs w:val="24"/>
        </w:rPr>
      </w:pPr>
      <w:r>
        <w:rPr>
          <w:rFonts w:hint="eastAsia" w:ascii="宋体" w:hAnsi="宋体" w:cs="宋体"/>
          <w:sz w:val="24"/>
          <w:szCs w:val="24"/>
        </w:rPr>
        <w:t>培训方式：在项目实施过程中，本项目的相关人员技术工程师提供应用系统的知识、技术、操作及维护的现场指导培训。现场培训采用手把手的培训形式。</w:t>
      </w:r>
    </w:p>
    <w:p>
      <w:pPr>
        <w:pStyle w:val="2"/>
        <w:spacing w:line="360" w:lineRule="auto"/>
        <w:rPr>
          <w:rFonts w:ascii="宋体" w:hAnsi="宋体" w:cs="宋体"/>
          <w:sz w:val="24"/>
          <w:szCs w:val="24"/>
        </w:rPr>
      </w:pPr>
      <w:r>
        <w:rPr>
          <w:rFonts w:hint="eastAsia" w:ascii="宋体" w:hAnsi="宋体" w:cs="宋体"/>
          <w:sz w:val="24"/>
          <w:szCs w:val="24"/>
        </w:rPr>
        <w:t>（3）在线培训</w:t>
      </w:r>
    </w:p>
    <w:p>
      <w:pPr>
        <w:pStyle w:val="2"/>
        <w:spacing w:line="360" w:lineRule="auto"/>
        <w:ind w:firstLine="547" w:firstLineChars="228"/>
        <w:rPr>
          <w:rFonts w:ascii="宋体" w:hAnsi="宋体" w:cs="宋体"/>
          <w:sz w:val="24"/>
          <w:szCs w:val="24"/>
        </w:rPr>
      </w:pPr>
      <w:r>
        <w:rPr>
          <w:rFonts w:hint="eastAsia" w:ascii="宋体" w:hAnsi="宋体" w:cs="宋体"/>
          <w:sz w:val="24"/>
          <w:szCs w:val="24"/>
        </w:rPr>
        <w:t>针对平时工作繁忙的人员，提供用户使用说明书、培训视频等技术材料或开展在线培训。</w:t>
      </w:r>
    </w:p>
    <w:p>
      <w:pPr>
        <w:pStyle w:val="2"/>
        <w:numPr>
          <w:ilvl w:val="0"/>
          <w:numId w:val="6"/>
        </w:numPr>
        <w:spacing w:line="360" w:lineRule="auto"/>
        <w:rPr>
          <w:rFonts w:ascii="宋体" w:hAnsi="宋体" w:cs="宋体"/>
          <w:sz w:val="24"/>
          <w:szCs w:val="24"/>
        </w:rPr>
      </w:pPr>
      <w:r>
        <w:rPr>
          <w:rFonts w:hint="eastAsia" w:ascii="宋体" w:hAnsi="宋体" w:cs="宋体"/>
          <w:sz w:val="24"/>
          <w:szCs w:val="24"/>
        </w:rPr>
        <w:t>培训费用</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所有培训费用（含场地、师资和培训教材费等），</w:t>
      </w:r>
      <w:r>
        <w:rPr>
          <w:rFonts w:hint="eastAsia" w:ascii="宋体" w:hAnsi="宋体" w:cs="宋体"/>
          <w:sz w:val="24"/>
          <w:szCs w:val="24"/>
          <w:lang w:eastAsia="zh-CN"/>
        </w:rPr>
        <w:t>包含在本次报价内</w:t>
      </w:r>
      <w:r>
        <w:rPr>
          <w:rFonts w:hint="eastAsia" w:ascii="宋体" w:hAnsi="宋体" w:cs="宋体"/>
          <w:sz w:val="24"/>
          <w:szCs w:val="24"/>
        </w:rPr>
        <w:t>。</w:t>
      </w:r>
    </w:p>
    <w:p>
      <w:pPr>
        <w:spacing w:line="360" w:lineRule="auto"/>
        <w:ind w:firstLine="482" w:firstLineChars="200"/>
        <w:rPr>
          <w:rFonts w:ascii="宋体" w:hAnsi="宋体" w:cs="宋体"/>
          <w:b/>
          <w:sz w:val="24"/>
        </w:rPr>
      </w:pPr>
      <w:r>
        <w:rPr>
          <w:rFonts w:hint="eastAsia" w:ascii="宋体" w:hAnsi="宋体" w:cs="宋体"/>
          <w:b/>
          <w:sz w:val="24"/>
          <w:lang w:eastAsia="zh-CN"/>
        </w:rPr>
        <w:t>（九）</w:t>
      </w:r>
      <w:r>
        <w:rPr>
          <w:rFonts w:hint="eastAsia" w:ascii="宋体" w:hAnsi="宋体" w:cs="宋体"/>
          <w:b/>
          <w:sz w:val="24"/>
        </w:rPr>
        <w:t>售后服务要求</w:t>
      </w:r>
    </w:p>
    <w:p>
      <w:pPr>
        <w:pStyle w:val="2"/>
        <w:spacing w:line="360" w:lineRule="auto"/>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提供3年及以上免费质保服务</w:t>
      </w:r>
    </w:p>
    <w:p>
      <w:pPr>
        <w:pStyle w:val="2"/>
        <w:spacing w:line="360" w:lineRule="auto"/>
        <w:rPr>
          <w:rFonts w:ascii="宋体" w:hAnsi="宋体" w:cs="宋体"/>
          <w:sz w:val="24"/>
          <w:szCs w:val="24"/>
        </w:rPr>
      </w:pPr>
      <w:r>
        <w:rPr>
          <w:rFonts w:hint="eastAsia" w:ascii="宋体" w:hAnsi="宋体" w:cs="宋体"/>
          <w:sz w:val="24"/>
          <w:szCs w:val="24"/>
        </w:rPr>
        <w:t>保修期从</w:t>
      </w:r>
      <w:r>
        <w:rPr>
          <w:rFonts w:hint="eastAsia" w:ascii="宋体" w:hAnsi="宋体" w:cs="宋体"/>
          <w:sz w:val="24"/>
          <w:szCs w:val="24"/>
          <w:lang w:val="en-US" w:eastAsia="zh-CN"/>
        </w:rPr>
        <w:t>项目</w:t>
      </w:r>
      <w:r>
        <w:rPr>
          <w:rFonts w:hint="eastAsia" w:ascii="宋体" w:hAnsi="宋体" w:cs="宋体"/>
          <w:sz w:val="24"/>
          <w:szCs w:val="24"/>
        </w:rPr>
        <w:t>“完工验收”合格之日算起。在保修期内，出现硬件设备与应用软件的故障，中标方应研究其故障原因，并迅速修复或免费进行更换，直至满足</w:t>
      </w:r>
      <w:r>
        <w:rPr>
          <w:rFonts w:hint="eastAsia" w:ascii="宋体" w:hAnsi="宋体" w:cs="宋体"/>
          <w:sz w:val="24"/>
          <w:szCs w:val="24"/>
          <w:lang w:eastAsia="zh-CN"/>
        </w:rPr>
        <w:t>采购人</w:t>
      </w:r>
      <w:r>
        <w:rPr>
          <w:rFonts w:hint="eastAsia" w:ascii="宋体" w:hAnsi="宋体" w:cs="宋体"/>
          <w:sz w:val="24"/>
          <w:szCs w:val="24"/>
        </w:rPr>
        <w:t>原定的要求为止。</w:t>
      </w:r>
    </w:p>
    <w:p>
      <w:pPr>
        <w:pStyle w:val="2"/>
        <w:spacing w:line="360" w:lineRule="auto"/>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维修服务的响应时间</w:t>
      </w:r>
    </w:p>
    <w:p>
      <w:pPr>
        <w:pStyle w:val="2"/>
        <w:spacing w:line="360" w:lineRule="auto"/>
        <w:rPr>
          <w:rFonts w:ascii="宋体" w:hAnsi="宋体" w:cs="宋体"/>
          <w:sz w:val="24"/>
          <w:szCs w:val="24"/>
        </w:rPr>
      </w:pPr>
      <w:r>
        <w:rPr>
          <w:rFonts w:hint="eastAsia" w:ascii="宋体" w:hAnsi="宋体" w:cs="宋体"/>
          <w:sz w:val="24"/>
          <w:szCs w:val="24"/>
        </w:rPr>
        <w:t>若采购人提出故障申请，中标方须提供7×24小时电话服务，中标人最终维修服务响应时间为30分钟，在2小时内派专业技术人员到达现场进行免费维修服务。故障原因在8小时内无法排除的，中标方1个工作日内提交解决软件系统故障的方案。通过与用户交涉承诺将以最快的时间将故障排除。中标方还须提供系统应用的故障处理、维护和现场巡检等服务，以及其他的技术支持工作。在保修期内，与系统质保和维修等相关的费用由中标方负责。</w:t>
      </w:r>
    </w:p>
    <w:p>
      <w:pPr>
        <w:pStyle w:val="2"/>
        <w:spacing w:line="360" w:lineRule="auto"/>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质量保修期后的服务要求</w:t>
      </w:r>
    </w:p>
    <w:p>
      <w:pPr>
        <w:pStyle w:val="2"/>
        <w:spacing w:line="360" w:lineRule="auto"/>
        <w:rPr>
          <w:rFonts w:ascii="宋体" w:hAnsi="宋体" w:cs="宋体"/>
          <w:color w:val="auto"/>
          <w:sz w:val="24"/>
          <w:szCs w:val="24"/>
        </w:rPr>
      </w:pPr>
      <w:r>
        <w:rPr>
          <w:rFonts w:hint="eastAsia" w:ascii="宋体" w:hAnsi="宋体" w:cs="宋体"/>
          <w:sz w:val="24"/>
          <w:szCs w:val="24"/>
        </w:rPr>
        <w:t>质保期结束后，中标方仍应提供与保修期内相同质量的售后服务，其质保和维修的相关费用由采购方自行承担</w:t>
      </w:r>
      <w:r>
        <w:rPr>
          <w:rFonts w:hint="eastAsia" w:ascii="宋体" w:hAnsi="宋体" w:cs="宋体"/>
          <w:sz w:val="24"/>
          <w:szCs w:val="24"/>
          <w:lang w:eastAsia="zh-CN"/>
        </w:rPr>
        <w:t>，</w:t>
      </w:r>
      <w:r>
        <w:rPr>
          <w:rFonts w:hint="eastAsia" w:ascii="宋体" w:hAnsi="宋体" w:cs="宋体"/>
          <w:color w:val="auto"/>
          <w:sz w:val="24"/>
          <w:szCs w:val="24"/>
          <w:lang w:eastAsia="zh-CN"/>
        </w:rPr>
        <w:t>但费用应保证不超过本次报价</w:t>
      </w:r>
      <w:r>
        <w:rPr>
          <w:rFonts w:hint="eastAsia" w:ascii="宋体" w:hAnsi="宋体" w:cs="宋体"/>
          <w:color w:val="auto"/>
          <w:sz w:val="24"/>
          <w:szCs w:val="24"/>
        </w:rPr>
        <w:t>。</w:t>
      </w:r>
    </w:p>
    <w:p>
      <w:pPr>
        <w:pStyle w:val="2"/>
        <w:spacing w:line="360" w:lineRule="auto"/>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中标方应结合自检、初验收、最终验收阶段，为采购方技术人员进行有关项目安装、调试、维护、操作等方面的现场培训，直至能熟练独立操作。</w:t>
      </w:r>
    </w:p>
    <w:p>
      <w:pPr>
        <w:pStyle w:val="2"/>
        <w:spacing w:line="360" w:lineRule="auto"/>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投标方可视自身能力在投标文件中提供更优、更合理的维修服务承诺。</w:t>
      </w:r>
    </w:p>
    <w:p>
      <w:pPr>
        <w:pStyle w:val="2"/>
        <w:spacing w:line="360" w:lineRule="auto"/>
        <w:rPr>
          <w:rFonts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投标方在其投标文件中须对售后服务作出明确的承诺，包括服务时限、故障响应处理时限、应用恢复处理时限等。</w:t>
      </w:r>
    </w:p>
    <w:p>
      <w:pPr>
        <w:numPr>
          <w:ilvl w:val="0"/>
          <w:numId w:val="0"/>
        </w:numPr>
        <w:spacing w:line="360" w:lineRule="auto"/>
        <w:ind w:firstLine="560" w:firstLineChars="200"/>
        <w:rPr>
          <w:rFonts w:hint="eastAsia" w:ascii="宋体" w:hAnsi="宋体" w:cs="宋体"/>
          <w:bCs/>
          <w:sz w:val="28"/>
          <w:szCs w:val="28"/>
        </w:rPr>
      </w:pPr>
      <w:r>
        <w:rPr>
          <w:rFonts w:hint="eastAsia" w:ascii="宋体" w:hAnsi="宋体" w:cs="宋体"/>
          <w:sz w:val="28"/>
          <w:szCs w:val="28"/>
          <w:lang w:val="en-US" w:eastAsia="zh-CN"/>
        </w:rPr>
        <w:t>7.</w:t>
      </w:r>
      <w:r>
        <w:rPr>
          <w:rFonts w:hint="eastAsia" w:ascii="宋体" w:hAnsi="宋体" w:eastAsia="宋体" w:cs="宋体"/>
          <w:kern w:val="2"/>
          <w:sz w:val="24"/>
          <w:szCs w:val="24"/>
          <w:lang w:val="en-US" w:eastAsia="zh-CN" w:bidi="ar-SA"/>
        </w:rPr>
        <w:t>项目售后服务标准</w:t>
      </w:r>
    </w:p>
    <w:tbl>
      <w:tblPr>
        <w:tblStyle w:val="19"/>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517"/>
        <w:gridCol w:w="5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34"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2517"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服务要求内容</w:t>
            </w:r>
          </w:p>
        </w:tc>
        <w:tc>
          <w:tcPr>
            <w:tcW w:w="5654" w:type="dxa"/>
            <w:noWrap w:val="0"/>
            <w:vAlign w:val="center"/>
          </w:tcPr>
          <w:p>
            <w:pPr>
              <w:adjustRightInd w:val="0"/>
              <w:snapToGrid w:val="0"/>
              <w:spacing w:line="360" w:lineRule="auto"/>
              <w:jc w:val="left"/>
              <w:rPr>
                <w:rFonts w:hint="eastAsia" w:ascii="宋体" w:hAnsi="宋体" w:eastAsia="宋体" w:cs="宋体"/>
                <w:sz w:val="24"/>
              </w:rPr>
            </w:pPr>
            <w:r>
              <w:rPr>
                <w:rFonts w:hint="eastAsia" w:ascii="宋体" w:hAnsi="宋体" w:eastAsia="宋体" w:cs="宋体"/>
                <w:sz w:val="24"/>
              </w:rPr>
              <w:t>服务要求标准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34" w:type="dxa"/>
            <w:noWrap w:val="0"/>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1</w:t>
            </w:r>
          </w:p>
        </w:tc>
        <w:tc>
          <w:tcPr>
            <w:tcW w:w="2517"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售后服务标准</w:t>
            </w:r>
          </w:p>
        </w:tc>
        <w:tc>
          <w:tcPr>
            <w:tcW w:w="5654" w:type="dxa"/>
            <w:noWrap w:val="0"/>
            <w:vAlign w:val="center"/>
          </w:tcPr>
          <w:p>
            <w:pPr>
              <w:snapToGrid w:val="0"/>
              <w:spacing w:line="360" w:lineRule="auto"/>
              <w:rPr>
                <w:rFonts w:hint="eastAsia" w:ascii="宋体" w:hAnsi="宋体" w:eastAsia="宋体" w:cs="宋体"/>
                <w:bCs/>
                <w:sz w:val="24"/>
              </w:rPr>
            </w:pPr>
            <w:r>
              <w:rPr>
                <w:rFonts w:hint="eastAsia" w:ascii="宋体" w:hAnsi="宋体" w:eastAsia="宋体" w:cs="宋体"/>
                <w:bCs/>
                <w:sz w:val="24"/>
              </w:rPr>
              <w:t>提供原厂工程师每季度1次上门巡检、调试优化设备运行；提供重大会议保障服务。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34" w:type="dxa"/>
            <w:noWrap w:val="0"/>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2</w:t>
            </w:r>
          </w:p>
        </w:tc>
        <w:tc>
          <w:tcPr>
            <w:tcW w:w="2517"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培训</w:t>
            </w:r>
          </w:p>
        </w:tc>
        <w:tc>
          <w:tcPr>
            <w:tcW w:w="5654" w:type="dxa"/>
            <w:noWrap w:val="0"/>
            <w:vAlign w:val="center"/>
          </w:tcPr>
          <w:p>
            <w:pPr>
              <w:adjustRightInd w:val="0"/>
              <w:snapToGrid w:val="0"/>
              <w:spacing w:line="360" w:lineRule="auto"/>
              <w:jc w:val="left"/>
              <w:rPr>
                <w:rFonts w:hint="eastAsia" w:ascii="宋体" w:hAnsi="宋体" w:eastAsia="宋体" w:cs="宋体"/>
                <w:sz w:val="24"/>
                <w:lang w:val="en-US" w:eastAsia="zh-CN"/>
              </w:rPr>
            </w:pPr>
            <w:r>
              <w:rPr>
                <w:rFonts w:hint="eastAsia" w:ascii="宋体" w:hAnsi="宋体" w:eastAsia="宋体" w:cs="宋体"/>
                <w:bCs/>
                <w:sz w:val="24"/>
              </w:rPr>
              <w:t>对采购人相关技术人员进行不少于5个工作日的现场操作培训</w:t>
            </w:r>
            <w:r>
              <w:rPr>
                <w:rFonts w:hint="eastAsia" w:ascii="宋体" w:hAnsi="宋体" w:eastAsia="宋体" w:cs="宋体"/>
                <w:bCs/>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34" w:type="dxa"/>
            <w:noWrap w:val="0"/>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3</w:t>
            </w:r>
          </w:p>
        </w:tc>
        <w:tc>
          <w:tcPr>
            <w:tcW w:w="2517"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其他</w:t>
            </w:r>
          </w:p>
        </w:tc>
        <w:tc>
          <w:tcPr>
            <w:tcW w:w="5654" w:type="dxa"/>
            <w:noWrap w:val="0"/>
            <w:vAlign w:val="center"/>
          </w:tcPr>
          <w:p>
            <w:pPr>
              <w:adjustRightInd w:val="0"/>
              <w:snapToGrid w:val="0"/>
              <w:spacing w:line="360" w:lineRule="auto"/>
              <w:jc w:val="left"/>
              <w:rPr>
                <w:rFonts w:hint="eastAsia" w:ascii="宋体" w:hAnsi="宋体" w:eastAsia="宋体" w:cs="宋体"/>
                <w:sz w:val="24"/>
              </w:rPr>
            </w:pPr>
            <w:r>
              <w:rPr>
                <w:rFonts w:hint="eastAsia" w:ascii="宋体" w:hAnsi="宋体" w:eastAsia="宋体" w:cs="宋体"/>
                <w:bCs/>
                <w:sz w:val="24"/>
              </w:rPr>
              <w:t>交付期间的送货搬运、安装调试产生的费用由中标人负责；培训产生的费用由中标人负责。</w:t>
            </w:r>
          </w:p>
        </w:tc>
      </w:tr>
    </w:tbl>
    <w:p>
      <w:pPr>
        <w:pStyle w:val="2"/>
        <w:ind w:left="0" w:leftChars="0" w:firstLine="0" w:firstLineChars="0"/>
        <w:rPr>
          <w:rFonts w:hint="eastAsia"/>
          <w:lang w:eastAsia="zh-CN"/>
        </w:rPr>
      </w:pPr>
    </w:p>
    <w:p>
      <w:pPr>
        <w:spacing w:line="360" w:lineRule="auto"/>
        <w:ind w:firstLine="482" w:firstLineChars="200"/>
      </w:pPr>
      <w:r>
        <w:rPr>
          <w:rFonts w:hint="eastAsia" w:ascii="宋体" w:hAnsi="宋体" w:cs="宋体"/>
          <w:b/>
          <w:sz w:val="24"/>
          <w:lang w:eastAsia="zh-CN"/>
        </w:rPr>
        <w:t>（十）</w:t>
      </w:r>
      <w:r>
        <w:rPr>
          <w:rFonts w:hint="eastAsia" w:ascii="宋体" w:hAnsi="宋体" w:cs="宋体"/>
          <w:b/>
          <w:sz w:val="24"/>
        </w:rPr>
        <w:t>其他要求</w:t>
      </w:r>
    </w:p>
    <w:p>
      <w:pPr>
        <w:pStyle w:val="2"/>
        <w:spacing w:line="360" w:lineRule="auto"/>
        <w:rPr>
          <w:rFonts w:hint="eastAsia" w:ascii="宋体" w:hAnsi="宋体" w:cs="宋体"/>
          <w:sz w:val="24"/>
          <w:szCs w:val="24"/>
        </w:rPr>
      </w:pPr>
      <w:r>
        <w:rPr>
          <w:rFonts w:hint="eastAsia" w:ascii="宋体" w:hAnsi="宋体" w:cs="宋体"/>
          <w:sz w:val="24"/>
          <w:szCs w:val="24"/>
        </w:rPr>
        <w:t>1、如招标文件中遗漏了本次项目建设所必须具备的设备、配件或服务，请投标人在投标文件中指出，并提出解决方案供参考；中标人有义务保证采购人业务系统的正常运行；如项目实施过程中因缺少设备、配件或服务导致采购人业务系统无法正常运行，中标人须承诺免费提供。</w:t>
      </w: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pStyle w:val="2"/>
        <w:rPr>
          <w:rFonts w:hint="eastAsia"/>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0"/>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（一）质保期：</w:t>
      </w:r>
      <w:r>
        <w:rPr>
          <w:rFonts w:hint="eastAsia" w:ascii="宋体" w:hAnsi="宋体" w:cs="宋体"/>
          <w:sz w:val="24"/>
        </w:rPr>
        <w:t>免费质保期至少</w:t>
      </w:r>
      <w:r>
        <w:rPr>
          <w:rFonts w:hint="eastAsia" w:hAnsi="宋体" w:cs="宋体"/>
          <w:sz w:val="24"/>
          <w:u w:val="single"/>
          <w:lang w:val="en-US" w:eastAsia="zh-CN"/>
        </w:rPr>
        <w:t xml:space="preserve"> </w:t>
      </w:r>
      <w:r>
        <w:rPr>
          <w:rFonts w:ascii="宋体" w:hAnsi="宋体" w:cs="宋体"/>
          <w:sz w:val="24"/>
          <w:u w:val="single"/>
        </w:rPr>
        <w:t>3</w:t>
      </w:r>
      <w:r>
        <w:rPr>
          <w:rFonts w:hint="eastAsia" w:hAnsi="宋体" w:cs="宋体"/>
          <w:sz w:val="24"/>
          <w:u w:val="single"/>
          <w:lang w:val="en-US" w:eastAsia="zh-CN"/>
        </w:rPr>
        <w:t xml:space="preserve"> </w:t>
      </w:r>
      <w:r>
        <w:rPr>
          <w:rFonts w:hint="eastAsia" w:ascii="宋体" w:hAnsi="宋体" w:cs="宋体"/>
          <w:sz w:val="24"/>
        </w:rPr>
        <w:t>年（产品技术需求栏中有特别注明的除外）</w:t>
      </w:r>
    </w:p>
    <w:p>
      <w:pPr>
        <w:spacing w:line="360" w:lineRule="auto"/>
        <w:ind w:firstLine="482" w:firstLineChars="200"/>
        <w:rPr>
          <w:rFonts w:hint="eastAsia"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（二）交货时间及地点：</w:t>
      </w:r>
    </w:p>
    <w:p>
      <w:pPr>
        <w:spacing w:line="360" w:lineRule="auto"/>
        <w:ind w:firstLine="480" w:firstLineChars="200"/>
        <w:rPr>
          <w:rFonts w:hint="eastAsia" w:ascii="宋体" w:hAnsi="宋体" w:cs="宋体"/>
          <w:sz w:val="24"/>
        </w:rPr>
      </w:pPr>
      <w:r>
        <w:rPr>
          <w:rFonts w:hint="eastAsia" w:ascii="宋体" w:hAnsi="宋体" w:cs="宋体"/>
          <w:sz w:val="24"/>
        </w:rPr>
        <w:t>1、项目工期：自签订合同之日起_</w:t>
      </w:r>
      <w:r>
        <w:rPr>
          <w:rFonts w:ascii="宋体" w:hAnsi="宋体" w:cs="宋体"/>
          <w:sz w:val="24"/>
          <w:u w:val="single"/>
        </w:rPr>
        <w:t>30</w:t>
      </w:r>
      <w:r>
        <w:rPr>
          <w:rFonts w:hint="eastAsia" w:ascii="宋体" w:hAnsi="宋体" w:cs="宋体"/>
          <w:sz w:val="24"/>
        </w:rPr>
        <w:t>个工作日内供货、安装调试完毕。</w:t>
      </w:r>
    </w:p>
    <w:p>
      <w:pPr>
        <w:pStyle w:val="10"/>
        <w:snapToGri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宋体" w:hAnsi="宋体" w:cs="宋体"/>
          <w:sz w:val="24"/>
        </w:rPr>
        <w:t>2、交货地点：</w:t>
      </w:r>
      <w:r>
        <w:rPr>
          <w:rFonts w:hint="eastAsia" w:ascii="宋体" w:hAnsi="宋体" w:eastAsia="宋体" w:cs="宋体"/>
          <w:kern w:val="2"/>
          <w:sz w:val="24"/>
          <w:szCs w:val="24"/>
          <w:lang w:val="en-US" w:eastAsia="zh-CN" w:bidi="ar-SA"/>
        </w:rPr>
        <w:t>台州市公安局交通警察局指定地点。</w:t>
      </w:r>
    </w:p>
    <w:p>
      <w:pPr>
        <w:pStyle w:val="10"/>
        <w:snapToGrid w:val="0"/>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（三）</w:t>
      </w:r>
      <w:r>
        <w:rPr>
          <w:rFonts w:hint="eastAsia" w:asciiTheme="minorEastAsia" w:hAnsiTheme="minorEastAsia" w:eastAsiaTheme="minorEastAsia"/>
          <w:b/>
          <w:color w:val="000000" w:themeColor="text1"/>
          <w:sz w:val="24"/>
          <w14:textFill>
            <w14:solidFill>
              <w14:schemeClr w14:val="tx1"/>
            </w14:solidFill>
          </w14:textFill>
        </w:rPr>
        <w:t>付款条件：</w:t>
      </w:r>
      <w:r>
        <w:rPr>
          <w:rFonts w:hint="eastAsia" w:ascii="宋体" w:hAnsi="宋体" w:cs="宋体"/>
          <w:sz w:val="24"/>
        </w:rPr>
        <w:t>合同签订后，在15个工作日内向中标单位支付合同总价的40%；设备到货、清点合格后支付合同总价的30%；终验合格后，支付合同总价的</w:t>
      </w:r>
      <w:r>
        <w:rPr>
          <w:rFonts w:hint="eastAsia" w:ascii="宋体" w:hAnsi="宋体" w:cs="宋体"/>
          <w:sz w:val="24"/>
          <w:lang w:val="en-US" w:eastAsia="zh-CN"/>
        </w:rPr>
        <w:t>3</w:t>
      </w:r>
      <w:r>
        <w:rPr>
          <w:rFonts w:hint="eastAsia" w:ascii="宋体" w:hAnsi="宋体" w:cs="宋体"/>
          <w:sz w:val="24"/>
        </w:rPr>
        <w:t>0%。</w:t>
      </w:r>
    </w:p>
    <w:p>
      <w:pPr>
        <w:snapToGrid w:val="0"/>
        <w:spacing w:line="360" w:lineRule="auto"/>
        <w:ind w:firstLine="482" w:firstLineChars="200"/>
        <w:rPr>
          <w:rFonts w:hint="eastAsia" w:ascii="等线" w:hAnsi="等线" w:eastAsia="等线" w:cstheme="minorBidi"/>
          <w:bCs/>
          <w:kern w:val="2"/>
          <w:sz w:val="24"/>
          <w:szCs w:val="24"/>
          <w:lang w:val="en-US" w:eastAsia="zh-CN" w:bidi="ar-SA"/>
        </w:rPr>
      </w:pPr>
      <w:r>
        <w:rPr>
          <w:rFonts w:hint="eastAsia" w:asciiTheme="minorEastAsia" w:hAnsiTheme="minorEastAsia" w:eastAsiaTheme="minorEastAsia"/>
          <w:b/>
          <w:color w:val="000000" w:themeColor="text1"/>
          <w:sz w:val="24"/>
          <w14:textFill>
            <w14:solidFill>
              <w14:schemeClr w14:val="tx1"/>
            </w14:solidFill>
          </w14:textFill>
        </w:rPr>
        <w:t>（四）</w:t>
      </w:r>
      <w:r>
        <w:rPr>
          <w:rFonts w:hint="eastAsia" w:asciiTheme="minorEastAsia" w:hAnsiTheme="minorEastAsia" w:eastAsiaTheme="minorEastAsia"/>
          <w:b/>
          <w:sz w:val="24"/>
        </w:rPr>
        <w:t>履约保证金</w:t>
      </w:r>
      <w:r>
        <w:rPr>
          <w:rFonts w:hint="eastAsia" w:asciiTheme="minorEastAsia" w:hAnsiTheme="minorEastAsia" w:eastAsiaTheme="minorEastAsia"/>
          <w:b/>
          <w:sz w:val="24"/>
          <w:lang w:eastAsia="zh-CN"/>
        </w:rPr>
        <w:t>：</w:t>
      </w:r>
      <w:r>
        <w:rPr>
          <w:rFonts w:hint="eastAsia" w:ascii="宋体" w:hAnsi="宋体" w:eastAsia="宋体" w:cs="宋体"/>
          <w:kern w:val="2"/>
          <w:sz w:val="24"/>
          <w:szCs w:val="24"/>
          <w:lang w:val="en-US" w:eastAsia="zh-CN" w:bidi="ar-SA"/>
        </w:rPr>
        <w:t>中标后签订合同前，中标人应当向采购人缴纳合同金额的1%作为履约保证金，项目验收结束后及时退还。</w:t>
      </w:r>
    </w:p>
    <w:p>
      <w:pPr>
        <w:pStyle w:val="2"/>
        <w:rPr>
          <w:rFonts w:hint="eastAsia" w:ascii="等线" w:hAnsi="等线" w:eastAsia="等线" w:cstheme="minorBidi"/>
          <w:bCs/>
          <w:kern w:val="2"/>
          <w:sz w:val="24"/>
          <w:szCs w:val="24"/>
          <w:lang w:val="en-US" w:eastAsia="zh-CN" w:bidi="ar-SA"/>
        </w:rPr>
      </w:pPr>
    </w:p>
    <w:p>
      <w:pPr>
        <w:pStyle w:val="2"/>
        <w:rPr>
          <w:rFonts w:hint="eastAsia" w:ascii="等线" w:hAnsi="等线" w:eastAsia="等线" w:cstheme="minorBidi"/>
          <w:bCs/>
          <w:kern w:val="2"/>
          <w:sz w:val="24"/>
          <w:szCs w:val="24"/>
          <w:lang w:val="en-US" w:eastAsia="zh-CN" w:bidi="ar-SA"/>
        </w:rPr>
      </w:pPr>
    </w:p>
    <w:p>
      <w:pPr>
        <w:pStyle w:val="2"/>
        <w:rPr>
          <w:rFonts w:hint="eastAsia" w:ascii="等线" w:hAnsi="等线" w:eastAsia="等线" w:cstheme="minorBidi"/>
          <w:bCs/>
          <w:kern w:val="2"/>
          <w:sz w:val="24"/>
          <w:szCs w:val="24"/>
          <w:lang w:val="en-US" w:eastAsia="zh-CN" w:bidi="ar-SA"/>
        </w:rPr>
      </w:pPr>
    </w:p>
    <w:p>
      <w:pPr>
        <w:pStyle w:val="2"/>
        <w:rPr>
          <w:rFonts w:hint="eastAsia" w:ascii="等线" w:hAnsi="等线" w:eastAsia="等线" w:cstheme="minorBidi"/>
          <w:bCs/>
          <w:kern w:val="2"/>
          <w:sz w:val="24"/>
          <w:szCs w:val="24"/>
          <w:lang w:val="en-US" w:eastAsia="zh-CN" w:bidi="ar-SA"/>
        </w:rPr>
      </w:pPr>
    </w:p>
    <w:p>
      <w:pPr>
        <w:pStyle w:val="2"/>
        <w:rPr>
          <w:rFonts w:hint="eastAsia" w:ascii="等线" w:hAnsi="等线" w:eastAsia="等线" w:cstheme="minorBidi"/>
          <w:bCs/>
          <w:kern w:val="2"/>
          <w:sz w:val="24"/>
          <w:szCs w:val="24"/>
          <w:lang w:val="en-US" w:eastAsia="zh-CN" w:bidi="ar-SA"/>
        </w:rPr>
      </w:pPr>
    </w:p>
    <w:p>
      <w:pPr>
        <w:pStyle w:val="2"/>
        <w:rPr>
          <w:rFonts w:hint="eastAsia" w:ascii="等线" w:hAnsi="等线" w:eastAsia="等线" w:cstheme="minorBidi"/>
          <w:bCs/>
          <w:kern w:val="2"/>
          <w:sz w:val="24"/>
          <w:szCs w:val="24"/>
          <w:lang w:val="en-US" w:eastAsia="zh-CN" w:bidi="ar-SA"/>
        </w:rPr>
      </w:pPr>
    </w:p>
    <w:p>
      <w:pPr>
        <w:pStyle w:val="2"/>
        <w:rPr>
          <w:rFonts w:hint="eastAsia" w:ascii="等线" w:hAnsi="等线" w:eastAsia="等线" w:cstheme="minorBidi"/>
          <w:bCs/>
          <w:kern w:val="2"/>
          <w:sz w:val="24"/>
          <w:szCs w:val="24"/>
          <w:lang w:val="en-US" w:eastAsia="zh-CN" w:bidi="ar-SA"/>
        </w:rPr>
      </w:pPr>
    </w:p>
    <w:p>
      <w:pPr>
        <w:pStyle w:val="2"/>
        <w:rPr>
          <w:rFonts w:hint="eastAsia" w:ascii="等线" w:hAnsi="等线" w:eastAsia="等线" w:cstheme="minorBidi"/>
          <w:bCs/>
          <w:kern w:val="2"/>
          <w:sz w:val="24"/>
          <w:szCs w:val="24"/>
          <w:lang w:val="en-US" w:eastAsia="zh-CN" w:bidi="ar-SA"/>
        </w:rPr>
      </w:pPr>
    </w:p>
    <w:p>
      <w:pPr>
        <w:pStyle w:val="2"/>
        <w:rPr>
          <w:rFonts w:hint="eastAsia" w:ascii="等线" w:hAnsi="等线" w:eastAsia="等线" w:cstheme="minorBidi"/>
          <w:bCs/>
          <w:kern w:val="2"/>
          <w:sz w:val="24"/>
          <w:szCs w:val="24"/>
          <w:lang w:val="en-US" w:eastAsia="zh-CN" w:bidi="ar-SA"/>
        </w:rPr>
      </w:pPr>
    </w:p>
    <w:p>
      <w:pPr>
        <w:pStyle w:val="2"/>
        <w:rPr>
          <w:rFonts w:hint="eastAsia" w:ascii="等线" w:hAnsi="等线" w:eastAsia="等线" w:cstheme="minorBidi"/>
          <w:bCs/>
          <w:kern w:val="2"/>
          <w:sz w:val="24"/>
          <w:szCs w:val="24"/>
          <w:lang w:val="en-US" w:eastAsia="zh-CN" w:bidi="ar-SA"/>
        </w:rPr>
      </w:pPr>
    </w:p>
    <w:p>
      <w:pPr>
        <w:pStyle w:val="2"/>
        <w:rPr>
          <w:rFonts w:hint="eastAsia" w:ascii="等线" w:hAnsi="等线" w:eastAsia="等线" w:cstheme="minorBidi"/>
          <w:bCs/>
          <w:kern w:val="2"/>
          <w:sz w:val="24"/>
          <w:szCs w:val="24"/>
          <w:lang w:val="en-US" w:eastAsia="zh-CN" w:bidi="ar-SA"/>
        </w:rPr>
      </w:pPr>
    </w:p>
    <w:p>
      <w:pPr>
        <w:pStyle w:val="2"/>
        <w:rPr>
          <w:rFonts w:hint="eastAsia" w:ascii="等线" w:hAnsi="等线" w:eastAsia="等线" w:cstheme="minorBidi"/>
          <w:bCs/>
          <w:kern w:val="2"/>
          <w:sz w:val="24"/>
          <w:szCs w:val="24"/>
          <w:lang w:val="en-US" w:eastAsia="zh-CN" w:bidi="ar-SA"/>
        </w:rPr>
      </w:pPr>
    </w:p>
    <w:p>
      <w:pPr>
        <w:pStyle w:val="2"/>
        <w:rPr>
          <w:rFonts w:hint="eastAsia" w:ascii="等线" w:hAnsi="等线" w:eastAsia="等线" w:cstheme="minorBidi"/>
          <w:bCs/>
          <w:kern w:val="2"/>
          <w:sz w:val="24"/>
          <w:szCs w:val="24"/>
          <w:lang w:val="en-US" w:eastAsia="zh-CN" w:bidi="ar-SA"/>
        </w:rPr>
      </w:pPr>
    </w:p>
    <w:p>
      <w:pPr>
        <w:pStyle w:val="2"/>
        <w:rPr>
          <w:rFonts w:hint="eastAsia" w:ascii="等线" w:hAnsi="等线" w:eastAsia="等线" w:cstheme="minorBidi"/>
          <w:bCs/>
          <w:kern w:val="2"/>
          <w:sz w:val="24"/>
          <w:szCs w:val="24"/>
          <w:lang w:val="en-US" w:eastAsia="zh-CN" w:bidi="ar-SA"/>
        </w:rPr>
      </w:pPr>
    </w:p>
    <w:p>
      <w:pPr>
        <w:pStyle w:val="2"/>
        <w:rPr>
          <w:rFonts w:hint="eastAsia" w:ascii="等线" w:hAnsi="等线" w:eastAsia="等线" w:cstheme="minorBidi"/>
          <w:bCs/>
          <w:kern w:val="2"/>
          <w:sz w:val="24"/>
          <w:szCs w:val="24"/>
          <w:lang w:val="en-US" w:eastAsia="zh-CN" w:bidi="ar-SA"/>
        </w:rPr>
      </w:pPr>
    </w:p>
    <w:p>
      <w:pPr>
        <w:pStyle w:val="2"/>
        <w:rPr>
          <w:rFonts w:hint="eastAsia" w:ascii="等线" w:hAnsi="等线" w:eastAsia="等线" w:cstheme="minorBidi"/>
          <w:bCs/>
          <w:kern w:val="2"/>
          <w:sz w:val="24"/>
          <w:szCs w:val="24"/>
          <w:lang w:val="en-US" w:eastAsia="zh-CN" w:bidi="ar-SA"/>
        </w:rPr>
      </w:pPr>
    </w:p>
    <w:p>
      <w:pPr>
        <w:pStyle w:val="2"/>
        <w:rPr>
          <w:rFonts w:hint="eastAsia" w:ascii="等线" w:hAnsi="等线" w:eastAsia="等线" w:cstheme="minorBidi"/>
          <w:bCs/>
          <w:kern w:val="2"/>
          <w:sz w:val="24"/>
          <w:szCs w:val="24"/>
          <w:lang w:val="en-US" w:eastAsia="zh-CN" w:bidi="ar-SA"/>
        </w:rPr>
      </w:pPr>
    </w:p>
    <w:p>
      <w:pPr>
        <w:pStyle w:val="2"/>
        <w:rPr>
          <w:rFonts w:hint="eastAsia" w:ascii="等线" w:hAnsi="等线" w:eastAsia="等线" w:cstheme="minorBidi"/>
          <w:bCs/>
          <w:kern w:val="2"/>
          <w:sz w:val="24"/>
          <w:szCs w:val="24"/>
          <w:lang w:val="en-US" w:eastAsia="zh-CN" w:bidi="ar-SA"/>
        </w:rPr>
      </w:pPr>
    </w:p>
    <w:p>
      <w:pPr>
        <w:pStyle w:val="2"/>
        <w:rPr>
          <w:rFonts w:hint="eastAsia" w:ascii="等线" w:hAnsi="等线" w:eastAsia="等线" w:cstheme="minorBidi"/>
          <w:bCs/>
          <w:kern w:val="2"/>
          <w:sz w:val="24"/>
          <w:szCs w:val="24"/>
          <w:lang w:val="en-US" w:eastAsia="zh-CN" w:bidi="ar-SA"/>
        </w:rPr>
      </w:pPr>
    </w:p>
    <w:p>
      <w:pPr>
        <w:pStyle w:val="2"/>
        <w:rPr>
          <w:rFonts w:hint="eastAsia" w:ascii="等线" w:hAnsi="等线" w:eastAsia="等线" w:cstheme="minorBidi"/>
          <w:bCs/>
          <w:kern w:val="2"/>
          <w:sz w:val="24"/>
          <w:szCs w:val="24"/>
          <w:lang w:val="en-US" w:eastAsia="zh-CN" w:bidi="ar-SA"/>
        </w:rPr>
      </w:pPr>
    </w:p>
    <w:p>
      <w:pPr>
        <w:pStyle w:val="2"/>
        <w:rPr>
          <w:rFonts w:hint="eastAsia" w:ascii="等线" w:hAnsi="等线" w:eastAsia="等线" w:cstheme="minorBidi"/>
          <w:bCs/>
          <w:kern w:val="2"/>
          <w:sz w:val="24"/>
          <w:szCs w:val="24"/>
          <w:lang w:val="en-US" w:eastAsia="zh-CN" w:bidi="ar-SA"/>
        </w:rPr>
      </w:pPr>
    </w:p>
    <w:p>
      <w:pPr>
        <w:pStyle w:val="2"/>
        <w:ind w:left="0" w:leftChars="0" w:firstLine="0" w:firstLineChars="0"/>
      </w:pPr>
    </w:p>
    <w:p>
      <w:pPr>
        <w:pStyle w:val="10"/>
        <w:tabs>
          <w:tab w:val="left" w:pos="630"/>
        </w:tabs>
        <w:snapToGrid w:val="0"/>
        <w:spacing w:line="360" w:lineRule="auto"/>
        <w:jc w:val="center"/>
        <w:rPr>
          <w:rFonts w:asciiTheme="minorEastAsia" w:hAnsiTheme="minorEastAsia" w:eastAsiaTheme="minorEastAsia"/>
          <w:b/>
          <w:sz w:val="32"/>
          <w:szCs w:val="32"/>
        </w:rPr>
      </w:pPr>
      <w:bookmarkStart w:id="40" w:name="_Toc31173_WPSOffice_Level1"/>
      <w:r>
        <w:rPr>
          <w:rFonts w:hint="eastAsia" w:cs="Times New Roman" w:asciiTheme="minorEastAsia" w:hAnsiTheme="minorEastAsia" w:eastAsiaTheme="minorEastAsia"/>
          <w:b/>
          <w:sz w:val="36"/>
          <w:szCs w:val="36"/>
        </w:rPr>
        <w:t>第四章  评标</w:t>
      </w:r>
      <w:bookmarkEnd w:id="40"/>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18"/>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2"/>
        <w:spacing w:line="360" w:lineRule="auto"/>
        <w:ind w:firstLine="480" w:firstLineChars="200"/>
        <w:rPr>
          <w:rFonts w:asciiTheme="minorEastAsia" w:hAnsiTheme="minorEastAsia" w:eastAsiaTheme="minorEastAsia"/>
          <w:szCs w:val="21"/>
        </w:rPr>
      </w:pPr>
      <w:r>
        <w:rPr>
          <w:rFonts w:hint="eastAsia" w:asciiTheme="minorEastAsia" w:hAnsiTheme="minorEastAsia" w:eastAsiaTheme="minorEastAsia"/>
          <w:sz w:val="24"/>
        </w:rPr>
        <w:t>6.法律法规规定的其他职责。</w:t>
      </w:r>
    </w:p>
    <w:p>
      <w:pPr>
        <w:pStyle w:val="16"/>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（一）在资格证明文件或商务与技术文件中出现投标报价的，或者报价文件中报价的货物跟商务与技术文件中的投标货物出现重大偏差的；</w:t>
      </w:r>
    </w:p>
    <w:p>
      <w:pPr>
        <w:pStyle w:val="16"/>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6"/>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7"/>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16"/>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7"/>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u w:val="single"/>
          <w:lang w:val="en-US" w:eastAsia="zh-CN"/>
        </w:rPr>
        <w:t>6</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6"/>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2"/>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rPr>
        <w:t>（十一）商务</w:t>
      </w:r>
      <w:r>
        <w:rPr>
          <w:rFonts w:hint="eastAsia" w:ascii="宋体" w:hAnsi="宋体" w:cs="宋体"/>
          <w:sz w:val="24"/>
          <w:szCs w:val="24"/>
        </w:rPr>
        <w:t>条款不响应的；</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（十二）投标文件有效期不足的；</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（十三）逾期或未按要求提交投标文件的；</w:t>
      </w:r>
    </w:p>
    <w:p>
      <w:pPr>
        <w:pStyle w:val="2"/>
        <w:spacing w:line="360" w:lineRule="auto"/>
        <w:ind w:firstLine="480" w:firstLineChars="200"/>
        <w:rPr>
          <w:rFonts w:asciiTheme="minorEastAsia" w:hAnsiTheme="minorEastAsia"/>
          <w:kern w:val="0"/>
          <w:sz w:val="24"/>
        </w:rPr>
      </w:pPr>
      <w:r>
        <w:rPr>
          <w:rFonts w:hint="eastAsia" w:asciiTheme="minorEastAsia" w:hAnsiTheme="minorEastAsia" w:eastAsiaTheme="minorEastAsia"/>
          <w:kern w:val="0"/>
          <w:sz w:val="24"/>
        </w:rPr>
        <w:t>（十四）其他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6"/>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6"/>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6"/>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6"/>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0"/>
        <w:snapToGrid w:val="0"/>
        <w:spacing w:line="360" w:lineRule="auto"/>
        <w:ind w:firstLine="482" w:firstLineChars="200"/>
        <w:rPr>
          <w:rFonts w:hAnsi="宋体" w:cs="宋体"/>
          <w:b/>
          <w:sz w:val="24"/>
        </w:rPr>
      </w:pPr>
      <w:r>
        <w:rPr>
          <w:rFonts w:hint="eastAsia" w:hAnsi="宋体" w:cs="宋体"/>
          <w:b/>
          <w:sz w:val="24"/>
        </w:rPr>
        <w:t>六、评标过程的监控</w:t>
      </w:r>
    </w:p>
    <w:p>
      <w:pPr>
        <w:pStyle w:val="16"/>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0"/>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见附件18</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r>
        <w:rPr>
          <w:rFonts w:hint="eastAsia" w:ascii="宋体"/>
          <w:sz w:val="24"/>
          <w:lang w:eastAsia="zh-CN"/>
        </w:rPr>
        <w:t>。</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18</w:t>
      </w:r>
      <w:r>
        <w:rPr>
          <w:rFonts w:hint="eastAsia" w:ascii="宋体"/>
          <w:sz w:val="24"/>
          <w:lang w:val="zh-CN"/>
        </w:rPr>
        <w:t>），视同小型、微型企业，享受小微企业政府采购优惠政策。</w:t>
      </w:r>
    </w:p>
    <w:p>
      <w:pPr>
        <w:pStyle w:val="7"/>
        <w:spacing w:line="360" w:lineRule="auto"/>
        <w:ind w:firstLine="480" w:firstLineChars="200"/>
        <w:jc w:val="both"/>
        <w:rPr>
          <w:rFonts w:hint="eastAsia" w:ascii="宋体" w:hAnsi="宋体" w:eastAsia="宋体" w:cs="宋体"/>
          <w:sz w:val="24"/>
          <w:lang w:eastAsia="zh-CN"/>
        </w:rPr>
      </w:pPr>
      <w:r>
        <w:rPr>
          <w:rFonts w:hint="eastAsia" w:ascii="宋体"/>
          <w:sz w:val="24"/>
        </w:rPr>
        <w:t>4.</w:t>
      </w:r>
      <w:r>
        <w:rPr>
          <w:rFonts w:hint="eastAsia" w:ascii="宋体" w:hAnsi="宋体" w:cs="宋体"/>
          <w:sz w:val="24"/>
        </w:rPr>
        <w:t>投标产品中有符合最新一期行政主管部门公布的“节能产品政府采购品目清单”、“环境标志产品政府采购品目清单”标准的节能环保产品，应提供所投产品由国家确定的认证机关出具的节能产品、环保产品有效认证证书</w:t>
      </w:r>
      <w:r>
        <w:rPr>
          <w:rFonts w:hint="eastAsia" w:ascii="宋体" w:hAnsi="宋体" w:cs="宋体"/>
          <w:sz w:val="24"/>
          <w:lang w:eastAsia="zh-CN"/>
        </w:rPr>
        <w:t>。</w:t>
      </w:r>
      <w:r>
        <w:rPr>
          <w:rFonts w:hint="eastAsia" w:ascii="宋体" w:hAnsi="宋体" w:cs="宋体"/>
          <w:sz w:val="24"/>
        </w:rPr>
        <w:t>【特别提示：节能和环境标志产品最新一期政府采购品目清单，可在“中国政府采购网”中查看】</w:t>
      </w:r>
    </w:p>
    <w:p>
      <w:pPr>
        <w:pStyle w:val="7"/>
        <w:spacing w:line="360" w:lineRule="auto"/>
        <w:ind w:firstLine="480" w:firstLineChars="200"/>
        <w:jc w:val="both"/>
        <w:rPr>
          <w:rFonts w:ascii="宋体" w:hAnsi="宋体" w:cs="宋体"/>
          <w:sz w:val="24"/>
        </w:rPr>
      </w:pPr>
      <w:r>
        <w:rPr>
          <w:rFonts w:hint="eastAsia" w:ascii="宋体" w:hAnsi="宋体" w:cs="宋体"/>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w:t>
      </w:r>
      <w:r>
        <w:rPr>
          <w:rFonts w:hint="eastAsia" w:ascii="宋体"/>
          <w:color w:val="000000"/>
          <w:sz w:val="24"/>
          <w:lang w:val="en-US" w:eastAsia="zh-CN"/>
        </w:rPr>
        <w:t>10</w:t>
      </w:r>
      <w:r>
        <w:rPr>
          <w:rFonts w:hint="eastAsia" w:ascii="宋体"/>
          <w:color w:val="000000"/>
          <w:sz w:val="24"/>
          <w:lang w:val="zh-CN"/>
        </w:rPr>
        <w:t>%-</w:t>
      </w:r>
      <w:r>
        <w:rPr>
          <w:rFonts w:hint="eastAsia" w:ascii="宋体"/>
          <w:color w:val="000000"/>
          <w:sz w:val="24"/>
          <w:lang w:val="en-US" w:eastAsia="zh-CN"/>
        </w:rPr>
        <w:t>2</w:t>
      </w:r>
      <w:r>
        <w:rPr>
          <w:rFonts w:hint="eastAsia" w:ascii="宋体"/>
          <w:color w:val="000000"/>
          <w:sz w:val="24"/>
          <w:lang w:val="zh-CN"/>
        </w:rPr>
        <w:t>0%的扣除，用扣除后的价格计算评标基准价和投标报价。联合体各方均为小微企业的，联合体视同为小微企业，</w:t>
      </w:r>
      <w:r>
        <w:rPr>
          <w:rFonts w:hint="eastAsia" w:ascii="宋体"/>
          <w:color w:val="000000"/>
          <w:sz w:val="24"/>
        </w:rPr>
        <w:t>对报价</w:t>
      </w:r>
      <w:r>
        <w:rPr>
          <w:rFonts w:hint="eastAsia" w:ascii="宋体"/>
          <w:color w:val="000000"/>
          <w:sz w:val="24"/>
          <w:lang w:val="zh-CN"/>
        </w:rPr>
        <w:t>给予</w:t>
      </w:r>
      <w:r>
        <w:rPr>
          <w:rFonts w:hint="eastAsia" w:ascii="宋体"/>
          <w:color w:val="000000"/>
          <w:sz w:val="24"/>
          <w:lang w:val="en-US" w:eastAsia="zh-CN"/>
        </w:rPr>
        <w:t>10</w:t>
      </w:r>
      <w:r>
        <w:rPr>
          <w:rFonts w:hint="eastAsia" w:ascii="宋体"/>
          <w:color w:val="000000"/>
          <w:sz w:val="24"/>
          <w:lang w:val="zh-CN"/>
        </w:rPr>
        <w:t>%-</w:t>
      </w:r>
      <w:r>
        <w:rPr>
          <w:rFonts w:hint="eastAsia" w:ascii="宋体"/>
          <w:color w:val="000000"/>
          <w:sz w:val="24"/>
          <w:lang w:val="en-US" w:eastAsia="zh-CN"/>
        </w:rPr>
        <w:t>2</w:t>
      </w:r>
      <w:r>
        <w:rPr>
          <w:rFonts w:hint="eastAsia" w:ascii="宋体"/>
          <w:color w:val="000000"/>
          <w:sz w:val="24"/>
          <w:lang w:val="zh-CN"/>
        </w:rPr>
        <w:t>0%的扣除；联合协议或者分包意向协议约定小微企业的合同份额占到合同总金额30%以上的，</w:t>
      </w:r>
      <w:r>
        <w:rPr>
          <w:rFonts w:hint="eastAsia" w:ascii="宋体"/>
          <w:color w:val="000000"/>
          <w:sz w:val="24"/>
        </w:rPr>
        <w:t>对报价</w:t>
      </w:r>
      <w:r>
        <w:rPr>
          <w:rFonts w:hint="eastAsia" w:ascii="宋体"/>
          <w:color w:val="000000"/>
          <w:sz w:val="24"/>
          <w:lang w:val="zh-CN"/>
        </w:rPr>
        <w:t>给予</w:t>
      </w:r>
      <w:r>
        <w:rPr>
          <w:rFonts w:hint="eastAsia" w:ascii="宋体"/>
          <w:color w:val="000000"/>
          <w:sz w:val="24"/>
          <w:lang w:val="en-US" w:eastAsia="zh-CN"/>
        </w:rPr>
        <w:t>4</w:t>
      </w:r>
      <w:r>
        <w:rPr>
          <w:rFonts w:hint="eastAsia" w:ascii="宋体"/>
          <w:color w:val="000000"/>
          <w:sz w:val="24"/>
          <w:lang w:val="zh-CN"/>
        </w:rPr>
        <w:t>%</w:t>
      </w:r>
      <w:r>
        <w:rPr>
          <w:rFonts w:hint="eastAsia" w:ascii="宋体"/>
          <w:color w:val="000000"/>
          <w:sz w:val="24"/>
        </w:rPr>
        <w:t>-</w:t>
      </w:r>
      <w:r>
        <w:rPr>
          <w:rFonts w:hint="eastAsia" w:ascii="宋体"/>
          <w:color w:val="000000"/>
          <w:sz w:val="24"/>
          <w:lang w:val="en-US" w:eastAsia="zh-CN"/>
        </w:rPr>
        <w:t>6</w:t>
      </w:r>
      <w:r>
        <w:rPr>
          <w:rFonts w:hint="eastAsia" w:ascii="宋体"/>
          <w:color w:val="000000"/>
          <w:sz w:val="24"/>
        </w:rPr>
        <w:t>%</w:t>
      </w:r>
      <w:r>
        <w:rPr>
          <w:rFonts w:hint="eastAsia" w:ascii="宋体"/>
          <w:color w:val="000000"/>
          <w:sz w:val="24"/>
          <w:lang w:val="zh-CN"/>
        </w:rPr>
        <w:t>的价格扣除，用扣除后的价格计算评标基准价和响应报价</w:t>
      </w:r>
      <w:r>
        <w:rPr>
          <w:rFonts w:hint="eastAsia" w:ascii="宋体"/>
          <w:sz w:val="24"/>
          <w:lang w:val="zh-CN"/>
        </w:rPr>
        <w:t>。同一投标人（包括联合体），小微企业、监狱企业、残疾人福利性单位价格扣除优惠只享受一次，不得重复享受。</w:t>
      </w:r>
    </w:p>
    <w:p>
      <w:pPr>
        <w:pStyle w:val="10"/>
        <w:snapToGrid w:val="0"/>
        <w:spacing w:line="360" w:lineRule="auto"/>
        <w:ind w:firstLine="482" w:firstLineChars="200"/>
        <w:rPr>
          <w:rFonts w:hAnsi="宋体" w:cs="宋体"/>
          <w:b/>
          <w:bCs/>
          <w:sz w:val="24"/>
        </w:rPr>
      </w:pPr>
      <w:r>
        <w:rPr>
          <w:rFonts w:hint="eastAsia" w:hAnsi="宋体" w:cs="宋体"/>
          <w:b/>
          <w:bCs/>
          <w:sz w:val="24"/>
        </w:rPr>
        <w:t>八、评标程序</w:t>
      </w:r>
    </w:p>
    <w:p>
      <w:pPr>
        <w:snapToGrid w:val="0"/>
        <w:spacing w:line="360" w:lineRule="auto"/>
        <w:ind w:firstLine="482" w:firstLineChars="200"/>
        <w:rPr>
          <w:rFonts w:ascii="宋体" w:hAnsi="宋体" w:cs="宋体"/>
          <w:b/>
          <w:bCs/>
          <w:sz w:val="24"/>
        </w:rPr>
      </w:pPr>
      <w:r>
        <w:rPr>
          <w:rFonts w:hint="eastAsia" w:ascii="宋体" w:hAnsi="宋体" w:cs="宋体"/>
          <w:b/>
          <w:bCs/>
          <w:sz w:val="24"/>
        </w:rPr>
        <w:t>（一）资格性审查</w:t>
      </w:r>
    </w:p>
    <w:p>
      <w:pPr>
        <w:pStyle w:val="7"/>
        <w:spacing w:line="360" w:lineRule="auto"/>
        <w:ind w:firstLine="480" w:firstLineChars="200"/>
        <w:jc w:val="both"/>
        <w:rPr>
          <w:rFonts w:hint="eastAsia" w:ascii="宋体" w:hAnsi="宋体" w:cs="宋体"/>
          <w:sz w:val="24"/>
        </w:rPr>
      </w:pPr>
      <w:r>
        <w:rPr>
          <w:rFonts w:hint="eastAsia" w:ascii="宋体" w:hAnsi="宋体" w:cs="宋体"/>
          <w:sz w:val="24"/>
        </w:rPr>
        <w:t>投标文件解密后，采购人或采购组织机构依法对投标人的资格进行审查，对审查发现无效的进行必要的询问，在政采云平台公布无效投标的投标人名单、投标无效的原因。</w:t>
      </w:r>
    </w:p>
    <w:tbl>
      <w:tblPr>
        <w:tblStyle w:val="19"/>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投标时提交有效的营业执照（或事业法人登记证或身份证等相关证明）扫描件（以联合体形式投标时，联合体各方均须满足该条款），法定代表人委托办理招标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s="宋体"/>
                <w:sz w:val="21"/>
                <w:szCs w:val="21"/>
                <w:lang w:eastAsia="zh-CN"/>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按投标文件格式填报设备及专业技术能力情况（根据附件</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没有税收缴纳、社会保障等方面的失信记录的承诺函（以联合体形式投标时，联合体各方均须满足该条款）。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2.信用信息查询记录和证据留存的具体方式：由采购组织机构在规定查询时间内打印信用信息查询记录并归入项目档案。</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3.投标（报价）文件相关承诺要求内容（以联合体形式投标时，联合体各方均须满足该条款）。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若</w:t>
            </w:r>
            <w:r>
              <w:rPr>
                <w:rFonts w:hint="eastAsia" w:ascii="宋体" w:hAnsi="宋体" w:eastAsia="宋体" w:cs="宋体"/>
                <w:color w:val="000000" w:themeColor="text1"/>
                <w:sz w:val="21"/>
                <w:szCs w:val="21"/>
                <w14:textFill>
                  <w14:solidFill>
                    <w14:schemeClr w14:val="tx1"/>
                  </w14:solidFill>
                </w14:textFill>
              </w:rPr>
              <w:t>以联合体形式投标时，</w:t>
            </w:r>
            <w:r>
              <w:rPr>
                <w:rFonts w:hint="eastAsia" w:ascii="宋体" w:hAnsi="宋体" w:eastAsia="宋体" w:cs="宋体"/>
                <w:color w:val="000000" w:themeColor="text1"/>
                <w:sz w:val="21"/>
                <w:szCs w:val="21"/>
                <w:lang w:eastAsia="zh-CN"/>
                <w14:textFill>
                  <w14:solidFill>
                    <w14:schemeClr w14:val="tx1"/>
                  </w14:solidFill>
                </w14:textFill>
              </w:rPr>
              <w:t>需将</w:t>
            </w:r>
            <w:r>
              <w:rPr>
                <w:rFonts w:hint="eastAsia" w:ascii="宋体" w:hAnsi="宋体" w:eastAsia="宋体" w:cs="宋体"/>
                <w:color w:val="000000" w:themeColor="text1"/>
                <w:sz w:val="21"/>
                <w:szCs w:val="21"/>
                <w14:textFill>
                  <w14:solidFill>
                    <w14:schemeClr w14:val="tx1"/>
                  </w14:solidFill>
                </w14:textFill>
              </w:rPr>
              <w:t>《联合体共同投标协议书》</w:t>
            </w:r>
            <w:r>
              <w:rPr>
                <w:rFonts w:hint="eastAsia" w:ascii="宋体" w:hAnsi="宋体" w:eastAsia="宋体" w:cs="宋体"/>
                <w:color w:val="000000" w:themeColor="text1"/>
                <w:sz w:val="21"/>
                <w:szCs w:val="21"/>
                <w:lang w:eastAsia="zh-CN"/>
                <w14:textFill>
                  <w14:solidFill>
                    <w14:schemeClr w14:val="tx1"/>
                  </w14:solidFill>
                </w14:textFill>
              </w:rPr>
              <w:t>作入标书</w:t>
            </w: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pacing w:val="0"/>
                <w:w w:val="10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落实政府采购政策需满足的资格要求</w:t>
            </w:r>
          </w:p>
        </w:tc>
        <w:tc>
          <w:tcPr>
            <w:tcW w:w="7495" w:type="dxa"/>
            <w:shd w:val="clear" w:color="auto" w:fill="auto"/>
            <w:tcMar>
              <w:top w:w="57" w:type="dxa"/>
              <w:left w:w="108" w:type="dxa"/>
              <w:bottom w:w="0" w:type="dxa"/>
              <w:right w:w="108" w:type="dxa"/>
            </w:tcMar>
            <w:vAlign w:val="center"/>
          </w:tcPr>
          <w:p>
            <w:pPr>
              <w:rPr>
                <w:rFonts w:hint="eastAsia" w:ascii="宋体" w:hAnsi="宋体" w:eastAsia="宋体" w:cs="宋体"/>
                <w:color w:val="000000" w:themeColor="text1"/>
                <w:sz w:val="21"/>
                <w:szCs w:val="21"/>
                <w14:textFill>
                  <w14:solidFill>
                    <w14:schemeClr w14:val="tx1"/>
                  </w14:solidFill>
                </w14:textFill>
              </w:rPr>
            </w:pP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根据实际情形设置。</w:t>
            </w:r>
          </w:p>
          <w:p>
            <w:pPr>
              <w:rPr>
                <w:rFonts w:hint="eastAsia" w:ascii="宋体" w:hAnsi="宋体" w:eastAsia="宋体" w:cs="宋体"/>
                <w:color w:val="000000" w:themeColor="text1"/>
                <w:spacing w:val="0"/>
                <w:w w:val="100"/>
                <w:sz w:val="21"/>
                <w:szCs w:val="21"/>
                <w14:textFill>
                  <w14:solidFill>
                    <w14:schemeClr w14:val="tx1"/>
                  </w14:solidFill>
                </w14:textFill>
              </w:rPr>
            </w:pPr>
          </w:p>
        </w:tc>
      </w:tr>
    </w:tbl>
    <w:p>
      <w:pPr>
        <w:pStyle w:val="7"/>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7"/>
        <w:spacing w:line="360" w:lineRule="auto"/>
        <w:ind w:firstLine="480" w:firstLineChars="200"/>
        <w:jc w:val="both"/>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评标委员会应当对符合资格的投标人的投标文件进行符合性审查，以确定其是否满足招标文件的实质性要求，对审查发现无效的进行必要的询</w:t>
      </w:r>
      <w:r>
        <w:rPr>
          <w:rFonts w:hint="eastAsia" w:asciiTheme="minorEastAsia" w:hAnsiTheme="minorEastAsia" w:eastAsiaTheme="minorEastAsia"/>
          <w:sz w:val="24"/>
        </w:rPr>
        <w:t>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p>
    <w:tbl>
      <w:tblPr>
        <w:tblStyle w:val="19"/>
        <w:tblpPr w:leftFromText="181" w:rightFromText="181" w:bottomFromText="170" w:vertAnchor="text" w:tblpXSpec="center" w:tblpY="1"/>
        <w:tblOverlap w:val="never"/>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2"/>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52"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投标文件</w:t>
            </w:r>
          </w:p>
        </w:tc>
        <w:tc>
          <w:tcPr>
            <w:tcW w:w="7226"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投标文件完整且编排有序，投标内容基本完整，无重大错漏，并按要求签署、盖章。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52"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法定代表人/负责人授权委托书</w:t>
            </w:r>
          </w:p>
        </w:tc>
        <w:tc>
          <w:tcPr>
            <w:tcW w:w="7226"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法定代表人/负责人授权委托书，按对应格式文件签署、盖章。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52"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“▲”实质性条款</w:t>
            </w:r>
          </w:p>
        </w:tc>
        <w:tc>
          <w:tcPr>
            <w:tcW w:w="7226"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52"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串通投标</w:t>
            </w:r>
          </w:p>
        </w:tc>
        <w:tc>
          <w:tcPr>
            <w:tcW w:w="7226"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52"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附加条件</w:t>
            </w:r>
          </w:p>
        </w:tc>
        <w:tc>
          <w:tcPr>
            <w:tcW w:w="7226"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投标文件未含有采购人不可接受的附加条件。</w:t>
            </w:r>
          </w:p>
        </w:tc>
      </w:tr>
    </w:tbl>
    <w:p>
      <w:pPr>
        <w:pStyle w:val="7"/>
        <w:spacing w:line="360" w:lineRule="auto"/>
        <w:ind w:firstLine="482" w:firstLineChars="200"/>
        <w:jc w:val="both"/>
        <w:rPr>
          <w:rFonts w:hint="default" w:asciiTheme="minorEastAsia" w:hAnsiTheme="minorEastAsia" w:eastAsiaTheme="minorEastAsia"/>
          <w:b/>
          <w:bCs/>
          <w:sz w:val="24"/>
        </w:rPr>
      </w:pPr>
      <w:r>
        <w:rPr>
          <w:rFonts w:hint="eastAsia" w:asciiTheme="minorEastAsia" w:hAnsiTheme="minorEastAsia" w:eastAsiaTheme="minorEastAsia"/>
          <w:b/>
          <w:bCs/>
          <w:sz w:val="24"/>
        </w:rPr>
        <w:t>（三）商务技术及价格评审</w:t>
      </w:r>
    </w:p>
    <w:p>
      <w:pPr>
        <w:autoSpaceDE w:val="0"/>
        <w:autoSpaceDN w:val="0"/>
        <w:spacing w:line="360" w:lineRule="auto"/>
        <w:ind w:firstLine="480" w:firstLineChars="200"/>
        <w:rPr>
          <w:rFonts w:asciiTheme="minorEastAsia" w:hAnsiTheme="minorEastAsia" w:eastAsiaTheme="minorEastAsia"/>
          <w:sz w:val="24"/>
        </w:rPr>
      </w:pPr>
      <w:r>
        <w:rPr>
          <w:rFonts w:hint="eastAsia" w:ascii="宋体" w:hAnsi="宋体" w:cs="宋体"/>
          <w:sz w:val="24"/>
          <w:u w:val="none"/>
          <w:lang w:val="en-US" w:eastAsia="zh-CN"/>
        </w:rPr>
        <w:t>本</w:t>
      </w:r>
      <w:r>
        <w:rPr>
          <w:rFonts w:hint="eastAsia" w:asciiTheme="minorEastAsia" w:hAnsiTheme="minorEastAsia" w:eastAsiaTheme="minorEastAsia"/>
          <w:kern w:val="0"/>
          <w:sz w:val="24"/>
        </w:rPr>
        <w:t>项目评标方法为综合评分法，总计100分，评标按以下标准及要求进行：</w:t>
      </w:r>
    </w:p>
    <w:p>
      <w:pPr>
        <w:autoSpaceDE w:val="0"/>
        <w:autoSpaceDN w:val="0"/>
        <w:adjustRightInd w:val="0"/>
        <w:spacing w:line="360" w:lineRule="auto"/>
        <w:ind w:firstLine="482" w:firstLineChars="200"/>
        <w:rPr>
          <w:rFonts w:ascii="宋体"/>
          <w:b/>
          <w:bCs/>
          <w:sz w:val="24"/>
        </w:rPr>
      </w:pPr>
      <w:r>
        <w:rPr>
          <w:rFonts w:hint="eastAsia" w:ascii="宋体"/>
          <w:b/>
          <w:bCs/>
          <w:sz w:val="24"/>
        </w:rPr>
        <w:t>1.评分标准</w:t>
      </w:r>
    </w:p>
    <w:tbl>
      <w:tblPr>
        <w:tblStyle w:val="19"/>
        <w:tblpPr w:leftFromText="181" w:rightFromText="181" w:bottomFromText="170" w:vertAnchor="text" w:tblpXSpec="center" w:tblpY="1"/>
        <w:tblOverlap w:val="never"/>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7068"/>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286" w:type="dxa"/>
            <w:shd w:val="clear" w:color="auto" w:fill="BEBEBE" w:themeFill="background1" w:themeFillShade="BF"/>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评分项目</w:t>
            </w:r>
          </w:p>
        </w:tc>
        <w:tc>
          <w:tcPr>
            <w:tcW w:w="7068" w:type="dxa"/>
            <w:shd w:val="clear" w:color="auto" w:fill="BEBEBE" w:themeFill="background1" w:themeFillShade="BF"/>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评分细则</w:t>
            </w:r>
          </w:p>
        </w:tc>
        <w:tc>
          <w:tcPr>
            <w:tcW w:w="664" w:type="dxa"/>
            <w:shd w:val="clear" w:color="auto" w:fill="BEBEBE" w:themeFill="background1" w:themeFillShade="BF"/>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286" w:type="dxa"/>
            <w:vMerge w:val="restart"/>
            <w:tcMar>
              <w:top w:w="57" w:type="dxa"/>
              <w:left w:w="108" w:type="dxa"/>
              <w:bottom w:w="0" w:type="dxa"/>
              <w:right w:w="108" w:type="dxa"/>
            </w:tcMar>
            <w:vAlign w:val="center"/>
          </w:tcPr>
          <w:p>
            <w:pPr>
              <w:pStyle w:val="2"/>
              <w:ind w:firstLine="0"/>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技术性能</w:t>
            </w:r>
          </w:p>
          <w:p>
            <w:pPr>
              <w:jc w:val="center"/>
              <w:rPr>
                <w:rFonts w:hint="eastAsia" w:asciiTheme="minorEastAsia" w:hAnsiTheme="minorEastAsia" w:eastAsiaTheme="minorEastAsia" w:cstheme="minorEastAsia"/>
                <w:b/>
                <w:bCs/>
                <w:sz w:val="21"/>
                <w:szCs w:val="21"/>
              </w:rPr>
            </w:pPr>
            <w:r>
              <w:rPr>
                <w:rFonts w:hint="eastAsia" w:ascii="宋体" w:hAnsi="宋体" w:cs="宋体"/>
                <w:bCs/>
                <w:szCs w:val="18"/>
              </w:rPr>
              <w:t>4</w:t>
            </w:r>
            <w:r>
              <w:rPr>
                <w:rFonts w:hint="eastAsia" w:ascii="宋体" w:hAnsi="宋体" w:cs="宋体"/>
                <w:bCs/>
                <w:szCs w:val="18"/>
                <w:lang w:val="en-US" w:eastAsia="zh-CN"/>
              </w:rPr>
              <w:t>9</w:t>
            </w:r>
            <w:r>
              <w:rPr>
                <w:rFonts w:hint="eastAsia" w:asciiTheme="minorEastAsia" w:hAnsiTheme="minorEastAsia" w:eastAsiaTheme="minorEastAsia" w:cstheme="minorEastAsia"/>
                <w:b/>
                <w:bCs/>
                <w:sz w:val="21"/>
                <w:szCs w:val="21"/>
              </w:rPr>
              <w:t>分</w:t>
            </w:r>
          </w:p>
        </w:tc>
        <w:tc>
          <w:tcPr>
            <w:tcW w:w="7068" w:type="dxa"/>
            <w:tcMar>
              <w:top w:w="57"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根据投标人对招标方案需求的理解、提供的项目实现思路、体系构架、功能模块等进行综合打分：</w:t>
            </w:r>
          </w:p>
          <w:p>
            <w:pPr>
              <w:pStyle w:val="7"/>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①对项目的实现思路、体系架构齐全，包含了招标需求中的全部内容，对具体的实施方案作出了详细、准确的阐述，且项目方案贴合实际的得9-6分；</w:t>
            </w:r>
          </w:p>
          <w:p>
            <w:pPr>
              <w:pStyle w:val="7"/>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②对项目的实现思路、体系架构较齐全，包含了招标需求中的大部分内容，对具体的实施方案作出了详细、准确的阐述，但方案没有针对项目的实际情况的得5.9-3分；</w:t>
            </w:r>
          </w:p>
          <w:p>
            <w:pPr>
              <w:pStyle w:val="7"/>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③对项目的实现思路、体系架构只包含了招标需求中的部分内容，实施方案不明确，没有针对实际情况的得2.9-1分；</w:t>
            </w:r>
          </w:p>
          <w:p>
            <w:pPr>
              <w:pStyle w:val="7"/>
              <w:rPr>
                <w:rFonts w:hint="eastAsia" w:asciiTheme="minorEastAsia" w:hAnsiTheme="minorEastAsia" w:eastAsiaTheme="minorEastAsia" w:cstheme="minorEastAsia"/>
                <w:sz w:val="21"/>
                <w:szCs w:val="21"/>
              </w:rPr>
            </w:pPr>
            <w:r>
              <w:rPr>
                <w:rFonts w:hint="eastAsia" w:ascii="宋体" w:hAnsi="宋体" w:cs="宋体"/>
                <w:szCs w:val="21"/>
              </w:rPr>
              <w:t>④未提及此项的不得分。</w:t>
            </w:r>
          </w:p>
        </w:tc>
        <w:tc>
          <w:tcPr>
            <w:tcW w:w="66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286" w:type="dxa"/>
            <w:vMerge w:val="continue"/>
            <w:tcMar>
              <w:top w:w="57" w:type="dxa"/>
              <w:left w:w="108" w:type="dxa"/>
              <w:bottom w:w="0" w:type="dxa"/>
              <w:right w:w="108" w:type="dxa"/>
            </w:tcMar>
            <w:vAlign w:val="center"/>
          </w:tcPr>
          <w:p>
            <w:pPr>
              <w:jc w:val="center"/>
              <w:rPr>
                <w:rFonts w:hint="eastAsia" w:asciiTheme="minorEastAsia" w:hAnsiTheme="minorEastAsia" w:eastAsiaTheme="minorEastAsia" w:cstheme="minorEastAsia"/>
                <w:b/>
                <w:bCs/>
                <w:sz w:val="21"/>
                <w:szCs w:val="21"/>
              </w:rPr>
            </w:pPr>
          </w:p>
        </w:tc>
        <w:tc>
          <w:tcPr>
            <w:tcW w:w="7068" w:type="dxa"/>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left"/>
              <w:rPr>
                <w:rFonts w:hint="eastAsia"/>
                <w:color w:val="auto"/>
                <w:lang w:eastAsia="zh-CN"/>
              </w:rPr>
            </w:pPr>
            <w:r>
              <w:rPr>
                <w:rFonts w:hint="eastAsia"/>
                <w:color w:val="auto"/>
                <w:lang w:eastAsia="zh-CN"/>
              </w:rPr>
              <w:t>投标人已提供</w:t>
            </w:r>
            <w:r>
              <w:rPr>
                <w:rFonts w:hint="eastAsia"/>
                <w:color w:val="auto"/>
              </w:rPr>
              <w:t>与台州市公安局高清指挥系统MCU兼容</w:t>
            </w:r>
            <w:r>
              <w:rPr>
                <w:rFonts w:hint="eastAsia"/>
                <w:color w:val="auto"/>
                <w:lang w:eastAsia="zh-CN"/>
              </w:rPr>
              <w:t>、</w:t>
            </w:r>
            <w:r>
              <w:rPr>
                <w:rFonts w:hint="eastAsia"/>
                <w:color w:val="auto"/>
                <w:lang w:val="en-US" w:eastAsia="zh-CN"/>
              </w:rPr>
              <w:t>可</w:t>
            </w:r>
            <w:r>
              <w:rPr>
                <w:rFonts w:hint="eastAsia"/>
                <w:color w:val="auto"/>
              </w:rPr>
              <w:t>与现有视频指挥终端设备互换</w:t>
            </w:r>
            <w:r>
              <w:rPr>
                <w:rFonts w:hint="eastAsia"/>
                <w:color w:val="auto"/>
                <w:lang w:eastAsia="zh-CN"/>
              </w:rPr>
              <w:t>的承诺函，</w:t>
            </w:r>
            <w:r>
              <w:rPr>
                <w:rFonts w:hint="eastAsia"/>
                <w:color w:val="auto"/>
              </w:rPr>
              <w:t>根据所投产品与台州市公安局高清指挥系统MCU兼容、现有视频指挥终端设备互换等</w:t>
            </w:r>
            <w:r>
              <w:rPr>
                <w:rFonts w:hint="eastAsia"/>
                <w:color w:val="auto"/>
                <w:lang w:eastAsia="zh-CN"/>
              </w:rPr>
              <w:t>方案进行打分：</w:t>
            </w:r>
          </w:p>
          <w:p>
            <w:pPr>
              <w:pStyle w:val="2"/>
              <w:rPr>
                <w:rFonts w:hint="eastAsia"/>
                <w:color w:val="auto"/>
                <w:lang w:val="en-US" w:eastAsia="zh-CN"/>
              </w:rPr>
            </w:pPr>
            <w:r>
              <w:rPr>
                <w:rFonts w:hint="eastAsia" w:ascii="宋体" w:hAnsi="宋体" w:cs="宋体"/>
                <w:color w:val="auto"/>
                <w:szCs w:val="21"/>
              </w:rPr>
              <w:t>①</w:t>
            </w:r>
            <w:r>
              <w:rPr>
                <w:rFonts w:hint="eastAsia" w:ascii="宋体" w:hAnsi="宋体" w:eastAsiaTheme="minorEastAsia" w:cstheme="minorBidi"/>
                <w:b w:val="0"/>
                <w:bCs w:val="0"/>
                <w:color w:val="auto"/>
                <w:kern w:val="2"/>
                <w:sz w:val="21"/>
                <w:szCs w:val="21"/>
                <w:lang w:val="en-US" w:eastAsia="zh-CN" w:bidi="ar-SA"/>
              </w:rPr>
              <w:t>方案逻辑清晰、完整详实、可操作性强，</w:t>
            </w:r>
            <w:r>
              <w:rPr>
                <w:rFonts w:hint="eastAsia"/>
                <w:color w:val="auto"/>
                <w:lang w:eastAsia="zh-CN"/>
              </w:rPr>
              <w:t>得</w:t>
            </w:r>
            <w:r>
              <w:rPr>
                <w:rFonts w:hint="eastAsia"/>
                <w:color w:val="auto"/>
                <w:lang w:val="en-US" w:eastAsia="zh-CN"/>
              </w:rPr>
              <w:t>7-6分；</w:t>
            </w:r>
          </w:p>
          <w:p>
            <w:pPr>
              <w:keepNext w:val="0"/>
              <w:keepLines w:val="0"/>
              <w:suppressLineNumbers w:val="0"/>
              <w:spacing w:before="0" w:beforeAutospacing="0" w:after="0" w:afterAutospacing="0"/>
              <w:ind w:left="0" w:right="0" w:firstLine="420" w:firstLineChars="200"/>
              <w:jc w:val="left"/>
              <w:rPr>
                <w:rFonts w:hint="default" w:ascii="宋体" w:hAnsi="宋体" w:cs="宋体"/>
                <w:color w:val="auto"/>
                <w:szCs w:val="21"/>
              </w:rPr>
            </w:pPr>
            <w:r>
              <w:rPr>
                <w:rFonts w:hint="eastAsia" w:ascii="宋体" w:hAnsi="宋体" w:cs="宋体"/>
                <w:color w:val="auto"/>
                <w:szCs w:val="21"/>
              </w:rPr>
              <w:t>②方案合理、</w:t>
            </w:r>
            <w:r>
              <w:rPr>
                <w:rFonts w:hint="eastAsia" w:ascii="宋体" w:hAnsi="宋体"/>
                <w:color w:val="auto"/>
                <w:kern w:val="0"/>
                <w:szCs w:val="21"/>
              </w:rPr>
              <w:t>内容常规、操作性一般</w:t>
            </w:r>
            <w:r>
              <w:rPr>
                <w:rFonts w:hint="eastAsia" w:ascii="宋体" w:hAnsi="宋体" w:cs="宋体"/>
                <w:color w:val="auto"/>
                <w:szCs w:val="21"/>
              </w:rPr>
              <w:t>的得</w:t>
            </w:r>
            <w:r>
              <w:rPr>
                <w:rFonts w:hint="eastAsia" w:ascii="宋体" w:hAnsi="宋体" w:cs="宋体"/>
                <w:color w:val="auto"/>
                <w:szCs w:val="21"/>
                <w:lang w:val="en-US" w:eastAsia="zh-CN"/>
              </w:rPr>
              <w:t>5-4</w:t>
            </w:r>
            <w:r>
              <w:rPr>
                <w:rFonts w:hint="eastAsia" w:ascii="宋体" w:hAnsi="宋体" w:cs="宋体"/>
                <w:color w:val="auto"/>
                <w:szCs w:val="21"/>
              </w:rPr>
              <w:t>分；</w:t>
            </w:r>
          </w:p>
          <w:p>
            <w:pPr>
              <w:pStyle w:val="2"/>
              <w:rPr>
                <w:rFonts w:hint="eastAsia" w:ascii="宋体" w:hAnsi="宋体" w:cs="宋体"/>
                <w:color w:val="auto"/>
                <w:szCs w:val="21"/>
              </w:rPr>
            </w:pPr>
            <w:r>
              <w:rPr>
                <w:rFonts w:hint="eastAsia" w:ascii="宋体" w:hAnsi="宋体" w:cs="宋体"/>
                <w:color w:val="auto"/>
                <w:szCs w:val="21"/>
              </w:rPr>
              <w:t>③方案粗糙、</w:t>
            </w:r>
            <w:r>
              <w:rPr>
                <w:rFonts w:hint="eastAsia" w:ascii="宋体" w:hAnsi="宋体"/>
                <w:color w:val="auto"/>
                <w:kern w:val="0"/>
                <w:szCs w:val="21"/>
              </w:rPr>
              <w:t>内容缺漏、操作性差</w:t>
            </w:r>
            <w:r>
              <w:rPr>
                <w:rFonts w:hint="eastAsia" w:ascii="宋体" w:hAnsi="宋体" w:cs="宋体"/>
                <w:color w:val="auto"/>
                <w:szCs w:val="21"/>
              </w:rPr>
              <w:t>的</w:t>
            </w:r>
            <w:r>
              <w:rPr>
                <w:rFonts w:hint="eastAsia" w:ascii="宋体" w:hAnsi="宋体" w:cs="宋体"/>
                <w:b w:val="0"/>
                <w:bCs w:val="0"/>
                <w:color w:val="auto"/>
                <w:szCs w:val="21"/>
              </w:rPr>
              <w:t>得</w:t>
            </w:r>
            <w:r>
              <w:rPr>
                <w:rFonts w:hint="eastAsia" w:ascii="宋体" w:hAnsi="宋体" w:cs="宋体"/>
                <w:b w:val="0"/>
                <w:bCs w:val="0"/>
                <w:color w:val="auto"/>
                <w:szCs w:val="21"/>
                <w:lang w:val="en-US" w:eastAsia="zh-CN"/>
              </w:rPr>
              <w:t>3-2</w:t>
            </w:r>
            <w:r>
              <w:rPr>
                <w:rFonts w:hint="eastAsia" w:ascii="宋体" w:hAnsi="宋体" w:cs="宋体"/>
                <w:b w:val="0"/>
                <w:bCs w:val="0"/>
                <w:color w:val="auto"/>
                <w:szCs w:val="21"/>
              </w:rPr>
              <w:t>分。</w:t>
            </w:r>
          </w:p>
          <w:p>
            <w:pPr>
              <w:pStyle w:val="2"/>
              <w:rPr>
                <w:rFonts w:hint="eastAsia" w:ascii="宋体" w:hAnsi="宋体" w:eastAsia="宋体" w:cs="宋体"/>
                <w:color w:val="auto"/>
                <w:szCs w:val="21"/>
                <w:lang w:val="en-US" w:eastAsia="zh-CN"/>
              </w:rPr>
            </w:pPr>
            <w:r>
              <w:rPr>
                <w:rFonts w:hint="eastAsia" w:ascii="宋体" w:hAnsi="宋体" w:cs="宋体"/>
                <w:color w:val="auto"/>
                <w:szCs w:val="21"/>
              </w:rPr>
              <w:t>④</w:t>
            </w:r>
            <w:r>
              <w:rPr>
                <w:rFonts w:hint="eastAsia" w:ascii="宋体" w:hAnsi="宋体" w:cs="宋体"/>
                <w:color w:val="auto"/>
                <w:szCs w:val="21"/>
                <w:lang w:eastAsia="zh-CN"/>
              </w:rPr>
              <w:t>方案差的得</w:t>
            </w:r>
            <w:r>
              <w:rPr>
                <w:rFonts w:hint="eastAsia" w:ascii="宋体" w:hAnsi="宋体" w:cs="宋体"/>
                <w:color w:val="auto"/>
                <w:szCs w:val="21"/>
                <w:lang w:val="en-US" w:eastAsia="zh-CN"/>
              </w:rPr>
              <w:t>1-0分，</w:t>
            </w:r>
            <w:r>
              <w:rPr>
                <w:rFonts w:hint="eastAsia" w:ascii="宋体" w:hAnsi="宋体" w:cs="宋体"/>
                <w:color w:val="auto"/>
                <w:szCs w:val="21"/>
              </w:rPr>
              <w:t>未提及此项的不得分。</w:t>
            </w:r>
          </w:p>
        </w:tc>
        <w:tc>
          <w:tcPr>
            <w:tcW w:w="664" w:type="dxa"/>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21"/>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86" w:type="dxa"/>
            <w:vMerge w:val="continue"/>
            <w:tcMar>
              <w:top w:w="57" w:type="dxa"/>
              <w:left w:w="108" w:type="dxa"/>
              <w:bottom w:w="0" w:type="dxa"/>
              <w:right w:w="108" w:type="dxa"/>
            </w:tcMar>
            <w:vAlign w:val="center"/>
          </w:tcPr>
          <w:p>
            <w:pPr>
              <w:jc w:val="center"/>
              <w:rPr>
                <w:rFonts w:hint="eastAsia" w:asciiTheme="minorEastAsia" w:hAnsiTheme="minorEastAsia" w:eastAsiaTheme="minorEastAsia" w:cstheme="minorEastAsia"/>
                <w:b/>
                <w:bCs/>
                <w:sz w:val="21"/>
                <w:szCs w:val="21"/>
              </w:rPr>
            </w:pPr>
          </w:p>
        </w:tc>
        <w:tc>
          <w:tcPr>
            <w:tcW w:w="7068" w:type="dxa"/>
            <w:tcMar>
              <w:top w:w="57" w:type="dxa"/>
              <w:left w:w="108" w:type="dxa"/>
              <w:bottom w:w="0" w:type="dxa"/>
              <w:right w:w="108" w:type="dxa"/>
            </w:tcMar>
            <w:vAlign w:val="center"/>
          </w:tcPr>
          <w:p>
            <w:pPr>
              <w:keepNext w:val="0"/>
              <w:keepLines w:val="0"/>
              <w:suppressLineNumbers w:val="0"/>
              <w:spacing w:before="0" w:beforeAutospacing="0" w:after="0" w:afterAutospacing="0"/>
              <w:ind w:left="0" w:right="0"/>
              <w:jc w:val="left"/>
              <w:rPr>
                <w:rFonts w:hint="default" w:ascii="宋体" w:hAnsi="宋体" w:cs="宋体"/>
                <w:color w:val="auto"/>
                <w:szCs w:val="21"/>
              </w:rPr>
            </w:pPr>
            <w:r>
              <w:rPr>
                <w:rFonts w:hint="eastAsia" w:ascii="宋体" w:hAnsi="宋体" w:cs="宋体"/>
                <w:color w:val="auto"/>
                <w:szCs w:val="21"/>
              </w:rPr>
              <w:t>根据本项目特点制定的实施组织方案，包括项目实施组织安排、工期计划、质量保证等方面综合打分：</w:t>
            </w:r>
          </w:p>
          <w:p>
            <w:pPr>
              <w:keepNext w:val="0"/>
              <w:keepLines w:val="0"/>
              <w:suppressLineNumbers w:val="0"/>
              <w:spacing w:before="0" w:beforeAutospacing="0" w:after="0" w:afterAutospacing="0"/>
              <w:ind w:left="0" w:right="0"/>
              <w:jc w:val="left"/>
              <w:rPr>
                <w:rFonts w:hint="default" w:ascii="宋体" w:hAnsi="宋体" w:cs="宋体"/>
                <w:color w:val="auto"/>
                <w:szCs w:val="21"/>
              </w:rPr>
            </w:pPr>
            <w:r>
              <w:rPr>
                <w:rFonts w:hint="eastAsia" w:ascii="宋体" w:hAnsi="宋体" w:cs="宋体"/>
                <w:color w:val="auto"/>
                <w:szCs w:val="21"/>
              </w:rPr>
              <w:t>①方案详实、</w:t>
            </w:r>
            <w:r>
              <w:rPr>
                <w:rFonts w:hint="eastAsia" w:ascii="宋体" w:hAnsi="宋体"/>
                <w:color w:val="auto"/>
                <w:kern w:val="0"/>
                <w:szCs w:val="21"/>
              </w:rPr>
              <w:t>内容完整、操作性强</w:t>
            </w:r>
            <w:r>
              <w:rPr>
                <w:rFonts w:hint="eastAsia" w:ascii="宋体" w:hAnsi="宋体" w:cs="宋体"/>
                <w:color w:val="auto"/>
                <w:szCs w:val="21"/>
              </w:rPr>
              <w:t>的得5-3.1分；</w:t>
            </w:r>
          </w:p>
          <w:p>
            <w:pPr>
              <w:keepNext w:val="0"/>
              <w:keepLines w:val="0"/>
              <w:suppressLineNumbers w:val="0"/>
              <w:spacing w:before="0" w:beforeAutospacing="0" w:after="0" w:afterAutospacing="0"/>
              <w:ind w:left="0" w:right="0"/>
              <w:jc w:val="left"/>
              <w:rPr>
                <w:rFonts w:hint="default" w:ascii="宋体" w:hAnsi="宋体" w:cs="宋体"/>
                <w:color w:val="auto"/>
                <w:szCs w:val="21"/>
              </w:rPr>
            </w:pPr>
            <w:r>
              <w:rPr>
                <w:rFonts w:hint="eastAsia" w:ascii="宋体" w:hAnsi="宋体" w:cs="宋体"/>
                <w:color w:val="auto"/>
                <w:szCs w:val="21"/>
              </w:rPr>
              <w:t>②方案合理、</w:t>
            </w:r>
            <w:r>
              <w:rPr>
                <w:rFonts w:hint="eastAsia" w:ascii="宋体" w:hAnsi="宋体"/>
                <w:color w:val="auto"/>
                <w:kern w:val="0"/>
                <w:szCs w:val="21"/>
              </w:rPr>
              <w:t>内容常规、操作性一般</w:t>
            </w:r>
            <w:r>
              <w:rPr>
                <w:rFonts w:hint="eastAsia" w:ascii="宋体" w:hAnsi="宋体" w:cs="宋体"/>
                <w:color w:val="auto"/>
                <w:szCs w:val="21"/>
              </w:rPr>
              <w:t>的得3-1.5分；</w:t>
            </w:r>
          </w:p>
          <w:p>
            <w:pPr>
              <w:keepNext w:val="0"/>
              <w:keepLines w:val="0"/>
              <w:suppressLineNumbers w:val="0"/>
              <w:spacing w:before="0" w:beforeAutospacing="0" w:after="0" w:afterAutospacing="0"/>
              <w:ind w:left="0" w:leftChars="0" w:right="0" w:rightChars="0"/>
              <w:jc w:val="left"/>
              <w:rPr>
                <w:rFonts w:hint="eastAsia" w:ascii="宋体" w:hAnsi="宋体" w:cs="宋体"/>
                <w:color w:val="auto"/>
                <w:szCs w:val="21"/>
              </w:rPr>
            </w:pPr>
            <w:r>
              <w:rPr>
                <w:rFonts w:hint="eastAsia" w:ascii="宋体" w:hAnsi="宋体" w:cs="宋体"/>
                <w:color w:val="auto"/>
                <w:szCs w:val="21"/>
              </w:rPr>
              <w:t>③方案粗糙、</w:t>
            </w:r>
            <w:r>
              <w:rPr>
                <w:rFonts w:hint="eastAsia" w:ascii="宋体" w:hAnsi="宋体"/>
                <w:color w:val="auto"/>
                <w:kern w:val="0"/>
                <w:szCs w:val="21"/>
              </w:rPr>
              <w:t>内容缺漏、操作性差</w:t>
            </w:r>
            <w:r>
              <w:rPr>
                <w:rFonts w:hint="eastAsia" w:ascii="宋体" w:hAnsi="宋体" w:cs="宋体"/>
                <w:color w:val="auto"/>
                <w:szCs w:val="21"/>
              </w:rPr>
              <w:t>的得</w:t>
            </w:r>
            <w:r>
              <w:rPr>
                <w:rFonts w:hint="eastAsia" w:ascii="宋体" w:hAnsi="宋体" w:cs="宋体"/>
                <w:b/>
                <w:bCs/>
                <w:color w:val="auto"/>
                <w:szCs w:val="21"/>
              </w:rPr>
              <w:t>1.</w:t>
            </w:r>
            <w:r>
              <w:rPr>
                <w:rFonts w:hint="eastAsia" w:ascii="宋体" w:hAnsi="宋体" w:cs="宋体"/>
                <w:b/>
                <w:bCs/>
                <w:color w:val="auto"/>
                <w:szCs w:val="21"/>
                <w:lang w:val="en-US" w:eastAsia="zh-CN"/>
              </w:rPr>
              <w:t>49</w:t>
            </w:r>
            <w:r>
              <w:rPr>
                <w:rFonts w:hint="eastAsia" w:ascii="宋体" w:hAnsi="宋体" w:cs="宋体"/>
                <w:b/>
                <w:bCs/>
                <w:color w:val="auto"/>
                <w:szCs w:val="21"/>
              </w:rPr>
              <w:t>-0分。</w:t>
            </w:r>
          </w:p>
        </w:tc>
        <w:tc>
          <w:tcPr>
            <w:tcW w:w="664" w:type="dxa"/>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21"/>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286" w:type="dxa"/>
            <w:vMerge w:val="continue"/>
            <w:tcMar>
              <w:top w:w="57" w:type="dxa"/>
              <w:left w:w="108" w:type="dxa"/>
              <w:bottom w:w="0" w:type="dxa"/>
              <w:right w:w="108" w:type="dxa"/>
            </w:tcMar>
            <w:vAlign w:val="center"/>
          </w:tcPr>
          <w:p>
            <w:pPr>
              <w:jc w:val="center"/>
              <w:rPr>
                <w:rFonts w:hint="eastAsia" w:asciiTheme="minorEastAsia" w:hAnsiTheme="minorEastAsia" w:eastAsiaTheme="minorEastAsia" w:cstheme="minorEastAsia"/>
                <w:b/>
                <w:bCs/>
                <w:sz w:val="21"/>
                <w:szCs w:val="21"/>
              </w:rPr>
            </w:pPr>
          </w:p>
        </w:tc>
        <w:tc>
          <w:tcPr>
            <w:tcW w:w="7068" w:type="dxa"/>
            <w:tcMar>
              <w:top w:w="57" w:type="dxa"/>
              <w:left w:w="108" w:type="dxa"/>
              <w:bottom w:w="0" w:type="dxa"/>
              <w:right w:w="108" w:type="dxa"/>
            </w:tcMar>
            <w:vAlign w:val="center"/>
          </w:tcPr>
          <w:p>
            <w:pPr>
              <w:keepNext w:val="0"/>
              <w:keepLines w:val="0"/>
              <w:suppressLineNumbers w:val="0"/>
              <w:spacing w:before="0" w:beforeAutospacing="0" w:after="0" w:afterAutospacing="0"/>
              <w:ind w:left="0" w:right="0"/>
              <w:jc w:val="left"/>
              <w:rPr>
                <w:rFonts w:hint="default" w:ascii="宋体" w:hAnsi="宋体" w:cs="宋体"/>
                <w:color w:val="auto"/>
                <w:szCs w:val="21"/>
              </w:rPr>
            </w:pPr>
            <w:r>
              <w:rPr>
                <w:rFonts w:hint="eastAsia" w:ascii="宋体" w:hAnsi="宋体" w:cs="宋体"/>
                <w:color w:val="auto"/>
                <w:szCs w:val="21"/>
              </w:rPr>
              <w:t>根据所投产品技术参数和配置的偏离情况进行打分：</w:t>
            </w:r>
          </w:p>
          <w:p>
            <w:pPr>
              <w:keepNext w:val="0"/>
              <w:keepLines w:val="0"/>
              <w:suppressLineNumbers w:val="0"/>
              <w:spacing w:before="0" w:beforeAutospacing="0" w:after="0" w:afterAutospacing="0"/>
              <w:ind w:left="0" w:right="0"/>
              <w:jc w:val="left"/>
              <w:rPr>
                <w:rFonts w:hint="default" w:ascii="宋体" w:hAnsi="宋体" w:cs="宋体"/>
                <w:color w:val="auto"/>
                <w:szCs w:val="21"/>
              </w:rPr>
            </w:pPr>
            <w:r>
              <w:rPr>
                <w:rFonts w:hint="eastAsia" w:ascii="宋体" w:hAnsi="宋体" w:cs="宋体"/>
                <w:color w:val="auto"/>
                <w:szCs w:val="21"/>
              </w:rPr>
              <w:t>1.完全满足或高于招标文件要求的，得25分；</w:t>
            </w:r>
          </w:p>
          <w:p>
            <w:pPr>
              <w:keepNext w:val="0"/>
              <w:keepLines w:val="0"/>
              <w:suppressLineNumbers w:val="0"/>
              <w:spacing w:before="0" w:beforeAutospacing="0" w:after="0" w:afterAutospacing="0"/>
              <w:ind w:left="0" w:right="0"/>
              <w:jc w:val="left"/>
              <w:rPr>
                <w:rFonts w:hint="default" w:ascii="宋体" w:hAnsi="宋体" w:eastAsia="宋体" w:cs="宋体"/>
                <w:color w:val="auto"/>
                <w:szCs w:val="21"/>
                <w:lang w:val="en-US" w:eastAsia="zh-CN"/>
              </w:rPr>
            </w:pPr>
            <w:r>
              <w:rPr>
                <w:rFonts w:hint="eastAsia" w:ascii="宋体" w:hAnsi="宋体" w:cs="宋体"/>
                <w:color w:val="auto"/>
                <w:szCs w:val="21"/>
              </w:rPr>
              <w:t>2.重要性能指标（★）中，每有一项负偏离的扣4分，扣完为止；</w:t>
            </w:r>
            <w:r>
              <w:rPr>
                <w:rFonts w:hint="eastAsia" w:ascii="宋体" w:hAnsi="宋体" w:cs="宋体"/>
                <w:color w:val="auto"/>
                <w:szCs w:val="21"/>
                <w:lang w:val="en-US" w:eastAsia="zh-CN"/>
              </w:rPr>
              <w:t>6项（含）负偏离以上为无效标。</w:t>
            </w:r>
          </w:p>
          <w:p>
            <w:pPr>
              <w:keepNext w:val="0"/>
              <w:keepLines w:val="0"/>
              <w:suppressLineNumbers w:val="0"/>
              <w:spacing w:before="0" w:beforeAutospacing="0" w:after="0" w:afterAutospacing="0"/>
              <w:ind w:left="0" w:right="0"/>
              <w:jc w:val="left"/>
              <w:rPr>
                <w:rFonts w:hint="default" w:ascii="宋体" w:hAnsi="宋体" w:cs="宋体"/>
                <w:color w:val="auto"/>
                <w:szCs w:val="21"/>
              </w:rPr>
            </w:pPr>
            <w:r>
              <w:rPr>
                <w:rFonts w:hint="eastAsia" w:ascii="宋体" w:hAnsi="宋体" w:cs="宋体"/>
                <w:color w:val="auto"/>
                <w:szCs w:val="21"/>
              </w:rPr>
              <w:t>3.其他性能指标中，每有一项负偏离或未响应的扣1分，扣完为止。</w:t>
            </w:r>
          </w:p>
          <w:p>
            <w:pPr>
              <w:keepNext w:val="0"/>
              <w:keepLines w:val="0"/>
              <w:suppressLineNumbers w:val="0"/>
              <w:spacing w:before="0" w:beforeAutospacing="0" w:after="0" w:afterAutospacing="0"/>
              <w:ind w:left="0" w:leftChars="0" w:right="0" w:rightChars="0"/>
              <w:jc w:val="left"/>
              <w:rPr>
                <w:rFonts w:hint="eastAsia" w:ascii="宋体" w:hAnsi="宋体" w:cs="宋体"/>
                <w:color w:val="auto"/>
                <w:szCs w:val="21"/>
              </w:rPr>
            </w:pPr>
            <w:r>
              <w:rPr>
                <w:rFonts w:hint="eastAsia" w:ascii="宋体" w:hAnsi="宋体" w:cs="宋体"/>
                <w:b/>
                <w:bCs/>
                <w:color w:val="auto"/>
                <w:szCs w:val="21"/>
              </w:rPr>
              <w:t>（标书中明确要求提供证明材料未提供的视为负偏离，同类型设备同一性能指标负偏离项按一次计扣。）</w:t>
            </w:r>
          </w:p>
        </w:tc>
        <w:tc>
          <w:tcPr>
            <w:tcW w:w="664" w:type="dxa"/>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szCs w:val="21"/>
                <w:lang w:val="en-US" w:eastAsia="zh-CN"/>
              </w:rPr>
            </w:pPr>
            <w:r>
              <w:rPr>
                <w:rFonts w:hint="eastAsia" w:ascii="宋体" w:hAnsi="宋体" w:cs="宋体"/>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286" w:type="dxa"/>
            <w:vMerge w:val="continue"/>
            <w:tcMar>
              <w:top w:w="57" w:type="dxa"/>
              <w:left w:w="108" w:type="dxa"/>
              <w:bottom w:w="0" w:type="dxa"/>
              <w:right w:w="108" w:type="dxa"/>
            </w:tcMar>
            <w:vAlign w:val="center"/>
          </w:tcPr>
          <w:p>
            <w:pPr>
              <w:jc w:val="center"/>
              <w:rPr>
                <w:rFonts w:hint="eastAsia" w:asciiTheme="minorEastAsia" w:hAnsiTheme="minorEastAsia" w:eastAsiaTheme="minorEastAsia" w:cstheme="minorEastAsia"/>
                <w:b/>
                <w:bCs/>
                <w:sz w:val="21"/>
                <w:szCs w:val="21"/>
              </w:rPr>
            </w:pPr>
          </w:p>
        </w:tc>
        <w:tc>
          <w:tcPr>
            <w:tcW w:w="7068" w:type="dxa"/>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eastAsia="zh-CN"/>
              </w:rPr>
            </w:pPr>
            <w:r>
              <w:rPr>
                <w:rFonts w:hint="default" w:ascii="宋体" w:hAnsi="宋体" w:cs="宋体"/>
                <w:szCs w:val="21"/>
              </w:rPr>
              <w:t>根据投标人项目实施团队实力进行打分：</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eastAsia="zh-CN"/>
              </w:rPr>
            </w:pPr>
            <w:r>
              <w:rPr>
                <w:rFonts w:hint="eastAsia" w:ascii="宋体" w:hAnsi="宋体" w:cs="宋体"/>
                <w:szCs w:val="21"/>
              </w:rPr>
              <w:t>项目实施人员持有原厂认证视讯工程师证书的得1分；</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eastAsia="zh-CN"/>
              </w:rPr>
            </w:pPr>
            <w:r>
              <w:rPr>
                <w:rFonts w:hint="eastAsia" w:ascii="宋体" w:hAnsi="宋体" w:cs="宋体"/>
                <w:szCs w:val="21"/>
              </w:rPr>
              <w:t>项目团队成员具有信息系统项目管理师证书的得1分；</w:t>
            </w:r>
          </w:p>
          <w:p>
            <w:pPr>
              <w:keepNext w:val="0"/>
              <w:keepLines w:val="0"/>
              <w:suppressLineNumbers w:val="0"/>
              <w:spacing w:before="0" w:beforeAutospacing="0" w:after="0" w:afterAutospacing="0"/>
              <w:ind w:left="0" w:leftChars="0" w:right="0" w:rightChars="0"/>
              <w:jc w:val="left"/>
              <w:rPr>
                <w:rFonts w:hint="eastAsia" w:ascii="宋体" w:hAnsi="宋体" w:cs="宋体"/>
                <w:b/>
                <w:bCs/>
                <w:szCs w:val="21"/>
              </w:rPr>
            </w:pPr>
            <w:r>
              <w:rPr>
                <w:rFonts w:hint="eastAsia" w:ascii="宋体" w:hAnsi="宋体" w:cs="宋体"/>
                <w:szCs w:val="21"/>
              </w:rPr>
              <w:t>项目团队成员具有IT服务项目经理证书的得1分；</w:t>
            </w:r>
          </w:p>
        </w:tc>
        <w:tc>
          <w:tcPr>
            <w:tcW w:w="664" w:type="dxa"/>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szCs w:val="21"/>
                <w:lang w:val="en-US" w:eastAsia="zh-CN"/>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86" w:type="dxa"/>
            <w:vMerge w:val="restart"/>
            <w:tcMar>
              <w:top w:w="57" w:type="dxa"/>
              <w:left w:w="108" w:type="dxa"/>
              <w:bottom w:w="0" w:type="dxa"/>
              <w:right w:w="108" w:type="dxa"/>
            </w:tcMar>
            <w:vAlign w:val="center"/>
          </w:tcPr>
          <w:p>
            <w:pPr>
              <w:pStyle w:val="2"/>
              <w:ind w:firstLine="0"/>
              <w:jc w:val="cente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实力信誉及业绩</w:t>
            </w:r>
          </w:p>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7</w:t>
            </w:r>
            <w:r>
              <w:rPr>
                <w:rFonts w:hint="eastAsia" w:asciiTheme="minorEastAsia" w:hAnsiTheme="minorEastAsia" w:eastAsiaTheme="minorEastAsia" w:cstheme="minorEastAsia"/>
                <w:b/>
                <w:bCs/>
                <w:sz w:val="21"/>
                <w:szCs w:val="21"/>
              </w:rPr>
              <w:t>分</w:t>
            </w:r>
          </w:p>
        </w:tc>
        <w:tc>
          <w:tcPr>
            <w:tcW w:w="7068" w:type="dxa"/>
            <w:tcMar>
              <w:top w:w="57" w:type="dxa"/>
              <w:left w:w="108" w:type="dxa"/>
              <w:bottom w:w="0" w:type="dxa"/>
              <w:right w:w="108" w:type="dxa"/>
            </w:tcMar>
            <w:vAlign w:val="center"/>
          </w:tcPr>
          <w:p>
            <w:pPr>
              <w:keepNext w:val="0"/>
              <w:keepLines w:val="0"/>
              <w:suppressLineNumbers w:val="0"/>
              <w:spacing w:before="0" w:beforeAutospacing="0" w:after="0" w:afterAutospacing="0"/>
              <w:ind w:left="0" w:right="0"/>
              <w:jc w:val="left"/>
              <w:rPr>
                <w:rFonts w:hint="eastAsia" w:ascii="宋体" w:hAnsi="宋体" w:cs="宋体"/>
                <w:szCs w:val="21"/>
              </w:rPr>
            </w:pPr>
            <w:r>
              <w:rPr>
                <w:rFonts w:hint="default" w:ascii="宋体" w:hAnsi="宋体"/>
                <w:color w:val="000000"/>
                <w:szCs w:val="21"/>
              </w:rPr>
              <w:t>投标人具有有效的质量管理体系、环境管理体系、信息安全管理体系、电子与智能化工程专业承包二级及以上资质的</w:t>
            </w:r>
            <w:r>
              <w:rPr>
                <w:rFonts w:hint="eastAsia" w:ascii="宋体" w:hAnsi="宋体"/>
                <w:color w:val="000000"/>
                <w:szCs w:val="21"/>
              </w:rPr>
              <w:t>，每个证书得1分，最高</w:t>
            </w:r>
            <w:r>
              <w:rPr>
                <w:rFonts w:hint="eastAsia" w:ascii="宋体" w:hAnsi="宋体"/>
                <w:color w:val="000000"/>
                <w:szCs w:val="21"/>
                <w:lang w:val="en-US" w:eastAsia="zh-CN"/>
              </w:rPr>
              <w:t>4</w:t>
            </w:r>
            <w:r>
              <w:rPr>
                <w:rFonts w:hint="eastAsia" w:ascii="宋体" w:hAnsi="宋体" w:cs="宋体"/>
                <w:szCs w:val="21"/>
              </w:rPr>
              <w:t>分。</w:t>
            </w:r>
          </w:p>
        </w:tc>
        <w:tc>
          <w:tcPr>
            <w:tcW w:w="664" w:type="dxa"/>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Cs w:val="21"/>
                <w:lang w:val="en-US" w:eastAsia="zh-CN"/>
              </w:rPr>
            </w:pPr>
            <w:r>
              <w:rPr>
                <w:rFonts w:hint="eastAsia" w:ascii="宋体" w:hAnsi="宋体" w:cs="宋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86" w:type="dxa"/>
            <w:vMerge w:val="continue"/>
            <w:tcMar>
              <w:top w:w="57" w:type="dxa"/>
              <w:left w:w="108" w:type="dxa"/>
              <w:bottom w:w="0" w:type="dxa"/>
              <w:right w:w="108" w:type="dxa"/>
            </w:tcMar>
            <w:vAlign w:val="center"/>
          </w:tcPr>
          <w:p>
            <w:pPr>
              <w:adjustRightInd w:val="0"/>
              <w:snapToGrid w:val="0"/>
              <w:jc w:val="center"/>
              <w:rPr>
                <w:rFonts w:hint="eastAsia" w:asciiTheme="minorEastAsia" w:hAnsiTheme="minorEastAsia" w:eastAsiaTheme="minorEastAsia" w:cstheme="minorEastAsia"/>
                <w:b/>
                <w:bCs/>
                <w:sz w:val="21"/>
                <w:szCs w:val="21"/>
              </w:rPr>
            </w:pPr>
          </w:p>
        </w:tc>
        <w:tc>
          <w:tcPr>
            <w:tcW w:w="7068" w:type="dxa"/>
            <w:tcMar>
              <w:top w:w="57" w:type="dxa"/>
              <w:left w:w="108" w:type="dxa"/>
              <w:bottom w:w="0" w:type="dxa"/>
              <w:right w:w="108" w:type="dxa"/>
            </w:tcMar>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sz w:val="21"/>
                <w:szCs w:val="21"/>
              </w:rPr>
            </w:pPr>
            <w:r>
              <w:rPr>
                <w:rFonts w:hint="eastAsia" w:ascii="宋体" w:hAnsi="宋体"/>
                <w:color w:val="000000"/>
                <w:szCs w:val="21"/>
              </w:rPr>
              <w:t>自201</w:t>
            </w:r>
            <w:r>
              <w:rPr>
                <w:rFonts w:hint="eastAsia" w:ascii="宋体" w:hAnsi="宋体"/>
                <w:color w:val="000000"/>
                <w:szCs w:val="21"/>
                <w:lang w:val="en-US" w:eastAsia="zh-CN"/>
              </w:rPr>
              <w:t>9</w:t>
            </w:r>
            <w:r>
              <w:rPr>
                <w:rFonts w:hint="eastAsia" w:ascii="宋体" w:hAnsi="宋体"/>
                <w:color w:val="000000"/>
                <w:szCs w:val="21"/>
              </w:rPr>
              <w:t>年</w:t>
            </w:r>
            <w:r>
              <w:rPr>
                <w:rFonts w:hint="eastAsia" w:ascii="宋体" w:hAnsi="宋体"/>
                <w:color w:val="000000"/>
                <w:szCs w:val="21"/>
                <w:lang w:val="en-US" w:eastAsia="zh-CN"/>
              </w:rPr>
              <w:t>7</w:t>
            </w:r>
            <w:r>
              <w:rPr>
                <w:rFonts w:hint="eastAsia" w:ascii="宋体" w:hAnsi="宋体"/>
                <w:color w:val="000000"/>
                <w:szCs w:val="21"/>
              </w:rPr>
              <w:t>月至投标截止前一天（以合同签订时间为准），投标人承担类似项目情况。</w:t>
            </w:r>
            <w:r>
              <w:rPr>
                <w:rFonts w:hint="eastAsia" w:ascii="宋体" w:hAnsi="宋体"/>
                <w:szCs w:val="21"/>
              </w:rPr>
              <w:t>依照投标人提供的合同</w:t>
            </w:r>
            <w:r>
              <w:rPr>
                <w:rFonts w:hint="eastAsia" w:ascii="宋体" w:hAnsi="宋体"/>
                <w:color w:val="000000"/>
                <w:szCs w:val="21"/>
              </w:rPr>
              <w:t>，每个得</w:t>
            </w:r>
            <w:r>
              <w:rPr>
                <w:rFonts w:hint="eastAsia" w:ascii="宋体" w:hAnsi="宋体" w:cs="宋体"/>
                <w:color w:val="000000"/>
                <w:spacing w:val="-2"/>
                <w:szCs w:val="21"/>
              </w:rPr>
              <w:t>1</w:t>
            </w:r>
            <w:r>
              <w:rPr>
                <w:rFonts w:hint="eastAsia" w:ascii="宋体" w:hAnsi="宋体"/>
                <w:color w:val="000000"/>
                <w:szCs w:val="21"/>
              </w:rPr>
              <w:t>分，最高得</w:t>
            </w:r>
            <w:r>
              <w:rPr>
                <w:rFonts w:hint="eastAsia" w:ascii="宋体" w:hAnsi="宋体" w:cs="宋体"/>
                <w:color w:val="000000"/>
                <w:spacing w:val="-2"/>
                <w:szCs w:val="21"/>
              </w:rPr>
              <w:t>3</w:t>
            </w:r>
            <w:r>
              <w:rPr>
                <w:rFonts w:hint="eastAsia" w:ascii="宋体" w:hAnsi="宋体"/>
                <w:color w:val="000000"/>
                <w:szCs w:val="21"/>
              </w:rPr>
              <w:t>分。</w:t>
            </w:r>
          </w:p>
        </w:tc>
        <w:tc>
          <w:tcPr>
            <w:tcW w:w="664" w:type="dxa"/>
            <w:tcMar>
              <w:top w:w="57" w:type="dxa"/>
              <w:left w:w="108" w:type="dxa"/>
              <w:bottom w:w="0" w:type="dxa"/>
              <w:right w:w="108" w:type="dxa"/>
            </w:tcMar>
            <w:vAlign w:val="center"/>
          </w:tcPr>
          <w:p>
            <w:pPr>
              <w:spacing w:line="22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286" w:type="dxa"/>
            <w:vMerge w:val="restart"/>
            <w:tcMar>
              <w:top w:w="57" w:type="dxa"/>
              <w:left w:w="108" w:type="dxa"/>
              <w:bottom w:w="0" w:type="dxa"/>
              <w:right w:w="108" w:type="dxa"/>
            </w:tcMar>
            <w:vAlign w:val="center"/>
          </w:tcPr>
          <w:p>
            <w:pPr>
              <w:pStyle w:val="2"/>
              <w:ind w:firstLine="0"/>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售后服务承诺</w:t>
            </w:r>
          </w:p>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14</w:t>
            </w:r>
            <w:r>
              <w:rPr>
                <w:rFonts w:hint="eastAsia" w:asciiTheme="minorEastAsia" w:hAnsiTheme="minorEastAsia" w:eastAsiaTheme="minorEastAsia" w:cstheme="minorEastAsia"/>
                <w:b/>
                <w:bCs/>
                <w:sz w:val="21"/>
                <w:szCs w:val="21"/>
              </w:rPr>
              <w:t>分</w:t>
            </w:r>
          </w:p>
        </w:tc>
        <w:tc>
          <w:tcPr>
            <w:tcW w:w="7068" w:type="dxa"/>
            <w:tcMar>
              <w:top w:w="57" w:type="dxa"/>
              <w:left w:w="108" w:type="dxa"/>
              <w:bottom w:w="0" w:type="dxa"/>
              <w:right w:w="108" w:type="dxa"/>
            </w:tcMar>
            <w:vAlign w:val="center"/>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根据投标人的服务方案中对售后保修范围描述、日常使用保养与管理介绍进行综合打分：</w:t>
            </w:r>
          </w:p>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①服务方案中对售后保修范围描述比较详细、明确的，日常使用保养与管理介绍的比较详细的，得4-2.4分；</w:t>
            </w:r>
          </w:p>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②</w:t>
            </w:r>
            <w:r>
              <w:rPr>
                <w:rFonts w:hint="default" w:ascii="宋体" w:hAnsi="宋体" w:cs="宋体"/>
                <w:szCs w:val="21"/>
              </w:rPr>
              <w:t>服务方案中售后保修范围描述基本详细、基本明确的，日常使用保养与管理介绍的基本详细</w:t>
            </w:r>
            <w:r>
              <w:rPr>
                <w:rFonts w:hint="eastAsia" w:ascii="宋体" w:hAnsi="宋体" w:cs="宋体"/>
                <w:szCs w:val="21"/>
              </w:rPr>
              <w:t>的，得2.3-1.0分；</w:t>
            </w:r>
          </w:p>
          <w:p>
            <w:pPr>
              <w:keepNext w:val="0"/>
              <w:keepLines w:val="0"/>
              <w:suppressLineNumbers w:val="0"/>
              <w:spacing w:before="0" w:beforeAutospacing="0" w:after="0" w:afterAutospacing="0"/>
              <w:ind w:left="0" w:leftChars="0" w:right="0" w:rightChars="0"/>
              <w:jc w:val="left"/>
              <w:rPr>
                <w:rFonts w:hint="eastAsia" w:asciiTheme="minorEastAsia" w:hAnsiTheme="minorEastAsia" w:eastAsiaTheme="minorEastAsia" w:cstheme="minorEastAsia"/>
                <w:sz w:val="21"/>
                <w:szCs w:val="21"/>
              </w:rPr>
            </w:pPr>
            <w:r>
              <w:rPr>
                <w:rFonts w:hint="eastAsia" w:ascii="宋体" w:hAnsi="宋体" w:cs="宋体"/>
                <w:szCs w:val="21"/>
              </w:rPr>
              <w:t>③服务方案中对售后保修范围、描述不够详细、比较模糊，日常使用保养与管理介绍的不够详细的，得0.9-0分。</w:t>
            </w:r>
          </w:p>
        </w:tc>
        <w:tc>
          <w:tcPr>
            <w:tcW w:w="664" w:type="dxa"/>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21"/>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86" w:type="dxa"/>
            <w:vMerge w:val="continue"/>
            <w:tcMar>
              <w:top w:w="57" w:type="dxa"/>
              <w:left w:w="108" w:type="dxa"/>
              <w:bottom w:w="0" w:type="dxa"/>
              <w:right w:w="108" w:type="dxa"/>
            </w:tcMar>
            <w:vAlign w:val="center"/>
          </w:tcPr>
          <w:p>
            <w:pPr>
              <w:adjustRightInd w:val="0"/>
              <w:snapToGrid w:val="0"/>
              <w:jc w:val="center"/>
              <w:rPr>
                <w:rFonts w:hint="eastAsia" w:asciiTheme="minorEastAsia" w:hAnsiTheme="minorEastAsia" w:eastAsiaTheme="minorEastAsia" w:cstheme="minorEastAsia"/>
                <w:b/>
                <w:bCs/>
                <w:sz w:val="21"/>
                <w:szCs w:val="21"/>
              </w:rPr>
            </w:pPr>
          </w:p>
        </w:tc>
        <w:tc>
          <w:tcPr>
            <w:tcW w:w="7068" w:type="dxa"/>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szCs w:val="21"/>
              </w:rPr>
            </w:pPr>
            <w:r>
              <w:rPr>
                <w:rFonts w:hint="eastAsia" w:ascii="宋体" w:hAnsi="宋体" w:cs="宋体"/>
                <w:color w:val="auto"/>
                <w:szCs w:val="21"/>
              </w:rPr>
              <w:t>备品备件齐全、优惠力度大、措施到位的得4-</w:t>
            </w:r>
            <w:r>
              <w:rPr>
                <w:rFonts w:hint="eastAsia" w:ascii="宋体" w:hAnsi="宋体" w:cs="宋体"/>
                <w:color w:val="auto"/>
                <w:szCs w:val="21"/>
                <w:lang w:val="en-US" w:eastAsia="zh-CN"/>
              </w:rPr>
              <w:t>3</w:t>
            </w:r>
            <w:r>
              <w:rPr>
                <w:rFonts w:hint="eastAsia" w:ascii="宋体" w:hAnsi="宋体" w:cs="宋体"/>
                <w:color w:val="auto"/>
                <w:szCs w:val="21"/>
              </w:rPr>
              <w:t>；备品备件合理、优惠力度</w:t>
            </w:r>
            <w:r>
              <w:rPr>
                <w:rFonts w:hint="eastAsia" w:ascii="宋体" w:hAnsi="宋体" w:cs="宋体"/>
                <w:color w:val="auto"/>
                <w:szCs w:val="21"/>
                <w:lang w:eastAsia="zh-CN"/>
              </w:rPr>
              <w:t>一般</w:t>
            </w:r>
            <w:r>
              <w:rPr>
                <w:rFonts w:hint="eastAsia" w:ascii="宋体" w:hAnsi="宋体" w:cs="宋体"/>
                <w:color w:val="auto"/>
                <w:szCs w:val="21"/>
              </w:rPr>
              <w:t>、措施</w:t>
            </w:r>
            <w:r>
              <w:rPr>
                <w:rFonts w:hint="eastAsia" w:ascii="宋体" w:hAnsi="宋体" w:cs="宋体"/>
                <w:color w:val="auto"/>
                <w:szCs w:val="21"/>
                <w:lang w:eastAsia="zh-CN"/>
              </w:rPr>
              <w:t>可行</w:t>
            </w:r>
            <w:r>
              <w:rPr>
                <w:rFonts w:hint="eastAsia" w:ascii="宋体" w:hAnsi="宋体" w:cs="宋体"/>
                <w:color w:val="auto"/>
                <w:szCs w:val="21"/>
              </w:rPr>
              <w:t>的得</w:t>
            </w:r>
            <w:r>
              <w:rPr>
                <w:rFonts w:hint="eastAsia" w:ascii="宋体" w:hAnsi="宋体" w:cs="宋体"/>
                <w:color w:val="auto"/>
                <w:szCs w:val="21"/>
                <w:lang w:val="en-US" w:eastAsia="zh-CN"/>
              </w:rPr>
              <w:t>2</w:t>
            </w:r>
            <w:r>
              <w:rPr>
                <w:rFonts w:hint="eastAsia" w:ascii="宋体" w:hAnsi="宋体" w:cs="宋体"/>
                <w:color w:val="auto"/>
                <w:szCs w:val="21"/>
              </w:rPr>
              <w:t>.9-</w:t>
            </w:r>
            <w:r>
              <w:rPr>
                <w:rFonts w:hint="eastAsia" w:ascii="宋体" w:hAnsi="宋体" w:cs="宋体"/>
                <w:color w:val="auto"/>
                <w:szCs w:val="21"/>
                <w:lang w:val="en-US" w:eastAsia="zh-CN"/>
              </w:rPr>
              <w:t>2</w:t>
            </w:r>
            <w:r>
              <w:rPr>
                <w:rFonts w:hint="eastAsia" w:ascii="宋体" w:hAnsi="宋体" w:cs="宋体"/>
                <w:color w:val="auto"/>
                <w:szCs w:val="21"/>
              </w:rPr>
              <w:t>分；备品备件</w:t>
            </w:r>
            <w:r>
              <w:rPr>
                <w:rFonts w:hint="eastAsia" w:ascii="宋体" w:hAnsi="宋体" w:cs="宋体"/>
                <w:color w:val="auto"/>
                <w:szCs w:val="21"/>
                <w:lang w:eastAsia="zh-CN"/>
              </w:rPr>
              <w:t>缺漏</w:t>
            </w:r>
            <w:r>
              <w:rPr>
                <w:rFonts w:hint="eastAsia" w:ascii="宋体" w:hAnsi="宋体" w:cs="宋体"/>
                <w:color w:val="auto"/>
                <w:szCs w:val="21"/>
              </w:rPr>
              <w:t>、优惠力度</w:t>
            </w:r>
            <w:r>
              <w:rPr>
                <w:rFonts w:hint="eastAsia" w:ascii="宋体" w:hAnsi="宋体" w:cs="宋体"/>
                <w:color w:val="auto"/>
                <w:szCs w:val="21"/>
                <w:lang w:eastAsia="zh-CN"/>
              </w:rPr>
              <w:t>不足</w:t>
            </w:r>
            <w:r>
              <w:rPr>
                <w:rFonts w:hint="eastAsia" w:ascii="宋体" w:hAnsi="宋体" w:cs="宋体"/>
                <w:color w:val="auto"/>
                <w:szCs w:val="21"/>
              </w:rPr>
              <w:t>、措施</w:t>
            </w:r>
            <w:r>
              <w:rPr>
                <w:rFonts w:hint="eastAsia" w:ascii="宋体" w:hAnsi="宋体" w:cs="宋体"/>
                <w:color w:val="auto"/>
                <w:szCs w:val="21"/>
                <w:lang w:eastAsia="zh-CN"/>
              </w:rPr>
              <w:t>差</w:t>
            </w:r>
            <w:r>
              <w:rPr>
                <w:rFonts w:hint="eastAsia" w:ascii="宋体" w:hAnsi="宋体" w:cs="宋体"/>
                <w:color w:val="auto"/>
                <w:szCs w:val="21"/>
              </w:rPr>
              <w:t>的得</w:t>
            </w:r>
            <w:r>
              <w:rPr>
                <w:rFonts w:hint="eastAsia" w:ascii="宋体" w:hAnsi="宋体" w:cs="宋体"/>
                <w:color w:val="auto"/>
                <w:szCs w:val="21"/>
                <w:lang w:val="en-US" w:eastAsia="zh-CN"/>
              </w:rPr>
              <w:t>1</w:t>
            </w:r>
            <w:r>
              <w:rPr>
                <w:rFonts w:hint="eastAsia" w:ascii="宋体" w:hAnsi="宋体" w:cs="宋体"/>
                <w:color w:val="auto"/>
                <w:szCs w:val="21"/>
              </w:rPr>
              <w:t>.9-</w:t>
            </w:r>
            <w:r>
              <w:rPr>
                <w:rFonts w:hint="eastAsia" w:ascii="宋体" w:hAnsi="宋体" w:cs="宋体"/>
                <w:color w:val="auto"/>
                <w:szCs w:val="21"/>
                <w:lang w:val="en-US" w:eastAsia="zh-CN"/>
              </w:rPr>
              <w:t>0</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rPr>
              <w:t>未涉及本评分项不得分。</w:t>
            </w:r>
          </w:p>
        </w:tc>
        <w:tc>
          <w:tcPr>
            <w:tcW w:w="664" w:type="dxa"/>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286" w:type="dxa"/>
            <w:vMerge w:val="continue"/>
            <w:tcMar>
              <w:top w:w="57" w:type="dxa"/>
              <w:left w:w="108" w:type="dxa"/>
              <w:bottom w:w="0" w:type="dxa"/>
              <w:right w:w="108" w:type="dxa"/>
            </w:tcMar>
            <w:vAlign w:val="center"/>
          </w:tcPr>
          <w:p>
            <w:pPr>
              <w:adjustRightInd w:val="0"/>
              <w:snapToGrid w:val="0"/>
              <w:jc w:val="center"/>
              <w:rPr>
                <w:rFonts w:hint="eastAsia" w:asciiTheme="minorEastAsia" w:hAnsiTheme="minorEastAsia" w:eastAsiaTheme="minorEastAsia" w:cstheme="minorEastAsia"/>
                <w:b/>
                <w:bCs/>
                <w:sz w:val="21"/>
                <w:szCs w:val="21"/>
              </w:rPr>
            </w:pPr>
          </w:p>
        </w:tc>
        <w:tc>
          <w:tcPr>
            <w:tcW w:w="7068" w:type="dxa"/>
            <w:tcMar>
              <w:top w:w="57" w:type="dxa"/>
              <w:left w:w="108" w:type="dxa"/>
              <w:bottom w:w="0" w:type="dxa"/>
              <w:right w:w="108" w:type="dxa"/>
            </w:tcMar>
            <w:vAlign w:val="center"/>
          </w:tcPr>
          <w:p>
            <w:pPr>
              <w:keepNext w:val="0"/>
              <w:keepLines w:val="0"/>
              <w:suppressLineNumbers w:val="0"/>
              <w:spacing w:before="0" w:beforeAutospacing="0" w:after="0" w:afterAutospacing="0"/>
              <w:ind w:left="0" w:right="0"/>
              <w:jc w:val="left"/>
              <w:rPr>
                <w:rFonts w:hint="default" w:ascii="宋体" w:hAnsi="宋体" w:cs="宋体"/>
                <w:szCs w:val="21"/>
              </w:rPr>
            </w:pPr>
            <w:bookmarkStart w:id="124" w:name="_GoBack"/>
            <w:r>
              <w:rPr>
                <w:rFonts w:hint="eastAsia" w:ascii="宋体" w:hAnsi="宋体" w:cs="宋体"/>
                <w:szCs w:val="21"/>
              </w:rPr>
              <w:t>根据投标人承诺针对每个安装位置的响应、到场维修速度、备品备件等进行综合打分：</w:t>
            </w:r>
          </w:p>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1.承诺对每个安装位置一旦发生质量问题，30分钟内响应的得1.5分，1小时内响应的得1分，2小时内响应的得0.5分，否则不得分；</w:t>
            </w:r>
          </w:p>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2.承诺2小时内达到现场的得1.5分，4小时内达到现场的得1分，6小时内达到现场的得0.5分，否则不得分；</w:t>
            </w:r>
          </w:p>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3.承诺12小时内解决问题的得1.5分，24小时内解决问题的得1分，48小时内解决问题的得0.5分，否则不得分；</w:t>
            </w:r>
          </w:p>
          <w:p>
            <w:pPr>
              <w:keepNext w:val="0"/>
              <w:keepLines w:val="0"/>
              <w:suppressLineNumbers w:val="0"/>
              <w:spacing w:before="0" w:beforeAutospacing="0" w:after="0" w:afterAutospacing="0"/>
              <w:ind w:left="0" w:leftChars="0" w:right="0" w:rightChars="0"/>
              <w:jc w:val="left"/>
              <w:rPr>
                <w:rFonts w:hint="eastAsia" w:ascii="宋体" w:hAnsi="宋体" w:cs="宋体"/>
                <w:szCs w:val="21"/>
              </w:rPr>
            </w:pPr>
            <w:r>
              <w:rPr>
                <w:rFonts w:hint="eastAsia" w:ascii="宋体" w:hAnsi="宋体" w:cs="宋体"/>
                <w:szCs w:val="21"/>
              </w:rPr>
              <w:t>4.在承诺解决时间内仍无法排除的故障，承诺提供与原货物相同或不低于原货物性能的备用产品，以保证采购人的正常使用的，满足得1.5分，不满足不得分。</w:t>
            </w:r>
            <w:bookmarkEnd w:id="124"/>
          </w:p>
        </w:tc>
        <w:tc>
          <w:tcPr>
            <w:tcW w:w="664" w:type="dxa"/>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286" w:type="dxa"/>
            <w:tcMar>
              <w:top w:w="57" w:type="dxa"/>
              <w:left w:w="108" w:type="dxa"/>
              <w:bottom w:w="0" w:type="dxa"/>
              <w:right w:w="108" w:type="dxa"/>
            </w:tcMar>
            <w:vAlign w:val="center"/>
          </w:tcPr>
          <w:p>
            <w:pPr>
              <w:widowControl/>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价格</w:t>
            </w:r>
            <w:r>
              <w:rPr>
                <w:rFonts w:hint="eastAsia" w:asciiTheme="minorEastAsia" w:hAnsiTheme="minorEastAsia" w:eastAsiaTheme="minorEastAsia" w:cstheme="minorEastAsia"/>
                <w:b/>
                <w:sz w:val="21"/>
                <w:szCs w:val="21"/>
                <w:lang w:val="en-US" w:eastAsia="zh-CN"/>
              </w:rPr>
              <w:t>30</w:t>
            </w:r>
            <w:r>
              <w:rPr>
                <w:rFonts w:hint="eastAsia" w:asciiTheme="minorEastAsia" w:hAnsiTheme="minorEastAsia" w:eastAsiaTheme="minorEastAsia" w:cstheme="minorEastAsia"/>
                <w:b/>
                <w:sz w:val="21"/>
                <w:szCs w:val="21"/>
              </w:rPr>
              <w:t>分</w:t>
            </w:r>
          </w:p>
        </w:tc>
        <w:tc>
          <w:tcPr>
            <w:tcW w:w="7068" w:type="dxa"/>
            <w:tcMar>
              <w:top w:w="57" w:type="dxa"/>
              <w:left w:w="108" w:type="dxa"/>
              <w:bottom w:w="0" w:type="dxa"/>
              <w:right w:w="108" w:type="dxa"/>
            </w:tcMar>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以合格投标人有效投标总报价中的最低价为基准价，基准价为</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rPr>
              <w:t>分。投标报价得分＝（评标基准价/投标报价）×</w:t>
            </w:r>
            <w:r>
              <w:rPr>
                <w:rFonts w:hint="eastAsia" w:asciiTheme="minorEastAsia" w:hAnsiTheme="minorEastAsia" w:eastAsiaTheme="minorEastAsia" w:cstheme="minorEastAsia"/>
                <w:kern w:val="0"/>
                <w:sz w:val="21"/>
                <w:szCs w:val="21"/>
                <w:lang w:val="en-US" w:eastAsia="zh-CN"/>
              </w:rPr>
              <w:t>30</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kern w:val="0"/>
                <w:sz w:val="21"/>
                <w:szCs w:val="21"/>
              </w:rPr>
              <w:t>100</w:t>
            </w:r>
            <w:r>
              <w:rPr>
                <w:rFonts w:hint="eastAsia" w:asciiTheme="minorEastAsia" w:hAnsiTheme="minorEastAsia" w:eastAsiaTheme="minorEastAsia" w:cstheme="minorEastAsia"/>
                <w:sz w:val="21"/>
                <w:szCs w:val="21"/>
              </w:rPr>
              <w:t>（小数点后保留2位小数）。</w:t>
            </w:r>
            <w:r>
              <w:rPr>
                <w:rFonts w:hint="eastAsia" w:asciiTheme="minorEastAsia" w:hAnsiTheme="minorEastAsia" w:eastAsiaTheme="minorEastAsia" w:cstheme="minorEastAsia"/>
                <w:color w:val="000000" w:themeColor="text1"/>
                <w:sz w:val="21"/>
                <w:szCs w:val="21"/>
                <w14:textFill>
                  <w14:solidFill>
                    <w14:schemeClr w14:val="tx1"/>
                  </w14:solidFill>
                </w14:textFill>
              </w:rPr>
              <w:t>注：</w:t>
            </w:r>
            <w:r>
              <w:rPr>
                <w:rFonts w:hint="eastAsia" w:asciiTheme="minorEastAsia" w:hAnsiTheme="minorEastAsia" w:eastAsiaTheme="minorEastAsia" w:cstheme="minorEastAsia"/>
                <w:sz w:val="21"/>
                <w:szCs w:val="21"/>
              </w:rPr>
              <w:t>符</w:t>
            </w:r>
            <w:r>
              <w:rPr>
                <w:rFonts w:hint="eastAsia" w:asciiTheme="minorEastAsia" w:hAnsiTheme="minorEastAsia" w:eastAsiaTheme="minorEastAsia" w:cstheme="minorEastAsia"/>
                <w:color w:val="auto"/>
                <w:sz w:val="21"/>
                <w:szCs w:val="21"/>
              </w:rPr>
              <w:t>合本章第</w:t>
            </w:r>
            <w:r>
              <w:rPr>
                <w:rFonts w:hint="eastAsia" w:asciiTheme="minorEastAsia" w:hAnsiTheme="minorEastAsia" w:eastAsiaTheme="minorEastAsia" w:cstheme="minorEastAsia"/>
                <w:color w:val="auto"/>
                <w:sz w:val="21"/>
                <w:szCs w:val="21"/>
                <w:lang w:eastAsia="zh-CN"/>
              </w:rPr>
              <w:t>七</w:t>
            </w:r>
            <w:r>
              <w:rPr>
                <w:rFonts w:hint="eastAsia" w:asciiTheme="minorEastAsia" w:hAnsiTheme="minorEastAsia" w:eastAsiaTheme="minorEastAsia" w:cstheme="minorEastAsia"/>
                <w:color w:val="auto"/>
                <w:sz w:val="21"/>
                <w:szCs w:val="21"/>
              </w:rPr>
              <w:t>点政</w:t>
            </w:r>
            <w:r>
              <w:rPr>
                <w:rFonts w:hint="eastAsia" w:asciiTheme="minorEastAsia" w:hAnsiTheme="minorEastAsia" w:eastAsiaTheme="minorEastAsia" w:cstheme="minorEastAsia"/>
                <w:sz w:val="21"/>
                <w:szCs w:val="21"/>
              </w:rPr>
              <w:t>府采购政策的，对报价给予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20%</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的价格扣除，用扣除后的价格参与评审。</w:t>
            </w:r>
          </w:p>
        </w:tc>
        <w:tc>
          <w:tcPr>
            <w:tcW w:w="664" w:type="dxa"/>
            <w:tcMar>
              <w:top w:w="57" w:type="dxa"/>
              <w:left w:w="108" w:type="dxa"/>
              <w:bottom w:w="0" w:type="dxa"/>
              <w:right w:w="108" w:type="dxa"/>
            </w:tcMar>
            <w:vAlign w:val="center"/>
          </w:tcPr>
          <w:p>
            <w:pPr>
              <w:autoSpaceDE w:val="0"/>
              <w:autoSpaceDN w:val="0"/>
              <w:adjustRightInd w:val="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w:t>
            </w:r>
          </w:p>
        </w:tc>
      </w:tr>
    </w:tbl>
    <w:p>
      <w:pPr>
        <w:spacing w:line="360" w:lineRule="auto"/>
        <w:rPr>
          <w:rFonts w:hint="eastAsia"/>
          <w:b/>
          <w:bCs w:val="0"/>
          <w:color w:val="auto"/>
          <w:lang w:val="en-US" w:eastAsia="zh-CN"/>
        </w:rPr>
      </w:pPr>
      <w:r>
        <w:rPr>
          <w:rFonts w:hint="eastAsia" w:hAnsi="宋体" w:cs="宋体"/>
          <w:b/>
          <w:bCs w:val="0"/>
          <w:color w:val="auto"/>
          <w:sz w:val="24"/>
        </w:rPr>
        <w:t>注：</w:t>
      </w:r>
      <w:r>
        <w:rPr>
          <w:rFonts w:hint="eastAsia"/>
          <w:b/>
          <w:bCs w:val="0"/>
          <w:color w:val="auto"/>
          <w:lang w:val="en-US" w:eastAsia="zh-CN"/>
        </w:rPr>
        <w:t>①合同、证书、报告及其他相关证明材料，将原件扫描上传至电子投标文件，并加盖电子印章。（中标后签订合同前，中标人须提供原件给采购人核查。）</w:t>
      </w:r>
    </w:p>
    <w:p>
      <w:pPr>
        <w:spacing w:line="360" w:lineRule="auto"/>
        <w:ind w:firstLine="422" w:firstLineChars="200"/>
        <w:rPr>
          <w:rFonts w:hint="eastAsia"/>
          <w:b/>
          <w:bCs w:val="0"/>
          <w:color w:val="auto"/>
        </w:rPr>
      </w:pPr>
      <w:r>
        <w:rPr>
          <w:rFonts w:hint="eastAsia"/>
          <w:b/>
          <w:bCs w:val="0"/>
          <w:color w:val="auto"/>
          <w:lang w:val="en-US" w:eastAsia="zh-CN"/>
        </w:rPr>
        <w:t>②对省级以上主管部门认定的首台套产品，自纳入《省推广应用指导目录》起三年内参加政府采购活动时,视同已具备相应销售业绩，业绩分为满分。</w:t>
      </w:r>
    </w:p>
    <w:p>
      <w:pPr>
        <w:pStyle w:val="2"/>
        <w:rPr>
          <w:rFonts w:hint="eastAsia" w:eastAsia="宋体"/>
          <w:b/>
          <w:bCs w:val="0"/>
          <w:lang w:val="en-US" w:eastAsia="zh-CN"/>
        </w:rPr>
      </w:pPr>
      <w:r>
        <w:rPr>
          <w:rFonts w:hint="eastAsia" w:ascii="Times New Roman" w:hAnsi="Times New Roman" w:eastAsia="宋体" w:cs="Times New Roman"/>
          <w:b/>
          <w:bCs w:val="0"/>
          <w:color w:val="auto"/>
          <w:kern w:val="2"/>
          <w:sz w:val="21"/>
          <w:szCs w:val="24"/>
          <w:lang w:val="en-US" w:eastAsia="zh-CN" w:bidi="ar-SA"/>
        </w:rPr>
        <w:t>③证书需提供国家行政单位及获认可的机构出具的证明材料。</w:t>
      </w:r>
    </w:p>
    <w:p>
      <w:pPr>
        <w:pStyle w:val="2"/>
        <w:rPr>
          <w:b/>
          <w:bCs w:val="0"/>
        </w:rPr>
      </w:pPr>
    </w:p>
    <w:p>
      <w:pPr>
        <w:pStyle w:val="10"/>
        <w:snapToGrid w:val="0"/>
        <w:spacing w:line="360" w:lineRule="auto"/>
        <w:ind w:firstLine="482" w:firstLineChars="200"/>
        <w:rPr>
          <w:rFonts w:hint="eastAsia" w:asciiTheme="minorEastAsia" w:hAnsiTheme="minorEastAsia" w:eastAsiaTheme="minorEastAsia"/>
          <w:b/>
          <w:sz w:val="24"/>
        </w:rPr>
      </w:pP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eastAsia="zh-CN"/>
        </w:rPr>
        <w:t>“</w:t>
      </w:r>
      <w:r>
        <w:rPr>
          <w:rFonts w:hint="eastAsia" w:ascii="宋体" w:hAnsi="宋体" w:cs="宋体"/>
          <w:sz w:val="24"/>
        </w:rPr>
        <w:t>政采云平台</w:t>
      </w:r>
      <w:r>
        <w:rPr>
          <w:rFonts w:hint="eastAsia" w:ascii="宋体" w:hAnsi="宋体" w:cs="宋体"/>
          <w:sz w:val="24"/>
          <w:lang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16"/>
        <w:spacing w:before="0" w:beforeAutospacing="0" w:after="0" w:afterAutospacing="0" w:line="360" w:lineRule="auto"/>
        <w:ind w:firstLine="482" w:firstLineChars="200"/>
        <w:jc w:val="both"/>
        <w:rPr>
          <w:rFonts w:hint="default" w:asciiTheme="minorEastAsia" w:hAnsiTheme="minorEastAsia" w:eastAsiaTheme="minorEastAsia"/>
          <w:b/>
          <w:bCs/>
        </w:rPr>
      </w:pPr>
    </w:p>
    <w:p>
      <w:pPr>
        <w:spacing w:line="360" w:lineRule="auto"/>
        <w:jc w:val="center"/>
        <w:rPr>
          <w:rFonts w:asciiTheme="minorEastAsia" w:hAnsiTheme="minorEastAsia" w:eastAsiaTheme="minorEastAsia"/>
          <w:b/>
          <w:sz w:val="36"/>
          <w:szCs w:val="36"/>
        </w:rPr>
      </w:pPr>
      <w:bookmarkStart w:id="41" w:name="_Toc27944_WPSOffice_Level1"/>
      <w:r>
        <w:rPr>
          <w:rFonts w:hint="eastAsia" w:asciiTheme="minorEastAsia" w:hAnsiTheme="minorEastAsia" w:eastAsiaTheme="minorEastAsia"/>
          <w:b/>
          <w:sz w:val="36"/>
          <w:szCs w:val="36"/>
        </w:rPr>
        <w:t xml:space="preserve">第五章 </w:t>
      </w:r>
      <w:bookmarkEnd w:id="41"/>
      <w:r>
        <w:rPr>
          <w:rFonts w:hint="eastAsia" w:asciiTheme="minorEastAsia" w:hAnsiTheme="minorEastAsia" w:eastAsiaTheme="minorEastAsia"/>
          <w:b/>
          <w:sz w:val="36"/>
          <w:szCs w:val="36"/>
        </w:rPr>
        <w:t>拟签订的合同文本</w:t>
      </w:r>
    </w:p>
    <w:p>
      <w:pPr>
        <w:widowControl/>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以下为成交后签</w:t>
      </w:r>
      <w:r>
        <w:rPr>
          <w:rFonts w:hint="eastAsia" w:asciiTheme="minorEastAsia" w:hAnsiTheme="minorEastAsia" w:eastAsiaTheme="minorEastAsia"/>
          <w:sz w:val="24"/>
        </w:rPr>
        <w:t>订</w:t>
      </w:r>
      <w:r>
        <w:rPr>
          <w:rFonts w:asciiTheme="minorEastAsia" w:hAnsiTheme="minorEastAsia" w:eastAsiaTheme="minorEastAsia"/>
          <w:sz w:val="24"/>
        </w:rPr>
        <w:t>本项目合同的通用条款，</w:t>
      </w:r>
      <w:r>
        <w:rPr>
          <w:rFonts w:hint="eastAsia" w:asciiTheme="minorEastAsia" w:hAnsiTheme="minorEastAsia" w:eastAsiaTheme="minorEastAsia"/>
          <w:sz w:val="24"/>
        </w:rPr>
        <w:t>中标人</w:t>
      </w:r>
      <w:r>
        <w:rPr>
          <w:rFonts w:asciiTheme="minorEastAsia" w:hAnsiTheme="minorEastAsia" w:eastAsiaTheme="minorEastAsia"/>
          <w:sz w:val="24"/>
        </w:rPr>
        <w:t>不得提出实质性的修改，关于专用条款将由采购人与</w:t>
      </w:r>
      <w:r>
        <w:rPr>
          <w:rFonts w:hint="eastAsia" w:asciiTheme="minorEastAsia" w:hAnsiTheme="minorEastAsia" w:eastAsiaTheme="minorEastAsia"/>
          <w:sz w:val="24"/>
        </w:rPr>
        <w:t>中标人</w:t>
      </w:r>
      <w:r>
        <w:rPr>
          <w:rFonts w:asciiTheme="minorEastAsia" w:hAnsiTheme="minorEastAsia" w:eastAsiaTheme="minorEastAsia"/>
          <w:sz w:val="24"/>
        </w:rPr>
        <w:t>结合本项目具体情况协商后签订。</w:t>
      </w:r>
    </w:p>
    <w:p>
      <w:pPr>
        <w:pStyle w:val="10"/>
        <w:snapToGrid w:val="0"/>
        <w:spacing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0"/>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0"/>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pStyle w:val="10"/>
        <w:snapToGrid w:val="0"/>
        <w:spacing w:line="360" w:lineRule="auto"/>
        <w:ind w:firstLine="480" w:firstLineChars="200"/>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sz w:val="24"/>
        </w:rPr>
        <w:t>××</w:t>
      </w:r>
      <w:r>
        <w:rPr>
          <w:rFonts w:asciiTheme="minorEastAsia" w:hAnsiTheme="minorEastAsia" w:eastAsiaTheme="minorEastAsia"/>
          <w:sz w:val="24"/>
        </w:rPr>
        <w:t>单位</w:t>
      </w:r>
      <w:r>
        <w:rPr>
          <w:rFonts w:hint="eastAsia" w:cs="Arial" w:asciiTheme="minorEastAsia" w:hAnsiTheme="minorEastAsia" w:eastAsiaTheme="minorEastAsia"/>
          <w:sz w:val="24"/>
        </w:rPr>
        <w:t>××</w:t>
      </w:r>
      <w:r>
        <w:rPr>
          <w:rFonts w:asciiTheme="minorEastAsia" w:hAnsiTheme="minorEastAsia" w:eastAsiaTheme="minorEastAsia"/>
          <w:sz w:val="24"/>
        </w:rPr>
        <w:t>项目公开招标的结果，签署本合同。</w:t>
      </w:r>
    </w:p>
    <w:p>
      <w:pPr>
        <w:spacing w:line="360" w:lineRule="auto"/>
        <w:ind w:firstLine="482" w:firstLineChars="200"/>
        <w:rPr>
          <w:rFonts w:ascii="宋体"/>
          <w:b/>
          <w:bCs/>
          <w:sz w:val="24"/>
          <w:lang w:val="zh-CN"/>
        </w:rPr>
      </w:pPr>
      <w:r>
        <w:rPr>
          <w:rFonts w:hint="eastAsia" w:ascii="宋体"/>
          <w:b/>
          <w:bCs/>
          <w:sz w:val="24"/>
          <w:lang w:val="zh-CN"/>
        </w:rPr>
        <w:t>一、合同文件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0"/>
        <w:snapToGrid w:val="0"/>
        <w:spacing w:line="360" w:lineRule="auto"/>
        <w:ind w:firstLine="480" w:firstLineChars="200"/>
        <w:rPr>
          <w:rFonts w:hAnsi="Times New Roman"/>
          <w:sz w:val="24"/>
          <w:lang w:val="zh-CN"/>
        </w:rPr>
      </w:pPr>
      <w:r>
        <w:rPr>
          <w:rFonts w:hint="eastAsia"/>
          <w:sz w:val="24"/>
          <w:lang w:val="zh-CN"/>
        </w:rPr>
        <w:t>上述所指合同文件应认为是互相补充和解释的，但是有模棱两可或互相矛盾之处，以其所列内容顺序为准。</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货物名称：</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型号规格：</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技术参数：</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数量（单位）：</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本合同金额为（大写）：____________________元（￥__________元）人民币。</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乙方应按招标文件规定的时间向甲方提供使用货物的有关技术资料。</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乙方应保证所提供的货物或其任何一部分均不会侵犯任何第三方的知识产权。</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（二）若侵犯</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由乙方赔偿甲方因此遭受的损失（包括但不限于应对及追偿过程中所支付的律师费、差旅费、诉讼费、保全费、鉴定费、评估费等）。</w:t>
      </w:r>
    </w:p>
    <w:p>
      <w:pPr>
        <w:pStyle w:val="10"/>
        <w:snapToGrid w:val="0"/>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0"/>
        <w:snapToGrid w:val="0"/>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eastAsia="zh-CN"/>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rPr>
        <w:t>质保期满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0"/>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质保期</w:t>
      </w:r>
      <w:r>
        <w:rPr>
          <w:rFonts w:hAnsi="宋体" w:cs="Times New Roman"/>
          <w:sz w:val="24"/>
        </w:rPr>
        <w:t>___</w:t>
      </w:r>
      <w:r>
        <w:rPr>
          <w:rFonts w:asciiTheme="minorEastAsia" w:hAnsiTheme="minorEastAsia" w:eastAsiaTheme="minorEastAsia"/>
          <w:sz w:val="24"/>
        </w:rPr>
        <w:t>年。（自交货验收合格之日起计）</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交货期：</w:t>
      </w:r>
    </w:p>
    <w:p>
      <w:pPr>
        <w:pStyle w:val="1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（二）</w:t>
      </w:r>
      <w:r>
        <w:rPr>
          <w:rFonts w:asciiTheme="minorEastAsia" w:hAnsiTheme="minorEastAsia" w:eastAsiaTheme="minorEastAsia"/>
          <w:bCs/>
          <w:sz w:val="24"/>
        </w:rPr>
        <w:t>交货方式：</w:t>
      </w:r>
    </w:p>
    <w:p>
      <w:pPr>
        <w:pStyle w:val="10"/>
        <w:snapToGrid w:val="0"/>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bCs/>
          <w:sz w:val="24"/>
        </w:rPr>
        <w:t>（三）</w:t>
      </w:r>
      <w:r>
        <w:rPr>
          <w:rFonts w:asciiTheme="minorEastAsia" w:hAnsiTheme="minorEastAsia" w:eastAsiaTheme="minorEastAsia"/>
          <w:bCs/>
          <w:sz w:val="24"/>
        </w:rPr>
        <w:t>交货地点：</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一</w:t>
      </w:r>
      <w:r>
        <w:rPr>
          <w:rFonts w:asciiTheme="minorEastAsia" w:hAnsiTheme="minorEastAsia" w:eastAsiaTheme="minorEastAsia"/>
          <w:b/>
          <w:sz w:val="24"/>
        </w:rPr>
        <w:t>、货款支付</w:t>
      </w:r>
    </w:p>
    <w:p>
      <w:pPr>
        <w:pStyle w:val="1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付款方式：</w:t>
      </w:r>
    </w:p>
    <w:p>
      <w:pPr>
        <w:pStyle w:val="10"/>
        <w:snapToGrid w:val="0"/>
        <w:spacing w:line="360" w:lineRule="auto"/>
        <w:ind w:firstLine="480" w:firstLineChars="200"/>
        <w:rPr>
          <w:rFonts w:asciiTheme="minorEastAsia" w:hAnsiTheme="minorEastAsia" w:eastAsiaTheme="minorEastAsia"/>
          <w:bCs/>
          <w:sz w:val="24"/>
        </w:rPr>
      </w:pPr>
      <w:r>
        <w:rPr>
          <w:rFonts w:hint="eastAsia" w:hAnsi="Times New Roman"/>
          <w:sz w:val="24"/>
          <w:lang w:val="zh-CN"/>
        </w:rPr>
        <w:t>（</w:t>
      </w:r>
      <w:r>
        <w:rPr>
          <w:rFonts w:hint="eastAsia" w:hAnsi="Times New Roman"/>
          <w:sz w:val="24"/>
        </w:rPr>
        <w:t>二</w:t>
      </w:r>
      <w:r>
        <w:rPr>
          <w:rFonts w:hint="eastAsia" w:hAnsi="Times New Roman"/>
          <w:sz w:val="24"/>
          <w:lang w:val="zh-CN"/>
        </w:rPr>
        <w:t>）当采购数量与实际使用数量不一致时，由采购单位向同级财政部门申请并经批准后，可以由乙方根据实际使用量供货，合同的最终结算金额按实际使用量乘以成交单价进行计算。</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0"/>
        <w:snapToGrid w:val="0"/>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乙方应按招标文件规定的货物性能、技术要求、质量标准向甲方提供未经使用的全新产品。</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更换：由乙方承担所发生的全部费用。</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贬值处理：由甲乙双方合议定价。</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退货处理：乙方应退还甲方支付的合同款，同时应承担该货物的直接费用（运输、保险、检验、货款利息及银行手续费等）。</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如在使用过程中发生质量问题，乙方在接到甲方通知后在</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小时内到达甲方现场。</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在质保期内，乙方应对货物出现的质量及安全问题负责处理解决并承担一切费用。</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上述的货物免费保修期为</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年，因人为因素出现的故障不在免费保修范围内。超过保修期的机器设备，终生维修，维修时只收部件成本费。</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甲方对乙方提交的货物依据招标文件上的技术规格要求和国家有关质量标准进行现场初步验收，外观、说明书符合招标文件技术要求的，给予签收，初步验收不合格的不予签收。货到后，甲方需在</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乙方交货前应对产品作出全面检查和对验收文件进行整理，并列出清单，作为甲方收货验收和使用的技术条件依据，检验的结果应随货物交甲方。</w:t>
      </w:r>
    </w:p>
    <w:p>
      <w:pPr>
        <w:pStyle w:val="10"/>
        <w:snapToGrid w:val="0"/>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（三）</w:t>
      </w:r>
      <w:r>
        <w:rPr>
          <w:rFonts w:asciiTheme="minorEastAsia" w:hAnsiTheme="minorEastAsia" w:eastAsiaTheme="minorEastAsia"/>
          <w:sz w:val="24"/>
        </w:rPr>
        <w:t>甲方对乙方提供的货物在使用前进行调试时，乙方需负责安装并培训甲方的使用操作人员，并协助甲方一起调试，直到符合技术要求，甲方才做最终验收。</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对技术复杂的货物，甲方应请国家认可的专业检测机构参与初步验收及最终验收，并由其出具质量检测报告。</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方负责。</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乙方应在货物发运前对其进行满足运输距离、防潮、防震、防锈和防破损装卸等要求包装，以保证货物安全运达甲方指定地点。</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使用说明书、质量检验证明书、随配附件和工具以及清单一并附于货物内。</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乙方在货物发运手续办理完毕后</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小时内或货到甲方</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小时前通知甲方，以准备接货。</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货物在交付甲方前发生的风险均由乙方负责。</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货物在规定的交付期限内由乙方送达甲方指定的地点视为交付，乙方同时需通知甲方货物已送达。</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（六）乙方运送的货物涉及商品包装和快递包装的，参考《商品包装政府采购需求标准（试行）》、《快递包装政府采购需求标准（试行）》（财办库［2020］123号）。</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甲方无正当理由拒收货物的，甲方向乙方偿付拒收货款总值的</w:t>
      </w:r>
      <w:r>
        <w:rPr>
          <w:rFonts w:asciiTheme="minorEastAsia" w:hAnsiTheme="minorEastAsia" w:eastAsiaTheme="minorEastAsia"/>
          <w:sz w:val="24"/>
          <w:u w:val="single"/>
        </w:rPr>
        <w:t>百分之五</w:t>
      </w:r>
      <w:r>
        <w:rPr>
          <w:rFonts w:asciiTheme="minorEastAsia" w:hAnsiTheme="minorEastAsia" w:eastAsiaTheme="minorEastAsia"/>
          <w:sz w:val="24"/>
        </w:rPr>
        <w:t>违约金。</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甲方无故逾期验收和办理货款支付手续的</w:t>
      </w:r>
      <w:r>
        <w:rPr>
          <w:rFonts w:hint="eastAsia" w:asciiTheme="minorEastAsia" w:hAnsiTheme="minorEastAsia" w:eastAsiaTheme="minorEastAsia"/>
          <w:sz w:val="24"/>
          <w:lang w:eastAsia="zh-CN"/>
        </w:rPr>
        <w:t>，</w:t>
      </w:r>
      <w:r>
        <w:rPr>
          <w:rFonts w:asciiTheme="minorEastAsia" w:hAnsiTheme="minorEastAsia" w:eastAsiaTheme="minorEastAsia"/>
          <w:sz w:val="24"/>
        </w:rPr>
        <w:t>甲方应按逾期付款总额每日</w:t>
      </w:r>
      <w:r>
        <w:rPr>
          <w:rFonts w:asciiTheme="minorEastAsia" w:hAnsiTheme="minorEastAsia" w:eastAsiaTheme="minorEastAsia"/>
          <w:sz w:val="24"/>
          <w:u w:val="single"/>
        </w:rPr>
        <w:t>万分之五</w:t>
      </w:r>
      <w:r>
        <w:rPr>
          <w:rFonts w:asciiTheme="minorEastAsia" w:hAnsiTheme="minorEastAsia" w:eastAsiaTheme="minorEastAsia"/>
          <w:sz w:val="24"/>
        </w:rPr>
        <w:t>向乙方支付违约金。</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乙方逾期交付货物的，乙方应按逾期交货总额每日</w:t>
      </w:r>
      <w:r>
        <w:rPr>
          <w:rFonts w:asciiTheme="minorEastAsia" w:hAnsiTheme="minorEastAsia" w:eastAsiaTheme="minorEastAsia"/>
          <w:sz w:val="24"/>
          <w:u w:val="single"/>
        </w:rPr>
        <w:t>千分之六</w:t>
      </w:r>
      <w:r>
        <w:rPr>
          <w:rFonts w:asciiTheme="minorEastAsia" w:hAnsiTheme="minorEastAsia" w:eastAsiaTheme="minorEastAsia"/>
          <w:sz w:val="24"/>
        </w:rPr>
        <w:t>向甲方支付违约金，由甲方从待付货款中扣除。逾期超过约定日期</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（五）若发生纠纷，由违约方赔偿守约方因纠纷所支付的费用（包括但不限于律师费、差旅费、诉讼费、保全费、鉴定费、评估费等）。</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在合同有效期内，任何一方因不可抗力事件导致不能履行合同，则合同履行期可延长，其延长期与不可抗力影响期相同。</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不可抗力事件发生后，应立即通知对方，并寄送有关权威机构出具的证明。</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不可抗力事件延续120天以上，双方应通过友好协商，确定是否继续履行合同。</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pStyle w:val="1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0"/>
        <w:tabs>
          <w:tab w:val="left" w:pos="5790"/>
        </w:tabs>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8"/>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（一）</w:t>
      </w:r>
      <w:r>
        <w:rPr>
          <w:rFonts w:asciiTheme="minorEastAsia" w:hAnsiTheme="minorEastAsia" w:eastAsiaTheme="minorEastAsia"/>
        </w:rPr>
        <w:t>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8"/>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（二）</w:t>
      </w:r>
      <w:r>
        <w:rPr>
          <w:rFonts w:asciiTheme="minorEastAsia" w:hAnsiTheme="minorEastAsia" w:eastAsiaTheme="minorEastAsia"/>
        </w:rPr>
        <w:t>本合同未尽事宜，遵照</w:t>
      </w:r>
      <w:r>
        <w:rPr>
          <w:rFonts w:hint="eastAsia" w:ascii="宋体" w:hAnsi="宋体" w:eastAsia="宋体" w:cs="宋体"/>
        </w:rPr>
        <w:t>《</w:t>
      </w:r>
      <w:r>
        <w:rPr>
          <w:rFonts w:hint="eastAsia" w:ascii="宋体" w:hAnsi="宋体" w:eastAsia="宋体" w:cs="宋体"/>
          <w:color w:val="111F2C"/>
          <w:szCs w:val="21"/>
          <w:shd w:val="clear" w:color="auto" w:fill="FFFFFF"/>
        </w:rPr>
        <w:t>中华人民共和国民法典</w:t>
      </w:r>
      <w:r>
        <w:rPr>
          <w:rFonts w:hint="eastAsia" w:ascii="宋体" w:hAnsi="宋体" w:eastAsia="宋体" w:cs="宋体"/>
        </w:rPr>
        <w:t>》有关</w:t>
      </w:r>
      <w:r>
        <w:rPr>
          <w:rFonts w:asciiTheme="minorEastAsia" w:hAnsiTheme="minorEastAsia" w:eastAsiaTheme="minorEastAsia"/>
        </w:rPr>
        <w:t>条文执行。</w:t>
      </w:r>
    </w:p>
    <w:p>
      <w:pPr>
        <w:pStyle w:val="8"/>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（三）本合同一式两份，甲、乙双方各执一份。本项目未尽事宜以招标文件、投标文件及澄清文件等为准。</w:t>
      </w:r>
    </w:p>
    <w:p>
      <w:pPr>
        <w:widowControl/>
        <w:spacing w:line="360" w:lineRule="auto"/>
        <w:ind w:firstLine="482" w:firstLineChars="200"/>
        <w:rPr>
          <w:rFonts w:asciiTheme="minorEastAsia" w:hAnsiTheme="minorEastAsia" w:eastAsiaTheme="minorEastAsia"/>
          <w:b/>
          <w:sz w:val="24"/>
        </w:rPr>
      </w:pPr>
    </w:p>
    <w:p>
      <w:pPr>
        <w:widowControl/>
        <w:spacing w:line="360" w:lineRule="auto"/>
        <w:ind w:firstLine="482" w:firstLineChars="200"/>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甲方（盖章）                                     乙方（盖章）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账号：                                           账号：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ind w:firstLine="480" w:firstLineChars="200"/>
        <w:rPr>
          <w:rFonts w:asciiTheme="minorEastAsia" w:hAnsiTheme="minorEastAsia" w:eastAsiaTheme="minorEastAsia"/>
          <w:sz w:val="24"/>
        </w:rPr>
      </w:pPr>
    </w:p>
    <w:p>
      <w:pPr>
        <w:spacing w:line="360" w:lineRule="auto"/>
        <w:jc w:val="center"/>
        <w:rPr>
          <w:rFonts w:hint="eastAsia" w:asciiTheme="minorEastAsia" w:hAnsiTheme="minorEastAsia" w:eastAsiaTheme="minorEastAsia"/>
          <w:b/>
          <w:sz w:val="36"/>
          <w:szCs w:val="36"/>
        </w:rPr>
      </w:pPr>
      <w:bookmarkStart w:id="42" w:name="_Toc5481_WPSOffice_Level1"/>
    </w:p>
    <w:p>
      <w:pPr>
        <w:pStyle w:val="2"/>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第六章 投标文件格式</w:t>
      </w:r>
      <w:bookmarkEnd w:id="42"/>
    </w:p>
    <w:p>
      <w:pPr>
        <w:rPr>
          <w:rFonts w:hint="eastAsia" w:ascii="宋体" w:hAnsi="宋体"/>
          <w:b/>
          <w:kern w:val="0"/>
          <w:sz w:val="28"/>
          <w:szCs w:val="28"/>
          <w:lang w:val="en-US" w:eastAsia="zh-CN"/>
        </w:rPr>
      </w:pPr>
      <w:r>
        <w:rPr>
          <w:rFonts w:hint="eastAsia" w:ascii="宋体" w:hAnsi="宋体"/>
          <w:b/>
          <w:kern w:val="0"/>
          <w:sz w:val="28"/>
          <w:szCs w:val="28"/>
          <w:lang w:val="en-US" w:eastAsia="zh-CN"/>
        </w:rPr>
        <w:t xml:space="preserve"> </w:t>
      </w: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3" w:name="_Toc32372_WPSOffice_Level1"/>
      <w:bookmarkStart w:id="44" w:name="_Toc4956_WPSOffice_Level1"/>
      <w:bookmarkStart w:id="45" w:name="_Toc19093_WPSOffice_Level1"/>
      <w:r>
        <w:rPr>
          <w:rFonts w:hint="eastAsia"/>
          <w:sz w:val="52"/>
          <w:szCs w:val="52"/>
        </w:rPr>
        <w:t>项目名称</w:t>
      </w:r>
      <w:bookmarkEnd w:id="43"/>
      <w:bookmarkEnd w:id="44"/>
      <w:bookmarkEnd w:id="45"/>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8"/>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18"/>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rPr>
          <w:rFonts w:ascii="仿宋_GB2312" w:hAnsi="宋体" w:eastAsia="仿宋_GB2312"/>
          <w:b/>
          <w:sz w:val="36"/>
          <w:szCs w:val="36"/>
        </w:rPr>
      </w:pPr>
      <w:r>
        <w:rPr>
          <w:rFonts w:ascii="仿宋_GB2312" w:hAnsi="宋体" w:eastAsia="仿宋_GB2312"/>
          <w:b/>
          <w:sz w:val="36"/>
          <w:szCs w:val="36"/>
        </w:rPr>
        <w:br w:type="page"/>
      </w:r>
    </w:p>
    <w:p>
      <w:pPr>
        <w:pStyle w:val="18"/>
      </w:pPr>
    </w:p>
    <w:p>
      <w:pPr>
        <w:spacing w:line="360" w:lineRule="auto"/>
        <w:jc w:val="center"/>
        <w:rPr>
          <w:rFonts w:hint="eastAsia"/>
          <w:b/>
          <w:bCs/>
          <w:sz w:val="36"/>
          <w:szCs w:val="36"/>
        </w:rPr>
      </w:pPr>
      <w:r>
        <w:rPr>
          <w:rFonts w:hint="eastAsia"/>
          <w:b/>
          <w:bCs/>
          <w:sz w:val="36"/>
          <w:szCs w:val="36"/>
        </w:rPr>
        <w:t>资格证明文件目录</w:t>
      </w:r>
    </w:p>
    <w:p>
      <w:pPr>
        <w:pStyle w:val="2"/>
      </w:pPr>
    </w:p>
    <w:p/>
    <w:p>
      <w:pPr>
        <w:numPr>
          <w:ilvl w:val="0"/>
          <w:numId w:val="7"/>
        </w:numPr>
        <w:spacing w:line="360" w:lineRule="auto"/>
        <w:ind w:hanging="5"/>
        <w:rPr>
          <w:rFonts w:hint="eastAsia"/>
          <w:sz w:val="28"/>
          <w:szCs w:val="36"/>
        </w:rPr>
      </w:pPr>
      <w:bookmarkStart w:id="46" w:name="_Toc27049_WPSOffice_Level1"/>
      <w:bookmarkStart w:id="47" w:name="_Toc12587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46"/>
      <w:bookmarkEnd w:id="47"/>
    </w:p>
    <w:p>
      <w:pPr>
        <w:numPr>
          <w:ilvl w:val="0"/>
          <w:numId w:val="7"/>
        </w:numPr>
        <w:spacing w:line="360" w:lineRule="auto"/>
        <w:ind w:hanging="5"/>
        <w:rPr>
          <w:rFonts w:hint="eastAsia"/>
          <w:sz w:val="28"/>
          <w:szCs w:val="36"/>
        </w:rPr>
      </w:pPr>
      <w:bookmarkStart w:id="48" w:name="_Toc25574_WPSOffice_Level1"/>
      <w:bookmarkStart w:id="49" w:name="_Toc28306_WPSOffice_Level1"/>
      <w:r>
        <w:rPr>
          <w:rFonts w:hint="eastAsia"/>
          <w:sz w:val="28"/>
          <w:szCs w:val="36"/>
        </w:rPr>
        <w:t>授权委托书（法定代表人办理投标事宜的，则无需提交）（附件</w:t>
      </w:r>
      <w:r>
        <w:rPr>
          <w:rFonts w:hint="eastAsia"/>
          <w:sz w:val="28"/>
          <w:szCs w:val="36"/>
          <w:lang w:val="en-US" w:eastAsia="zh-CN"/>
        </w:rPr>
        <w:t>2</w:t>
      </w:r>
      <w:r>
        <w:rPr>
          <w:rFonts w:hint="eastAsia"/>
          <w:sz w:val="28"/>
          <w:szCs w:val="36"/>
        </w:rPr>
        <w:t>）</w:t>
      </w:r>
      <w:bookmarkEnd w:id="48"/>
      <w:bookmarkEnd w:id="49"/>
    </w:p>
    <w:p>
      <w:pPr>
        <w:numPr>
          <w:ilvl w:val="0"/>
          <w:numId w:val="7"/>
        </w:numPr>
        <w:spacing w:line="360" w:lineRule="auto"/>
        <w:ind w:hanging="5"/>
        <w:rPr>
          <w:rFonts w:hint="eastAsia"/>
          <w:sz w:val="28"/>
          <w:szCs w:val="36"/>
        </w:rPr>
      </w:pPr>
      <w:bookmarkStart w:id="50" w:name="_Toc29616_WPSOffice_Level1"/>
      <w:bookmarkStart w:id="51" w:name="_Toc32100_WPSOffice_Level1"/>
      <w:r>
        <w:rPr>
          <w:rFonts w:hint="eastAsia"/>
          <w:sz w:val="28"/>
          <w:szCs w:val="36"/>
        </w:rPr>
        <w:t>法人或者其他组织的营业执照等证明文件、自然人的身份证明</w:t>
      </w:r>
      <w:bookmarkEnd w:id="50"/>
      <w:bookmarkEnd w:id="51"/>
    </w:p>
    <w:p>
      <w:pPr>
        <w:numPr>
          <w:ilvl w:val="0"/>
          <w:numId w:val="7"/>
        </w:numPr>
        <w:spacing w:line="360" w:lineRule="auto"/>
        <w:ind w:hanging="5"/>
        <w:rPr>
          <w:rFonts w:hint="eastAsia"/>
          <w:sz w:val="28"/>
          <w:szCs w:val="36"/>
        </w:rPr>
      </w:pPr>
      <w:bookmarkStart w:id="52" w:name="_Toc30751_WPSOffice_Level1"/>
      <w:bookmarkStart w:id="53" w:name="_Toc2696_WPSOffice_Level1"/>
      <w:r>
        <w:rPr>
          <w:rFonts w:hint="eastAsia"/>
          <w:sz w:val="28"/>
          <w:szCs w:val="36"/>
        </w:rPr>
        <w:t>符合参与政府采购活动的资格条件并且没有税收缴纳、社会保障等方面的失信记录的承诺函</w:t>
      </w:r>
    </w:p>
    <w:p>
      <w:pPr>
        <w:numPr>
          <w:ilvl w:val="0"/>
          <w:numId w:val="7"/>
        </w:numPr>
        <w:spacing w:line="360" w:lineRule="auto"/>
        <w:ind w:hanging="5"/>
        <w:rPr>
          <w:rFonts w:hint="eastAsia"/>
          <w:sz w:val="28"/>
          <w:szCs w:val="36"/>
        </w:rPr>
      </w:pPr>
      <w:r>
        <w:rPr>
          <w:rFonts w:hint="eastAsia"/>
          <w:sz w:val="28"/>
          <w:szCs w:val="36"/>
        </w:rPr>
        <w:t>具备履行合同所必需的设备和专业技术能力的证明材料</w:t>
      </w:r>
      <w:bookmarkEnd w:id="52"/>
      <w:bookmarkEnd w:id="53"/>
    </w:p>
    <w:p>
      <w:pPr>
        <w:numPr>
          <w:ilvl w:val="0"/>
          <w:numId w:val="7"/>
        </w:numPr>
        <w:spacing w:line="360" w:lineRule="auto"/>
        <w:ind w:hanging="5"/>
        <w:rPr>
          <w:rFonts w:hint="eastAsia"/>
          <w:sz w:val="28"/>
          <w:szCs w:val="36"/>
        </w:rPr>
      </w:pPr>
      <w:bookmarkStart w:id="54" w:name="_Toc4587_WPSOffice_Level1"/>
      <w:bookmarkStart w:id="55" w:name="_Toc14150_WPSOffice_Level1"/>
      <w:r>
        <w:rPr>
          <w:rFonts w:hint="eastAsia"/>
          <w:sz w:val="28"/>
          <w:szCs w:val="36"/>
        </w:rPr>
        <w:t>本项目要求的特定资质证书</w:t>
      </w:r>
      <w:bookmarkEnd w:id="54"/>
      <w:bookmarkEnd w:id="55"/>
    </w:p>
    <w:p>
      <w:pPr>
        <w:spacing w:line="360" w:lineRule="auto"/>
        <w:ind w:firstLine="482" w:firstLineChars="200"/>
        <w:rPr>
          <w:rFonts w:ascii="宋体" w:hAnsi="宋体"/>
          <w:b/>
          <w:sz w:val="24"/>
        </w:rPr>
      </w:pPr>
    </w:p>
    <w:p>
      <w:pPr>
        <w:spacing w:line="360" w:lineRule="auto"/>
        <w:ind w:left="420"/>
        <w:rPr>
          <w:rFonts w:ascii="宋体" w:hAnsi="宋体"/>
          <w:b/>
          <w:sz w:val="28"/>
        </w:rPr>
      </w:pPr>
    </w:p>
    <w:p>
      <w:pPr>
        <w:pStyle w:val="25"/>
        <w:rPr>
          <w:rFonts w:ascii="宋体" w:hAnsi="宋体"/>
          <w:b/>
          <w:sz w:val="28"/>
        </w:rPr>
      </w:pPr>
    </w:p>
    <w:p>
      <w:pPr>
        <w:pStyle w:val="25"/>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rPr>
          <w:rFonts w:ascii="宋体" w:hAnsi="宋体"/>
          <w:b/>
          <w:sz w:val="28"/>
        </w:rPr>
      </w:pPr>
      <w:r>
        <w:rPr>
          <w:rFonts w:ascii="宋体" w:hAnsi="宋体"/>
          <w:b/>
          <w:sz w:val="28"/>
        </w:rPr>
        <w:br w:type="page"/>
      </w: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56" w:name="_Toc31708_WPSOffice_Level1"/>
      <w:bookmarkStart w:id="57" w:name="_Toc30723_WPSOffice_Level1"/>
      <w:r>
        <w:rPr>
          <w:rFonts w:hint="eastAsia" w:ascii="宋体" w:hAnsi="宋体"/>
          <w:b/>
          <w:kern w:val="0"/>
          <w:sz w:val="32"/>
          <w:szCs w:val="32"/>
          <w:lang w:val="zh-CN"/>
        </w:rPr>
        <w:t>投标声明书</w:t>
      </w:r>
      <w:bookmarkEnd w:id="56"/>
      <w:bookmarkEnd w:id="57"/>
    </w:p>
    <w:p>
      <w:pPr>
        <w:snapToGrid w:val="0"/>
        <w:spacing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8"/>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8"/>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8"/>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8"/>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8"/>
        </w:numPr>
        <w:snapToGrid w:val="0"/>
        <w:spacing w:line="360" w:lineRule="auto"/>
        <w:ind w:left="5" w:firstLine="415"/>
        <w:rPr>
          <w:rFonts w:ascii="仿宋_GB2312" w:hAnsi="仿宋_GB2312" w:eastAsia="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8"/>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投标人名称（公章）：</w:t>
      </w: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lang w:val="en-US" w:eastAsia="zh-CN"/>
        </w:rPr>
        <w:t xml:space="preserve">  </w:t>
      </w:r>
      <w:r>
        <w:rPr>
          <w:rFonts w:hint="eastAsia" w:ascii="宋体" w:hAnsi="宋体" w:cs="仿宋_GB2312"/>
          <w:kern w:val="0"/>
          <w:sz w:val="24"/>
          <w:lang w:val="zh-CN"/>
        </w:rPr>
        <w:t>法定代表人或授权委托人签字：</w:t>
      </w:r>
    </w:p>
    <w:p>
      <w:pPr>
        <w:adjustRightInd w:val="0"/>
        <w:snapToGrid w:val="0"/>
        <w:spacing w:line="360"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lang w:val="en-US" w:eastAsia="zh-CN"/>
        </w:rPr>
        <w:t xml:space="preserve">  </w:t>
      </w:r>
      <w:r>
        <w:rPr>
          <w:rFonts w:hint="eastAsia" w:ascii="宋体" w:hAnsi="宋体" w:cs="仿宋_GB2312"/>
          <w:kern w:val="0"/>
          <w:sz w:val="24"/>
          <w:lang w:val="zh-CN"/>
        </w:rPr>
        <w:t xml:space="preserve"> 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cs="仿宋_GB2312"/>
          <w:kern w:val="0"/>
          <w:sz w:val="24"/>
          <w:lang w:val="zh-CN"/>
        </w:rPr>
      </w:pPr>
      <w:r>
        <w:rPr>
          <w:rFonts w:hint="eastAsia" w:ascii="宋体" w:hAnsi="宋体" w:cs="仿宋_GB2312"/>
          <w:kern w:val="0"/>
          <w:sz w:val="24"/>
          <w:lang w:val="zh-CN"/>
        </w:rPr>
        <w:br w:type="page"/>
      </w:r>
    </w:p>
    <w:p>
      <w:pPr>
        <w:adjustRightInd w:val="0"/>
        <w:snapToGrid w:val="0"/>
        <w:spacing w:line="360" w:lineRule="auto"/>
        <w:ind w:right="480"/>
        <w:rPr>
          <w:rFonts w:hint="eastAsia" w:ascii="宋体" w:eastAsia="宋体"/>
          <w:b/>
          <w:sz w:val="30"/>
          <w:szCs w:val="30"/>
          <w:lang w:eastAsia="zh-CN"/>
        </w:rPr>
      </w:pPr>
      <w:r>
        <w:rPr>
          <w:rFonts w:hint="eastAsia" w:ascii="宋体" w:hAnsi="宋体"/>
          <w:b/>
          <w:sz w:val="28"/>
        </w:rPr>
        <w:t>附件</w:t>
      </w:r>
      <w:r>
        <w:rPr>
          <w:rFonts w:hint="eastAsia" w:ascii="宋体" w:hAnsi="宋体"/>
          <w:b/>
          <w:sz w:val="28"/>
          <w:lang w:val="en-US" w:eastAsia="zh-CN"/>
        </w:rPr>
        <w:t>2</w:t>
      </w:r>
    </w:p>
    <w:p>
      <w:pPr>
        <w:spacing w:line="360" w:lineRule="auto"/>
        <w:ind w:firstLine="321" w:firstLineChars="100"/>
        <w:jc w:val="center"/>
        <w:rPr>
          <w:rFonts w:hAnsi="宋体"/>
          <w:b/>
          <w:sz w:val="32"/>
          <w:szCs w:val="32"/>
          <w:u w:val="single"/>
        </w:rPr>
      </w:pPr>
      <w:bookmarkStart w:id="58" w:name="_Toc24373_WPSOffice_Level1"/>
      <w:bookmarkStart w:id="59" w:name="_Toc6870_WPSOffice_Level1"/>
      <w:r>
        <w:rPr>
          <w:b/>
          <w:sz w:val="32"/>
          <w:szCs w:val="32"/>
        </w:rPr>
        <w:t>授权</w:t>
      </w:r>
      <w:r>
        <w:rPr>
          <w:rFonts w:hint="eastAsia"/>
          <w:b/>
          <w:sz w:val="32"/>
          <w:szCs w:val="32"/>
        </w:rPr>
        <w:t>委托</w:t>
      </w:r>
      <w:r>
        <w:rPr>
          <w:b/>
          <w:sz w:val="32"/>
          <w:szCs w:val="32"/>
        </w:rPr>
        <w:t>书</w:t>
      </w:r>
      <w:bookmarkEnd w:id="58"/>
      <w:bookmarkEnd w:id="59"/>
    </w:p>
    <w:p>
      <w:pPr>
        <w:snapToGrid w:val="0"/>
        <w:spacing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0"/>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0"/>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0"/>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1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1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jc w:val="center"/>
        <w:rPr>
          <w:rFonts w:hint="eastAsia"/>
          <w:sz w:val="52"/>
          <w:szCs w:val="52"/>
        </w:rPr>
      </w:pPr>
      <w:bookmarkStart w:id="60" w:name="_Toc26389_WPSOffice_Level1"/>
      <w:bookmarkStart w:id="61" w:name="_Toc12331_WPSOffice_Level1"/>
      <w:bookmarkStart w:id="62" w:name="_Toc16825_WPSOffice_Level1"/>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rPr>
        <w:t>项目名称</w:t>
      </w:r>
      <w:bookmarkEnd w:id="60"/>
      <w:bookmarkEnd w:id="61"/>
      <w:bookmarkEnd w:id="6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8"/>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8"/>
          <w:szCs w:val="28"/>
          <w:lang w:val="zh-CN"/>
        </w:rPr>
        <w:t>商务与技术文件</w:t>
      </w:r>
      <w:r>
        <w:rPr>
          <w:rFonts w:hint="eastAsia" w:ascii="宋体" w:hAnsi="宋体"/>
          <w:b/>
          <w:sz w:val="28"/>
          <w:szCs w:val="28"/>
        </w:rPr>
        <w:t>）</w:t>
      </w:r>
    </w:p>
    <w:p>
      <w:pPr>
        <w:pStyle w:val="18"/>
      </w:pPr>
    </w:p>
    <w:p>
      <w:pPr>
        <w:pStyle w:val="18"/>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rPr>
          <w:rFonts w:ascii="仿宋_GB2312" w:hAnsi="宋体" w:eastAsia="仿宋_GB2312"/>
          <w:b/>
          <w:sz w:val="36"/>
          <w:szCs w:val="36"/>
        </w:rPr>
      </w:pPr>
      <w:r>
        <w:rPr>
          <w:rFonts w:ascii="仿宋_GB2312" w:hAnsi="宋体" w:eastAsia="仿宋_GB2312"/>
          <w:b/>
          <w:sz w:val="36"/>
          <w:szCs w:val="36"/>
        </w:rPr>
        <w:br w:type="page"/>
      </w:r>
    </w:p>
    <w:p>
      <w:pPr>
        <w:pStyle w:val="18"/>
      </w:pPr>
    </w:p>
    <w:p>
      <w:pPr>
        <w:spacing w:line="360" w:lineRule="auto"/>
        <w:jc w:val="center"/>
        <w:rPr>
          <w:sz w:val="28"/>
          <w:szCs w:val="28"/>
        </w:rPr>
      </w:pPr>
      <w:bookmarkStart w:id="63" w:name="_Toc11308_WPSOffice_Level1"/>
      <w:bookmarkStart w:id="64" w:name="_Toc5889_WPSOffice_Level1"/>
      <w:r>
        <w:rPr>
          <w:rFonts w:hint="eastAsia"/>
          <w:b/>
          <w:bCs/>
          <w:sz w:val="36"/>
          <w:szCs w:val="36"/>
          <w:lang w:val="zh-CN"/>
        </w:rPr>
        <w:t>商务与技术文件目录</w:t>
      </w:r>
      <w:bookmarkEnd w:id="63"/>
      <w:bookmarkEnd w:id="64"/>
    </w:p>
    <w:p>
      <w:pPr>
        <w:spacing w:line="360" w:lineRule="auto"/>
        <w:ind w:firstLine="562" w:firstLineChars="200"/>
        <w:rPr>
          <w:rFonts w:hint="eastAsia"/>
          <w:b/>
          <w:bCs/>
          <w:sz w:val="28"/>
          <w:szCs w:val="28"/>
        </w:rPr>
      </w:pPr>
      <w:bookmarkStart w:id="65" w:name="_Toc20529_WPSOffice_Level1"/>
      <w:bookmarkStart w:id="66" w:name="_Toc21250_WPSOffice_Level1"/>
      <w:r>
        <w:rPr>
          <w:rFonts w:hint="eastAsia"/>
          <w:b/>
          <w:bCs/>
          <w:sz w:val="28"/>
          <w:szCs w:val="28"/>
        </w:rPr>
        <w:t>第一部分  技术方案描述部分</w:t>
      </w:r>
      <w:bookmarkEnd w:id="65"/>
      <w:bookmarkEnd w:id="66"/>
    </w:p>
    <w:p>
      <w:pPr>
        <w:numPr>
          <w:ilvl w:val="0"/>
          <w:numId w:val="9"/>
        </w:numPr>
        <w:spacing w:line="360" w:lineRule="auto"/>
        <w:ind w:left="405" w:leftChars="0" w:firstLine="15" w:firstLineChars="0"/>
        <w:rPr>
          <w:rFonts w:hint="eastAsia"/>
          <w:sz w:val="28"/>
          <w:szCs w:val="28"/>
        </w:rPr>
      </w:pPr>
      <w:r>
        <w:rPr>
          <w:rFonts w:hint="eastAsia"/>
          <w:sz w:val="28"/>
          <w:szCs w:val="28"/>
        </w:rPr>
        <w:t>投标人情况介绍（附件</w:t>
      </w:r>
      <w:r>
        <w:rPr>
          <w:rFonts w:hint="eastAsia"/>
          <w:sz w:val="28"/>
          <w:szCs w:val="28"/>
          <w:lang w:val="en-US" w:eastAsia="zh-CN"/>
        </w:rPr>
        <w:t>3</w:t>
      </w:r>
      <w:r>
        <w:rPr>
          <w:rFonts w:hint="eastAsia"/>
          <w:sz w:val="28"/>
          <w:szCs w:val="28"/>
        </w:rPr>
        <w:t>）</w:t>
      </w:r>
    </w:p>
    <w:p>
      <w:pPr>
        <w:numPr>
          <w:ilvl w:val="0"/>
          <w:numId w:val="9"/>
        </w:numPr>
        <w:spacing w:line="360" w:lineRule="auto"/>
        <w:ind w:left="405" w:leftChars="0" w:firstLine="15" w:firstLineChars="0"/>
        <w:rPr>
          <w:rFonts w:hint="eastAsia"/>
          <w:sz w:val="28"/>
          <w:szCs w:val="28"/>
        </w:rPr>
      </w:pPr>
      <w:r>
        <w:rPr>
          <w:rFonts w:hint="eastAsia"/>
          <w:sz w:val="28"/>
          <w:szCs w:val="28"/>
        </w:rPr>
        <w:t>项目需求的理解与分析</w:t>
      </w:r>
    </w:p>
    <w:p>
      <w:pPr>
        <w:numPr>
          <w:ilvl w:val="0"/>
          <w:numId w:val="9"/>
        </w:numPr>
        <w:spacing w:line="360" w:lineRule="auto"/>
        <w:ind w:left="405" w:leftChars="0" w:firstLine="15" w:firstLineChars="0"/>
        <w:rPr>
          <w:rFonts w:hint="eastAsia"/>
          <w:sz w:val="28"/>
          <w:szCs w:val="28"/>
        </w:rPr>
      </w:pPr>
      <w:r>
        <w:rPr>
          <w:rFonts w:hint="eastAsia"/>
          <w:sz w:val="28"/>
          <w:szCs w:val="28"/>
        </w:rPr>
        <w:t>项目组织实施方案（可视情选用附件</w:t>
      </w:r>
      <w:r>
        <w:rPr>
          <w:rFonts w:hint="eastAsia"/>
          <w:sz w:val="28"/>
          <w:szCs w:val="28"/>
          <w:lang w:val="en-US" w:eastAsia="zh-CN"/>
        </w:rPr>
        <w:t>4</w:t>
      </w:r>
      <w:r>
        <w:rPr>
          <w:rFonts w:hint="eastAsia"/>
          <w:sz w:val="28"/>
          <w:szCs w:val="28"/>
        </w:rPr>
        <w:t>、附件</w:t>
      </w:r>
      <w:r>
        <w:rPr>
          <w:rFonts w:hint="eastAsia"/>
          <w:sz w:val="28"/>
          <w:szCs w:val="28"/>
          <w:lang w:val="en-US" w:eastAsia="zh-CN"/>
        </w:rPr>
        <w:t>5</w:t>
      </w:r>
      <w:r>
        <w:rPr>
          <w:rFonts w:hint="eastAsia"/>
          <w:sz w:val="28"/>
          <w:szCs w:val="28"/>
        </w:rPr>
        <w:t>）</w:t>
      </w:r>
    </w:p>
    <w:p>
      <w:pPr>
        <w:numPr>
          <w:ilvl w:val="0"/>
          <w:numId w:val="9"/>
        </w:numPr>
        <w:spacing w:line="360" w:lineRule="auto"/>
        <w:ind w:left="405" w:leftChars="0" w:firstLine="15" w:firstLineChars="0"/>
        <w:rPr>
          <w:rFonts w:hint="eastAsia"/>
          <w:sz w:val="28"/>
          <w:szCs w:val="28"/>
        </w:rPr>
      </w:pPr>
      <w:r>
        <w:rPr>
          <w:rFonts w:hint="eastAsia"/>
          <w:sz w:val="28"/>
          <w:szCs w:val="28"/>
        </w:rPr>
        <w:t>安装、调试及验收方案</w:t>
      </w:r>
    </w:p>
    <w:p>
      <w:pPr>
        <w:spacing w:line="360" w:lineRule="auto"/>
        <w:ind w:firstLine="562" w:firstLineChars="200"/>
        <w:rPr>
          <w:rFonts w:hint="eastAsia"/>
          <w:b/>
          <w:bCs/>
          <w:sz w:val="28"/>
          <w:szCs w:val="28"/>
        </w:rPr>
      </w:pPr>
      <w:bookmarkStart w:id="67" w:name="_Toc6008_WPSOffice_Level1"/>
      <w:bookmarkStart w:id="68" w:name="_Toc12004_WPSOffice_Level1"/>
      <w:r>
        <w:rPr>
          <w:rFonts w:hint="eastAsia"/>
          <w:b/>
          <w:bCs/>
          <w:sz w:val="28"/>
          <w:szCs w:val="28"/>
        </w:rPr>
        <w:t>第二部分  投标产品描述部分</w:t>
      </w:r>
      <w:bookmarkEnd w:id="67"/>
      <w:bookmarkEnd w:id="68"/>
    </w:p>
    <w:p>
      <w:pPr>
        <w:numPr>
          <w:ilvl w:val="0"/>
          <w:numId w:val="10"/>
        </w:numPr>
        <w:spacing w:line="360" w:lineRule="auto"/>
        <w:ind w:left="425" w:leftChars="0" w:hanging="5" w:firstLineChars="0"/>
        <w:rPr>
          <w:rFonts w:hint="eastAsia"/>
          <w:sz w:val="28"/>
          <w:szCs w:val="28"/>
        </w:rPr>
      </w:pPr>
      <w:r>
        <w:rPr>
          <w:rFonts w:hint="eastAsia"/>
          <w:sz w:val="28"/>
          <w:szCs w:val="28"/>
        </w:rPr>
        <w:t>投标产品描述及相关资料（可视情选用附件</w:t>
      </w:r>
      <w:r>
        <w:rPr>
          <w:rFonts w:hint="eastAsia"/>
          <w:sz w:val="28"/>
          <w:szCs w:val="28"/>
          <w:lang w:val="en-US" w:eastAsia="zh-CN"/>
        </w:rPr>
        <w:t>6</w:t>
      </w:r>
      <w:r>
        <w:rPr>
          <w:rFonts w:hint="eastAsia"/>
          <w:sz w:val="28"/>
          <w:szCs w:val="28"/>
        </w:rPr>
        <w:t>）</w:t>
      </w:r>
    </w:p>
    <w:p>
      <w:pPr>
        <w:numPr>
          <w:ilvl w:val="0"/>
          <w:numId w:val="10"/>
        </w:numPr>
        <w:spacing w:line="360" w:lineRule="auto"/>
        <w:ind w:left="425" w:leftChars="0" w:hanging="5" w:firstLineChars="0"/>
        <w:rPr>
          <w:rFonts w:hint="eastAsia"/>
          <w:sz w:val="28"/>
          <w:szCs w:val="28"/>
        </w:rPr>
      </w:pPr>
      <w:r>
        <w:rPr>
          <w:rFonts w:hint="eastAsia"/>
          <w:sz w:val="28"/>
          <w:szCs w:val="28"/>
        </w:rPr>
        <w:t>技术需求响应表（附件</w:t>
      </w:r>
      <w:r>
        <w:rPr>
          <w:rFonts w:hint="eastAsia"/>
          <w:sz w:val="28"/>
          <w:szCs w:val="28"/>
          <w:lang w:val="en-US" w:eastAsia="zh-CN"/>
        </w:rPr>
        <w:t>7</w:t>
      </w:r>
      <w:r>
        <w:rPr>
          <w:rFonts w:hint="eastAsia"/>
          <w:sz w:val="28"/>
          <w:szCs w:val="28"/>
        </w:rPr>
        <w:t>）</w:t>
      </w:r>
    </w:p>
    <w:p>
      <w:pPr>
        <w:numPr>
          <w:ilvl w:val="0"/>
          <w:numId w:val="10"/>
        </w:numPr>
        <w:spacing w:line="360" w:lineRule="auto"/>
        <w:ind w:left="425" w:leftChars="0" w:hanging="5" w:firstLineChars="0"/>
        <w:rPr>
          <w:rFonts w:hint="eastAsia"/>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rFonts w:hint="eastAsia"/>
          <w:b/>
          <w:bCs/>
          <w:sz w:val="28"/>
          <w:szCs w:val="28"/>
        </w:rPr>
      </w:pPr>
      <w:bookmarkStart w:id="69" w:name="_Toc30029_WPSOffice_Level1"/>
      <w:bookmarkStart w:id="70" w:name="_Toc20986_WPSOffice_Level1"/>
      <w:r>
        <w:rPr>
          <w:rFonts w:hint="eastAsia"/>
          <w:b/>
          <w:bCs/>
          <w:sz w:val="28"/>
          <w:szCs w:val="28"/>
        </w:rPr>
        <w:t>第三部分  商务及其他部分</w:t>
      </w:r>
      <w:bookmarkEnd w:id="69"/>
      <w:bookmarkEnd w:id="70"/>
    </w:p>
    <w:p>
      <w:pPr>
        <w:numPr>
          <w:ilvl w:val="0"/>
          <w:numId w:val="11"/>
        </w:numPr>
        <w:spacing w:line="360" w:lineRule="auto"/>
        <w:ind w:left="425" w:leftChars="0" w:hanging="5" w:firstLineChars="0"/>
        <w:rPr>
          <w:rFonts w:hint="eastAsia"/>
          <w:sz w:val="28"/>
          <w:szCs w:val="28"/>
        </w:rPr>
      </w:pPr>
      <w:r>
        <w:rPr>
          <w:rFonts w:hint="eastAsia"/>
          <w:sz w:val="28"/>
          <w:szCs w:val="28"/>
        </w:rPr>
        <w:t>证书一览表（附件</w:t>
      </w:r>
      <w:r>
        <w:rPr>
          <w:rFonts w:hint="eastAsia"/>
          <w:sz w:val="28"/>
          <w:szCs w:val="28"/>
          <w:lang w:val="en-US" w:eastAsia="zh-CN"/>
        </w:rPr>
        <w:t>8</w:t>
      </w:r>
      <w:r>
        <w:rPr>
          <w:rFonts w:hint="eastAsia"/>
          <w:sz w:val="28"/>
          <w:szCs w:val="28"/>
        </w:rPr>
        <w:t>）</w:t>
      </w:r>
    </w:p>
    <w:p>
      <w:pPr>
        <w:numPr>
          <w:ilvl w:val="0"/>
          <w:numId w:val="11"/>
        </w:numPr>
        <w:spacing w:line="360" w:lineRule="auto"/>
        <w:ind w:left="425" w:leftChars="0" w:hanging="5" w:firstLineChars="0"/>
        <w:rPr>
          <w:rFonts w:hint="eastAsia"/>
          <w:sz w:val="28"/>
          <w:szCs w:val="28"/>
        </w:rPr>
      </w:pPr>
      <w:r>
        <w:rPr>
          <w:rFonts w:hint="eastAsia"/>
          <w:sz w:val="28"/>
          <w:szCs w:val="28"/>
        </w:rPr>
        <w:t>近三年来类似项目的成功案例（附件</w:t>
      </w:r>
      <w:r>
        <w:rPr>
          <w:rFonts w:hint="eastAsia"/>
          <w:sz w:val="28"/>
          <w:szCs w:val="28"/>
          <w:lang w:val="en-US" w:eastAsia="zh-CN"/>
        </w:rPr>
        <w:t>9</w:t>
      </w:r>
      <w:r>
        <w:rPr>
          <w:rFonts w:hint="eastAsia"/>
          <w:sz w:val="28"/>
          <w:szCs w:val="28"/>
        </w:rPr>
        <w:t>）</w:t>
      </w:r>
    </w:p>
    <w:p>
      <w:pPr>
        <w:numPr>
          <w:ilvl w:val="0"/>
          <w:numId w:val="11"/>
        </w:numPr>
        <w:spacing w:line="360" w:lineRule="auto"/>
        <w:ind w:left="425" w:leftChars="0" w:hanging="5" w:firstLineChars="0"/>
        <w:rPr>
          <w:rFonts w:hint="eastAsia"/>
          <w:sz w:val="28"/>
          <w:szCs w:val="28"/>
        </w:rPr>
      </w:pPr>
      <w:r>
        <w:rPr>
          <w:rFonts w:hint="eastAsia"/>
          <w:sz w:val="28"/>
          <w:szCs w:val="28"/>
        </w:rPr>
        <w:t>售后服务描述及承诺（可视情选用附件1</w:t>
      </w:r>
      <w:r>
        <w:rPr>
          <w:rFonts w:hint="eastAsia"/>
          <w:sz w:val="28"/>
          <w:szCs w:val="28"/>
          <w:lang w:val="en-US" w:eastAsia="zh-CN"/>
        </w:rPr>
        <w:t>0</w:t>
      </w:r>
      <w:r>
        <w:rPr>
          <w:rFonts w:hint="eastAsia"/>
          <w:sz w:val="28"/>
          <w:szCs w:val="28"/>
        </w:rPr>
        <w:t>，附件1</w:t>
      </w:r>
      <w:r>
        <w:rPr>
          <w:rFonts w:hint="eastAsia"/>
          <w:sz w:val="28"/>
          <w:szCs w:val="28"/>
          <w:lang w:val="en-US" w:eastAsia="zh-CN"/>
        </w:rPr>
        <w:t>1</w:t>
      </w:r>
      <w:r>
        <w:rPr>
          <w:rFonts w:hint="eastAsia"/>
          <w:sz w:val="28"/>
          <w:szCs w:val="28"/>
        </w:rPr>
        <w:t>）</w:t>
      </w:r>
    </w:p>
    <w:p>
      <w:pPr>
        <w:numPr>
          <w:ilvl w:val="0"/>
          <w:numId w:val="11"/>
        </w:numPr>
        <w:spacing w:line="360" w:lineRule="auto"/>
        <w:ind w:left="425" w:leftChars="0" w:hanging="5" w:firstLineChars="0"/>
        <w:rPr>
          <w:rFonts w:hint="eastAsia"/>
          <w:sz w:val="28"/>
          <w:szCs w:val="28"/>
        </w:rPr>
      </w:pPr>
      <w:r>
        <w:rPr>
          <w:rFonts w:hint="eastAsia"/>
          <w:sz w:val="28"/>
          <w:szCs w:val="28"/>
        </w:rPr>
        <w:t>投标人需要说明的其他内容（包括可能影响投标人企业实力及信誉评分项以及售后服务评分项的各类证明材料）</w:t>
      </w:r>
    </w:p>
    <w:p>
      <w:pPr>
        <w:numPr>
          <w:ilvl w:val="0"/>
          <w:numId w:val="11"/>
        </w:numPr>
        <w:spacing w:line="360" w:lineRule="auto"/>
        <w:ind w:left="425" w:leftChars="0" w:hanging="5" w:firstLineChars="0"/>
        <w:rPr>
          <w:rFonts w:hint="eastAsia"/>
          <w:sz w:val="28"/>
          <w:szCs w:val="28"/>
        </w:rPr>
      </w:pPr>
      <w:r>
        <w:rPr>
          <w:rFonts w:hint="eastAsia"/>
          <w:sz w:val="28"/>
          <w:szCs w:val="28"/>
        </w:rPr>
        <w:t>主要货物用材响应表（类似家具类货物采用，附件1</w:t>
      </w:r>
      <w:r>
        <w:rPr>
          <w:rFonts w:hint="eastAsia"/>
          <w:sz w:val="28"/>
          <w:szCs w:val="28"/>
          <w:lang w:val="en-US" w:eastAsia="zh-CN"/>
        </w:rPr>
        <w:t>2</w:t>
      </w:r>
      <w:r>
        <w:rPr>
          <w:rFonts w:hint="eastAsia"/>
          <w:sz w:val="28"/>
          <w:szCs w:val="28"/>
        </w:rPr>
        <w:t>）</w:t>
      </w:r>
    </w:p>
    <w:p>
      <w:pPr>
        <w:pStyle w:val="29"/>
        <w:spacing w:before="0" w:beforeAutospacing="0" w:after="0" w:afterAutospacing="0" w:line="360" w:lineRule="auto"/>
        <w:ind w:firstLine="482" w:firstLineChars="200"/>
        <w:jc w:val="both"/>
        <w:rPr>
          <w:b/>
        </w:rPr>
      </w:pPr>
    </w:p>
    <w:p>
      <w:pPr>
        <w:pStyle w:val="29"/>
        <w:spacing w:before="0" w:beforeAutospacing="0" w:after="0" w:afterAutospacing="0" w:line="360" w:lineRule="auto"/>
        <w:rPr>
          <w:b/>
          <w:sz w:val="28"/>
        </w:rPr>
      </w:pPr>
    </w:p>
    <w:p>
      <w:pPr>
        <w:rPr>
          <w:b/>
          <w:sz w:val="28"/>
        </w:rPr>
      </w:pPr>
      <w:r>
        <w:rPr>
          <w:b/>
          <w:sz w:val="28"/>
        </w:rPr>
        <w:br w:type="page"/>
      </w:r>
    </w:p>
    <w:p>
      <w:pPr>
        <w:pStyle w:val="29"/>
        <w:spacing w:before="0" w:beforeAutospacing="0" w:after="0" w:afterAutospacing="0" w:line="360" w:lineRule="auto"/>
        <w:rPr>
          <w:rFonts w:hint="eastAsia" w:eastAsia="宋体"/>
          <w:b/>
          <w:sz w:val="28"/>
          <w:lang w:eastAsia="zh-CN"/>
        </w:rPr>
      </w:pPr>
      <w:r>
        <w:rPr>
          <w:rFonts w:hint="eastAsia"/>
          <w:b/>
          <w:sz w:val="28"/>
        </w:rPr>
        <w:t>附件</w:t>
      </w:r>
      <w:r>
        <w:rPr>
          <w:rFonts w:hint="eastAsia"/>
          <w:b/>
          <w:sz w:val="28"/>
          <w:lang w:val="en-US" w:eastAsia="zh-CN"/>
        </w:rPr>
        <w:t>3</w:t>
      </w:r>
    </w:p>
    <w:p>
      <w:pPr>
        <w:pStyle w:val="29"/>
        <w:spacing w:before="0" w:beforeAutospacing="0" w:after="0" w:afterAutospacing="0" w:line="360" w:lineRule="auto"/>
        <w:jc w:val="center"/>
        <w:rPr>
          <w:rFonts w:eastAsia="微软雅黑"/>
          <w:sz w:val="36"/>
          <w:szCs w:val="36"/>
        </w:rPr>
      </w:pPr>
      <w:r>
        <w:rPr>
          <w:rFonts w:hint="eastAsia"/>
          <w:b/>
          <w:sz w:val="32"/>
          <w:szCs w:val="32"/>
        </w:rPr>
        <w:t xml:space="preserve">  </w:t>
      </w:r>
      <w:bookmarkStart w:id="71" w:name="_Toc13307_WPSOffice_Level1"/>
      <w:bookmarkStart w:id="72" w:name="_Toc14261_WPSOffice_Level1"/>
      <w:r>
        <w:rPr>
          <w:rFonts w:hint="eastAsia"/>
          <w:b/>
          <w:sz w:val="32"/>
          <w:szCs w:val="32"/>
        </w:rPr>
        <w:t>投标</w:t>
      </w:r>
      <w:r>
        <w:rPr>
          <w:rFonts w:hint="eastAsia"/>
          <w:b/>
          <w:bCs/>
          <w:sz w:val="32"/>
          <w:szCs w:val="32"/>
        </w:rPr>
        <w:t>人基本情况表</w:t>
      </w:r>
      <w:bookmarkEnd w:id="71"/>
      <w:bookmarkEnd w:id="72"/>
    </w:p>
    <w:tbl>
      <w:tblPr>
        <w:tblStyle w:val="19"/>
        <w:tblpPr w:leftFromText="181" w:rightFromText="181" w:bottomFromText="170" w:vertAnchor="text" w:tblpXSpec="center" w:tblpY="1"/>
        <w:tblOverlap w:val="never"/>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700"/>
        <w:gridCol w:w="852"/>
        <w:gridCol w:w="58"/>
        <w:gridCol w:w="1196"/>
        <w:gridCol w:w="112"/>
        <w:gridCol w:w="1093"/>
        <w:gridCol w:w="325"/>
        <w:gridCol w:w="1276"/>
        <w:gridCol w:w="400"/>
        <w:gridCol w:w="1220"/>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22"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企业名称</w:t>
            </w:r>
          </w:p>
        </w:tc>
        <w:tc>
          <w:tcPr>
            <w:tcW w:w="4011" w:type="dxa"/>
            <w:gridSpan w:val="6"/>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法人代表</w:t>
            </w:r>
          </w:p>
        </w:tc>
        <w:tc>
          <w:tcPr>
            <w:tcW w:w="2153"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22"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地址</w:t>
            </w:r>
          </w:p>
        </w:tc>
        <w:tc>
          <w:tcPr>
            <w:tcW w:w="4011" w:type="dxa"/>
            <w:gridSpan w:val="6"/>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企业性质</w:t>
            </w:r>
          </w:p>
        </w:tc>
        <w:tc>
          <w:tcPr>
            <w:tcW w:w="2153"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22" w:type="dxa"/>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股东姓名</w:t>
            </w:r>
          </w:p>
        </w:tc>
        <w:tc>
          <w:tcPr>
            <w:tcW w:w="700" w:type="dxa"/>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股权结构（%）</w:t>
            </w:r>
          </w:p>
        </w:tc>
        <w:tc>
          <w:tcPr>
            <w:tcW w:w="2401" w:type="dxa"/>
            <w:gridSpan w:val="3"/>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股东关系</w:t>
            </w:r>
          </w:p>
        </w:tc>
        <w:tc>
          <w:tcPr>
            <w:tcW w:w="2153"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22" w:type="dxa"/>
            <w:vMerge w:val="restart"/>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联系人姓名</w:t>
            </w:r>
          </w:p>
        </w:tc>
        <w:tc>
          <w:tcPr>
            <w:tcW w:w="700" w:type="dxa"/>
            <w:vMerge w:val="restart"/>
            <w:tcBorders>
              <w:top w:val="nil"/>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top w:val="nil"/>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固定电话</w:t>
            </w:r>
          </w:p>
        </w:tc>
        <w:tc>
          <w:tcPr>
            <w:tcW w:w="2401" w:type="dxa"/>
            <w:gridSpan w:val="3"/>
            <w:tcBorders>
              <w:top w:val="nil"/>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vMerge w:val="restart"/>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传真</w:t>
            </w:r>
          </w:p>
        </w:tc>
        <w:tc>
          <w:tcPr>
            <w:tcW w:w="2153" w:type="dxa"/>
            <w:gridSpan w:val="2"/>
            <w:vMerge w:val="restart"/>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22" w:type="dxa"/>
            <w:vMerge w:val="continue"/>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vMerge w:val="continue"/>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手机</w:t>
            </w:r>
          </w:p>
        </w:tc>
        <w:tc>
          <w:tcPr>
            <w:tcW w:w="2401" w:type="dxa"/>
            <w:gridSpan w:val="3"/>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153" w:type="dxa"/>
            <w:gridSpan w:val="2"/>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22" w:type="dxa"/>
            <w:vMerge w:val="restart"/>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概</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况</w:t>
            </w:r>
          </w:p>
        </w:tc>
        <w:tc>
          <w:tcPr>
            <w:tcW w:w="700" w:type="dxa"/>
            <w:tcBorders>
              <w:top w:val="nil"/>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职工人数</w:t>
            </w:r>
          </w:p>
        </w:tc>
        <w:tc>
          <w:tcPr>
            <w:tcW w:w="910" w:type="dxa"/>
            <w:gridSpan w:val="2"/>
            <w:tcBorders>
              <w:top w:val="nil"/>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Borders>
              <w:top w:val="nil"/>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具备大专以上学历人数</w:t>
            </w:r>
          </w:p>
        </w:tc>
        <w:tc>
          <w:tcPr>
            <w:tcW w:w="1205" w:type="dxa"/>
            <w:gridSpan w:val="2"/>
            <w:tcBorders>
              <w:top w:val="nil"/>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国家授予技术职称人数</w:t>
            </w:r>
          </w:p>
        </w:tc>
        <w:tc>
          <w:tcPr>
            <w:tcW w:w="2153" w:type="dxa"/>
            <w:gridSpan w:val="2"/>
            <w:tcMar>
              <w:top w:w="57" w:type="dxa"/>
              <w:left w:w="108" w:type="dxa"/>
              <w:bottom w:w="0" w:type="dxa"/>
              <w:right w:w="108" w:type="dxa"/>
            </w:tcMar>
            <w:vAlign w:val="center"/>
          </w:tcPr>
          <w:p>
            <w:pPr>
              <w:widowControl/>
              <w:jc w:val="center"/>
              <w:rPr>
                <w:rFonts w:hint="eastAsia" w:asciiTheme="minorEastAsia" w:hAnsiTheme="minorEastAsia" w:eastAsiaTheme="minorEastAsia" w:cstheme="minorEastAsia"/>
                <w:bCs/>
                <w:kern w:val="0"/>
                <w:sz w:val="21"/>
                <w:szCs w:val="21"/>
              </w:rPr>
            </w:pPr>
          </w:p>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占地面积</w:t>
            </w:r>
          </w:p>
        </w:tc>
        <w:tc>
          <w:tcPr>
            <w:tcW w:w="910"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建筑</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面积</w:t>
            </w:r>
          </w:p>
        </w:tc>
        <w:tc>
          <w:tcPr>
            <w:tcW w:w="1205" w:type="dxa"/>
            <w:gridSpan w:val="2"/>
            <w:tcMar>
              <w:top w:w="57" w:type="dxa"/>
              <w:left w:w="108" w:type="dxa"/>
              <w:bottom w:w="0" w:type="dxa"/>
              <w:right w:w="108" w:type="dxa"/>
            </w:tcMar>
            <w:vAlign w:val="center"/>
          </w:tcPr>
          <w:p>
            <w:pPr>
              <w:pStyle w:val="29"/>
              <w:spacing w:before="0" w:beforeAutospacing="0" w:after="0" w:afterAutospacing="0"/>
              <w:jc w:val="righ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平方米</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□自有</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□租赁</w:t>
            </w:r>
          </w:p>
        </w:tc>
        <w:tc>
          <w:tcPr>
            <w:tcW w:w="2001"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生产经营场所及场所的设施与设备</w:t>
            </w:r>
          </w:p>
        </w:tc>
        <w:tc>
          <w:tcPr>
            <w:tcW w:w="2153"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注册资金</w:t>
            </w:r>
          </w:p>
        </w:tc>
        <w:tc>
          <w:tcPr>
            <w:tcW w:w="910"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注册发证机关</w:t>
            </w:r>
          </w:p>
        </w:tc>
        <w:tc>
          <w:tcPr>
            <w:tcW w:w="3206" w:type="dxa"/>
            <w:gridSpan w:val="5"/>
            <w:tcMar>
              <w:top w:w="57" w:type="dxa"/>
              <w:left w:w="108" w:type="dxa"/>
              <w:bottom w:w="0" w:type="dxa"/>
              <w:right w:w="108" w:type="dxa"/>
            </w:tcMar>
            <w:vAlign w:val="center"/>
          </w:tcPr>
          <w:p>
            <w:pPr>
              <w:widowControl/>
              <w:jc w:val="center"/>
              <w:rPr>
                <w:rFonts w:hint="eastAsia" w:asciiTheme="minorEastAsia" w:hAnsiTheme="minorEastAsia" w:eastAsiaTheme="minorEastAsia" w:cstheme="minorEastAsia"/>
                <w:bCs/>
                <w:kern w:val="0"/>
                <w:sz w:val="21"/>
                <w:szCs w:val="21"/>
              </w:rPr>
            </w:pPr>
          </w:p>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220"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公司成立时间</w:t>
            </w:r>
          </w:p>
        </w:tc>
        <w:tc>
          <w:tcPr>
            <w:tcW w:w="933"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核准经营范围</w:t>
            </w:r>
          </w:p>
        </w:tc>
        <w:tc>
          <w:tcPr>
            <w:tcW w:w="7465" w:type="dxa"/>
            <w:gridSpan w:val="10"/>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8165" w:type="dxa"/>
            <w:gridSpan w:val="11"/>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22" w:type="dxa"/>
            <w:vMerge w:val="restart"/>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企业有关资质获证情况</w:t>
            </w:r>
          </w:p>
        </w:tc>
        <w:tc>
          <w:tcPr>
            <w:tcW w:w="1552" w:type="dxa"/>
            <w:gridSpan w:val="2"/>
            <w:vMerge w:val="restart"/>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产品生产许可证情况（对需获得生产许可证的产品要填写此栏）</w:t>
            </w:r>
          </w:p>
        </w:tc>
        <w:tc>
          <w:tcPr>
            <w:tcW w:w="1366"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产品名称</w:t>
            </w:r>
          </w:p>
        </w:tc>
        <w:tc>
          <w:tcPr>
            <w:tcW w:w="1418"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发证机关</w:t>
            </w:r>
          </w:p>
        </w:tc>
        <w:tc>
          <w:tcPr>
            <w:tcW w:w="1276"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编号</w:t>
            </w:r>
          </w:p>
        </w:tc>
        <w:tc>
          <w:tcPr>
            <w:tcW w:w="1620"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发证时间</w:t>
            </w:r>
          </w:p>
        </w:tc>
        <w:tc>
          <w:tcPr>
            <w:tcW w:w="933"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366"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418"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276"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620"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933"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企业通过质量体系、环保体系、计量等认证情况</w:t>
            </w:r>
          </w:p>
        </w:tc>
        <w:tc>
          <w:tcPr>
            <w:tcW w:w="6613" w:type="dxa"/>
            <w:gridSpan w:val="9"/>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企业获得专利情况</w:t>
            </w:r>
          </w:p>
        </w:tc>
        <w:tc>
          <w:tcPr>
            <w:tcW w:w="6613" w:type="dxa"/>
            <w:gridSpan w:val="9"/>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bl>
    <w:p>
      <w:pPr>
        <w:pStyle w:val="29"/>
        <w:spacing w:before="0" w:beforeAutospacing="0" w:after="0" w:afterAutospacing="0"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p>
      <w:pPr>
        <w:pStyle w:val="29"/>
        <w:spacing w:before="0" w:beforeAutospacing="0" w:after="0" w:afterAutospacing="0" w:line="360" w:lineRule="auto"/>
        <w:ind w:firstLine="424" w:firstLineChars="20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9"/>
        <w:spacing w:before="0" w:beforeAutospacing="0" w:after="0" w:afterAutospacing="0" w:line="360" w:lineRule="auto"/>
        <w:ind w:firstLine="424" w:firstLineChars="177"/>
        <w:rPr>
          <w:b/>
          <w:bCs/>
        </w:rPr>
      </w:pPr>
      <w:r>
        <w:rPr>
          <w:rFonts w:hint="eastAsia"/>
        </w:rPr>
        <w:t>日        期：：</w:t>
      </w:r>
    </w:p>
    <w:p>
      <w:pPr>
        <w:rPr>
          <w:rFonts w:ascii="宋体" w:hAnsi="宋体"/>
          <w:b/>
          <w:sz w:val="24"/>
        </w:rPr>
      </w:pPr>
      <w:r>
        <w:rPr>
          <w:rFonts w:ascii="宋体" w:hAnsi="宋体"/>
          <w:b/>
          <w:sz w:val="24"/>
        </w:rPr>
        <w:br w:type="page"/>
      </w: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4</w:t>
      </w:r>
    </w:p>
    <w:p>
      <w:pPr>
        <w:snapToGrid w:val="0"/>
        <w:spacing w:beforeLines="50" w:after="50" w:line="360" w:lineRule="auto"/>
        <w:jc w:val="center"/>
        <w:rPr>
          <w:rFonts w:ascii="宋体" w:hAnsi="宋体"/>
          <w:b/>
          <w:sz w:val="36"/>
          <w:szCs w:val="36"/>
        </w:rPr>
      </w:pPr>
      <w:bookmarkStart w:id="73" w:name="_Toc20569_WPSOffice_Level1"/>
      <w:bookmarkStart w:id="74" w:name="_Toc23671_WPSOffice_Level1"/>
      <w:r>
        <w:rPr>
          <w:rFonts w:hint="eastAsia" w:ascii="宋体" w:hAnsi="宋体"/>
          <w:b/>
          <w:sz w:val="32"/>
          <w:szCs w:val="32"/>
        </w:rPr>
        <w:t>项目实施人员一览表</w:t>
      </w:r>
      <w:bookmarkEnd w:id="73"/>
      <w:bookmarkEnd w:id="74"/>
    </w:p>
    <w:p>
      <w:pPr>
        <w:snapToGrid w:val="0"/>
        <w:spacing w:beforeLines="50" w:after="50" w:line="360" w:lineRule="auto"/>
        <w:ind w:left="0" w:leftChars="0" w:firstLine="0" w:firstLineChars="0"/>
        <w:jc w:val="center"/>
        <w:rPr>
          <w:rFonts w:ascii="宋体" w:hAnsi="宋体"/>
          <w:sz w:val="24"/>
        </w:rPr>
      </w:pPr>
      <w:r>
        <w:rPr>
          <w:rFonts w:hint="eastAsia" w:ascii="宋体" w:hAnsi="宋体"/>
          <w:sz w:val="24"/>
        </w:rPr>
        <w:t>（主要从业人员及其技术资格）</w:t>
      </w:r>
    </w:p>
    <w:tbl>
      <w:tblPr>
        <w:tblStyle w:val="19"/>
        <w:tblpPr w:leftFromText="181" w:rightFromText="181" w:bottomFromText="170" w:vertAnchor="text" w:tblpXSpec="center" w:tblpY="1"/>
        <w:tblOverlap w:val="never"/>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1"/>
              <w:snapToGrid w:val="0"/>
              <w:spacing w:beforeLines="50" w:after="50" w:line="360" w:lineRule="auto"/>
              <w:ind w:left="5250"/>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1"/>
              <w:snapToGrid w:val="0"/>
              <w:spacing w:beforeLines="50" w:after="50" w:line="360" w:lineRule="auto"/>
              <w:ind w:left="5250"/>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1"/>
              <w:spacing w:line="360" w:lineRule="auto"/>
              <w:ind w:left="5250"/>
              <w:rPr>
                <w:rFonts w:hint="eastAsia" w:asciiTheme="minorEastAsia" w:hAnsiTheme="minorEastAsia" w:eastAsiaTheme="minorEastAsia" w:cstheme="minorEastAsia"/>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eastAsia="宋体" w:cs="Times New Roman"/>
          <w:kern w:val="2"/>
          <w:sz w:val="21"/>
          <w:szCs w:val="21"/>
          <w:lang w:val="en-US" w:eastAsia="zh-CN" w:bidi="ar-SA"/>
        </w:rPr>
        <w:t>1.</w:t>
      </w:r>
      <w:r>
        <w:rPr>
          <w:rFonts w:hint="eastAsia" w:ascii="宋体" w:hAnsi="宋体"/>
          <w:szCs w:val="21"/>
        </w:rPr>
        <w:t>在填写时，如本表格不适合投标单位的实际情况，可根据本表格式自行划表填写。</w:t>
      </w:r>
    </w:p>
    <w:p>
      <w:pPr>
        <w:pStyle w:val="30"/>
        <w:spacing w:line="360" w:lineRule="auto"/>
        <w:ind w:left="424" w:leftChars="202"/>
        <w:rPr>
          <w:rFonts w:ascii="宋体" w:hAnsi="宋体"/>
          <w:szCs w:val="21"/>
        </w:rPr>
      </w:pPr>
      <w:r>
        <w:rPr>
          <w:rFonts w:hint="eastAsia" w:ascii="宋体" w:hAnsi="宋体"/>
          <w:szCs w:val="21"/>
        </w:rPr>
        <w:t>2.附人员证书。</w:t>
      </w:r>
    </w:p>
    <w:p>
      <w:pPr>
        <w:pStyle w:val="30"/>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宋体" w:hAnsi="宋体"/>
          <w:sz w:val="24"/>
        </w:rPr>
      </w:pPr>
      <w:r>
        <w:rPr>
          <w:rFonts w:hint="eastAsia" w:ascii="宋体" w:hAnsi="宋体"/>
          <w:sz w:val="24"/>
        </w:rPr>
        <w:br w:type="page"/>
      </w:r>
    </w:p>
    <w:p>
      <w:pPr>
        <w:spacing w:line="360" w:lineRule="auto"/>
        <w:rPr>
          <w:rFonts w:hint="eastAsia" w:ascii="宋体" w:hAnsi="宋体" w:eastAsia="宋体"/>
          <w:lang w:val="en-US" w:eastAsia="zh-CN"/>
        </w:rPr>
      </w:pPr>
      <w:r>
        <w:rPr>
          <w:rFonts w:hint="eastAsia" w:ascii="宋体" w:hAnsi="宋体"/>
          <w:b/>
          <w:sz w:val="28"/>
        </w:rPr>
        <w:t>附件</w:t>
      </w:r>
      <w:r>
        <w:rPr>
          <w:rFonts w:hint="eastAsia" w:ascii="宋体" w:hAnsi="宋体"/>
          <w:b/>
          <w:sz w:val="28"/>
          <w:lang w:val="en-US" w:eastAsia="zh-CN"/>
        </w:rPr>
        <w:t>5</w:t>
      </w:r>
    </w:p>
    <w:p>
      <w:pPr>
        <w:spacing w:beforeLines="50" w:afterLines="50" w:line="360" w:lineRule="auto"/>
        <w:ind w:right="-10"/>
        <w:jc w:val="center"/>
        <w:rPr>
          <w:rFonts w:ascii="宋体" w:hAnsi="宋体"/>
          <w:b/>
          <w:bCs/>
          <w:sz w:val="32"/>
          <w:szCs w:val="32"/>
        </w:rPr>
      </w:pPr>
      <w:bookmarkStart w:id="75" w:name="_Toc23055_WPSOffice_Level1"/>
      <w:bookmarkStart w:id="76" w:name="_Toc12710_WPSOffice_Level1"/>
      <w:r>
        <w:rPr>
          <w:rFonts w:hint="eastAsia" w:ascii="宋体" w:hAnsi="宋体"/>
          <w:b/>
          <w:bCs/>
          <w:sz w:val="32"/>
          <w:szCs w:val="32"/>
        </w:rPr>
        <w:t>项目负责人资格情况表</w:t>
      </w:r>
      <w:bookmarkEnd w:id="75"/>
      <w:bookmarkEnd w:id="76"/>
    </w:p>
    <w:tbl>
      <w:tblPr>
        <w:tblStyle w:val="19"/>
        <w:tblW w:w="8626"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6</w:t>
      </w:r>
    </w:p>
    <w:p>
      <w:pPr>
        <w:spacing w:line="360" w:lineRule="auto"/>
        <w:ind w:left="-2" w:leftChars="0" w:firstLine="0" w:firstLineChars="0"/>
        <w:jc w:val="center"/>
        <w:rPr>
          <w:rFonts w:ascii="宋体" w:hAnsi="宋体"/>
          <w:sz w:val="24"/>
        </w:rPr>
      </w:pPr>
      <w:bookmarkStart w:id="77" w:name="_Toc32718_WPSOffice_Level1"/>
      <w:bookmarkStart w:id="78" w:name="_Toc3591_WPSOffice_Level1"/>
      <w:r>
        <w:rPr>
          <w:rFonts w:hint="eastAsia" w:ascii="宋体" w:hAnsi="宋体"/>
          <w:b/>
          <w:sz w:val="32"/>
          <w:szCs w:val="32"/>
        </w:rPr>
        <w:t>供货</w:t>
      </w:r>
      <w:r>
        <w:rPr>
          <w:rFonts w:ascii="宋体" w:hAnsi="宋体"/>
          <w:b/>
          <w:sz w:val="32"/>
          <w:szCs w:val="32"/>
        </w:rPr>
        <w:t>清单</w:t>
      </w:r>
      <w:bookmarkEnd w:id="77"/>
      <w:bookmarkEnd w:id="78"/>
    </w:p>
    <w:tbl>
      <w:tblPr>
        <w:tblStyle w:val="19"/>
        <w:tblpPr w:leftFromText="181" w:rightFromText="181" w:bottomFromText="170" w:vertAnchor="text" w:tblpXSpec="center" w:tblpY="1"/>
        <w:tblOverlap w:val="never"/>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81"/>
        <w:gridCol w:w="1134"/>
        <w:gridCol w:w="2195"/>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0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2381"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134"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品牌</w:t>
            </w:r>
          </w:p>
        </w:tc>
        <w:tc>
          <w:tcPr>
            <w:tcW w:w="2195"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规格型号</w:t>
            </w:r>
          </w:p>
        </w:tc>
        <w:tc>
          <w:tcPr>
            <w:tcW w:w="993"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产地</w:t>
            </w:r>
          </w:p>
        </w:tc>
        <w:tc>
          <w:tcPr>
            <w:tcW w:w="155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bl>
    <w:p>
      <w:pPr>
        <w:spacing w:line="360" w:lineRule="auto"/>
        <w:ind w:firstLine="422" w:firstLineChars="200"/>
        <w:rPr>
          <w:rFonts w:ascii="宋体" w:hAnsi="宋体"/>
          <w:b/>
          <w:szCs w:val="21"/>
        </w:rPr>
      </w:pPr>
      <w:r>
        <w:rPr>
          <w:rFonts w:hint="eastAsia" w:ascii="宋体" w:hAnsi="宋体"/>
          <w:b/>
          <w:szCs w:val="21"/>
        </w:rPr>
        <w:t>要求：</w:t>
      </w:r>
    </w:p>
    <w:p>
      <w:pPr>
        <w:numPr>
          <w:ilvl w:val="0"/>
          <w:numId w:val="12"/>
        </w:numPr>
        <w:spacing w:line="360" w:lineRule="auto"/>
        <w:ind w:left="435" w:firstLine="556" w:firstLineChars="265"/>
        <w:rPr>
          <w:rFonts w:ascii="宋体" w:hAnsi="宋体"/>
          <w:szCs w:val="21"/>
        </w:rPr>
      </w:pPr>
      <w:r>
        <w:rPr>
          <w:rFonts w:hint="eastAsia" w:ascii="宋体" w:hAnsi="宋体"/>
          <w:szCs w:val="21"/>
        </w:rPr>
        <w:t>本表中的名称、数量应与报价明细表中相对应的报价名称、数量一致。</w:t>
      </w:r>
    </w:p>
    <w:p>
      <w:pPr>
        <w:numPr>
          <w:ilvl w:val="0"/>
          <w:numId w:val="12"/>
        </w:numPr>
        <w:spacing w:line="360" w:lineRule="auto"/>
        <w:ind w:left="435" w:firstLine="556" w:firstLineChars="265"/>
        <w:rPr>
          <w:rFonts w:ascii="宋体" w:hAnsi="宋体"/>
          <w:szCs w:val="21"/>
        </w:rPr>
      </w:pPr>
      <w:r>
        <w:rPr>
          <w:rFonts w:hint="eastAsia" w:ascii="宋体" w:hAnsi="宋体"/>
          <w:szCs w:val="21"/>
        </w:rPr>
        <w:t>不含报价。</w:t>
      </w:r>
    </w:p>
    <w:p>
      <w:pPr>
        <w:spacing w:line="360" w:lineRule="auto"/>
        <w:rPr>
          <w:rFonts w:ascii="宋体" w:hAnsi="宋体"/>
          <w:sz w:val="24"/>
        </w:rPr>
      </w:pPr>
    </w:p>
    <w:p>
      <w:pPr>
        <w:spacing w:line="360" w:lineRule="auto"/>
        <w:ind w:left="420"/>
        <w:rPr>
          <w:rFonts w:ascii="宋体" w:hAnsi="宋体"/>
          <w:sz w:val="24"/>
        </w:rPr>
      </w:pPr>
    </w:p>
    <w:p>
      <w:pPr>
        <w:spacing w:line="360" w:lineRule="auto"/>
        <w:ind w:left="420" w:firstLine="571" w:firstLineChars="238"/>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993"/>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日        期：</w:t>
      </w:r>
    </w:p>
    <w:p>
      <w:pPr>
        <w:rPr>
          <w:rFonts w:ascii="宋体" w:hAnsi="宋体"/>
          <w:b/>
          <w:sz w:val="28"/>
        </w:rPr>
      </w:pPr>
      <w:r>
        <w:rPr>
          <w:rFonts w:ascii="宋体" w:hAnsi="宋体"/>
          <w:b/>
          <w:sz w:val="28"/>
        </w:rPr>
        <w:br w:type="page"/>
      </w: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7</w:t>
      </w:r>
    </w:p>
    <w:p>
      <w:pPr>
        <w:spacing w:line="360" w:lineRule="auto"/>
        <w:ind w:left="480"/>
        <w:jc w:val="center"/>
        <w:rPr>
          <w:rFonts w:ascii="宋体" w:hAnsi="宋体"/>
          <w:b/>
          <w:sz w:val="32"/>
          <w:szCs w:val="32"/>
        </w:rPr>
      </w:pPr>
      <w:bookmarkStart w:id="79" w:name="_Toc26601_WPSOffice_Level1"/>
      <w:bookmarkStart w:id="80" w:name="_Toc12856_WPSOffice_Level1"/>
      <w:r>
        <w:rPr>
          <w:rFonts w:ascii="宋体" w:hAnsi="宋体"/>
          <w:b/>
          <w:kern w:val="0"/>
          <w:sz w:val="32"/>
          <w:szCs w:val="32"/>
        </w:rPr>
        <w:t>技术</w:t>
      </w:r>
      <w:r>
        <w:rPr>
          <w:rFonts w:hint="eastAsia" w:ascii="宋体" w:hAnsi="宋体"/>
          <w:b/>
          <w:kern w:val="0"/>
          <w:sz w:val="32"/>
          <w:szCs w:val="32"/>
        </w:rPr>
        <w:t>需求</w:t>
      </w:r>
      <w:r>
        <w:rPr>
          <w:rFonts w:ascii="宋体" w:hAnsi="宋体"/>
          <w:b/>
          <w:kern w:val="0"/>
          <w:sz w:val="32"/>
          <w:szCs w:val="32"/>
        </w:rPr>
        <w:t>响应表</w:t>
      </w:r>
      <w:bookmarkEnd w:id="79"/>
      <w:bookmarkEnd w:id="80"/>
    </w:p>
    <w:tbl>
      <w:tblPr>
        <w:tblStyle w:val="19"/>
        <w:tblpPr w:leftFromText="181" w:rightFromText="181" w:bottomFromText="170" w:vertAnchor="text" w:tblpXSpec="center" w:tblpY="1"/>
        <w:tblOverlap w:val="never"/>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41"/>
        <w:gridCol w:w="1449"/>
        <w:gridCol w:w="1560"/>
        <w:gridCol w:w="1401"/>
        <w:gridCol w:w="136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64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44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规格型号</w:t>
            </w: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03"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bl>
    <w:p>
      <w:pPr>
        <w:pStyle w:val="31"/>
        <w:tabs>
          <w:tab w:val="left" w:pos="360"/>
        </w:tabs>
        <w:spacing w:line="360" w:lineRule="auto"/>
        <w:jc w:val="both"/>
        <w:rPr>
          <w:rFonts w:ascii="宋体"/>
          <w:b/>
          <w:szCs w:val="21"/>
        </w:rPr>
      </w:pPr>
      <w:r>
        <w:rPr>
          <w:rFonts w:hint="eastAsia" w:ascii="宋体"/>
          <w:b/>
          <w:szCs w:val="21"/>
        </w:rPr>
        <w:t>要求：</w:t>
      </w:r>
    </w:p>
    <w:p>
      <w:pPr>
        <w:pStyle w:val="31"/>
        <w:tabs>
          <w:tab w:val="left" w:pos="360"/>
        </w:tabs>
        <w:spacing w:line="360" w:lineRule="auto"/>
        <w:ind w:firstLine="420" w:firstLineChars="200"/>
        <w:jc w:val="both"/>
        <w:rPr>
          <w:rFonts w:ascii="宋体"/>
          <w:szCs w:val="21"/>
        </w:rPr>
      </w:pPr>
      <w:r>
        <w:rPr>
          <w:rFonts w:hint="eastAsia" w:ascii="宋体"/>
          <w:szCs w:val="21"/>
        </w:rPr>
        <w:t>1.本表的名称须与《报价明细表》一致。</w:t>
      </w:r>
    </w:p>
    <w:p>
      <w:pPr>
        <w:pStyle w:val="31"/>
        <w:spacing w:line="360" w:lineRule="auto"/>
        <w:ind w:firstLine="420" w:firstLineChars="200"/>
        <w:jc w:val="both"/>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1"/>
        <w:spacing w:line="360" w:lineRule="auto"/>
        <w:ind w:firstLine="420" w:firstLineChars="200"/>
        <w:jc w:val="both"/>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18"/>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pStyle w:val="32"/>
        <w:spacing w:line="360" w:lineRule="auto"/>
        <w:jc w:val="left"/>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8</w:t>
      </w:r>
    </w:p>
    <w:p>
      <w:pPr>
        <w:pStyle w:val="33"/>
        <w:spacing w:line="360" w:lineRule="auto"/>
        <w:jc w:val="center"/>
        <w:rPr>
          <w:rFonts w:ascii="宋体" w:hAnsi="宋体"/>
          <w:b/>
          <w:sz w:val="32"/>
          <w:szCs w:val="32"/>
        </w:rPr>
      </w:pPr>
      <w:bookmarkStart w:id="81" w:name="_Toc11030_WPSOffice_Level1"/>
      <w:bookmarkStart w:id="82" w:name="_Toc17604_WPSOffice_Level1"/>
      <w:r>
        <w:rPr>
          <w:rFonts w:hint="eastAsia" w:ascii="宋体" w:hAnsi="宋体"/>
          <w:b/>
          <w:sz w:val="32"/>
          <w:szCs w:val="32"/>
        </w:rPr>
        <w:t>证书一览表</w:t>
      </w:r>
      <w:bookmarkEnd w:id="81"/>
      <w:bookmarkEnd w:id="82"/>
    </w:p>
    <w:tbl>
      <w:tblPr>
        <w:tblStyle w:val="19"/>
        <w:tblpPr w:leftFromText="181" w:rightFromText="181" w:bottomFromText="170" w:vertAnchor="text" w:tblpXSpec="center" w:tblpY="1"/>
        <w:tblOverlap w:val="never"/>
        <w:tblW w:w="896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258"/>
        <w:gridCol w:w="2260"/>
        <w:gridCol w:w="23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bottom w:val="single" w:color="auto" w:sz="4"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证书名称</w:t>
            </w:r>
          </w:p>
        </w:tc>
        <w:tc>
          <w:tcPr>
            <w:tcW w:w="2258" w:type="dxa"/>
            <w:tcBorders>
              <w:top w:val="single" w:color="auto" w:sz="4" w:space="0"/>
              <w:bottom w:val="single" w:color="auto" w:sz="4"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发证单位</w:t>
            </w:r>
          </w:p>
        </w:tc>
        <w:tc>
          <w:tcPr>
            <w:tcW w:w="2260" w:type="dxa"/>
            <w:tcBorders>
              <w:top w:val="single" w:color="auto" w:sz="4" w:space="0"/>
              <w:bottom w:val="single" w:color="auto" w:sz="4"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证书等级</w:t>
            </w:r>
          </w:p>
        </w:tc>
        <w:tc>
          <w:tcPr>
            <w:tcW w:w="2359" w:type="dxa"/>
            <w:tcBorders>
              <w:top w:val="single" w:color="auto" w:sz="4" w:space="0"/>
              <w:bottom w:val="single" w:color="auto" w:sz="4" w:space="0"/>
              <w:right w:val="single" w:color="auto" w:sz="4"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Borders>
              <w:top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Borders>
              <w:top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top w:val="single" w:color="auto" w:sz="4" w:space="0"/>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bottom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Borders>
              <w:bottom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Borders>
              <w:bottom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bottom w:val="single" w:color="auto" w:sz="4" w:space="0"/>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bl>
    <w:p>
      <w:pPr>
        <w:pStyle w:val="33"/>
        <w:tabs>
          <w:tab w:val="left" w:pos="1050"/>
        </w:tabs>
        <w:spacing w:line="360" w:lineRule="auto"/>
        <w:rPr>
          <w:rFonts w:ascii="宋体" w:hAnsi="宋体"/>
          <w:szCs w:val="21"/>
        </w:rPr>
      </w:pPr>
      <w:r>
        <w:rPr>
          <w:rFonts w:hint="eastAsia" w:ascii="宋体" w:hAnsi="宋体"/>
          <w:b/>
          <w:szCs w:val="21"/>
        </w:rPr>
        <w:t>要求：</w:t>
      </w:r>
    </w:p>
    <w:p>
      <w:pPr>
        <w:pStyle w:val="33"/>
        <w:tabs>
          <w:tab w:val="left" w:pos="1050"/>
        </w:tabs>
        <w:spacing w:line="360" w:lineRule="auto"/>
        <w:ind w:firstLine="420" w:firstLineChars="200"/>
        <w:rPr>
          <w:rFonts w:ascii="宋体" w:hAnsi="宋体"/>
          <w:szCs w:val="21"/>
        </w:rPr>
      </w:pPr>
      <w:r>
        <w:rPr>
          <w:rFonts w:hint="eastAsia" w:ascii="宋体" w:hAnsi="宋体"/>
          <w:szCs w:val="21"/>
        </w:rPr>
        <w:t>1.填写投标人获得资质、认证或企业信誉证书。</w:t>
      </w:r>
    </w:p>
    <w:p>
      <w:pPr>
        <w:pStyle w:val="33"/>
        <w:tabs>
          <w:tab w:val="left" w:pos="1050"/>
        </w:tabs>
        <w:spacing w:line="360" w:lineRule="auto"/>
        <w:ind w:firstLine="420" w:firstLineChars="200"/>
        <w:rPr>
          <w:rFonts w:ascii="宋体" w:hAnsi="宋体"/>
          <w:szCs w:val="21"/>
        </w:rPr>
      </w:pPr>
      <w:r>
        <w:rPr>
          <w:rFonts w:hint="eastAsia" w:ascii="宋体" w:hAnsi="宋体"/>
          <w:szCs w:val="21"/>
        </w:rPr>
        <w:t>2.附所列证书或其他证明材料。</w:t>
      </w:r>
    </w:p>
    <w:p>
      <w:pPr>
        <w:pStyle w:val="33"/>
        <w:tabs>
          <w:tab w:val="left" w:pos="1050"/>
        </w:tabs>
        <w:spacing w:line="360" w:lineRule="auto"/>
        <w:rPr>
          <w:rFonts w:ascii="仿宋_GB2312" w:hAnsi="宋体" w:eastAsia="仿宋_GB2312"/>
          <w:sz w:val="24"/>
        </w:rPr>
      </w:pPr>
    </w:p>
    <w:p>
      <w:pPr>
        <w:pStyle w:val="33"/>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9"/>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pStyle w:val="32"/>
        <w:spacing w:line="360" w:lineRule="auto"/>
        <w:jc w:val="center"/>
        <w:rPr>
          <w:rFonts w:ascii="仿宋_GB2312" w:eastAsia="仿宋_GB2312"/>
          <w:b/>
          <w:sz w:val="28"/>
          <w:szCs w:val="28"/>
        </w:rPr>
      </w:pPr>
      <w:bookmarkStart w:id="83" w:name="_Toc19231_WPSOffice_Level1"/>
      <w:bookmarkStart w:id="84" w:name="_Toc7134_WPSOffice_Level1"/>
      <w:r>
        <w:rPr>
          <w:rFonts w:hint="eastAsia" w:ascii="宋体" w:hAnsi="宋体"/>
          <w:b/>
          <w:sz w:val="32"/>
          <w:szCs w:val="32"/>
        </w:rPr>
        <w:t>投标人类似项目实施情况一览表</w:t>
      </w:r>
      <w:bookmarkEnd w:id="83"/>
      <w:bookmarkEnd w:id="84"/>
    </w:p>
    <w:tbl>
      <w:tblPr>
        <w:tblStyle w:val="19"/>
        <w:tblpPr w:leftFromText="181" w:rightFromText="181" w:bottomFromText="170" w:vertAnchor="text" w:tblpXSpec="center" w:tblpY="1"/>
        <w:tblOverlap w:val="never"/>
        <w:tblW w:w="9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322"/>
        <w:gridCol w:w="1260"/>
        <w:gridCol w:w="127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仿宋" w:hAnsi="仿宋" w:eastAsia="仿宋"/>
          <w:snapToGrid w:val="0"/>
          <w:kern w:val="0"/>
          <w:sz w:val="24"/>
        </w:rPr>
      </w:pPr>
      <w:r>
        <w:rPr>
          <w:rFonts w:ascii="仿宋" w:hAnsi="仿宋" w:eastAsia="仿宋"/>
          <w:snapToGrid w:val="0"/>
          <w:kern w:val="0"/>
          <w:sz w:val="24"/>
        </w:rPr>
        <w:br w:type="page"/>
      </w:r>
    </w:p>
    <w:p>
      <w:pPr>
        <w:pStyle w:val="33"/>
        <w:tabs>
          <w:tab w:val="left" w:pos="1050"/>
        </w:tabs>
        <w:spacing w:line="360" w:lineRule="auto"/>
        <w:rPr>
          <w:rFonts w:hint="eastAsia" w:ascii="仿宋_GB2312" w:hAnsi="宋体" w:eastAsia="宋体"/>
          <w:sz w:val="24"/>
          <w:lang w:val="en-US" w:eastAsia="zh-CN"/>
        </w:rPr>
      </w:pPr>
      <w:r>
        <w:rPr>
          <w:rFonts w:hint="eastAsia" w:ascii="宋体" w:hAnsi="宋体"/>
          <w:b/>
          <w:sz w:val="28"/>
        </w:rPr>
        <w:t>附件1</w:t>
      </w:r>
      <w:r>
        <w:rPr>
          <w:rFonts w:hint="eastAsia" w:ascii="宋体" w:hAnsi="宋体"/>
          <w:b/>
          <w:sz w:val="28"/>
          <w:lang w:val="en-US" w:eastAsia="zh-CN"/>
        </w:rPr>
        <w:t>0</w:t>
      </w:r>
    </w:p>
    <w:p>
      <w:pPr>
        <w:spacing w:line="360" w:lineRule="auto"/>
        <w:ind w:left="0" w:leftChars="0" w:hanging="9" w:firstLineChars="0"/>
        <w:jc w:val="center"/>
        <w:rPr>
          <w:rFonts w:ascii="宋体" w:hAnsi="宋体"/>
          <w:b/>
          <w:sz w:val="18"/>
          <w:szCs w:val="18"/>
        </w:rPr>
      </w:pPr>
      <w:bookmarkStart w:id="85" w:name="_Toc21582_WPSOffice_Level1"/>
      <w:bookmarkStart w:id="86" w:name="_Toc3068_WPSOffice_Level1"/>
      <w:r>
        <w:rPr>
          <w:rFonts w:hint="eastAsia" w:ascii="宋体" w:hAnsi="宋体"/>
          <w:b/>
          <w:sz w:val="32"/>
          <w:szCs w:val="32"/>
        </w:rPr>
        <w:t>商务需求响应表</w:t>
      </w:r>
      <w:bookmarkEnd w:id="85"/>
      <w:bookmarkEnd w:id="86"/>
    </w:p>
    <w:tbl>
      <w:tblPr>
        <w:tblStyle w:val="19"/>
        <w:tblpPr w:leftFromText="181" w:rightFromText="181" w:bottomFromText="170" w:vertAnchor="text" w:tblpXSpec="center" w:tblpY="1"/>
        <w:tblOverlap w:val="never"/>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87"/>
        <w:gridCol w:w="1785"/>
        <w:gridCol w:w="1365"/>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序号</w:t>
            </w:r>
          </w:p>
        </w:tc>
        <w:tc>
          <w:tcPr>
            <w:tcW w:w="2587"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 xml:space="preserve">   内容</w:t>
            </w:r>
          </w:p>
        </w:tc>
        <w:tc>
          <w:tcPr>
            <w:tcW w:w="1785" w:type="dxa"/>
            <w:tcMar>
              <w:top w:w="57" w:type="dxa"/>
              <w:left w:w="108" w:type="dxa"/>
              <w:bottom w:w="0" w:type="dxa"/>
              <w:right w:w="108" w:type="dxa"/>
            </w:tcMar>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tcMar>
              <w:top w:w="57" w:type="dxa"/>
              <w:left w:w="108" w:type="dxa"/>
              <w:bottom w:w="0" w:type="dxa"/>
              <w:right w:w="108" w:type="dxa"/>
            </w:tcMar>
            <w:vAlign w:val="center"/>
          </w:tcPr>
          <w:p>
            <w:pPr>
              <w:ind w:left="152"/>
              <w:rPr>
                <w:rFonts w:ascii="宋体" w:hAnsi="宋体"/>
                <w:b/>
                <w:sz w:val="24"/>
              </w:rPr>
            </w:pPr>
            <w:r>
              <w:rPr>
                <w:rFonts w:hint="eastAsia" w:ascii="宋体" w:hAnsi="宋体"/>
                <w:b/>
                <w:sz w:val="24"/>
              </w:rPr>
              <w:t>是否响应</w:t>
            </w:r>
          </w:p>
        </w:tc>
        <w:tc>
          <w:tcPr>
            <w:tcW w:w="2633" w:type="dxa"/>
            <w:tcMar>
              <w:top w:w="57" w:type="dxa"/>
              <w:left w:w="108" w:type="dxa"/>
              <w:bottom w:w="0" w:type="dxa"/>
              <w:right w:w="108" w:type="dxa"/>
            </w:tcMar>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售后服务保障要求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备品备件及耗材等要求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质保期</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交货和服务</w:t>
            </w:r>
          </w:p>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时间及地点</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付款条件</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bl>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rPr>
          <w:rFonts w:ascii="宋体" w:hAnsi="宋体"/>
          <w:b/>
          <w:sz w:val="28"/>
        </w:rPr>
      </w:pPr>
      <w:r>
        <w:rPr>
          <w:rFonts w:ascii="宋体" w:hAnsi="宋体"/>
          <w:b/>
          <w:sz w:val="28"/>
        </w:rPr>
        <w:br w:type="page"/>
      </w:r>
    </w:p>
    <w:p>
      <w:pPr>
        <w:tabs>
          <w:tab w:val="left" w:pos="2460"/>
        </w:tabs>
        <w:spacing w:line="360" w:lineRule="auto"/>
        <w:rPr>
          <w:rFonts w:ascii="宋体" w:hAnsi="宋体"/>
          <w:b/>
          <w:sz w:val="28"/>
        </w:rPr>
      </w:pPr>
      <w:r>
        <w:rPr>
          <w:rFonts w:hint="eastAsia" w:ascii="宋体" w:hAnsi="宋体"/>
          <w:b/>
          <w:sz w:val="28"/>
        </w:rPr>
        <w:t>附件</w:t>
      </w:r>
      <w:r>
        <w:rPr>
          <w:rFonts w:hint="eastAsia" w:ascii="宋体" w:hAnsi="宋体"/>
          <w:b/>
          <w:sz w:val="28"/>
          <w:lang w:val="en-US" w:eastAsia="zh-CN"/>
        </w:rPr>
        <w:t>11</w:t>
      </w:r>
      <w:r>
        <w:rPr>
          <w:rFonts w:ascii="宋体" w:hAnsi="宋体"/>
          <w:b/>
          <w:sz w:val="28"/>
        </w:rPr>
        <w:tab/>
      </w:r>
    </w:p>
    <w:p>
      <w:pPr>
        <w:spacing w:line="360" w:lineRule="auto"/>
        <w:ind w:left="0" w:leftChars="0" w:firstLine="0" w:firstLineChars="0"/>
        <w:jc w:val="center"/>
        <w:rPr>
          <w:rFonts w:ascii="宋体" w:hAnsi="宋体"/>
          <w:b/>
          <w:sz w:val="24"/>
        </w:rPr>
      </w:pPr>
      <w:bookmarkStart w:id="87" w:name="_Toc3463_WPSOffice_Level1"/>
      <w:bookmarkStart w:id="88" w:name="_Toc29652_WPSOffice_Level1"/>
      <w:r>
        <w:rPr>
          <w:rFonts w:hint="eastAsia" w:ascii="宋体" w:hAnsi="宋体"/>
          <w:b/>
          <w:sz w:val="32"/>
          <w:szCs w:val="32"/>
        </w:rPr>
        <w:t>售后服务情况表</w:t>
      </w:r>
      <w:bookmarkEnd w:id="87"/>
      <w:bookmarkEnd w:id="88"/>
    </w:p>
    <w:tbl>
      <w:tblPr>
        <w:tblStyle w:val="19"/>
        <w:tblpPr w:leftFromText="181" w:rightFromText="181" w:bottomFromText="170" w:vertAnchor="text" w:tblpXSpec="center" w:tblpY="1"/>
        <w:tblOverlap w:val="never"/>
        <w:tblW w:w="89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879"/>
        <w:gridCol w:w="4061"/>
        <w:gridCol w:w="1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4"/>
              <w:spacing w:line="360" w:lineRule="auto"/>
              <w:jc w:val="center"/>
              <w:rPr>
                <w:rFonts w:ascii="宋体" w:hAnsi="宋体" w:cs="Arial"/>
                <w:b/>
                <w:sz w:val="21"/>
                <w:szCs w:val="21"/>
              </w:rPr>
            </w:pPr>
            <w:r>
              <w:rPr>
                <w:rFonts w:hint="eastAsia" w:ascii="宋体" w:hAnsi="宋体" w:cs="Arial"/>
                <w:b/>
                <w:sz w:val="21"/>
                <w:szCs w:val="21"/>
              </w:rPr>
              <w:t>序号</w:t>
            </w:r>
          </w:p>
        </w:tc>
        <w:tc>
          <w:tcPr>
            <w:tcW w:w="2879" w:type="dxa"/>
            <w:tcMar>
              <w:top w:w="57" w:type="dxa"/>
              <w:left w:w="108" w:type="dxa"/>
              <w:bottom w:w="0" w:type="dxa"/>
              <w:right w:w="108" w:type="dxa"/>
            </w:tcMar>
            <w:vAlign w:val="center"/>
          </w:tcPr>
          <w:p>
            <w:pPr>
              <w:pStyle w:val="34"/>
              <w:spacing w:line="360" w:lineRule="auto"/>
              <w:jc w:val="center"/>
              <w:rPr>
                <w:rFonts w:ascii="宋体" w:hAnsi="宋体" w:cs="Arial"/>
                <w:b/>
                <w:sz w:val="21"/>
                <w:szCs w:val="21"/>
              </w:rPr>
            </w:pPr>
            <w:r>
              <w:rPr>
                <w:rFonts w:hint="eastAsia" w:ascii="宋体" w:hAnsi="宋体" w:cs="Arial"/>
                <w:b/>
                <w:sz w:val="21"/>
                <w:szCs w:val="21"/>
              </w:rPr>
              <w:t>项目</w:t>
            </w:r>
          </w:p>
        </w:tc>
        <w:tc>
          <w:tcPr>
            <w:tcW w:w="4061" w:type="dxa"/>
            <w:tcMar>
              <w:top w:w="57" w:type="dxa"/>
              <w:left w:w="108" w:type="dxa"/>
              <w:bottom w:w="0" w:type="dxa"/>
              <w:right w:w="108" w:type="dxa"/>
            </w:tcMar>
            <w:vAlign w:val="center"/>
          </w:tcPr>
          <w:p>
            <w:pPr>
              <w:pStyle w:val="34"/>
              <w:spacing w:line="360" w:lineRule="auto"/>
              <w:jc w:val="center"/>
              <w:rPr>
                <w:rFonts w:ascii="宋体" w:hAnsi="宋体" w:cs="Arial"/>
                <w:b/>
                <w:sz w:val="21"/>
                <w:szCs w:val="21"/>
              </w:rPr>
            </w:pPr>
            <w:r>
              <w:rPr>
                <w:rFonts w:hint="eastAsia" w:ascii="宋体" w:hAnsi="宋体" w:cs="Arial"/>
                <w:b/>
                <w:sz w:val="21"/>
                <w:szCs w:val="21"/>
              </w:rPr>
              <w:t>投标人情况</w:t>
            </w:r>
          </w:p>
        </w:tc>
        <w:tc>
          <w:tcPr>
            <w:tcW w:w="1301" w:type="dxa"/>
            <w:tcMar>
              <w:top w:w="57" w:type="dxa"/>
              <w:left w:w="108" w:type="dxa"/>
              <w:bottom w:w="0" w:type="dxa"/>
              <w:right w:w="108" w:type="dxa"/>
            </w:tcMar>
            <w:vAlign w:val="center"/>
          </w:tcPr>
          <w:p>
            <w:pPr>
              <w:pStyle w:val="34"/>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4"/>
              <w:spacing w:line="360" w:lineRule="auto"/>
              <w:jc w:val="center"/>
              <w:rPr>
                <w:rFonts w:ascii="宋体" w:hAnsi="宋体" w:cs="Arial"/>
                <w:bCs/>
                <w:sz w:val="21"/>
                <w:szCs w:val="21"/>
              </w:rPr>
            </w:pPr>
            <w:r>
              <w:rPr>
                <w:rFonts w:hint="eastAsia" w:ascii="宋体" w:hAnsi="宋体" w:cs="Arial"/>
                <w:bCs/>
                <w:sz w:val="21"/>
                <w:szCs w:val="21"/>
              </w:rPr>
              <w:t>1</w:t>
            </w:r>
          </w:p>
        </w:tc>
        <w:tc>
          <w:tcPr>
            <w:tcW w:w="2879" w:type="dxa"/>
            <w:vMerge w:val="restart"/>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hint="eastAsia" w:ascii="宋体" w:hAnsi="宋体" w:cs="Arial"/>
                <w:bCs/>
                <w:sz w:val="21"/>
                <w:szCs w:val="21"/>
              </w:rPr>
              <w:t>保修期内售后服务情况(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、售后服务的内容和措施</w:t>
            </w:r>
            <w:r>
              <w:rPr>
                <w:rFonts w:hint="eastAsia" w:ascii="宋体" w:hAnsi="宋体" w:cs="Arial"/>
                <w:bCs/>
                <w:sz w:val="21"/>
                <w:szCs w:val="21"/>
              </w:rPr>
              <w:t>等等，可用附页和宣传材料)</w:t>
            </w:r>
          </w:p>
        </w:tc>
        <w:tc>
          <w:tcPr>
            <w:tcW w:w="4061" w:type="dxa"/>
            <w:tcMar>
              <w:top w:w="57" w:type="dxa"/>
              <w:left w:w="108" w:type="dxa"/>
              <w:bottom w:w="0" w:type="dxa"/>
              <w:right w:w="108" w:type="dxa"/>
            </w:tcMar>
          </w:tcPr>
          <w:p>
            <w:pPr>
              <w:pStyle w:val="34"/>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01" w:type="dxa"/>
            <w:tcMar>
              <w:top w:w="57" w:type="dxa"/>
              <w:left w:w="108" w:type="dxa"/>
              <w:bottom w:w="0" w:type="dxa"/>
              <w:right w:w="108" w:type="dxa"/>
            </w:tcMar>
          </w:tcPr>
          <w:p>
            <w:pPr>
              <w:pStyle w:val="34"/>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p>
        </w:tc>
        <w:tc>
          <w:tcPr>
            <w:tcW w:w="2879" w:type="dxa"/>
            <w:vMerge w:val="continue"/>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p>
        </w:tc>
        <w:tc>
          <w:tcPr>
            <w:tcW w:w="4061" w:type="dxa"/>
            <w:tcMar>
              <w:top w:w="57" w:type="dxa"/>
              <w:left w:w="108" w:type="dxa"/>
              <w:bottom w:w="0" w:type="dxa"/>
              <w:right w:w="108" w:type="dxa"/>
            </w:tcMar>
          </w:tcPr>
          <w:p>
            <w:pPr>
              <w:pStyle w:val="34"/>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01" w:type="dxa"/>
            <w:tcMar>
              <w:top w:w="57" w:type="dxa"/>
              <w:left w:w="108" w:type="dxa"/>
              <w:bottom w:w="0" w:type="dxa"/>
              <w:right w:w="108" w:type="dxa"/>
            </w:tcMar>
          </w:tcPr>
          <w:p>
            <w:pPr>
              <w:pStyle w:val="34"/>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21" w:hRule="exact"/>
          <w:jc w:val="center"/>
        </w:trPr>
        <w:tc>
          <w:tcPr>
            <w:tcW w:w="739" w:type="dxa"/>
            <w:tcMar>
              <w:top w:w="57" w:type="dxa"/>
              <w:left w:w="108" w:type="dxa"/>
              <w:bottom w:w="0" w:type="dxa"/>
              <w:right w:w="108" w:type="dxa"/>
            </w:tcMar>
            <w:vAlign w:val="center"/>
          </w:tcPr>
          <w:p>
            <w:pPr>
              <w:pStyle w:val="34"/>
              <w:spacing w:line="360" w:lineRule="auto"/>
              <w:jc w:val="center"/>
              <w:rPr>
                <w:rFonts w:ascii="宋体" w:hAnsi="宋体" w:cs="Arial"/>
                <w:bCs/>
                <w:sz w:val="21"/>
                <w:szCs w:val="21"/>
              </w:rPr>
            </w:pPr>
            <w:r>
              <w:rPr>
                <w:rFonts w:hint="eastAsia" w:ascii="宋体" w:hAnsi="宋体" w:cs="Arial"/>
                <w:bCs/>
                <w:sz w:val="21"/>
                <w:szCs w:val="21"/>
              </w:rPr>
              <w:t>2</w:t>
            </w:r>
          </w:p>
        </w:tc>
        <w:tc>
          <w:tcPr>
            <w:tcW w:w="2879" w:type="dxa"/>
            <w:tcMar>
              <w:top w:w="57" w:type="dxa"/>
              <w:left w:w="108" w:type="dxa"/>
              <w:bottom w:w="0" w:type="dxa"/>
              <w:right w:w="108" w:type="dxa"/>
            </w:tcMar>
            <w:vAlign w:val="center"/>
          </w:tcPr>
          <w:p>
            <w:pPr>
              <w:pStyle w:val="34"/>
              <w:spacing w:line="360" w:lineRule="auto"/>
              <w:rPr>
                <w:rFonts w:ascii="宋体" w:hAnsi="宋体" w:cs="Arial"/>
                <w:bCs/>
                <w:sz w:val="21"/>
                <w:szCs w:val="21"/>
              </w:rPr>
            </w:pPr>
            <w:r>
              <w:rPr>
                <w:rFonts w:hint="eastAsia" w:ascii="宋体" w:hAnsi="宋体" w:cs="Arial"/>
                <w:bCs/>
                <w:sz w:val="21"/>
                <w:szCs w:val="21"/>
              </w:rPr>
              <w:t>保修期后售后服务</w:t>
            </w:r>
          </w:p>
        </w:tc>
        <w:tc>
          <w:tcPr>
            <w:tcW w:w="4061" w:type="dxa"/>
            <w:tcMar>
              <w:top w:w="57" w:type="dxa"/>
              <w:left w:w="108" w:type="dxa"/>
              <w:bottom w:w="0" w:type="dxa"/>
              <w:right w:w="108" w:type="dxa"/>
            </w:tcMar>
          </w:tcPr>
          <w:p>
            <w:pPr>
              <w:pStyle w:val="34"/>
              <w:widowControl/>
              <w:spacing w:line="360" w:lineRule="auto"/>
              <w:jc w:val="left"/>
              <w:rPr>
                <w:rFonts w:ascii="宋体" w:hAnsi="宋体" w:cs="Arial"/>
                <w:bCs/>
                <w:sz w:val="21"/>
                <w:szCs w:val="21"/>
              </w:rPr>
            </w:pPr>
          </w:p>
          <w:p>
            <w:pPr>
              <w:pStyle w:val="34"/>
              <w:widowControl/>
              <w:spacing w:line="360" w:lineRule="auto"/>
              <w:jc w:val="left"/>
              <w:rPr>
                <w:rFonts w:ascii="宋体" w:hAnsi="宋体" w:cs="Arial"/>
                <w:bCs/>
                <w:sz w:val="21"/>
                <w:szCs w:val="21"/>
              </w:rPr>
            </w:pPr>
          </w:p>
          <w:p>
            <w:pPr>
              <w:pStyle w:val="34"/>
              <w:spacing w:line="360" w:lineRule="auto"/>
              <w:rPr>
                <w:rFonts w:ascii="宋体" w:hAnsi="宋体" w:cs="Arial"/>
                <w:bCs/>
                <w:sz w:val="21"/>
                <w:szCs w:val="21"/>
              </w:rPr>
            </w:pPr>
          </w:p>
        </w:tc>
        <w:tc>
          <w:tcPr>
            <w:tcW w:w="1301" w:type="dxa"/>
            <w:tcMar>
              <w:top w:w="57" w:type="dxa"/>
              <w:left w:w="108" w:type="dxa"/>
              <w:bottom w:w="0" w:type="dxa"/>
              <w:right w:w="108" w:type="dxa"/>
            </w:tcMar>
          </w:tcPr>
          <w:p>
            <w:pPr>
              <w:pStyle w:val="34"/>
              <w:widowControl/>
              <w:spacing w:line="360" w:lineRule="auto"/>
              <w:jc w:val="left"/>
              <w:rPr>
                <w:rFonts w:ascii="宋体" w:hAnsi="宋体" w:cs="Arial"/>
                <w:bCs/>
                <w:sz w:val="21"/>
                <w:szCs w:val="21"/>
              </w:rPr>
            </w:pPr>
          </w:p>
          <w:p>
            <w:pPr>
              <w:pStyle w:val="34"/>
              <w:widowControl/>
              <w:spacing w:line="360" w:lineRule="auto"/>
              <w:jc w:val="left"/>
              <w:rPr>
                <w:rFonts w:ascii="宋体" w:hAnsi="宋体" w:cs="Arial"/>
                <w:bCs/>
                <w:sz w:val="21"/>
                <w:szCs w:val="21"/>
              </w:rPr>
            </w:pPr>
          </w:p>
          <w:p>
            <w:pPr>
              <w:pStyle w:val="34"/>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60" w:hRule="exact"/>
          <w:jc w:val="center"/>
        </w:trPr>
        <w:tc>
          <w:tcPr>
            <w:tcW w:w="739" w:type="dxa"/>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2879" w:type="dxa"/>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4061" w:type="dxa"/>
            <w:tcMar>
              <w:top w:w="57" w:type="dxa"/>
              <w:left w:w="108" w:type="dxa"/>
              <w:bottom w:w="0" w:type="dxa"/>
              <w:right w:w="108" w:type="dxa"/>
            </w:tcMar>
          </w:tcPr>
          <w:p>
            <w:pPr>
              <w:pStyle w:val="34"/>
              <w:widowControl/>
              <w:spacing w:line="360" w:lineRule="auto"/>
              <w:jc w:val="left"/>
              <w:rPr>
                <w:rFonts w:ascii="宋体" w:hAnsi="宋体" w:cs="Arial"/>
                <w:bCs/>
                <w:i/>
                <w:sz w:val="21"/>
                <w:szCs w:val="21"/>
              </w:rPr>
            </w:pPr>
          </w:p>
          <w:p>
            <w:pPr>
              <w:pStyle w:val="34"/>
              <w:widowControl/>
              <w:spacing w:line="360" w:lineRule="auto"/>
              <w:jc w:val="left"/>
              <w:rPr>
                <w:rFonts w:ascii="宋体" w:hAnsi="宋体" w:cs="Arial"/>
                <w:bCs/>
                <w:i/>
                <w:sz w:val="21"/>
                <w:szCs w:val="21"/>
              </w:rPr>
            </w:pPr>
          </w:p>
        </w:tc>
        <w:tc>
          <w:tcPr>
            <w:tcW w:w="1301" w:type="dxa"/>
            <w:tcMar>
              <w:top w:w="57" w:type="dxa"/>
              <w:left w:w="108" w:type="dxa"/>
              <w:bottom w:w="0" w:type="dxa"/>
              <w:right w:w="108" w:type="dxa"/>
            </w:tcMar>
          </w:tcPr>
          <w:p>
            <w:pPr>
              <w:pStyle w:val="34"/>
              <w:widowControl/>
              <w:spacing w:line="360" w:lineRule="auto"/>
              <w:jc w:val="left"/>
              <w:rPr>
                <w:rFonts w:ascii="宋体" w:hAnsi="宋体" w:cs="Arial"/>
                <w:bCs/>
                <w:i/>
                <w:sz w:val="21"/>
                <w:szCs w:val="21"/>
              </w:rPr>
            </w:pPr>
          </w:p>
          <w:p>
            <w:pPr>
              <w:pStyle w:val="34"/>
              <w:widowControl/>
              <w:spacing w:line="360" w:lineRule="auto"/>
              <w:jc w:val="left"/>
              <w:rPr>
                <w:rFonts w:ascii="宋体" w:hAnsi="宋体" w:cs="Arial"/>
                <w:bCs/>
                <w:i/>
                <w:sz w:val="21"/>
                <w:szCs w:val="21"/>
              </w:rPr>
            </w:pPr>
          </w:p>
          <w:p>
            <w:pPr>
              <w:pStyle w:val="34"/>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ascii="宋体" w:hAnsi="宋体" w:cs="Arial"/>
                <w:bCs/>
                <w:sz w:val="21"/>
                <w:szCs w:val="21"/>
              </w:rPr>
              <w:t>……</w:t>
            </w:r>
          </w:p>
        </w:tc>
        <w:tc>
          <w:tcPr>
            <w:tcW w:w="2879" w:type="dxa"/>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ascii="宋体" w:hAnsi="宋体" w:cs="Arial"/>
                <w:bCs/>
                <w:sz w:val="21"/>
                <w:szCs w:val="21"/>
              </w:rPr>
              <w:t>……</w:t>
            </w:r>
          </w:p>
        </w:tc>
        <w:tc>
          <w:tcPr>
            <w:tcW w:w="4061" w:type="dxa"/>
            <w:tcMar>
              <w:top w:w="57" w:type="dxa"/>
              <w:left w:w="108" w:type="dxa"/>
              <w:bottom w:w="0" w:type="dxa"/>
              <w:right w:w="108" w:type="dxa"/>
            </w:tcMar>
          </w:tcPr>
          <w:p>
            <w:pPr>
              <w:pStyle w:val="34"/>
              <w:widowControl/>
              <w:spacing w:line="360" w:lineRule="auto"/>
              <w:jc w:val="left"/>
              <w:rPr>
                <w:rFonts w:ascii="宋体" w:hAnsi="宋体" w:cs="Arial"/>
                <w:bCs/>
                <w:sz w:val="21"/>
                <w:szCs w:val="21"/>
              </w:rPr>
            </w:pPr>
          </w:p>
        </w:tc>
        <w:tc>
          <w:tcPr>
            <w:tcW w:w="1301" w:type="dxa"/>
            <w:tcMar>
              <w:top w:w="57" w:type="dxa"/>
              <w:left w:w="108" w:type="dxa"/>
              <w:bottom w:w="0" w:type="dxa"/>
              <w:right w:w="108" w:type="dxa"/>
            </w:tcMar>
          </w:tcPr>
          <w:p>
            <w:pPr>
              <w:pStyle w:val="34"/>
              <w:widowControl/>
              <w:spacing w:line="360" w:lineRule="auto"/>
              <w:jc w:val="left"/>
              <w:rPr>
                <w:rFonts w:ascii="宋体" w:hAnsi="宋体" w:cs="Arial"/>
                <w:bCs/>
                <w:sz w:val="21"/>
                <w:szCs w:val="21"/>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2"/>
        <w:ind w:firstLine="0"/>
        <w:rPr>
          <w:rFonts w:ascii="宋体" w:hAnsi="宋体"/>
          <w:sz w:val="24"/>
          <w:u w:val="single"/>
        </w:rPr>
      </w:pPr>
    </w:p>
    <w:p>
      <w:pPr>
        <w:pStyle w:val="2"/>
        <w:ind w:firstLine="0"/>
        <w:rPr>
          <w:rFonts w:ascii="宋体" w:hAnsi="宋体"/>
          <w:sz w:val="24"/>
          <w:u w:val="single"/>
        </w:rPr>
      </w:pPr>
    </w:p>
    <w:p>
      <w:pPr>
        <w:pStyle w:val="2"/>
        <w:ind w:firstLine="0"/>
        <w:rPr>
          <w:rFonts w:ascii="宋体" w:hAnsi="宋体"/>
          <w:sz w:val="24"/>
          <w:u w:val="single"/>
        </w:rPr>
      </w:pPr>
    </w:p>
    <w:p>
      <w:pPr>
        <w:pStyle w:val="35"/>
        <w:spacing w:line="360" w:lineRule="auto"/>
        <w:rPr>
          <w:rFonts w:hint="default" w:hAnsi="宋体" w:eastAsiaTheme="minorEastAsia"/>
          <w:b/>
          <w:sz w:val="28"/>
          <w:szCs w:val="28"/>
          <w:lang w:val="en-US" w:eastAsia="zh-CN"/>
        </w:rPr>
      </w:pPr>
      <w:r>
        <w:rPr>
          <w:rFonts w:hint="eastAsia" w:hAnsi="宋体"/>
          <w:b/>
          <w:sz w:val="28"/>
          <w:szCs w:val="28"/>
        </w:rPr>
        <w:t>附件</w:t>
      </w:r>
      <w:r>
        <w:rPr>
          <w:rFonts w:hint="eastAsia" w:hAnsi="宋体"/>
          <w:b/>
          <w:sz w:val="28"/>
          <w:szCs w:val="28"/>
          <w:lang w:val="en-US" w:eastAsia="zh-CN"/>
        </w:rPr>
        <w:t>12</w:t>
      </w:r>
    </w:p>
    <w:p>
      <w:pPr>
        <w:pStyle w:val="35"/>
        <w:spacing w:line="360" w:lineRule="auto"/>
        <w:jc w:val="center"/>
        <w:rPr>
          <w:rFonts w:hAnsi="宋体"/>
          <w:b/>
          <w:sz w:val="32"/>
          <w:szCs w:val="32"/>
          <w:lang w:val="en-GB"/>
        </w:rPr>
      </w:pPr>
      <w:bookmarkStart w:id="89" w:name="_Toc15536_WPSOffice_Level1"/>
      <w:bookmarkStart w:id="90" w:name="_Toc16175_WPSOffice_Level1"/>
      <w:r>
        <w:rPr>
          <w:rFonts w:hint="eastAsia" w:hAnsi="宋体"/>
          <w:b/>
          <w:sz w:val="32"/>
          <w:szCs w:val="32"/>
        </w:rPr>
        <w:t>主要货物用材响应表(类似家具类货物采用)</w:t>
      </w:r>
      <w:bookmarkEnd w:id="89"/>
      <w:bookmarkEnd w:id="90"/>
    </w:p>
    <w:tbl>
      <w:tblPr>
        <w:tblStyle w:val="19"/>
        <w:tblpPr w:leftFromText="181" w:rightFromText="181" w:bottomFromText="170" w:vertAnchor="text" w:tblpXSpec="center" w:tblpY="1"/>
        <w:tblOverlap w:val="never"/>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658"/>
        <w:gridCol w:w="788"/>
        <w:gridCol w:w="1260"/>
        <w:gridCol w:w="900"/>
        <w:gridCol w:w="773"/>
        <w:gridCol w:w="1260"/>
        <w:gridCol w:w="89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货物名称</w:t>
            </w:r>
          </w:p>
        </w:tc>
        <w:tc>
          <w:tcPr>
            <w:tcW w:w="78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产品配置</w:t>
            </w:r>
          </w:p>
        </w:tc>
        <w:tc>
          <w:tcPr>
            <w:tcW w:w="5988" w:type="dxa"/>
            <w:gridSpan w:val="6"/>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78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材料规格及参数</w:t>
            </w: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w:t>
            </w:r>
          </w:p>
          <w:p>
            <w:pPr>
              <w:pStyle w:val="34"/>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商标</w:t>
            </w: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生产厂家</w:t>
            </w: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符合标准</w:t>
            </w: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性能说明</w:t>
            </w: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autoSpaceDE w:val="0"/>
              <w:autoSpaceDN w:val="0"/>
              <w:adjustRightInd w:val="0"/>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spacing w:line="360" w:lineRule="auto"/>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spacing w:line="360" w:lineRule="auto"/>
              <w:ind w:right="84" w:rightChars="40"/>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spacing w:line="360" w:lineRule="auto"/>
              <w:ind w:right="84" w:rightChars="40"/>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spacing w:line="360" w:lineRule="auto"/>
              <w:ind w:right="84" w:rightChars="40"/>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spacing w:line="360" w:lineRule="auto"/>
              <w:ind w:right="84" w:rightChars="40"/>
              <w:jc w:val="center"/>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spacing w:line="360" w:lineRule="auto"/>
              <w:rPr>
                <w:rFonts w:hint="eastAsia" w:asciiTheme="minorEastAsia" w:hAnsiTheme="minorEastAsia" w:eastAsiaTheme="minorEastAsia" w:cstheme="minorEastAsia"/>
                <w:sz w:val="21"/>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4"/>
              <w:spacing w:line="360" w:lineRule="auto"/>
              <w:rPr>
                <w:rFonts w:hint="eastAsia" w:asciiTheme="minorEastAsia" w:hAnsiTheme="minorEastAsia" w:eastAsiaTheme="minorEastAsia" w:cstheme="minorEastAsia"/>
                <w:sz w:val="21"/>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4"/>
              <w:autoSpaceDE w:val="0"/>
              <w:autoSpaceDN w:val="0"/>
              <w:adjustRightInd w:val="0"/>
              <w:spacing w:line="360" w:lineRule="auto"/>
              <w:ind w:right="84" w:rightChars="40"/>
              <w:jc w:val="center"/>
              <w:rPr>
                <w:rFonts w:hint="eastAsia" w:asciiTheme="minorEastAsia" w:hAnsiTheme="minorEastAsia" w:eastAsiaTheme="minorEastAsia" w:cstheme="minorEastAsia"/>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firstLine="420" w:firstLineChars="200"/>
        <w:rPr>
          <w:rFonts w:ascii="宋体" w:hAnsi="宋体"/>
          <w:szCs w:val="21"/>
        </w:rPr>
      </w:pPr>
      <w:r>
        <w:rPr>
          <w:rFonts w:hint="eastAsia" w:ascii="宋体" w:hAnsi="宋体"/>
          <w:szCs w:val="21"/>
        </w:rPr>
        <w:t>1.请列出以上产品的各项主要用材、辅料、油漆、五金件等。</w:t>
      </w:r>
    </w:p>
    <w:p>
      <w:pPr>
        <w:pStyle w:val="34"/>
        <w:spacing w:line="360" w:lineRule="auto"/>
        <w:ind w:firstLine="420" w:firstLineChars="200"/>
        <w:rPr>
          <w:rFonts w:ascii="宋体" w:hAnsi="宋体"/>
          <w:szCs w:val="21"/>
        </w:rPr>
      </w:pPr>
      <w:r>
        <w:rPr>
          <w:rFonts w:hint="eastAsia" w:ascii="宋体" w:hAnsi="宋体"/>
          <w:szCs w:val="21"/>
        </w:rPr>
        <w:t>2.本表所列产品主要用材均为采购人抽样送检的范围。</w:t>
      </w:r>
    </w:p>
    <w:p>
      <w:pPr>
        <w:pStyle w:val="34"/>
        <w:spacing w:line="360" w:lineRule="auto"/>
        <w:ind w:firstLine="480" w:firstLineChars="200"/>
        <w:rPr>
          <w:rFonts w:ascii="仿宋_GB2312" w:eastAsia="仿宋_GB2312"/>
          <w:sz w:val="24"/>
        </w:rPr>
      </w:pPr>
    </w:p>
    <w:p>
      <w:pPr>
        <w:pStyle w:val="34"/>
        <w:spacing w:line="360" w:lineRule="auto"/>
        <w:ind w:firstLine="480" w:firstLineChars="200"/>
        <w:rPr>
          <w:rFonts w:ascii="仿宋_GB2312" w:eastAsia="仿宋_GB2312"/>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日        期：</w:t>
      </w:r>
    </w:p>
    <w:p>
      <w:pPr>
        <w:spacing w:line="360" w:lineRule="auto"/>
        <w:ind w:right="-110"/>
        <w:jc w:val="left"/>
        <w:rPr>
          <w:rFonts w:ascii="宋体" w:hAnsi="宋体"/>
          <w:b/>
          <w:sz w:val="28"/>
        </w:rPr>
      </w:pPr>
    </w:p>
    <w:p>
      <w:pPr>
        <w:rPr>
          <w:rFonts w:ascii="宋体" w:hAnsi="宋体"/>
          <w:b/>
          <w:sz w:val="28"/>
        </w:rPr>
      </w:pPr>
      <w:r>
        <w:rPr>
          <w:rFonts w:hint="eastAsia" w:ascii="宋体" w:hAnsi="宋体"/>
          <w:b/>
          <w:sz w:val="28"/>
        </w:rPr>
        <w:br w:type="page"/>
      </w:r>
    </w:p>
    <w:p>
      <w:pPr>
        <w:jc w:val="center"/>
        <w:rPr>
          <w:rFonts w:hint="eastAsia"/>
          <w:sz w:val="52"/>
          <w:szCs w:val="52"/>
        </w:rPr>
      </w:pPr>
      <w:bookmarkStart w:id="91" w:name="_Toc4615_WPSOffice_Level1"/>
      <w:bookmarkStart w:id="92" w:name="_Toc30468_WPSOffice_Level1"/>
      <w:bookmarkStart w:id="93" w:name="_Toc21322_WPSOffice_Level1"/>
    </w:p>
    <w:p>
      <w:pPr>
        <w:pStyle w:val="18"/>
        <w:rPr>
          <w:rFonts w:hint="eastAsia"/>
        </w:rPr>
      </w:pPr>
    </w:p>
    <w:p>
      <w:pPr>
        <w:jc w:val="center"/>
        <w:rPr>
          <w:rFonts w:hint="eastAsia"/>
          <w:sz w:val="52"/>
          <w:szCs w:val="52"/>
        </w:rPr>
      </w:pPr>
    </w:p>
    <w:p>
      <w:pPr>
        <w:jc w:val="center"/>
        <w:rPr>
          <w:sz w:val="52"/>
          <w:szCs w:val="52"/>
        </w:rPr>
      </w:pPr>
      <w:r>
        <w:rPr>
          <w:rFonts w:hint="eastAsia"/>
          <w:sz w:val="52"/>
          <w:szCs w:val="52"/>
        </w:rPr>
        <w:t>项目名称</w:t>
      </w:r>
      <w:bookmarkEnd w:id="91"/>
      <w:bookmarkEnd w:id="92"/>
      <w:bookmarkEnd w:id="93"/>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8"/>
      </w:pPr>
    </w:p>
    <w:p>
      <w:pPr>
        <w:jc w:val="center"/>
        <w:rPr>
          <w:sz w:val="84"/>
          <w:szCs w:val="84"/>
        </w:rPr>
      </w:pPr>
      <w:bookmarkStart w:id="94" w:name="_Toc8885_WPSOffice_Level1"/>
      <w:bookmarkStart w:id="95" w:name="_Toc9453_WPSOffice_Level1"/>
      <w:r>
        <w:rPr>
          <w:rFonts w:hint="eastAsia"/>
          <w:sz w:val="84"/>
          <w:szCs w:val="84"/>
        </w:rPr>
        <w:t>报</w:t>
      </w:r>
      <w:bookmarkEnd w:id="94"/>
      <w:bookmarkEnd w:id="95"/>
    </w:p>
    <w:p>
      <w:pPr>
        <w:jc w:val="center"/>
        <w:rPr>
          <w:sz w:val="84"/>
          <w:szCs w:val="84"/>
        </w:rPr>
      </w:pPr>
      <w:bookmarkStart w:id="96" w:name="_Toc10910_WPSOffice_Level1"/>
      <w:bookmarkStart w:id="97" w:name="_Toc7485_WPSOffice_Level1"/>
      <w:r>
        <w:rPr>
          <w:rFonts w:hint="eastAsia"/>
          <w:sz w:val="84"/>
          <w:szCs w:val="84"/>
        </w:rPr>
        <w:t>价</w:t>
      </w:r>
      <w:bookmarkEnd w:id="96"/>
      <w:bookmarkEnd w:id="97"/>
    </w:p>
    <w:p>
      <w:pPr>
        <w:jc w:val="center"/>
        <w:rPr>
          <w:sz w:val="84"/>
          <w:szCs w:val="84"/>
        </w:rPr>
      </w:pPr>
      <w:bookmarkStart w:id="98" w:name="_Toc3932_WPSOffice_Level1"/>
      <w:bookmarkStart w:id="99" w:name="_Toc14572_WPSOffice_Level1"/>
      <w:r>
        <w:rPr>
          <w:rFonts w:hint="eastAsia"/>
          <w:sz w:val="84"/>
          <w:szCs w:val="84"/>
        </w:rPr>
        <w:t>文</w:t>
      </w:r>
      <w:bookmarkEnd w:id="98"/>
      <w:bookmarkEnd w:id="99"/>
    </w:p>
    <w:p>
      <w:pPr>
        <w:jc w:val="center"/>
        <w:rPr>
          <w:sz w:val="84"/>
          <w:szCs w:val="84"/>
        </w:rPr>
      </w:pPr>
      <w:bookmarkStart w:id="100" w:name="_Toc16973_WPSOffice_Level1"/>
      <w:bookmarkStart w:id="101" w:name="_Toc7562_WPSOffice_Level1"/>
      <w:r>
        <w:rPr>
          <w:rFonts w:hint="eastAsia"/>
          <w:sz w:val="84"/>
          <w:szCs w:val="84"/>
        </w:rPr>
        <w:t>件</w:t>
      </w:r>
      <w:bookmarkEnd w:id="100"/>
      <w:bookmarkEnd w:id="101"/>
    </w:p>
    <w:p>
      <w:pPr>
        <w:spacing w:line="360" w:lineRule="auto"/>
        <w:ind w:right="532"/>
        <w:rPr>
          <w:rFonts w:ascii="宋体" w:hAnsi="宋体"/>
          <w:sz w:val="36"/>
          <w:szCs w:val="36"/>
        </w:rPr>
      </w:pPr>
    </w:p>
    <w:p>
      <w:pPr>
        <w:pStyle w:val="18"/>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102" w:name="_Toc26700_WPSOffice_Level1"/>
      <w:bookmarkStart w:id="103" w:name="_Toc4603_WPSOffice_Level1"/>
      <w:r>
        <w:rPr>
          <w:rFonts w:hint="eastAsia" w:ascii="宋体" w:hAnsi="宋体"/>
          <w:sz w:val="36"/>
          <w:szCs w:val="36"/>
        </w:rPr>
        <w:t>投标人全称（公章）：</w:t>
      </w:r>
      <w:bookmarkEnd w:id="102"/>
      <w:bookmarkEnd w:id="103"/>
    </w:p>
    <w:p>
      <w:pPr>
        <w:spacing w:line="360" w:lineRule="auto"/>
        <w:ind w:right="-108" w:firstLine="720" w:firstLineChars="200"/>
        <w:rPr>
          <w:rFonts w:ascii="宋体" w:hAnsi="宋体"/>
          <w:sz w:val="36"/>
          <w:szCs w:val="36"/>
        </w:rPr>
      </w:pPr>
      <w:bookmarkStart w:id="104" w:name="_Toc32593_WPSOffice_Level1"/>
      <w:bookmarkStart w:id="105" w:name="_Toc1391_WPSOffice_Level1"/>
      <w:r>
        <w:rPr>
          <w:rFonts w:hint="eastAsia" w:ascii="宋体" w:hAnsi="宋体"/>
          <w:sz w:val="36"/>
          <w:szCs w:val="36"/>
        </w:rPr>
        <w:t>地    址：</w:t>
      </w:r>
      <w:bookmarkEnd w:id="104"/>
      <w:bookmarkEnd w:id="105"/>
    </w:p>
    <w:p>
      <w:pPr>
        <w:spacing w:line="360" w:lineRule="auto"/>
        <w:ind w:right="-108" w:firstLine="720" w:firstLineChars="200"/>
        <w:rPr>
          <w:rFonts w:ascii="宋体" w:hAnsi="宋体"/>
          <w:sz w:val="36"/>
          <w:szCs w:val="36"/>
        </w:rPr>
      </w:pPr>
      <w:bookmarkStart w:id="106" w:name="_Toc20938_WPSOffice_Level1"/>
      <w:bookmarkStart w:id="107" w:name="_Toc3791_WPSOffice_Level1"/>
      <w:r>
        <w:rPr>
          <w:rFonts w:hint="eastAsia" w:ascii="宋体" w:hAnsi="宋体"/>
          <w:sz w:val="36"/>
          <w:szCs w:val="36"/>
        </w:rPr>
        <w:t>时    间：</w:t>
      </w:r>
      <w:bookmarkEnd w:id="106"/>
      <w:bookmarkEnd w:id="107"/>
    </w:p>
    <w:p>
      <w:pPr>
        <w:spacing w:line="360" w:lineRule="auto"/>
        <w:ind w:right="-108"/>
        <w:jc w:val="center"/>
        <w:rPr>
          <w:rFonts w:ascii="仿宋_GB2312" w:hAnsi="宋体" w:eastAsia="仿宋_GB2312"/>
          <w:b/>
          <w:sz w:val="36"/>
          <w:szCs w:val="36"/>
        </w:rPr>
      </w:pPr>
    </w:p>
    <w:p>
      <w:pPr>
        <w:pStyle w:val="18"/>
      </w:pPr>
    </w:p>
    <w:p>
      <w:pPr>
        <w:pStyle w:val="18"/>
      </w:pPr>
    </w:p>
    <w:p>
      <w:pPr>
        <w:pStyle w:val="18"/>
      </w:pPr>
    </w:p>
    <w:p>
      <w:pPr>
        <w:pStyle w:val="2"/>
        <w:ind w:left="0" w:leftChars="0" w:firstLine="0" w:firstLineChars="0"/>
        <w:rPr>
          <w:rFonts w:ascii="仿宋_GB2312" w:hAnsi="宋体" w:eastAsia="仿宋_GB2312"/>
          <w:b/>
          <w:sz w:val="36"/>
          <w:szCs w:val="36"/>
        </w:rPr>
      </w:pPr>
    </w:p>
    <w:p>
      <w:pPr>
        <w:pStyle w:val="2"/>
        <w:ind w:left="0" w:leftChars="0" w:firstLine="0" w:firstLineChars="0"/>
        <w:rPr>
          <w:rFonts w:ascii="仿宋_GB2312" w:hAnsi="宋体" w:eastAsia="仿宋_GB2312"/>
          <w:b/>
          <w:sz w:val="36"/>
          <w:szCs w:val="36"/>
        </w:rPr>
      </w:pPr>
    </w:p>
    <w:p>
      <w:pPr>
        <w:spacing w:line="480" w:lineRule="auto"/>
        <w:jc w:val="center"/>
        <w:rPr>
          <w:rFonts w:hint="eastAsia" w:ascii="宋体" w:hAnsi="宋体"/>
          <w:b/>
          <w:bCs/>
          <w:sz w:val="36"/>
          <w:szCs w:val="36"/>
        </w:rPr>
      </w:pPr>
      <w:bookmarkStart w:id="108" w:name="_Toc29537_WPSOffice_Level1"/>
      <w:bookmarkStart w:id="109" w:name="_Toc19972_WPSOffice_Level1"/>
      <w:r>
        <w:rPr>
          <w:rFonts w:hint="eastAsia" w:ascii="宋体" w:hAnsi="宋体"/>
          <w:b/>
          <w:bCs/>
          <w:sz w:val="36"/>
          <w:szCs w:val="36"/>
        </w:rPr>
        <w:t>报价文件目录</w:t>
      </w:r>
      <w:bookmarkEnd w:id="108"/>
      <w:bookmarkEnd w:id="109"/>
    </w:p>
    <w:p>
      <w:pPr>
        <w:pStyle w:val="18"/>
        <w:rPr>
          <w:rFonts w:hint="eastAsia"/>
        </w:rPr>
      </w:pPr>
    </w:p>
    <w:p>
      <w:pPr>
        <w:spacing w:line="360" w:lineRule="auto"/>
        <w:ind w:firstLine="480" w:firstLineChars="200"/>
        <w:rPr>
          <w:sz w:val="24"/>
        </w:rPr>
      </w:pPr>
    </w:p>
    <w:p>
      <w:pPr>
        <w:numPr>
          <w:ilvl w:val="0"/>
          <w:numId w:val="13"/>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10" w:name="_Toc29988_WPSOffice_Level1"/>
      <w:bookmarkStart w:id="111" w:name="_Toc6778_WPSOffice_Level1"/>
      <w:r>
        <w:rPr>
          <w:rFonts w:hint="eastAsia" w:asciiTheme="minorEastAsia" w:hAnsiTheme="minorEastAsia" w:eastAsiaTheme="minorEastAsia" w:cstheme="minorEastAsia"/>
          <w:sz w:val="28"/>
          <w:szCs w:val="28"/>
          <w:lang w:val="en-US" w:eastAsia="zh-CN"/>
        </w:rPr>
        <w:t>开标一览表（附件13）</w:t>
      </w:r>
      <w:bookmarkEnd w:id="110"/>
      <w:bookmarkEnd w:id="111"/>
    </w:p>
    <w:p>
      <w:pPr>
        <w:numPr>
          <w:ilvl w:val="0"/>
          <w:numId w:val="13"/>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12" w:name="_Toc15601_WPSOffice_Level1"/>
      <w:bookmarkStart w:id="113" w:name="_Toc11601_WPSOffice_Level1"/>
      <w:r>
        <w:rPr>
          <w:rFonts w:hint="eastAsia" w:asciiTheme="minorEastAsia" w:hAnsiTheme="minorEastAsia" w:eastAsiaTheme="minorEastAsia" w:cstheme="minorEastAsia"/>
          <w:sz w:val="28"/>
          <w:szCs w:val="28"/>
          <w:lang w:val="en-US" w:eastAsia="zh-CN"/>
        </w:rPr>
        <w:t>报价明细表（附件14）</w:t>
      </w:r>
      <w:bookmarkEnd w:id="112"/>
      <w:bookmarkEnd w:id="113"/>
    </w:p>
    <w:p>
      <w:pPr>
        <w:numPr>
          <w:ilvl w:val="0"/>
          <w:numId w:val="13"/>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14" w:name="_Toc45_WPSOffice_Level1"/>
      <w:bookmarkStart w:id="115" w:name="_Toc17543_WPSOffice_Level1"/>
      <w:r>
        <w:rPr>
          <w:rFonts w:hint="eastAsia" w:asciiTheme="minorEastAsia" w:hAnsiTheme="minorEastAsia" w:eastAsiaTheme="minorEastAsia" w:cstheme="minorEastAsia"/>
          <w:kern w:val="2"/>
          <w:sz w:val="28"/>
          <w:szCs w:val="28"/>
          <w:lang w:val="en-US" w:eastAsia="zh-CN" w:bidi="ar-SA"/>
        </w:rPr>
        <w:t>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lang w:val="en-US" w:eastAsia="zh-CN"/>
        </w:rPr>
        <w:t>（附件15）</w:t>
      </w:r>
      <w:bookmarkEnd w:id="114"/>
      <w:bookmarkEnd w:id="115"/>
    </w:p>
    <w:p>
      <w:pPr>
        <w:numPr>
          <w:ilvl w:val="0"/>
          <w:numId w:val="13"/>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针对报价投标人认为其他需要说明的</w:t>
      </w:r>
    </w:p>
    <w:p>
      <w:pPr>
        <w:numPr>
          <w:ilvl w:val="0"/>
          <w:numId w:val="0"/>
        </w:numPr>
        <w:spacing w:line="360" w:lineRule="auto"/>
        <w:ind w:leftChars="0"/>
        <w:jc w:val="both"/>
        <w:rPr>
          <w:rFonts w:hint="eastAsia" w:asciiTheme="minorEastAsia" w:hAnsiTheme="minorEastAsia" w:eastAsiaTheme="minorEastAsia" w:cstheme="minorEastAsia"/>
          <w:sz w:val="28"/>
          <w:szCs w:val="28"/>
          <w:lang w:val="en-US" w:eastAsia="zh-CN"/>
        </w:rPr>
      </w:pPr>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rPr>
          <w:rFonts w:ascii="宋体" w:hAnsi="宋体"/>
          <w:b/>
          <w:sz w:val="28"/>
        </w:rPr>
      </w:pPr>
      <w:r>
        <w:rPr>
          <w:rFonts w:ascii="宋体" w:hAnsi="宋体"/>
          <w:b/>
          <w:sz w:val="28"/>
        </w:rPr>
        <w:br w:type="page"/>
      </w: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3</w:t>
      </w:r>
    </w:p>
    <w:p>
      <w:pPr>
        <w:spacing w:line="360" w:lineRule="auto"/>
        <w:ind w:left="-2" w:hanging="2"/>
        <w:jc w:val="center"/>
        <w:rPr>
          <w:rFonts w:hint="eastAsia" w:ascii="宋体" w:hAnsi="宋体"/>
          <w:b/>
          <w:sz w:val="32"/>
          <w:szCs w:val="32"/>
        </w:rPr>
      </w:pPr>
      <w:bookmarkStart w:id="116" w:name="_Toc16144_WPSOffice_Level1"/>
      <w:bookmarkStart w:id="117" w:name="_Toc30363_WPSOffice_Level1"/>
      <w:r>
        <w:rPr>
          <w:rFonts w:hint="eastAsia" w:ascii="宋体" w:hAnsi="宋体"/>
          <w:b/>
          <w:sz w:val="32"/>
          <w:szCs w:val="32"/>
        </w:rPr>
        <w:t>开标一览表</w:t>
      </w:r>
      <w:bookmarkEnd w:id="116"/>
      <w:bookmarkEnd w:id="117"/>
    </w:p>
    <w:p>
      <w:pPr>
        <w:pStyle w:val="18"/>
      </w:pPr>
    </w:p>
    <w:p>
      <w:pPr>
        <w:pStyle w:val="10"/>
        <w:spacing w:line="360" w:lineRule="auto"/>
        <w:ind w:firstLine="482" w:firstLineChars="200"/>
        <w:rPr>
          <w:rFonts w:hAnsi="宋体"/>
          <w:b/>
          <w:sz w:val="24"/>
        </w:rPr>
      </w:pPr>
      <w:r>
        <w:rPr>
          <w:rFonts w:hAnsi="宋体"/>
          <w:b/>
          <w:sz w:val="24"/>
        </w:rPr>
        <w:t>项目编号：</w:t>
      </w:r>
    </w:p>
    <w:p>
      <w:pPr>
        <w:pStyle w:val="38"/>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19"/>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hint="eastAsia" w:ascii="宋体" w:hAnsi="宋体" w:eastAsia="宋体"/>
                <w:sz w:val="24"/>
                <w:lang w:eastAsia="zh-CN"/>
              </w:rPr>
            </w:pPr>
            <w:r>
              <w:rPr>
                <w:rFonts w:hint="eastAsia" w:ascii="宋体" w:hAnsi="宋体"/>
                <w:sz w:val="24"/>
              </w:rPr>
              <w:t>投标总报价</w:t>
            </w:r>
          </w:p>
        </w:tc>
        <w:tc>
          <w:tcPr>
            <w:tcW w:w="1349"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bl>
    <w:p>
      <w:pPr>
        <w:spacing w:line="360" w:lineRule="auto"/>
        <w:ind w:firstLine="422" w:firstLineChars="200"/>
        <w:rPr>
          <w:rFonts w:hint="eastAsia" w:ascii="宋体" w:hAnsi="宋体" w:eastAsia="宋体" w:cs="宋体"/>
          <w:sz w:val="24"/>
        </w:rPr>
      </w:pPr>
      <w:r>
        <w:rPr>
          <w:rFonts w:hint="eastAsia" w:ascii="宋体" w:hAnsi="宋体"/>
          <w:b/>
          <w:szCs w:val="21"/>
        </w:rPr>
        <w:t>填报要求：</w:t>
      </w:r>
      <w:r>
        <w:rPr>
          <w:rFonts w:hint="eastAsia" w:ascii="宋体" w:hAnsi="宋体" w:eastAsia="宋体" w:cs="宋体"/>
          <w:color w:val="111F2C"/>
          <w:szCs w:val="21"/>
          <w:shd w:val="clear" w:color="auto" w:fill="FFFFFF"/>
        </w:rPr>
        <w:t>投标报价包括本项目采购需求和投入使用的所有费用，包括但不限于主件、标准附件、备品备件、施工、服务、专用工具、安装、调试、检验、培训、运输、保险、税款等。</w:t>
      </w:r>
    </w:p>
    <w:p>
      <w:pPr>
        <w:spacing w:line="360" w:lineRule="auto"/>
        <w:rPr>
          <w:rFonts w:hint="eastAsia" w:ascii="宋体" w:hAnsi="宋体" w:eastAsia="宋体" w:cs="宋体"/>
          <w:sz w:val="24"/>
        </w:rPr>
      </w:pPr>
    </w:p>
    <w:p>
      <w:pPr>
        <w:pStyle w:val="18"/>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4</w:t>
      </w:r>
    </w:p>
    <w:p>
      <w:pPr>
        <w:spacing w:line="360" w:lineRule="auto"/>
        <w:jc w:val="center"/>
        <w:rPr>
          <w:rFonts w:hint="eastAsia" w:ascii="宋体" w:hAnsi="宋体"/>
          <w:sz w:val="24"/>
        </w:rPr>
      </w:pPr>
      <w:bookmarkStart w:id="118" w:name="_Toc22412_WPSOffice_Level1"/>
      <w:bookmarkStart w:id="119" w:name="_Toc8975_WPSOffice_Level1"/>
      <w:r>
        <w:rPr>
          <w:rFonts w:hint="eastAsia" w:ascii="宋体" w:hAnsi="宋体"/>
          <w:b/>
          <w:sz w:val="32"/>
          <w:szCs w:val="32"/>
        </w:rPr>
        <w:t>报价明细表</w:t>
      </w:r>
      <w:bookmarkEnd w:id="118"/>
      <w:bookmarkEnd w:id="119"/>
      <w:r>
        <w:rPr>
          <w:rFonts w:hint="eastAsia" w:ascii="宋体" w:hAnsi="宋体"/>
          <w:sz w:val="24"/>
        </w:rPr>
        <w:t xml:space="preserve">  </w:t>
      </w:r>
    </w:p>
    <w:p>
      <w:pPr>
        <w:spacing w:line="360" w:lineRule="auto"/>
        <w:jc w:val="both"/>
        <w:rPr>
          <w:rFonts w:hAnsi="宋体"/>
          <w:b/>
          <w:sz w:val="24"/>
        </w:rPr>
      </w:pPr>
      <w:r>
        <w:rPr>
          <w:rFonts w:hAnsi="宋体"/>
          <w:b/>
          <w:sz w:val="24"/>
        </w:rPr>
        <w:t>项目编号：</w:t>
      </w:r>
    </w:p>
    <w:p>
      <w:pPr>
        <w:pStyle w:val="38"/>
        <w:spacing w:line="360" w:lineRule="auto"/>
        <w:ind w:right="480"/>
        <w:jc w:val="left"/>
        <w:rPr>
          <w:rFonts w:ascii="宋体" w:hAnsi="宋体"/>
          <w:sz w:val="24"/>
        </w:rPr>
      </w:pPr>
      <w:r>
        <w:rPr>
          <w:rFonts w:hAnsi="宋体"/>
          <w:b/>
          <w:sz w:val="24"/>
        </w:rPr>
        <w:t>项目名称：</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[货币单位：人民币元]</w:t>
      </w:r>
    </w:p>
    <w:tbl>
      <w:tblPr>
        <w:tblStyle w:val="19"/>
        <w:tblpPr w:leftFromText="181" w:rightFromText="181" w:bottomFromText="170" w:vertAnchor="text" w:tblpXSpec="center" w:tblpY="1"/>
        <w:tblOverlap w:val="never"/>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44"/>
        <w:gridCol w:w="1034"/>
        <w:gridCol w:w="1260"/>
        <w:gridCol w:w="1036"/>
        <w:gridCol w:w="1005"/>
        <w:gridCol w:w="851"/>
        <w:gridCol w:w="714"/>
        <w:gridCol w:w="69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序号</w:t>
            </w:r>
          </w:p>
        </w:tc>
        <w:tc>
          <w:tcPr>
            <w:tcW w:w="114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报价项目</w:t>
            </w:r>
          </w:p>
        </w:tc>
        <w:tc>
          <w:tcPr>
            <w:tcW w:w="103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品牌、产地</w:t>
            </w:r>
          </w:p>
        </w:tc>
        <w:tc>
          <w:tcPr>
            <w:tcW w:w="1260" w:type="dxa"/>
            <w:tcMar>
              <w:top w:w="57" w:type="dxa"/>
              <w:left w:w="108" w:type="dxa"/>
              <w:bottom w:w="0" w:type="dxa"/>
              <w:right w:w="108" w:type="dxa"/>
            </w:tcMar>
            <w:vAlign w:val="center"/>
          </w:tcPr>
          <w:p>
            <w:pPr>
              <w:spacing w:line="360" w:lineRule="auto"/>
              <w:ind w:left="52"/>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型号规格</w:t>
            </w:r>
          </w:p>
        </w:tc>
        <w:tc>
          <w:tcPr>
            <w:tcW w:w="1036"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制造商名称</w:t>
            </w:r>
          </w:p>
        </w:tc>
        <w:tc>
          <w:tcPr>
            <w:tcW w:w="1005"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是否是小微企业</w:t>
            </w:r>
          </w:p>
        </w:tc>
        <w:tc>
          <w:tcPr>
            <w:tcW w:w="851" w:type="dxa"/>
            <w:tcMar>
              <w:top w:w="57" w:type="dxa"/>
              <w:left w:w="108" w:type="dxa"/>
              <w:bottom w:w="0" w:type="dxa"/>
              <w:right w:w="108" w:type="dxa"/>
            </w:tcMar>
            <w:vAlign w:val="center"/>
          </w:tcPr>
          <w:p>
            <w:pPr>
              <w:spacing w:line="360" w:lineRule="auto"/>
              <w:ind w:left="152"/>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数量</w:t>
            </w:r>
          </w:p>
        </w:tc>
        <w:tc>
          <w:tcPr>
            <w:tcW w:w="714"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单价</w:t>
            </w:r>
          </w:p>
        </w:tc>
        <w:tc>
          <w:tcPr>
            <w:tcW w:w="697"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小计</w:t>
            </w:r>
          </w:p>
        </w:tc>
        <w:tc>
          <w:tcPr>
            <w:tcW w:w="709"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975" w:type="dxa"/>
            <w:gridSpan w:val="10"/>
            <w:tcBorders>
              <w:bottom w:val="single" w:color="auto" w:sz="4" w:space="0"/>
            </w:tcBorders>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leftChars="0"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leftChars="0"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15" w:leftChars="0" w:firstLine="420" w:firstLineChars="200"/>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15" w:leftChars="0" w:firstLine="420" w:firstLineChars="200"/>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Lines="50" w:after="50"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5</w:t>
      </w:r>
    </w:p>
    <w:p>
      <w:pPr>
        <w:pStyle w:val="2"/>
        <w:spacing w:line="360" w:lineRule="auto"/>
        <w:ind w:left="0" w:leftChars="0" w:firstLine="0" w:firstLineChars="0"/>
        <w:jc w:val="center"/>
        <w:rPr>
          <w:rFonts w:ascii="宋体" w:hAnsi="宋体" w:cs="宋体"/>
          <w:b/>
          <w:sz w:val="32"/>
          <w:szCs w:val="32"/>
        </w:rPr>
      </w:pPr>
      <w:bookmarkStart w:id="120" w:name="_Toc12654_WPSOffice_Level1"/>
      <w:bookmarkStart w:id="121" w:name="_Toc29357_WPSOffice_Level1"/>
      <w:r>
        <w:rPr>
          <w:rFonts w:hint="eastAsia" w:ascii="宋体" w:hAnsi="宋体" w:cs="宋体"/>
          <w:b/>
          <w:sz w:val="32"/>
          <w:szCs w:val="32"/>
        </w:rPr>
        <w:t>中小企业声明函（货物）</w:t>
      </w:r>
      <w:bookmarkEnd w:id="120"/>
      <w:bookmarkEnd w:id="121"/>
    </w:p>
    <w:p>
      <w:pPr>
        <w:pStyle w:val="2"/>
        <w:spacing w:line="360" w:lineRule="auto"/>
        <w:ind w:firstLine="643" w:firstLineChars="200"/>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24"/>
          <w:vertAlign w:val="superscript"/>
        </w:rPr>
        <w:fldChar w:fldCharType="begin"/>
      </w:r>
      <w:r>
        <w:rPr>
          <w:rFonts w:hint="eastAsia" w:ascii="宋体" w:hAnsi="宋体" w:cs="宋体"/>
          <w:sz w:val="24"/>
          <w:vertAlign w:val="superscript"/>
        </w:rPr>
        <w:instrText xml:space="preserve"> = 1 \* GB3 </w:instrText>
      </w:r>
      <w:r>
        <w:rPr>
          <w:rFonts w:hint="eastAsia" w:ascii="宋体" w:hAnsi="宋体" w:cs="宋体"/>
          <w:sz w:val="24"/>
          <w:vertAlign w:val="superscript"/>
        </w:rPr>
        <w:fldChar w:fldCharType="separate"/>
      </w:r>
      <w:r>
        <w:rPr>
          <w:rFonts w:hint="eastAsia" w:ascii="宋体" w:hAnsi="宋体" w:cs="宋体"/>
          <w:sz w:val="24"/>
          <w:vertAlign w:val="superscript"/>
        </w:rPr>
        <w:t>①</w:t>
      </w:r>
      <w:r>
        <w:rPr>
          <w:rFonts w:hint="eastAsia" w:ascii="宋体" w:hAnsi="宋体" w:cs="宋体"/>
          <w:sz w:val="24"/>
          <w:vertAlign w:val="superscript"/>
        </w:rPr>
        <w:fldChar w:fldCharType="end"/>
      </w:r>
      <w:r>
        <w:rPr>
          <w:rFonts w:hint="eastAsia" w:ascii="宋体" w:hAnsi="宋体" w:cs="宋体"/>
          <w:sz w:val="24"/>
        </w:rPr>
        <w:t>，属于（中型企业、小型企业、微型企业）；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center"/>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企业名称（盖章）：        </w:t>
      </w:r>
    </w:p>
    <w:p>
      <w:pPr>
        <w:wordWrap w:val="0"/>
        <w:spacing w:line="360" w:lineRule="auto"/>
        <w:ind w:firstLine="480" w:firstLineChars="200"/>
        <w:jc w:val="center"/>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日 期：    </w:t>
      </w:r>
    </w:p>
    <w:p>
      <w:pPr>
        <w:wordWrap w:val="0"/>
        <w:spacing w:line="360" w:lineRule="auto"/>
        <w:ind w:firstLine="480" w:firstLineChars="200"/>
        <w:jc w:val="center"/>
        <w:rPr>
          <w:rFonts w:hint="eastAsia" w:ascii="宋体" w:hAnsi="宋体" w:cs="宋体"/>
          <w:sz w:val="24"/>
        </w:rPr>
      </w:pPr>
      <w:r>
        <w:rPr>
          <w:rFonts w:hint="eastAsia" w:ascii="宋体" w:hAnsi="宋体" w:cs="宋体"/>
          <w:sz w:val="24"/>
        </w:rPr>
        <w:t xml:space="preserve">      </w:t>
      </w: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sectPr>
          <w:headerReference r:id="rId4" w:type="first"/>
          <w:footerReference r:id="rId6" w:type="first"/>
          <w:headerReference r:id="rId3" w:type="default"/>
          <w:footerReference r:id="rId5" w:type="default"/>
          <w:pgSz w:w="11906" w:h="16838"/>
          <w:pgMar w:top="1701" w:right="1418" w:bottom="1588"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0"/>
        <w:spacing w:line="360" w:lineRule="auto"/>
        <w:jc w:val="center"/>
        <w:outlineLvl w:val="1"/>
        <w:rPr>
          <w:rFonts w:hAnsi="宋体" w:cs="宋体"/>
          <w:b/>
          <w:sz w:val="32"/>
          <w:szCs w:val="32"/>
          <w:lang w:val="en-GB"/>
        </w:rPr>
      </w:pPr>
      <w:bookmarkStart w:id="122" w:name="_Toc17646_WPSOffice_Level1"/>
      <w:bookmarkStart w:id="123" w:name="_Toc27483_WPSOffice_Level1"/>
      <w:r>
        <w:rPr>
          <w:rFonts w:hint="eastAsia" w:hAnsi="宋体" w:cs="宋体"/>
          <w:b/>
          <w:sz w:val="32"/>
          <w:szCs w:val="32"/>
          <w:lang w:val="en-GB"/>
        </w:rPr>
        <w:t>残疾人福利性单位声明函</w:t>
      </w:r>
      <w:bookmarkEnd w:id="122"/>
      <w:bookmarkEnd w:id="123"/>
    </w:p>
    <w:p>
      <w:pPr>
        <w:spacing w:line="588"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39"/>
        <w:spacing w:line="360" w:lineRule="auto"/>
        <w:ind w:left="4788" w:leftChars="2280" w:firstLine="0" w:firstLineChars="0"/>
        <w:rPr>
          <w:rFonts w:hint="eastAsia" w:ascii="宋体" w:hAnsi="宋体"/>
          <w:sz w:val="24"/>
        </w:rPr>
      </w:pPr>
      <w:r>
        <w:rPr>
          <w:rFonts w:hint="eastAsia" w:ascii="宋体" w:hAnsi="宋体" w:cs="宋体"/>
          <w:sz w:val="24"/>
        </w:rPr>
        <w:t xml:space="preserve">                                </w:t>
      </w:r>
      <w:r>
        <w:rPr>
          <w:rFonts w:hint="eastAsia" w:ascii="宋体" w:hAnsi="宋体"/>
          <w:sz w:val="24"/>
        </w:rPr>
        <w:t>单位名称（盖章）：</w:t>
      </w:r>
    </w:p>
    <w:p>
      <w:pPr>
        <w:pStyle w:val="39"/>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tabs>
          <w:tab w:val="left" w:pos="4860"/>
        </w:tabs>
        <w:spacing w:line="588" w:lineRule="exact"/>
        <w:ind w:right="1560" w:firstLine="480" w:firstLineChars="200"/>
        <w:jc w:val="center"/>
        <w:rPr>
          <w:rFonts w:ascii="宋体" w:hAnsi="宋体" w:cs="宋体"/>
          <w:sz w:val="24"/>
        </w:rPr>
      </w:pPr>
    </w:p>
    <w:p>
      <w:pPr>
        <w:pStyle w:val="39"/>
        <w:spacing w:line="360" w:lineRule="auto"/>
      </w:pPr>
    </w:p>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政府采购文件公开招标货物类</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XXX政府采购招标文件--货物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FA37827"/>
    <w:multiLevelType w:val="singleLevel"/>
    <w:tmpl w:val="8FA37827"/>
    <w:lvl w:ilvl="0" w:tentative="0">
      <w:start w:val="1"/>
      <w:numFmt w:val="decimal"/>
      <w:lvlText w:val="%1."/>
      <w:lvlJc w:val="left"/>
      <w:pPr>
        <w:ind w:left="425" w:hanging="425"/>
      </w:pPr>
      <w:rPr>
        <w:rFonts w:hint="default"/>
      </w:rPr>
    </w:lvl>
  </w:abstractNum>
  <w:abstractNum w:abstractNumId="2">
    <w:nsid w:val="B778F772"/>
    <w:multiLevelType w:val="singleLevel"/>
    <w:tmpl w:val="B778F772"/>
    <w:lvl w:ilvl="0" w:tentative="0">
      <w:start w:val="1"/>
      <w:numFmt w:val="decimal"/>
      <w:lvlText w:val="%1."/>
      <w:lvlJc w:val="left"/>
      <w:pPr>
        <w:tabs>
          <w:tab w:val="left" w:pos="312"/>
        </w:tabs>
      </w:pPr>
    </w:lvl>
  </w:abstractNum>
  <w:abstractNum w:abstractNumId="3">
    <w:nsid w:val="BCEF73A6"/>
    <w:multiLevelType w:val="singleLevel"/>
    <w:tmpl w:val="BCEF73A6"/>
    <w:lvl w:ilvl="0" w:tentative="0">
      <w:start w:val="4"/>
      <w:numFmt w:val="decimal"/>
      <w:suff w:val="nothing"/>
      <w:lvlText w:val="（%1）"/>
      <w:lvlJc w:val="left"/>
    </w:lvl>
  </w:abstractNum>
  <w:abstractNum w:abstractNumId="4">
    <w:nsid w:val="DB9645F2"/>
    <w:multiLevelType w:val="singleLevel"/>
    <w:tmpl w:val="DB9645F2"/>
    <w:lvl w:ilvl="0" w:tentative="0">
      <w:start w:val="2"/>
      <w:numFmt w:val="chineseCounting"/>
      <w:suff w:val="nothing"/>
      <w:lvlText w:val="（%1）"/>
      <w:lvlJc w:val="left"/>
      <w:rPr>
        <w:rFonts w:hint="eastAsia"/>
      </w:rPr>
    </w:lvl>
  </w:abstractNum>
  <w:abstractNum w:abstractNumId="5">
    <w:nsid w:val="FF4D4BA8"/>
    <w:multiLevelType w:val="singleLevel"/>
    <w:tmpl w:val="FF4D4BA8"/>
    <w:lvl w:ilvl="0" w:tentative="0">
      <w:start w:val="1"/>
      <w:numFmt w:val="decimal"/>
      <w:lvlText w:val="%1."/>
      <w:lvlJc w:val="left"/>
      <w:pPr>
        <w:ind w:left="425" w:hanging="425"/>
      </w:pPr>
      <w:rPr>
        <w:rFonts w:hint="default"/>
      </w:rPr>
    </w:lvl>
  </w:abstractNum>
  <w:abstractNum w:abstractNumId="6">
    <w:nsid w:val="0ED2C79B"/>
    <w:multiLevelType w:val="singleLevel"/>
    <w:tmpl w:val="0ED2C79B"/>
    <w:lvl w:ilvl="0" w:tentative="0">
      <w:start w:val="1"/>
      <w:numFmt w:val="decimal"/>
      <w:pStyle w:val="6"/>
      <w:lvlText w:val="%1."/>
      <w:lvlJc w:val="left"/>
      <w:pPr>
        <w:tabs>
          <w:tab w:val="left" w:pos="360"/>
        </w:tabs>
        <w:ind w:left="360" w:hanging="360"/>
      </w:pPr>
    </w:lvl>
  </w:abstractNum>
  <w:abstractNum w:abstractNumId="7">
    <w:nsid w:val="289F1F1C"/>
    <w:multiLevelType w:val="singleLevel"/>
    <w:tmpl w:val="289F1F1C"/>
    <w:lvl w:ilvl="0" w:tentative="0">
      <w:start w:val="1"/>
      <w:numFmt w:val="decimal"/>
      <w:lvlText w:val="%1."/>
      <w:lvlJc w:val="left"/>
      <w:pPr>
        <w:ind w:left="425" w:hanging="425"/>
      </w:pPr>
      <w:rPr>
        <w:rFonts w:hint="default"/>
      </w:rPr>
    </w:lvl>
  </w:abstractNum>
  <w:abstractNum w:abstractNumId="8">
    <w:nsid w:val="461E5E94"/>
    <w:multiLevelType w:val="singleLevel"/>
    <w:tmpl w:val="461E5E94"/>
    <w:lvl w:ilvl="0" w:tentative="0">
      <w:start w:val="2"/>
      <w:numFmt w:val="chineseCounting"/>
      <w:suff w:val="space"/>
      <w:lvlText w:val="第%1章"/>
      <w:lvlJc w:val="left"/>
      <w:rPr>
        <w:rFonts w:hint="eastAsia"/>
      </w:rPr>
    </w:lvl>
  </w:abstractNum>
  <w:abstractNum w:abstractNumId="9">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0">
    <w:nsid w:val="66DDD653"/>
    <w:multiLevelType w:val="singleLevel"/>
    <w:tmpl w:val="66DDD653"/>
    <w:lvl w:ilvl="0" w:tentative="0">
      <w:start w:val="1"/>
      <w:numFmt w:val="chineseCounting"/>
      <w:suff w:val="space"/>
      <w:lvlText w:val="第%1章"/>
      <w:lvlJc w:val="left"/>
      <w:rPr>
        <w:rFonts w:hint="eastAsia"/>
      </w:rPr>
    </w:lvl>
  </w:abstractNum>
  <w:abstractNum w:abstractNumId="11">
    <w:nsid w:val="7488A27B"/>
    <w:multiLevelType w:val="singleLevel"/>
    <w:tmpl w:val="7488A27B"/>
    <w:lvl w:ilvl="0" w:tentative="0">
      <w:start w:val="1"/>
      <w:numFmt w:val="decimal"/>
      <w:lvlText w:val="%1."/>
      <w:lvlJc w:val="left"/>
      <w:pPr>
        <w:ind w:left="425" w:hanging="425"/>
      </w:pPr>
      <w:rPr>
        <w:rFonts w:hint="default"/>
      </w:rPr>
    </w:lvl>
  </w:abstractNum>
  <w:abstractNum w:abstractNumId="12">
    <w:nsid w:val="7E92F494"/>
    <w:multiLevelType w:val="singleLevel"/>
    <w:tmpl w:val="7E92F494"/>
    <w:lvl w:ilvl="0" w:tentative="0">
      <w:start w:val="1"/>
      <w:numFmt w:val="decimal"/>
      <w:lvlText w:val="%1."/>
      <w:lvlJc w:val="left"/>
      <w:pPr>
        <w:ind w:left="425" w:hanging="425"/>
      </w:pPr>
      <w:rPr>
        <w:rFonts w:hint="default"/>
      </w:rPr>
    </w:lvl>
  </w:abstractNum>
  <w:num w:numId="1">
    <w:abstractNumId w:val="9"/>
  </w:num>
  <w:num w:numId="2">
    <w:abstractNumId w:val="6"/>
  </w:num>
  <w:num w:numId="3">
    <w:abstractNumId w:val="10"/>
  </w:num>
  <w:num w:numId="4">
    <w:abstractNumId w:val="8"/>
  </w:num>
  <w:num w:numId="5">
    <w:abstractNumId w:val="4"/>
  </w:num>
  <w:num w:numId="6">
    <w:abstractNumId w:val="3"/>
  </w:num>
  <w:num w:numId="7">
    <w:abstractNumId w:val="0"/>
  </w:num>
  <w:num w:numId="8">
    <w:abstractNumId w:val="12"/>
  </w:num>
  <w:num w:numId="9">
    <w:abstractNumId w:val="11"/>
  </w:num>
  <w:num w:numId="10">
    <w:abstractNumId w:val="1"/>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MjE0M2YwZDc0ZDdiMWQwZjcxMzI0NTQ1NTY2NmQifQ=="/>
  </w:docVars>
  <w:rsids>
    <w:rsidRoot w:val="685F2B0C"/>
    <w:rsid w:val="0002799D"/>
    <w:rsid w:val="00037F4A"/>
    <w:rsid w:val="00072A3F"/>
    <w:rsid w:val="000E538F"/>
    <w:rsid w:val="001136A2"/>
    <w:rsid w:val="001B51C8"/>
    <w:rsid w:val="001C4F91"/>
    <w:rsid w:val="001E6CF9"/>
    <w:rsid w:val="00242A20"/>
    <w:rsid w:val="002A4418"/>
    <w:rsid w:val="00312C7C"/>
    <w:rsid w:val="00315916"/>
    <w:rsid w:val="003201FA"/>
    <w:rsid w:val="00330F75"/>
    <w:rsid w:val="003C4BB8"/>
    <w:rsid w:val="003E7404"/>
    <w:rsid w:val="00401AC8"/>
    <w:rsid w:val="00494691"/>
    <w:rsid w:val="005240D4"/>
    <w:rsid w:val="00565F77"/>
    <w:rsid w:val="005B7FA6"/>
    <w:rsid w:val="00623A21"/>
    <w:rsid w:val="00627077"/>
    <w:rsid w:val="00627D71"/>
    <w:rsid w:val="0066350B"/>
    <w:rsid w:val="006F24A9"/>
    <w:rsid w:val="006F679D"/>
    <w:rsid w:val="0072317A"/>
    <w:rsid w:val="007E4962"/>
    <w:rsid w:val="0093255C"/>
    <w:rsid w:val="00987EDA"/>
    <w:rsid w:val="00A921FD"/>
    <w:rsid w:val="00A97E75"/>
    <w:rsid w:val="00AA020C"/>
    <w:rsid w:val="00AB49B7"/>
    <w:rsid w:val="00B023A2"/>
    <w:rsid w:val="00B44061"/>
    <w:rsid w:val="00BD378A"/>
    <w:rsid w:val="00C4791F"/>
    <w:rsid w:val="00CF3329"/>
    <w:rsid w:val="00D00C48"/>
    <w:rsid w:val="00D0546E"/>
    <w:rsid w:val="00D07E9B"/>
    <w:rsid w:val="00DB1E3F"/>
    <w:rsid w:val="00DC1336"/>
    <w:rsid w:val="00E32B23"/>
    <w:rsid w:val="00E41EBA"/>
    <w:rsid w:val="00E448AC"/>
    <w:rsid w:val="00E66CDC"/>
    <w:rsid w:val="00EC04A9"/>
    <w:rsid w:val="00EF43FF"/>
    <w:rsid w:val="00F26F1C"/>
    <w:rsid w:val="010742D5"/>
    <w:rsid w:val="01077B6C"/>
    <w:rsid w:val="011C2867"/>
    <w:rsid w:val="011E4134"/>
    <w:rsid w:val="012355F0"/>
    <w:rsid w:val="012B6D61"/>
    <w:rsid w:val="015C2A86"/>
    <w:rsid w:val="015F789E"/>
    <w:rsid w:val="01851778"/>
    <w:rsid w:val="01AE11E6"/>
    <w:rsid w:val="01B70CE3"/>
    <w:rsid w:val="01D10A61"/>
    <w:rsid w:val="01D61DCE"/>
    <w:rsid w:val="01F170ED"/>
    <w:rsid w:val="01F53A09"/>
    <w:rsid w:val="01F916C8"/>
    <w:rsid w:val="02040004"/>
    <w:rsid w:val="022115FB"/>
    <w:rsid w:val="02292E42"/>
    <w:rsid w:val="02375009"/>
    <w:rsid w:val="02536BAE"/>
    <w:rsid w:val="0277756A"/>
    <w:rsid w:val="0294584C"/>
    <w:rsid w:val="029A4E8A"/>
    <w:rsid w:val="02BD75DA"/>
    <w:rsid w:val="02BD7D6C"/>
    <w:rsid w:val="02C73731"/>
    <w:rsid w:val="032A675A"/>
    <w:rsid w:val="032C58C3"/>
    <w:rsid w:val="036059A4"/>
    <w:rsid w:val="037628ED"/>
    <w:rsid w:val="03804F1D"/>
    <w:rsid w:val="038D5F87"/>
    <w:rsid w:val="03996F9E"/>
    <w:rsid w:val="03A92BAF"/>
    <w:rsid w:val="03AD4EC4"/>
    <w:rsid w:val="03DC5B25"/>
    <w:rsid w:val="041155D0"/>
    <w:rsid w:val="04315D2A"/>
    <w:rsid w:val="04431C4F"/>
    <w:rsid w:val="044D523C"/>
    <w:rsid w:val="04604D98"/>
    <w:rsid w:val="046212F9"/>
    <w:rsid w:val="04663F34"/>
    <w:rsid w:val="04686D1E"/>
    <w:rsid w:val="04E746F0"/>
    <w:rsid w:val="04E87471"/>
    <w:rsid w:val="050A0D5B"/>
    <w:rsid w:val="050D23B9"/>
    <w:rsid w:val="05162537"/>
    <w:rsid w:val="051E7487"/>
    <w:rsid w:val="053F0EAC"/>
    <w:rsid w:val="053F23D3"/>
    <w:rsid w:val="056B3DBF"/>
    <w:rsid w:val="057D6BFC"/>
    <w:rsid w:val="057E41A9"/>
    <w:rsid w:val="05B01B1D"/>
    <w:rsid w:val="05BC5BB6"/>
    <w:rsid w:val="05CB2372"/>
    <w:rsid w:val="05FD1629"/>
    <w:rsid w:val="06221E50"/>
    <w:rsid w:val="06653309"/>
    <w:rsid w:val="06653EC4"/>
    <w:rsid w:val="067544C8"/>
    <w:rsid w:val="0699402C"/>
    <w:rsid w:val="069C64C8"/>
    <w:rsid w:val="06A0112C"/>
    <w:rsid w:val="06AD7687"/>
    <w:rsid w:val="06B864B2"/>
    <w:rsid w:val="06D372D6"/>
    <w:rsid w:val="06D64E56"/>
    <w:rsid w:val="06F061D6"/>
    <w:rsid w:val="0703081A"/>
    <w:rsid w:val="070C5153"/>
    <w:rsid w:val="070E765D"/>
    <w:rsid w:val="07157529"/>
    <w:rsid w:val="071747A0"/>
    <w:rsid w:val="071E2C8A"/>
    <w:rsid w:val="07347410"/>
    <w:rsid w:val="07425FC3"/>
    <w:rsid w:val="074273EB"/>
    <w:rsid w:val="07463A3E"/>
    <w:rsid w:val="074E4D14"/>
    <w:rsid w:val="079F3EE7"/>
    <w:rsid w:val="07AE41DE"/>
    <w:rsid w:val="07D85507"/>
    <w:rsid w:val="07DF5164"/>
    <w:rsid w:val="07E50580"/>
    <w:rsid w:val="07F46C10"/>
    <w:rsid w:val="07F9224F"/>
    <w:rsid w:val="07FA589D"/>
    <w:rsid w:val="082E5DF2"/>
    <w:rsid w:val="084B44FB"/>
    <w:rsid w:val="085403A4"/>
    <w:rsid w:val="085E020A"/>
    <w:rsid w:val="086951C1"/>
    <w:rsid w:val="08696EDC"/>
    <w:rsid w:val="087075EB"/>
    <w:rsid w:val="088D6A54"/>
    <w:rsid w:val="08941B48"/>
    <w:rsid w:val="08C60C4A"/>
    <w:rsid w:val="08C72312"/>
    <w:rsid w:val="08DC3175"/>
    <w:rsid w:val="08F0261B"/>
    <w:rsid w:val="08F81693"/>
    <w:rsid w:val="09060203"/>
    <w:rsid w:val="090A0832"/>
    <w:rsid w:val="095406F9"/>
    <w:rsid w:val="0955362C"/>
    <w:rsid w:val="09566590"/>
    <w:rsid w:val="09583EB5"/>
    <w:rsid w:val="095D7A37"/>
    <w:rsid w:val="09875848"/>
    <w:rsid w:val="09B565E4"/>
    <w:rsid w:val="09BB0BBA"/>
    <w:rsid w:val="09BB6CF7"/>
    <w:rsid w:val="09C77B1C"/>
    <w:rsid w:val="09E70A54"/>
    <w:rsid w:val="09E77E14"/>
    <w:rsid w:val="09E9749A"/>
    <w:rsid w:val="09F232F3"/>
    <w:rsid w:val="09F46495"/>
    <w:rsid w:val="09F623EB"/>
    <w:rsid w:val="09FF3A0A"/>
    <w:rsid w:val="0A082AE0"/>
    <w:rsid w:val="0A0D5A3B"/>
    <w:rsid w:val="0A172426"/>
    <w:rsid w:val="0A2355D9"/>
    <w:rsid w:val="0A4573B3"/>
    <w:rsid w:val="0A53599E"/>
    <w:rsid w:val="0A744A82"/>
    <w:rsid w:val="0A8528D5"/>
    <w:rsid w:val="0A903A5E"/>
    <w:rsid w:val="0A904AA4"/>
    <w:rsid w:val="0A93374C"/>
    <w:rsid w:val="0A972E8D"/>
    <w:rsid w:val="0AAA5EAC"/>
    <w:rsid w:val="0AB40849"/>
    <w:rsid w:val="0ABB2280"/>
    <w:rsid w:val="0AD56F1F"/>
    <w:rsid w:val="0AE946CC"/>
    <w:rsid w:val="0AEA3C8C"/>
    <w:rsid w:val="0AEE0D1E"/>
    <w:rsid w:val="0AFC0782"/>
    <w:rsid w:val="0B1E0CF0"/>
    <w:rsid w:val="0B556C34"/>
    <w:rsid w:val="0B6C389D"/>
    <w:rsid w:val="0B760351"/>
    <w:rsid w:val="0B846791"/>
    <w:rsid w:val="0B8B536A"/>
    <w:rsid w:val="0BCC7711"/>
    <w:rsid w:val="0BCD0049"/>
    <w:rsid w:val="0BE83010"/>
    <w:rsid w:val="0BEA0DB9"/>
    <w:rsid w:val="0C061D9D"/>
    <w:rsid w:val="0C0F3325"/>
    <w:rsid w:val="0C1358B4"/>
    <w:rsid w:val="0C35472E"/>
    <w:rsid w:val="0C4551B9"/>
    <w:rsid w:val="0C480F3E"/>
    <w:rsid w:val="0C4813D5"/>
    <w:rsid w:val="0C585BE0"/>
    <w:rsid w:val="0C7E2237"/>
    <w:rsid w:val="0C9F1CEA"/>
    <w:rsid w:val="0CBE1DF9"/>
    <w:rsid w:val="0CC9599A"/>
    <w:rsid w:val="0CE0341A"/>
    <w:rsid w:val="0D10283C"/>
    <w:rsid w:val="0D3F7F2E"/>
    <w:rsid w:val="0D494870"/>
    <w:rsid w:val="0D5456F5"/>
    <w:rsid w:val="0D5955C7"/>
    <w:rsid w:val="0D705EC6"/>
    <w:rsid w:val="0D7C5049"/>
    <w:rsid w:val="0D83675C"/>
    <w:rsid w:val="0D8C75B3"/>
    <w:rsid w:val="0D9E0018"/>
    <w:rsid w:val="0DB757B9"/>
    <w:rsid w:val="0DE7555E"/>
    <w:rsid w:val="0DF06351"/>
    <w:rsid w:val="0E0979BF"/>
    <w:rsid w:val="0E5A014C"/>
    <w:rsid w:val="0E5E4DB8"/>
    <w:rsid w:val="0E5F6E07"/>
    <w:rsid w:val="0E607B1B"/>
    <w:rsid w:val="0E6126CF"/>
    <w:rsid w:val="0E635AF2"/>
    <w:rsid w:val="0E7F77A7"/>
    <w:rsid w:val="0E8405CA"/>
    <w:rsid w:val="0E8D5133"/>
    <w:rsid w:val="0EB1236A"/>
    <w:rsid w:val="0F197C6F"/>
    <w:rsid w:val="0F270991"/>
    <w:rsid w:val="0F313E48"/>
    <w:rsid w:val="0F3E6F11"/>
    <w:rsid w:val="0F6F7789"/>
    <w:rsid w:val="0FC27645"/>
    <w:rsid w:val="101F02CE"/>
    <w:rsid w:val="105C5738"/>
    <w:rsid w:val="107907CC"/>
    <w:rsid w:val="10843C5D"/>
    <w:rsid w:val="109909D1"/>
    <w:rsid w:val="10B73F1D"/>
    <w:rsid w:val="10BE1B05"/>
    <w:rsid w:val="10C84882"/>
    <w:rsid w:val="10D1178C"/>
    <w:rsid w:val="10E07EE2"/>
    <w:rsid w:val="10F630E0"/>
    <w:rsid w:val="11112CBE"/>
    <w:rsid w:val="11163418"/>
    <w:rsid w:val="111818B8"/>
    <w:rsid w:val="113B439C"/>
    <w:rsid w:val="11537715"/>
    <w:rsid w:val="11565610"/>
    <w:rsid w:val="11674F62"/>
    <w:rsid w:val="1171000D"/>
    <w:rsid w:val="118A244C"/>
    <w:rsid w:val="11950BDB"/>
    <w:rsid w:val="119C5B20"/>
    <w:rsid w:val="11A2124C"/>
    <w:rsid w:val="11AC592C"/>
    <w:rsid w:val="11AD389E"/>
    <w:rsid w:val="11C20C82"/>
    <w:rsid w:val="11C768FF"/>
    <w:rsid w:val="11D675CB"/>
    <w:rsid w:val="12063740"/>
    <w:rsid w:val="1206585E"/>
    <w:rsid w:val="12101447"/>
    <w:rsid w:val="12275F24"/>
    <w:rsid w:val="123756C9"/>
    <w:rsid w:val="123F1DBA"/>
    <w:rsid w:val="125F1817"/>
    <w:rsid w:val="12631B42"/>
    <w:rsid w:val="12655569"/>
    <w:rsid w:val="12695551"/>
    <w:rsid w:val="127F2662"/>
    <w:rsid w:val="128435EC"/>
    <w:rsid w:val="129643EF"/>
    <w:rsid w:val="12B83A98"/>
    <w:rsid w:val="12BB4641"/>
    <w:rsid w:val="12BF6231"/>
    <w:rsid w:val="12CD4F26"/>
    <w:rsid w:val="12CE1F8E"/>
    <w:rsid w:val="13024F62"/>
    <w:rsid w:val="1307442E"/>
    <w:rsid w:val="130B3F40"/>
    <w:rsid w:val="13244721"/>
    <w:rsid w:val="13285985"/>
    <w:rsid w:val="133A1A09"/>
    <w:rsid w:val="133C703D"/>
    <w:rsid w:val="13494163"/>
    <w:rsid w:val="134C77A5"/>
    <w:rsid w:val="134D2BB6"/>
    <w:rsid w:val="135D3F89"/>
    <w:rsid w:val="135E6A8D"/>
    <w:rsid w:val="13731B39"/>
    <w:rsid w:val="1381791C"/>
    <w:rsid w:val="13A11F77"/>
    <w:rsid w:val="13A75515"/>
    <w:rsid w:val="13C30E6E"/>
    <w:rsid w:val="13EE7936"/>
    <w:rsid w:val="140769BE"/>
    <w:rsid w:val="14101C60"/>
    <w:rsid w:val="1413430F"/>
    <w:rsid w:val="141613F9"/>
    <w:rsid w:val="14203CB8"/>
    <w:rsid w:val="143A0B7C"/>
    <w:rsid w:val="143C354F"/>
    <w:rsid w:val="144646A7"/>
    <w:rsid w:val="14545F32"/>
    <w:rsid w:val="14596F4E"/>
    <w:rsid w:val="146F011F"/>
    <w:rsid w:val="147632A2"/>
    <w:rsid w:val="148467F9"/>
    <w:rsid w:val="14872049"/>
    <w:rsid w:val="14936552"/>
    <w:rsid w:val="14C272D2"/>
    <w:rsid w:val="14E463A0"/>
    <w:rsid w:val="14EA3450"/>
    <w:rsid w:val="14F767B6"/>
    <w:rsid w:val="14FB222F"/>
    <w:rsid w:val="14FF79DA"/>
    <w:rsid w:val="150F0D42"/>
    <w:rsid w:val="151C2838"/>
    <w:rsid w:val="153E582F"/>
    <w:rsid w:val="15890315"/>
    <w:rsid w:val="159016BB"/>
    <w:rsid w:val="15E5000F"/>
    <w:rsid w:val="16031113"/>
    <w:rsid w:val="16213B9C"/>
    <w:rsid w:val="16674FC6"/>
    <w:rsid w:val="16692CA6"/>
    <w:rsid w:val="16725D01"/>
    <w:rsid w:val="168F227C"/>
    <w:rsid w:val="16F413C5"/>
    <w:rsid w:val="16F45F36"/>
    <w:rsid w:val="16FC1D97"/>
    <w:rsid w:val="171F0861"/>
    <w:rsid w:val="17372639"/>
    <w:rsid w:val="173D243C"/>
    <w:rsid w:val="17534ECF"/>
    <w:rsid w:val="175F0E7A"/>
    <w:rsid w:val="1767434D"/>
    <w:rsid w:val="177E2824"/>
    <w:rsid w:val="17BA77C8"/>
    <w:rsid w:val="17C93C3F"/>
    <w:rsid w:val="17D71645"/>
    <w:rsid w:val="17DD1E28"/>
    <w:rsid w:val="17E01BB1"/>
    <w:rsid w:val="17E21891"/>
    <w:rsid w:val="181011F1"/>
    <w:rsid w:val="181C38B0"/>
    <w:rsid w:val="181E053B"/>
    <w:rsid w:val="18205336"/>
    <w:rsid w:val="184F29B3"/>
    <w:rsid w:val="18810539"/>
    <w:rsid w:val="18AA0A18"/>
    <w:rsid w:val="18CB1476"/>
    <w:rsid w:val="18DF40DC"/>
    <w:rsid w:val="18F45107"/>
    <w:rsid w:val="18F47AF6"/>
    <w:rsid w:val="190A522C"/>
    <w:rsid w:val="191C0124"/>
    <w:rsid w:val="192349BD"/>
    <w:rsid w:val="19297C63"/>
    <w:rsid w:val="192A06DB"/>
    <w:rsid w:val="192C0B58"/>
    <w:rsid w:val="192D288C"/>
    <w:rsid w:val="194335B5"/>
    <w:rsid w:val="198218DD"/>
    <w:rsid w:val="19A01ECA"/>
    <w:rsid w:val="19BF2F9E"/>
    <w:rsid w:val="19C56581"/>
    <w:rsid w:val="19EE41FA"/>
    <w:rsid w:val="1A002E3D"/>
    <w:rsid w:val="1A0E78C9"/>
    <w:rsid w:val="1A5A6066"/>
    <w:rsid w:val="1A777345"/>
    <w:rsid w:val="1A7A4184"/>
    <w:rsid w:val="1A8D59A2"/>
    <w:rsid w:val="1A8E3BCD"/>
    <w:rsid w:val="1AD15B84"/>
    <w:rsid w:val="1ADA6CD0"/>
    <w:rsid w:val="1AF47380"/>
    <w:rsid w:val="1B0C0005"/>
    <w:rsid w:val="1B251F48"/>
    <w:rsid w:val="1B3833FF"/>
    <w:rsid w:val="1B396BED"/>
    <w:rsid w:val="1B4C6CA1"/>
    <w:rsid w:val="1B52759D"/>
    <w:rsid w:val="1B612ED3"/>
    <w:rsid w:val="1B6A011C"/>
    <w:rsid w:val="1B705E15"/>
    <w:rsid w:val="1B8C6B7B"/>
    <w:rsid w:val="1BA0571E"/>
    <w:rsid w:val="1BA72C10"/>
    <w:rsid w:val="1BB91038"/>
    <w:rsid w:val="1BBF65FB"/>
    <w:rsid w:val="1BD162E3"/>
    <w:rsid w:val="1BDE64F1"/>
    <w:rsid w:val="1BEA1EEC"/>
    <w:rsid w:val="1BF657FB"/>
    <w:rsid w:val="1BF868AD"/>
    <w:rsid w:val="1C0503E8"/>
    <w:rsid w:val="1C126363"/>
    <w:rsid w:val="1C2023D8"/>
    <w:rsid w:val="1C766429"/>
    <w:rsid w:val="1C771298"/>
    <w:rsid w:val="1C786858"/>
    <w:rsid w:val="1C800114"/>
    <w:rsid w:val="1C9A155D"/>
    <w:rsid w:val="1CB15134"/>
    <w:rsid w:val="1CC92F95"/>
    <w:rsid w:val="1CFA7EEF"/>
    <w:rsid w:val="1CFB1146"/>
    <w:rsid w:val="1D0E75B6"/>
    <w:rsid w:val="1D2331DE"/>
    <w:rsid w:val="1D312AFC"/>
    <w:rsid w:val="1D325ED3"/>
    <w:rsid w:val="1D37062D"/>
    <w:rsid w:val="1D4105A8"/>
    <w:rsid w:val="1D487EB6"/>
    <w:rsid w:val="1D56720C"/>
    <w:rsid w:val="1D7B204C"/>
    <w:rsid w:val="1DB72E7F"/>
    <w:rsid w:val="1E317170"/>
    <w:rsid w:val="1E331E3B"/>
    <w:rsid w:val="1E4914EC"/>
    <w:rsid w:val="1E561B49"/>
    <w:rsid w:val="1E5B5B74"/>
    <w:rsid w:val="1E925E44"/>
    <w:rsid w:val="1EDB21B2"/>
    <w:rsid w:val="1EE21D29"/>
    <w:rsid w:val="1F0B37C8"/>
    <w:rsid w:val="1F280F4B"/>
    <w:rsid w:val="1F3E1D5D"/>
    <w:rsid w:val="1F441C9D"/>
    <w:rsid w:val="1F6E3177"/>
    <w:rsid w:val="1F6F04BA"/>
    <w:rsid w:val="1F6F7A87"/>
    <w:rsid w:val="1F7742A1"/>
    <w:rsid w:val="1F832B7E"/>
    <w:rsid w:val="1F8C15A6"/>
    <w:rsid w:val="1F986F45"/>
    <w:rsid w:val="1F9F6666"/>
    <w:rsid w:val="1FCD6552"/>
    <w:rsid w:val="1FE07634"/>
    <w:rsid w:val="1FEB24BC"/>
    <w:rsid w:val="1FF829ED"/>
    <w:rsid w:val="20027E74"/>
    <w:rsid w:val="201047BC"/>
    <w:rsid w:val="20104D96"/>
    <w:rsid w:val="2019412B"/>
    <w:rsid w:val="2024650C"/>
    <w:rsid w:val="204E5FD2"/>
    <w:rsid w:val="20703E6E"/>
    <w:rsid w:val="207A428C"/>
    <w:rsid w:val="20835E3C"/>
    <w:rsid w:val="208A0C45"/>
    <w:rsid w:val="208F1332"/>
    <w:rsid w:val="20AA71C2"/>
    <w:rsid w:val="20B10A0D"/>
    <w:rsid w:val="20B9166B"/>
    <w:rsid w:val="20D02ECC"/>
    <w:rsid w:val="20DC2970"/>
    <w:rsid w:val="20FA7410"/>
    <w:rsid w:val="21076B87"/>
    <w:rsid w:val="21094E07"/>
    <w:rsid w:val="21113681"/>
    <w:rsid w:val="21250156"/>
    <w:rsid w:val="212B3666"/>
    <w:rsid w:val="21523AD1"/>
    <w:rsid w:val="215C6880"/>
    <w:rsid w:val="216D19EE"/>
    <w:rsid w:val="21860B2C"/>
    <w:rsid w:val="218F0080"/>
    <w:rsid w:val="21E13F03"/>
    <w:rsid w:val="22084595"/>
    <w:rsid w:val="2225605D"/>
    <w:rsid w:val="222A72A4"/>
    <w:rsid w:val="222F2404"/>
    <w:rsid w:val="22423882"/>
    <w:rsid w:val="227334E7"/>
    <w:rsid w:val="22734646"/>
    <w:rsid w:val="22AE1EDE"/>
    <w:rsid w:val="22BB6938"/>
    <w:rsid w:val="22C23296"/>
    <w:rsid w:val="22DD6CC1"/>
    <w:rsid w:val="2307360A"/>
    <w:rsid w:val="230F0CC5"/>
    <w:rsid w:val="23243D93"/>
    <w:rsid w:val="232931CF"/>
    <w:rsid w:val="233E3FBC"/>
    <w:rsid w:val="23444415"/>
    <w:rsid w:val="234D2AE9"/>
    <w:rsid w:val="23505F5A"/>
    <w:rsid w:val="235F3612"/>
    <w:rsid w:val="23666663"/>
    <w:rsid w:val="23693289"/>
    <w:rsid w:val="23757B5B"/>
    <w:rsid w:val="237B0E89"/>
    <w:rsid w:val="238732D2"/>
    <w:rsid w:val="23887728"/>
    <w:rsid w:val="239147E1"/>
    <w:rsid w:val="23920DB7"/>
    <w:rsid w:val="239C1E68"/>
    <w:rsid w:val="23BB34F7"/>
    <w:rsid w:val="23D167C1"/>
    <w:rsid w:val="23FE2934"/>
    <w:rsid w:val="24017A3F"/>
    <w:rsid w:val="24105169"/>
    <w:rsid w:val="24145543"/>
    <w:rsid w:val="2415164D"/>
    <w:rsid w:val="242853E9"/>
    <w:rsid w:val="24372605"/>
    <w:rsid w:val="24426206"/>
    <w:rsid w:val="247921D2"/>
    <w:rsid w:val="248024EA"/>
    <w:rsid w:val="24D40FD8"/>
    <w:rsid w:val="24DE5C48"/>
    <w:rsid w:val="24E51E80"/>
    <w:rsid w:val="24F64777"/>
    <w:rsid w:val="24FB1C59"/>
    <w:rsid w:val="24FE0E05"/>
    <w:rsid w:val="25517809"/>
    <w:rsid w:val="256C1BBD"/>
    <w:rsid w:val="256F2571"/>
    <w:rsid w:val="2576124C"/>
    <w:rsid w:val="258130F7"/>
    <w:rsid w:val="259402E7"/>
    <w:rsid w:val="25AF3989"/>
    <w:rsid w:val="25B82D92"/>
    <w:rsid w:val="25C73339"/>
    <w:rsid w:val="25C772BF"/>
    <w:rsid w:val="25D05B49"/>
    <w:rsid w:val="25D62822"/>
    <w:rsid w:val="25FD1357"/>
    <w:rsid w:val="260B3061"/>
    <w:rsid w:val="26205FC9"/>
    <w:rsid w:val="262931EB"/>
    <w:rsid w:val="262E591A"/>
    <w:rsid w:val="263771C4"/>
    <w:rsid w:val="26400EA4"/>
    <w:rsid w:val="265B4748"/>
    <w:rsid w:val="26622CD9"/>
    <w:rsid w:val="266372C2"/>
    <w:rsid w:val="267961DB"/>
    <w:rsid w:val="268C7D4E"/>
    <w:rsid w:val="26A60A07"/>
    <w:rsid w:val="26B424FB"/>
    <w:rsid w:val="26CC1B59"/>
    <w:rsid w:val="26D10ECC"/>
    <w:rsid w:val="26EF57DC"/>
    <w:rsid w:val="27083115"/>
    <w:rsid w:val="27142A2D"/>
    <w:rsid w:val="271B4881"/>
    <w:rsid w:val="27214C90"/>
    <w:rsid w:val="272414C7"/>
    <w:rsid w:val="272A2ED5"/>
    <w:rsid w:val="273E547E"/>
    <w:rsid w:val="27685524"/>
    <w:rsid w:val="276959E0"/>
    <w:rsid w:val="276F555C"/>
    <w:rsid w:val="27702C8E"/>
    <w:rsid w:val="27827E3D"/>
    <w:rsid w:val="279050B3"/>
    <w:rsid w:val="27A028B7"/>
    <w:rsid w:val="27AB6605"/>
    <w:rsid w:val="27BF3604"/>
    <w:rsid w:val="27D26786"/>
    <w:rsid w:val="27EA6257"/>
    <w:rsid w:val="27FD3CE9"/>
    <w:rsid w:val="2831638E"/>
    <w:rsid w:val="284F457A"/>
    <w:rsid w:val="28503B39"/>
    <w:rsid w:val="285117F8"/>
    <w:rsid w:val="288445F5"/>
    <w:rsid w:val="28883EBB"/>
    <w:rsid w:val="28885F5E"/>
    <w:rsid w:val="28901CD3"/>
    <w:rsid w:val="28907627"/>
    <w:rsid w:val="28A908AA"/>
    <w:rsid w:val="28C3120E"/>
    <w:rsid w:val="28D9203E"/>
    <w:rsid w:val="290A1459"/>
    <w:rsid w:val="290D2770"/>
    <w:rsid w:val="293430C2"/>
    <w:rsid w:val="29394DC3"/>
    <w:rsid w:val="294D3F3D"/>
    <w:rsid w:val="296A69AB"/>
    <w:rsid w:val="296E2E4C"/>
    <w:rsid w:val="297A28A9"/>
    <w:rsid w:val="29871168"/>
    <w:rsid w:val="299C3570"/>
    <w:rsid w:val="299C610E"/>
    <w:rsid w:val="299F7580"/>
    <w:rsid w:val="29B24934"/>
    <w:rsid w:val="29B661A7"/>
    <w:rsid w:val="29C25DAC"/>
    <w:rsid w:val="29EF59E7"/>
    <w:rsid w:val="29F869C7"/>
    <w:rsid w:val="29FA460F"/>
    <w:rsid w:val="2A081208"/>
    <w:rsid w:val="2A19132F"/>
    <w:rsid w:val="2A1E3A2B"/>
    <w:rsid w:val="2A3714C4"/>
    <w:rsid w:val="2A4E1459"/>
    <w:rsid w:val="2A5E24DB"/>
    <w:rsid w:val="2A926984"/>
    <w:rsid w:val="2AA908E7"/>
    <w:rsid w:val="2AC017A8"/>
    <w:rsid w:val="2AC36155"/>
    <w:rsid w:val="2AF2488D"/>
    <w:rsid w:val="2B1C1A99"/>
    <w:rsid w:val="2B334F71"/>
    <w:rsid w:val="2B50394A"/>
    <w:rsid w:val="2B753191"/>
    <w:rsid w:val="2B7D6E07"/>
    <w:rsid w:val="2B9444D2"/>
    <w:rsid w:val="2BE340CE"/>
    <w:rsid w:val="2BFC3479"/>
    <w:rsid w:val="2BFD1056"/>
    <w:rsid w:val="2C1E1CA1"/>
    <w:rsid w:val="2C214447"/>
    <w:rsid w:val="2C232160"/>
    <w:rsid w:val="2C4D6F1B"/>
    <w:rsid w:val="2C587217"/>
    <w:rsid w:val="2C825683"/>
    <w:rsid w:val="2C8D63B1"/>
    <w:rsid w:val="2CBB44E5"/>
    <w:rsid w:val="2CBC77F6"/>
    <w:rsid w:val="2CDB55D6"/>
    <w:rsid w:val="2D1D236A"/>
    <w:rsid w:val="2D9C5EBB"/>
    <w:rsid w:val="2DAB174B"/>
    <w:rsid w:val="2DAC3053"/>
    <w:rsid w:val="2DB21AB3"/>
    <w:rsid w:val="2DC70AE2"/>
    <w:rsid w:val="2DCA6026"/>
    <w:rsid w:val="2DCD4928"/>
    <w:rsid w:val="2DE96603"/>
    <w:rsid w:val="2E096E66"/>
    <w:rsid w:val="2E1729D6"/>
    <w:rsid w:val="2E1A0C6A"/>
    <w:rsid w:val="2E347EE6"/>
    <w:rsid w:val="2E374A38"/>
    <w:rsid w:val="2E3A1850"/>
    <w:rsid w:val="2E3C5510"/>
    <w:rsid w:val="2E4A61BB"/>
    <w:rsid w:val="2E6305D7"/>
    <w:rsid w:val="2E690638"/>
    <w:rsid w:val="2E875B98"/>
    <w:rsid w:val="2EA37EAA"/>
    <w:rsid w:val="2EBD7031"/>
    <w:rsid w:val="2EF73B32"/>
    <w:rsid w:val="2F011E82"/>
    <w:rsid w:val="2F240791"/>
    <w:rsid w:val="2F492921"/>
    <w:rsid w:val="2F4C7446"/>
    <w:rsid w:val="2F6858EF"/>
    <w:rsid w:val="2F6A0B1E"/>
    <w:rsid w:val="2F784161"/>
    <w:rsid w:val="2F7B48B5"/>
    <w:rsid w:val="2F853233"/>
    <w:rsid w:val="2FAF333B"/>
    <w:rsid w:val="2FC27E67"/>
    <w:rsid w:val="2FCD2C96"/>
    <w:rsid w:val="2FE66FC1"/>
    <w:rsid w:val="30160CDB"/>
    <w:rsid w:val="301B2075"/>
    <w:rsid w:val="30243B4E"/>
    <w:rsid w:val="30287A71"/>
    <w:rsid w:val="3046030C"/>
    <w:rsid w:val="3052026E"/>
    <w:rsid w:val="30613F93"/>
    <w:rsid w:val="306162D4"/>
    <w:rsid w:val="30635A86"/>
    <w:rsid w:val="30797BE5"/>
    <w:rsid w:val="308146B4"/>
    <w:rsid w:val="309F27BB"/>
    <w:rsid w:val="30C01081"/>
    <w:rsid w:val="30C81567"/>
    <w:rsid w:val="30CD46BC"/>
    <w:rsid w:val="31013135"/>
    <w:rsid w:val="311763B6"/>
    <w:rsid w:val="31257A15"/>
    <w:rsid w:val="31452A71"/>
    <w:rsid w:val="31527289"/>
    <w:rsid w:val="31834561"/>
    <w:rsid w:val="318F2514"/>
    <w:rsid w:val="31AC658F"/>
    <w:rsid w:val="31B2519D"/>
    <w:rsid w:val="31B37BA1"/>
    <w:rsid w:val="31EE6D68"/>
    <w:rsid w:val="31F241E6"/>
    <w:rsid w:val="31FD2600"/>
    <w:rsid w:val="32114B98"/>
    <w:rsid w:val="32127E75"/>
    <w:rsid w:val="32210BD1"/>
    <w:rsid w:val="322658D9"/>
    <w:rsid w:val="32361B53"/>
    <w:rsid w:val="32400891"/>
    <w:rsid w:val="32493248"/>
    <w:rsid w:val="324C0B81"/>
    <w:rsid w:val="3272558C"/>
    <w:rsid w:val="327403EA"/>
    <w:rsid w:val="32C25872"/>
    <w:rsid w:val="32D473D1"/>
    <w:rsid w:val="32DA51AD"/>
    <w:rsid w:val="32DC671C"/>
    <w:rsid w:val="33091096"/>
    <w:rsid w:val="33232830"/>
    <w:rsid w:val="33247F6A"/>
    <w:rsid w:val="333F229E"/>
    <w:rsid w:val="33442827"/>
    <w:rsid w:val="33462AFF"/>
    <w:rsid w:val="337E52FC"/>
    <w:rsid w:val="33843CA1"/>
    <w:rsid w:val="338604C2"/>
    <w:rsid w:val="338F2A0F"/>
    <w:rsid w:val="33996246"/>
    <w:rsid w:val="33DC7649"/>
    <w:rsid w:val="340639D6"/>
    <w:rsid w:val="34105AD1"/>
    <w:rsid w:val="34731AFC"/>
    <w:rsid w:val="347728F4"/>
    <w:rsid w:val="348B54C8"/>
    <w:rsid w:val="34915550"/>
    <w:rsid w:val="349D56AC"/>
    <w:rsid w:val="349D6BA5"/>
    <w:rsid w:val="34A11B7B"/>
    <w:rsid w:val="34A6697A"/>
    <w:rsid w:val="34AF7E71"/>
    <w:rsid w:val="34B33A72"/>
    <w:rsid w:val="34BF1760"/>
    <w:rsid w:val="34D5280E"/>
    <w:rsid w:val="34E20D20"/>
    <w:rsid w:val="350C7DB7"/>
    <w:rsid w:val="3562042D"/>
    <w:rsid w:val="356608C9"/>
    <w:rsid w:val="35850AE6"/>
    <w:rsid w:val="35DE1818"/>
    <w:rsid w:val="35E06871"/>
    <w:rsid w:val="36146F55"/>
    <w:rsid w:val="36787E34"/>
    <w:rsid w:val="36D974F7"/>
    <w:rsid w:val="36E03CF2"/>
    <w:rsid w:val="36E05B33"/>
    <w:rsid w:val="36E77649"/>
    <w:rsid w:val="36FC06E4"/>
    <w:rsid w:val="37002BA5"/>
    <w:rsid w:val="372A57D1"/>
    <w:rsid w:val="373006D6"/>
    <w:rsid w:val="373215AF"/>
    <w:rsid w:val="37395AAC"/>
    <w:rsid w:val="37533A9C"/>
    <w:rsid w:val="37554C2A"/>
    <w:rsid w:val="376C2F8C"/>
    <w:rsid w:val="37733C45"/>
    <w:rsid w:val="37EA244F"/>
    <w:rsid w:val="3801691A"/>
    <w:rsid w:val="38053C44"/>
    <w:rsid w:val="3816564C"/>
    <w:rsid w:val="382A2A0E"/>
    <w:rsid w:val="383C5D00"/>
    <w:rsid w:val="383F5E4A"/>
    <w:rsid w:val="38622194"/>
    <w:rsid w:val="38684F32"/>
    <w:rsid w:val="387A7CA5"/>
    <w:rsid w:val="387E3BF1"/>
    <w:rsid w:val="388E0F50"/>
    <w:rsid w:val="388E2941"/>
    <w:rsid w:val="38941E98"/>
    <w:rsid w:val="38983F5E"/>
    <w:rsid w:val="38EC1118"/>
    <w:rsid w:val="38F96580"/>
    <w:rsid w:val="38FD1A72"/>
    <w:rsid w:val="39056352"/>
    <w:rsid w:val="392F5095"/>
    <w:rsid w:val="3938092E"/>
    <w:rsid w:val="39413193"/>
    <w:rsid w:val="39465433"/>
    <w:rsid w:val="395B6912"/>
    <w:rsid w:val="39750ACE"/>
    <w:rsid w:val="398A61BC"/>
    <w:rsid w:val="399510E7"/>
    <w:rsid w:val="399B683C"/>
    <w:rsid w:val="399D3FE9"/>
    <w:rsid w:val="39B51F60"/>
    <w:rsid w:val="39BE3B67"/>
    <w:rsid w:val="39E932D4"/>
    <w:rsid w:val="39EA0C0C"/>
    <w:rsid w:val="3A1C6D85"/>
    <w:rsid w:val="3A3F6C87"/>
    <w:rsid w:val="3A531373"/>
    <w:rsid w:val="3A5B021A"/>
    <w:rsid w:val="3A772970"/>
    <w:rsid w:val="3A7D6D38"/>
    <w:rsid w:val="3AB971E4"/>
    <w:rsid w:val="3ADF78F0"/>
    <w:rsid w:val="3AE00107"/>
    <w:rsid w:val="3AE428CE"/>
    <w:rsid w:val="3B023CD3"/>
    <w:rsid w:val="3B140F58"/>
    <w:rsid w:val="3B170940"/>
    <w:rsid w:val="3B2A2C19"/>
    <w:rsid w:val="3B376B70"/>
    <w:rsid w:val="3B7A7129"/>
    <w:rsid w:val="3B7D7576"/>
    <w:rsid w:val="3B7F1E8C"/>
    <w:rsid w:val="3B890DAC"/>
    <w:rsid w:val="3BA25DBC"/>
    <w:rsid w:val="3BC76E9C"/>
    <w:rsid w:val="3BCB467A"/>
    <w:rsid w:val="3BE90506"/>
    <w:rsid w:val="3BEB6832"/>
    <w:rsid w:val="3BF45DB6"/>
    <w:rsid w:val="3BFA06DC"/>
    <w:rsid w:val="3C2E5ED4"/>
    <w:rsid w:val="3C40766B"/>
    <w:rsid w:val="3C7F621D"/>
    <w:rsid w:val="3C8B47EB"/>
    <w:rsid w:val="3CBB6AC9"/>
    <w:rsid w:val="3CBD35C8"/>
    <w:rsid w:val="3D1456AE"/>
    <w:rsid w:val="3D145DCC"/>
    <w:rsid w:val="3D1C0002"/>
    <w:rsid w:val="3D2962ED"/>
    <w:rsid w:val="3D2D7B94"/>
    <w:rsid w:val="3D340B81"/>
    <w:rsid w:val="3D4E706F"/>
    <w:rsid w:val="3D8311E9"/>
    <w:rsid w:val="3DAA319C"/>
    <w:rsid w:val="3E036111"/>
    <w:rsid w:val="3E5D6B5C"/>
    <w:rsid w:val="3E7E4756"/>
    <w:rsid w:val="3E8106B7"/>
    <w:rsid w:val="3E845265"/>
    <w:rsid w:val="3E9A3719"/>
    <w:rsid w:val="3EC254C0"/>
    <w:rsid w:val="3ED07987"/>
    <w:rsid w:val="3EED10F8"/>
    <w:rsid w:val="3EFE25BA"/>
    <w:rsid w:val="3F284395"/>
    <w:rsid w:val="3F310FA6"/>
    <w:rsid w:val="3F337D20"/>
    <w:rsid w:val="3F506818"/>
    <w:rsid w:val="3F684E6E"/>
    <w:rsid w:val="3F6A3676"/>
    <w:rsid w:val="3F710A6F"/>
    <w:rsid w:val="3F7E1F67"/>
    <w:rsid w:val="3F83420A"/>
    <w:rsid w:val="3F8F7315"/>
    <w:rsid w:val="3F9A203F"/>
    <w:rsid w:val="3FA67005"/>
    <w:rsid w:val="3FAE6184"/>
    <w:rsid w:val="3FE36C1C"/>
    <w:rsid w:val="3FE72AEA"/>
    <w:rsid w:val="3FEB19D5"/>
    <w:rsid w:val="403B55F7"/>
    <w:rsid w:val="403D5505"/>
    <w:rsid w:val="404C5FC4"/>
    <w:rsid w:val="40632B44"/>
    <w:rsid w:val="408853C4"/>
    <w:rsid w:val="40D75E60"/>
    <w:rsid w:val="40F2437B"/>
    <w:rsid w:val="40FD48E0"/>
    <w:rsid w:val="40FE1BCF"/>
    <w:rsid w:val="40FE520F"/>
    <w:rsid w:val="41353E3C"/>
    <w:rsid w:val="414562FD"/>
    <w:rsid w:val="414C3B30"/>
    <w:rsid w:val="41563B9A"/>
    <w:rsid w:val="41731331"/>
    <w:rsid w:val="417B7161"/>
    <w:rsid w:val="418579D7"/>
    <w:rsid w:val="418C6B85"/>
    <w:rsid w:val="4196095F"/>
    <w:rsid w:val="41961CCB"/>
    <w:rsid w:val="419D72A2"/>
    <w:rsid w:val="41A0236E"/>
    <w:rsid w:val="41A96728"/>
    <w:rsid w:val="41AB6899"/>
    <w:rsid w:val="41F95353"/>
    <w:rsid w:val="42076836"/>
    <w:rsid w:val="420F1D94"/>
    <w:rsid w:val="423B1FA8"/>
    <w:rsid w:val="424E4424"/>
    <w:rsid w:val="429325D1"/>
    <w:rsid w:val="429B53DF"/>
    <w:rsid w:val="429E3CF8"/>
    <w:rsid w:val="42BC7452"/>
    <w:rsid w:val="42D12138"/>
    <w:rsid w:val="42F7079D"/>
    <w:rsid w:val="430D4AC0"/>
    <w:rsid w:val="431E047F"/>
    <w:rsid w:val="431E65EF"/>
    <w:rsid w:val="43522956"/>
    <w:rsid w:val="43624EAD"/>
    <w:rsid w:val="437750CA"/>
    <w:rsid w:val="438D45B9"/>
    <w:rsid w:val="43985D00"/>
    <w:rsid w:val="43986BA3"/>
    <w:rsid w:val="43AB2F4E"/>
    <w:rsid w:val="43AC3F44"/>
    <w:rsid w:val="43B1210D"/>
    <w:rsid w:val="43DE77F3"/>
    <w:rsid w:val="43EF7EFB"/>
    <w:rsid w:val="43FA2050"/>
    <w:rsid w:val="4400649E"/>
    <w:rsid w:val="441910A9"/>
    <w:rsid w:val="44500782"/>
    <w:rsid w:val="446871A0"/>
    <w:rsid w:val="4478624B"/>
    <w:rsid w:val="447B6681"/>
    <w:rsid w:val="4493367B"/>
    <w:rsid w:val="44961F17"/>
    <w:rsid w:val="44A84176"/>
    <w:rsid w:val="44AB74B4"/>
    <w:rsid w:val="44BB301C"/>
    <w:rsid w:val="450A3185"/>
    <w:rsid w:val="450E61CB"/>
    <w:rsid w:val="451037D6"/>
    <w:rsid w:val="452905F3"/>
    <w:rsid w:val="45582FC6"/>
    <w:rsid w:val="4568103F"/>
    <w:rsid w:val="45801D53"/>
    <w:rsid w:val="45953C03"/>
    <w:rsid w:val="45AE2DF6"/>
    <w:rsid w:val="45F459D1"/>
    <w:rsid w:val="46052F0A"/>
    <w:rsid w:val="460C379B"/>
    <w:rsid w:val="462B2635"/>
    <w:rsid w:val="464A3711"/>
    <w:rsid w:val="466B4F4C"/>
    <w:rsid w:val="469246C4"/>
    <w:rsid w:val="46977D08"/>
    <w:rsid w:val="46AF3AB5"/>
    <w:rsid w:val="46E25CA4"/>
    <w:rsid w:val="46E37251"/>
    <w:rsid w:val="46F40267"/>
    <w:rsid w:val="47017932"/>
    <w:rsid w:val="47294A71"/>
    <w:rsid w:val="474A071D"/>
    <w:rsid w:val="474C71DB"/>
    <w:rsid w:val="475662DB"/>
    <w:rsid w:val="47756FD4"/>
    <w:rsid w:val="479B7297"/>
    <w:rsid w:val="47A214C1"/>
    <w:rsid w:val="47D626EF"/>
    <w:rsid w:val="47DE0285"/>
    <w:rsid w:val="47E81AB8"/>
    <w:rsid w:val="47F3460E"/>
    <w:rsid w:val="47F77566"/>
    <w:rsid w:val="47F94BE6"/>
    <w:rsid w:val="4812405E"/>
    <w:rsid w:val="481A3D49"/>
    <w:rsid w:val="481C1F20"/>
    <w:rsid w:val="48220E04"/>
    <w:rsid w:val="48225672"/>
    <w:rsid w:val="482454C6"/>
    <w:rsid w:val="48297C86"/>
    <w:rsid w:val="48370969"/>
    <w:rsid w:val="4844625B"/>
    <w:rsid w:val="486B4E85"/>
    <w:rsid w:val="48801F0A"/>
    <w:rsid w:val="488C6B30"/>
    <w:rsid w:val="48913C4F"/>
    <w:rsid w:val="489757F5"/>
    <w:rsid w:val="489C3512"/>
    <w:rsid w:val="489C7EA5"/>
    <w:rsid w:val="48AF592F"/>
    <w:rsid w:val="48C00CF8"/>
    <w:rsid w:val="48DB5184"/>
    <w:rsid w:val="48DC4BB3"/>
    <w:rsid w:val="48F11175"/>
    <w:rsid w:val="48FC5916"/>
    <w:rsid w:val="49035E3C"/>
    <w:rsid w:val="49161A6F"/>
    <w:rsid w:val="491B567A"/>
    <w:rsid w:val="492819DC"/>
    <w:rsid w:val="49336FEA"/>
    <w:rsid w:val="493E22D0"/>
    <w:rsid w:val="49415896"/>
    <w:rsid w:val="4953162D"/>
    <w:rsid w:val="495C3D14"/>
    <w:rsid w:val="496A4A80"/>
    <w:rsid w:val="497C5511"/>
    <w:rsid w:val="498E2725"/>
    <w:rsid w:val="499C6D01"/>
    <w:rsid w:val="49A3132A"/>
    <w:rsid w:val="49B65DC9"/>
    <w:rsid w:val="49C828D8"/>
    <w:rsid w:val="49D94123"/>
    <w:rsid w:val="49E82B6B"/>
    <w:rsid w:val="49E970EA"/>
    <w:rsid w:val="49EE0415"/>
    <w:rsid w:val="4A0805D0"/>
    <w:rsid w:val="4A26545B"/>
    <w:rsid w:val="4A3E1268"/>
    <w:rsid w:val="4A560AA6"/>
    <w:rsid w:val="4A6242BC"/>
    <w:rsid w:val="4A631F60"/>
    <w:rsid w:val="4A7B659D"/>
    <w:rsid w:val="4A8D7936"/>
    <w:rsid w:val="4A8F76FA"/>
    <w:rsid w:val="4AD018B4"/>
    <w:rsid w:val="4AD122F6"/>
    <w:rsid w:val="4AFB6678"/>
    <w:rsid w:val="4B12483C"/>
    <w:rsid w:val="4B281AD9"/>
    <w:rsid w:val="4B286964"/>
    <w:rsid w:val="4B462533"/>
    <w:rsid w:val="4B497516"/>
    <w:rsid w:val="4B5F395F"/>
    <w:rsid w:val="4B887ABD"/>
    <w:rsid w:val="4B927D05"/>
    <w:rsid w:val="4BA71700"/>
    <w:rsid w:val="4BC40127"/>
    <w:rsid w:val="4BCF7C38"/>
    <w:rsid w:val="4BD1718E"/>
    <w:rsid w:val="4BD95ACE"/>
    <w:rsid w:val="4C000F41"/>
    <w:rsid w:val="4C1E38AF"/>
    <w:rsid w:val="4C1F09E8"/>
    <w:rsid w:val="4C6A4F05"/>
    <w:rsid w:val="4C6B7BE3"/>
    <w:rsid w:val="4C771D65"/>
    <w:rsid w:val="4C783020"/>
    <w:rsid w:val="4C9743B6"/>
    <w:rsid w:val="4CD104DB"/>
    <w:rsid w:val="4CEE4DA0"/>
    <w:rsid w:val="4CFA5EBA"/>
    <w:rsid w:val="4CFB7F02"/>
    <w:rsid w:val="4D0B09F5"/>
    <w:rsid w:val="4D243AE6"/>
    <w:rsid w:val="4D362180"/>
    <w:rsid w:val="4D3C4079"/>
    <w:rsid w:val="4D4152D2"/>
    <w:rsid w:val="4D420722"/>
    <w:rsid w:val="4D5D2973"/>
    <w:rsid w:val="4D670A85"/>
    <w:rsid w:val="4D743D70"/>
    <w:rsid w:val="4D806473"/>
    <w:rsid w:val="4DA27E03"/>
    <w:rsid w:val="4DB87F6B"/>
    <w:rsid w:val="4DE22211"/>
    <w:rsid w:val="4DF85FC0"/>
    <w:rsid w:val="4E001052"/>
    <w:rsid w:val="4E2B135E"/>
    <w:rsid w:val="4E3F2EE6"/>
    <w:rsid w:val="4E457068"/>
    <w:rsid w:val="4E4E4B6D"/>
    <w:rsid w:val="4E625DA3"/>
    <w:rsid w:val="4E7B029B"/>
    <w:rsid w:val="4E94139D"/>
    <w:rsid w:val="4ED36E10"/>
    <w:rsid w:val="4ED61833"/>
    <w:rsid w:val="4EDA18B9"/>
    <w:rsid w:val="4EEA1FB8"/>
    <w:rsid w:val="4F1214F9"/>
    <w:rsid w:val="4F37236C"/>
    <w:rsid w:val="4F400F3C"/>
    <w:rsid w:val="4F573543"/>
    <w:rsid w:val="4FA24E56"/>
    <w:rsid w:val="4FA613D6"/>
    <w:rsid w:val="4FAE4B93"/>
    <w:rsid w:val="4FB43984"/>
    <w:rsid w:val="4FB80520"/>
    <w:rsid w:val="4FCE557D"/>
    <w:rsid w:val="4FCF67B8"/>
    <w:rsid w:val="4FFE7F33"/>
    <w:rsid w:val="500E331C"/>
    <w:rsid w:val="500F7F8E"/>
    <w:rsid w:val="5010363B"/>
    <w:rsid w:val="501802EF"/>
    <w:rsid w:val="501A6EB3"/>
    <w:rsid w:val="501C4E89"/>
    <w:rsid w:val="50401C90"/>
    <w:rsid w:val="50520469"/>
    <w:rsid w:val="50705EA7"/>
    <w:rsid w:val="508A0BD0"/>
    <w:rsid w:val="508E4B33"/>
    <w:rsid w:val="50DD3BA3"/>
    <w:rsid w:val="50E61CAB"/>
    <w:rsid w:val="50EE7DC2"/>
    <w:rsid w:val="514136A1"/>
    <w:rsid w:val="514A20B0"/>
    <w:rsid w:val="515463AA"/>
    <w:rsid w:val="517D1FD1"/>
    <w:rsid w:val="51820F0A"/>
    <w:rsid w:val="51B00924"/>
    <w:rsid w:val="51BD4A0F"/>
    <w:rsid w:val="51BF1CEA"/>
    <w:rsid w:val="51C55B60"/>
    <w:rsid w:val="51C720FB"/>
    <w:rsid w:val="51D2101C"/>
    <w:rsid w:val="51E441B2"/>
    <w:rsid w:val="51E878B5"/>
    <w:rsid w:val="51EE3F4A"/>
    <w:rsid w:val="51F8599D"/>
    <w:rsid w:val="52144845"/>
    <w:rsid w:val="522B4481"/>
    <w:rsid w:val="523F3431"/>
    <w:rsid w:val="52433E33"/>
    <w:rsid w:val="52461D9B"/>
    <w:rsid w:val="52556F68"/>
    <w:rsid w:val="526131D0"/>
    <w:rsid w:val="527A0BC1"/>
    <w:rsid w:val="528E5F94"/>
    <w:rsid w:val="52B73817"/>
    <w:rsid w:val="53014F84"/>
    <w:rsid w:val="53081FE2"/>
    <w:rsid w:val="53757657"/>
    <w:rsid w:val="53836E13"/>
    <w:rsid w:val="5399393C"/>
    <w:rsid w:val="53A73B9E"/>
    <w:rsid w:val="53BC34C4"/>
    <w:rsid w:val="53CE29B7"/>
    <w:rsid w:val="5423339D"/>
    <w:rsid w:val="54451376"/>
    <w:rsid w:val="545B0024"/>
    <w:rsid w:val="54623CCF"/>
    <w:rsid w:val="54783F91"/>
    <w:rsid w:val="54C52C01"/>
    <w:rsid w:val="54DE257B"/>
    <w:rsid w:val="551B052F"/>
    <w:rsid w:val="551F503D"/>
    <w:rsid w:val="552E7B6C"/>
    <w:rsid w:val="55356F21"/>
    <w:rsid w:val="553B1566"/>
    <w:rsid w:val="553D5A1E"/>
    <w:rsid w:val="554E66B4"/>
    <w:rsid w:val="55623019"/>
    <w:rsid w:val="559508F1"/>
    <w:rsid w:val="55A0704C"/>
    <w:rsid w:val="55CD2AA4"/>
    <w:rsid w:val="55CD5B20"/>
    <w:rsid w:val="55DD38ED"/>
    <w:rsid w:val="55E33C19"/>
    <w:rsid w:val="55E3492A"/>
    <w:rsid w:val="55E63D84"/>
    <w:rsid w:val="55FB5288"/>
    <w:rsid w:val="560F5295"/>
    <w:rsid w:val="562A56C7"/>
    <w:rsid w:val="56536DD0"/>
    <w:rsid w:val="56A16CF1"/>
    <w:rsid w:val="56C569E8"/>
    <w:rsid w:val="56EA1F97"/>
    <w:rsid w:val="56FE7B3D"/>
    <w:rsid w:val="57115A76"/>
    <w:rsid w:val="57356CE5"/>
    <w:rsid w:val="57400691"/>
    <w:rsid w:val="57477A7D"/>
    <w:rsid w:val="574C5991"/>
    <w:rsid w:val="575E0275"/>
    <w:rsid w:val="57685E63"/>
    <w:rsid w:val="576E359C"/>
    <w:rsid w:val="57761A73"/>
    <w:rsid w:val="57803A91"/>
    <w:rsid w:val="578F63E0"/>
    <w:rsid w:val="57974CC5"/>
    <w:rsid w:val="57AA5D1A"/>
    <w:rsid w:val="57B717AF"/>
    <w:rsid w:val="57C06BFC"/>
    <w:rsid w:val="57D0016E"/>
    <w:rsid w:val="57D46CDD"/>
    <w:rsid w:val="57DD461C"/>
    <w:rsid w:val="57DE15F7"/>
    <w:rsid w:val="57F052A5"/>
    <w:rsid w:val="57F56DA8"/>
    <w:rsid w:val="580F5DBC"/>
    <w:rsid w:val="58372026"/>
    <w:rsid w:val="584809DA"/>
    <w:rsid w:val="587316C8"/>
    <w:rsid w:val="588A1881"/>
    <w:rsid w:val="588C1B3F"/>
    <w:rsid w:val="588C3DE2"/>
    <w:rsid w:val="58952B75"/>
    <w:rsid w:val="589923E8"/>
    <w:rsid w:val="58D3199A"/>
    <w:rsid w:val="58DA5821"/>
    <w:rsid w:val="58E146E6"/>
    <w:rsid w:val="59043E08"/>
    <w:rsid w:val="5934326C"/>
    <w:rsid w:val="59471B28"/>
    <w:rsid w:val="59763E82"/>
    <w:rsid w:val="597F5245"/>
    <w:rsid w:val="598A3666"/>
    <w:rsid w:val="59A3232E"/>
    <w:rsid w:val="59A63822"/>
    <w:rsid w:val="59B8355B"/>
    <w:rsid w:val="59FE08FA"/>
    <w:rsid w:val="5A257E94"/>
    <w:rsid w:val="5A2A02BF"/>
    <w:rsid w:val="5A5106AE"/>
    <w:rsid w:val="5A60741A"/>
    <w:rsid w:val="5A7A608F"/>
    <w:rsid w:val="5A976E36"/>
    <w:rsid w:val="5A9D694A"/>
    <w:rsid w:val="5AA2358A"/>
    <w:rsid w:val="5AA24080"/>
    <w:rsid w:val="5AAD1EF8"/>
    <w:rsid w:val="5ACF7403"/>
    <w:rsid w:val="5B365C08"/>
    <w:rsid w:val="5B46719F"/>
    <w:rsid w:val="5B5C0955"/>
    <w:rsid w:val="5B60313C"/>
    <w:rsid w:val="5B705B09"/>
    <w:rsid w:val="5B9331F3"/>
    <w:rsid w:val="5B983712"/>
    <w:rsid w:val="5B997CCC"/>
    <w:rsid w:val="5B9D7438"/>
    <w:rsid w:val="5BA42A14"/>
    <w:rsid w:val="5BBD4241"/>
    <w:rsid w:val="5BBF7B02"/>
    <w:rsid w:val="5BC52ADE"/>
    <w:rsid w:val="5C60141A"/>
    <w:rsid w:val="5C691962"/>
    <w:rsid w:val="5C8D4642"/>
    <w:rsid w:val="5CA70BEA"/>
    <w:rsid w:val="5CFA70E0"/>
    <w:rsid w:val="5CFF3634"/>
    <w:rsid w:val="5D0B0214"/>
    <w:rsid w:val="5D1A0A42"/>
    <w:rsid w:val="5D282771"/>
    <w:rsid w:val="5D3A4C89"/>
    <w:rsid w:val="5D42151C"/>
    <w:rsid w:val="5D4F1710"/>
    <w:rsid w:val="5D5D43F4"/>
    <w:rsid w:val="5D71045F"/>
    <w:rsid w:val="5D9A4060"/>
    <w:rsid w:val="5DAB19D1"/>
    <w:rsid w:val="5DBE340A"/>
    <w:rsid w:val="5DD263B9"/>
    <w:rsid w:val="5DE41D76"/>
    <w:rsid w:val="5DE555FC"/>
    <w:rsid w:val="5DF27C61"/>
    <w:rsid w:val="5E4A015A"/>
    <w:rsid w:val="5E617327"/>
    <w:rsid w:val="5E772D56"/>
    <w:rsid w:val="5E843AB7"/>
    <w:rsid w:val="5E9A1FB9"/>
    <w:rsid w:val="5EB11CC9"/>
    <w:rsid w:val="5EB7165F"/>
    <w:rsid w:val="5EDA2E6C"/>
    <w:rsid w:val="5EDF49B6"/>
    <w:rsid w:val="5EE659E4"/>
    <w:rsid w:val="5EF029BA"/>
    <w:rsid w:val="5EF2401E"/>
    <w:rsid w:val="5EF37A12"/>
    <w:rsid w:val="5F19063B"/>
    <w:rsid w:val="5F2A58BF"/>
    <w:rsid w:val="5F2D2E3D"/>
    <w:rsid w:val="5F3F28CF"/>
    <w:rsid w:val="5F4D6034"/>
    <w:rsid w:val="5FBE3FE5"/>
    <w:rsid w:val="5FC03792"/>
    <w:rsid w:val="5FC939D5"/>
    <w:rsid w:val="5FDA399F"/>
    <w:rsid w:val="5FF22D36"/>
    <w:rsid w:val="5FFA79ED"/>
    <w:rsid w:val="60075E39"/>
    <w:rsid w:val="600D0AF4"/>
    <w:rsid w:val="60273573"/>
    <w:rsid w:val="60276DC2"/>
    <w:rsid w:val="602A54A3"/>
    <w:rsid w:val="60315C67"/>
    <w:rsid w:val="60370997"/>
    <w:rsid w:val="604F40FC"/>
    <w:rsid w:val="605A259A"/>
    <w:rsid w:val="6060154E"/>
    <w:rsid w:val="606D0EF6"/>
    <w:rsid w:val="60B07C9E"/>
    <w:rsid w:val="60D06270"/>
    <w:rsid w:val="60D75270"/>
    <w:rsid w:val="60EA7F29"/>
    <w:rsid w:val="61013040"/>
    <w:rsid w:val="610D086E"/>
    <w:rsid w:val="611128E5"/>
    <w:rsid w:val="611C35B8"/>
    <w:rsid w:val="61315EF6"/>
    <w:rsid w:val="613A0A49"/>
    <w:rsid w:val="614E56CB"/>
    <w:rsid w:val="615440FF"/>
    <w:rsid w:val="615A7643"/>
    <w:rsid w:val="6160318B"/>
    <w:rsid w:val="616E368F"/>
    <w:rsid w:val="6184566A"/>
    <w:rsid w:val="619012C2"/>
    <w:rsid w:val="61AE7556"/>
    <w:rsid w:val="61D41854"/>
    <w:rsid w:val="61E3363C"/>
    <w:rsid w:val="62282B27"/>
    <w:rsid w:val="623743B3"/>
    <w:rsid w:val="623E7108"/>
    <w:rsid w:val="625A6442"/>
    <w:rsid w:val="626A1CE1"/>
    <w:rsid w:val="626C134E"/>
    <w:rsid w:val="629B22CB"/>
    <w:rsid w:val="62A3229B"/>
    <w:rsid w:val="62A45588"/>
    <w:rsid w:val="62A57C35"/>
    <w:rsid w:val="62B952CA"/>
    <w:rsid w:val="62E07553"/>
    <w:rsid w:val="63081C9E"/>
    <w:rsid w:val="63421845"/>
    <w:rsid w:val="634A387E"/>
    <w:rsid w:val="6361478E"/>
    <w:rsid w:val="636E52EB"/>
    <w:rsid w:val="638B4892"/>
    <w:rsid w:val="639279AF"/>
    <w:rsid w:val="63944825"/>
    <w:rsid w:val="63D762DC"/>
    <w:rsid w:val="63EC2A57"/>
    <w:rsid w:val="63FE5C95"/>
    <w:rsid w:val="640E22EE"/>
    <w:rsid w:val="641222ED"/>
    <w:rsid w:val="64156B80"/>
    <w:rsid w:val="642B5582"/>
    <w:rsid w:val="642F3826"/>
    <w:rsid w:val="643B040A"/>
    <w:rsid w:val="645D1336"/>
    <w:rsid w:val="64643953"/>
    <w:rsid w:val="649122E0"/>
    <w:rsid w:val="6491381F"/>
    <w:rsid w:val="64B77EFF"/>
    <w:rsid w:val="64BB209D"/>
    <w:rsid w:val="64FB2F8F"/>
    <w:rsid w:val="65077676"/>
    <w:rsid w:val="651722E7"/>
    <w:rsid w:val="65347231"/>
    <w:rsid w:val="65740427"/>
    <w:rsid w:val="6577651D"/>
    <w:rsid w:val="658C66C4"/>
    <w:rsid w:val="65A05658"/>
    <w:rsid w:val="65AC2EFD"/>
    <w:rsid w:val="65B46375"/>
    <w:rsid w:val="65D37A5B"/>
    <w:rsid w:val="65F4511D"/>
    <w:rsid w:val="65F47DC0"/>
    <w:rsid w:val="65FF7596"/>
    <w:rsid w:val="66096B05"/>
    <w:rsid w:val="6627721E"/>
    <w:rsid w:val="66537DD0"/>
    <w:rsid w:val="66753E2C"/>
    <w:rsid w:val="6687460E"/>
    <w:rsid w:val="66A146AB"/>
    <w:rsid w:val="66A34F7A"/>
    <w:rsid w:val="66A43DA7"/>
    <w:rsid w:val="66AE0D1C"/>
    <w:rsid w:val="66B56271"/>
    <w:rsid w:val="66C32061"/>
    <w:rsid w:val="66CE247E"/>
    <w:rsid w:val="66D1553B"/>
    <w:rsid w:val="66D678E5"/>
    <w:rsid w:val="66E23A48"/>
    <w:rsid w:val="66EF31C1"/>
    <w:rsid w:val="66F123D1"/>
    <w:rsid w:val="66F16A47"/>
    <w:rsid w:val="66F203EF"/>
    <w:rsid w:val="671A0D2D"/>
    <w:rsid w:val="67200F9C"/>
    <w:rsid w:val="672252C1"/>
    <w:rsid w:val="67340A1D"/>
    <w:rsid w:val="673A5D2D"/>
    <w:rsid w:val="674A4FC0"/>
    <w:rsid w:val="674D101A"/>
    <w:rsid w:val="675249FA"/>
    <w:rsid w:val="67683CFC"/>
    <w:rsid w:val="67B406DA"/>
    <w:rsid w:val="67C75EAB"/>
    <w:rsid w:val="67D13F82"/>
    <w:rsid w:val="67D47556"/>
    <w:rsid w:val="67E83BD3"/>
    <w:rsid w:val="67FE0A51"/>
    <w:rsid w:val="683021EA"/>
    <w:rsid w:val="6831292C"/>
    <w:rsid w:val="683A5F07"/>
    <w:rsid w:val="683D4EA1"/>
    <w:rsid w:val="68482B4B"/>
    <w:rsid w:val="6857517B"/>
    <w:rsid w:val="685F2B0C"/>
    <w:rsid w:val="68615AEE"/>
    <w:rsid w:val="686465B8"/>
    <w:rsid w:val="686E2F1C"/>
    <w:rsid w:val="686E4CA0"/>
    <w:rsid w:val="686F3D4E"/>
    <w:rsid w:val="6892121B"/>
    <w:rsid w:val="689E473A"/>
    <w:rsid w:val="68A772BD"/>
    <w:rsid w:val="68AD32C0"/>
    <w:rsid w:val="68B055E0"/>
    <w:rsid w:val="68C163CF"/>
    <w:rsid w:val="68E01B05"/>
    <w:rsid w:val="68F77559"/>
    <w:rsid w:val="693053C2"/>
    <w:rsid w:val="69577852"/>
    <w:rsid w:val="697A46A8"/>
    <w:rsid w:val="69AA61FA"/>
    <w:rsid w:val="69B022B6"/>
    <w:rsid w:val="69B72806"/>
    <w:rsid w:val="69B83AE8"/>
    <w:rsid w:val="69C21FC2"/>
    <w:rsid w:val="69D05774"/>
    <w:rsid w:val="69DD68EF"/>
    <w:rsid w:val="69F431E5"/>
    <w:rsid w:val="6A0B12F9"/>
    <w:rsid w:val="6A387A83"/>
    <w:rsid w:val="6A4E3481"/>
    <w:rsid w:val="6AB0358F"/>
    <w:rsid w:val="6AC81DFB"/>
    <w:rsid w:val="6ACC4B2B"/>
    <w:rsid w:val="6AD5470C"/>
    <w:rsid w:val="6B156F01"/>
    <w:rsid w:val="6B1823F4"/>
    <w:rsid w:val="6B302155"/>
    <w:rsid w:val="6B5061B8"/>
    <w:rsid w:val="6B5541CC"/>
    <w:rsid w:val="6B594757"/>
    <w:rsid w:val="6B794694"/>
    <w:rsid w:val="6BB10ECA"/>
    <w:rsid w:val="6BB80CD3"/>
    <w:rsid w:val="6BD97443"/>
    <w:rsid w:val="6BE154D6"/>
    <w:rsid w:val="6BFA34BF"/>
    <w:rsid w:val="6C1E27AA"/>
    <w:rsid w:val="6C253A83"/>
    <w:rsid w:val="6C282E9B"/>
    <w:rsid w:val="6C4C1DDE"/>
    <w:rsid w:val="6C60775B"/>
    <w:rsid w:val="6C787CBB"/>
    <w:rsid w:val="6C8A4E5F"/>
    <w:rsid w:val="6C8C5CC8"/>
    <w:rsid w:val="6C9165B6"/>
    <w:rsid w:val="6CA87474"/>
    <w:rsid w:val="6CAE0CBE"/>
    <w:rsid w:val="6CBA4949"/>
    <w:rsid w:val="6D1075E9"/>
    <w:rsid w:val="6D2F4343"/>
    <w:rsid w:val="6D353D8C"/>
    <w:rsid w:val="6D4E6285"/>
    <w:rsid w:val="6D5C18AC"/>
    <w:rsid w:val="6D6B1613"/>
    <w:rsid w:val="6D886D51"/>
    <w:rsid w:val="6DCC4C0D"/>
    <w:rsid w:val="6DEA0A67"/>
    <w:rsid w:val="6DEC6437"/>
    <w:rsid w:val="6DFC561D"/>
    <w:rsid w:val="6E0F76B0"/>
    <w:rsid w:val="6E382FA7"/>
    <w:rsid w:val="6E395E9E"/>
    <w:rsid w:val="6E4341AC"/>
    <w:rsid w:val="6E5126B4"/>
    <w:rsid w:val="6E567C0C"/>
    <w:rsid w:val="6E5D6868"/>
    <w:rsid w:val="6E683231"/>
    <w:rsid w:val="6E7C1EB5"/>
    <w:rsid w:val="6EB664D0"/>
    <w:rsid w:val="6ED36BB1"/>
    <w:rsid w:val="6EE110A6"/>
    <w:rsid w:val="6EF03BAE"/>
    <w:rsid w:val="6F155D21"/>
    <w:rsid w:val="6F1E3244"/>
    <w:rsid w:val="6F286746"/>
    <w:rsid w:val="6F2B2506"/>
    <w:rsid w:val="6F436F8F"/>
    <w:rsid w:val="6F451BBF"/>
    <w:rsid w:val="6F634567"/>
    <w:rsid w:val="6F687543"/>
    <w:rsid w:val="6F8D6B1D"/>
    <w:rsid w:val="6FAE4748"/>
    <w:rsid w:val="6FD91F90"/>
    <w:rsid w:val="6FE31AA8"/>
    <w:rsid w:val="70045D42"/>
    <w:rsid w:val="700A0D6E"/>
    <w:rsid w:val="704D2ABA"/>
    <w:rsid w:val="706717CB"/>
    <w:rsid w:val="707200F0"/>
    <w:rsid w:val="707663A9"/>
    <w:rsid w:val="707F274F"/>
    <w:rsid w:val="70950CE0"/>
    <w:rsid w:val="709D2458"/>
    <w:rsid w:val="70A2698B"/>
    <w:rsid w:val="70AA312E"/>
    <w:rsid w:val="70C24A2F"/>
    <w:rsid w:val="70CC0C4C"/>
    <w:rsid w:val="70E41087"/>
    <w:rsid w:val="70E65326"/>
    <w:rsid w:val="70E80F60"/>
    <w:rsid w:val="70F11D57"/>
    <w:rsid w:val="71014D29"/>
    <w:rsid w:val="710A2B65"/>
    <w:rsid w:val="71191A27"/>
    <w:rsid w:val="711F713E"/>
    <w:rsid w:val="71217371"/>
    <w:rsid w:val="712E54D4"/>
    <w:rsid w:val="71321C7C"/>
    <w:rsid w:val="714A1780"/>
    <w:rsid w:val="71637917"/>
    <w:rsid w:val="7170146E"/>
    <w:rsid w:val="71705776"/>
    <w:rsid w:val="717268C8"/>
    <w:rsid w:val="71802D0E"/>
    <w:rsid w:val="71880353"/>
    <w:rsid w:val="718F5890"/>
    <w:rsid w:val="71981E73"/>
    <w:rsid w:val="71C16BD6"/>
    <w:rsid w:val="71C363B8"/>
    <w:rsid w:val="71D14144"/>
    <w:rsid w:val="71ED2975"/>
    <w:rsid w:val="72143089"/>
    <w:rsid w:val="72150CEA"/>
    <w:rsid w:val="721F1006"/>
    <w:rsid w:val="721F4F40"/>
    <w:rsid w:val="7227177D"/>
    <w:rsid w:val="723419F5"/>
    <w:rsid w:val="7235573F"/>
    <w:rsid w:val="72477BAC"/>
    <w:rsid w:val="7255330E"/>
    <w:rsid w:val="726C56B8"/>
    <w:rsid w:val="72760CB0"/>
    <w:rsid w:val="7288771C"/>
    <w:rsid w:val="729326C7"/>
    <w:rsid w:val="72A458E1"/>
    <w:rsid w:val="72B13FB1"/>
    <w:rsid w:val="72C13E7C"/>
    <w:rsid w:val="72CD388B"/>
    <w:rsid w:val="72CE592F"/>
    <w:rsid w:val="72D21B1B"/>
    <w:rsid w:val="73014E33"/>
    <w:rsid w:val="730770A2"/>
    <w:rsid w:val="73197AE0"/>
    <w:rsid w:val="73221860"/>
    <w:rsid w:val="732F2FC7"/>
    <w:rsid w:val="733A4EF6"/>
    <w:rsid w:val="733D0234"/>
    <w:rsid w:val="733D1497"/>
    <w:rsid w:val="735F4C52"/>
    <w:rsid w:val="73773239"/>
    <w:rsid w:val="739D4E7F"/>
    <w:rsid w:val="73A52CA9"/>
    <w:rsid w:val="73C82E30"/>
    <w:rsid w:val="73FA14E3"/>
    <w:rsid w:val="73FD29BB"/>
    <w:rsid w:val="740A7F35"/>
    <w:rsid w:val="740B686A"/>
    <w:rsid w:val="74193434"/>
    <w:rsid w:val="7436153F"/>
    <w:rsid w:val="744401CE"/>
    <w:rsid w:val="745819FD"/>
    <w:rsid w:val="746C366D"/>
    <w:rsid w:val="748200B4"/>
    <w:rsid w:val="749C71E6"/>
    <w:rsid w:val="74A45959"/>
    <w:rsid w:val="74AC77E0"/>
    <w:rsid w:val="74DE6D4A"/>
    <w:rsid w:val="74F94408"/>
    <w:rsid w:val="75045F44"/>
    <w:rsid w:val="75154170"/>
    <w:rsid w:val="751F2CCD"/>
    <w:rsid w:val="75334F10"/>
    <w:rsid w:val="754A3843"/>
    <w:rsid w:val="755E6626"/>
    <w:rsid w:val="75714F21"/>
    <w:rsid w:val="75801690"/>
    <w:rsid w:val="75841DF5"/>
    <w:rsid w:val="75883FFE"/>
    <w:rsid w:val="759118EE"/>
    <w:rsid w:val="759A0BFF"/>
    <w:rsid w:val="75A62B5C"/>
    <w:rsid w:val="75B660D9"/>
    <w:rsid w:val="75DA056C"/>
    <w:rsid w:val="75FA2F4D"/>
    <w:rsid w:val="76177C7F"/>
    <w:rsid w:val="761E4555"/>
    <w:rsid w:val="7652518B"/>
    <w:rsid w:val="765661CE"/>
    <w:rsid w:val="766B1FE7"/>
    <w:rsid w:val="767737E8"/>
    <w:rsid w:val="7687321E"/>
    <w:rsid w:val="769C5380"/>
    <w:rsid w:val="769D488D"/>
    <w:rsid w:val="76A648DB"/>
    <w:rsid w:val="76AA6FCA"/>
    <w:rsid w:val="76AD33AB"/>
    <w:rsid w:val="76AE1A33"/>
    <w:rsid w:val="76B645C9"/>
    <w:rsid w:val="76CB05E9"/>
    <w:rsid w:val="76F557EA"/>
    <w:rsid w:val="76FB601C"/>
    <w:rsid w:val="771E0B46"/>
    <w:rsid w:val="77243900"/>
    <w:rsid w:val="77277B70"/>
    <w:rsid w:val="7745626C"/>
    <w:rsid w:val="774A218D"/>
    <w:rsid w:val="77534E7F"/>
    <w:rsid w:val="77765B6B"/>
    <w:rsid w:val="777D79D9"/>
    <w:rsid w:val="7788271D"/>
    <w:rsid w:val="778A3CA6"/>
    <w:rsid w:val="77AB127E"/>
    <w:rsid w:val="77B8759C"/>
    <w:rsid w:val="77CA7AD8"/>
    <w:rsid w:val="77F04589"/>
    <w:rsid w:val="780776F7"/>
    <w:rsid w:val="785D4AC2"/>
    <w:rsid w:val="78755AD9"/>
    <w:rsid w:val="78867CFB"/>
    <w:rsid w:val="7895518B"/>
    <w:rsid w:val="78DA375A"/>
    <w:rsid w:val="78FB6861"/>
    <w:rsid w:val="790C30F7"/>
    <w:rsid w:val="79182F94"/>
    <w:rsid w:val="791E6626"/>
    <w:rsid w:val="791F15A3"/>
    <w:rsid w:val="791F1ABD"/>
    <w:rsid w:val="792A6014"/>
    <w:rsid w:val="792A77CA"/>
    <w:rsid w:val="792C1C9C"/>
    <w:rsid w:val="79534836"/>
    <w:rsid w:val="795F47C4"/>
    <w:rsid w:val="79880110"/>
    <w:rsid w:val="79894347"/>
    <w:rsid w:val="799447B2"/>
    <w:rsid w:val="79993DEC"/>
    <w:rsid w:val="79A91848"/>
    <w:rsid w:val="79B155D3"/>
    <w:rsid w:val="79BE02AE"/>
    <w:rsid w:val="79C44E91"/>
    <w:rsid w:val="79D75B18"/>
    <w:rsid w:val="79F9227E"/>
    <w:rsid w:val="7A03141B"/>
    <w:rsid w:val="7A2F5A98"/>
    <w:rsid w:val="7A340EA4"/>
    <w:rsid w:val="7A3F5F0E"/>
    <w:rsid w:val="7A402127"/>
    <w:rsid w:val="7A677819"/>
    <w:rsid w:val="7A75750A"/>
    <w:rsid w:val="7A7C3110"/>
    <w:rsid w:val="7A9E603E"/>
    <w:rsid w:val="7AA5799A"/>
    <w:rsid w:val="7AAE7A48"/>
    <w:rsid w:val="7AF259C5"/>
    <w:rsid w:val="7B052189"/>
    <w:rsid w:val="7B12265C"/>
    <w:rsid w:val="7B4E1237"/>
    <w:rsid w:val="7B557668"/>
    <w:rsid w:val="7B5721B8"/>
    <w:rsid w:val="7B5C6BFD"/>
    <w:rsid w:val="7B7A720B"/>
    <w:rsid w:val="7B884D33"/>
    <w:rsid w:val="7BA630A7"/>
    <w:rsid w:val="7BBB6A08"/>
    <w:rsid w:val="7BCB5994"/>
    <w:rsid w:val="7BED154E"/>
    <w:rsid w:val="7BED6B05"/>
    <w:rsid w:val="7C1946E0"/>
    <w:rsid w:val="7C42078B"/>
    <w:rsid w:val="7C953CBE"/>
    <w:rsid w:val="7C9C6D51"/>
    <w:rsid w:val="7CA326C8"/>
    <w:rsid w:val="7CAA5F0D"/>
    <w:rsid w:val="7CF76237"/>
    <w:rsid w:val="7D25417D"/>
    <w:rsid w:val="7D470375"/>
    <w:rsid w:val="7D5A124C"/>
    <w:rsid w:val="7D6B3C9C"/>
    <w:rsid w:val="7D6C7837"/>
    <w:rsid w:val="7D87483A"/>
    <w:rsid w:val="7D886B89"/>
    <w:rsid w:val="7D8A3047"/>
    <w:rsid w:val="7D92427A"/>
    <w:rsid w:val="7DA653E8"/>
    <w:rsid w:val="7DAB4450"/>
    <w:rsid w:val="7DAE4568"/>
    <w:rsid w:val="7DC3009F"/>
    <w:rsid w:val="7DC80DDA"/>
    <w:rsid w:val="7DD10836"/>
    <w:rsid w:val="7DDC30D5"/>
    <w:rsid w:val="7E0B16A2"/>
    <w:rsid w:val="7E12506E"/>
    <w:rsid w:val="7E1B5179"/>
    <w:rsid w:val="7E3610F8"/>
    <w:rsid w:val="7E594E0B"/>
    <w:rsid w:val="7E7C766D"/>
    <w:rsid w:val="7E833262"/>
    <w:rsid w:val="7E932FC5"/>
    <w:rsid w:val="7E9B5F2D"/>
    <w:rsid w:val="7ECE4E91"/>
    <w:rsid w:val="7ECE6209"/>
    <w:rsid w:val="7EDB5D8D"/>
    <w:rsid w:val="7EDD4604"/>
    <w:rsid w:val="7EE626A2"/>
    <w:rsid w:val="7F0A31ED"/>
    <w:rsid w:val="7F165CD8"/>
    <w:rsid w:val="7F243837"/>
    <w:rsid w:val="7F2B17D8"/>
    <w:rsid w:val="7F3C05D3"/>
    <w:rsid w:val="7F4E60A4"/>
    <w:rsid w:val="7F676C28"/>
    <w:rsid w:val="7F751E64"/>
    <w:rsid w:val="7F7A4953"/>
    <w:rsid w:val="7F806C96"/>
    <w:rsid w:val="7F90721E"/>
    <w:rsid w:val="7F990359"/>
    <w:rsid w:val="7FAC08C1"/>
    <w:rsid w:val="7FAD0277"/>
    <w:rsid w:val="7FB44E0C"/>
    <w:rsid w:val="7FCF5193"/>
    <w:rsid w:val="7FD06104"/>
    <w:rsid w:val="7FF03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6">
    <w:name w:val="List Number"/>
    <w:basedOn w:val="1"/>
    <w:qFormat/>
    <w:uiPriority w:val="0"/>
    <w:pPr>
      <w:numPr>
        <w:ilvl w:val="0"/>
        <w:numId w:val="2"/>
      </w:numPr>
    </w:pPr>
  </w:style>
  <w:style w:type="paragraph" w:styleId="7">
    <w:name w:val="annotation text"/>
    <w:basedOn w:val="1"/>
    <w:qFormat/>
    <w:uiPriority w:val="0"/>
    <w:pPr>
      <w:jc w:val="left"/>
    </w:pPr>
  </w:style>
  <w:style w:type="paragraph" w:styleId="8">
    <w:name w:val="Body Text"/>
    <w:basedOn w:val="1"/>
    <w:qFormat/>
    <w:uiPriority w:val="0"/>
    <w:pPr>
      <w:spacing w:line="360" w:lineRule="exact"/>
    </w:pPr>
    <w:rPr>
      <w:sz w:val="24"/>
    </w:rPr>
  </w:style>
  <w:style w:type="paragraph" w:styleId="9">
    <w:name w:val="Body Text Indent"/>
    <w:basedOn w:val="1"/>
    <w:next w:val="1"/>
    <w:qFormat/>
    <w:uiPriority w:val="0"/>
    <w:pPr>
      <w:spacing w:after="120"/>
      <w:ind w:left="420" w:leftChars="200"/>
    </w:pPr>
  </w:style>
  <w:style w:type="paragraph" w:styleId="10">
    <w:name w:val="Plain Text"/>
    <w:basedOn w:val="1"/>
    <w:next w:val="11"/>
    <w:qFormat/>
    <w:uiPriority w:val="0"/>
    <w:rPr>
      <w:rFonts w:ascii="宋体" w:hAnsi="Courier New" w:cstheme="minorBidi"/>
    </w:rPr>
  </w:style>
  <w:style w:type="paragraph" w:styleId="11">
    <w:name w:val="Date"/>
    <w:basedOn w:val="1"/>
    <w:next w:val="1"/>
    <w:qFormat/>
    <w:uiPriority w:val="0"/>
    <w:pPr>
      <w:ind w:left="2500" w:leftChars="2500"/>
    </w:pPr>
    <w:rPr>
      <w:rFonts w:eastAsia="楷体_GB2312" w:asciiTheme="minorHAnsi" w:hAnsiTheme="minorHAnsi" w:cstheme="minorBidi"/>
      <w:sz w:val="32"/>
      <w:szCs w:val="22"/>
    </w:rPr>
  </w:style>
  <w:style w:type="paragraph" w:styleId="12">
    <w:name w:val="Balloon Text"/>
    <w:basedOn w:val="1"/>
    <w:link w:val="48"/>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6">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7">
    <w:name w:val="Body Text First Indent"/>
    <w:basedOn w:val="1"/>
    <w:qFormat/>
    <w:uiPriority w:val="0"/>
    <w:pPr>
      <w:ind w:firstLine="200" w:firstLineChars="200"/>
    </w:pPr>
  </w:style>
  <w:style w:type="paragraph" w:styleId="18">
    <w:name w:val="Body Text First Indent 2"/>
    <w:basedOn w:val="9"/>
    <w:qFormat/>
    <w:uiPriority w:val="0"/>
    <w:pPr>
      <w:ind w:firstLine="420"/>
    </w:pPr>
  </w:style>
  <w:style w:type="table" w:styleId="20">
    <w:name w:val="Table Grid"/>
    <w:basedOn w:val="19"/>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2">
    <w:name w:val="FollowedHyperlink"/>
    <w:basedOn w:val="21"/>
    <w:qFormat/>
    <w:uiPriority w:val="0"/>
    <w:rPr>
      <w:color w:val="800080"/>
      <w:u w:val="single"/>
    </w:rPr>
  </w:style>
  <w:style w:type="character" w:styleId="23">
    <w:name w:val="Hyperlink"/>
    <w:qFormat/>
    <w:uiPriority w:val="0"/>
    <w:rPr>
      <w:color w:val="0000FF"/>
      <w:u w:val="single"/>
    </w:rPr>
  </w:style>
  <w:style w:type="character" w:styleId="24">
    <w:name w:val="annotation reference"/>
    <w:basedOn w:val="21"/>
    <w:qFormat/>
    <w:uiPriority w:val="0"/>
    <w:rPr>
      <w:sz w:val="21"/>
      <w:szCs w:val="21"/>
    </w:rPr>
  </w:style>
  <w:style w:type="paragraph" w:customStyle="1" w:styleId="25">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6">
    <w:name w:val="List Paragraph"/>
    <w:basedOn w:val="1"/>
    <w:qFormat/>
    <w:uiPriority w:val="34"/>
    <w:pPr>
      <w:ind w:firstLine="420" w:firstLineChars="200"/>
    </w:pPr>
    <w:rPr>
      <w:rFonts w:ascii="Calibri" w:hAnsi="Calibri"/>
      <w:szCs w:val="22"/>
    </w:rPr>
  </w:style>
  <w:style w:type="paragraph" w:customStyle="1" w:styleId="27">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28">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2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正文_14"/>
    <w:qFormat/>
    <w:uiPriority w:val="0"/>
    <w:rPr>
      <w:rFonts w:ascii="Times New Roman" w:hAnsi="Times New Roman" w:eastAsia="宋体" w:cs="Times New Roman"/>
      <w:sz w:val="21"/>
      <w:szCs w:val="22"/>
      <w:lang w:val="en-US" w:eastAsia="zh-CN" w:bidi="ar-SA"/>
    </w:rPr>
  </w:style>
  <w:style w:type="paragraph" w:customStyle="1" w:styleId="32">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纯文本_3"/>
    <w:basedOn w:val="34"/>
    <w:qFormat/>
    <w:uiPriority w:val="0"/>
    <w:pPr>
      <w:widowControl/>
      <w:jc w:val="left"/>
    </w:pPr>
    <w:rPr>
      <w:rFonts w:ascii="宋体" w:hAnsi="Courier New" w:eastAsiaTheme="minorEastAsia" w:cstheme="minorBidi"/>
      <w:szCs w:val="21"/>
    </w:rPr>
  </w:style>
  <w:style w:type="paragraph" w:customStyle="1" w:styleId="36">
    <w:name w:val="纯文本_0_1"/>
    <w:basedOn w:val="1"/>
    <w:qFormat/>
    <w:uiPriority w:val="0"/>
    <w:pPr>
      <w:widowControl/>
      <w:jc w:val="left"/>
    </w:pPr>
    <w:rPr>
      <w:rFonts w:ascii="宋体" w:hAnsi="Courier New" w:eastAsiaTheme="minorEastAsia" w:cstheme="minorBidi"/>
      <w:szCs w:val="21"/>
    </w:rPr>
  </w:style>
  <w:style w:type="paragraph" w:customStyle="1" w:styleId="3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1">
    <w:name w:val="font21"/>
    <w:basedOn w:val="21"/>
    <w:qFormat/>
    <w:uiPriority w:val="0"/>
    <w:rPr>
      <w:rFonts w:hint="default" w:ascii="Arial" w:hAnsi="Arial" w:cs="Arial"/>
      <w:color w:val="000000"/>
      <w:sz w:val="20"/>
      <w:szCs w:val="20"/>
      <w:u w:val="none"/>
    </w:rPr>
  </w:style>
  <w:style w:type="character" w:customStyle="1" w:styleId="42">
    <w:name w:val="font01"/>
    <w:basedOn w:val="21"/>
    <w:qFormat/>
    <w:uiPriority w:val="0"/>
    <w:rPr>
      <w:rFonts w:hint="eastAsia" w:ascii="宋体" w:hAnsi="宋体" w:eastAsia="宋体" w:cs="宋体"/>
      <w:color w:val="000000"/>
      <w:sz w:val="20"/>
      <w:szCs w:val="20"/>
      <w:u w:val="none"/>
    </w:rPr>
  </w:style>
  <w:style w:type="paragraph" w:customStyle="1" w:styleId="43">
    <w:name w:val="纯文本1"/>
    <w:basedOn w:val="44"/>
    <w:qFormat/>
    <w:uiPriority w:val="0"/>
    <w:pPr>
      <w:widowControl/>
      <w:jc w:val="left"/>
    </w:pPr>
    <w:rPr>
      <w:rFonts w:ascii="宋体" w:hAnsi="Courier New"/>
    </w:rPr>
  </w:style>
  <w:style w:type="paragraph" w:customStyle="1" w:styleId="44">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5">
    <w:name w:val="Table Paragraph"/>
    <w:basedOn w:val="1"/>
    <w:qFormat/>
    <w:uiPriority w:val="1"/>
    <w:rPr>
      <w:rFonts w:ascii="宋体" w:hAnsi="宋体" w:cs="宋体"/>
    </w:rPr>
  </w:style>
  <w:style w:type="paragraph" w:customStyle="1" w:styleId="46">
    <w:name w:val="WPSOffice手动目录 1"/>
    <w:qFormat/>
    <w:uiPriority w:val="0"/>
    <w:rPr>
      <w:rFonts w:ascii="Times New Roman" w:hAnsi="Times New Roman" w:eastAsia="宋体" w:cs="Times New Roman"/>
      <w:lang w:val="en-US" w:eastAsia="zh-CN" w:bidi="ar-SA"/>
    </w:rPr>
  </w:style>
  <w:style w:type="character" w:customStyle="1" w:styleId="47">
    <w:name w:val="标题 1 Char Char"/>
    <w:basedOn w:val="21"/>
    <w:qFormat/>
    <w:uiPriority w:val="0"/>
    <w:rPr>
      <w:rFonts w:eastAsia="宋体"/>
      <w:b/>
      <w:spacing w:val="-2"/>
      <w:sz w:val="24"/>
      <w:lang w:val="en-US" w:eastAsia="zh-CN" w:bidi="ar-SA"/>
    </w:rPr>
  </w:style>
  <w:style w:type="character" w:customStyle="1" w:styleId="48">
    <w:name w:val="批注框文本 Char"/>
    <w:basedOn w:val="21"/>
    <w:link w:val="12"/>
    <w:qFormat/>
    <w:uiPriority w:val="0"/>
    <w:rPr>
      <w:kern w:val="2"/>
      <w:sz w:val="18"/>
      <w:szCs w:val="18"/>
    </w:rPr>
  </w:style>
  <w:style w:type="paragraph" w:customStyle="1" w:styleId="4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27802</Words>
  <Characters>29175</Characters>
  <Lines>174</Lines>
  <Paragraphs>49</Paragraphs>
  <TotalTime>164</TotalTime>
  <ScaleCrop>false</ScaleCrop>
  <LinksUpToDate>false</LinksUpToDate>
  <CharactersWithSpaces>30630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阿拉丁</cp:lastModifiedBy>
  <cp:lastPrinted>2021-08-18T01:05:00Z</cp:lastPrinted>
  <dcterms:modified xsi:type="dcterms:W3CDTF">2022-08-01T11:08:21Z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56099B2E4D2A4F63A2AAC9078C67EC41</vt:lpwstr>
  </property>
</Properties>
</file>