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0"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w:t>
      </w:r>
      <w:r>
        <w:rPr>
          <w:rFonts w:hint="eastAsia" w:ascii="宋体"/>
          <w:b/>
          <w:kern w:val="0"/>
          <w:sz w:val="32"/>
        </w:rPr>
        <w:t>2021</w:t>
      </w:r>
      <w:r>
        <w:rPr>
          <w:rFonts w:ascii="宋体"/>
          <w:b/>
          <w:kern w:val="0"/>
          <w:sz w:val="32"/>
        </w:rPr>
        <w:t>-</w:t>
      </w:r>
      <w:r>
        <w:rPr>
          <w:rFonts w:hint="eastAsia" w:ascii="宋体"/>
          <w:b/>
          <w:kern w:val="0"/>
          <w:sz w:val="32"/>
        </w:rPr>
        <w:t>GK</w:t>
      </w:r>
      <w:r>
        <w:rPr>
          <w:rFonts w:hint="eastAsia" w:ascii="宋体"/>
          <w:b/>
          <w:kern w:val="0"/>
          <w:sz w:val="32"/>
          <w:lang w:val="en-US" w:eastAsia="zh-CN"/>
        </w:rPr>
        <w:t>025</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spacing w:line="360" w:lineRule="auto"/>
        <w:ind w:firstLine="1400" w:firstLineChars="500"/>
        <w:jc w:val="both"/>
        <w:rPr>
          <w:rFonts w:hint="eastAsia" w:asciiTheme="minorEastAsia" w:hAnsiTheme="minorEastAsia" w:eastAsiaTheme="minorEastAsia" w:cstheme="minorEastAsia"/>
          <w:sz w:val="28"/>
          <w:szCs w:val="28"/>
          <w:highlight w:val="none"/>
        </w:rPr>
      </w:pPr>
      <w:r>
        <w:rPr>
          <w:rFonts w:hint="eastAsia" w:ascii="宋体"/>
          <w:kern w:val="0"/>
          <w:sz w:val="28"/>
        </w:rPr>
        <w:t>采购项目：</w:t>
      </w:r>
      <w:r>
        <w:rPr>
          <w:rFonts w:hint="eastAsia" w:asciiTheme="minorEastAsia" w:hAnsiTheme="minorEastAsia" w:eastAsiaTheme="minorEastAsia" w:cstheme="minorEastAsia"/>
          <w:sz w:val="28"/>
          <w:szCs w:val="28"/>
          <w:highlight w:val="none"/>
        </w:rPr>
        <w:t>雪亮工程台州市人民政府立体防控安保建设</w:t>
      </w:r>
    </w:p>
    <w:p>
      <w:pPr>
        <w:autoSpaceDE w:val="0"/>
        <w:autoSpaceDN w:val="0"/>
        <w:adjustRightInd w:val="0"/>
        <w:spacing w:line="360" w:lineRule="auto"/>
        <w:ind w:firstLine="2637" w:firstLineChars="942"/>
        <w:jc w:val="left"/>
        <w:rPr>
          <w:rFonts w:ascii="宋体"/>
          <w:kern w:val="0"/>
          <w:sz w:val="28"/>
        </w:rPr>
      </w:pPr>
      <w:r>
        <w:rPr>
          <w:rFonts w:hint="eastAsia" w:asciiTheme="minorEastAsia" w:hAnsiTheme="minorEastAsia" w:eastAsiaTheme="minorEastAsia" w:cstheme="minorEastAsia"/>
          <w:sz w:val="28"/>
          <w:szCs w:val="28"/>
          <w:highlight w:val="none"/>
        </w:rPr>
        <w:t>（视频AI+平台硬件）项目</w:t>
      </w:r>
    </w:p>
    <w:p>
      <w:pPr>
        <w:autoSpaceDE w:val="0"/>
        <w:autoSpaceDN w:val="0"/>
        <w:adjustRightInd w:val="0"/>
        <w:spacing w:line="360" w:lineRule="auto"/>
        <w:ind w:left="0" w:leftChars="0" w:firstLine="1400" w:firstLineChars="500"/>
        <w:jc w:val="both"/>
        <w:rPr>
          <w:rFonts w:ascii="宋体"/>
          <w:kern w:val="0"/>
          <w:sz w:val="28"/>
        </w:rPr>
      </w:pPr>
      <w:r>
        <w:rPr>
          <w:rFonts w:hint="eastAsia" w:ascii="宋体"/>
          <w:kern w:val="0"/>
          <w:sz w:val="28"/>
        </w:rPr>
        <w:t>采 购 人：</w:t>
      </w:r>
      <w:r>
        <w:rPr>
          <w:rFonts w:hint="eastAsia" w:asciiTheme="minorEastAsia" w:hAnsiTheme="minorEastAsia" w:eastAsiaTheme="minorEastAsia" w:cstheme="minorEastAsia"/>
          <w:sz w:val="28"/>
          <w:szCs w:val="28"/>
          <w:highlight w:val="none"/>
        </w:rPr>
        <w:t>台州市公安局</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lang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2021</w:t>
      </w:r>
      <w:r>
        <w:rPr>
          <w:rFonts w:hint="eastAsia" w:ascii="宋体" w:hAnsi="宋体" w:cs="宋体"/>
          <w:kern w:val="0"/>
          <w:sz w:val="28"/>
          <w:szCs w:val="28"/>
        </w:rPr>
        <w:t>年</w:t>
      </w:r>
      <w:r>
        <w:rPr>
          <w:rFonts w:hint="eastAsia" w:ascii="宋体" w:hAnsi="宋体" w:cs="宋体"/>
          <w:kern w:val="0"/>
          <w:sz w:val="28"/>
          <w:szCs w:val="28"/>
          <w:lang w:val="en-US" w:eastAsia="zh-CN"/>
        </w:rPr>
        <w:t xml:space="preserve"> 11</w:t>
      </w:r>
      <w:r>
        <w:rPr>
          <w:rFonts w:hint="eastAsia" w:ascii="宋体" w:hAnsi="宋体" w:cs="宋体"/>
          <w:kern w:val="0"/>
          <w:sz w:val="28"/>
          <w:szCs w:val="28"/>
        </w:rPr>
        <w:t xml:space="preserve"> 月 </w:t>
      </w:r>
      <w:r>
        <w:rPr>
          <w:rFonts w:hint="eastAsia" w:ascii="宋体" w:hAnsi="宋体" w:cs="宋体"/>
          <w:kern w:val="0"/>
          <w:sz w:val="28"/>
          <w:szCs w:val="28"/>
          <w:lang w:val="en-US" w:eastAsia="zh-CN"/>
        </w:rPr>
        <w:t>25</w:t>
      </w:r>
      <w:r>
        <w:rPr>
          <w:rFonts w:hint="eastAsia" w:ascii="宋体" w:hAnsi="宋体" w:cs="宋体"/>
          <w:kern w:val="0"/>
          <w:sz w:val="28"/>
          <w:szCs w:val="28"/>
        </w:rPr>
        <w:t xml:space="preserve"> 日</w:t>
      </w:r>
    </w:p>
    <w:p>
      <w:pPr>
        <w:spacing w:line="360" w:lineRule="auto"/>
      </w:pPr>
    </w:p>
    <w:p>
      <w:pPr>
        <w:pStyle w:val="19"/>
      </w:pPr>
    </w:p>
    <w:p>
      <w:pPr>
        <w:pStyle w:val="19"/>
      </w:pPr>
    </w:p>
    <w:p>
      <w:pPr>
        <w:pStyle w:val="19"/>
      </w:pPr>
    </w:p>
    <w:p>
      <w:pPr>
        <w:pStyle w:val="19"/>
      </w:pPr>
    </w:p>
    <w:p>
      <w:pPr>
        <w:pStyle w:val="19"/>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both"/>
            <w:rPr>
              <w:rFonts w:ascii="宋体" w:hAnsi="宋体"/>
              <w:kern w:val="0"/>
              <w:sz w:val="28"/>
              <w:szCs w:val="28"/>
            </w:rPr>
          </w:pPr>
          <w:bookmarkStart w:id="0" w:name="_Toc25017_WPSOffice_Type1"/>
        </w:p>
        <w:p>
          <w:pPr>
            <w:pStyle w:val="19"/>
          </w:pPr>
        </w:p>
        <w:p>
          <w:pPr>
            <w:spacing w:line="480" w:lineRule="auto"/>
            <w:jc w:val="center"/>
            <w:rPr>
              <w:rFonts w:hint="eastAsia" w:ascii="宋体" w:hAnsi="宋体"/>
              <w:b/>
              <w:bCs/>
              <w:sz w:val="36"/>
              <w:szCs w:val="36"/>
            </w:rPr>
          </w:pPr>
          <w:r>
            <w:rPr>
              <w:rFonts w:hint="eastAsia" w:ascii="宋体" w:hAnsi="宋体"/>
              <w:b/>
              <w:bCs/>
              <w:sz w:val="36"/>
              <w:szCs w:val="36"/>
            </w:rPr>
            <w:t>目  录</w:t>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hint="eastAsia" w:eastAsiaTheme="minorEastAsia" w:cstheme="minorBidi"/>
              <w:sz w:val="28"/>
              <w:szCs w:val="28"/>
            </w:rPr>
            <w:tab/>
          </w:r>
          <w:bookmarkStart w:id="1" w:name="_Toc4350_WPSOffice_Level1Page"/>
          <w:r>
            <w:rPr>
              <w:rFonts w:hint="eastAsia" w:eastAsiaTheme="minorEastAsia" w:cstheme="minorBidi"/>
              <w:sz w:val="28"/>
              <w:szCs w:val="28"/>
            </w:rPr>
            <w:t>3</w:t>
          </w:r>
          <w:bookmarkEnd w:id="1"/>
          <w:r>
            <w:rPr>
              <w:rFonts w:hint="eastAsia" w:eastAsiaTheme="minorEastAsia" w:cstheme="minorBidi"/>
              <w:sz w:val="28"/>
              <w:szCs w:val="28"/>
            </w:rPr>
            <w:fldChar w:fldCharType="end"/>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hint="eastAsia"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hint="eastAsia"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4</w:t>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hint="eastAsia" w:eastAsiaTheme="minorEastAsia" w:cstheme="minorBidi"/>
              <w:sz w:val="28"/>
              <w:szCs w:val="28"/>
            </w:rPr>
            <w:tab/>
          </w:r>
          <w:bookmarkStart w:id="2" w:name="_Toc31173_WPSOffice_Level1Page"/>
          <w:r>
            <w:rPr>
              <w:rFonts w:hint="eastAsia" w:eastAsiaTheme="minorEastAsia" w:cstheme="minorBidi"/>
              <w:sz w:val="28"/>
              <w:szCs w:val="28"/>
            </w:rPr>
            <w:t>22</w:t>
          </w:r>
          <w:bookmarkEnd w:id="2"/>
          <w:r>
            <w:rPr>
              <w:rFonts w:hint="eastAsia" w:eastAsiaTheme="minorEastAsia" w:cstheme="minorBidi"/>
              <w:sz w:val="28"/>
              <w:szCs w:val="28"/>
            </w:rPr>
            <w:fldChar w:fldCharType="end"/>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hint="eastAsia" w:eastAsiaTheme="minorEastAsia" w:cstheme="minorBidi"/>
              <w:sz w:val="28"/>
              <w:szCs w:val="28"/>
            </w:rPr>
            <w:tab/>
          </w:r>
          <w:bookmarkStart w:id="3" w:name="_Toc27944_WPSOffice_Level1Page"/>
          <w:r>
            <w:rPr>
              <w:rFonts w:hint="eastAsia" w:eastAsiaTheme="minorEastAsia" w:cstheme="minorBidi"/>
              <w:sz w:val="28"/>
              <w:szCs w:val="28"/>
            </w:rPr>
            <w:t>35</w:t>
          </w:r>
          <w:bookmarkEnd w:id="3"/>
          <w:r>
            <w:rPr>
              <w:rFonts w:hint="eastAsia" w:eastAsiaTheme="minorEastAsia" w:cstheme="minorBidi"/>
              <w:sz w:val="28"/>
              <w:szCs w:val="28"/>
            </w:rPr>
            <w:fldChar w:fldCharType="end"/>
          </w:r>
        </w:p>
        <w:p>
          <w:pPr>
            <w:pStyle w:val="17"/>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hint="eastAsia" w:eastAsiaTheme="minorEastAsia" w:cstheme="minorBidi"/>
              <w:sz w:val="28"/>
              <w:szCs w:val="28"/>
            </w:rPr>
            <w:tab/>
          </w:r>
          <w:bookmarkStart w:id="4" w:name="_Toc5481_WPSOffice_Level1Page"/>
          <w:r>
            <w:rPr>
              <w:rFonts w:hint="eastAsia" w:eastAsiaTheme="minorEastAsia" w:cstheme="minorBidi"/>
              <w:sz w:val="28"/>
              <w:szCs w:val="28"/>
            </w:rPr>
            <w:t>41</w:t>
          </w:r>
          <w:bookmarkEnd w:id="4"/>
          <w:r>
            <w:rPr>
              <w:rFonts w:hint="eastAsia"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5" w:name="_Toc4350_WPSOffice_Level1"/>
      <w:r>
        <w:rPr>
          <w:rFonts w:hint="eastAsia" w:ascii="宋体" w:hAnsi="宋体" w:cs="宋体"/>
          <w:b/>
          <w:kern w:val="0"/>
          <w:sz w:val="36"/>
          <w:szCs w:val="36"/>
        </w:rPr>
        <w:t>投标邀请</w:t>
      </w:r>
      <w:bookmarkEnd w:id="5"/>
    </w:p>
    <w:p>
      <w:pPr>
        <w:pStyle w:val="6"/>
        <w:ind w:firstLine="480" w:firstLineChars="200"/>
        <w:rPr>
          <w:rFonts w:cs="宋体"/>
          <w:b w:val="0"/>
          <w:sz w:val="24"/>
          <w:szCs w:val="24"/>
        </w:rPr>
      </w:pPr>
      <w:bookmarkStart w:id="6" w:name="_Toc28359002"/>
      <w:bookmarkStart w:id="7" w:name="_Toc35393621"/>
      <w:bookmarkStart w:id="8" w:name="_Toc28359079"/>
      <w:bookmarkStart w:id="9" w:name="_Toc35393790"/>
      <w:bookmarkStart w:id="10" w:name="_Hlk24379207"/>
      <w:r>
        <w:rPr>
          <w:rFonts w:hint="eastAsia" w:cs="宋体"/>
          <w:b w:val="0"/>
          <w:sz w:val="24"/>
          <w:szCs w:val="24"/>
          <w:lang w:eastAsia="zh-CN"/>
        </w:rPr>
        <w:t>台州市</w:t>
      </w:r>
      <w:r>
        <w:rPr>
          <w:rFonts w:hint="eastAsia" w:cs="宋体"/>
          <w:b w:val="0"/>
          <w:sz w:val="24"/>
          <w:szCs w:val="24"/>
        </w:rPr>
        <w:t>政府采购中心受</w:t>
      </w:r>
      <w:r>
        <w:rPr>
          <w:rFonts w:hint="eastAsia" w:ascii="宋体" w:hAnsi="宋体" w:eastAsia="宋体" w:cs="宋体"/>
          <w:b w:val="0"/>
          <w:sz w:val="24"/>
          <w:szCs w:val="24"/>
        </w:rPr>
        <w:t>台州市公安局</w:t>
      </w:r>
      <w:r>
        <w:rPr>
          <w:rFonts w:hint="eastAsia" w:cs="宋体"/>
          <w:b w:val="0"/>
          <w:sz w:val="24"/>
          <w:szCs w:val="24"/>
        </w:rPr>
        <w:t>委托，就</w:t>
      </w:r>
      <w:r>
        <w:rPr>
          <w:rFonts w:hint="eastAsia" w:ascii="宋体" w:hAnsi="宋体" w:eastAsia="宋体" w:cs="宋体"/>
          <w:b w:val="0"/>
          <w:sz w:val="24"/>
          <w:szCs w:val="24"/>
        </w:rPr>
        <w:t>雪亮工程台州市人民政府立体防控安保建设视频AI+平台硬件）项目</w:t>
      </w:r>
      <w:r>
        <w:rPr>
          <w:rFonts w:hint="eastAsia" w:cs="宋体"/>
          <w:b w:val="0"/>
          <w:sz w:val="24"/>
          <w:szCs w:val="24"/>
        </w:rPr>
        <w:t>进行公开招标，欢迎符合资格条件的国内投标人参加投标。</w:t>
      </w:r>
    </w:p>
    <w:p>
      <w:pPr>
        <w:pStyle w:val="6"/>
        <w:ind w:firstLine="482" w:firstLineChars="200"/>
        <w:rPr>
          <w:rFonts w:cs="宋体"/>
          <w:bCs/>
          <w:sz w:val="24"/>
          <w:szCs w:val="24"/>
        </w:rPr>
      </w:pPr>
      <w:r>
        <w:rPr>
          <w:rFonts w:hint="eastAsia" w:cs="宋体"/>
          <w:bCs/>
          <w:sz w:val="24"/>
          <w:szCs w:val="24"/>
        </w:rPr>
        <w:t>一、项目基本情况</w:t>
      </w:r>
      <w:bookmarkEnd w:id="6"/>
      <w:bookmarkEnd w:id="7"/>
      <w:bookmarkEnd w:id="8"/>
      <w:bookmarkEnd w:id="9"/>
    </w:p>
    <w:p>
      <w:pPr>
        <w:spacing w:line="360" w:lineRule="auto"/>
        <w:ind w:firstLine="480" w:firstLineChars="200"/>
        <w:rPr>
          <w:rFonts w:ascii="宋体" w:hAnsi="宋体" w:cs="宋体"/>
          <w:sz w:val="24"/>
        </w:rPr>
      </w:pPr>
      <w:r>
        <w:rPr>
          <w:rFonts w:hint="eastAsia" w:ascii="宋体" w:hAnsi="宋体" w:cs="宋体"/>
          <w:sz w:val="24"/>
        </w:rPr>
        <w:t>项目编号：</w:t>
      </w:r>
      <w:r>
        <w:rPr>
          <w:rFonts w:hint="eastAsia" w:ascii="宋体" w:hAnsi="宋体" w:eastAsia="宋体" w:cs="宋体"/>
          <w:kern w:val="0"/>
          <w:sz w:val="24"/>
        </w:rPr>
        <w:t>TZCG-2021-GK</w:t>
      </w:r>
      <w:r>
        <w:rPr>
          <w:rFonts w:hint="eastAsia" w:ascii="宋体" w:hAnsi="宋体" w:eastAsia="宋体" w:cs="宋体"/>
          <w:kern w:val="0"/>
          <w:sz w:val="24"/>
          <w:lang w:val="en-US" w:eastAsia="zh-CN"/>
        </w:rPr>
        <w:t>025</w:t>
      </w:r>
      <w:r>
        <w:rPr>
          <w:rFonts w:hint="eastAsia" w:ascii="宋体" w:hAnsi="宋体" w:eastAsia="宋体" w:cs="宋体"/>
          <w:kern w:val="0"/>
          <w:sz w:val="24"/>
        </w:rPr>
        <w:t>号</w:t>
      </w:r>
    </w:p>
    <w:bookmarkEnd w:id="10"/>
    <w:p>
      <w:pPr>
        <w:spacing w:line="360" w:lineRule="auto"/>
        <w:ind w:firstLine="480" w:firstLineChars="200"/>
        <w:rPr>
          <w:rFonts w:hint="eastAsia" w:ascii="宋体" w:hAnsi="宋体" w:cs="宋体"/>
          <w:kern w:val="0"/>
          <w:sz w:val="24"/>
        </w:rPr>
      </w:pPr>
      <w:r>
        <w:rPr>
          <w:rFonts w:hint="eastAsia" w:ascii="宋体" w:hAnsi="宋体" w:cs="宋体"/>
          <w:sz w:val="24"/>
        </w:rPr>
        <w:t>项目名称：</w:t>
      </w:r>
      <w:r>
        <w:rPr>
          <w:rFonts w:hint="eastAsia" w:ascii="宋体" w:hAnsi="宋体" w:eastAsia="宋体" w:cs="宋体"/>
          <w:kern w:val="0"/>
          <w:sz w:val="24"/>
        </w:rPr>
        <w:t>雪亮工程台州市人民政府立体防控安保建设视频AI+平台硬件）</w:t>
      </w:r>
      <w:r>
        <w:rPr>
          <w:rFonts w:hint="eastAsia" w:ascii="宋体" w:hAnsi="宋体" w:cs="宋体"/>
          <w:kern w:val="0"/>
          <w:sz w:val="24"/>
        </w:rPr>
        <w:t>项目</w:t>
      </w:r>
    </w:p>
    <w:tbl>
      <w:tblPr>
        <w:tblStyle w:val="20"/>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9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97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30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（万元）</w:t>
            </w:r>
          </w:p>
        </w:tc>
        <w:tc>
          <w:tcPr>
            <w:tcW w:w="1585" w:type="dxa"/>
            <w:vAlign w:val="center"/>
          </w:tcPr>
          <w:p>
            <w:pPr>
              <w:jc w:val="center"/>
              <w:rPr>
                <w:rFonts w:ascii="宋体" w:hAnsi="宋体" w:cs="宋体"/>
                <w:b/>
                <w:sz w:val="21"/>
                <w:szCs w:val="21"/>
              </w:rPr>
            </w:pPr>
            <w:r>
              <w:rPr>
                <w:rFonts w:hint="eastAsia" w:ascii="宋体" w:hAnsi="宋体" w:cs="宋体"/>
                <w:b/>
                <w:sz w:val="21"/>
                <w:szCs w:val="21"/>
              </w:rPr>
              <w:t>最高限价</w:t>
            </w:r>
          </w:p>
          <w:p>
            <w:pPr>
              <w:jc w:val="center"/>
              <w:rPr>
                <w:rFonts w:ascii="宋体" w:hAnsi="宋体" w:cs="宋体"/>
                <w:b/>
                <w:sz w:val="21"/>
                <w:szCs w:val="21"/>
              </w:rPr>
            </w:pPr>
            <w:r>
              <w:rPr>
                <w:rFonts w:hint="eastAsia" w:ascii="宋体" w:hAnsi="宋体" w:cs="宋体"/>
                <w:b/>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1</w:t>
            </w:r>
          </w:p>
        </w:tc>
        <w:tc>
          <w:tcPr>
            <w:tcW w:w="2741" w:type="dxa"/>
            <w:vAlign w:val="center"/>
          </w:tcPr>
          <w:p>
            <w:pPr>
              <w:tabs>
                <w:tab w:val="left" w:pos="8280"/>
              </w:tabs>
              <w:autoSpaceDE w:val="0"/>
              <w:autoSpaceDN w:val="0"/>
              <w:adjustRightInd w:val="0"/>
              <w:rPr>
                <w:rFonts w:ascii="宋体" w:hAnsi="宋体" w:cs="宋体"/>
                <w:b/>
                <w:sz w:val="21"/>
                <w:szCs w:val="21"/>
              </w:rPr>
            </w:pPr>
            <w:r>
              <w:rPr>
                <w:rFonts w:hint="eastAsia" w:asciiTheme="minorEastAsia" w:hAnsiTheme="minorEastAsia" w:eastAsiaTheme="minorEastAsia" w:cstheme="minorEastAsia"/>
                <w:b w:val="0"/>
                <w:bCs/>
                <w:sz w:val="18"/>
                <w:szCs w:val="18"/>
              </w:rPr>
              <w:t>雪亮工程台州市人民政府立体防控安保建设视频AI+平台硬件）</w:t>
            </w:r>
          </w:p>
        </w:tc>
        <w:tc>
          <w:tcPr>
            <w:tcW w:w="999" w:type="dxa"/>
            <w:vAlign w:val="center"/>
          </w:tcPr>
          <w:p>
            <w:pPr>
              <w:tabs>
                <w:tab w:val="left" w:pos="8280"/>
              </w:tabs>
              <w:autoSpaceDE w:val="0"/>
              <w:autoSpaceDN w:val="0"/>
              <w:adjustRightInd w:val="0"/>
              <w:ind w:firstLine="240" w:firstLineChars="0"/>
              <w:rPr>
                <w:rFonts w:ascii="宋体" w:hAnsi="宋体" w:cs="宋体"/>
                <w:bCs/>
                <w:sz w:val="21"/>
                <w:szCs w:val="21"/>
              </w:rPr>
            </w:pPr>
            <w:r>
              <w:rPr>
                <w:rFonts w:hint="eastAsia" w:asciiTheme="minorEastAsia" w:hAnsiTheme="minorEastAsia" w:eastAsiaTheme="minorEastAsia" w:cstheme="minorEastAsia"/>
                <w:b w:val="0"/>
                <w:bCs/>
                <w:sz w:val="24"/>
                <w:lang w:val="en-US" w:eastAsia="zh-CN"/>
              </w:rPr>
              <w:t>1</w:t>
            </w:r>
          </w:p>
        </w:tc>
        <w:tc>
          <w:tcPr>
            <w:tcW w:w="979" w:type="dxa"/>
            <w:vAlign w:val="center"/>
          </w:tcPr>
          <w:p>
            <w:pPr>
              <w:tabs>
                <w:tab w:val="left" w:pos="8280"/>
              </w:tabs>
              <w:autoSpaceDE w:val="0"/>
              <w:autoSpaceDN w:val="0"/>
              <w:adjustRightInd w:val="0"/>
              <w:jc w:val="center"/>
              <w:rPr>
                <w:rFonts w:ascii="宋体" w:hAnsi="宋体" w:cs="宋体"/>
                <w:bCs/>
                <w:sz w:val="21"/>
                <w:szCs w:val="21"/>
              </w:rPr>
            </w:pPr>
            <w:r>
              <w:rPr>
                <w:rFonts w:hint="eastAsia" w:asciiTheme="minorEastAsia" w:hAnsiTheme="minorEastAsia" w:eastAsiaTheme="minorEastAsia" w:cstheme="minorEastAsia"/>
                <w:b w:val="0"/>
                <w:bCs/>
                <w:sz w:val="24"/>
                <w:lang w:eastAsia="zh-CN"/>
              </w:rPr>
              <w:t>项</w:t>
            </w:r>
          </w:p>
        </w:tc>
        <w:tc>
          <w:tcPr>
            <w:tcW w:w="1303" w:type="dxa"/>
            <w:vAlign w:val="center"/>
          </w:tcPr>
          <w:p>
            <w:pPr>
              <w:tabs>
                <w:tab w:val="left" w:pos="8280"/>
              </w:tabs>
              <w:autoSpaceDE w:val="0"/>
              <w:autoSpaceDN w:val="0"/>
              <w:adjustRightInd w:val="0"/>
              <w:jc w:val="center"/>
              <w:rPr>
                <w:rFonts w:ascii="宋体" w:hAnsi="宋体" w:cs="宋体"/>
                <w:bCs/>
                <w:sz w:val="21"/>
                <w:szCs w:val="21"/>
              </w:rPr>
            </w:pPr>
            <w:r>
              <w:rPr>
                <w:rFonts w:hint="eastAsia" w:asciiTheme="minorEastAsia" w:hAnsiTheme="minorEastAsia" w:eastAsiaTheme="minorEastAsia" w:cstheme="minorEastAsia"/>
                <w:b w:val="0"/>
                <w:bCs/>
                <w:sz w:val="24"/>
                <w:lang w:val="en-US" w:eastAsia="zh-CN"/>
              </w:rPr>
              <w:t>607</w:t>
            </w:r>
          </w:p>
        </w:tc>
        <w:tc>
          <w:tcPr>
            <w:tcW w:w="1585" w:type="dxa"/>
            <w:vAlign w:val="center"/>
          </w:tcPr>
          <w:p>
            <w:pPr>
              <w:tabs>
                <w:tab w:val="left" w:pos="8280"/>
              </w:tabs>
              <w:autoSpaceDE w:val="0"/>
              <w:autoSpaceDN w:val="0"/>
              <w:adjustRightInd w:val="0"/>
              <w:ind w:firstLine="240" w:firstLineChars="0"/>
              <w:rPr>
                <w:rFonts w:ascii="宋体" w:hAnsi="宋体" w:cs="宋体"/>
                <w:b/>
                <w:sz w:val="21"/>
                <w:szCs w:val="21"/>
              </w:rPr>
            </w:pPr>
            <w:r>
              <w:rPr>
                <w:rFonts w:hint="eastAsia" w:asciiTheme="minorEastAsia" w:hAnsiTheme="minorEastAsia" w:eastAsiaTheme="minorEastAsia" w:cstheme="minorEastAsia"/>
                <w:b w:val="0"/>
                <w:bCs/>
                <w:sz w:val="24"/>
                <w:lang w:val="en-US" w:eastAsia="zh-CN"/>
              </w:rPr>
              <w:t>574.6</w:t>
            </w:r>
          </w:p>
        </w:tc>
      </w:tr>
    </w:tbl>
    <w:p>
      <w:pPr>
        <w:pStyle w:val="6"/>
        <w:ind w:right="0" w:firstLine="482" w:firstLineChars="200"/>
        <w:rPr>
          <w:rFonts w:cs="宋体"/>
          <w:bCs/>
          <w:sz w:val="24"/>
          <w:szCs w:val="24"/>
        </w:rPr>
      </w:pPr>
      <w:bookmarkStart w:id="11" w:name="_Toc35393622"/>
      <w:bookmarkStart w:id="12" w:name="_Toc28359003"/>
      <w:bookmarkStart w:id="13" w:name="_Toc28359080"/>
      <w:bookmarkStart w:id="14" w:name="_Toc35393791"/>
      <w:r>
        <w:rPr>
          <w:rFonts w:hint="eastAsia" w:cs="宋体"/>
          <w:bCs/>
          <w:sz w:val="24"/>
          <w:szCs w:val="24"/>
        </w:rPr>
        <w:t>二、投标人的资格要求</w:t>
      </w:r>
      <w:bookmarkEnd w:id="11"/>
      <w:bookmarkEnd w:id="12"/>
      <w:bookmarkEnd w:id="13"/>
      <w:bookmarkEnd w:id="14"/>
    </w:p>
    <w:p>
      <w:pPr>
        <w:spacing w:line="360" w:lineRule="auto"/>
        <w:ind w:firstLine="480" w:firstLineChars="200"/>
        <w:rPr>
          <w:rFonts w:ascii="宋体" w:hAnsi="宋体" w:cs="宋体"/>
          <w:sz w:val="24"/>
        </w:rPr>
      </w:pPr>
      <w:r>
        <w:rPr>
          <w:rFonts w:hint="eastAsia" w:ascii="宋体" w:hAnsi="宋体" w:cs="宋体"/>
          <w:sz w:val="24"/>
        </w:rPr>
        <w:t>（一）满足《中华人民共和国政府采购法》第二十二条规定</w:t>
      </w:r>
      <w:bookmarkStart w:id="15" w:name="_Toc28359004"/>
      <w:bookmarkStart w:id="16" w:name="_Toc28359081"/>
      <w:bookmarkStart w:id="17" w:name="_Toc35393623"/>
      <w:bookmarkStart w:id="18" w:name="_Toc35393792"/>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（二）信用记录：未被列入“信用中国”失信被执行人或重大税收违法案件当事人名单；未处于“中国政府采购网”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eastAsia="zh-CN"/>
        </w:rPr>
        <w:t>三</w:t>
      </w:r>
      <w:r>
        <w:rPr>
          <w:rFonts w:hint="eastAsia" w:ascii="宋体" w:hAnsi="宋体" w:cs="宋体"/>
          <w:sz w:val="24"/>
        </w:rPr>
        <w:t>）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6"/>
        <w:ind w:right="0" w:firstLine="482" w:firstLineChars="200"/>
        <w:rPr>
          <w:rFonts w:cs="宋体"/>
          <w:bCs/>
          <w:sz w:val="24"/>
          <w:szCs w:val="24"/>
        </w:rPr>
      </w:pPr>
      <w:r>
        <w:rPr>
          <w:rFonts w:hint="eastAsia" w:cs="宋体"/>
          <w:bCs/>
          <w:sz w:val="24"/>
          <w:szCs w:val="24"/>
        </w:rPr>
        <w:t>三、获取招标文件</w:t>
      </w:r>
      <w:bookmarkEnd w:id="15"/>
      <w:bookmarkEnd w:id="16"/>
      <w:bookmarkEnd w:id="17"/>
      <w:bookmarkEnd w:id="18"/>
    </w:p>
    <w:p>
      <w:pPr>
        <w:spacing w:line="360" w:lineRule="auto"/>
        <w:ind w:firstLine="480" w:firstLineChars="200"/>
        <w:rPr>
          <w:rFonts w:ascii="宋体" w:hAnsi="宋体" w:cs="宋体"/>
          <w:sz w:val="24"/>
        </w:rPr>
      </w:pPr>
      <w:r>
        <w:rPr>
          <w:rFonts w:hint="eastAsia" w:ascii="宋体" w:hAnsi="宋体" w:cs="宋体"/>
          <w:sz w:val="24"/>
        </w:rPr>
        <w:t>（一）时间：</w:t>
      </w:r>
      <w:r>
        <w:rPr>
          <w:rFonts w:hint="eastAsia" w:ascii="宋体" w:hAnsi="宋体" w:cs="宋体"/>
          <w:sz w:val="24"/>
          <w:u w:val="single"/>
          <w:lang w:val="en-US" w:eastAsia="zh-CN"/>
        </w:rPr>
        <w:t>2021</w:t>
      </w:r>
      <w:r>
        <w:rPr>
          <w:rFonts w:hint="eastAsia" w:ascii="宋体" w:hAnsi="宋体" w:cs="宋体"/>
          <w:sz w:val="24"/>
          <w:u w:val="single"/>
        </w:rPr>
        <w:t>年</w:t>
      </w:r>
      <w:r>
        <w:rPr>
          <w:rFonts w:hint="eastAsia" w:ascii="宋体" w:hAnsi="宋体" w:cs="宋体"/>
          <w:sz w:val="24"/>
          <w:u w:val="single"/>
          <w:lang w:val="en-US" w:eastAsia="zh-CN"/>
        </w:rPr>
        <w:t>11</w:t>
      </w:r>
      <w:r>
        <w:rPr>
          <w:rFonts w:hint="eastAsia" w:ascii="宋体" w:hAnsi="宋体" w:cs="宋体"/>
          <w:sz w:val="24"/>
          <w:u w:val="single"/>
        </w:rPr>
        <w:t>月</w:t>
      </w:r>
      <w:r>
        <w:rPr>
          <w:rFonts w:hint="eastAsia" w:ascii="宋体" w:hAnsi="宋体" w:cs="宋体"/>
          <w:sz w:val="24"/>
          <w:u w:val="single"/>
          <w:lang w:val="en-US" w:eastAsia="zh-CN"/>
        </w:rPr>
        <w:t>25</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lang w:val="en-US" w:eastAsia="zh-CN"/>
        </w:rPr>
        <w:t>2021</w:t>
      </w:r>
      <w:r>
        <w:rPr>
          <w:rFonts w:hint="eastAsia" w:ascii="宋体" w:hAnsi="宋体" w:cs="宋体"/>
          <w:sz w:val="24"/>
          <w:u w:val="single"/>
        </w:rPr>
        <w:t>年</w:t>
      </w:r>
      <w:r>
        <w:rPr>
          <w:rFonts w:hint="eastAsia" w:ascii="宋体" w:hAnsi="宋体" w:cs="宋体"/>
          <w:sz w:val="24"/>
          <w:u w:val="single"/>
          <w:lang w:val="en-US" w:eastAsia="zh-CN"/>
        </w:rPr>
        <w:t>12</w:t>
      </w:r>
      <w:r>
        <w:rPr>
          <w:rFonts w:hint="eastAsia" w:ascii="宋体" w:hAnsi="宋体" w:cs="宋体"/>
          <w:sz w:val="24"/>
          <w:u w:val="single"/>
        </w:rPr>
        <w:t>月</w:t>
      </w:r>
      <w:r>
        <w:rPr>
          <w:rFonts w:hint="eastAsia" w:ascii="宋体" w:hAnsi="宋体" w:cs="宋体"/>
          <w:sz w:val="24"/>
          <w:u w:val="single"/>
          <w:lang w:val="en-US" w:eastAsia="zh-CN"/>
        </w:rPr>
        <w:t>5</w:t>
      </w:r>
      <w:r>
        <w:rPr>
          <w:rFonts w:hint="eastAsia" w:ascii="宋体" w:hAnsi="宋体" w:cs="宋体"/>
          <w:sz w:val="24"/>
          <w:u w:val="single"/>
        </w:rPr>
        <w:t>日</w:t>
      </w:r>
    </w:p>
    <w:p>
      <w:pPr>
        <w:pStyle w:val="26"/>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（二）方式：浙江政府采购网</w:t>
      </w:r>
      <w:r>
        <w:rPr>
          <w:rFonts w:hint="eastAsia" w:ascii="宋体" w:hAnsi="宋体" w:eastAsia="宋体" w:cs="宋体"/>
          <w:kern w:val="2"/>
          <w:sz w:val="24"/>
          <w:szCs w:val="24"/>
        </w:rPr>
        <w:t>（https://zfcg.czt.zj.gov.cn）</w:t>
      </w:r>
      <w:r>
        <w:rPr>
          <w:rFonts w:hint="eastAsia" w:ascii="宋体" w:hAnsi="宋体" w:eastAsia="宋体" w:cs="宋体"/>
          <w:sz w:val="24"/>
          <w:szCs w:val="24"/>
        </w:rPr>
        <w:t>免费下载</w:t>
      </w:r>
    </w:p>
    <w:p>
      <w:pPr>
        <w:pStyle w:val="6"/>
        <w:ind w:right="0" w:firstLine="482" w:firstLineChars="200"/>
        <w:rPr>
          <w:rFonts w:cs="宋体"/>
          <w:bCs/>
          <w:sz w:val="24"/>
          <w:szCs w:val="24"/>
        </w:rPr>
      </w:pPr>
      <w:bookmarkStart w:id="19" w:name="_Toc28359005"/>
      <w:bookmarkStart w:id="20" w:name="_Toc35393793"/>
      <w:bookmarkStart w:id="21" w:name="_Toc35393624"/>
      <w:bookmarkStart w:id="22" w:name="_Toc28359082"/>
      <w:r>
        <w:rPr>
          <w:rFonts w:hint="eastAsia" w:cs="宋体"/>
          <w:bCs/>
          <w:sz w:val="24"/>
          <w:szCs w:val="24"/>
        </w:rPr>
        <w:t>四、提交投标文件</w:t>
      </w:r>
      <w:bookmarkEnd w:id="19"/>
      <w:bookmarkEnd w:id="20"/>
      <w:bookmarkEnd w:id="21"/>
      <w:bookmarkEnd w:id="22"/>
    </w:p>
    <w:p>
      <w:pPr>
        <w:spacing w:line="360" w:lineRule="auto"/>
        <w:ind w:firstLine="480" w:firstLineChars="200"/>
        <w:rPr>
          <w:rFonts w:ascii="宋体" w:hAnsi="宋体" w:cs="宋体"/>
          <w:iCs/>
          <w:sz w:val="24"/>
          <w:u w:val="single"/>
        </w:rPr>
      </w:pPr>
      <w:bookmarkStart w:id="23" w:name="_Toc35393625"/>
      <w:bookmarkStart w:id="24" w:name="_Toc28359007"/>
      <w:bookmarkStart w:id="25" w:name="_Toc35393794"/>
      <w:bookmarkStart w:id="26" w:name="_Toc28359084"/>
      <w:r>
        <w:rPr>
          <w:rFonts w:hint="eastAsia" w:ascii="宋体" w:hAnsi="宋体" w:cs="宋体"/>
          <w:sz w:val="24"/>
        </w:rPr>
        <w:t>（一）截止时间（开标时间）：</w:t>
      </w:r>
      <w:r>
        <w:rPr>
          <w:rFonts w:hint="eastAsia" w:ascii="宋体" w:hAnsi="宋体" w:cs="宋体"/>
          <w:bCs/>
          <w:sz w:val="24"/>
          <w:u w:val="single"/>
          <w:lang w:val="en-US" w:eastAsia="zh-CN"/>
        </w:rPr>
        <w:t>2021</w:t>
      </w:r>
      <w:r>
        <w:rPr>
          <w:rFonts w:hint="eastAsia" w:ascii="宋体" w:hAnsi="宋体" w:cs="宋体"/>
          <w:bCs/>
          <w:sz w:val="24"/>
          <w:u w:val="single"/>
        </w:rPr>
        <w:t>年</w:t>
      </w:r>
      <w:r>
        <w:rPr>
          <w:rFonts w:hint="eastAsia" w:ascii="宋体" w:hAnsi="宋体" w:cs="宋体"/>
          <w:sz w:val="24"/>
          <w:u w:val="single"/>
          <w:lang w:val="en-US" w:eastAsia="zh-CN"/>
        </w:rPr>
        <w:t>12</w:t>
      </w:r>
      <w:r>
        <w:rPr>
          <w:rFonts w:hint="eastAsia" w:ascii="宋体" w:hAnsi="宋体" w:cs="宋体"/>
          <w:bCs/>
          <w:sz w:val="24"/>
          <w:u w:val="single"/>
        </w:rPr>
        <w:t>月</w:t>
      </w:r>
      <w:r>
        <w:rPr>
          <w:rFonts w:hint="eastAsia" w:ascii="宋体" w:hAnsi="宋体" w:cs="宋体"/>
          <w:sz w:val="24"/>
          <w:u w:val="single"/>
          <w:lang w:val="en-US" w:eastAsia="zh-CN"/>
        </w:rPr>
        <w:t>17</w:t>
      </w:r>
      <w:r>
        <w:rPr>
          <w:rFonts w:hint="eastAsia" w:ascii="宋体" w:hAnsi="宋体" w:cs="宋体"/>
          <w:bCs/>
          <w:sz w:val="24"/>
          <w:u w:val="single"/>
        </w:rPr>
        <w:t>日</w:t>
      </w:r>
      <w:r>
        <w:rPr>
          <w:rFonts w:hint="eastAsia" w:ascii="宋体" w:hAnsi="宋体" w:cs="宋体"/>
          <w:bCs/>
          <w:sz w:val="24"/>
          <w:u w:val="single"/>
          <w:lang w:val="en-US" w:eastAsia="zh-CN"/>
        </w:rPr>
        <w:t>9</w:t>
      </w:r>
      <w:r>
        <w:rPr>
          <w:rFonts w:hint="eastAsia" w:ascii="宋体" w:hAnsi="宋体" w:cs="宋体"/>
          <w:bCs/>
          <w:sz w:val="24"/>
          <w:u w:val="single"/>
        </w:rPr>
        <w:t>点整</w:t>
      </w:r>
      <w:r>
        <w:rPr>
          <w:rFonts w:hint="eastAsia" w:ascii="宋体" w:hAnsi="宋体" w:cs="宋体"/>
          <w:bCs/>
          <w:sz w:val="24"/>
        </w:rPr>
        <w:t>（北京时间）</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（二）投标网址：浙江政府采购云平台（http://www.zcygov.cn）</w:t>
      </w:r>
    </w:p>
    <w:bookmarkEnd w:id="23"/>
    <w:bookmarkEnd w:id="24"/>
    <w:bookmarkEnd w:id="25"/>
    <w:bookmarkEnd w:id="26"/>
    <w:p>
      <w:pPr>
        <w:pStyle w:val="19"/>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19"/>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），台州市公共资源交易网（https://tzztb.zjtz.gov.cn）。</w:t>
      </w:r>
    </w:p>
    <w:p>
      <w:pPr>
        <w:pStyle w:val="19"/>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6"/>
        <w:ind w:right="0" w:firstLine="482" w:firstLineChars="200"/>
        <w:rPr>
          <w:rFonts w:cs="宋体"/>
          <w:bCs/>
          <w:sz w:val="24"/>
          <w:szCs w:val="24"/>
        </w:rPr>
      </w:pPr>
      <w:bookmarkStart w:id="27" w:name="_Toc35393626"/>
      <w:bookmarkStart w:id="28" w:name="_Toc35393795"/>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6"/>
        <w:ind w:right="0" w:firstLine="482" w:firstLineChars="200"/>
        <w:rPr>
          <w:rFonts w:cs="宋体"/>
          <w:bCs/>
          <w:sz w:val="24"/>
          <w:szCs w:val="24"/>
        </w:rPr>
      </w:pPr>
      <w:bookmarkStart w:id="29" w:name="_Toc28359008"/>
      <w:bookmarkStart w:id="30" w:name="_Toc35393627"/>
      <w:bookmarkStart w:id="31" w:name="_Toc35393796"/>
      <w:bookmarkStart w:id="32" w:name="_Toc28359085"/>
      <w:r>
        <w:rPr>
          <w:rFonts w:hint="eastAsia" w:cs="宋体"/>
          <w:bCs/>
          <w:sz w:val="24"/>
          <w:szCs w:val="24"/>
        </w:rPr>
        <w:t>七、联系</w:t>
      </w:r>
      <w:bookmarkEnd w:id="29"/>
      <w:bookmarkEnd w:id="30"/>
      <w:bookmarkEnd w:id="31"/>
      <w:bookmarkEnd w:id="32"/>
      <w:r>
        <w:rPr>
          <w:rFonts w:hint="eastAsia" w:cs="宋体"/>
          <w:bCs/>
          <w:sz w:val="24"/>
          <w:szCs w:val="24"/>
        </w:rPr>
        <w:t>方式</w:t>
      </w:r>
    </w:p>
    <w:p>
      <w:pPr>
        <w:snapToGrid w:val="0"/>
        <w:spacing w:line="360" w:lineRule="auto"/>
        <w:ind w:firstLine="482" w:firstLineChars="200"/>
        <w:rPr>
          <w:rFonts w:ascii="宋体" w:hAnsi="宋体" w:cs="宋体"/>
          <w:b/>
          <w:bCs/>
          <w:sz w:val="24"/>
        </w:rPr>
      </w:pPr>
      <w:bookmarkStart w:id="33" w:name="_Toc28359087"/>
      <w:bookmarkStart w:id="34" w:name="_Toc28359010"/>
      <w:r>
        <w:rPr>
          <w:rFonts w:hint="eastAsia" w:ascii="宋体" w:hAnsi="宋体" w:cs="宋体"/>
          <w:b/>
          <w:bCs/>
          <w:sz w:val="24"/>
        </w:rPr>
        <w:t xml:space="preserve">（一）采购人（受理招标文件相关质疑及答复） </w:t>
      </w:r>
    </w:p>
    <w:p>
      <w:pPr>
        <w:spacing w:line="360" w:lineRule="auto"/>
        <w:ind w:firstLine="480" w:firstLineChars="200"/>
        <w:jc w:val="left"/>
        <w:rPr>
          <w:rFonts w:ascii="宋体" w:hAnsi="宋体" w:cs="宋体"/>
          <w:sz w:val="24"/>
        </w:rPr>
      </w:pPr>
      <w:r>
        <w:rPr>
          <w:rFonts w:hint="eastAsia" w:ascii="宋体" w:hAnsi="宋体" w:cs="宋体"/>
          <w:sz w:val="24"/>
        </w:rPr>
        <w:t>名 称：</w:t>
      </w:r>
      <w:r>
        <w:rPr>
          <w:rFonts w:hint="eastAsia" w:ascii="宋体" w:hAnsi="宋体" w:cs="宋体"/>
          <w:sz w:val="24"/>
          <w:u w:val="single"/>
        </w:rPr>
        <w:t xml:space="preserve">　 </w:t>
      </w:r>
      <w:r>
        <w:rPr>
          <w:rFonts w:hint="eastAsia" w:ascii="宋体" w:hAnsi="宋体" w:eastAsia="宋体" w:cs="宋体"/>
          <w:sz w:val="24"/>
          <w:u w:val="single"/>
        </w:rPr>
        <w:t xml:space="preserve">台州市公安局     </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地址：</w:t>
      </w:r>
      <w:r>
        <w:rPr>
          <w:rFonts w:hint="eastAsia" w:ascii="宋体" w:hAnsi="宋体" w:cs="宋体"/>
          <w:sz w:val="24"/>
          <w:u w:val="single"/>
        </w:rPr>
        <w:t>　</w:t>
      </w:r>
      <w:r>
        <w:rPr>
          <w:rFonts w:hint="eastAsia" w:ascii="宋体" w:hAnsi="宋体" w:eastAsia="宋体" w:cs="宋体"/>
          <w:sz w:val="24"/>
          <w:u w:val="single"/>
        </w:rPr>
        <w:t xml:space="preserve"> 台州市椒江区康平路2号   </w:t>
      </w:r>
      <w:r>
        <w:rPr>
          <w:rFonts w:hint="eastAsia" w:ascii="宋体" w:hAnsi="宋体" w:cs="宋体"/>
          <w:sz w:val="24"/>
          <w:u w:val="single"/>
        </w:rPr>
        <w:t>　</w:t>
      </w:r>
    </w:p>
    <w:p>
      <w:pPr>
        <w:spacing w:line="360" w:lineRule="auto"/>
        <w:ind w:firstLine="480" w:firstLineChars="200"/>
        <w:jc w:val="left"/>
        <w:rPr>
          <w:rFonts w:ascii="宋体" w:hAnsi="宋体" w:cs="宋体"/>
          <w:sz w:val="24"/>
          <w:u w:val="single"/>
        </w:rPr>
      </w:pPr>
      <w:r>
        <w:rPr>
          <w:rFonts w:hint="eastAsia" w:ascii="宋体" w:hAnsi="宋体" w:cs="宋体"/>
          <w:sz w:val="24"/>
        </w:rPr>
        <w:t>联系人：</w:t>
      </w:r>
      <w:r>
        <w:rPr>
          <w:rFonts w:hint="eastAsia" w:ascii="宋体" w:hAnsi="宋体" w:cs="宋体"/>
          <w:color w:val="auto"/>
          <w:sz w:val="24"/>
          <w:u w:val="single"/>
        </w:rPr>
        <w:t>　</w:t>
      </w:r>
      <w:r>
        <w:rPr>
          <w:rFonts w:hint="eastAsia" w:ascii="宋体" w:hAnsi="宋体" w:eastAsia="宋体" w:cs="宋体"/>
          <w:color w:val="auto"/>
          <w:sz w:val="24"/>
          <w:u w:val="single"/>
        </w:rPr>
        <w:t>王</w:t>
      </w:r>
      <w:r>
        <w:rPr>
          <w:rFonts w:hint="eastAsia" w:ascii="宋体" w:hAnsi="宋体" w:cs="宋体"/>
          <w:color w:val="auto"/>
          <w:sz w:val="24"/>
          <w:u w:val="single"/>
          <w:lang w:eastAsia="zh-CN"/>
        </w:rPr>
        <w:t>先生</w:t>
      </w:r>
      <w:r>
        <w:rPr>
          <w:rFonts w:hint="eastAsia" w:ascii="宋体" w:hAnsi="宋体" w:eastAsia="宋体" w:cs="宋体"/>
          <w:color w:val="auto"/>
          <w:sz w:val="24"/>
          <w:u w:val="single"/>
        </w:rPr>
        <w:t>　</w:t>
      </w:r>
      <w:r>
        <w:rPr>
          <w:rFonts w:hint="eastAsia" w:ascii="宋体" w:hAnsi="宋体" w:cs="宋体"/>
          <w:color w:val="auto"/>
          <w:sz w:val="24"/>
          <w:u w:val="single"/>
        </w:rPr>
        <w:t>　</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bookmarkStart w:id="35" w:name="_Toc28359009"/>
      <w:bookmarkStart w:id="36" w:name="_Toc28359086"/>
    </w:p>
    <w:p>
      <w:pPr>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hAnsi="宋体" w:eastAsia="宋体" w:cs="宋体"/>
          <w:sz w:val="24"/>
          <w:u w:val="single"/>
        </w:rPr>
        <w:t>0576-88212727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w:t>
      </w:r>
    </w:p>
    <w:bookmarkEnd w:id="35"/>
    <w:bookmarkEnd w:id="36"/>
    <w:p>
      <w:pPr>
        <w:spacing w:line="360" w:lineRule="auto"/>
        <w:ind w:firstLine="480" w:firstLineChars="200"/>
        <w:jc w:val="left"/>
        <w:rPr>
          <w:rFonts w:ascii="宋体" w:hAnsi="宋体" w:cs="宋体"/>
          <w:sz w:val="24"/>
        </w:rPr>
      </w:pPr>
      <w:r>
        <w:rPr>
          <w:rFonts w:hint="eastAsia" w:ascii="宋体" w:hAnsi="宋体" w:cs="宋体"/>
          <w:sz w:val="24"/>
        </w:rPr>
        <w:t>（二）</w:t>
      </w:r>
      <w:r>
        <w:rPr>
          <w:rFonts w:hint="eastAsia" w:ascii="宋体" w:hAnsi="宋体" w:cs="宋体"/>
          <w:b/>
          <w:bCs/>
          <w:sz w:val="24"/>
        </w:rPr>
        <w:t>采购组织机构</w:t>
      </w:r>
    </w:p>
    <w:p>
      <w:pPr>
        <w:spacing w:line="360" w:lineRule="auto"/>
        <w:ind w:firstLine="480" w:firstLineChars="200"/>
        <w:jc w:val="left"/>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w:t>
      </w:r>
      <w:r>
        <w:rPr>
          <w:rFonts w:hint="eastAsia" w:ascii="宋体" w:hAnsi="宋体" w:cs="宋体"/>
          <w:sz w:val="24"/>
          <w:u w:val="single"/>
          <w:lang w:eastAsia="zh-CN"/>
        </w:rPr>
        <w:t>台州市政府采购中心</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u w:val="single"/>
          <w:lang w:eastAsia="zh-CN"/>
        </w:rPr>
        <w:t>台州市椒江区市府大道</w:t>
      </w:r>
      <w:r>
        <w:rPr>
          <w:rFonts w:hint="eastAsia" w:ascii="宋体" w:hAnsi="宋体" w:cs="宋体"/>
          <w:sz w:val="24"/>
          <w:u w:val="single"/>
          <w:lang w:val="en-US" w:eastAsia="zh-CN"/>
        </w:rPr>
        <w:t>777号</w:t>
      </w:r>
      <w:r>
        <w:rPr>
          <w:rFonts w:hint="eastAsia" w:ascii="宋体" w:hAnsi="宋体" w:cs="宋体"/>
          <w:sz w:val="24"/>
          <w:u w:val="single"/>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项目联系人：</w:t>
      </w:r>
      <w:r>
        <w:rPr>
          <w:rFonts w:hint="eastAsia" w:ascii="宋体" w:hAnsi="宋体" w:cs="宋体"/>
          <w:sz w:val="24"/>
          <w:u w:val="single"/>
          <w:lang w:eastAsia="zh-CN"/>
        </w:rPr>
        <w:t>谢</w:t>
      </w:r>
      <w:r>
        <w:rPr>
          <w:rFonts w:hint="eastAsia" w:ascii="宋体" w:hAnsi="宋体" w:cs="宋体"/>
          <w:sz w:val="24"/>
          <w:u w:val="single"/>
        </w:rPr>
        <w:t xml:space="preserve">女士　 </w:t>
      </w:r>
      <w:r>
        <w:rPr>
          <w:rFonts w:hint="eastAsia" w:ascii="宋体" w:hAnsi="宋体" w:cs="宋体"/>
          <w:sz w:val="24"/>
          <w:u w:val="single"/>
          <w:lang w:val="en-US" w:eastAsia="zh-CN"/>
        </w:rPr>
        <w:t xml:space="preserve">              </w:t>
      </w:r>
      <w:r>
        <w:rPr>
          <w:rFonts w:hint="eastAsia" w:ascii="宋体" w:hAnsi="宋体" w:cs="宋体"/>
          <w:sz w:val="24"/>
          <w:u w:val="single"/>
        </w:rPr>
        <w:t>　　</w:t>
      </w:r>
      <w:r>
        <w:rPr>
          <w:rFonts w:hint="eastAsia" w:ascii="宋体" w:hAnsi="宋体" w:cs="宋体"/>
          <w:sz w:val="24"/>
          <w:u w:val="single"/>
          <w:lang w:val="en-US" w:eastAsia="zh-CN"/>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 xml:space="preserve">88685062     </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受理联系人：</w:t>
      </w:r>
      <w:r>
        <w:rPr>
          <w:rFonts w:hint="eastAsia" w:ascii="宋体" w:hAnsi="宋体" w:eastAsia="宋体" w:cs="宋体"/>
          <w:sz w:val="24"/>
          <w:szCs w:val="24"/>
          <w:u w:val="single"/>
        </w:rPr>
        <w:t>候女士</w:t>
      </w:r>
      <w:r>
        <w:rPr>
          <w:rFonts w:hint="eastAsia" w:ascii="宋体" w:hAnsi="宋体" w:cs="宋体"/>
          <w:sz w:val="24"/>
          <w:u w:val="single"/>
        </w:rPr>
        <w:t>（受理注册、中标结果相关质疑及答复）</w:t>
      </w:r>
    </w:p>
    <w:p>
      <w:pPr>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Theme="minorEastAsia" w:hAnsiTheme="minorEastAsia" w:eastAsiaTheme="minorEastAsia" w:cstheme="minorEastAsia"/>
          <w:sz w:val="24"/>
          <w:szCs w:val="24"/>
          <w:u w:val="single"/>
        </w:rPr>
        <w:t>0576-88685121</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技术人员：</w:t>
      </w:r>
      <w:r>
        <w:rPr>
          <w:rFonts w:hint="eastAsia" w:ascii="宋体" w:hAnsi="宋体" w:cs="宋体"/>
          <w:sz w:val="24"/>
          <w:szCs w:val="24"/>
          <w:u w:val="single"/>
          <w:lang w:eastAsia="zh-CN"/>
        </w:rPr>
        <w:t>徐</w:t>
      </w:r>
      <w:r>
        <w:rPr>
          <w:rFonts w:hint="eastAsia" w:ascii="宋体" w:hAnsi="宋体" w:cs="宋体"/>
          <w:sz w:val="24"/>
          <w:szCs w:val="24"/>
          <w:u w:val="single"/>
        </w:rPr>
        <w:t>女士</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Theme="minorEastAsia" w:hAnsiTheme="minorEastAsia" w:eastAsiaTheme="minorEastAsia" w:cstheme="minorEastAsia"/>
          <w:sz w:val="24"/>
          <w:szCs w:val="24"/>
          <w:u w:val="single"/>
        </w:rPr>
        <w:t>0576-886851</w:t>
      </w:r>
      <w:r>
        <w:rPr>
          <w:rFonts w:hint="eastAsia" w:asciiTheme="minorEastAsia" w:hAnsiTheme="minorEastAsia" w:eastAsiaTheme="minorEastAsia" w:cstheme="minorEastAsia"/>
          <w:sz w:val="24"/>
          <w:szCs w:val="24"/>
          <w:u w:val="single"/>
          <w:lang w:val="en-US" w:eastAsia="zh-CN"/>
        </w:rPr>
        <w:t>61</w:t>
      </w:r>
      <w:r>
        <w:rPr>
          <w:rFonts w:hint="eastAsia" w:asciiTheme="minorEastAsia" w:hAnsiTheme="minorEastAsia" w:eastAsiaTheme="minorEastAsia" w:cstheme="minorEastAsia"/>
          <w:sz w:val="24"/>
          <w:szCs w:val="24"/>
          <w:u w:val="single"/>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lang w:eastAsia="zh-CN"/>
        </w:rPr>
        <w:t>台州市政府采购监管处</w:t>
      </w:r>
      <w:r>
        <w:rPr>
          <w:rFonts w:hint="eastAsia" w:ascii="宋体" w:hAnsi="宋体" w:cs="宋体"/>
          <w:sz w:val="24"/>
          <w:u w:val="single"/>
          <w:lang w:val="en-US" w:eastAsia="zh-CN"/>
        </w:rPr>
        <w:t xml:space="preserve">           </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地址：</w:t>
      </w:r>
      <w:r>
        <w:rPr>
          <w:rFonts w:hint="eastAsia" w:ascii="宋体" w:hAnsi="宋体" w:cs="宋体"/>
          <w:sz w:val="24"/>
          <w:u w:val="single"/>
          <w:lang w:eastAsia="zh-CN"/>
        </w:rPr>
        <w:t>台州市财政局</w:t>
      </w:r>
      <w:r>
        <w:rPr>
          <w:rFonts w:hint="eastAsia" w:ascii="宋体" w:hAnsi="宋体" w:cs="宋体"/>
          <w:sz w:val="24"/>
          <w:u w:val="single"/>
          <w:lang w:val="en-US" w:eastAsia="zh-CN"/>
        </w:rPr>
        <w:t xml:space="preserve">                    </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联系人：</w:t>
      </w:r>
      <w:r>
        <w:rPr>
          <w:rFonts w:hint="eastAsia" w:ascii="宋体" w:hAnsi="宋体" w:cs="宋体"/>
          <w:sz w:val="24"/>
          <w:u w:val="single"/>
          <w:lang w:eastAsia="zh-CN"/>
        </w:rPr>
        <w:t>陈</w:t>
      </w:r>
      <w:r>
        <w:rPr>
          <w:rFonts w:hint="eastAsia" w:ascii="宋体" w:hAnsi="宋体" w:cs="宋体"/>
          <w:sz w:val="24"/>
          <w:u w:val="single"/>
        </w:rPr>
        <w:t>女士</w:t>
      </w:r>
      <w:r>
        <w:rPr>
          <w:rFonts w:hint="eastAsia" w:ascii="宋体" w:hAnsi="宋体" w:cs="宋体"/>
          <w:sz w:val="24"/>
          <w:u w:val="single"/>
          <w:lang w:val="en-US" w:eastAsia="zh-CN"/>
        </w:rPr>
        <w:t xml:space="preserve">                        </w:t>
      </w:r>
      <w:r>
        <w:rPr>
          <w:rFonts w:hint="eastAsia" w:ascii="宋体" w:hAnsi="宋体" w:cs="宋体"/>
          <w:sz w:val="24"/>
          <w:u w:val="single"/>
        </w:rPr>
        <w:t>　</w:t>
      </w:r>
    </w:p>
    <w:p>
      <w:pPr>
        <w:spacing w:line="360" w:lineRule="auto"/>
        <w:ind w:firstLine="480" w:firstLineChars="200"/>
        <w:jc w:val="left"/>
        <w:rPr>
          <w:rFonts w:hint="eastAsia"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 xml:space="preserve">88206705                </w:t>
      </w:r>
      <w:r>
        <w:rPr>
          <w:rFonts w:hint="eastAsia" w:ascii="宋体" w:hAnsi="宋体" w:cs="宋体"/>
          <w:sz w:val="24"/>
          <w:u w:val="single"/>
        </w:rPr>
        <w:t xml:space="preserve"> </w:t>
      </w:r>
    </w:p>
    <w:p>
      <w:pPr>
        <w:spacing w:line="360" w:lineRule="auto"/>
        <w:ind w:firstLine="482" w:firstLineChars="200"/>
        <w:jc w:val="left"/>
        <w:rPr>
          <w:rFonts w:ascii="宋体" w:hAnsi="宋体" w:cs="宋体"/>
          <w:b/>
          <w:sz w:val="24"/>
        </w:rPr>
      </w:pPr>
      <w:r>
        <w:rPr>
          <w:rFonts w:hint="eastAsia" w:ascii="宋体" w:hAnsi="宋体" w:cs="宋体"/>
          <w:b/>
          <w:sz w:val="24"/>
        </w:rPr>
        <w:t>（四）政采云平台</w:t>
      </w:r>
    </w:p>
    <w:p>
      <w:pPr>
        <w:spacing w:line="360" w:lineRule="auto"/>
        <w:ind w:firstLine="480" w:firstLineChars="200"/>
        <w:jc w:val="left"/>
        <w:rPr>
          <w:rFonts w:ascii="宋体" w:hAnsi="宋体" w:cs="宋体"/>
          <w:sz w:val="24"/>
        </w:rPr>
      </w:pPr>
      <w:r>
        <w:rPr>
          <w:rFonts w:hint="eastAsia" w:ascii="宋体" w:hAnsi="宋体" w:cs="宋体"/>
          <w:sz w:val="24"/>
        </w:rPr>
        <w:t>联系电话：</w:t>
      </w:r>
      <w:r>
        <w:rPr>
          <w:rFonts w:hint="eastAsia" w:ascii="宋体" w:hAnsi="宋体" w:cs="宋体"/>
          <w:sz w:val="24"/>
          <w:u w:val="single"/>
        </w:rPr>
        <w:t xml:space="preserve">4008817190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sz w:val="24"/>
        </w:rPr>
      </w:pPr>
      <w:r>
        <w:rPr>
          <w:rFonts w:hint="eastAsia" w:ascii="宋体" w:hAnsi="宋体" w:cs="宋体"/>
          <w:sz w:val="24"/>
          <w:shd w:val="clear" w:color="auto" w:fill="FFFFFF"/>
          <w:lang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widowControl/>
        <w:spacing w:line="360" w:lineRule="auto"/>
        <w:jc w:val="righ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2021</w:t>
      </w:r>
      <w:r>
        <w:rPr>
          <w:rFonts w:hint="eastAsia" w:ascii="宋体" w:hAnsi="宋体" w:cs="宋体"/>
          <w:kern w:val="0"/>
          <w:sz w:val="24"/>
        </w:rPr>
        <w:t>年</w:t>
      </w:r>
      <w:r>
        <w:rPr>
          <w:rFonts w:hint="eastAsia" w:ascii="宋体" w:hAnsi="宋体" w:cs="宋体"/>
          <w:sz w:val="24"/>
          <w:lang w:val="en-US" w:eastAsia="zh-CN"/>
        </w:rPr>
        <w:t>11</w:t>
      </w:r>
      <w:r>
        <w:rPr>
          <w:rFonts w:hint="eastAsia" w:ascii="宋体" w:hAnsi="宋体" w:cs="宋体"/>
          <w:kern w:val="0"/>
          <w:sz w:val="24"/>
        </w:rPr>
        <w:t>月</w:t>
      </w:r>
      <w:r>
        <w:rPr>
          <w:rFonts w:hint="eastAsia" w:ascii="宋体" w:hAnsi="宋体" w:cs="宋体"/>
          <w:kern w:val="0"/>
          <w:sz w:val="24"/>
          <w:lang w:val="en-US" w:eastAsia="zh-CN"/>
        </w:rPr>
        <w:t>25</w:t>
      </w:r>
      <w:r>
        <w:rPr>
          <w:rFonts w:hint="eastAsia" w:ascii="宋体" w:hAnsi="宋体" w:cs="宋体"/>
          <w:kern w:val="0"/>
          <w:sz w:val="24"/>
        </w:rPr>
        <w:t>日</w:t>
      </w:r>
    </w:p>
    <w:p>
      <w:pPr>
        <w:pStyle w:val="19"/>
      </w:pPr>
    </w:p>
    <w:p>
      <w:pPr>
        <w:pStyle w:val="19"/>
      </w:pPr>
    </w:p>
    <w:bookmarkEnd w:id="33"/>
    <w:bookmarkEnd w:id="34"/>
    <w:p>
      <w:pPr>
        <w:numPr>
          <w:ilvl w:val="0"/>
          <w:numId w:val="4"/>
        </w:numPr>
        <w:spacing w:line="360" w:lineRule="auto"/>
        <w:jc w:val="center"/>
        <w:rPr>
          <w:rFonts w:asciiTheme="minorEastAsia" w:hAnsiTheme="minorEastAsia" w:eastAsiaTheme="minorEastAsia"/>
          <w:b/>
          <w:sz w:val="36"/>
          <w:szCs w:val="36"/>
        </w:rPr>
      </w:pPr>
      <w:bookmarkStart w:id="37" w:name="_Toc25017_WPSOffice_Level1"/>
      <w:r>
        <w:rPr>
          <w:rFonts w:hint="eastAsia" w:asciiTheme="minorEastAsia" w:hAnsiTheme="minorEastAsia" w:eastAsiaTheme="minorEastAsia"/>
          <w:b/>
          <w:sz w:val="36"/>
          <w:szCs w:val="36"/>
        </w:rPr>
        <w:t>投标人须知</w:t>
      </w:r>
      <w:bookmarkEnd w:id="37"/>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0"/>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宋体" w:hAnsi="宋体" w:cs="宋体"/>
                <w:szCs w:val="21"/>
              </w:rPr>
            </w:pPr>
            <w:r>
              <w:rPr>
                <w:rFonts w:hint="eastAsia"/>
                <w:b/>
                <w:bCs/>
              </w:rPr>
              <w:t>序号</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宋体" w:hAnsi="宋体" w:cs="宋体"/>
                <w:szCs w:val="21"/>
              </w:rPr>
            </w:pPr>
            <w:r>
              <w:rPr>
                <w:rFonts w:hint="eastAsia"/>
                <w:b/>
                <w:bCs/>
              </w:rPr>
              <w:t>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宋体" w:hAnsi="宋体" w:cs="宋体"/>
                <w:szCs w:val="21"/>
              </w:rPr>
            </w:pPr>
            <w:r>
              <w:rPr>
                <w:rFonts w:hint="eastAsia"/>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ascii="宋体" w:hAnsi="宋体" w:cs="宋体"/>
                <w:szCs w:val="21"/>
              </w:rPr>
            </w:pPr>
            <w:r>
              <w:rPr>
                <w:rFonts w:hint="eastAsia" w:ascii="宋体" w:hAnsi="宋体" w:cs="宋体"/>
                <w:szCs w:val="21"/>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ascii="宋体" w:hAnsi="宋体" w:cs="宋体"/>
                <w:szCs w:val="21"/>
              </w:rPr>
            </w:pPr>
            <w:r>
              <w:rPr>
                <w:rFonts w:hint="eastAsia" w:ascii="宋体" w:hAnsi="宋体" w:cs="宋体"/>
                <w:szCs w:val="21"/>
              </w:rPr>
              <w:t>是否允许联合体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textAlignment w:val="auto"/>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ascii="宋体" w:hAnsi="宋体" w:cs="宋体"/>
                <w:szCs w:val="21"/>
              </w:rPr>
            </w:pPr>
            <w:r>
              <w:rPr>
                <w:rFonts w:hint="eastAsia" w:ascii="宋体" w:hAnsi="宋体" w:cs="宋体"/>
                <w:szCs w:val="21"/>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ascii="宋体" w:hAnsi="宋体" w:cs="宋体"/>
                <w:szCs w:val="21"/>
              </w:rPr>
            </w:pPr>
            <w:r>
              <w:rPr>
                <w:rFonts w:hint="eastAsia" w:ascii="宋体" w:hAnsi="宋体" w:cs="宋体"/>
                <w:szCs w:val="21"/>
              </w:rPr>
              <w:t>是否允许分包</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textAlignment w:val="auto"/>
            </w:pPr>
            <w:r>
              <w:rPr>
                <w:rFonts w:hint="eastAsia"/>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ascii="宋体" w:hAnsi="宋体" w:cs="宋体"/>
                <w:szCs w:val="21"/>
              </w:rPr>
            </w:pPr>
            <w:r>
              <w:rPr>
                <w:rFonts w:hint="eastAsia" w:ascii="宋体" w:hAnsi="宋体" w:cs="宋体"/>
                <w:szCs w:val="21"/>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ascii="宋体" w:hAnsi="宋体" w:cs="宋体"/>
                <w:kern w:val="0"/>
                <w:szCs w:val="21"/>
              </w:rPr>
            </w:pPr>
            <w:r>
              <w:rPr>
                <w:rFonts w:hint="eastAsia" w:ascii="宋体" w:hAnsi="宋体" w:cs="宋体"/>
                <w:kern w:val="0"/>
                <w:szCs w:val="21"/>
              </w:rPr>
              <w:t>是否包含政府强制采购节能产品</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textAlignment w:val="auto"/>
            </w:pPr>
            <w:r>
              <w:rPr>
                <w:rFonts w:hint="eastAsia"/>
              </w:rPr>
              <w:t>否，具体清单见招标需求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ascii="宋体" w:hAnsi="宋体" w:cs="宋体"/>
                <w:szCs w:val="21"/>
              </w:rPr>
            </w:pPr>
            <w:r>
              <w:rPr>
                <w:rFonts w:hint="eastAsia" w:ascii="宋体" w:hAnsi="宋体" w:cs="宋体"/>
                <w:szCs w:val="21"/>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ascii="宋体" w:hAnsi="宋体" w:cs="宋体"/>
                <w:kern w:val="0"/>
                <w:szCs w:val="21"/>
              </w:rPr>
            </w:pPr>
            <w:r>
              <w:rPr>
                <w:rFonts w:hint="eastAsia" w:ascii="宋体" w:hAnsi="宋体" w:cs="宋体"/>
                <w:kern w:val="0"/>
                <w:szCs w:val="21"/>
              </w:rPr>
              <w:t>答疑会或</w:t>
            </w:r>
          </w:p>
          <w:p>
            <w:pPr>
              <w:keepNext w:val="0"/>
              <w:keepLines w:val="0"/>
              <w:pageBreakBefore w:val="0"/>
              <w:kinsoku/>
              <w:wordWrap/>
              <w:overflowPunct/>
              <w:topLinePunct w:val="0"/>
              <w:bidi w:val="0"/>
              <w:adjustRightInd/>
              <w:snapToGrid/>
              <w:spacing w:line="300" w:lineRule="auto"/>
              <w:jc w:val="center"/>
              <w:textAlignment w:val="auto"/>
              <w:rPr>
                <w:rFonts w:ascii="宋体" w:hAnsi="宋体" w:cs="宋体"/>
                <w:kern w:val="0"/>
                <w:szCs w:val="21"/>
              </w:rPr>
            </w:pPr>
            <w:r>
              <w:rPr>
                <w:rFonts w:hint="eastAsia" w:ascii="宋体" w:hAnsi="宋体" w:cs="宋体"/>
                <w:szCs w:val="21"/>
              </w:rPr>
              <w:t>现场踏勘</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textAlignment w:val="auto"/>
              <w:rPr>
                <w:rFonts w:ascii="宋体" w:hAnsi="宋体" w:cs="宋体"/>
                <w:kern w:val="0"/>
                <w:szCs w:val="21"/>
              </w:rPr>
            </w:pPr>
            <w:r>
              <w:rPr>
                <w:rFonts w:hint="eastAsia" w:ascii="宋体" w:hAnsi="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ascii="宋体" w:hAnsi="宋体" w:cs="宋体"/>
                <w:szCs w:val="21"/>
              </w:rPr>
            </w:pPr>
            <w:r>
              <w:rPr>
                <w:rFonts w:hint="eastAsia" w:ascii="宋体" w:hAnsi="宋体" w:cs="宋体"/>
                <w:szCs w:val="21"/>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宋体" w:hAnsi="宋体" w:cs="宋体"/>
                <w:kern w:val="0"/>
                <w:szCs w:val="21"/>
              </w:rPr>
            </w:pPr>
            <w:r>
              <w:rPr>
                <w:rFonts w:hint="eastAsia" w:ascii="宋体" w:hAnsi="宋体" w:eastAsia="宋体" w:cs="宋体"/>
              </w:rPr>
              <w:t>投标文件的制作和投标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请投标人在投标前仔细阅读“政府采购项目电子交易操作指南”。</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lang w:val="en-US" w:eastAsia="zh-CN"/>
              </w:rPr>
              <w:t>9:00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ascii="宋体" w:hAnsi="宋体" w:cs="宋体"/>
                <w:kern w:val="0"/>
                <w:szCs w:val="21"/>
              </w:rPr>
            </w:pPr>
            <w:r>
              <w:rPr>
                <w:rFonts w:hint="eastAsia" w:ascii="宋体" w:hAnsi="宋体" w:eastAsia="宋体" w:cs="宋体"/>
              </w:rPr>
              <w:t>3.投标文件解密：投标人应在开标当天北京时间</w:t>
            </w:r>
            <w:r>
              <w:rPr>
                <w:rFonts w:hint="eastAsia"/>
                <w:lang w:val="en-US" w:eastAsia="zh-CN"/>
              </w:rPr>
              <w:t>9:00</w:t>
            </w:r>
            <w:r>
              <w:rPr>
                <w:rFonts w:hint="eastAsia"/>
              </w:rPr>
              <w:t>至</w:t>
            </w:r>
            <w:r>
              <w:rPr>
                <w:rFonts w:hint="eastAsia"/>
                <w:lang w:val="en-US" w:eastAsia="zh-CN"/>
              </w:rPr>
              <w:t>9:30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ascii="宋体" w:hAnsi="宋体" w:cs="宋体"/>
                <w:szCs w:val="21"/>
              </w:rPr>
            </w:pPr>
            <w:r>
              <w:rPr>
                <w:rFonts w:hint="eastAsia" w:ascii="宋体" w:hAnsi="宋体" w:cs="宋体"/>
                <w:szCs w:val="21"/>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宋体" w:hAnsi="宋体" w:cs="宋体"/>
                <w:kern w:val="0"/>
                <w:szCs w:val="21"/>
              </w:rPr>
            </w:pPr>
            <w:r>
              <w:rPr>
                <w:rFonts w:hint="eastAsia" w:ascii="宋体" w:hAnsi="宋体" w:eastAsia="宋体" w:cs="宋体"/>
              </w:rPr>
              <w:t>备份投标文件的递交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1.使用前提：在解密截止时间前，投标人自行在线解密操作失败,又未能及时联系技术人员帮助解密，或者投标人寻求技术人员帮助仍无法完成解密。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2.递交截止时间：开标当天</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50</w:t>
            </w:r>
            <w:r>
              <w:rPr>
                <w:rFonts w:hint="eastAsia" w:ascii="宋体" w:hAnsi="宋体" w:eastAsia="宋体" w:cs="宋体"/>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ascii="宋体" w:hAnsi="宋体" w:cs="宋体"/>
                <w:szCs w:val="21"/>
              </w:rPr>
            </w:pPr>
            <w:r>
              <w:rPr>
                <w:rFonts w:hint="eastAsia" w:ascii="宋体" w:hAnsi="宋体" w:eastAsia="宋体" w:cs="宋体"/>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ascii="宋体" w:hAnsi="宋体" w:cs="宋体"/>
                <w:szCs w:val="21"/>
              </w:rPr>
            </w:pPr>
            <w:r>
              <w:rPr>
                <w:rFonts w:hint="eastAsia" w:ascii="宋体" w:hAnsi="宋体" w:cs="宋体"/>
                <w:szCs w:val="21"/>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9"/>
              <w:keepNext w:val="0"/>
              <w:keepLines w:val="0"/>
              <w:pageBreakBefore w:val="0"/>
              <w:kinsoku/>
              <w:wordWrap/>
              <w:overflowPunct/>
              <w:topLinePunct w:val="0"/>
              <w:bidi w:val="0"/>
              <w:adjustRightInd/>
              <w:snapToGrid/>
              <w:spacing w:line="300" w:lineRule="auto"/>
              <w:ind w:firstLine="0"/>
              <w:jc w:val="center"/>
              <w:textAlignment w:val="auto"/>
              <w:rPr>
                <w:rFonts w:ascii="宋体" w:hAnsi="宋体" w:cs="宋体"/>
                <w:szCs w:val="21"/>
              </w:rPr>
            </w:pPr>
            <w:r>
              <w:rPr>
                <w:rFonts w:hint="eastAsia" w:ascii="宋体" w:hAnsi="宋体" w:cs="宋体"/>
                <w:szCs w:val="21"/>
              </w:rPr>
              <w:t>不见面开标</w:t>
            </w:r>
          </w:p>
          <w:p>
            <w:pPr>
              <w:pStyle w:val="9"/>
              <w:keepNext w:val="0"/>
              <w:keepLines w:val="0"/>
              <w:pageBreakBefore w:val="0"/>
              <w:kinsoku/>
              <w:wordWrap/>
              <w:overflowPunct/>
              <w:topLinePunct w:val="0"/>
              <w:bidi w:val="0"/>
              <w:adjustRightInd/>
              <w:snapToGrid/>
              <w:spacing w:line="300" w:lineRule="auto"/>
              <w:ind w:firstLine="0"/>
              <w:jc w:val="center"/>
              <w:textAlignment w:val="auto"/>
              <w:rPr>
                <w:rFonts w:ascii="宋体" w:hAnsi="宋体" w:cs="宋体"/>
                <w:szCs w:val="21"/>
              </w:rPr>
            </w:pP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8"/>
              <w:keepNext w:val="0"/>
              <w:keepLines w:val="0"/>
              <w:pageBreakBefore w:val="0"/>
              <w:kinsoku/>
              <w:wordWrap/>
              <w:overflowPunct/>
              <w:topLinePunct w:val="0"/>
              <w:bidi w:val="0"/>
              <w:adjustRightInd/>
              <w:snapToGrid/>
              <w:spacing w:before="0" w:beforeAutospacing="0" w:after="0" w:afterAutospacing="0" w:line="300" w:lineRule="auto"/>
              <w:ind w:firstLine="420" w:firstLineChars="200"/>
              <w:jc w:val="both"/>
              <w:textAlignment w:val="auto"/>
              <w:rPr>
                <w:rFonts w:hint="default" w:cs="宋体"/>
                <w:szCs w:val="21"/>
              </w:rPr>
            </w:pPr>
            <w:r>
              <w:rPr>
                <w:rFonts w:cs="宋体"/>
                <w:sz w:val="21"/>
                <w:szCs w:val="21"/>
              </w:rPr>
              <w:t>采购组织机构按照招标文件规定的时间通过“政采云平台”组织开标，所有投</w:t>
            </w:r>
            <w:bookmarkStart w:id="123" w:name="_GoBack"/>
            <w:bookmarkEnd w:id="123"/>
            <w:r>
              <w:rPr>
                <w:rFonts w:cs="宋体"/>
                <w:sz w:val="21"/>
                <w:szCs w:val="21"/>
              </w:rPr>
              <w:t>标人均应当准时在线参加。如未参加，</w:t>
            </w:r>
            <w:r>
              <w:rPr>
                <w:rFonts w:cs="宋体"/>
                <w:bCs/>
                <w:sz w:val="21"/>
                <w:szCs w:val="21"/>
              </w:rPr>
              <w:t>造成无法投标、投标失败等后果由投标人自行承担。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lang w:val="en-US" w:eastAsia="zh-CN"/>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ascii="宋体" w:hAnsi="宋体" w:cs="宋体"/>
                <w:szCs w:val="21"/>
              </w:rPr>
            </w:pPr>
            <w:r>
              <w:rPr>
                <w:rFonts w:hint="eastAsia" w:ascii="宋体" w:hAnsi="宋体" w:cs="宋体"/>
                <w:szCs w:val="21"/>
              </w:rPr>
              <w:t>投标与开标注意事项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2"/>
              <w:keepNext w:val="0"/>
              <w:keepLines w:val="0"/>
              <w:pageBreakBefore w:val="0"/>
              <w:kinsoku/>
              <w:wordWrap/>
              <w:overflowPunct/>
              <w:topLinePunct w:val="0"/>
              <w:bidi w:val="0"/>
              <w:adjustRightInd/>
              <w:snapToGrid/>
              <w:spacing w:line="300" w:lineRule="auto"/>
              <w:ind w:firstLine="420" w:firstLineChars="200"/>
              <w:textAlignment w:val="auto"/>
              <w:rPr>
                <w:rFonts w:hAnsi="宋体" w:cs="宋体"/>
                <w:bCs/>
                <w:szCs w:val="21"/>
              </w:rPr>
            </w:pPr>
            <w:r>
              <w:rPr>
                <w:rFonts w:hint="eastAsia" w:hAnsi="宋体" w:cs="宋体"/>
                <w:bCs/>
                <w:szCs w:val="21"/>
              </w:rPr>
              <w:t>1.本项目实行电子投标，投标人自行承担投标一切费用。</w:t>
            </w:r>
          </w:p>
          <w:p>
            <w:pPr>
              <w:pStyle w:val="12"/>
              <w:keepNext w:val="0"/>
              <w:keepLines w:val="0"/>
              <w:pageBreakBefore w:val="0"/>
              <w:kinsoku/>
              <w:wordWrap/>
              <w:overflowPunct/>
              <w:topLinePunct w:val="0"/>
              <w:bidi w:val="0"/>
              <w:adjustRightInd/>
              <w:snapToGrid/>
              <w:spacing w:line="300" w:lineRule="auto"/>
              <w:ind w:firstLine="420" w:firstLineChars="200"/>
              <w:textAlignment w:val="auto"/>
              <w:rPr>
                <w:rFonts w:hAnsi="宋体" w:cs="宋体"/>
                <w:szCs w:val="21"/>
              </w:rPr>
            </w:pPr>
            <w:r>
              <w:rPr>
                <w:rFonts w:hint="eastAsia" w:hAnsi="宋体" w:cs="宋体"/>
                <w:bCs/>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lang w:val="en-US" w:eastAsia="zh-CN"/>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ascii="宋体" w:hAnsi="宋体" w:cs="宋体"/>
                <w:szCs w:val="21"/>
              </w:rPr>
            </w:pPr>
            <w:r>
              <w:rPr>
                <w:rFonts w:hint="eastAsia" w:ascii="宋体" w:hAnsi="宋体" w:cs="宋体"/>
                <w:szCs w:val="21"/>
              </w:rPr>
              <w:t>信用信息查询渠道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textAlignment w:val="auto"/>
              <w:rPr>
                <w:rFonts w:cs="Arial" w:asciiTheme="minorEastAsia" w:hAnsiTheme="minorEastAsia" w:eastAsiaTheme="minorEastAsia"/>
                <w:szCs w:val="21"/>
              </w:rPr>
            </w:pPr>
            <w:r>
              <w:rPr>
                <w:rFonts w:hint="eastAsia" w:cs="Arial" w:asciiTheme="minorEastAsia" w:hAnsiTheme="minorEastAsia" w:eastAsiaTheme="minorEastAsia"/>
                <w:szCs w:val="21"/>
              </w:rPr>
              <w:t>信用中国（网址：</w:t>
            </w:r>
            <w:r>
              <w:fldChar w:fldCharType="begin"/>
            </w:r>
            <w:r>
              <w:instrText xml:space="preserve"> HYPERLINK "http://www.creditchina.gov.cn" </w:instrText>
            </w:r>
            <w:r>
              <w:fldChar w:fldCharType="separate"/>
            </w:r>
            <w:r>
              <w:rPr>
                <w:rFonts w:cs="Arial" w:asciiTheme="minorEastAsia" w:hAnsiTheme="minorEastAsia" w:eastAsiaTheme="minorEastAsia"/>
                <w:szCs w:val="21"/>
              </w:rPr>
              <w:t>http://www.creditchina.gov.cn</w:t>
            </w:r>
            <w:r>
              <w:rPr>
                <w:rFonts w:cs="Arial" w:asciiTheme="minorEastAsia" w:hAnsiTheme="minorEastAsia" w:eastAsiaTheme="minorEastAsia"/>
                <w:szCs w:val="21"/>
              </w:rPr>
              <w:fldChar w:fldCharType="end"/>
            </w:r>
            <w:r>
              <w:rPr>
                <w:rFonts w:hint="eastAsia" w:cs="Arial" w:asciiTheme="minorEastAsia" w:hAnsiTheme="minorEastAsia" w:eastAsiaTheme="minorEastAsia"/>
                <w:szCs w:val="21"/>
              </w:rPr>
              <w:t>)</w:t>
            </w:r>
          </w:p>
          <w:p>
            <w:pPr>
              <w:keepNext w:val="0"/>
              <w:keepLines w:val="0"/>
              <w:pageBreakBefore w:val="0"/>
              <w:kinsoku/>
              <w:wordWrap/>
              <w:overflowPunct/>
              <w:topLinePunct w:val="0"/>
              <w:bidi w:val="0"/>
              <w:adjustRightInd/>
              <w:snapToGrid/>
              <w:spacing w:line="300" w:lineRule="auto"/>
              <w:textAlignment w:val="auto"/>
              <w:rPr>
                <w:rFonts w:ascii="宋体" w:hAnsi="宋体" w:cs="宋体"/>
                <w:szCs w:val="21"/>
              </w:rPr>
            </w:pPr>
            <w:r>
              <w:rPr>
                <w:rFonts w:hint="eastAsia" w:cs="Arial" w:asciiTheme="minorEastAsia" w:hAnsiTheme="minorEastAsia" w:eastAsiaTheme="minorEastAsia"/>
                <w:szCs w:val="21"/>
              </w:rPr>
              <w:t>中国政府采购网（网址：</w:t>
            </w:r>
            <w:r>
              <w:rPr>
                <w:rFonts w:cs="Arial" w:asciiTheme="minorEastAsia" w:hAnsiTheme="minorEastAsia" w:eastAsiaTheme="minorEastAsia"/>
                <w:szCs w:val="21"/>
              </w:rPr>
              <w:t>http://www.ccgp.gov.cn</w:t>
            </w: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0</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ascii="宋体" w:hAnsi="宋体" w:cs="宋体"/>
                <w:szCs w:val="21"/>
              </w:rPr>
            </w:pPr>
            <w:r>
              <w:rPr>
                <w:rFonts w:hint="eastAsia"/>
              </w:rPr>
              <w:t>中小企业预留份额情况</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textAlignment w:val="auto"/>
              <w:rPr>
                <w:rFonts w:ascii="黑体" w:hAnsi="黑体" w:eastAsia="黑体" w:cs="黑体"/>
                <w:color w:val="111F2C"/>
                <w:szCs w:val="21"/>
                <w:shd w:val="clear" w:color="auto" w:fill="FFFFFF"/>
              </w:rPr>
            </w:pPr>
            <w:r>
              <w:rPr>
                <w:rFonts w:hint="eastAsia" w:cs="Arial" w:asciiTheme="minorEastAsia" w:hAnsiTheme="minorEastAsia" w:eastAsiaTheme="minorEastAsia"/>
                <w:szCs w:val="21"/>
              </w:rPr>
              <w:t>根据《政府采购促进中小企业发展管理办法》财库〔2020〕46号文件的规定，本项目</w:t>
            </w:r>
            <w:r>
              <w:rPr>
                <w:rFonts w:hint="eastAsia" w:cs="Arial" w:asciiTheme="minorEastAsia" w:hAnsiTheme="minorEastAsia" w:eastAsiaTheme="minorEastAsia"/>
                <w:szCs w:val="21"/>
                <w:lang w:eastAsia="zh-CN"/>
              </w:rPr>
              <w:t>不</w:t>
            </w:r>
            <w:r>
              <w:rPr>
                <w:rFonts w:hint="eastAsia" w:cs="Arial" w:asciiTheme="minorEastAsia" w:hAnsiTheme="minorEastAsia" w:eastAsiaTheme="minorEastAsia"/>
                <w:szCs w:val="21"/>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ascii="宋体" w:hAnsi="宋体" w:cs="宋体"/>
                <w:szCs w:val="21"/>
              </w:rPr>
            </w:pPr>
            <w:r>
              <w:rPr>
                <w:rFonts w:hint="eastAsia" w:ascii="宋体" w:hAnsi="宋体" w:cs="宋体"/>
                <w:szCs w:val="21"/>
              </w:rPr>
              <w:t>中小企业优惠措施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cs="Arial" w:asciiTheme="minorEastAsia" w:hAnsiTheme="minorEastAsia" w:eastAsiaTheme="minorEastAsia"/>
                <w:szCs w:val="21"/>
              </w:rPr>
            </w:pPr>
            <w:r>
              <w:rPr>
                <w:rFonts w:hint="eastAsia" w:cs="Arial" w:asciiTheme="minorEastAsia" w:hAnsiTheme="minorEastAsia" w:eastAsiaTheme="minorEastAsia"/>
                <w:szCs w:val="21"/>
              </w:rPr>
              <w:t>1.项目属性（货物类）</w:t>
            </w:r>
          </w:p>
          <w:p>
            <w:pPr>
              <w:keepNext w:val="0"/>
              <w:keepLines w:val="0"/>
              <w:pageBreakBefore w:val="0"/>
              <w:kinsoku/>
              <w:wordWrap/>
              <w:overflowPunct/>
              <w:topLinePunct w:val="0"/>
              <w:bidi w:val="0"/>
              <w:adjustRightInd/>
              <w:snapToGrid/>
              <w:spacing w:line="300" w:lineRule="auto"/>
              <w:ind w:firstLine="420" w:firstLineChars="200"/>
              <w:textAlignment w:val="auto"/>
              <w:rPr>
                <w:rFonts w:cs="Arial" w:asciiTheme="minorEastAsia" w:hAnsiTheme="minorEastAsia" w:eastAsiaTheme="minorEastAsia"/>
                <w:szCs w:val="21"/>
              </w:rPr>
            </w:pPr>
            <w:r>
              <w:rPr>
                <w:rFonts w:hint="eastAsia" w:cs="Arial" w:asciiTheme="minorEastAsia" w:hAnsiTheme="minorEastAsia" w:eastAsiaTheme="minorEastAsia"/>
                <w:szCs w:val="21"/>
              </w:rPr>
              <w:t>2.中小企业划分标准所属行业（具体根据《中小企业划型标准规定》执行）。</w:t>
            </w:r>
          </w:p>
          <w:p>
            <w:pPr>
              <w:keepNext w:val="0"/>
              <w:keepLines w:val="0"/>
              <w:pageBreakBefore w:val="0"/>
              <w:kinsoku/>
              <w:wordWrap/>
              <w:overflowPunct/>
              <w:topLinePunct w:val="0"/>
              <w:bidi w:val="0"/>
              <w:adjustRightInd/>
              <w:snapToGrid/>
              <w:spacing w:line="300" w:lineRule="auto"/>
              <w:ind w:firstLine="420" w:firstLineChars="200"/>
              <w:textAlignment w:val="auto"/>
              <w:rPr>
                <w:rFonts w:cs="Arial" w:asciiTheme="minorEastAsia" w:hAnsiTheme="minorEastAsia" w:eastAsiaTheme="minorEastAsia"/>
                <w:szCs w:val="21"/>
              </w:rPr>
            </w:pPr>
            <w:r>
              <w:rPr>
                <w:rFonts w:hint="eastAsia" w:cs="Arial" w:asciiTheme="minorEastAsia" w:hAnsiTheme="minorEastAsia" w:eastAsiaTheme="minorEastAsia"/>
                <w:szCs w:val="21"/>
              </w:rPr>
              <w:t>所属行业：</w:t>
            </w:r>
            <w:r>
              <w:rPr>
                <w:rFonts w:hint="eastAsia" w:cs="Arial" w:asciiTheme="minorEastAsia" w:hAnsiTheme="minorEastAsia" w:eastAsiaTheme="minorEastAsia"/>
                <w:szCs w:val="21"/>
                <w:u w:val="single"/>
              </w:rPr>
              <w:t xml:space="preserve">   </w:t>
            </w:r>
            <w:r>
              <w:rPr>
                <w:rFonts w:hint="eastAsia" w:ascii="宋体" w:hAnsi="宋体" w:cs="宋体"/>
                <w:szCs w:val="21"/>
                <w:u w:val="single"/>
                <w:lang w:eastAsia="zh-CN"/>
              </w:rPr>
              <w:t>计算机设备及软件</w:t>
            </w:r>
            <w:r>
              <w:rPr>
                <w:rFonts w:hint="eastAsia" w:cs="Arial" w:asciiTheme="minorEastAsia" w:hAnsiTheme="minorEastAsia" w:eastAsiaTheme="minorEastAsia"/>
                <w:szCs w:val="21"/>
                <w:u w:val="single"/>
              </w:rPr>
              <w:t xml:space="preserve">  </w:t>
            </w:r>
            <w:r>
              <w:rPr>
                <w:rFonts w:hint="eastAsia" w:cs="Arial" w:asciiTheme="minorEastAsia" w:hAnsiTheme="minorEastAsia" w:eastAsiaTheme="minorEastAsia"/>
                <w:szCs w:val="21"/>
                <w:u w:val="single"/>
                <w:lang w:val="en-US" w:eastAsia="zh-CN"/>
              </w:rPr>
              <w:t xml:space="preserve"> </w:t>
            </w:r>
            <w:r>
              <w:rPr>
                <w:rFonts w:hint="eastAsia" w:cs="Arial" w:asciiTheme="minorEastAsia" w:hAnsiTheme="minorEastAsia" w:eastAsiaTheme="minorEastAsia"/>
                <w:szCs w:val="21"/>
                <w:u w:val="single"/>
              </w:rPr>
              <w:t xml:space="preserve"> </w:t>
            </w:r>
            <w:r>
              <w:rPr>
                <w:rFonts w:hint="eastAsia" w:cs="Arial" w:asciiTheme="minorEastAsia" w:hAnsiTheme="minorEastAsia" w:eastAsiaTheme="minorEastAsia"/>
                <w:szCs w:val="21"/>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cs="Arial" w:asciiTheme="minorEastAsia" w:hAnsiTheme="minorEastAsia" w:eastAsiaTheme="minorEastAsia"/>
                <w:szCs w:val="21"/>
              </w:rPr>
            </w:pPr>
            <w:r>
              <w:rPr>
                <w:rFonts w:hint="eastAsia" w:cs="Arial" w:asciiTheme="minorEastAsia" w:hAnsiTheme="minorEastAsia" w:eastAsiaTheme="minorEastAsia"/>
                <w:szCs w:val="21"/>
              </w:rPr>
              <w:t>3.根据财库[2017]141号的相关规定，在政府采购活动中，残疾人福利性单位的视同小型、微型企业，享受评审中价格扣除政策。属于享受政府采购支持政策的残疾人福利性单位，应满足财库[2017]141号文件规定，并在投标文件中提供残疾人福利性单位声明函（见附件）。</w:t>
            </w:r>
          </w:p>
          <w:p>
            <w:pPr>
              <w:keepNext w:val="0"/>
              <w:keepLines w:val="0"/>
              <w:pageBreakBefore w:val="0"/>
              <w:kinsoku/>
              <w:wordWrap/>
              <w:overflowPunct/>
              <w:topLinePunct w:val="0"/>
              <w:bidi w:val="0"/>
              <w:adjustRightInd/>
              <w:snapToGrid/>
              <w:spacing w:line="300" w:lineRule="auto"/>
              <w:ind w:firstLine="420" w:firstLineChars="200"/>
              <w:textAlignment w:val="auto"/>
              <w:rPr>
                <w:rFonts w:cs="Arial" w:asciiTheme="minorEastAsia" w:hAnsiTheme="minorEastAsia" w:eastAsiaTheme="minorEastAsia"/>
                <w:szCs w:val="21"/>
              </w:rPr>
            </w:pPr>
            <w:r>
              <w:rPr>
                <w:rFonts w:hint="eastAsia" w:cs="Arial" w:asciiTheme="minorEastAsia" w:hAnsiTheme="minorEastAsia" w:eastAsiaTheme="minorEastAsia"/>
                <w:szCs w:val="21"/>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bidi w:val="0"/>
              <w:adjustRightInd/>
              <w:snapToGrid/>
              <w:spacing w:line="300" w:lineRule="auto"/>
              <w:textAlignment w:val="auto"/>
              <w:rPr>
                <w:rFonts w:ascii="宋体" w:hAnsi="宋体" w:cs="宋体"/>
                <w:szCs w:val="21"/>
              </w:rPr>
            </w:pPr>
            <w:r>
              <w:rPr>
                <w:rFonts w:hint="eastAsia" w:cs="Arial" w:asciiTheme="minorEastAsia" w:hAnsiTheme="minorEastAsia" w:eastAsiaTheme="minorEastAsia"/>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ascii="宋体" w:hAnsi="宋体" w:cs="宋体"/>
                <w:kern w:val="0"/>
                <w:szCs w:val="21"/>
              </w:rPr>
            </w:pPr>
            <w:r>
              <w:rPr>
                <w:rFonts w:hint="eastAsia" w:ascii="宋体" w:hAnsi="宋体" w:cs="宋体"/>
                <w:szCs w:val="21"/>
              </w:rPr>
              <w:t>质疑渠道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textAlignment w:val="auto"/>
              <w:rPr>
                <w:rFonts w:ascii="宋体" w:hAnsi="宋体" w:cs="宋体"/>
                <w:szCs w:val="21"/>
              </w:rPr>
            </w:pPr>
            <w:r>
              <w:t xml:space="preserve"> </w:t>
            </w:r>
            <w:r>
              <w:rPr>
                <w:rFonts w:hint="eastAsia"/>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ascii="宋体" w:hAnsi="宋体" w:cs="宋体"/>
                <w:szCs w:val="21"/>
              </w:rPr>
            </w:pPr>
            <w:r>
              <w:rPr>
                <w:rFonts w:hint="eastAsia" w:ascii="宋体" w:hAnsi="宋体" w:cs="宋体"/>
                <w:szCs w:val="21"/>
                <w:lang w:val="zh-CN"/>
              </w:rPr>
              <w:t>实质性条款</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textAlignment w:val="auto"/>
              <w:rPr>
                <w:rFonts w:ascii="宋体" w:hAnsi="宋体" w:cs="宋体"/>
                <w:szCs w:val="21"/>
              </w:rPr>
            </w:pPr>
            <w:r>
              <w:rPr>
                <w:rFonts w:hint="eastAsia" w:ascii="宋体" w:hAnsi="宋体" w:cs="宋体"/>
                <w:kern w:val="0"/>
                <w:szCs w:val="21"/>
                <w:lang w:val="zh-CN"/>
              </w:rPr>
              <w:t>带“</w:t>
            </w:r>
            <w:r>
              <w:rPr>
                <w:rFonts w:hint="eastAsia" w:ascii="宋体" w:hAnsi="宋体" w:cs="宋体"/>
                <w:bCs/>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ascii="宋体" w:hAnsi="宋体" w:cs="宋体"/>
                <w:szCs w:val="21"/>
              </w:rPr>
            </w:pPr>
            <w:r>
              <w:rPr>
                <w:rFonts w:asciiTheme="minorEastAsia" w:hAnsiTheme="minorEastAsia" w:eastAsiaTheme="minorEastAsia"/>
              </w:rPr>
              <w:t>主要性能参数</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textAlignment w:val="auto"/>
              <w:rPr>
                <w:rFonts w:cs="宋体"/>
                <w:szCs w:val="21"/>
              </w:rPr>
            </w:pPr>
            <w:r>
              <w:rPr>
                <w:rFonts w:hint="eastAsia" w:ascii="宋体" w:hAnsi="宋体" w:cs="宋体"/>
                <w:szCs w:val="21"/>
              </w:rPr>
              <w:t>带“★”的条款是</w:t>
            </w:r>
            <w:r>
              <w:rPr>
                <w:rFonts w:asciiTheme="minorEastAsia" w:hAnsiTheme="minorEastAsia" w:eastAsiaTheme="minorEastAsia"/>
              </w:rPr>
              <w:t>主要性能参数</w:t>
            </w: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ascii="宋体" w:hAnsi="宋体" w:cs="宋体"/>
                <w:szCs w:val="21"/>
              </w:rPr>
            </w:pPr>
            <w:r>
              <w:rPr>
                <w:rFonts w:hint="eastAsia" w:ascii="宋体" w:hAnsi="宋体" w:cs="宋体"/>
                <w:szCs w:val="21"/>
              </w:rPr>
              <w:t>书面形式</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textAlignment w:val="auto"/>
              <w:rPr>
                <w:rFonts w:ascii="宋体" w:hAnsi="宋体" w:cs="宋体"/>
                <w:szCs w:val="21"/>
              </w:rPr>
            </w:pPr>
            <w:r>
              <w:rPr>
                <w:rFonts w:hint="eastAsia" w:ascii="宋体" w:hAnsi="宋体" w:cs="宋体"/>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ascii="宋体" w:hAnsi="宋体" w:cs="宋体"/>
                <w:szCs w:val="21"/>
              </w:rPr>
            </w:pPr>
            <w:r>
              <w:rPr>
                <w:rFonts w:hint="eastAsia" w:ascii="宋体" w:hAnsi="宋体" w:cs="宋体"/>
                <w:szCs w:val="21"/>
              </w:rPr>
              <w:t>解释权</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textAlignment w:val="auto"/>
              <w:rPr>
                <w:rFonts w:ascii="宋体" w:hAnsi="宋体" w:cs="宋体"/>
                <w:szCs w:val="21"/>
              </w:rPr>
            </w:pPr>
            <w:r>
              <w:rPr>
                <w:rFonts w:hint="eastAsia" w:ascii="宋体" w:hAnsi="宋体" w:cs="宋体"/>
                <w:szCs w:val="21"/>
              </w:rPr>
              <w:t>本招标文件解释权属于采购人和采购组织机构。</w:t>
            </w:r>
          </w:p>
        </w:tc>
      </w:tr>
    </w:tbl>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tabs>
          <w:tab w:val="left" w:pos="7980"/>
        </w:tabs>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hint="eastAsia" w:asciiTheme="minorEastAsia" w:hAnsiTheme="minorEastAsia" w:eastAsiaTheme="minorEastAsia"/>
          <w:sz w:val="24"/>
        </w:rPr>
        <w:t>人</w:t>
      </w:r>
      <w:r>
        <w:rPr>
          <w:rFonts w:asciiTheme="minorEastAsia" w:hAnsiTheme="minorEastAsia" w:eastAsiaTheme="minorEastAsia"/>
          <w:sz w:val="24"/>
        </w:rPr>
        <w:t>承担。</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2"/>
        <w:spacing w:line="360" w:lineRule="auto"/>
        <w:ind w:firstLine="480" w:firstLineChars="200"/>
      </w:pPr>
      <w:r>
        <w:t>本招标文件仅适用于本次招标公告中所涉及的项目和内容。</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7"/>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asciiTheme="minorEastAsia" w:hAnsiTheme="minorEastAsia" w:eastAsiaTheme="minorEastAsia"/>
          <w:sz w:val="24"/>
        </w:rPr>
        <w:t>。</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val="zh-CN"/>
        </w:rPr>
        <w:t>。</w:t>
      </w:r>
    </w:p>
    <w:p>
      <w:pPr>
        <w:pStyle w:val="19"/>
        <w:spacing w:after="0" w:line="360" w:lineRule="auto"/>
        <w:ind w:left="0" w:leftChars="0" w:firstLine="480" w:firstLineChars="200"/>
      </w:pPr>
      <w:r>
        <w:rPr>
          <w:rFonts w:hint="eastAsia" w:ascii="宋体" w:hAnsi="宋体"/>
          <w:sz w:val="24"/>
        </w:rPr>
        <w:t>5.联合体：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宋体" w:hAnsi="宋体" w:cs="宋体"/>
          <w:sz w:val="24"/>
        </w:rPr>
      </w:pPr>
      <w:r>
        <w:rPr>
          <w:rFonts w:hint="eastAsia" w:asciiTheme="minorEastAsia" w:hAnsiTheme="minorEastAsia" w:eastAsiaTheme="minorEastAsia"/>
          <w:sz w:val="24"/>
        </w:rPr>
        <w:t>4.联合体各方中至少应当有一方符合采购人规定的资格要求。由同一资质条件的投</w:t>
      </w:r>
      <w:r>
        <w:rPr>
          <w:rFonts w:hint="eastAsia" w:ascii="宋体" w:hAnsi="宋体" w:cs="宋体"/>
          <w:sz w:val="24"/>
        </w:rPr>
        <w:t>标人组成的联合体，应当按照资质等级较低的投标人确定联合体资质等级；</w:t>
      </w:r>
    </w:p>
    <w:p>
      <w:pPr>
        <w:snapToGrid w:val="0"/>
        <w:spacing w:line="360" w:lineRule="auto"/>
        <w:ind w:firstLine="480" w:firstLineChars="200"/>
        <w:rPr>
          <w:rFonts w:ascii="宋体" w:hAnsi="宋体" w:cs="宋体"/>
          <w:sz w:val="24"/>
        </w:rPr>
      </w:pPr>
      <w:r>
        <w:rPr>
          <w:rFonts w:hint="eastAsia" w:ascii="宋体" w:hAnsi="宋体" w:cs="宋体"/>
          <w:sz w:val="24"/>
        </w:rPr>
        <w:t>5.联合体各方不得再以自己名义单独在同一合同项中投标，也不得组成新的联合体参加同一项目投标；</w:t>
      </w:r>
    </w:p>
    <w:p>
      <w:pPr>
        <w:snapToGrid w:val="0"/>
        <w:spacing w:line="360" w:lineRule="auto"/>
        <w:ind w:firstLine="480" w:firstLineChars="200"/>
        <w:rPr>
          <w:rFonts w:ascii="宋体" w:hAnsi="宋体" w:cs="宋体"/>
          <w:sz w:val="24"/>
        </w:rPr>
      </w:pPr>
      <w:r>
        <w:rPr>
          <w:rFonts w:hint="eastAsia" w:ascii="宋体" w:hAnsi="宋体" w:cs="宋体"/>
          <w:sz w:val="24"/>
        </w:rPr>
        <w:t>6.联合体各方应当共同与采购人签订采购合同，就合同约定的事项对采购人承担连带责任；</w:t>
      </w:r>
    </w:p>
    <w:p>
      <w:pPr>
        <w:snapToGrid w:val="0"/>
        <w:spacing w:line="360" w:lineRule="auto"/>
        <w:ind w:firstLine="480" w:firstLineChars="200"/>
        <w:rPr>
          <w:rFonts w:ascii="宋体" w:hAnsi="宋体" w:cs="宋体"/>
          <w:sz w:val="24"/>
        </w:rPr>
      </w:pPr>
      <w:r>
        <w:rPr>
          <w:rFonts w:hint="eastAsia" w:ascii="宋体" w:hAnsi="宋体" w:cs="宋体"/>
          <w:sz w:val="24"/>
        </w:rPr>
        <w:t>7.投标时，应以联合体协议中确定的主体方名义投标，对联合体各方均具有约束力。</w:t>
      </w:r>
    </w:p>
    <w:p>
      <w:pPr>
        <w:snapToGrid w:val="0"/>
        <w:spacing w:line="360" w:lineRule="auto"/>
        <w:ind w:firstLine="482" w:firstLineChars="200"/>
        <w:rPr>
          <w:rFonts w:ascii="宋体" w:hAnsi="宋体" w:cs="宋体"/>
          <w:b/>
          <w:bCs/>
          <w:sz w:val="24"/>
        </w:rPr>
      </w:pPr>
      <w:r>
        <w:rPr>
          <w:rFonts w:hint="eastAsia" w:ascii="宋体" w:hAnsi="宋体" w:cs="宋体"/>
          <w:b/>
          <w:bCs/>
          <w:sz w:val="24"/>
        </w:rPr>
        <w:t>（五）语言文字以及度量衡单位</w:t>
      </w:r>
    </w:p>
    <w:p>
      <w:pPr>
        <w:snapToGrid w:val="0"/>
        <w:spacing w:line="360" w:lineRule="auto"/>
        <w:ind w:firstLine="480" w:firstLineChars="200"/>
        <w:rPr>
          <w:rFonts w:ascii="宋体" w:hAnsi="宋体" w:cs="宋体"/>
          <w:sz w:val="24"/>
        </w:rPr>
      </w:pPr>
      <w:r>
        <w:rPr>
          <w:rFonts w:hint="eastAsia" w:ascii="宋体" w:hAnsi="宋体" w:cs="宋体"/>
          <w:sz w:val="24"/>
        </w:rPr>
        <w:t>1.投标文件以及投标人与</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r>
        <w:rPr>
          <w:rFonts w:hint="eastAsia" w:ascii="宋体" w:hAnsi="宋体" w:cs="宋体"/>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宋体" w:hAnsi="宋体" w:cs="宋体"/>
          <w:sz w:val="24"/>
        </w:rPr>
      </w:pPr>
      <w:r>
        <w:rPr>
          <w:rFonts w:hint="eastAsia" w:ascii="宋体" w:hAnsi="宋体" w:cs="宋体"/>
          <w:sz w:val="24"/>
        </w:rPr>
        <w:t>2.所有计量均采用中国法定的计量单位。</w:t>
      </w:r>
    </w:p>
    <w:p>
      <w:pPr>
        <w:snapToGrid w:val="0"/>
        <w:spacing w:line="360" w:lineRule="auto"/>
        <w:ind w:firstLine="480" w:firstLineChars="200"/>
        <w:rPr>
          <w:rFonts w:ascii="宋体" w:hAnsi="宋体" w:cs="宋体"/>
          <w:sz w:val="24"/>
        </w:rPr>
      </w:pPr>
      <w:r>
        <w:rPr>
          <w:rFonts w:hint="eastAsia" w:ascii="宋体" w:hAnsi="宋体" w:cs="宋体"/>
          <w:sz w:val="24"/>
        </w:rPr>
        <w:t>3.所有报价一律使用人民币，货币单位：元。</w:t>
      </w:r>
    </w:p>
    <w:p>
      <w:pPr>
        <w:pStyle w:val="27"/>
        <w:tabs>
          <w:tab w:val="left" w:pos="437"/>
        </w:tabs>
        <w:spacing w:line="360" w:lineRule="auto"/>
        <w:ind w:firstLine="482"/>
        <w:rPr>
          <w:rFonts w:ascii="宋体" w:hAnsi="宋体" w:cs="宋体"/>
          <w:b/>
          <w:bCs/>
          <w:sz w:val="24"/>
          <w:szCs w:val="24"/>
        </w:rPr>
      </w:pPr>
      <w:r>
        <w:rPr>
          <w:rFonts w:hint="eastAsia" w:ascii="宋体" w:hAnsi="宋体" w:cs="宋体"/>
          <w:b/>
          <w:bCs/>
          <w:sz w:val="24"/>
          <w:szCs w:val="24"/>
        </w:rPr>
        <w:t>（六）现场踏勘</w:t>
      </w:r>
    </w:p>
    <w:p>
      <w:pPr>
        <w:snapToGrid w:val="0"/>
        <w:spacing w:line="360" w:lineRule="auto"/>
        <w:ind w:firstLine="480" w:firstLineChars="200"/>
        <w:rPr>
          <w:rFonts w:ascii="宋体" w:hAnsi="宋体" w:cs="宋体"/>
          <w:sz w:val="24"/>
        </w:rPr>
      </w:pPr>
      <w:r>
        <w:rPr>
          <w:rFonts w:hint="eastAsia" w:ascii="宋体" w:hAnsi="宋体" w:cs="宋体"/>
          <w:sz w:val="24"/>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sz w:val="24"/>
        </w:rPr>
      </w:pPr>
      <w:r>
        <w:rPr>
          <w:rFonts w:hint="eastAsia" w:ascii="宋体" w:hAnsi="宋体" w:cs="宋体"/>
          <w:sz w:val="24"/>
        </w:rPr>
        <w:t>2.投标人自行承担踏勘现场发生的责任、风险和自身费用。</w:t>
      </w:r>
    </w:p>
    <w:p>
      <w:pPr>
        <w:snapToGrid w:val="0"/>
        <w:spacing w:line="360" w:lineRule="auto"/>
        <w:ind w:firstLine="480" w:firstLineChars="200"/>
        <w:rPr>
          <w:rFonts w:ascii="宋体" w:hAnsi="宋体" w:cs="宋体"/>
          <w:sz w:val="24"/>
        </w:rPr>
      </w:pPr>
      <w:r>
        <w:rPr>
          <w:rFonts w:hint="eastAsia" w:ascii="宋体" w:hAnsi="宋体" w:cs="宋体"/>
          <w:sz w:val="24"/>
        </w:rPr>
        <w:t>3.采购人在踏勘现场中介绍的资料和数据等，不构成对招标文件的修改或不作为投标人编制投标文件的依据。</w:t>
      </w:r>
    </w:p>
    <w:p>
      <w:pPr>
        <w:pStyle w:val="12"/>
        <w:snapToGrid w:val="0"/>
        <w:spacing w:line="360" w:lineRule="auto"/>
        <w:ind w:firstLine="482" w:firstLineChars="200"/>
        <w:rPr>
          <w:rFonts w:hAnsi="宋体" w:cs="宋体"/>
          <w:b/>
          <w:sz w:val="24"/>
        </w:rPr>
      </w:pPr>
      <w:r>
        <w:rPr>
          <w:rFonts w:hint="eastAsia" w:hAnsi="宋体" w:cs="宋体"/>
          <w:b/>
          <w:sz w:val="24"/>
        </w:rPr>
        <w:t>（七）特别说明</w:t>
      </w:r>
    </w:p>
    <w:p>
      <w:pPr>
        <w:pStyle w:val="12"/>
        <w:snapToGrid w:val="0"/>
        <w:spacing w:line="360" w:lineRule="auto"/>
        <w:ind w:firstLine="480" w:firstLineChars="200"/>
        <w:rPr>
          <w:rFonts w:hAnsi="宋体" w:cs="宋体"/>
          <w:sz w:val="24"/>
        </w:rPr>
      </w:pPr>
      <w:r>
        <w:rPr>
          <w:rFonts w:hint="eastAsia" w:hAnsi="宋体" w:cs="宋体"/>
          <w:sz w:val="24"/>
        </w:rPr>
        <w:t>1.投标人投标所使用的资格、信誉、荣誉、业绩与企业认证必须为本法人所拥有且所提供的资料都是真实有效的。投标人投标所使用的采购项目实施人员必须为本法人员工。</w:t>
      </w:r>
    </w:p>
    <w:p>
      <w:pPr>
        <w:pStyle w:val="27"/>
        <w:snapToGrid w:val="0"/>
        <w:spacing w:line="360" w:lineRule="auto"/>
        <w:ind w:firstLine="480"/>
        <w:rPr>
          <w:rFonts w:ascii="宋体" w:hAnsi="宋体" w:cs="宋体"/>
          <w:sz w:val="24"/>
          <w:szCs w:val="24"/>
        </w:rPr>
      </w:pPr>
      <w:r>
        <w:rPr>
          <w:rFonts w:hint="eastAsia" w:ascii="宋体" w:hAnsi="宋体" w:cs="宋体"/>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pPr>
        <w:pStyle w:val="27"/>
        <w:snapToGrid w:val="0"/>
        <w:spacing w:line="360" w:lineRule="auto"/>
        <w:ind w:firstLine="480"/>
        <w:rPr>
          <w:rFonts w:ascii="宋体" w:hAnsi="宋体" w:cs="宋体"/>
          <w:sz w:val="24"/>
          <w:szCs w:val="24"/>
        </w:rPr>
      </w:pPr>
      <w:r>
        <w:rPr>
          <w:rFonts w:hint="eastAsia" w:ascii="宋体" w:hAnsi="宋体" w:cs="宋体"/>
          <w:sz w:val="24"/>
          <w:szCs w:val="24"/>
        </w:rPr>
        <w:t>3.本招标文件中关于电子招投标内容、流程如与政采云系统中最新的内容、操作不一致的，以政采云系统中的要求为准。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9"/>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 xml:space="preserve"> 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numPr>
          <w:ilvl w:val="0"/>
          <w:numId w:val="5"/>
        </w:numPr>
        <w:snapToGrid w:val="0"/>
        <w:spacing w:line="360" w:lineRule="auto"/>
        <w:ind w:left="5" w:firstLine="415"/>
        <w:rPr>
          <w:rFonts w:ascii="宋体" w:hAnsi="宋体" w:cs="宋体"/>
          <w:sz w:val="24"/>
        </w:rPr>
      </w:pPr>
      <w:r>
        <w:rPr>
          <w:rFonts w:hint="eastAsia" w:ascii="宋体" w:hAnsi="宋体" w:cs="宋体"/>
          <w:sz w:val="24"/>
        </w:rPr>
        <w:t>投标声明书；</w:t>
      </w:r>
    </w:p>
    <w:p>
      <w:pPr>
        <w:numPr>
          <w:ilvl w:val="0"/>
          <w:numId w:val="5"/>
        </w:numPr>
        <w:snapToGrid w:val="0"/>
        <w:spacing w:line="360" w:lineRule="auto"/>
        <w:ind w:left="5" w:firstLine="415"/>
        <w:rPr>
          <w:rFonts w:ascii="宋体" w:hAnsi="宋体" w:cs="宋体"/>
          <w:sz w:val="24"/>
        </w:rPr>
      </w:pPr>
      <w:r>
        <w:rPr>
          <w:rFonts w:hint="eastAsia" w:ascii="宋体" w:hAnsi="宋体" w:cs="宋体"/>
          <w:sz w:val="24"/>
        </w:rPr>
        <w:t>授权委托书（法定代表人亲自办理投标事宜的，则无需提交)；</w:t>
      </w:r>
    </w:p>
    <w:p>
      <w:pPr>
        <w:numPr>
          <w:ilvl w:val="0"/>
          <w:numId w:val="5"/>
        </w:numPr>
        <w:snapToGrid w:val="0"/>
        <w:spacing w:line="360" w:lineRule="auto"/>
        <w:ind w:left="5" w:firstLine="415"/>
        <w:rPr>
          <w:rFonts w:ascii="宋体" w:hAnsi="宋体" w:cs="宋体"/>
          <w:sz w:val="24"/>
        </w:rPr>
      </w:pPr>
      <w:r>
        <w:rPr>
          <w:rFonts w:hint="eastAsia" w:ascii="宋体" w:hAnsi="宋体" w:cs="宋体"/>
          <w:sz w:val="24"/>
        </w:rPr>
        <w:t>联合体授权委托书及联合体声明、协议（若项目接受联合体参与磋商时需提供）；</w:t>
      </w:r>
    </w:p>
    <w:p>
      <w:pPr>
        <w:numPr>
          <w:ilvl w:val="0"/>
          <w:numId w:val="5"/>
        </w:numPr>
        <w:snapToGrid w:val="0"/>
        <w:spacing w:line="360" w:lineRule="auto"/>
        <w:ind w:left="5" w:firstLine="415"/>
        <w:rPr>
          <w:rFonts w:ascii="宋体" w:hAnsi="宋体" w:cs="宋体"/>
          <w:sz w:val="24"/>
        </w:rPr>
      </w:pPr>
      <w:r>
        <w:rPr>
          <w:rFonts w:hint="eastAsia" w:ascii="宋体" w:hAnsi="宋体" w:cs="宋体"/>
          <w:sz w:val="24"/>
        </w:rPr>
        <w:t>法人或者其他组织的营业执照等证明文件，自然人的身份证明；</w:t>
      </w:r>
    </w:p>
    <w:p>
      <w:pPr>
        <w:numPr>
          <w:ilvl w:val="0"/>
          <w:numId w:val="5"/>
        </w:numPr>
        <w:snapToGrid w:val="0"/>
        <w:spacing w:line="360" w:lineRule="auto"/>
        <w:ind w:left="5" w:firstLine="415"/>
        <w:rPr>
          <w:rFonts w:ascii="宋体" w:hAnsi="宋体" w:cs="宋体"/>
          <w:sz w:val="24"/>
        </w:rPr>
      </w:pPr>
      <w:r>
        <w:rPr>
          <w:rFonts w:hint="eastAsia" w:ascii="宋体" w:hAnsi="宋体" w:cs="宋体"/>
          <w:sz w:val="24"/>
        </w:rPr>
        <w:t>符合参与政府采购活动的资格条件并且没有税收缴纳、社会保障等方面的失信记录的承诺函；</w:t>
      </w:r>
    </w:p>
    <w:p>
      <w:pPr>
        <w:numPr>
          <w:ilvl w:val="0"/>
          <w:numId w:val="5"/>
        </w:numPr>
        <w:snapToGrid w:val="0"/>
        <w:spacing w:line="360" w:lineRule="auto"/>
        <w:ind w:left="5" w:firstLine="415"/>
        <w:rPr>
          <w:rFonts w:ascii="宋体" w:hAnsi="宋体" w:cs="宋体"/>
          <w:sz w:val="24"/>
        </w:rPr>
      </w:pPr>
      <w:r>
        <w:rPr>
          <w:rFonts w:hint="eastAsia" w:ascii="宋体" w:hAnsi="宋体" w:cs="宋体"/>
          <w:sz w:val="24"/>
        </w:rPr>
        <w:t>具备履行合同所必需的设备和专业技术能力的证明材料(根据项目性质提供)；</w:t>
      </w:r>
    </w:p>
    <w:p>
      <w:pPr>
        <w:numPr>
          <w:ilvl w:val="0"/>
          <w:numId w:val="5"/>
        </w:numPr>
        <w:snapToGrid w:val="0"/>
        <w:spacing w:line="360" w:lineRule="auto"/>
        <w:ind w:left="5" w:firstLine="415"/>
        <w:rPr>
          <w:rFonts w:ascii="宋体" w:hAnsi="宋体" w:cs="宋体"/>
          <w:sz w:val="24"/>
        </w:rPr>
      </w:pP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9"/>
        <w:widowControl/>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（1）技术方案描述部分</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①投标人情况介绍（人员与技术力量、经营业绩等）；</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②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③项目组织实施方案（包括项目工期、确保项目供货的措施或方案、项目实施进度安排、项目实施人员及项目负责人的资质、类似经验及社保证明等）；</w:t>
      </w:r>
    </w:p>
    <w:p>
      <w:pPr>
        <w:pStyle w:val="9"/>
        <w:widowControl/>
        <w:adjustRightInd w:val="0"/>
        <w:snapToGrid w:val="0"/>
        <w:spacing w:line="360" w:lineRule="auto"/>
        <w:ind w:firstLine="480" w:firstLineChars="200"/>
        <w:rPr>
          <w:rFonts w:ascii="宋体" w:hAnsi="宋体" w:cs="宋体" w:eastAsiaTheme="minorEastAsia"/>
          <w:sz w:val="24"/>
          <w:szCs w:val="24"/>
        </w:rPr>
      </w:pPr>
      <w:r>
        <w:rPr>
          <w:rFonts w:hint="eastAsia" w:asciiTheme="minorEastAsia" w:hAnsiTheme="minorEastAsia" w:eastAsiaTheme="minorEastAsia"/>
          <w:kern w:val="0"/>
          <w:sz w:val="24"/>
          <w:szCs w:val="24"/>
        </w:rPr>
        <w:t>④</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9"/>
        <w:widowControl/>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（2）投标产品描述部分</w:t>
      </w:r>
    </w:p>
    <w:p>
      <w:pPr>
        <w:pStyle w:val="9"/>
        <w:widowControl/>
        <w:adjustRightInd w:val="0"/>
        <w:snapToGrid w:val="0"/>
        <w:spacing w:line="360" w:lineRule="auto"/>
        <w:ind w:firstLine="480" w:firstLineChars="200"/>
        <w:rPr>
          <w:rFonts w:ascii="宋体" w:hAnsi="宋体" w:cs="宋体"/>
          <w:sz w:val="24"/>
          <w:szCs w:val="24"/>
        </w:rPr>
      </w:pPr>
      <w:r>
        <w:rPr>
          <w:rFonts w:hint="eastAsia"/>
          <w:sz w:val="24"/>
        </w:rPr>
        <w:t>①投标产品描述及相关资料；</w:t>
      </w:r>
    </w:p>
    <w:p>
      <w:pPr>
        <w:pStyle w:val="9"/>
        <w:widowControl/>
        <w:adjustRightInd w:val="0"/>
        <w:snapToGrid w:val="0"/>
        <w:spacing w:line="360" w:lineRule="auto"/>
        <w:ind w:firstLine="480" w:firstLineChars="200"/>
        <w:rPr>
          <w:sz w:val="24"/>
        </w:rPr>
      </w:pPr>
      <w:r>
        <w:rPr>
          <w:rFonts w:hint="eastAsia"/>
          <w:sz w:val="24"/>
        </w:rPr>
        <w:t>②技术需求响应表；</w:t>
      </w:r>
    </w:p>
    <w:p>
      <w:pPr>
        <w:pStyle w:val="9"/>
        <w:widowControl/>
        <w:adjustRightInd w:val="0"/>
        <w:snapToGrid w:val="0"/>
        <w:spacing w:line="360" w:lineRule="auto"/>
        <w:ind w:firstLine="480" w:firstLineChars="200"/>
        <w:rPr>
          <w:rFonts w:ascii="宋体" w:hAnsi="宋体" w:cs="宋体"/>
          <w:sz w:val="24"/>
          <w:szCs w:val="24"/>
        </w:rPr>
      </w:pPr>
      <w:r>
        <w:rPr>
          <w:rFonts w:hint="eastAsia"/>
          <w:sz w:val="24"/>
        </w:rPr>
        <w:t>③投标人</w:t>
      </w:r>
      <w:r>
        <w:rPr>
          <w:sz w:val="24"/>
        </w:rPr>
        <w:t>需要说明的其他</w:t>
      </w:r>
      <w:r>
        <w:rPr>
          <w:rFonts w:hint="eastAsia"/>
          <w:sz w:val="24"/>
        </w:rPr>
        <w:t>内容（包括可能影响投标人技术性能评分项的各类证明材料）。</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Theme="minorEastAsia" w:hAnsiTheme="minorEastAsia" w:eastAsiaTheme="minorEastAsia"/>
          <w:b/>
          <w:bCs/>
          <w:kern w:val="0"/>
          <w:sz w:val="24"/>
        </w:rPr>
        <w:t>（3）商务及其他部分</w:t>
      </w:r>
    </w:p>
    <w:p>
      <w:pPr>
        <w:autoSpaceDE w:val="0"/>
        <w:autoSpaceDN w:val="0"/>
        <w:adjustRightInd w:val="0"/>
        <w:spacing w:line="360" w:lineRule="auto"/>
        <w:ind w:firstLine="480" w:firstLineChars="200"/>
        <w:rPr>
          <w:rFonts w:ascii="宋体" w:hAnsi="宋体" w:cs="宋体"/>
          <w:sz w:val="24"/>
        </w:rPr>
      </w:pPr>
      <w:r>
        <w:rPr>
          <w:rFonts w:hint="eastAsia"/>
          <w:sz w:val="24"/>
        </w:rPr>
        <w:t>①证书一览表（</w:t>
      </w:r>
      <w:r>
        <w:rPr>
          <w:rFonts w:hint="eastAsia" w:asciiTheme="minorEastAsia" w:hAnsiTheme="minorEastAsia" w:eastAsiaTheme="minorEastAsia"/>
          <w:sz w:val="24"/>
        </w:rPr>
        <w:t>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9"/>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②近三年来类似项目的成功案例（投标人类似项目实施情况一览表、合同及其相应的发票、用户验收报告等）；</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③售后服务描述及承诺：</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9"/>
        <w:widowControl/>
        <w:adjustRightInd w:val="0"/>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rPr>
        <w:t>B.针对本项目的售后服务措施及承诺（售后技术服务方案、人员配备、故障响应时间、技术培训方案等）</w:t>
      </w:r>
      <w:r>
        <w:rPr>
          <w:rFonts w:hint="eastAsia" w:ascii="宋体" w:hAnsi="宋体" w:cs="宋体"/>
          <w:sz w:val="24"/>
          <w:szCs w:val="24"/>
          <w:lang w:eastAsia="zh-CN"/>
        </w:rPr>
        <w:t>。</w:t>
      </w:r>
    </w:p>
    <w:p>
      <w:pPr>
        <w:snapToGrid w:val="0"/>
        <w:spacing w:line="360" w:lineRule="auto"/>
        <w:ind w:firstLine="480" w:firstLineChars="200"/>
        <w:rPr>
          <w:rFonts w:ascii="宋体" w:hAnsi="宋体" w:cs="宋体"/>
          <w:sz w:val="24"/>
        </w:rPr>
      </w:pPr>
      <w:r>
        <w:rPr>
          <w:rFonts w:hint="eastAsia" w:ascii="宋体" w:hAnsi="宋体" w:cs="宋体"/>
          <w:sz w:val="24"/>
        </w:rPr>
        <w:t>④投标人认为需要提供的其他资料（包括可能影响投标人商务与技术文件评分的各类证明材料）。</w:t>
      </w: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（1）开标一览表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（2）报价明细表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val="en-GB" w:eastAsia="zh-CN"/>
        </w:rPr>
      </w:pPr>
      <w:r>
        <w:rPr>
          <w:rFonts w:hint="eastAsia" w:asciiTheme="minorEastAsia" w:hAnsiTheme="minorEastAsia" w:eastAsiaTheme="minorEastAsia"/>
          <w:kern w:val="0"/>
          <w:sz w:val="24"/>
        </w:rPr>
        <w:t>（3）中小企业等声明函、</w:t>
      </w:r>
      <w:r>
        <w:rPr>
          <w:rFonts w:hint="eastAsia" w:asciiTheme="minorEastAsia" w:hAnsiTheme="minorEastAsia" w:eastAsiaTheme="minorEastAsia"/>
          <w:kern w:val="0"/>
          <w:sz w:val="24"/>
          <w:lang w:val="en-GB"/>
        </w:rPr>
        <w:t>残疾人福利性单位声明函、监狱企业声明函</w:t>
      </w:r>
      <w:r>
        <w:rPr>
          <w:rFonts w:hint="eastAsia" w:asciiTheme="minorEastAsia" w:hAnsiTheme="minorEastAsia" w:eastAsiaTheme="minorEastAsia"/>
          <w:kern w:val="0"/>
          <w:sz w:val="24"/>
          <w:lang w:val="en-GB" w:eastAsia="zh-CN"/>
        </w:rPr>
        <w:t>；</w:t>
      </w:r>
    </w:p>
    <w:p>
      <w:pPr>
        <w:autoSpaceDE w:val="0"/>
        <w:autoSpaceDN w:val="0"/>
        <w:adjustRightInd w:val="0"/>
        <w:spacing w:line="360" w:lineRule="auto"/>
        <w:ind w:firstLine="480" w:firstLineChars="200"/>
        <w:rPr>
          <w:rFonts w:hint="eastAsia" w:asciiTheme="minorEastAsia" w:hAnsiTheme="minorEastAsia" w:eastAsiaTheme="minorEastAsia"/>
          <w:b/>
          <w:kern w:val="0"/>
          <w:sz w:val="24"/>
          <w:lang w:eastAsia="zh-CN"/>
        </w:rPr>
      </w:pPr>
      <w:r>
        <w:rPr>
          <w:rFonts w:hint="eastAsia" w:asciiTheme="minorEastAsia" w:hAnsiTheme="minorEastAsia" w:eastAsiaTheme="minorEastAsia"/>
          <w:kern w:val="0"/>
          <w:sz w:val="24"/>
        </w:rPr>
        <w:t>（4）针对报价投标人认为其他需要说明的</w:t>
      </w:r>
      <w:r>
        <w:rPr>
          <w:rFonts w:hint="eastAsia" w:asciiTheme="minorEastAsia" w:hAnsiTheme="minorEastAsia" w:eastAsiaTheme="minorEastAsia"/>
          <w:kern w:val="0"/>
          <w:sz w:val="24"/>
          <w:lang w:eastAsia="zh-CN"/>
        </w:rPr>
        <w:t>。</w:t>
      </w:r>
    </w:p>
    <w:p>
      <w:pPr>
        <w:pStyle w:val="9"/>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9"/>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9"/>
        <w:spacing w:line="360" w:lineRule="auto"/>
        <w:ind w:firstLine="480" w:firstLineChars="200"/>
        <w:rPr>
          <w:rFonts w:ascii="宋体" w:hAnsi="宋体"/>
          <w:sz w:val="24"/>
          <w:lang w:val="en-GB"/>
        </w:rPr>
      </w:pPr>
      <w:r>
        <w:rPr>
          <w:rFonts w:hint="eastAsia" w:ascii="宋体" w:hAnsi="宋体"/>
          <w:sz w:val="24"/>
        </w:rPr>
        <w:t>1.投标文件有效期为</w:t>
      </w:r>
      <w:r>
        <w:rPr>
          <w:rFonts w:hint="eastAsia" w:ascii="宋体" w:hAnsi="宋体"/>
          <w:sz w:val="24"/>
          <w:lang w:val="en-GB"/>
        </w:rPr>
        <w:t>投标截止日起90天。</w:t>
      </w:r>
    </w:p>
    <w:p>
      <w:pPr>
        <w:pStyle w:val="9"/>
        <w:spacing w:line="360" w:lineRule="auto"/>
        <w:ind w:firstLine="480" w:firstLineChars="200"/>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w:t>
      </w:r>
    </w:p>
    <w:p>
      <w:pPr>
        <w:snapToGrid w:val="0"/>
        <w:spacing w:line="360" w:lineRule="auto"/>
        <w:ind w:firstLine="480" w:firstLineChars="200"/>
        <w:outlineLvl w:val="0"/>
        <w:rPr>
          <w:rFonts w:asciiTheme="minorEastAsia" w:hAnsiTheme="minorEastAsia" w:eastAsiaTheme="minorEastAsia"/>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投标文件</w:t>
      </w:r>
      <w:r>
        <w:rPr>
          <w:rFonts w:asciiTheme="minorEastAsia" w:hAnsiTheme="minorEastAsia" w:eastAsiaTheme="minorEastAsia"/>
          <w:sz w:val="24"/>
        </w:rPr>
        <w:t>自开标之日起至合同履行完毕均应保持有效。</w:t>
      </w:r>
    </w:p>
    <w:p>
      <w:pPr>
        <w:snapToGrid w:val="0"/>
        <w:spacing w:line="360" w:lineRule="auto"/>
        <w:ind w:firstLine="482" w:firstLineChars="200"/>
        <w:outlineLvl w:val="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9"/>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9"/>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9"/>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9"/>
        <w:spacing w:line="360" w:lineRule="auto"/>
        <w:ind w:firstLine="480" w:firstLineChars="200"/>
        <w:rPr>
          <w:sz w:val="24"/>
          <w:szCs w:val="22"/>
        </w:rPr>
      </w:pPr>
      <w:r>
        <w:rPr>
          <w:rFonts w:hint="eastAsia" w:cs="宋体" w:asciiTheme="minorEastAsia" w:hAnsiTheme="minorEastAsia" w:eastAsiaTheme="minorEastAsia"/>
          <w:sz w:val="24"/>
          <w:szCs w:val="24"/>
        </w:rPr>
        <w:t>4.采</w:t>
      </w:r>
      <w:r>
        <w:rPr>
          <w:rFonts w:hint="eastAsia"/>
          <w:sz w:val="24"/>
          <w:szCs w:val="22"/>
        </w:rPr>
        <w:t>购组织机构工作人员当众宣布投标人名称、投标价格和招标文件规定的需要宣布的其他内容；（以开标一览表要求为准）；</w:t>
      </w:r>
    </w:p>
    <w:p>
      <w:pPr>
        <w:pStyle w:val="9"/>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9"/>
        <w:spacing w:line="360" w:lineRule="auto"/>
        <w:ind w:firstLine="482" w:firstLineChars="200"/>
        <w:rPr>
          <w:b/>
          <w:bCs/>
          <w:sz w:val="24"/>
          <w:szCs w:val="22"/>
        </w:rPr>
      </w:pPr>
      <w:r>
        <w:rPr>
          <w:rFonts w:hint="eastAsia"/>
          <w:b/>
          <w:bCs/>
          <w:sz w:val="24"/>
          <w:szCs w:val="22"/>
        </w:rPr>
        <w:t>（二）开标异议</w:t>
      </w:r>
    </w:p>
    <w:p>
      <w:pPr>
        <w:pStyle w:val="9"/>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9"/>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2"/>
        <w:snapToGrid w:val="0"/>
        <w:spacing w:line="360" w:lineRule="auto"/>
        <w:ind w:firstLine="482" w:firstLineChars="200"/>
        <w:outlineLvl w:val="1"/>
        <w:rPr>
          <w:rFonts w:asciiTheme="minorEastAsia" w:hAnsiTheme="minorEastAsia"/>
          <w:b/>
          <w:sz w:val="24"/>
        </w:rPr>
      </w:pPr>
      <w:r>
        <w:rPr>
          <w:rFonts w:hint="eastAsia" w:asciiTheme="minorEastAsia" w:hAnsiTheme="minorEastAsia" w:eastAsiaTheme="minorEastAsia"/>
          <w:b/>
          <w:sz w:val="24"/>
        </w:rPr>
        <w:t>六、评标（详见第四章）</w:t>
      </w:r>
    </w:p>
    <w:p>
      <w:pPr>
        <w:pStyle w:val="18"/>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（一）</w:t>
      </w:r>
      <w:r>
        <w:t>确定中标人。</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0" w:firstLineChars="200"/>
        <w:rPr>
          <w:rFonts w:ascii="宋体" w:hAnsi="宋体"/>
          <w:kern w:val="0"/>
          <w:sz w:val="24"/>
        </w:rPr>
      </w:pPr>
      <w:r>
        <w:rPr>
          <w:rFonts w:hint="eastAsia" w:asciiTheme="minorEastAsia" w:hAnsiTheme="minorEastAsia" w:eastAsiaTheme="minorEastAsia"/>
          <w:sz w:val="24"/>
        </w:rPr>
        <w:t>（二）</w:t>
      </w:r>
      <w:r>
        <w:rPr>
          <w:rFonts w:hint="eastAsia" w:ascii="宋体" w:hAnsi="宋体"/>
          <w:kern w:val="0"/>
          <w:sz w:val="24"/>
        </w:rPr>
        <w:t>发布</w:t>
      </w:r>
      <w:r>
        <w:rPr>
          <w:sz w:val="24"/>
        </w:rPr>
        <w:t>中标</w:t>
      </w:r>
      <w:r>
        <w:rPr>
          <w:rFonts w:hint="eastAsia" w:ascii="宋体" w:hAnsi="宋体"/>
          <w:kern w:val="0"/>
          <w:sz w:val="24"/>
        </w:rPr>
        <w:t>结果公告。采购组织机构自中标人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 1 个工作日</w:t>
      </w:r>
      <w:r>
        <w:rPr>
          <w:rFonts w:hint="eastAsia" w:ascii="宋体" w:hAnsi="宋体"/>
          <w:kern w:val="0"/>
          <w:sz w:val="24"/>
        </w:rPr>
        <w:t>。</w:t>
      </w:r>
    </w:p>
    <w:p>
      <w:pPr>
        <w:pStyle w:val="10"/>
        <w:spacing w:line="360" w:lineRule="auto"/>
        <w:ind w:firstLine="480" w:firstLineChars="200"/>
        <w:jc w:val="both"/>
      </w:pPr>
      <w:r>
        <w:rPr>
          <w:rFonts w:hint="eastAsia" w:ascii="宋体" w:hAnsi="宋体"/>
          <w:kern w:val="0"/>
          <w:sz w:val="24"/>
        </w:rPr>
        <w:t>（三）发放中标通知书。采购组织机构在发布中标结果公告的同时，</w:t>
      </w:r>
      <w:r>
        <w:rPr>
          <w:rFonts w:hint="eastAsia"/>
          <w:sz w:val="24"/>
        </w:rPr>
        <w:t>通过政采云平台</w:t>
      </w:r>
      <w:r>
        <w:rPr>
          <w:rFonts w:hint="eastAsia" w:ascii="宋体" w:hAnsi="宋体"/>
          <w:kern w:val="0"/>
          <w:sz w:val="24"/>
        </w:rPr>
        <w:t>向中标人</w:t>
      </w:r>
      <w:r>
        <w:rPr>
          <w:rFonts w:hint="eastAsia"/>
          <w:sz w:val="24"/>
        </w:rPr>
        <w:t>发放中标通知书</w:t>
      </w:r>
      <w:r>
        <w:rPr>
          <w:rFonts w:hint="eastAsia" w:ascii="宋体" w:hAnsi="宋体"/>
          <w:kern w:val="0"/>
          <w:sz w:val="24"/>
        </w:rPr>
        <w:t>。</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8"/>
        <w:spacing w:before="0" w:beforeAutospacing="0" w:after="0" w:afterAutospacing="0" w:line="360" w:lineRule="auto"/>
        <w:ind w:firstLine="480" w:firstLineChars="200"/>
        <w:jc w:val="both"/>
        <w:rPr>
          <w:rFonts w:hint="default"/>
        </w:rPr>
      </w:pPr>
      <w: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18"/>
        <w:spacing w:before="0" w:beforeAutospacing="0" w:after="0" w:afterAutospacing="0" w:line="360" w:lineRule="auto"/>
        <w:ind w:firstLine="480" w:firstLineChars="200"/>
        <w:jc w:val="both"/>
        <w:rPr>
          <w:rFonts w:hint="default"/>
        </w:rPr>
      </w:pPr>
      <w:r>
        <w:t>2.采购人不得向中标人提出任何不合理的要求作为签订合同的条件。</w:t>
      </w:r>
    </w:p>
    <w:p>
      <w:pPr>
        <w:pStyle w:val="18"/>
        <w:spacing w:before="0" w:beforeAutospacing="0" w:after="0" w:afterAutospacing="0" w:line="360" w:lineRule="auto"/>
        <w:ind w:firstLine="480" w:firstLineChars="200"/>
        <w:jc w:val="both"/>
        <w:rPr>
          <w:rFonts w:hint="default"/>
        </w:rPr>
      </w:pPr>
      <w:r>
        <w:t>3.中标人无故拖延、拒签合同的,将取消中标资格。</w:t>
      </w:r>
    </w:p>
    <w:p>
      <w:pPr>
        <w:pStyle w:val="18"/>
        <w:spacing w:before="0" w:beforeAutospacing="0" w:after="0" w:afterAutospacing="0" w:line="360" w:lineRule="auto"/>
        <w:ind w:firstLine="480" w:firstLineChars="200"/>
        <w:jc w:val="both"/>
        <w:rPr>
          <w:rFonts w:hint="default"/>
        </w:rPr>
      </w:pPr>
      <w: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8"/>
        <w:spacing w:before="0" w:beforeAutospacing="0" w:after="0" w:afterAutospacing="0" w:line="360" w:lineRule="auto"/>
        <w:ind w:firstLine="480" w:firstLineChars="200"/>
        <w:jc w:val="both"/>
        <w:rPr>
          <w:rFonts w:hint="default"/>
        </w:rPr>
      </w:pPr>
      <w:r>
        <w:t>5.询问或者质疑事项可能影响中标结果的，采购人应当暂停签订合同，已经签订合同的，应当中止履行合同。</w:t>
      </w:r>
    </w:p>
    <w:p>
      <w:pPr>
        <w:pStyle w:val="18"/>
        <w:spacing w:before="0" w:beforeAutospacing="0" w:after="0" w:afterAutospacing="0" w:line="360" w:lineRule="auto"/>
        <w:ind w:firstLine="482" w:firstLineChars="200"/>
        <w:jc w:val="both"/>
        <w:rPr>
          <w:rFonts w:hint="default" w:cs="仿宋_GB2312"/>
          <w:b/>
        </w:rPr>
      </w:pPr>
      <w:r>
        <w:rPr>
          <w:b/>
        </w:rPr>
        <w:t>（二）合同公告及备案</w:t>
      </w:r>
    </w:p>
    <w:p>
      <w:pPr>
        <w:pStyle w:val="11"/>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0"/>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10"/>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10"/>
        <w:spacing w:line="360" w:lineRule="auto"/>
        <w:ind w:firstLine="482" w:firstLineChars="200"/>
        <w:jc w:val="both"/>
        <w:rPr>
          <w:rFonts w:ascii="宋体" w:hAnsi="宋体"/>
          <w:b/>
          <w:bCs/>
          <w:sz w:val="24"/>
        </w:rPr>
      </w:pPr>
      <w:r>
        <w:rPr>
          <w:rFonts w:hint="eastAsia" w:ascii="宋体" w:hAnsi="宋体"/>
          <w:b/>
          <w:bCs/>
          <w:sz w:val="24"/>
        </w:rPr>
        <w:t>（一）询问</w:t>
      </w:r>
    </w:p>
    <w:p>
      <w:pPr>
        <w:pStyle w:val="10"/>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w:t>
      </w:r>
      <w:r>
        <w:rPr>
          <w:rFonts w:hint="eastAsia"/>
          <w:sz w:val="24"/>
        </w:rPr>
        <w:t>第一章“</w:t>
      </w:r>
      <w:r>
        <w:rPr>
          <w:rFonts w:hint="eastAsia" w:ascii="宋体" w:hAnsi="宋体"/>
          <w:sz w:val="24"/>
        </w:rPr>
        <w:t>投标邀请</w:t>
      </w:r>
      <w:r>
        <w:rPr>
          <w:rFonts w:hint="eastAsia"/>
          <w:sz w:val="24"/>
        </w:rPr>
        <w:t>”</w:t>
      </w:r>
      <w:r>
        <w:rPr>
          <w:rFonts w:hint="eastAsia" w:ascii="宋体" w:hAnsi="宋体"/>
          <w:sz w:val="24"/>
        </w:rPr>
        <w:t>中“采购人、采购组织机构的名称、地址和联系方式”。</w:t>
      </w:r>
    </w:p>
    <w:p>
      <w:pPr>
        <w:pStyle w:val="10"/>
        <w:spacing w:line="360" w:lineRule="auto"/>
        <w:ind w:firstLine="482" w:firstLineChars="200"/>
        <w:jc w:val="both"/>
        <w:rPr>
          <w:rFonts w:ascii="宋体" w:hAnsi="宋体"/>
          <w:b/>
          <w:bCs/>
          <w:sz w:val="24"/>
        </w:rPr>
      </w:pPr>
      <w:r>
        <w:rPr>
          <w:rFonts w:hint="eastAsia" w:ascii="宋体" w:hAnsi="宋体"/>
          <w:b/>
          <w:bCs/>
          <w:sz w:val="24"/>
        </w:rPr>
        <w:t>（二）质疑</w:t>
      </w:r>
    </w:p>
    <w:p>
      <w:pPr>
        <w:pStyle w:val="10"/>
        <w:spacing w:line="360" w:lineRule="auto"/>
        <w:ind w:firstLine="480" w:firstLineChars="200"/>
        <w:jc w:val="both"/>
        <w:rPr>
          <w:rFonts w:ascii="宋体" w:hAnsi="宋体"/>
          <w:sz w:val="24"/>
        </w:rPr>
      </w:pPr>
      <w:r>
        <w:rPr>
          <w:rFonts w:hint="eastAsia" w:ascii="宋体" w:hAnsi="宋体"/>
          <w:sz w:val="24"/>
        </w:rPr>
        <w:t>1.报名本项目的投标人认为招标文件、采购过程和中标结果使自己的权益受到损害的，通过政采云平台的质疑系统一次性向采购人或采购组织机构提出质疑：</w:t>
      </w:r>
    </w:p>
    <w:p>
      <w:pPr>
        <w:pStyle w:val="10"/>
        <w:spacing w:line="360" w:lineRule="auto"/>
        <w:ind w:firstLine="480" w:firstLineChars="200"/>
        <w:jc w:val="both"/>
        <w:rPr>
          <w:rFonts w:ascii="宋体" w:hAnsi="宋体"/>
          <w:sz w:val="24"/>
        </w:rPr>
      </w:pPr>
      <w:r>
        <w:rPr>
          <w:rFonts w:hint="eastAsia" w:ascii="宋体" w:hAnsi="宋体"/>
          <w:sz w:val="24"/>
        </w:rPr>
        <w:t>（1）投标人认为招标文件的内容损害其权益的，应当自获取之日起（获取截止日之后收到招标文件的，以获取截止日为准）7个工作日内提出质疑；</w:t>
      </w:r>
    </w:p>
    <w:p>
      <w:pPr>
        <w:pStyle w:val="10"/>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10"/>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10"/>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10"/>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0"/>
        <w:spacing w:line="360" w:lineRule="auto"/>
        <w:ind w:firstLine="482" w:firstLineChars="200"/>
        <w:jc w:val="both"/>
        <w:rPr>
          <w:rFonts w:ascii="宋体" w:hAnsi="宋体"/>
          <w:b/>
          <w:bCs/>
          <w:sz w:val="24"/>
        </w:rPr>
      </w:pPr>
      <w:r>
        <w:rPr>
          <w:rFonts w:hint="eastAsia" w:ascii="宋体" w:hAnsi="宋体"/>
          <w:b/>
          <w:bCs/>
          <w:sz w:val="24"/>
        </w:rPr>
        <w:t>（三）投诉</w:t>
      </w:r>
    </w:p>
    <w:p>
      <w:pPr>
        <w:pStyle w:val="10"/>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10"/>
        <w:spacing w:line="360" w:lineRule="auto"/>
        <w:ind w:firstLine="480" w:firstLineChars="200"/>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8" w:name="_Toc13072_WPSOffice_Level1"/>
      <w:r>
        <w:rPr>
          <w:rFonts w:hint="eastAsia" w:asciiTheme="minorEastAsia" w:hAnsiTheme="minorEastAsia" w:eastAsiaTheme="minorEastAsia"/>
          <w:b/>
          <w:sz w:val="36"/>
          <w:szCs w:val="36"/>
        </w:rPr>
        <w:t>招标需求</w:t>
      </w:r>
      <w:bookmarkEnd w:id="38"/>
    </w:p>
    <w:p>
      <w:pPr>
        <w:tabs>
          <w:tab w:val="left" w:pos="8280"/>
        </w:tabs>
        <w:autoSpaceDE w:val="0"/>
        <w:autoSpaceDN w:val="0"/>
        <w:adjustRightIn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20"/>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477"/>
        <w:gridCol w:w="1620"/>
        <w:gridCol w:w="690"/>
        <w:gridCol w:w="705"/>
        <w:gridCol w:w="1069"/>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2477"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620"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690"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705"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069"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总预算（万元）</w:t>
            </w:r>
          </w:p>
        </w:tc>
        <w:tc>
          <w:tcPr>
            <w:tcW w:w="1203" w:type="dxa"/>
            <w:vAlign w:val="center"/>
          </w:tcPr>
          <w:p>
            <w:pPr>
              <w:tabs>
                <w:tab w:val="left" w:pos="8280"/>
              </w:tabs>
              <w:autoSpaceDE w:val="0"/>
              <w:autoSpaceDN w:val="0"/>
              <w:adjustRightInd w:val="0"/>
              <w:jc w:val="center"/>
              <w:rPr>
                <w:rFonts w:ascii="宋体" w:hAnsi="宋体"/>
                <w:b/>
                <w:sz w:val="21"/>
                <w:szCs w:val="21"/>
              </w:rPr>
            </w:pPr>
            <w:r>
              <w:rPr>
                <w:rFonts w:hint="eastAsia" w:ascii="宋体" w:hAnsi="宋体"/>
                <w:b/>
                <w:sz w:val="21"/>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2477"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szCs w:val="21"/>
                <w:highlight w:val="none"/>
              </w:rPr>
              <w:t>雪亮工程台州市人民政府立体防控安保建设（视频AI+平台硬件）项目</w:t>
            </w:r>
          </w:p>
        </w:tc>
        <w:tc>
          <w:tcPr>
            <w:tcW w:w="1620"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eastAsia="宋体" w:cs="宋体"/>
                <w:sz w:val="21"/>
                <w:szCs w:val="21"/>
              </w:rPr>
              <w:t>详见技术需求</w:t>
            </w:r>
          </w:p>
        </w:tc>
        <w:tc>
          <w:tcPr>
            <w:tcW w:w="690" w:type="dxa"/>
            <w:vAlign w:val="center"/>
          </w:tcPr>
          <w:p>
            <w:pPr>
              <w:tabs>
                <w:tab w:val="left" w:pos="8280"/>
              </w:tabs>
              <w:autoSpaceDE w:val="0"/>
              <w:autoSpaceDN w:val="0"/>
              <w:adjustRightInd w:val="0"/>
              <w:jc w:val="center"/>
              <w:rPr>
                <w:rFonts w:hint="eastAsia" w:ascii="宋体" w:hAnsi="宋体" w:eastAsia="宋体" w:cs="宋体"/>
                <w:bCs/>
                <w:sz w:val="21"/>
                <w:szCs w:val="21"/>
              </w:rPr>
            </w:pPr>
            <w:r>
              <w:rPr>
                <w:rFonts w:hint="eastAsia" w:asciiTheme="minorEastAsia" w:hAnsiTheme="minorEastAsia" w:eastAsiaTheme="minorEastAsia" w:cstheme="minorEastAsia"/>
                <w:bCs/>
                <w:sz w:val="24"/>
                <w:lang w:val="en-US" w:eastAsia="zh-CN"/>
              </w:rPr>
              <w:t>1</w:t>
            </w:r>
          </w:p>
        </w:tc>
        <w:tc>
          <w:tcPr>
            <w:tcW w:w="705" w:type="dxa"/>
            <w:vAlign w:val="center"/>
          </w:tcPr>
          <w:p>
            <w:pPr>
              <w:tabs>
                <w:tab w:val="left" w:pos="8280"/>
              </w:tabs>
              <w:autoSpaceDE w:val="0"/>
              <w:autoSpaceDN w:val="0"/>
              <w:adjustRightInd w:val="0"/>
              <w:jc w:val="center"/>
              <w:rPr>
                <w:rFonts w:hint="eastAsia" w:ascii="宋体" w:hAnsi="宋体" w:eastAsia="宋体" w:cs="宋体"/>
                <w:bCs/>
                <w:sz w:val="21"/>
                <w:szCs w:val="21"/>
              </w:rPr>
            </w:pPr>
            <w:r>
              <w:rPr>
                <w:rFonts w:hint="eastAsia" w:asciiTheme="minorEastAsia" w:hAnsiTheme="minorEastAsia" w:eastAsiaTheme="minorEastAsia" w:cstheme="minorEastAsia"/>
                <w:bCs/>
                <w:sz w:val="24"/>
                <w:lang w:eastAsia="zh-CN"/>
              </w:rPr>
              <w:t>项</w:t>
            </w:r>
          </w:p>
        </w:tc>
        <w:tc>
          <w:tcPr>
            <w:tcW w:w="1069" w:type="dxa"/>
            <w:vAlign w:val="center"/>
          </w:tcPr>
          <w:p>
            <w:pPr>
              <w:tabs>
                <w:tab w:val="left" w:pos="8280"/>
              </w:tabs>
              <w:autoSpaceDE w:val="0"/>
              <w:autoSpaceDN w:val="0"/>
              <w:adjustRightInd w:val="0"/>
              <w:jc w:val="center"/>
              <w:rPr>
                <w:rFonts w:hint="eastAsia" w:ascii="宋体" w:hAnsi="宋体" w:eastAsia="宋体" w:cs="宋体"/>
                <w:bCs/>
                <w:sz w:val="21"/>
                <w:szCs w:val="21"/>
              </w:rPr>
            </w:pPr>
            <w:r>
              <w:rPr>
                <w:rFonts w:hint="eastAsia" w:asciiTheme="minorEastAsia" w:hAnsiTheme="minorEastAsia" w:eastAsiaTheme="minorEastAsia" w:cstheme="minorEastAsia"/>
                <w:bCs/>
                <w:sz w:val="24"/>
                <w:lang w:val="en-US" w:eastAsia="zh-CN"/>
              </w:rPr>
              <w:t>607</w:t>
            </w:r>
          </w:p>
        </w:tc>
        <w:tc>
          <w:tcPr>
            <w:tcW w:w="1203"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sz w:val="24"/>
                <w:lang w:val="en-US" w:eastAsia="zh-CN"/>
              </w:rPr>
              <w:t>574.6</w:t>
            </w:r>
          </w:p>
        </w:tc>
      </w:tr>
    </w:tbl>
    <w:p>
      <w:pPr>
        <w:tabs>
          <w:tab w:val="left" w:pos="8280"/>
        </w:tabs>
        <w:autoSpaceDE w:val="0"/>
        <w:autoSpaceDN w:val="0"/>
        <w:adjustRightInd w:val="0"/>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sz w:val="24"/>
        </w:rPr>
        <w:t>二、技术需求</w:t>
      </w:r>
    </w:p>
    <w:p>
      <w:pPr>
        <w:numPr>
          <w:ilvl w:val="0"/>
          <w:numId w:val="0"/>
        </w:numPr>
        <w:spacing w:line="360" w:lineRule="auto"/>
        <w:rPr>
          <w:rFonts w:ascii="宋体" w:hAnsi="宋体" w:cs="宋体"/>
          <w:b/>
          <w:bCs/>
          <w:sz w:val="32"/>
          <w:szCs w:val="32"/>
          <w:highlight w:val="none"/>
        </w:rPr>
      </w:pPr>
      <w:r>
        <w:rPr>
          <w:rFonts w:hint="eastAsia" w:ascii="宋体" w:hAnsi="宋体" w:cs="宋体"/>
          <w:b/>
          <w:bCs/>
          <w:sz w:val="32"/>
          <w:szCs w:val="32"/>
          <w:highlight w:val="none"/>
          <w:lang w:eastAsia="zh-CN"/>
        </w:rPr>
        <w:t>（一）</w:t>
      </w:r>
      <w:r>
        <w:rPr>
          <w:rFonts w:hint="eastAsia" w:ascii="宋体" w:hAnsi="宋体" w:cs="宋体"/>
          <w:b/>
          <w:bCs/>
          <w:sz w:val="32"/>
          <w:szCs w:val="32"/>
          <w:highlight w:val="none"/>
        </w:rPr>
        <w:t>项目需要实现的功能或目标</w:t>
      </w:r>
    </w:p>
    <w:p>
      <w:pPr>
        <w:pageBreakBefore w:val="0"/>
        <w:widowControl w:val="0"/>
        <w:kinsoku/>
        <w:wordWrap/>
        <w:overflowPunct/>
        <w:topLinePunct w:val="0"/>
        <w:autoSpaceDE/>
        <w:autoSpaceDN/>
        <w:bidi w:val="0"/>
        <w:snapToGrid/>
        <w:spacing w:line="360" w:lineRule="auto"/>
        <w:ind w:firstLine="241" w:firstLineChars="100"/>
        <w:rPr>
          <w:rFonts w:hint="eastAsia" w:ascii="宋体" w:hAnsi="宋体" w:cs="___WRD_EMBED_SUB_41"/>
          <w:b/>
          <w:bCs/>
          <w:sz w:val="24"/>
          <w:szCs w:val="32"/>
          <w:highlight w:val="none"/>
          <w:lang w:val="en-US" w:eastAsia="zh-CN"/>
        </w:rPr>
      </w:pPr>
      <w:r>
        <w:rPr>
          <w:rFonts w:hint="eastAsia" w:ascii="宋体" w:hAnsi="宋体" w:cs="___WRD_EMBED_SUB_41"/>
          <w:b/>
          <w:bCs/>
          <w:sz w:val="24"/>
          <w:szCs w:val="32"/>
          <w:highlight w:val="none"/>
          <w:lang w:val="en-US" w:eastAsia="zh-CN"/>
        </w:rPr>
        <w:t>1.与本项目相关的信息化建设现状情况说明：</w:t>
      </w:r>
    </w:p>
    <w:p>
      <w:pPr>
        <w:pStyle w:val="2"/>
        <w:pageBreakBefore w:val="0"/>
        <w:widowControl w:val="0"/>
        <w:kinsoku/>
        <w:wordWrap/>
        <w:overflowPunct/>
        <w:topLinePunct w:val="0"/>
        <w:autoSpaceDE/>
        <w:autoSpaceDN/>
        <w:bidi w:val="0"/>
        <w:snapToGrid/>
        <w:spacing w:after="0" w:line="360" w:lineRule="auto"/>
        <w:ind w:firstLine="480"/>
        <w:rPr>
          <w:rFonts w:hint="eastAsia" w:ascii="宋体" w:hAnsi="宋体" w:cs="宋体"/>
          <w:highlight w:val="none"/>
        </w:rPr>
      </w:pPr>
      <w:r>
        <w:rPr>
          <w:rFonts w:hint="eastAsia" w:ascii="宋体" w:hAnsi="宋体" w:cs="宋体"/>
          <w:highlight w:val="none"/>
          <w:lang w:val="en-US" w:eastAsia="zh-CN"/>
        </w:rPr>
        <w:t>台州市公安局</w:t>
      </w:r>
      <w:r>
        <w:rPr>
          <w:rFonts w:hint="eastAsia" w:ascii="宋体" w:hAnsi="宋体" w:cs="宋体"/>
          <w:sz w:val="24"/>
          <w:szCs w:val="24"/>
          <w:highlight w:val="none"/>
        </w:rPr>
        <w:t>智能视频分析系统</w:t>
      </w:r>
      <w:r>
        <w:rPr>
          <w:rFonts w:hint="eastAsia" w:ascii="宋体" w:hAnsi="宋体" w:cs="宋体"/>
          <w:highlight w:val="none"/>
        </w:rPr>
        <w:t>主要建设内容有：</w:t>
      </w:r>
    </w:p>
    <w:p>
      <w:pPr>
        <w:pStyle w:val="2"/>
        <w:pageBreakBefore w:val="0"/>
        <w:widowControl w:val="0"/>
        <w:kinsoku/>
        <w:wordWrap/>
        <w:overflowPunct/>
        <w:topLinePunct w:val="0"/>
        <w:autoSpaceDE/>
        <w:autoSpaceDN/>
        <w:bidi w:val="0"/>
        <w:snapToGrid/>
        <w:spacing w:after="0" w:line="360" w:lineRule="auto"/>
        <w:ind w:firstLine="420" w:firstLineChars="0"/>
        <w:rPr>
          <w:rFonts w:hint="eastAsia" w:ascii="宋体" w:hAnsi="宋体" w:eastAsia="宋体" w:cs="宋体"/>
          <w:highlight w:val="none"/>
        </w:rPr>
      </w:pPr>
      <w:r>
        <w:rPr>
          <w:rFonts w:hint="eastAsia" w:ascii="宋体" w:hAnsi="宋体" w:cs="宋体"/>
          <w:highlight w:val="none"/>
          <w:lang w:val="en-US" w:eastAsia="zh-CN"/>
        </w:rPr>
        <w:t>（1）</w:t>
      </w:r>
      <w:r>
        <w:rPr>
          <w:rFonts w:hint="eastAsia" w:ascii="宋体" w:hAnsi="宋体" w:eastAsia="宋体" w:cs="宋体"/>
          <w:highlight w:val="none"/>
        </w:rPr>
        <w:t>视频结构化应用功能，实现对600路1080P视频流做实时结构化分析，并提供离线视频导入结构化分析能力。</w:t>
      </w:r>
    </w:p>
    <w:p>
      <w:pPr>
        <w:pStyle w:val="2"/>
        <w:pageBreakBefore w:val="0"/>
        <w:widowControl w:val="0"/>
        <w:kinsoku/>
        <w:wordWrap/>
        <w:overflowPunct/>
        <w:topLinePunct w:val="0"/>
        <w:autoSpaceDE/>
        <w:autoSpaceDN/>
        <w:bidi w:val="0"/>
        <w:snapToGrid/>
        <w:spacing w:after="0" w:line="360" w:lineRule="auto"/>
        <w:ind w:firstLine="420" w:firstLineChars="0"/>
        <w:rPr>
          <w:rFonts w:hint="eastAsia" w:ascii="宋体" w:hAnsi="宋体" w:eastAsia="宋体" w:cs="宋体"/>
          <w:highlight w:val="none"/>
        </w:rPr>
      </w:pPr>
      <w:r>
        <w:rPr>
          <w:rFonts w:hint="eastAsia" w:ascii="宋体" w:hAnsi="宋体" w:cs="宋体"/>
          <w:highlight w:val="none"/>
          <w:lang w:val="en-US" w:eastAsia="zh-CN"/>
        </w:rPr>
        <w:t>（2）</w:t>
      </w:r>
      <w:r>
        <w:rPr>
          <w:rFonts w:hint="eastAsia" w:ascii="宋体" w:hAnsi="宋体" w:eastAsia="宋体" w:cs="宋体"/>
          <w:highlight w:val="none"/>
        </w:rPr>
        <w:t>视频流标注应用功能及AI视频巡查应用，实现48路的视频流标注功能，利用视频结构化技术对视频监控进行特征提取并开展视频巡查的功能建设，实现视频巡逻、48路视频标注、实时预警等功能，将视频流标注技术与视频轮巡业务进行融合以实现智能化轮巡的作用，方便***民警在进行视频轮巡任务更好的发现</w:t>
      </w:r>
      <w:r>
        <w:rPr>
          <w:rFonts w:hint="eastAsia" w:ascii="宋体" w:hAnsi="宋体" w:eastAsia="宋体" w:cs="宋体"/>
          <w:highlight w:val="none"/>
          <w:lang w:val="en-US" w:eastAsia="zh-CN"/>
        </w:rPr>
        <w:t>关注</w:t>
      </w:r>
      <w:r>
        <w:rPr>
          <w:rFonts w:hint="eastAsia" w:ascii="宋体" w:hAnsi="宋体" w:eastAsia="宋体" w:cs="宋体"/>
          <w:highlight w:val="none"/>
        </w:rPr>
        <w:t>人群，辅助市政府日常安保工作的开展。</w:t>
      </w:r>
    </w:p>
    <w:p>
      <w:pPr>
        <w:pStyle w:val="2"/>
        <w:pageBreakBefore w:val="0"/>
        <w:widowControl w:val="0"/>
        <w:kinsoku/>
        <w:wordWrap/>
        <w:overflowPunct/>
        <w:topLinePunct w:val="0"/>
        <w:autoSpaceDE/>
        <w:autoSpaceDN/>
        <w:bidi w:val="0"/>
        <w:snapToGrid/>
        <w:spacing w:after="0" w:line="360" w:lineRule="auto"/>
        <w:ind w:firstLine="420" w:firstLineChars="0"/>
        <w:rPr>
          <w:rFonts w:hint="eastAsia" w:ascii="宋体" w:hAnsi="宋体" w:eastAsia="宋体" w:cs="宋体"/>
          <w:highlight w:val="none"/>
        </w:rPr>
      </w:pPr>
      <w:r>
        <w:rPr>
          <w:rFonts w:hint="eastAsia" w:ascii="宋体" w:hAnsi="宋体" w:cs="宋体"/>
          <w:highlight w:val="none"/>
          <w:lang w:eastAsia="zh-CN"/>
        </w:rPr>
        <w:t>（</w:t>
      </w:r>
      <w:r>
        <w:rPr>
          <w:rFonts w:hint="eastAsia" w:ascii="宋体" w:hAnsi="宋体" w:cs="宋体"/>
          <w:highlight w:val="none"/>
          <w:lang w:val="en-US" w:eastAsia="zh-CN"/>
        </w:rPr>
        <w:t>3</w:t>
      </w:r>
      <w:r>
        <w:rPr>
          <w:rFonts w:hint="eastAsia" w:ascii="宋体" w:hAnsi="宋体" w:cs="宋体"/>
          <w:highlight w:val="none"/>
          <w:lang w:eastAsia="zh-CN"/>
        </w:rPr>
        <w:t>）</w:t>
      </w:r>
      <w:r>
        <w:rPr>
          <w:rFonts w:hint="eastAsia" w:ascii="宋体" w:hAnsi="宋体" w:eastAsia="宋体" w:cs="宋体"/>
          <w:highlight w:val="none"/>
        </w:rPr>
        <w:t>安保防控圈，以防控圈建设内容为基础，以预警事件处理为核心，**日常为辅助，集警情处理、指挥调度为一体，进一步明确规范群体性事件和重大突发案件的指挥调度工作，确保处置工作高效、有序进行。</w:t>
      </w:r>
    </w:p>
    <w:p>
      <w:pPr>
        <w:pStyle w:val="2"/>
        <w:keepNext w:val="0"/>
        <w:keepLines w:val="0"/>
        <w:pageBreakBefore w:val="0"/>
        <w:widowControl w:val="0"/>
        <w:numPr>
          <w:ilvl w:val="0"/>
          <w:numId w:val="6"/>
        </w:numPr>
        <w:kinsoku/>
        <w:wordWrap/>
        <w:overflowPunct/>
        <w:topLinePunct w:val="0"/>
        <w:autoSpaceDE/>
        <w:autoSpaceDN/>
        <w:bidi w:val="0"/>
        <w:adjustRightInd w:val="0"/>
        <w:snapToGrid/>
        <w:spacing w:after="0" w:line="360" w:lineRule="auto"/>
        <w:ind w:left="0" w:leftChars="0" w:firstLine="482" w:firstLineChars="200"/>
        <w:textAlignment w:val="baseline"/>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硬件部分建设成果</w:t>
      </w:r>
    </w:p>
    <w:p>
      <w:pPr>
        <w:pStyle w:val="2"/>
        <w:pageBreakBefore w:val="0"/>
        <w:widowControl w:val="0"/>
        <w:kinsoku/>
        <w:wordWrap/>
        <w:overflowPunct/>
        <w:topLinePunct w:val="0"/>
        <w:autoSpaceDE/>
        <w:autoSpaceDN/>
        <w:bidi w:val="0"/>
        <w:snapToGrid/>
        <w:spacing w:after="0" w:line="360" w:lineRule="auto"/>
        <w:ind w:firstLine="420" w:firstLineChars="0"/>
        <w:rPr>
          <w:rFonts w:hint="eastAsia" w:ascii="宋体" w:hAnsi="宋体" w:cs="宋体"/>
          <w:highlight w:val="none"/>
        </w:rPr>
      </w:pPr>
      <w:r>
        <w:rPr>
          <w:rFonts w:hint="eastAsia" w:ascii="宋体" w:hAnsi="宋体" w:cs="宋体"/>
          <w:highlight w:val="none"/>
        </w:rPr>
        <w:t>所有硬件设备部署在移动IDC机房，部署环境为在公安网，包括5台结构化智能服务器（600路视频结构化），2台视频标注服务器（48路视频流标注），8台云数据库服务器（200亿条结构化数据存储），4台应用服务器（平台基础服务及应用搭建）及2台比对服务器（200万人脸底库，200张/秒）组成。</w:t>
      </w:r>
    </w:p>
    <w:p>
      <w:pPr>
        <w:pStyle w:val="2"/>
        <w:pageBreakBefore w:val="0"/>
        <w:widowControl w:val="0"/>
        <w:kinsoku/>
        <w:wordWrap/>
        <w:overflowPunct/>
        <w:topLinePunct w:val="0"/>
        <w:autoSpaceDE/>
        <w:autoSpaceDN/>
        <w:bidi w:val="0"/>
        <w:snapToGrid/>
        <w:spacing w:after="0" w:line="360" w:lineRule="auto"/>
        <w:ind w:firstLine="480"/>
        <w:rPr>
          <w:rFonts w:hint="eastAsia" w:ascii="宋体" w:hAnsi="宋体" w:cs="宋体"/>
          <w:highlight w:val="none"/>
        </w:rPr>
      </w:pPr>
      <w:r>
        <w:rPr>
          <w:rFonts w:hint="eastAsia" w:ascii="宋体" w:hAnsi="宋体" w:cs="宋体"/>
          <w:highlight w:val="none"/>
        </w:rPr>
        <w:t>目前的硬件整体架构如下图所示：</w:t>
      </w:r>
    </w:p>
    <w:p>
      <w:pPr>
        <w:pStyle w:val="2"/>
        <w:pageBreakBefore w:val="0"/>
        <w:widowControl w:val="0"/>
        <w:kinsoku/>
        <w:wordWrap/>
        <w:overflowPunct/>
        <w:topLinePunct w:val="0"/>
        <w:autoSpaceDE/>
        <w:autoSpaceDN/>
        <w:bidi w:val="0"/>
        <w:snapToGrid/>
        <w:spacing w:after="0" w:line="360" w:lineRule="auto"/>
        <w:ind w:firstLine="0" w:firstLineChars="0"/>
        <w:jc w:val="center"/>
        <w:rPr>
          <w:rFonts w:hint="eastAsia" w:ascii="宋体" w:hAnsi="宋体" w:cs="宋体"/>
          <w:highlight w:val="none"/>
        </w:rPr>
      </w:pPr>
      <w:r>
        <w:rPr>
          <w:rFonts w:hint="eastAsia" w:ascii="宋体" w:hAnsi="宋体" w:cs="宋体"/>
          <w:highlight w:val="none"/>
        </w:rPr>
        <w:drawing>
          <wp:inline distT="0" distB="0" distL="114300" distR="114300">
            <wp:extent cx="5274310" cy="3951605"/>
            <wp:effectExtent l="0" t="0" r="2540" b="10795"/>
            <wp:docPr id="2" name="图片 1" descr="D:\项目\03 进行中项目\市局视频AI+平台硬件项目\01 方案及清单\02 详细可研报告\平台组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项目\03 进行中项目\市局视频AI+平台硬件项目\01 方案及清单\02 详细可研报告\平台组成.jpg"/>
                    <pic:cNvPicPr>
                      <a:picLocks noChangeAspect="1"/>
                    </pic:cNvPicPr>
                  </pic:nvPicPr>
                  <pic:blipFill>
                    <a:blip r:embed="rId11"/>
                    <a:stretch>
                      <a:fillRect/>
                    </a:stretch>
                  </pic:blipFill>
                  <pic:spPr>
                    <a:xfrm>
                      <a:off x="0" y="0"/>
                      <a:ext cx="5274310" cy="3951605"/>
                    </a:xfrm>
                    <a:prstGeom prst="rect">
                      <a:avLst/>
                    </a:prstGeom>
                    <a:noFill/>
                    <a:ln>
                      <a:noFill/>
                    </a:ln>
                  </pic:spPr>
                </pic:pic>
              </a:graphicData>
            </a:graphic>
          </wp:inline>
        </w:drawing>
      </w:r>
    </w:p>
    <w:p>
      <w:pPr>
        <w:pStyle w:val="2"/>
        <w:keepNext w:val="0"/>
        <w:keepLines w:val="0"/>
        <w:pageBreakBefore w:val="0"/>
        <w:widowControl w:val="0"/>
        <w:numPr>
          <w:ilvl w:val="0"/>
          <w:numId w:val="6"/>
        </w:numPr>
        <w:kinsoku/>
        <w:wordWrap/>
        <w:overflowPunct/>
        <w:topLinePunct w:val="0"/>
        <w:autoSpaceDE/>
        <w:autoSpaceDN/>
        <w:bidi w:val="0"/>
        <w:adjustRightInd w:val="0"/>
        <w:snapToGrid/>
        <w:spacing w:after="0" w:line="360" w:lineRule="auto"/>
        <w:ind w:left="0" w:leftChars="0" w:firstLine="482" w:firstLineChars="200"/>
        <w:textAlignment w:val="baseline"/>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软件部分建设成果</w:t>
      </w:r>
    </w:p>
    <w:p>
      <w:pPr>
        <w:pageBreakBefore w:val="0"/>
        <w:widowControl w:val="0"/>
        <w:kinsoku/>
        <w:wordWrap/>
        <w:overflowPunct/>
        <w:topLinePunct w:val="0"/>
        <w:autoSpaceDE/>
        <w:autoSpaceDN/>
        <w:bidi w:val="0"/>
        <w:snapToGrid/>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软件功能主要包括视频结构化、视频巡查及安保指挥三块内容。</w:t>
      </w:r>
    </w:p>
    <w:p>
      <w:pPr>
        <w:pageBreakBefore w:val="0"/>
        <w:widowControl w:val="0"/>
        <w:numPr>
          <w:ilvl w:val="0"/>
          <w:numId w:val="0"/>
        </w:numPr>
        <w:kinsoku/>
        <w:wordWrap/>
        <w:overflowPunct/>
        <w:topLinePunct w:val="0"/>
        <w:autoSpaceDE/>
        <w:autoSpaceDN/>
        <w:bidi w:val="0"/>
        <w:snapToGrid/>
        <w:spacing w:line="360" w:lineRule="auto"/>
        <w:ind w:left="420" w:leftChars="0"/>
        <w:rPr>
          <w:rFonts w:hint="eastAsia" w:ascii="宋体" w:hAnsi="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结构化智能分析</w:t>
      </w:r>
    </w:p>
    <w:p>
      <w:pPr>
        <w:pageBreakBefore w:val="0"/>
        <w:widowControl w:val="0"/>
        <w:kinsoku/>
        <w:wordWrap/>
        <w:overflowPunct/>
        <w:topLinePunct w:val="0"/>
        <w:autoSpaceDE/>
        <w:autoSpaceDN/>
        <w:bidi w:val="0"/>
        <w:snapToGrid/>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结构化智能分析包含结构化智能分析、特征检索、以图搜图、人脸人体关联等应用。</w:t>
      </w:r>
    </w:p>
    <w:p>
      <w:pPr>
        <w:pageBreakBefore w:val="0"/>
        <w:widowControl w:val="0"/>
        <w:kinsoku/>
        <w:wordWrap/>
        <w:overflowPunct/>
        <w:topLinePunct w:val="0"/>
        <w:autoSpaceDE/>
        <w:autoSpaceDN/>
        <w:bidi w:val="0"/>
        <w:snapToGrid/>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结构化智能分析：支持对≥600路1080P视频进行实时视频结构化；支持对历史视频流及离线上传的本地录像文件进行智能结构化分析，提取出活动目标的结构化信息。</w:t>
      </w:r>
    </w:p>
    <w:p>
      <w:pPr>
        <w:pageBreakBefore w:val="0"/>
        <w:widowControl w:val="0"/>
        <w:kinsoku/>
        <w:wordWrap/>
        <w:overflowPunct/>
        <w:topLinePunct w:val="0"/>
        <w:autoSpaceDE/>
        <w:autoSpaceDN/>
        <w:bidi w:val="0"/>
        <w:snapToGrid/>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特征检索：支持通过人体、机动车的特征属性对目标进行检索。</w:t>
      </w:r>
    </w:p>
    <w:p>
      <w:pPr>
        <w:pageBreakBefore w:val="0"/>
        <w:widowControl w:val="0"/>
        <w:kinsoku/>
        <w:wordWrap/>
        <w:overflowPunct/>
        <w:topLinePunct w:val="0"/>
        <w:autoSpaceDE/>
        <w:autoSpaceDN/>
        <w:bidi w:val="0"/>
        <w:snapToGrid/>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以图搜图：支持以图搜图功能，支持上传图片进行以图搜图，搜图结果支持对案发时间地点出现的可疑目标查询，查找历史抓拍图片，并可关联录像查看具体情况，支持收藏，下载等操作。</w:t>
      </w:r>
    </w:p>
    <w:p>
      <w:pPr>
        <w:pageBreakBefore w:val="0"/>
        <w:widowControl w:val="0"/>
        <w:kinsoku/>
        <w:wordWrap/>
        <w:overflowPunct/>
        <w:topLinePunct w:val="0"/>
        <w:autoSpaceDE/>
        <w:autoSpaceDN/>
        <w:bidi w:val="0"/>
        <w:snapToGrid/>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人体人脸关联：支持人、机、非结构化提取的同时可以检测目标人脸。可以通过视频截图在人体以图搜图中获得嫌疑目标的人体抓拍记录，再通过对搜索记录中有人像图片的记录进行人脸人体关联，获取清晰的人脸照片，还原人员身份。</w:t>
      </w:r>
    </w:p>
    <w:p>
      <w:pPr>
        <w:pageBreakBefore w:val="0"/>
        <w:widowControl w:val="0"/>
        <w:numPr>
          <w:ilvl w:val="0"/>
          <w:numId w:val="0"/>
        </w:numPr>
        <w:kinsoku/>
        <w:wordWrap/>
        <w:overflowPunct/>
        <w:topLinePunct w:val="0"/>
        <w:autoSpaceDE/>
        <w:autoSpaceDN/>
        <w:bidi w:val="0"/>
        <w:snapToGrid/>
        <w:spacing w:line="360" w:lineRule="auto"/>
        <w:ind w:left="420" w:leftChars="0"/>
        <w:rPr>
          <w:rFonts w:hint="eastAsia" w:ascii="宋体" w:hAnsi="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cs="宋体"/>
          <w:sz w:val="24"/>
          <w:szCs w:val="24"/>
          <w:highlight w:val="none"/>
        </w:rPr>
        <w:t>AI视频巡查应用</w:t>
      </w:r>
    </w:p>
    <w:p>
      <w:pPr>
        <w:pageBreakBefore w:val="0"/>
        <w:widowControl w:val="0"/>
        <w:kinsoku/>
        <w:wordWrap/>
        <w:overflowPunct/>
        <w:topLinePunct w:val="0"/>
        <w:autoSpaceDE/>
        <w:autoSpaceDN/>
        <w:bidi w:val="0"/>
        <w:snapToGrid/>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AI视频巡查应用包括视频巡逻、警卫路线巡逻、视频流标注等功能。</w:t>
      </w:r>
    </w:p>
    <w:p>
      <w:pPr>
        <w:pageBreakBefore w:val="0"/>
        <w:widowControl w:val="0"/>
        <w:kinsoku/>
        <w:wordWrap/>
        <w:overflowPunct/>
        <w:topLinePunct w:val="0"/>
        <w:autoSpaceDE/>
        <w:autoSpaceDN/>
        <w:bidi w:val="0"/>
        <w:snapToGrid/>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视频巡逻：支持轮巡值守模块以及轮巡视频快速联动地图展示功能，为视频作战提供快速地理信息扩展；根据点位重点程度或路径顺序等情况，进行巡逻任务自由定义；提供所见即所得的快速警卫任务，完成任务跟进。</w:t>
      </w:r>
    </w:p>
    <w:p>
      <w:pPr>
        <w:pageBreakBefore w:val="0"/>
        <w:widowControl w:val="0"/>
        <w:kinsoku/>
        <w:wordWrap/>
        <w:overflowPunct/>
        <w:topLinePunct w:val="0"/>
        <w:autoSpaceDE/>
        <w:autoSpaceDN/>
        <w:bidi w:val="0"/>
        <w:snapToGrid/>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警卫路线巡逻：在执行警卫任务时，对已配置的警卫车辆根据车辆位置进行视频匹配播放。</w:t>
      </w:r>
    </w:p>
    <w:p>
      <w:pPr>
        <w:pageBreakBefore w:val="0"/>
        <w:widowControl w:val="0"/>
        <w:kinsoku/>
        <w:wordWrap/>
        <w:overflowPunct/>
        <w:topLinePunct w:val="0"/>
        <w:autoSpaceDE/>
        <w:autoSpaceDN/>
        <w:bidi w:val="0"/>
        <w:snapToGrid/>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视频流标注：基于后端服务器视频图像GPU计算能力，提供实时视频流标注功能，将识别到的人物身份信息，实时展示在视频中。</w:t>
      </w:r>
    </w:p>
    <w:p>
      <w:pPr>
        <w:pStyle w:val="2"/>
        <w:pageBreakBefore w:val="0"/>
        <w:widowControl w:val="0"/>
        <w:kinsoku/>
        <w:wordWrap/>
        <w:overflowPunct/>
        <w:topLinePunct w:val="0"/>
        <w:autoSpaceDE/>
        <w:autoSpaceDN/>
        <w:bidi w:val="0"/>
        <w:snapToGrid/>
        <w:spacing w:after="0" w:line="360" w:lineRule="auto"/>
        <w:ind w:firstLine="468" w:firstLineChars="195"/>
        <w:rPr>
          <w:rFonts w:hint="eastAsia" w:ascii="宋体" w:hAnsi="宋体" w:eastAsia="宋体" w:cs="宋体"/>
          <w:highlight w:val="none"/>
          <w:lang w:val="en-US" w:eastAsia="zh-CN"/>
        </w:rPr>
      </w:pPr>
      <w:r>
        <w:rPr>
          <w:rFonts w:hint="eastAsia" w:ascii="宋体" w:hAnsi="宋体" w:cs="宋体"/>
          <w:highlight w:val="none"/>
          <w:lang w:val="en-US" w:eastAsia="zh-CN"/>
        </w:rPr>
        <w:t>（3）</w:t>
      </w:r>
      <w:r>
        <w:rPr>
          <w:rFonts w:hint="eastAsia" w:ascii="宋体" w:hAnsi="宋体" w:eastAsia="宋体" w:cs="宋体"/>
          <w:highlight w:val="none"/>
          <w:lang w:val="en-US" w:eastAsia="zh-CN"/>
        </w:rPr>
        <w:t>、安保指挥调度</w:t>
      </w:r>
    </w:p>
    <w:p>
      <w:pPr>
        <w:pageBreakBefore w:val="0"/>
        <w:widowControl w:val="0"/>
        <w:kinsoku/>
        <w:wordWrap/>
        <w:overflowPunct/>
        <w:topLinePunct w:val="0"/>
        <w:autoSpaceDE/>
        <w:autoSpaceDN/>
        <w:bidi w:val="0"/>
        <w:snapToGrid/>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提供用于全域封闭、触圈预警的手段，支持圈层查控。通过对“人、车、物、证、码”的无感智能采集，打造完整闭环的环市“治安防控识别圈”，基于多维数据的碰撞比对分析，自动识别重点目标、及时排查风险因素、全面掌控全市治安态势，对重点人员、重点车辆等目标对象及行为进行及时预警并给与处置。</w:t>
      </w:r>
    </w:p>
    <w:p>
      <w:pPr>
        <w:pStyle w:val="2"/>
        <w:keepNext w:val="0"/>
        <w:keepLines w:val="0"/>
        <w:pageBreakBefore w:val="0"/>
        <w:widowControl w:val="0"/>
        <w:numPr>
          <w:ilvl w:val="0"/>
          <w:numId w:val="6"/>
        </w:numPr>
        <w:kinsoku/>
        <w:wordWrap/>
        <w:overflowPunct/>
        <w:topLinePunct w:val="0"/>
        <w:autoSpaceDE/>
        <w:autoSpaceDN/>
        <w:bidi w:val="0"/>
        <w:adjustRightInd w:val="0"/>
        <w:snapToGrid/>
        <w:spacing w:after="0" w:line="360" w:lineRule="auto"/>
        <w:ind w:left="0" w:leftChars="0" w:firstLine="482" w:firstLineChars="200"/>
        <w:textAlignment w:val="baseline"/>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数据对接完成情况</w:t>
      </w:r>
    </w:p>
    <w:p>
      <w:pPr>
        <w:pageBreakBefore w:val="0"/>
        <w:widowControl w:val="0"/>
        <w:kinsoku/>
        <w:wordWrap/>
        <w:overflowPunct/>
        <w:topLinePunct w:val="0"/>
        <w:autoSpaceDE/>
        <w:autoSpaceDN/>
        <w:bidi w:val="0"/>
        <w:snapToGrid/>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对接视频汇聚平台：需要对600路的视频进行视频结构化解析，视频数据需要从视频汇聚平台中进行获取。</w:t>
      </w:r>
    </w:p>
    <w:p>
      <w:pPr>
        <w:pageBreakBefore w:val="0"/>
        <w:widowControl w:val="0"/>
        <w:kinsoku/>
        <w:wordWrap/>
        <w:overflowPunct/>
        <w:topLinePunct w:val="0"/>
        <w:autoSpaceDE/>
        <w:autoSpaceDN/>
        <w:bidi w:val="0"/>
        <w:snapToGrid/>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对接溯影人像平台大数据系统：需要对前端视频流视频画面中标注人员身份，标注人员身份需要借助溯影人像平台大数据系统所具备的人像库及人像比对能力进行人员身份确认。</w:t>
      </w:r>
    </w:p>
    <w:p>
      <w:pPr>
        <w:pageBreakBefore w:val="0"/>
        <w:widowControl w:val="0"/>
        <w:kinsoku/>
        <w:wordWrap/>
        <w:overflowPunct/>
        <w:topLinePunct w:val="0"/>
        <w:autoSpaceDE/>
        <w:autoSpaceDN/>
        <w:bidi w:val="0"/>
        <w:snapToGrid/>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对接110接处警系统：需要防控圈内产生预警的警情获取、警情显示、警情处置、警情派送及警情统计分析功能，需要获取110接处警系统的警情信息去实现相关功能。</w:t>
      </w:r>
    </w:p>
    <w:p>
      <w:pPr>
        <w:pageBreakBefore w:val="0"/>
        <w:widowControl w:val="0"/>
        <w:kinsoku/>
        <w:wordWrap/>
        <w:overflowPunct/>
        <w:topLinePunct w:val="0"/>
        <w:autoSpaceDE/>
        <w:autoSpaceDN/>
        <w:bidi w:val="0"/>
        <w:snapToGrid/>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对接**大数据平台：对接智慧**大数据平台的全息档案及融合轨迹的相关接口。</w:t>
      </w:r>
    </w:p>
    <w:p>
      <w:pPr>
        <w:pageBreakBefore w:val="0"/>
        <w:widowControl w:val="0"/>
        <w:kinsoku/>
        <w:wordWrap/>
        <w:overflowPunct/>
        <w:topLinePunct w:val="0"/>
        <w:autoSpaceDE/>
        <w:autoSpaceDN/>
        <w:bidi w:val="0"/>
        <w:snapToGrid/>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对接4G设备接入平台：实现警力资源在地图实时的展示，需要对接4G设备接入平台获取最新GPS信息。</w:t>
      </w:r>
    </w:p>
    <w:p>
      <w:pPr>
        <w:pageBreakBefore w:val="0"/>
        <w:widowControl w:val="0"/>
        <w:kinsoku/>
        <w:wordWrap/>
        <w:overflowPunct/>
        <w:topLinePunct w:val="0"/>
        <w:autoSpaceDE/>
        <w:autoSpaceDN/>
        <w:bidi w:val="0"/>
        <w:snapToGrid/>
        <w:spacing w:line="360" w:lineRule="auto"/>
        <w:ind w:firstLine="480"/>
        <w:rPr>
          <w:rFonts w:hint="default" w:eastAsia="宋体"/>
          <w:b/>
          <w:bCs/>
          <w:color w:val="auto"/>
          <w:highlight w:val="none"/>
          <w:lang w:val="en-US" w:eastAsia="zh-CN"/>
        </w:rPr>
      </w:pPr>
      <w:r>
        <w:rPr>
          <w:rFonts w:hint="eastAsia" w:ascii="宋体" w:hAnsi="宋体" w:cs="宋体"/>
          <w:b/>
          <w:bCs/>
          <w:color w:val="auto"/>
          <w:sz w:val="24"/>
          <w:szCs w:val="24"/>
          <w:highlight w:val="none"/>
          <w:lang w:val="en-US" w:eastAsia="zh-CN"/>
        </w:rPr>
        <w:t>本次项目建设需有效对接上述</w:t>
      </w:r>
      <w:r>
        <w:rPr>
          <w:rFonts w:hint="eastAsia" w:ascii="宋体" w:hAnsi="宋体" w:cs="宋体"/>
          <w:b/>
          <w:bCs/>
          <w:color w:val="auto"/>
          <w:highlight w:val="none"/>
          <w:lang w:val="en-US" w:eastAsia="zh-CN"/>
        </w:rPr>
        <w:t>台州市公安局</w:t>
      </w:r>
      <w:r>
        <w:rPr>
          <w:rFonts w:hint="eastAsia" w:ascii="宋体" w:hAnsi="宋体" w:cs="宋体"/>
          <w:b/>
          <w:bCs/>
          <w:color w:val="auto"/>
          <w:sz w:val="24"/>
          <w:szCs w:val="24"/>
          <w:highlight w:val="none"/>
        </w:rPr>
        <w:t>智能视频分析系统</w:t>
      </w:r>
      <w:r>
        <w:rPr>
          <w:rFonts w:hint="eastAsia" w:ascii="宋体" w:hAnsi="宋体" w:cs="宋体"/>
          <w:b/>
          <w:bCs/>
          <w:color w:val="auto"/>
          <w:sz w:val="24"/>
          <w:szCs w:val="24"/>
          <w:highlight w:val="none"/>
          <w:lang w:val="en-US" w:eastAsia="zh-CN"/>
        </w:rPr>
        <w:t>内容，</w:t>
      </w:r>
      <w:r>
        <w:rPr>
          <w:rFonts w:hint="eastAsia" w:ascii="宋体" w:hAnsi="宋体" w:cs="宋体"/>
          <w:sz w:val="24"/>
          <w:szCs w:val="24"/>
          <w:highlight w:val="none"/>
          <w:lang w:val="en-US" w:eastAsia="zh-CN"/>
        </w:rPr>
        <w:t>接口免费开放，</w:t>
      </w:r>
      <w:r>
        <w:rPr>
          <w:rFonts w:hint="eastAsia" w:ascii="宋体" w:hAnsi="宋体" w:cs="宋体"/>
          <w:sz w:val="24"/>
          <w:szCs w:val="24"/>
          <w:highlight w:val="none"/>
        </w:rPr>
        <w:t>由采购人负责相关接口的协调工作，接口上的技术问题由中标公司负责处理</w:t>
      </w:r>
      <w:r>
        <w:rPr>
          <w:rFonts w:hint="eastAsia" w:ascii="宋体" w:hAnsi="宋体" w:cs="宋体"/>
          <w:sz w:val="24"/>
          <w:szCs w:val="24"/>
          <w:highlight w:val="none"/>
          <w:lang w:val="en-US" w:eastAsia="zh-CN"/>
        </w:rPr>
        <w:t>。</w:t>
      </w:r>
    </w:p>
    <w:p>
      <w:pPr>
        <w:spacing w:line="360" w:lineRule="auto"/>
        <w:ind w:firstLine="482" w:firstLineChars="200"/>
        <w:rPr>
          <w:rFonts w:ascii="宋体" w:hAnsi="宋体" w:cs="___WRD_EMBED_SUB_41"/>
          <w:b/>
          <w:bCs/>
          <w:sz w:val="24"/>
          <w:szCs w:val="32"/>
          <w:highlight w:val="none"/>
        </w:rPr>
      </w:pPr>
      <w:r>
        <w:rPr>
          <w:rFonts w:hint="eastAsia" w:ascii="宋体" w:hAnsi="宋体" w:cs="___WRD_EMBED_SUB_41"/>
          <w:b/>
          <w:bCs/>
          <w:sz w:val="24"/>
          <w:szCs w:val="32"/>
          <w:highlight w:val="none"/>
          <w:lang w:val="en-US" w:eastAsia="zh-CN"/>
        </w:rPr>
        <w:t>2.</w:t>
      </w:r>
      <w:r>
        <w:rPr>
          <w:rFonts w:hint="eastAsia" w:ascii="宋体" w:hAnsi="宋体" w:cs="___WRD_EMBED_SUB_41"/>
          <w:b/>
          <w:bCs/>
          <w:sz w:val="24"/>
          <w:szCs w:val="32"/>
          <w:highlight w:val="none"/>
        </w:rPr>
        <w:t>系统性能要求：</w:t>
      </w:r>
    </w:p>
    <w:tbl>
      <w:tblPr>
        <w:tblStyle w:val="20"/>
        <w:tblW w:w="0" w:type="auto"/>
        <w:tblInd w:w="0" w:type="dxa"/>
        <w:tblLayout w:type="fixed"/>
        <w:tblCellMar>
          <w:top w:w="0" w:type="dxa"/>
          <w:left w:w="108" w:type="dxa"/>
          <w:bottom w:w="0" w:type="dxa"/>
          <w:right w:w="108" w:type="dxa"/>
        </w:tblCellMar>
      </w:tblPr>
      <w:tblGrid>
        <w:gridCol w:w="776"/>
        <w:gridCol w:w="1336"/>
        <w:gridCol w:w="2176"/>
        <w:gridCol w:w="1725"/>
        <w:gridCol w:w="3161"/>
      </w:tblGrid>
      <w:tr>
        <w:tblPrEx>
          <w:tblCellMar>
            <w:top w:w="0" w:type="dxa"/>
            <w:left w:w="108" w:type="dxa"/>
            <w:bottom w:w="0" w:type="dxa"/>
            <w:right w:w="108" w:type="dxa"/>
          </w:tblCellMar>
        </w:tblPrEx>
        <w:trPr>
          <w:trHeight w:val="285" w:hRule="atLeast"/>
        </w:trPr>
        <w:tc>
          <w:tcPr>
            <w:tcW w:w="7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序号</w:t>
            </w:r>
          </w:p>
        </w:tc>
        <w:tc>
          <w:tcPr>
            <w:tcW w:w="133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网络</w:t>
            </w:r>
          </w:p>
        </w:tc>
        <w:tc>
          <w:tcPr>
            <w:tcW w:w="217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系统名称</w:t>
            </w:r>
          </w:p>
        </w:tc>
        <w:tc>
          <w:tcPr>
            <w:tcW w:w="172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系统参数</w:t>
            </w:r>
          </w:p>
        </w:tc>
        <w:tc>
          <w:tcPr>
            <w:tcW w:w="31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性能要求</w:t>
            </w:r>
          </w:p>
        </w:tc>
      </w:tr>
      <w:tr>
        <w:tblPrEx>
          <w:tblCellMar>
            <w:top w:w="0" w:type="dxa"/>
            <w:left w:w="108" w:type="dxa"/>
            <w:bottom w:w="0" w:type="dxa"/>
            <w:right w:w="108" w:type="dxa"/>
          </w:tblCellMar>
        </w:tblPrEx>
        <w:trPr>
          <w:trHeight w:val="285" w:hRule="atLeast"/>
        </w:trPr>
        <w:tc>
          <w:tcPr>
            <w:tcW w:w="77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1</w:t>
            </w:r>
          </w:p>
        </w:tc>
        <w:tc>
          <w:tcPr>
            <w:tcW w:w="133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视频专网</w:t>
            </w:r>
          </w:p>
        </w:tc>
        <w:tc>
          <w:tcPr>
            <w:tcW w:w="217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数据转发</w:t>
            </w:r>
          </w:p>
        </w:tc>
        <w:tc>
          <w:tcPr>
            <w:tcW w:w="172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汇聚数据转发能力</w:t>
            </w:r>
          </w:p>
        </w:tc>
        <w:tc>
          <w:tcPr>
            <w:tcW w:w="316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支持结构化数据转发日增≥2亿条数据量</w:t>
            </w:r>
          </w:p>
        </w:tc>
      </w:tr>
      <w:tr>
        <w:tblPrEx>
          <w:tblCellMar>
            <w:top w:w="0" w:type="dxa"/>
            <w:left w:w="108" w:type="dxa"/>
            <w:bottom w:w="0" w:type="dxa"/>
            <w:right w:w="108" w:type="dxa"/>
          </w:tblCellMar>
        </w:tblPrEx>
        <w:trPr>
          <w:trHeight w:val="285" w:hRule="atLeast"/>
        </w:trPr>
        <w:tc>
          <w:tcPr>
            <w:tcW w:w="77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2</w:t>
            </w:r>
          </w:p>
        </w:tc>
        <w:tc>
          <w:tcPr>
            <w:tcW w:w="1336" w:type="dxa"/>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公安网</w:t>
            </w:r>
          </w:p>
        </w:tc>
        <w:tc>
          <w:tcPr>
            <w:tcW w:w="217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数据存储</w:t>
            </w:r>
          </w:p>
        </w:tc>
        <w:tc>
          <w:tcPr>
            <w:tcW w:w="172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结构化数据存储能力</w:t>
            </w:r>
          </w:p>
        </w:tc>
        <w:tc>
          <w:tcPr>
            <w:tcW w:w="316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≥250亿条结构化数据存储能力</w:t>
            </w:r>
          </w:p>
        </w:tc>
      </w:tr>
      <w:tr>
        <w:tblPrEx>
          <w:tblCellMar>
            <w:top w:w="0" w:type="dxa"/>
            <w:left w:w="108" w:type="dxa"/>
            <w:bottom w:w="0" w:type="dxa"/>
            <w:right w:w="108" w:type="dxa"/>
          </w:tblCellMar>
        </w:tblPrEx>
        <w:trPr>
          <w:trHeight w:val="570" w:hRule="atLeast"/>
        </w:trPr>
        <w:tc>
          <w:tcPr>
            <w:tcW w:w="77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4</w:t>
            </w:r>
          </w:p>
        </w:tc>
        <w:tc>
          <w:tcPr>
            <w:tcW w:w="13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Cs w:val="21"/>
                <w:highlight w:val="none"/>
              </w:rPr>
            </w:pPr>
          </w:p>
        </w:tc>
        <w:tc>
          <w:tcPr>
            <w:tcW w:w="2176"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视频结构化应用</w:t>
            </w:r>
          </w:p>
        </w:tc>
        <w:tc>
          <w:tcPr>
            <w:tcW w:w="172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视频结构化路数</w:t>
            </w:r>
          </w:p>
        </w:tc>
        <w:tc>
          <w:tcPr>
            <w:tcW w:w="316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≥1792路1080P视频通道进行实时视频结构化分析能力</w:t>
            </w:r>
          </w:p>
        </w:tc>
      </w:tr>
      <w:tr>
        <w:tblPrEx>
          <w:tblCellMar>
            <w:top w:w="0" w:type="dxa"/>
            <w:left w:w="108" w:type="dxa"/>
            <w:bottom w:w="0" w:type="dxa"/>
            <w:right w:w="108" w:type="dxa"/>
          </w:tblCellMar>
        </w:tblPrEx>
        <w:trPr>
          <w:trHeight w:val="285" w:hRule="atLeast"/>
        </w:trPr>
        <w:tc>
          <w:tcPr>
            <w:tcW w:w="77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5</w:t>
            </w:r>
          </w:p>
        </w:tc>
        <w:tc>
          <w:tcPr>
            <w:tcW w:w="13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Cs w:val="21"/>
                <w:highlight w:val="none"/>
              </w:rPr>
            </w:pPr>
          </w:p>
        </w:tc>
        <w:tc>
          <w:tcPr>
            <w:tcW w:w="217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highlight w:val="none"/>
              </w:rPr>
            </w:pPr>
          </w:p>
        </w:tc>
        <w:tc>
          <w:tcPr>
            <w:tcW w:w="172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以图搜图</w:t>
            </w:r>
          </w:p>
        </w:tc>
        <w:tc>
          <w:tcPr>
            <w:tcW w:w="316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 xml:space="preserve">≥2亿张图片以图搜图秒级响应能力 </w:t>
            </w:r>
          </w:p>
        </w:tc>
      </w:tr>
      <w:tr>
        <w:tblPrEx>
          <w:tblCellMar>
            <w:top w:w="0" w:type="dxa"/>
            <w:left w:w="108" w:type="dxa"/>
            <w:bottom w:w="0" w:type="dxa"/>
            <w:right w:w="108" w:type="dxa"/>
          </w:tblCellMar>
        </w:tblPrEx>
        <w:trPr>
          <w:trHeight w:val="285" w:hRule="atLeast"/>
        </w:trPr>
        <w:tc>
          <w:tcPr>
            <w:tcW w:w="77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6</w:t>
            </w:r>
          </w:p>
        </w:tc>
        <w:tc>
          <w:tcPr>
            <w:tcW w:w="13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Cs w:val="21"/>
                <w:highlight w:val="none"/>
              </w:rPr>
            </w:pPr>
          </w:p>
        </w:tc>
        <w:tc>
          <w:tcPr>
            <w:tcW w:w="217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视频流标注</w:t>
            </w:r>
          </w:p>
        </w:tc>
        <w:tc>
          <w:tcPr>
            <w:tcW w:w="172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实时视频流分析路数</w:t>
            </w:r>
          </w:p>
        </w:tc>
        <w:tc>
          <w:tcPr>
            <w:tcW w:w="316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≥48路视频流实时标注人员信息</w:t>
            </w:r>
          </w:p>
        </w:tc>
      </w:tr>
    </w:tbl>
    <w:p>
      <w:pPr>
        <w:numPr>
          <w:ilvl w:val="0"/>
          <w:numId w:val="0"/>
        </w:numPr>
        <w:spacing w:line="360" w:lineRule="auto"/>
        <w:rPr>
          <w:rFonts w:ascii="宋体" w:hAnsi="宋体" w:cs="宋体"/>
          <w:b/>
          <w:bCs/>
          <w:sz w:val="32"/>
          <w:szCs w:val="32"/>
          <w:highlight w:val="none"/>
        </w:rPr>
      </w:pPr>
      <w:r>
        <w:rPr>
          <w:rFonts w:hint="eastAsia" w:ascii="宋体" w:hAnsi="宋体" w:cs="宋体"/>
          <w:b/>
          <w:bCs/>
          <w:sz w:val="32"/>
          <w:szCs w:val="32"/>
          <w:highlight w:val="none"/>
          <w:lang w:eastAsia="zh-CN"/>
        </w:rPr>
        <w:t>（三）</w:t>
      </w:r>
      <w:r>
        <w:rPr>
          <w:rFonts w:hint="eastAsia" w:ascii="宋体" w:hAnsi="宋体" w:cs="宋体"/>
          <w:b/>
          <w:bCs/>
          <w:sz w:val="32"/>
          <w:szCs w:val="32"/>
          <w:highlight w:val="none"/>
        </w:rPr>
        <w:t>项目所需要执行的国家标准、行业标准、地方标准或者其他标准、规范（附相关标准规范的依据文件）</w:t>
      </w:r>
    </w:p>
    <w:p>
      <w:pPr>
        <w:spacing w:line="360" w:lineRule="auto"/>
        <w:ind w:firstLine="482"/>
        <w:rPr>
          <w:rFonts w:hint="eastAsia" w:ascii="宋体" w:hAnsi="宋体" w:cs="___WRD_EMBED_SUB_41"/>
          <w:bCs/>
          <w:sz w:val="24"/>
          <w:szCs w:val="32"/>
          <w:highlight w:val="none"/>
        </w:rPr>
      </w:pPr>
      <w:r>
        <w:rPr>
          <w:rFonts w:hint="eastAsia" w:ascii="宋体" w:hAnsi="宋体" w:cs="___WRD_EMBED_SUB_41"/>
          <w:bCs/>
          <w:sz w:val="24"/>
          <w:szCs w:val="32"/>
          <w:highlight w:val="none"/>
        </w:rPr>
        <w:t>根据台州市公安局的实际需求，提出项目的建设技术依据，并参考了其他相关标准、条例和规范，包括但不限于：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公安部《全国公安机关图像信息联网总体技术方案》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《浙江省公安视频图像信息系统建设总体技术要求》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《浙江省公安机关人像比对应用系统建设技术规范》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《浙江省公安机关车辆大数据系统建设技术规范》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《浙江省公安机关涉案视频库系统建设技术规范》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《城市监控报警联网系统技术标准 第1部分：通用技术要求》（</w:t>
      </w:r>
      <w:r>
        <w:rPr>
          <w:rFonts w:ascii="宋体" w:hAnsi="宋体" w:cs="Calibri"/>
          <w:bCs/>
          <w:sz w:val="24"/>
          <w:szCs w:val="32"/>
          <w:highlight w:val="none"/>
        </w:rPr>
        <w:t> </w:t>
      </w:r>
      <w:r>
        <w:rPr>
          <w:rFonts w:hint="eastAsia" w:ascii="宋体" w:hAnsi="宋体" w:cs="___WRD_EMBED_SUB_41"/>
          <w:bCs/>
          <w:sz w:val="24"/>
          <w:szCs w:val="32"/>
          <w:highlight w:val="none"/>
        </w:rPr>
        <w:fldChar w:fldCharType="begin"/>
      </w:r>
      <w:r>
        <w:rPr>
          <w:rFonts w:hint="eastAsia" w:ascii="宋体" w:hAnsi="宋体" w:cs="___WRD_EMBED_SUB_41"/>
          <w:bCs/>
          <w:sz w:val="24"/>
          <w:szCs w:val="32"/>
          <w:highlight w:val="none"/>
        </w:rPr>
        <w:instrText xml:space="preserve"> HYPERLINK "http://www.csres.com/detail/195894.html" \t "http://www.csres.com/_blank" </w:instrText>
      </w:r>
      <w:r>
        <w:rPr>
          <w:rFonts w:hint="eastAsia" w:ascii="宋体" w:hAnsi="宋体" w:cs="___WRD_EMBED_SUB_41"/>
          <w:bCs/>
          <w:sz w:val="24"/>
          <w:szCs w:val="32"/>
          <w:highlight w:val="none"/>
        </w:rPr>
        <w:fldChar w:fldCharType="separate"/>
      </w:r>
      <w:r>
        <w:rPr>
          <w:rFonts w:hint="eastAsia" w:ascii="宋体" w:hAnsi="宋体" w:cs="___WRD_EMBED_SUB_41"/>
          <w:bCs/>
          <w:sz w:val="24"/>
          <w:szCs w:val="32"/>
          <w:highlight w:val="none"/>
        </w:rPr>
        <w:t>GA/T 669.1-2008</w:t>
      </w:r>
      <w:r>
        <w:rPr>
          <w:rFonts w:hint="eastAsia" w:ascii="宋体" w:hAnsi="宋体" w:cs="___WRD_EMBED_SUB_41"/>
          <w:bCs/>
          <w:sz w:val="24"/>
          <w:szCs w:val="32"/>
          <w:highlight w:val="none"/>
        </w:rPr>
        <w:fldChar w:fldCharType="end"/>
      </w:r>
      <w:r>
        <w:rPr>
          <w:rFonts w:hint="eastAsia" w:ascii="宋体" w:hAnsi="宋体" w:cs="___WRD_EMBED_SUB_41"/>
          <w:bCs/>
          <w:sz w:val="24"/>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《城市监控报警联网系统管理标准 第1部分：图像信息采集、接入、使用管理要求》（</w:t>
      </w:r>
      <w:r>
        <w:rPr>
          <w:rFonts w:hint="eastAsia" w:ascii="宋体" w:hAnsi="宋体" w:cs="___WRD_EMBED_SUB_41"/>
          <w:bCs/>
          <w:sz w:val="24"/>
          <w:szCs w:val="32"/>
          <w:highlight w:val="none"/>
        </w:rPr>
        <w:fldChar w:fldCharType="begin"/>
      </w:r>
      <w:r>
        <w:rPr>
          <w:rFonts w:hint="eastAsia" w:ascii="宋体" w:hAnsi="宋体" w:cs="___WRD_EMBED_SUB_41"/>
          <w:bCs/>
          <w:sz w:val="24"/>
          <w:szCs w:val="32"/>
          <w:highlight w:val="none"/>
        </w:rPr>
        <w:instrText xml:space="preserve"> HYPERLINK "http://www.csres.com/detail/195903.html" \t "http://www.csres.com/_blank" </w:instrText>
      </w:r>
      <w:r>
        <w:rPr>
          <w:rFonts w:hint="eastAsia" w:ascii="宋体" w:hAnsi="宋体" w:cs="___WRD_EMBED_SUB_41"/>
          <w:bCs/>
          <w:sz w:val="24"/>
          <w:szCs w:val="32"/>
          <w:highlight w:val="none"/>
        </w:rPr>
        <w:fldChar w:fldCharType="separate"/>
      </w:r>
      <w:r>
        <w:rPr>
          <w:rFonts w:hint="eastAsia" w:ascii="宋体" w:hAnsi="宋体" w:cs="___WRD_EMBED_SUB_41"/>
          <w:bCs/>
          <w:sz w:val="24"/>
          <w:szCs w:val="32"/>
          <w:highlight w:val="none"/>
        </w:rPr>
        <w:t>GA/T792.1-2008</w:t>
      </w:r>
      <w:r>
        <w:rPr>
          <w:rFonts w:hint="eastAsia" w:ascii="宋体" w:hAnsi="宋体" w:cs="___WRD_EMBED_SUB_41"/>
          <w:bCs/>
          <w:sz w:val="24"/>
          <w:szCs w:val="32"/>
          <w:highlight w:val="none"/>
        </w:rPr>
        <w:fldChar w:fldCharType="end"/>
      </w:r>
      <w:r>
        <w:rPr>
          <w:rFonts w:hint="eastAsia" w:ascii="宋体" w:hAnsi="宋体" w:cs="___WRD_EMBED_SUB_41"/>
          <w:bCs/>
          <w:sz w:val="24"/>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《社会治安动态视频监控系统技术规范》（DB33/T 502-2018）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《跨区域视频监控联网共享技术规范 第1部分:总则》(DB33/T629.1-2011)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《公安信息网边界接入平台安全规范（试行）—视频接入部分》（公信通[2011]5号）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《公安视频传输网建设指南》（公安部科技信息化局, 2017年11月）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《城市报警与监控系统建设、管理、应用规范性文件汇编》（公安部科技信息化局, 2009年）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《公安信息网联网设备及应用系统注册管理办法》（公信通[2007]139号，2007年5月）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《安全防范系统通用图形符号》（GA/T 74-2017）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《安全防范工程技术规范》（GB 50348-2014）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《道路车辆智能监测记录系统通用技术条件》（GA/T497-2016）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《道路交通安全违法行为图像取证技术规范》（GA/T 832-2014）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《机动车号牌图像自动识别技术规范》（GA/T833-2016）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《视频图像文字标注规范》（GA/T751-2008）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《公安视频图像信息应用系统 第1部分：通用技术要求》（GA/T 1400.1-2017）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《公安视频图像信息应用系统 第2部分：应用平台技术要求》（GA/T 1400.2-2017）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《公安视频图像信息应用系统 第3部分：数据库技术要求》（GA/T 1400.3-2017）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《公安视频图像信息应用系统 第4部分：接口协议要求》（GA/T 1400.4-2017）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《公安视频图像分析系统 第1部分：通用技术要求》（GA/T1399.1-2017）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《公安视频图像分析系统 第2部分：视频图像内容分析及描述技术要求》（GA/T1399.2-2017）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《公共安全视频监控联网系统信息传输、交换、控制技术要求》（GB/T28181-2016）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《安防人脸识别应用 视频人脸图像提取技术要求》（GA/T 1344-2016）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《安防人脸识别应用系统　第2部分:人脸图像数据 》（GA/T 922.2-2011）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《信息安全技术 网络安全等级保护基本要求》（GB/T22239-2019）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《信息安全技术 网络安全等级保护安全设计技术要求》（GB/T25070-2019）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《信息安全技术 网络安全等级保护测评要求》（GB/T28448-2019）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《信息安全技术 网络安全等级保护测评过程指南》（GB/T28449-2018）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《信息技术 安全技术 IT网络安全 第3部分：使用安全网关的网间通信安全保护》（GB/T 25068.3-2010）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pPr>
      <w:r>
        <w:rPr>
          <w:rFonts w:hint="eastAsia" w:ascii="宋体" w:hAnsi="宋体" w:cs="___WRD_EMBED_SUB_41"/>
          <w:bCs/>
          <w:sz w:val="24"/>
          <w:szCs w:val="32"/>
          <w:highlight w:val="none"/>
        </w:rPr>
        <w:t>《信息技术 安全技术 IT网络安全 第4部分：远程接入的安全保护》（GB/T 25068.4-2010）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cs="___WRD_EMBED_SUB_41"/>
          <w:bCs/>
          <w:sz w:val="24"/>
          <w:szCs w:val="32"/>
          <w:highlight w:val="none"/>
        </w:rPr>
        <w:sectPr>
          <w:head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cs="___WRD_EMBED_SUB_41"/>
          <w:bCs/>
          <w:sz w:val="24"/>
          <w:szCs w:val="32"/>
          <w:highlight w:val="none"/>
        </w:rPr>
        <w:t>《信息技术 安全技术 IT网络安全 第5部分：使用虚拟专用网的跨网通信安全保护》（GB/T 25068.5-2010）</w:t>
      </w:r>
    </w:p>
    <w:p>
      <w:pPr>
        <w:numPr>
          <w:ilvl w:val="0"/>
          <w:numId w:val="0"/>
        </w:numPr>
        <w:spacing w:line="360" w:lineRule="auto"/>
        <w:rPr>
          <w:rFonts w:ascii="宋体" w:hAnsi="宋体" w:cs="宋体"/>
          <w:b/>
          <w:bCs/>
          <w:sz w:val="32"/>
          <w:szCs w:val="32"/>
          <w:highlight w:val="none"/>
        </w:rPr>
      </w:pPr>
      <w:r>
        <w:rPr>
          <w:rFonts w:hint="eastAsia" w:ascii="宋体" w:hAnsi="宋体" w:cs="宋体"/>
          <w:b/>
          <w:bCs/>
          <w:sz w:val="32"/>
          <w:szCs w:val="32"/>
          <w:highlight w:val="none"/>
          <w:lang w:eastAsia="zh-CN"/>
        </w:rPr>
        <w:t>（四）</w:t>
      </w:r>
      <w:r>
        <w:rPr>
          <w:rFonts w:hint="eastAsia" w:ascii="宋体" w:hAnsi="宋体" w:cs="宋体"/>
          <w:b/>
          <w:bCs/>
          <w:sz w:val="32"/>
          <w:szCs w:val="32"/>
          <w:highlight w:val="none"/>
        </w:rPr>
        <w:t>采购内容一览表</w:t>
      </w:r>
    </w:p>
    <w:p>
      <w:pPr>
        <w:spacing w:line="360" w:lineRule="auto"/>
        <w:ind w:firstLine="480" w:firstLineChars="200"/>
        <w:rPr>
          <w:rFonts w:hint="eastAsia" w:ascii="宋体" w:hAnsi="宋体" w:cs="___WRD_EMBED_SUB_41"/>
          <w:bCs/>
          <w:sz w:val="24"/>
          <w:szCs w:val="32"/>
          <w:highlight w:val="none"/>
        </w:rPr>
      </w:pPr>
      <w:r>
        <w:rPr>
          <w:rFonts w:hint="eastAsia" w:ascii="宋体" w:hAnsi="宋体" w:cs="___WRD_EMBED_SUB_41"/>
          <w:bCs/>
          <w:sz w:val="24"/>
          <w:szCs w:val="32"/>
          <w:highlight w:val="none"/>
        </w:rPr>
        <w:t>在</w:t>
      </w:r>
      <w:r>
        <w:rPr>
          <w:rFonts w:ascii="宋体" w:hAnsi="宋体" w:cs="___WRD_EMBED_SUB_41"/>
          <w:bCs/>
          <w:sz w:val="24"/>
          <w:szCs w:val="32"/>
          <w:highlight w:val="none"/>
        </w:rPr>
        <w:t>视</w:t>
      </w:r>
      <w:r>
        <w:rPr>
          <w:rFonts w:hint="eastAsia" w:ascii="宋体" w:hAnsi="宋体" w:cs="___WRD_EMBED_SUB_41"/>
          <w:bCs/>
          <w:sz w:val="24"/>
          <w:szCs w:val="32"/>
          <w:highlight w:val="none"/>
        </w:rPr>
        <w:t>频专网</w:t>
      </w:r>
      <w:r>
        <w:rPr>
          <w:rFonts w:ascii="宋体" w:hAnsi="宋体" w:cs="___WRD_EMBED_SUB_41"/>
          <w:bCs/>
          <w:sz w:val="24"/>
          <w:szCs w:val="32"/>
          <w:highlight w:val="none"/>
        </w:rPr>
        <w:t>，</w:t>
      </w:r>
      <w:r>
        <w:rPr>
          <w:rFonts w:hint="eastAsia" w:ascii="宋体" w:hAnsi="宋体" w:cs="___WRD_EMBED_SUB_41"/>
          <w:bCs/>
          <w:sz w:val="24"/>
          <w:szCs w:val="32"/>
          <w:highlight w:val="none"/>
        </w:rPr>
        <w:t>新增1套数据汇聚转发节点，用于汇聚各县（市、区）车辆二次分析、视频结构化等智能分析所产生的结构化数据，故还需要建设24口万兆交换机1台、48口汇聚交换机1台。</w:t>
      </w:r>
    </w:p>
    <w:p>
      <w:pPr>
        <w:spacing w:line="360" w:lineRule="auto"/>
        <w:ind w:firstLine="480" w:firstLineChars="200"/>
        <w:rPr>
          <w:highlight w:val="none"/>
        </w:rPr>
      </w:pPr>
      <w:r>
        <w:rPr>
          <w:rFonts w:hint="eastAsia" w:ascii="宋体" w:hAnsi="宋体" w:cs="___WRD_EMBED_SUB_41"/>
          <w:bCs/>
          <w:sz w:val="24"/>
          <w:szCs w:val="32"/>
          <w:highlight w:val="none"/>
        </w:rPr>
        <w:t>在公安信息网，新增7台视频结构化服务器，使得视频结构化能力由原先的600路扩容到2392路；新增2台视频流标注服务器，使得视频流标注能力由原先的48路扩容到96路；新增10台云数据库服务器，使得数据存储能力由原先的200亿条结构化数据存储扩容到450亿条结构化数据存储；并建设对应所需的48口核心交换机2台，48口汇聚交换机2台以及日志存储4台。</w:t>
      </w:r>
    </w:p>
    <w:tbl>
      <w:tblPr>
        <w:tblStyle w:val="20"/>
        <w:tblW w:w="9679" w:type="dxa"/>
        <w:jc w:val="center"/>
        <w:tblLayout w:type="fixed"/>
        <w:tblCellMar>
          <w:top w:w="0" w:type="dxa"/>
          <w:left w:w="108" w:type="dxa"/>
          <w:bottom w:w="0" w:type="dxa"/>
          <w:right w:w="108" w:type="dxa"/>
        </w:tblCellMar>
      </w:tblPr>
      <w:tblGrid>
        <w:gridCol w:w="719"/>
        <w:gridCol w:w="2560"/>
        <w:gridCol w:w="843"/>
        <w:gridCol w:w="705"/>
        <w:gridCol w:w="2070"/>
        <w:gridCol w:w="1200"/>
        <w:gridCol w:w="1582"/>
      </w:tblGrid>
      <w:tr>
        <w:tblPrEx>
          <w:tblCellMar>
            <w:top w:w="0" w:type="dxa"/>
            <w:left w:w="108" w:type="dxa"/>
            <w:bottom w:w="0" w:type="dxa"/>
            <w:right w:w="108" w:type="dxa"/>
          </w:tblCellMar>
        </w:tblPrEx>
        <w:trPr>
          <w:trHeight w:val="90" w:hRule="atLeas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highlight w:val="none"/>
              </w:rPr>
            </w:pPr>
            <w:r>
              <w:rPr>
                <w:rFonts w:hint="eastAsia" w:ascii="宋体" w:hAnsi="宋体" w:cs="宋体"/>
                <w:color w:val="000000"/>
                <w:kern w:val="0"/>
                <w:sz w:val="24"/>
                <w:highlight w:val="none"/>
              </w:rPr>
              <w:t>序号</w:t>
            </w:r>
          </w:p>
        </w:tc>
        <w:tc>
          <w:tcPr>
            <w:tcW w:w="25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采购内容</w:t>
            </w:r>
          </w:p>
        </w:tc>
        <w:tc>
          <w:tcPr>
            <w:tcW w:w="84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数量</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单位</w:t>
            </w:r>
          </w:p>
        </w:tc>
        <w:tc>
          <w:tcPr>
            <w:tcW w:w="20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是否为核心产品</w:t>
            </w:r>
          </w:p>
        </w:tc>
        <w:tc>
          <w:tcPr>
            <w:tcW w:w="12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是否为主要产品</w:t>
            </w:r>
          </w:p>
        </w:tc>
        <w:tc>
          <w:tcPr>
            <w:tcW w:w="158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是否进口</w:t>
            </w:r>
          </w:p>
        </w:tc>
      </w:tr>
      <w:tr>
        <w:tblPrEx>
          <w:tblCellMar>
            <w:top w:w="0" w:type="dxa"/>
            <w:left w:w="108" w:type="dxa"/>
            <w:bottom w:w="0" w:type="dxa"/>
            <w:right w:w="108" w:type="dxa"/>
          </w:tblCellMar>
        </w:tblPrEx>
        <w:trPr>
          <w:trHeight w:val="270" w:hRule="atLeast"/>
          <w:jc w:val="center"/>
        </w:trPr>
        <w:tc>
          <w:tcPr>
            <w:tcW w:w="71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1</w:t>
            </w:r>
          </w:p>
        </w:tc>
        <w:tc>
          <w:tcPr>
            <w:tcW w:w="2560"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highlight w:val="none"/>
              </w:rPr>
            </w:pPr>
            <w:r>
              <w:rPr>
                <w:rFonts w:hint="eastAsia" w:ascii="宋体" w:hAnsi="宋体" w:cs="宋体"/>
                <w:color w:val="000000"/>
                <w:kern w:val="0"/>
                <w:sz w:val="24"/>
                <w:highlight w:val="none"/>
              </w:rPr>
              <w:t>数据汇聚转发节点</w:t>
            </w:r>
          </w:p>
        </w:tc>
        <w:tc>
          <w:tcPr>
            <w:tcW w:w="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1</w:t>
            </w:r>
          </w:p>
        </w:tc>
        <w:tc>
          <w:tcPr>
            <w:tcW w:w="70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套</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否</w:t>
            </w:r>
          </w:p>
        </w:tc>
        <w:tc>
          <w:tcPr>
            <w:tcW w:w="12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是</w:t>
            </w:r>
          </w:p>
        </w:tc>
        <w:tc>
          <w:tcPr>
            <w:tcW w:w="1582" w:type="dxa"/>
            <w:vMerge w:val="restart"/>
            <w:tcBorders>
              <w:top w:val="nil"/>
              <w:left w:val="nil"/>
              <w:right w:val="single" w:color="auto" w:sz="4" w:space="0"/>
            </w:tcBorders>
            <w:noWrap w:val="0"/>
            <w:vAlign w:val="center"/>
          </w:tcPr>
          <w:p>
            <w:pPr>
              <w:widowControl/>
              <w:jc w:val="center"/>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lang w:eastAsia="zh-CN"/>
              </w:rPr>
              <w:t>否</w:t>
            </w:r>
          </w:p>
        </w:tc>
      </w:tr>
      <w:tr>
        <w:tblPrEx>
          <w:tblCellMar>
            <w:top w:w="0" w:type="dxa"/>
            <w:left w:w="108" w:type="dxa"/>
            <w:bottom w:w="0" w:type="dxa"/>
            <w:right w:w="108" w:type="dxa"/>
          </w:tblCellMar>
        </w:tblPrEx>
        <w:trPr>
          <w:trHeight w:val="270" w:hRule="atLeast"/>
          <w:jc w:val="center"/>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2</w:t>
            </w:r>
          </w:p>
        </w:tc>
        <w:tc>
          <w:tcPr>
            <w:tcW w:w="2560"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视频结构化服务器</w:t>
            </w:r>
            <w:r>
              <w:rPr>
                <w:rFonts w:ascii="宋体" w:hAnsi="宋体" w:cs="Calibri"/>
                <w:color w:val="000000"/>
                <w:kern w:val="0"/>
                <w:sz w:val="24"/>
                <w:highlight w:val="none"/>
              </w:rPr>
              <w:t> </w:t>
            </w:r>
          </w:p>
        </w:tc>
        <w:tc>
          <w:tcPr>
            <w:tcW w:w="843"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7</w:t>
            </w:r>
          </w:p>
        </w:tc>
        <w:tc>
          <w:tcPr>
            <w:tcW w:w="705"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台</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是</w:t>
            </w:r>
          </w:p>
        </w:tc>
        <w:tc>
          <w:tcPr>
            <w:tcW w:w="1200"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否</w:t>
            </w:r>
          </w:p>
        </w:tc>
        <w:tc>
          <w:tcPr>
            <w:tcW w:w="1582" w:type="dxa"/>
            <w:vMerge w:val="continue"/>
            <w:tcBorders>
              <w:left w:val="nil"/>
              <w:right w:val="single" w:color="auto" w:sz="4" w:space="0"/>
            </w:tcBorders>
            <w:noWrap w:val="0"/>
            <w:vAlign w:val="center"/>
          </w:tcPr>
          <w:p>
            <w:pPr>
              <w:widowControl/>
              <w:jc w:val="center"/>
              <w:rPr>
                <w:rFonts w:hint="eastAsia" w:ascii="宋体" w:hAnsi="宋体" w:cs="宋体"/>
                <w:color w:val="000000"/>
                <w:kern w:val="0"/>
                <w:sz w:val="24"/>
                <w:highlight w:val="none"/>
              </w:rPr>
            </w:pPr>
          </w:p>
        </w:tc>
      </w:tr>
      <w:tr>
        <w:tblPrEx>
          <w:tblCellMar>
            <w:top w:w="0" w:type="dxa"/>
            <w:left w:w="108" w:type="dxa"/>
            <w:bottom w:w="0" w:type="dxa"/>
            <w:right w:w="108" w:type="dxa"/>
          </w:tblCellMar>
        </w:tblPrEx>
        <w:trPr>
          <w:trHeight w:val="270" w:hRule="atLeast"/>
          <w:jc w:val="center"/>
        </w:trPr>
        <w:tc>
          <w:tcPr>
            <w:tcW w:w="71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3</w:t>
            </w:r>
          </w:p>
        </w:tc>
        <w:tc>
          <w:tcPr>
            <w:tcW w:w="2560"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云数据库服务器</w:t>
            </w:r>
          </w:p>
        </w:tc>
        <w:tc>
          <w:tcPr>
            <w:tcW w:w="843"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10</w:t>
            </w:r>
          </w:p>
        </w:tc>
        <w:tc>
          <w:tcPr>
            <w:tcW w:w="705"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台</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否</w:t>
            </w:r>
          </w:p>
        </w:tc>
        <w:tc>
          <w:tcPr>
            <w:tcW w:w="12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是</w:t>
            </w:r>
          </w:p>
        </w:tc>
        <w:tc>
          <w:tcPr>
            <w:tcW w:w="1582" w:type="dxa"/>
            <w:vMerge w:val="continue"/>
            <w:tcBorders>
              <w:left w:val="nil"/>
              <w:right w:val="single" w:color="auto" w:sz="4" w:space="0"/>
            </w:tcBorders>
            <w:noWrap w:val="0"/>
            <w:vAlign w:val="center"/>
          </w:tcPr>
          <w:p>
            <w:pPr>
              <w:widowControl/>
              <w:jc w:val="center"/>
              <w:rPr>
                <w:rFonts w:hint="eastAsia" w:ascii="宋体" w:hAnsi="宋体" w:cs="宋体"/>
                <w:color w:val="000000"/>
                <w:kern w:val="0"/>
                <w:sz w:val="24"/>
                <w:highlight w:val="none"/>
              </w:rPr>
            </w:pPr>
          </w:p>
        </w:tc>
      </w:tr>
      <w:tr>
        <w:tblPrEx>
          <w:tblCellMar>
            <w:top w:w="0" w:type="dxa"/>
            <w:left w:w="108" w:type="dxa"/>
            <w:bottom w:w="0" w:type="dxa"/>
            <w:right w:w="108" w:type="dxa"/>
          </w:tblCellMar>
        </w:tblPrEx>
        <w:trPr>
          <w:trHeight w:val="270" w:hRule="atLeast"/>
          <w:jc w:val="center"/>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4</w:t>
            </w:r>
          </w:p>
        </w:tc>
        <w:tc>
          <w:tcPr>
            <w:tcW w:w="2560"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视频流标注服务器</w:t>
            </w:r>
          </w:p>
        </w:tc>
        <w:tc>
          <w:tcPr>
            <w:tcW w:w="843"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2</w:t>
            </w:r>
          </w:p>
        </w:tc>
        <w:tc>
          <w:tcPr>
            <w:tcW w:w="705"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台</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否</w:t>
            </w:r>
          </w:p>
        </w:tc>
        <w:tc>
          <w:tcPr>
            <w:tcW w:w="12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是</w:t>
            </w:r>
          </w:p>
        </w:tc>
        <w:tc>
          <w:tcPr>
            <w:tcW w:w="1582" w:type="dxa"/>
            <w:vMerge w:val="continue"/>
            <w:tcBorders>
              <w:left w:val="nil"/>
              <w:right w:val="single" w:color="auto" w:sz="4" w:space="0"/>
            </w:tcBorders>
            <w:noWrap w:val="0"/>
            <w:vAlign w:val="center"/>
          </w:tcPr>
          <w:p>
            <w:pPr>
              <w:widowControl/>
              <w:jc w:val="center"/>
              <w:rPr>
                <w:rFonts w:hint="eastAsia" w:ascii="宋体" w:hAnsi="宋体" w:cs="宋体"/>
                <w:color w:val="000000"/>
                <w:kern w:val="0"/>
                <w:sz w:val="24"/>
                <w:highlight w:val="none"/>
              </w:rPr>
            </w:pPr>
          </w:p>
        </w:tc>
      </w:tr>
      <w:tr>
        <w:tblPrEx>
          <w:tblCellMar>
            <w:top w:w="0" w:type="dxa"/>
            <w:left w:w="108" w:type="dxa"/>
            <w:bottom w:w="0" w:type="dxa"/>
            <w:right w:w="108" w:type="dxa"/>
          </w:tblCellMar>
        </w:tblPrEx>
        <w:trPr>
          <w:trHeight w:val="270" w:hRule="atLeast"/>
          <w:jc w:val="center"/>
        </w:trPr>
        <w:tc>
          <w:tcPr>
            <w:tcW w:w="71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5</w:t>
            </w:r>
          </w:p>
        </w:tc>
        <w:tc>
          <w:tcPr>
            <w:tcW w:w="2560"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24口万兆交换机</w:t>
            </w:r>
          </w:p>
        </w:tc>
        <w:tc>
          <w:tcPr>
            <w:tcW w:w="843"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1</w:t>
            </w:r>
          </w:p>
        </w:tc>
        <w:tc>
          <w:tcPr>
            <w:tcW w:w="705"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台</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否</w:t>
            </w:r>
          </w:p>
        </w:tc>
        <w:tc>
          <w:tcPr>
            <w:tcW w:w="12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auto"/>
                <w:kern w:val="0"/>
                <w:sz w:val="24"/>
                <w:highlight w:val="none"/>
              </w:rPr>
              <w:t>否</w:t>
            </w:r>
          </w:p>
        </w:tc>
        <w:tc>
          <w:tcPr>
            <w:tcW w:w="1582" w:type="dxa"/>
            <w:vMerge w:val="continue"/>
            <w:tcBorders>
              <w:left w:val="nil"/>
              <w:right w:val="single" w:color="auto" w:sz="4" w:space="0"/>
            </w:tcBorders>
            <w:noWrap w:val="0"/>
            <w:vAlign w:val="center"/>
          </w:tcPr>
          <w:p>
            <w:pPr>
              <w:widowControl/>
              <w:jc w:val="center"/>
              <w:rPr>
                <w:rFonts w:hint="eastAsia" w:ascii="宋体" w:hAnsi="宋体" w:cs="宋体"/>
                <w:color w:val="000000"/>
                <w:kern w:val="0"/>
                <w:sz w:val="24"/>
                <w:highlight w:val="none"/>
              </w:rPr>
            </w:pPr>
          </w:p>
        </w:tc>
      </w:tr>
      <w:tr>
        <w:tblPrEx>
          <w:tblCellMar>
            <w:top w:w="0" w:type="dxa"/>
            <w:left w:w="108" w:type="dxa"/>
            <w:bottom w:w="0" w:type="dxa"/>
            <w:right w:w="108" w:type="dxa"/>
          </w:tblCellMar>
        </w:tblPrEx>
        <w:trPr>
          <w:trHeight w:val="270" w:hRule="atLeast"/>
          <w:jc w:val="center"/>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6</w:t>
            </w:r>
          </w:p>
        </w:tc>
        <w:tc>
          <w:tcPr>
            <w:tcW w:w="2560"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48口核心交换机</w:t>
            </w:r>
          </w:p>
        </w:tc>
        <w:tc>
          <w:tcPr>
            <w:tcW w:w="843"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2</w:t>
            </w:r>
          </w:p>
        </w:tc>
        <w:tc>
          <w:tcPr>
            <w:tcW w:w="705"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台</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否</w:t>
            </w:r>
          </w:p>
        </w:tc>
        <w:tc>
          <w:tcPr>
            <w:tcW w:w="1200"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否</w:t>
            </w:r>
          </w:p>
        </w:tc>
        <w:tc>
          <w:tcPr>
            <w:tcW w:w="1582" w:type="dxa"/>
            <w:vMerge w:val="continue"/>
            <w:tcBorders>
              <w:left w:val="nil"/>
              <w:right w:val="single" w:color="auto" w:sz="4" w:space="0"/>
            </w:tcBorders>
            <w:noWrap w:val="0"/>
            <w:vAlign w:val="center"/>
          </w:tcPr>
          <w:p>
            <w:pPr>
              <w:widowControl/>
              <w:jc w:val="center"/>
              <w:rPr>
                <w:rFonts w:hint="eastAsia" w:ascii="宋体" w:hAnsi="宋体" w:cs="宋体"/>
                <w:color w:val="000000"/>
                <w:kern w:val="0"/>
                <w:sz w:val="24"/>
                <w:highlight w:val="none"/>
              </w:rPr>
            </w:pPr>
          </w:p>
        </w:tc>
      </w:tr>
      <w:tr>
        <w:tblPrEx>
          <w:tblCellMar>
            <w:top w:w="0" w:type="dxa"/>
            <w:left w:w="108" w:type="dxa"/>
            <w:bottom w:w="0" w:type="dxa"/>
            <w:right w:w="108" w:type="dxa"/>
          </w:tblCellMar>
        </w:tblPrEx>
        <w:trPr>
          <w:trHeight w:val="270" w:hRule="atLeast"/>
          <w:jc w:val="center"/>
        </w:trPr>
        <w:tc>
          <w:tcPr>
            <w:tcW w:w="71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7</w:t>
            </w:r>
          </w:p>
        </w:tc>
        <w:tc>
          <w:tcPr>
            <w:tcW w:w="2560"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48口汇聚交换机</w:t>
            </w:r>
          </w:p>
        </w:tc>
        <w:tc>
          <w:tcPr>
            <w:tcW w:w="843"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3</w:t>
            </w:r>
          </w:p>
        </w:tc>
        <w:tc>
          <w:tcPr>
            <w:tcW w:w="705"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台</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否</w:t>
            </w:r>
          </w:p>
        </w:tc>
        <w:tc>
          <w:tcPr>
            <w:tcW w:w="1200"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否</w:t>
            </w:r>
          </w:p>
        </w:tc>
        <w:tc>
          <w:tcPr>
            <w:tcW w:w="1582" w:type="dxa"/>
            <w:vMerge w:val="continue"/>
            <w:tcBorders>
              <w:left w:val="nil"/>
              <w:right w:val="single" w:color="auto" w:sz="4" w:space="0"/>
            </w:tcBorders>
            <w:noWrap w:val="0"/>
            <w:vAlign w:val="center"/>
          </w:tcPr>
          <w:p>
            <w:pPr>
              <w:widowControl/>
              <w:jc w:val="center"/>
              <w:rPr>
                <w:rFonts w:hint="eastAsia" w:ascii="宋体" w:hAnsi="宋体" w:cs="宋体"/>
                <w:color w:val="000000"/>
                <w:kern w:val="0"/>
                <w:sz w:val="24"/>
                <w:highlight w:val="none"/>
              </w:rPr>
            </w:pPr>
          </w:p>
        </w:tc>
      </w:tr>
      <w:tr>
        <w:tblPrEx>
          <w:tblCellMar>
            <w:top w:w="0" w:type="dxa"/>
            <w:left w:w="108" w:type="dxa"/>
            <w:bottom w:w="0" w:type="dxa"/>
            <w:right w:w="108" w:type="dxa"/>
          </w:tblCellMar>
        </w:tblPrEx>
        <w:trPr>
          <w:trHeight w:val="270" w:hRule="atLeast"/>
          <w:jc w:val="center"/>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8</w:t>
            </w:r>
          </w:p>
        </w:tc>
        <w:tc>
          <w:tcPr>
            <w:tcW w:w="2560"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日志存储（高配）</w:t>
            </w:r>
          </w:p>
        </w:tc>
        <w:tc>
          <w:tcPr>
            <w:tcW w:w="843"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2</w:t>
            </w:r>
          </w:p>
        </w:tc>
        <w:tc>
          <w:tcPr>
            <w:tcW w:w="705"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台</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否</w:t>
            </w:r>
          </w:p>
        </w:tc>
        <w:tc>
          <w:tcPr>
            <w:tcW w:w="1200"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否</w:t>
            </w:r>
          </w:p>
        </w:tc>
        <w:tc>
          <w:tcPr>
            <w:tcW w:w="1582" w:type="dxa"/>
            <w:vMerge w:val="continue"/>
            <w:tcBorders>
              <w:left w:val="nil"/>
              <w:right w:val="single" w:color="auto" w:sz="4" w:space="0"/>
            </w:tcBorders>
            <w:noWrap w:val="0"/>
            <w:vAlign w:val="center"/>
          </w:tcPr>
          <w:p>
            <w:pPr>
              <w:widowControl/>
              <w:jc w:val="center"/>
              <w:rPr>
                <w:rFonts w:hint="eastAsia" w:ascii="宋体" w:hAnsi="宋体" w:cs="宋体"/>
                <w:color w:val="000000"/>
                <w:kern w:val="0"/>
                <w:sz w:val="24"/>
                <w:highlight w:val="none"/>
              </w:rPr>
            </w:pPr>
          </w:p>
        </w:tc>
      </w:tr>
      <w:tr>
        <w:tblPrEx>
          <w:tblCellMar>
            <w:top w:w="0" w:type="dxa"/>
            <w:left w:w="108" w:type="dxa"/>
            <w:bottom w:w="0" w:type="dxa"/>
            <w:right w:w="108" w:type="dxa"/>
          </w:tblCellMar>
        </w:tblPrEx>
        <w:trPr>
          <w:trHeight w:val="270" w:hRule="atLeast"/>
          <w:jc w:val="center"/>
        </w:trPr>
        <w:tc>
          <w:tcPr>
            <w:tcW w:w="71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9</w:t>
            </w:r>
          </w:p>
        </w:tc>
        <w:tc>
          <w:tcPr>
            <w:tcW w:w="2560"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日志存储（低配）</w:t>
            </w:r>
          </w:p>
        </w:tc>
        <w:tc>
          <w:tcPr>
            <w:tcW w:w="843"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2</w:t>
            </w:r>
          </w:p>
        </w:tc>
        <w:tc>
          <w:tcPr>
            <w:tcW w:w="705"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台</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否</w:t>
            </w:r>
          </w:p>
        </w:tc>
        <w:tc>
          <w:tcPr>
            <w:tcW w:w="1200"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否</w:t>
            </w:r>
          </w:p>
        </w:tc>
        <w:tc>
          <w:tcPr>
            <w:tcW w:w="1582" w:type="dxa"/>
            <w:vMerge w:val="continue"/>
            <w:tcBorders>
              <w:left w:val="nil"/>
              <w:right w:val="single" w:color="auto" w:sz="4" w:space="0"/>
            </w:tcBorders>
            <w:noWrap w:val="0"/>
            <w:vAlign w:val="center"/>
          </w:tcPr>
          <w:p>
            <w:pPr>
              <w:widowControl/>
              <w:jc w:val="center"/>
              <w:rPr>
                <w:rFonts w:hint="eastAsia" w:ascii="宋体" w:hAnsi="宋体" w:cs="宋体"/>
                <w:color w:val="000000"/>
                <w:kern w:val="0"/>
                <w:sz w:val="24"/>
                <w:highlight w:val="none"/>
              </w:rPr>
            </w:pPr>
          </w:p>
        </w:tc>
      </w:tr>
      <w:tr>
        <w:tblPrEx>
          <w:tblCellMar>
            <w:top w:w="0" w:type="dxa"/>
            <w:left w:w="108" w:type="dxa"/>
            <w:bottom w:w="0" w:type="dxa"/>
            <w:right w:w="108" w:type="dxa"/>
          </w:tblCellMar>
        </w:tblPrEx>
        <w:trPr>
          <w:trHeight w:val="270" w:hRule="atLeast"/>
          <w:jc w:val="center"/>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10</w:t>
            </w:r>
          </w:p>
        </w:tc>
        <w:tc>
          <w:tcPr>
            <w:tcW w:w="2560"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 xml:space="preserve">第三方检测费用 </w:t>
            </w:r>
          </w:p>
        </w:tc>
        <w:tc>
          <w:tcPr>
            <w:tcW w:w="843"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1</w:t>
            </w:r>
          </w:p>
        </w:tc>
        <w:tc>
          <w:tcPr>
            <w:tcW w:w="705"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项</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否</w:t>
            </w:r>
          </w:p>
        </w:tc>
        <w:tc>
          <w:tcPr>
            <w:tcW w:w="1200"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否</w:t>
            </w:r>
          </w:p>
        </w:tc>
        <w:tc>
          <w:tcPr>
            <w:tcW w:w="1582" w:type="dxa"/>
            <w:vMerge w:val="continue"/>
            <w:tcBorders>
              <w:left w:val="nil"/>
              <w:right w:val="single" w:color="auto" w:sz="4" w:space="0"/>
            </w:tcBorders>
            <w:noWrap w:val="0"/>
            <w:vAlign w:val="center"/>
          </w:tcPr>
          <w:p>
            <w:pPr>
              <w:widowControl/>
              <w:jc w:val="center"/>
              <w:rPr>
                <w:rFonts w:hint="eastAsia" w:ascii="宋体" w:hAnsi="宋体" w:cs="宋体"/>
                <w:color w:val="000000"/>
                <w:kern w:val="0"/>
                <w:sz w:val="24"/>
                <w:highlight w:val="none"/>
              </w:rPr>
            </w:pPr>
          </w:p>
        </w:tc>
      </w:tr>
      <w:tr>
        <w:tblPrEx>
          <w:tblCellMar>
            <w:top w:w="0" w:type="dxa"/>
            <w:left w:w="108" w:type="dxa"/>
            <w:bottom w:w="0" w:type="dxa"/>
            <w:right w:w="108" w:type="dxa"/>
          </w:tblCellMar>
        </w:tblPrEx>
        <w:trPr>
          <w:trHeight w:val="270" w:hRule="atLeast"/>
          <w:jc w:val="center"/>
        </w:trPr>
        <w:tc>
          <w:tcPr>
            <w:tcW w:w="71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11</w:t>
            </w:r>
          </w:p>
        </w:tc>
        <w:tc>
          <w:tcPr>
            <w:tcW w:w="2560"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集成调试费用</w:t>
            </w:r>
          </w:p>
        </w:tc>
        <w:tc>
          <w:tcPr>
            <w:tcW w:w="843"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1</w:t>
            </w:r>
          </w:p>
        </w:tc>
        <w:tc>
          <w:tcPr>
            <w:tcW w:w="705"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项</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否</w:t>
            </w:r>
          </w:p>
        </w:tc>
        <w:tc>
          <w:tcPr>
            <w:tcW w:w="1200" w:type="dxa"/>
            <w:tcBorders>
              <w:top w:val="nil"/>
              <w:left w:val="nil"/>
              <w:bottom w:val="single" w:color="auto" w:sz="4" w:space="0"/>
              <w:right w:val="single" w:color="auto" w:sz="4" w:space="0"/>
            </w:tcBorders>
            <w:noWrap/>
            <w:vAlign w:val="bottom"/>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否</w:t>
            </w:r>
          </w:p>
        </w:tc>
        <w:tc>
          <w:tcPr>
            <w:tcW w:w="1582"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highlight w:val="none"/>
              </w:rPr>
            </w:pPr>
          </w:p>
        </w:tc>
      </w:tr>
    </w:tbl>
    <w:p>
      <w:pPr>
        <w:spacing w:line="360" w:lineRule="auto"/>
        <w:rPr>
          <w:rFonts w:hint="eastAsia"/>
          <w:bCs/>
          <w:sz w:val="24"/>
          <w:highlight w:val="none"/>
        </w:rPr>
        <w:sectPr>
          <w:pgSz w:w="11906" w:h="16838"/>
          <w:pgMar w:top="1758" w:right="1474" w:bottom="1758" w:left="1474"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numPr>
          <w:ilvl w:val="0"/>
          <w:numId w:val="0"/>
        </w:numPr>
        <w:spacing w:line="360" w:lineRule="auto"/>
        <w:rPr>
          <w:rFonts w:ascii="宋体" w:hAnsi="宋体" w:cs="宋体"/>
          <w:b/>
          <w:bCs/>
          <w:sz w:val="32"/>
          <w:szCs w:val="32"/>
          <w:highlight w:val="none"/>
        </w:rPr>
      </w:pPr>
      <w:r>
        <w:rPr>
          <w:rFonts w:hint="eastAsia" w:ascii="宋体" w:hAnsi="宋体" w:cs="宋体"/>
          <w:b/>
          <w:bCs/>
          <w:sz w:val="32"/>
          <w:szCs w:val="32"/>
          <w:highlight w:val="none"/>
          <w:lang w:eastAsia="zh-CN"/>
        </w:rPr>
        <w:t>（五）</w:t>
      </w:r>
      <w:r>
        <w:rPr>
          <w:rFonts w:hint="eastAsia" w:ascii="宋体" w:hAnsi="宋体" w:cs="宋体"/>
          <w:b/>
          <w:bCs/>
          <w:sz w:val="32"/>
          <w:szCs w:val="32"/>
          <w:highlight w:val="none"/>
        </w:rPr>
        <w:t>项目具体技术参数需求</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010"/>
        <w:gridCol w:w="5638"/>
        <w:gridCol w:w="471"/>
        <w:gridCol w:w="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8" w:type="dxa"/>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2010" w:type="dxa"/>
            <w:vAlign w:val="center"/>
          </w:tcPr>
          <w:p>
            <w:pPr>
              <w:widowControl/>
              <w:jc w:val="center"/>
              <w:rPr>
                <w:rFonts w:ascii="宋体" w:hAnsi="宋体" w:cs="宋体"/>
                <w:b/>
                <w:bCs/>
                <w:kern w:val="0"/>
                <w:szCs w:val="21"/>
              </w:rPr>
            </w:pPr>
            <w:r>
              <w:rPr>
                <w:rFonts w:hint="eastAsia" w:ascii="宋体" w:hAnsi="宋体" w:cs="宋体"/>
                <w:b/>
                <w:bCs/>
                <w:kern w:val="0"/>
                <w:szCs w:val="21"/>
              </w:rPr>
              <w:t>设备名称</w:t>
            </w:r>
          </w:p>
        </w:tc>
        <w:tc>
          <w:tcPr>
            <w:tcW w:w="5638" w:type="dxa"/>
            <w:vAlign w:val="center"/>
          </w:tcPr>
          <w:p>
            <w:pPr>
              <w:widowControl/>
              <w:jc w:val="center"/>
              <w:rPr>
                <w:rFonts w:ascii="宋体" w:hAnsi="宋体" w:cs="宋体"/>
                <w:b/>
                <w:bCs/>
                <w:kern w:val="0"/>
                <w:szCs w:val="21"/>
              </w:rPr>
            </w:pPr>
            <w:r>
              <w:rPr>
                <w:rFonts w:hint="eastAsia" w:ascii="宋体" w:hAnsi="宋体" w:cs="宋体"/>
                <w:b/>
                <w:bCs/>
                <w:kern w:val="0"/>
                <w:szCs w:val="21"/>
              </w:rPr>
              <w:t>技术参数</w:t>
            </w:r>
          </w:p>
        </w:tc>
        <w:tc>
          <w:tcPr>
            <w:tcW w:w="471" w:type="dxa"/>
            <w:vAlign w:val="center"/>
          </w:tcPr>
          <w:p>
            <w:pPr>
              <w:widowControl/>
              <w:jc w:val="center"/>
              <w:rPr>
                <w:rFonts w:ascii="宋体" w:hAnsi="宋体" w:cs="宋体"/>
                <w:b/>
                <w:bCs/>
                <w:kern w:val="0"/>
                <w:szCs w:val="21"/>
              </w:rPr>
            </w:pPr>
            <w:r>
              <w:rPr>
                <w:rFonts w:hint="eastAsia" w:ascii="宋体" w:hAnsi="宋体" w:cs="宋体"/>
                <w:b/>
                <w:bCs/>
                <w:kern w:val="0"/>
                <w:szCs w:val="21"/>
              </w:rPr>
              <w:t>单位</w:t>
            </w:r>
          </w:p>
        </w:tc>
        <w:tc>
          <w:tcPr>
            <w:tcW w:w="471" w:type="dxa"/>
            <w:vAlign w:val="center"/>
          </w:tcPr>
          <w:p>
            <w:pPr>
              <w:widowControl/>
              <w:jc w:val="center"/>
              <w:rPr>
                <w:rFonts w:ascii="宋体" w:hAnsi="宋体" w:cs="宋体"/>
                <w:b/>
                <w:bCs/>
                <w:kern w:val="0"/>
                <w:szCs w:val="21"/>
              </w:rPr>
            </w:pPr>
            <w:r>
              <w:rPr>
                <w:rFonts w:hint="eastAsia" w:ascii="宋体" w:hAnsi="宋体" w:cs="宋体"/>
                <w:b/>
                <w:bCs/>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158" w:type="dxa"/>
            <w:gridSpan w:val="5"/>
            <w:vAlign w:val="center"/>
          </w:tcPr>
          <w:p>
            <w:pPr>
              <w:widowControl/>
              <w:jc w:val="left"/>
              <w:rPr>
                <w:rFonts w:ascii="宋体" w:hAnsi="宋体" w:cs="宋体"/>
                <w:b/>
                <w:bCs/>
                <w:kern w:val="0"/>
                <w:szCs w:val="21"/>
              </w:rPr>
            </w:pPr>
            <w:r>
              <w:rPr>
                <w:rFonts w:hint="eastAsia" w:ascii="宋体" w:hAnsi="宋体" w:cs="宋体"/>
                <w:b/>
                <w:bCs/>
                <w:kern w:val="0"/>
                <w:szCs w:val="21"/>
              </w:rPr>
              <w:t>一、视频专网后端系统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8" w:type="dxa"/>
            <w:vAlign w:val="center"/>
          </w:tcPr>
          <w:p>
            <w:pPr>
              <w:widowControl/>
              <w:jc w:val="center"/>
              <w:rPr>
                <w:rFonts w:ascii="宋体" w:hAnsi="宋体" w:cs="宋体"/>
                <w:kern w:val="0"/>
                <w:szCs w:val="21"/>
              </w:rPr>
            </w:pPr>
            <w:r>
              <w:rPr>
                <w:rFonts w:hint="eastAsia" w:ascii="宋体" w:hAnsi="宋体" w:cs="宋体"/>
                <w:kern w:val="0"/>
                <w:szCs w:val="21"/>
              </w:rPr>
              <w:t xml:space="preserve">1 </w:t>
            </w:r>
          </w:p>
        </w:tc>
        <w:tc>
          <w:tcPr>
            <w:tcW w:w="2010" w:type="dxa"/>
            <w:vAlign w:val="center"/>
          </w:tcPr>
          <w:p>
            <w:pPr>
              <w:widowControl/>
              <w:jc w:val="center"/>
              <w:rPr>
                <w:rFonts w:ascii="宋体" w:hAnsi="宋体" w:cs="宋体"/>
                <w:kern w:val="0"/>
                <w:szCs w:val="21"/>
              </w:rPr>
            </w:pPr>
            <w:r>
              <w:rPr>
                <w:rFonts w:hint="eastAsia" w:ascii="宋体" w:hAnsi="宋体" w:cs="宋体"/>
                <w:kern w:val="0"/>
                <w:szCs w:val="21"/>
              </w:rPr>
              <w:t>数据汇聚转发节点</w:t>
            </w:r>
          </w:p>
        </w:tc>
        <w:tc>
          <w:tcPr>
            <w:tcW w:w="5638" w:type="dxa"/>
          </w:tcPr>
          <w:p>
            <w:pPr>
              <w:widowControl/>
              <w:jc w:val="left"/>
              <w:rPr>
                <w:rFonts w:ascii="宋体" w:hAnsi="宋体" w:cs="宋体"/>
                <w:kern w:val="0"/>
                <w:szCs w:val="21"/>
              </w:rPr>
            </w:pPr>
            <w:r>
              <w:rPr>
                <w:rFonts w:hint="eastAsia" w:ascii="宋体" w:hAnsi="宋体" w:cs="宋体"/>
                <w:b/>
                <w:kern w:val="0"/>
                <w:szCs w:val="21"/>
              </w:rPr>
              <w:t>12台原有服务器（H3C R4900 G3）硬件扩容：</w:t>
            </w:r>
            <w:r>
              <w:rPr>
                <w:rFonts w:hint="eastAsia" w:ascii="宋体" w:hAnsi="宋体" w:cs="宋体"/>
                <w:b/>
                <w:kern w:val="0"/>
                <w:szCs w:val="21"/>
              </w:rPr>
              <w:br w:type="textWrapping"/>
            </w:r>
            <w:r>
              <w:rPr>
                <w:rFonts w:hint="eastAsia" w:ascii="宋体" w:hAnsi="宋体" w:cs="宋体"/>
                <w:kern w:val="0"/>
                <w:szCs w:val="21"/>
              </w:rPr>
              <w:t>每台服务器增加12* 32GB DDR4 RDIMM 内存，总共扩容12*12*32 GB =4608 GB。</w:t>
            </w:r>
            <w:r>
              <w:rPr>
                <w:rFonts w:hint="eastAsia" w:ascii="宋体" w:hAnsi="宋体" w:cs="宋体"/>
                <w:kern w:val="0"/>
                <w:szCs w:val="21"/>
              </w:rPr>
              <w:br w:type="textWrapping"/>
            </w:r>
            <w:r>
              <w:rPr>
                <w:rFonts w:hint="eastAsia" w:ascii="宋体" w:hAnsi="宋体" w:cs="宋体"/>
                <w:kern w:val="0"/>
                <w:szCs w:val="21"/>
              </w:rPr>
              <w:t>每台服务器增加</w:t>
            </w:r>
            <w:r>
              <w:rPr>
                <w:rFonts w:ascii="宋体" w:hAnsi="宋体" w:cs="宋体"/>
                <w:kern w:val="0"/>
                <w:szCs w:val="21"/>
              </w:rPr>
              <w:t>2</w:t>
            </w:r>
            <w:r>
              <w:rPr>
                <w:rFonts w:hint="eastAsia" w:ascii="宋体" w:hAnsi="宋体" w:cs="宋体"/>
                <w:kern w:val="0"/>
                <w:szCs w:val="21"/>
              </w:rPr>
              <w:t>块双端口万兆网卡（带多模光模块），总共扩容</w:t>
            </w:r>
            <w:r>
              <w:rPr>
                <w:rFonts w:ascii="宋体" w:hAnsi="宋体" w:cs="宋体"/>
                <w:kern w:val="0"/>
                <w:szCs w:val="21"/>
              </w:rPr>
              <w:t>24</w:t>
            </w:r>
            <w:r>
              <w:rPr>
                <w:rFonts w:hint="eastAsia" w:ascii="宋体" w:hAnsi="宋体" w:cs="宋体"/>
                <w:kern w:val="0"/>
                <w:szCs w:val="21"/>
              </w:rPr>
              <w:t>块。</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b/>
                <w:kern w:val="0"/>
                <w:szCs w:val="21"/>
              </w:rPr>
              <w:t>产品功能及性能：</w:t>
            </w:r>
            <w:r>
              <w:rPr>
                <w:rFonts w:hint="eastAsia" w:ascii="宋体" w:hAnsi="宋体" w:cs="宋体"/>
                <w:kern w:val="0"/>
                <w:szCs w:val="21"/>
              </w:rPr>
              <w:br w:type="textWrapping"/>
            </w:r>
            <w:r>
              <w:rPr>
                <w:rFonts w:hint="eastAsia" w:ascii="宋体" w:hAnsi="宋体" w:cs="宋体"/>
                <w:kern w:val="0"/>
                <w:szCs w:val="21"/>
              </w:rPr>
              <w:t>1、平台门户：支持用户自定义快捷入口；支持支持自定义菜单内容，支持平铺及分类两种菜单展示模式；支持页面元素设置，支持上传页面logo图标、修改网站标题、设置并添加网站外部链接。</w:t>
            </w:r>
            <w:r>
              <w:rPr>
                <w:rFonts w:hint="eastAsia" w:ascii="宋体" w:hAnsi="宋体" w:cs="宋体"/>
                <w:kern w:val="0"/>
                <w:szCs w:val="21"/>
              </w:rPr>
              <w:br w:type="textWrapping"/>
            </w:r>
            <w:r>
              <w:rPr>
                <w:rFonts w:hint="eastAsia" w:ascii="宋体" w:hAnsi="宋体" w:cs="宋体"/>
                <w:kern w:val="0"/>
                <w:szCs w:val="21"/>
              </w:rPr>
              <w:t>2、统一认证：支持用户名密码认证方式及PKI认证方式。</w:t>
            </w:r>
            <w:r>
              <w:rPr>
                <w:rFonts w:hint="eastAsia" w:ascii="宋体" w:hAnsi="宋体" w:cs="宋体"/>
                <w:kern w:val="0"/>
                <w:szCs w:val="21"/>
              </w:rPr>
              <w:br w:type="textWrapping"/>
            </w:r>
            <w:r>
              <w:rPr>
                <w:rFonts w:hint="eastAsia" w:ascii="宋体" w:hAnsi="宋体" w:cs="宋体"/>
                <w:kern w:val="0"/>
                <w:szCs w:val="21"/>
              </w:rPr>
              <w:t>3、权限管理：支持用户管理、部门管理、角色管理；支持设置用户权限信息；支持设置用户登录认证密码、认证方式、在线策略及登录地址绑定等。</w:t>
            </w:r>
            <w:r>
              <w:rPr>
                <w:rFonts w:hint="eastAsia" w:ascii="宋体" w:hAnsi="宋体" w:cs="宋体"/>
                <w:kern w:val="0"/>
                <w:szCs w:val="21"/>
              </w:rPr>
              <w:br w:type="textWrapping"/>
            </w:r>
            <w:r>
              <w:rPr>
                <w:rFonts w:hint="eastAsia" w:ascii="宋体" w:hAnsi="宋体" w:cs="宋体"/>
                <w:kern w:val="0"/>
                <w:szCs w:val="21"/>
              </w:rPr>
              <w:t>4、资源目录管理：支持区域目录管理及资源管理；支持国标目录、模板导入目录、自定义目录等目录类型。</w:t>
            </w:r>
            <w:r>
              <w:rPr>
                <w:rFonts w:hint="eastAsia" w:ascii="宋体" w:hAnsi="宋体" w:cs="宋体"/>
                <w:kern w:val="0"/>
                <w:szCs w:val="21"/>
              </w:rPr>
              <w:br w:type="textWrapping"/>
            </w:r>
            <w:r>
              <w:rPr>
                <w:rFonts w:hint="eastAsia" w:ascii="宋体" w:hAnsi="宋体" w:cs="宋体"/>
                <w:kern w:val="0"/>
                <w:szCs w:val="21"/>
              </w:rPr>
              <w:t>5、日志管理：支持操作日志、系统日志的存储和查询。</w:t>
            </w:r>
            <w:r>
              <w:rPr>
                <w:rFonts w:hint="eastAsia" w:ascii="宋体" w:hAnsi="宋体" w:cs="宋体"/>
                <w:kern w:val="0"/>
                <w:szCs w:val="21"/>
              </w:rPr>
              <w:br w:type="textWrapping"/>
            </w:r>
            <w:r>
              <w:rPr>
                <w:rFonts w:hint="eastAsia" w:ascii="宋体" w:hAnsi="宋体" w:cs="宋体"/>
                <w:kern w:val="0"/>
                <w:szCs w:val="21"/>
              </w:rPr>
              <w:t>6、时间同步：支持通过NTP服务对前端摄像机、平台服务器进行时间同步。</w:t>
            </w:r>
            <w:r>
              <w:rPr>
                <w:rFonts w:hint="eastAsia" w:ascii="宋体" w:hAnsi="宋体" w:cs="宋体"/>
                <w:kern w:val="0"/>
                <w:szCs w:val="21"/>
              </w:rPr>
              <w:br w:type="textWrapping"/>
            </w:r>
            <w:r>
              <w:rPr>
                <w:rFonts w:hint="eastAsia" w:ascii="宋体" w:hAnsi="宋体" w:cs="宋体"/>
                <w:kern w:val="0"/>
                <w:szCs w:val="21"/>
              </w:rPr>
              <w:t>7、支持≥10000路本级物联设备接入授权（包括视频、人脸相机、卡口相机、MAC、手机电子围栏等）。</w:t>
            </w:r>
            <w:r>
              <w:rPr>
                <w:rFonts w:hint="eastAsia" w:ascii="宋体" w:hAnsi="宋体" w:cs="宋体"/>
                <w:kern w:val="0"/>
                <w:szCs w:val="21"/>
              </w:rPr>
              <w:br w:type="textWrapping"/>
            </w:r>
            <w:r>
              <w:rPr>
                <w:rFonts w:hint="eastAsia" w:ascii="宋体" w:hAnsi="宋体" w:cs="宋体"/>
                <w:kern w:val="0"/>
                <w:szCs w:val="21"/>
              </w:rPr>
              <w:t>8、支持≥15万路下级点位级联授权。</w:t>
            </w:r>
            <w:r>
              <w:rPr>
                <w:rFonts w:hint="eastAsia" w:ascii="宋体" w:hAnsi="宋体" w:cs="宋体"/>
                <w:kern w:val="0"/>
                <w:szCs w:val="21"/>
              </w:rPr>
              <w:br w:type="textWrapping"/>
            </w:r>
            <w:r>
              <w:rPr>
                <w:rFonts w:hint="eastAsia" w:ascii="宋体" w:hAnsi="宋体" w:cs="宋体"/>
                <w:kern w:val="0"/>
                <w:szCs w:val="21"/>
              </w:rPr>
              <w:t>9、支持人脸、人体、车辆等结构化数据、特征值、图片的实时级联与跨网摆渡，支持日转发≥2亿条结构化数据。</w:t>
            </w:r>
            <w:r>
              <w:rPr>
                <w:rFonts w:hint="eastAsia" w:ascii="宋体" w:hAnsi="宋体" w:cs="宋体"/>
                <w:kern w:val="0"/>
                <w:szCs w:val="21"/>
              </w:rPr>
              <w:br w:type="textWrapping"/>
            </w:r>
            <w:r>
              <w:rPr>
                <w:rFonts w:hint="eastAsia" w:ascii="宋体" w:hAnsi="宋体" w:cs="宋体"/>
                <w:kern w:val="0"/>
                <w:szCs w:val="21"/>
              </w:rPr>
              <w:t>10、支持对设备在线情况进行检测。</w:t>
            </w:r>
          </w:p>
        </w:tc>
        <w:tc>
          <w:tcPr>
            <w:tcW w:w="471" w:type="dxa"/>
            <w:vAlign w:val="center"/>
          </w:tcPr>
          <w:p>
            <w:pPr>
              <w:widowControl/>
              <w:jc w:val="center"/>
              <w:rPr>
                <w:rFonts w:ascii="宋体" w:hAnsi="宋体" w:cs="宋体"/>
                <w:kern w:val="0"/>
                <w:szCs w:val="21"/>
              </w:rPr>
            </w:pPr>
            <w:r>
              <w:rPr>
                <w:rFonts w:hint="eastAsia" w:ascii="宋体" w:hAnsi="宋体" w:cs="宋体"/>
                <w:kern w:val="0"/>
                <w:szCs w:val="21"/>
              </w:rPr>
              <w:t>套</w:t>
            </w:r>
          </w:p>
        </w:tc>
        <w:tc>
          <w:tcPr>
            <w:tcW w:w="471" w:type="dxa"/>
            <w:vAlign w:val="center"/>
          </w:tcPr>
          <w:p>
            <w:pPr>
              <w:widowControl/>
              <w:jc w:val="center"/>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158" w:type="dxa"/>
            <w:gridSpan w:val="5"/>
            <w:vAlign w:val="center"/>
          </w:tcPr>
          <w:p>
            <w:pPr>
              <w:widowControl/>
              <w:jc w:val="left"/>
              <w:rPr>
                <w:rFonts w:ascii="宋体" w:hAnsi="宋体" w:cs="宋体"/>
                <w:b/>
                <w:bCs/>
                <w:kern w:val="0"/>
                <w:szCs w:val="21"/>
              </w:rPr>
            </w:pPr>
            <w:r>
              <w:rPr>
                <w:rFonts w:hint="eastAsia" w:ascii="宋体" w:hAnsi="宋体" w:cs="宋体"/>
                <w:b/>
                <w:bCs/>
                <w:kern w:val="0"/>
                <w:szCs w:val="21"/>
              </w:rPr>
              <w:t>二、公安网后端系统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8" w:type="dxa"/>
            <w:vAlign w:val="center"/>
          </w:tcPr>
          <w:p>
            <w:pPr>
              <w:widowControl/>
              <w:jc w:val="center"/>
              <w:rPr>
                <w:rFonts w:ascii="宋体" w:hAnsi="宋体" w:cs="宋体"/>
                <w:kern w:val="0"/>
                <w:szCs w:val="21"/>
              </w:rPr>
            </w:pPr>
            <w:r>
              <w:rPr>
                <w:rFonts w:hint="eastAsia" w:ascii="宋体" w:hAnsi="宋体" w:cs="宋体"/>
                <w:kern w:val="0"/>
                <w:szCs w:val="21"/>
              </w:rPr>
              <w:t xml:space="preserve">2 </w:t>
            </w:r>
          </w:p>
        </w:tc>
        <w:tc>
          <w:tcPr>
            <w:tcW w:w="2010" w:type="dxa"/>
            <w:vAlign w:val="center"/>
          </w:tcPr>
          <w:p>
            <w:pPr>
              <w:widowControl/>
              <w:jc w:val="center"/>
              <w:rPr>
                <w:rFonts w:ascii="宋体" w:hAnsi="宋体" w:cs="宋体"/>
                <w:kern w:val="0"/>
                <w:szCs w:val="21"/>
              </w:rPr>
            </w:pPr>
            <w:r>
              <w:rPr>
                <w:rFonts w:hint="eastAsia" w:ascii="宋体" w:hAnsi="宋体" w:cs="宋体"/>
                <w:kern w:val="0"/>
                <w:szCs w:val="21"/>
              </w:rPr>
              <w:t>视频结构化服务器 </w:t>
            </w:r>
          </w:p>
        </w:tc>
        <w:tc>
          <w:tcPr>
            <w:tcW w:w="5638" w:type="dxa"/>
          </w:tcPr>
          <w:p>
            <w:pPr>
              <w:widowControl/>
              <w:jc w:val="left"/>
              <w:rPr>
                <w:rFonts w:ascii="宋体" w:hAnsi="宋体" w:cs="宋体"/>
                <w:kern w:val="0"/>
                <w:szCs w:val="21"/>
              </w:rPr>
            </w:pPr>
            <w:r>
              <w:rPr>
                <w:rFonts w:hint="eastAsia" w:ascii="宋体" w:hAnsi="宋体" w:cs="宋体"/>
                <w:b/>
                <w:kern w:val="0"/>
                <w:szCs w:val="21"/>
              </w:rPr>
              <w:t>硬件规格：</w:t>
            </w:r>
            <w:r>
              <w:rPr>
                <w:rFonts w:hint="eastAsia" w:ascii="宋体" w:hAnsi="宋体" w:cs="宋体"/>
                <w:kern w:val="0"/>
                <w:szCs w:val="21"/>
              </w:rPr>
              <w:br w:type="textWrapping"/>
            </w:r>
            <w:r>
              <w:rPr>
                <w:rFonts w:hint="eastAsia" w:ascii="宋体" w:hAnsi="宋体" w:cs="宋体"/>
                <w:kern w:val="0"/>
                <w:szCs w:val="21"/>
              </w:rPr>
              <w:t>处理器：≥Hygon7163 * 2（国产X86架构芯片，16核，32线程，2.4GHz）</w:t>
            </w:r>
            <w:r>
              <w:rPr>
                <w:rFonts w:hint="eastAsia" w:ascii="宋体" w:hAnsi="宋体" w:cs="宋体"/>
                <w:kern w:val="0"/>
                <w:szCs w:val="21"/>
              </w:rPr>
              <w:br w:type="textWrapping"/>
            </w:r>
            <w:r>
              <w:rPr>
                <w:rFonts w:hint="eastAsia" w:ascii="宋体" w:hAnsi="宋体" w:cs="宋体"/>
                <w:kern w:val="0"/>
                <w:szCs w:val="21"/>
              </w:rPr>
              <w:t>★GPU卡：≥</w:t>
            </w:r>
            <w:r>
              <w:rPr>
                <w:rFonts w:hint="eastAsia" w:ascii="宋体" w:hAnsi="宋体" w:cs="宋体"/>
                <w:color w:val="auto"/>
                <w:kern w:val="0"/>
                <w:szCs w:val="21"/>
              </w:rPr>
              <w:t>8张高性能GPU卡</w:t>
            </w:r>
            <w:r>
              <w:rPr>
                <w:rFonts w:hint="eastAsia" w:ascii="宋体" w:hAnsi="宋体" w:cs="宋体"/>
                <w:color w:val="auto"/>
                <w:kern w:val="0"/>
                <w:szCs w:val="21"/>
              </w:rPr>
              <w:br w:type="textWrapping"/>
            </w:r>
            <w:r>
              <w:rPr>
                <w:rFonts w:hint="eastAsia" w:ascii="宋体" w:hAnsi="宋体" w:cs="宋体"/>
                <w:color w:val="auto"/>
                <w:kern w:val="0"/>
                <w:szCs w:val="21"/>
              </w:rPr>
              <w:t xml:space="preserve">内存：≥32GB DDR4 ，32个内存插槽 </w:t>
            </w:r>
            <w:r>
              <w:rPr>
                <w:rFonts w:hint="eastAsia" w:ascii="宋体" w:hAnsi="宋体" w:cs="宋体"/>
                <w:color w:val="auto"/>
                <w:kern w:val="0"/>
                <w:szCs w:val="21"/>
              </w:rPr>
              <w:br w:type="textWrapping"/>
            </w:r>
            <w:r>
              <w:rPr>
                <w:rFonts w:hint="eastAsia" w:ascii="宋体" w:hAnsi="宋体" w:cs="宋体"/>
                <w:color w:val="auto"/>
                <w:kern w:val="0"/>
                <w:szCs w:val="21"/>
              </w:rPr>
              <w:t>硬盘：≥240G SSD * 2（系统盘，做主备）</w:t>
            </w:r>
            <w:r>
              <w:rPr>
                <w:rFonts w:hint="eastAsia" w:ascii="宋体" w:hAnsi="宋体" w:cs="宋体"/>
                <w:color w:val="auto"/>
                <w:kern w:val="0"/>
                <w:szCs w:val="21"/>
              </w:rPr>
              <w:br w:type="textWrapping"/>
            </w:r>
            <w:r>
              <w:rPr>
                <w:rFonts w:hint="eastAsia" w:ascii="宋体" w:hAnsi="宋体" w:cs="宋体"/>
                <w:color w:val="auto"/>
                <w:kern w:val="0"/>
                <w:szCs w:val="21"/>
              </w:rPr>
              <w:t>数据接口：≥4个千兆 RJ45 网口，≥1个RJ45管理口，≥1个VGA接口，≥4个USB 3.0接口</w:t>
            </w:r>
            <w:r>
              <w:rPr>
                <w:rFonts w:hint="eastAsia" w:ascii="宋体" w:hAnsi="宋体" w:cs="宋体"/>
                <w:color w:val="auto"/>
                <w:kern w:val="0"/>
                <w:szCs w:val="21"/>
              </w:rPr>
              <w:br w:type="textWrapping"/>
            </w:r>
            <w:r>
              <w:rPr>
                <w:rFonts w:hint="eastAsia" w:ascii="宋体" w:hAnsi="宋体" w:cs="宋体"/>
                <w:color w:val="auto"/>
                <w:kern w:val="0"/>
                <w:szCs w:val="21"/>
              </w:rPr>
              <w:t>质保：质保五年（</w:t>
            </w:r>
            <w:r>
              <w:rPr>
                <w:rFonts w:hint="eastAsia" w:ascii="宋体" w:hAnsi="宋体" w:cs="宋体"/>
                <w:color w:val="auto"/>
                <w:kern w:val="0"/>
                <w:szCs w:val="21"/>
                <w:lang w:eastAsia="zh-CN"/>
              </w:rPr>
              <w:t>保修期内换下来的硬盘不返还</w:t>
            </w:r>
            <w:r>
              <w:rPr>
                <w:rFonts w:hint="eastAsia" w:ascii="宋体" w:hAnsi="宋体" w:cs="宋体"/>
                <w:color w:val="auto"/>
                <w:kern w:val="0"/>
                <w:szCs w:val="21"/>
              </w:rPr>
              <w:t>）</w:t>
            </w:r>
            <w:r>
              <w:rPr>
                <w:rFonts w:hint="eastAsia" w:ascii="宋体" w:hAnsi="宋体" w:cs="宋体"/>
                <w:color w:val="auto"/>
                <w:kern w:val="0"/>
                <w:szCs w:val="21"/>
              </w:rPr>
              <w:br w:type="textWrapping"/>
            </w:r>
            <w:r>
              <w:rPr>
                <w:rFonts w:hint="eastAsia" w:ascii="宋体" w:hAnsi="宋体" w:cs="宋体"/>
                <w:kern w:val="0"/>
                <w:szCs w:val="21"/>
              </w:rPr>
              <w:t>电源模块：1200W 1+1高效冗余电源</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b/>
                <w:kern w:val="0"/>
                <w:szCs w:val="21"/>
              </w:rPr>
              <w:t>产品功能及性能：</w:t>
            </w:r>
            <w:r>
              <w:rPr>
                <w:rFonts w:hint="eastAsia" w:ascii="宋体" w:hAnsi="宋体" w:cs="宋体"/>
                <w:kern w:val="0"/>
                <w:szCs w:val="21"/>
              </w:rPr>
              <w:br w:type="textWrapping"/>
            </w:r>
            <w:r>
              <w:rPr>
                <w:rFonts w:hint="eastAsia" w:ascii="宋体" w:hAnsi="宋体" w:cs="宋体"/>
                <w:kern w:val="0"/>
                <w:szCs w:val="21"/>
              </w:rPr>
              <w:t>★1、智能分析性能（支持多种算法动态切换，以下人脸分析、车辆分析、视频结构化分析、治安场景图片分析性能为“或”的关系）。</w:t>
            </w:r>
            <w:r>
              <w:rPr>
                <w:rFonts w:hint="eastAsia" w:ascii="宋体" w:hAnsi="宋体" w:cs="宋体"/>
                <w:kern w:val="0"/>
                <w:szCs w:val="21"/>
              </w:rPr>
              <w:br w:type="textWrapping"/>
            </w:r>
            <w:r>
              <w:rPr>
                <w:rFonts w:hint="eastAsia" w:ascii="宋体" w:hAnsi="宋体" w:cs="宋体"/>
                <w:kern w:val="0"/>
                <w:szCs w:val="21"/>
              </w:rPr>
              <w:t>人脸分析：≥1280张/S或视频：≥256路（1080P）</w:t>
            </w:r>
            <w:r>
              <w:rPr>
                <w:rFonts w:hint="eastAsia" w:ascii="宋体" w:hAnsi="宋体" w:cs="宋体"/>
                <w:kern w:val="0"/>
                <w:szCs w:val="21"/>
              </w:rPr>
              <w:br w:type="textWrapping"/>
            </w:r>
            <w:r>
              <w:rPr>
                <w:rFonts w:hint="eastAsia" w:ascii="宋体" w:hAnsi="宋体" w:cs="宋体"/>
                <w:kern w:val="0"/>
                <w:szCs w:val="21"/>
              </w:rPr>
              <w:t>车辆分析：≥3200万张/天（200W~700W）</w:t>
            </w:r>
            <w:r>
              <w:rPr>
                <w:rFonts w:hint="eastAsia" w:ascii="宋体" w:hAnsi="宋体" w:cs="宋体"/>
                <w:kern w:val="0"/>
                <w:szCs w:val="21"/>
              </w:rPr>
              <w:br w:type="textWrapping"/>
            </w:r>
            <w:r>
              <w:rPr>
                <w:rFonts w:hint="eastAsia" w:ascii="宋体" w:hAnsi="宋体" w:cs="宋体"/>
                <w:kern w:val="0"/>
                <w:szCs w:val="21"/>
              </w:rPr>
              <w:t>视频结构化：≥256路（1080P）</w:t>
            </w:r>
            <w:r>
              <w:rPr>
                <w:rFonts w:hint="eastAsia" w:ascii="宋体" w:hAnsi="宋体" w:cs="宋体"/>
                <w:kern w:val="0"/>
                <w:szCs w:val="21"/>
              </w:rPr>
              <w:br w:type="textWrapping"/>
            </w:r>
            <w:r>
              <w:rPr>
                <w:rFonts w:hint="eastAsia" w:ascii="宋体" w:hAnsi="宋体" w:cs="宋体"/>
                <w:kern w:val="0"/>
                <w:szCs w:val="21"/>
              </w:rPr>
              <w:t>治安场景图片分析性能（车辆、人体）：≥640张/秒（200W）或≥256张/秒（500W）或≥192张/秒（800W）</w:t>
            </w:r>
            <w:r>
              <w:rPr>
                <w:rFonts w:hint="eastAsia" w:ascii="宋体" w:hAnsi="宋体" w:cs="宋体"/>
                <w:kern w:val="0"/>
                <w:szCs w:val="21"/>
              </w:rPr>
              <w:br w:type="textWrapping"/>
            </w:r>
            <w:r>
              <w:rPr>
                <w:rFonts w:hint="eastAsia" w:ascii="宋体" w:hAnsi="宋体" w:cs="宋体"/>
                <w:kern w:val="0"/>
                <w:szCs w:val="21"/>
              </w:rPr>
              <w:t>2、智能化属性如下：</w:t>
            </w:r>
            <w:r>
              <w:rPr>
                <w:rFonts w:hint="eastAsia" w:ascii="宋体" w:hAnsi="宋体" w:cs="宋体"/>
                <w:kern w:val="0"/>
                <w:szCs w:val="21"/>
              </w:rPr>
              <w:br w:type="textWrapping"/>
            </w:r>
            <w:r>
              <w:rPr>
                <w:rFonts w:hint="eastAsia" w:ascii="宋体" w:hAnsi="宋体" w:cs="宋体"/>
                <w:kern w:val="0"/>
                <w:szCs w:val="21"/>
              </w:rPr>
              <w:t>人脸属性：年龄段、性别、是否微笑、戴眼镜、戴口罩</w:t>
            </w:r>
            <w:r>
              <w:rPr>
                <w:rFonts w:hint="eastAsia" w:ascii="宋体" w:hAnsi="宋体" w:cs="宋体"/>
                <w:kern w:val="0"/>
                <w:szCs w:val="21"/>
              </w:rPr>
              <w:br w:type="textWrapping"/>
            </w:r>
            <w:r>
              <w:rPr>
                <w:rFonts w:hint="eastAsia" w:ascii="宋体" w:hAnsi="宋体" w:cs="宋体"/>
                <w:kern w:val="0"/>
                <w:szCs w:val="21"/>
              </w:rPr>
              <w:t>车辆属性：目标方向/大小/速度、车牌号码、车牌类型、车身颜色、是否临牌车、车牌颜色、车辆类型、车辆主/子品牌、主/副驾驶安全带、主/副驾驶遮阳板、打手机、黄标车、挂件、摆件、危险品车、纸巾盒等</w:t>
            </w:r>
            <w:r>
              <w:rPr>
                <w:rFonts w:hint="eastAsia" w:ascii="宋体" w:hAnsi="宋体" w:cs="宋体"/>
                <w:kern w:val="0"/>
                <w:szCs w:val="21"/>
              </w:rPr>
              <w:br w:type="textWrapping"/>
            </w:r>
            <w:r>
              <w:rPr>
                <w:rFonts w:hint="eastAsia" w:ascii="宋体" w:hAnsi="宋体" w:cs="宋体"/>
                <w:kern w:val="0"/>
                <w:szCs w:val="21"/>
              </w:rPr>
              <w:t>人体属性：目标方向/大小/速度、上/下衣类型/颜色、年龄段、发型、性别、骑车、背包、戴眼镜、戴帽子、戴口罩、拎东西、骑车人数、骑车类型等</w:t>
            </w:r>
            <w:r>
              <w:rPr>
                <w:rFonts w:hint="eastAsia" w:ascii="宋体" w:hAnsi="宋体" w:cs="宋体"/>
                <w:kern w:val="0"/>
                <w:szCs w:val="21"/>
              </w:rPr>
              <w:br w:type="textWrapping"/>
            </w:r>
            <w:r>
              <w:rPr>
                <w:rFonts w:hint="eastAsia" w:ascii="宋体" w:hAnsi="宋体" w:cs="宋体"/>
                <w:kern w:val="0"/>
                <w:szCs w:val="21"/>
              </w:rPr>
              <w:t>★3、支持与台州市公安局智能视频分析系统有效对接，提供有效证明材料。</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8" w:type="dxa"/>
            <w:vAlign w:val="center"/>
          </w:tcPr>
          <w:p>
            <w:pPr>
              <w:widowControl/>
              <w:jc w:val="center"/>
              <w:rPr>
                <w:rFonts w:ascii="宋体" w:hAnsi="宋体" w:cs="宋体"/>
                <w:kern w:val="0"/>
                <w:szCs w:val="21"/>
              </w:rPr>
            </w:pPr>
            <w:r>
              <w:rPr>
                <w:rFonts w:hint="eastAsia" w:ascii="宋体" w:hAnsi="宋体" w:cs="宋体"/>
                <w:kern w:val="0"/>
                <w:szCs w:val="21"/>
              </w:rPr>
              <w:t xml:space="preserve">3 </w:t>
            </w:r>
          </w:p>
        </w:tc>
        <w:tc>
          <w:tcPr>
            <w:tcW w:w="2010" w:type="dxa"/>
            <w:vAlign w:val="center"/>
          </w:tcPr>
          <w:p>
            <w:pPr>
              <w:widowControl/>
              <w:jc w:val="center"/>
              <w:rPr>
                <w:rFonts w:ascii="宋体" w:hAnsi="宋体" w:cs="宋体"/>
                <w:kern w:val="0"/>
                <w:szCs w:val="21"/>
              </w:rPr>
            </w:pPr>
            <w:r>
              <w:rPr>
                <w:rFonts w:hint="eastAsia" w:ascii="宋体" w:hAnsi="宋体" w:cs="宋体"/>
                <w:kern w:val="0"/>
                <w:szCs w:val="21"/>
              </w:rPr>
              <w:t>云数据库服务器</w:t>
            </w:r>
          </w:p>
        </w:tc>
        <w:tc>
          <w:tcPr>
            <w:tcW w:w="5638" w:type="dxa"/>
          </w:tcPr>
          <w:p>
            <w:pPr>
              <w:widowControl/>
              <w:jc w:val="left"/>
              <w:rPr>
                <w:rFonts w:ascii="宋体" w:hAnsi="宋体" w:cs="宋体"/>
                <w:kern w:val="0"/>
                <w:szCs w:val="21"/>
              </w:rPr>
            </w:pPr>
            <w:r>
              <w:rPr>
                <w:rFonts w:hint="eastAsia" w:ascii="宋体" w:hAnsi="宋体" w:cs="宋体"/>
                <w:b/>
                <w:kern w:val="0"/>
                <w:szCs w:val="21"/>
              </w:rPr>
              <w:t>硬件规格：</w:t>
            </w:r>
            <w:r>
              <w:rPr>
                <w:rFonts w:hint="eastAsia" w:ascii="宋体" w:hAnsi="宋体" w:cs="宋体"/>
                <w:kern w:val="0"/>
                <w:szCs w:val="21"/>
              </w:rPr>
              <w:br w:type="textWrapping"/>
            </w:r>
            <w:r>
              <w:rPr>
                <w:rFonts w:hint="eastAsia" w:ascii="宋体" w:hAnsi="宋体" w:cs="宋体"/>
                <w:kern w:val="0"/>
                <w:szCs w:val="21"/>
              </w:rPr>
              <w:t>处理器：≥Hygon7163 * 2（国产X86架构芯片，16核，32线程，2.4GHz）</w:t>
            </w:r>
            <w:r>
              <w:rPr>
                <w:rFonts w:hint="eastAsia" w:ascii="宋体" w:hAnsi="宋体" w:cs="宋体"/>
                <w:kern w:val="0"/>
                <w:szCs w:val="21"/>
              </w:rPr>
              <w:br w:type="textWrapping"/>
            </w:r>
            <w:r>
              <w:rPr>
                <w:rFonts w:hint="eastAsia" w:ascii="宋体" w:hAnsi="宋体" w:cs="宋体"/>
                <w:kern w:val="0"/>
                <w:szCs w:val="21"/>
              </w:rPr>
              <w:t>内存：≥256GB DDR4</w:t>
            </w:r>
            <w:r>
              <w:rPr>
                <w:rFonts w:hint="eastAsia" w:ascii="宋体" w:hAnsi="宋体" w:cs="宋体"/>
                <w:kern w:val="0"/>
                <w:szCs w:val="21"/>
              </w:rPr>
              <w:br w:type="textWrapping"/>
            </w:r>
            <w:r>
              <w:rPr>
                <w:rFonts w:hint="eastAsia" w:ascii="宋体" w:hAnsi="宋体" w:cs="宋体"/>
                <w:kern w:val="0"/>
                <w:szCs w:val="21"/>
              </w:rPr>
              <w:t>硬盘：≥480G SSD * 2（系统盘，做主备）+ 480G SSD * 6+4T 7.2K SATA * 4</w:t>
            </w:r>
            <w:r>
              <w:rPr>
                <w:rFonts w:hint="eastAsia" w:ascii="宋体" w:hAnsi="宋体" w:cs="宋体"/>
                <w:kern w:val="0"/>
                <w:szCs w:val="21"/>
              </w:rPr>
              <w:br w:type="textWrapping"/>
            </w:r>
            <w:r>
              <w:rPr>
                <w:rFonts w:hint="eastAsia" w:ascii="宋体" w:hAnsi="宋体" w:cs="宋体"/>
                <w:kern w:val="0"/>
                <w:szCs w:val="21"/>
              </w:rPr>
              <w:t>数据接口：≥</w:t>
            </w:r>
            <w:r>
              <w:rPr>
                <w:rFonts w:hint="eastAsia" w:ascii="宋体" w:hAnsi="宋体" w:cs="宋体"/>
                <w:color w:val="auto"/>
                <w:kern w:val="0"/>
                <w:szCs w:val="21"/>
              </w:rPr>
              <w:t>2个万兆光口（满配光模块）， ≥2个千兆电口</w:t>
            </w:r>
            <w:r>
              <w:rPr>
                <w:rFonts w:hint="eastAsia" w:ascii="宋体" w:hAnsi="宋体" w:cs="宋体"/>
                <w:color w:val="auto"/>
                <w:kern w:val="0"/>
                <w:szCs w:val="21"/>
              </w:rPr>
              <w:br w:type="textWrapping"/>
            </w:r>
            <w:r>
              <w:rPr>
                <w:rFonts w:hint="eastAsia" w:ascii="宋体" w:hAnsi="宋体" w:cs="宋体"/>
                <w:color w:val="auto"/>
                <w:kern w:val="0"/>
                <w:szCs w:val="21"/>
              </w:rPr>
              <w:t>质保：质保五年（</w:t>
            </w:r>
            <w:r>
              <w:rPr>
                <w:rFonts w:hint="eastAsia" w:ascii="宋体" w:hAnsi="宋体" w:cs="宋体"/>
                <w:color w:val="auto"/>
                <w:kern w:val="0"/>
                <w:szCs w:val="21"/>
                <w:lang w:eastAsia="zh-CN"/>
              </w:rPr>
              <w:t>保修期内换下来的硬盘不返还</w:t>
            </w:r>
            <w:r>
              <w:rPr>
                <w:rFonts w:hint="eastAsia" w:ascii="宋体" w:hAnsi="宋体" w:cs="宋体"/>
                <w:color w:val="auto"/>
                <w:kern w:val="0"/>
                <w:szCs w:val="21"/>
              </w:rPr>
              <w:t>）</w:t>
            </w:r>
            <w:r>
              <w:rPr>
                <w:rFonts w:hint="eastAsia" w:ascii="宋体" w:hAnsi="宋体" w:cs="宋体"/>
                <w:color w:val="auto"/>
                <w:kern w:val="0"/>
                <w:szCs w:val="21"/>
              </w:rPr>
              <w:br w:type="textWrapping"/>
            </w:r>
            <w:r>
              <w:rPr>
                <w:rFonts w:hint="eastAsia" w:ascii="宋体" w:hAnsi="宋体" w:cs="宋体"/>
                <w:color w:val="auto"/>
                <w:kern w:val="0"/>
                <w:szCs w:val="21"/>
              </w:rPr>
              <w:t>电源模块：高效能800W铂金1+1 CRPS冗余电源</w:t>
            </w:r>
            <w:r>
              <w:rPr>
                <w:rFonts w:hint="eastAsia" w:ascii="宋体" w:hAnsi="宋体" w:cs="宋体"/>
                <w:color w:val="auto"/>
                <w:kern w:val="0"/>
                <w:szCs w:val="21"/>
              </w:rPr>
              <w:br w:type="textWrapping"/>
            </w:r>
            <w:r>
              <w:rPr>
                <w:rFonts w:hint="eastAsia" w:ascii="宋体" w:hAnsi="宋体" w:cs="宋体"/>
                <w:color w:val="auto"/>
                <w:kern w:val="0"/>
                <w:szCs w:val="21"/>
              </w:rPr>
              <w:br w:type="textWrapping"/>
            </w:r>
            <w:r>
              <w:rPr>
                <w:rFonts w:hint="eastAsia" w:ascii="宋体" w:hAnsi="宋体" w:cs="宋体"/>
                <w:b/>
                <w:color w:val="auto"/>
                <w:kern w:val="0"/>
                <w:szCs w:val="21"/>
              </w:rPr>
              <w:t>产品功能及性能：</w:t>
            </w:r>
            <w:r>
              <w:rPr>
                <w:rFonts w:hint="eastAsia" w:ascii="宋体" w:hAnsi="宋体" w:cs="宋体"/>
                <w:color w:val="auto"/>
                <w:kern w:val="0"/>
                <w:szCs w:val="21"/>
              </w:rPr>
              <w:br w:type="textWrapping"/>
            </w:r>
            <w:r>
              <w:rPr>
                <w:rFonts w:hint="eastAsia" w:ascii="宋体" w:hAnsi="宋体" w:cs="宋体"/>
                <w:kern w:val="0"/>
                <w:szCs w:val="21"/>
              </w:rPr>
              <w:t>1、支持数据存储类型：人像、车辆、人体、WiFi、手机电子围栏等结构化数据。</w:t>
            </w:r>
            <w:r>
              <w:rPr>
                <w:rFonts w:hint="eastAsia" w:ascii="宋体" w:hAnsi="宋体" w:cs="宋体"/>
                <w:kern w:val="0"/>
                <w:szCs w:val="21"/>
              </w:rPr>
              <w:br w:type="textWrapping"/>
            </w:r>
            <w:r>
              <w:rPr>
                <w:rFonts w:hint="eastAsia" w:ascii="宋体" w:hAnsi="宋体" w:cs="宋体"/>
                <w:kern w:val="0"/>
                <w:szCs w:val="21"/>
              </w:rPr>
              <w:t>★2、数据存储：单台支持≥25亿的数据存储，日增≥600万数据。</w:t>
            </w:r>
            <w:r>
              <w:rPr>
                <w:rFonts w:hint="eastAsia" w:ascii="宋体" w:hAnsi="宋体" w:cs="宋体"/>
                <w:kern w:val="0"/>
                <w:szCs w:val="21"/>
              </w:rPr>
              <w:br w:type="textWrapping"/>
            </w:r>
            <w:r>
              <w:rPr>
                <w:rFonts w:hint="eastAsia" w:ascii="宋体" w:hAnsi="宋体" w:cs="宋体"/>
                <w:kern w:val="0"/>
                <w:szCs w:val="21"/>
              </w:rPr>
              <w:t>3、秒级以图搜图能力：单台支持≥2000万张图片以图搜图秒级响应能力。</w:t>
            </w:r>
            <w:r>
              <w:rPr>
                <w:rFonts w:hint="eastAsia" w:ascii="宋体" w:hAnsi="宋体" w:cs="宋体"/>
                <w:kern w:val="0"/>
                <w:szCs w:val="21"/>
              </w:rPr>
              <w:br w:type="textWrapping"/>
            </w:r>
            <w:r>
              <w:rPr>
                <w:rFonts w:hint="eastAsia" w:ascii="宋体" w:hAnsi="宋体" w:cs="宋体"/>
                <w:kern w:val="0"/>
                <w:szCs w:val="21"/>
              </w:rPr>
              <w:t>★4、支持与台州市公安局智能视频分析系统有效对接，提供有效证明材料。</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8" w:type="dxa"/>
            <w:vAlign w:val="center"/>
          </w:tcPr>
          <w:p>
            <w:pPr>
              <w:widowControl/>
              <w:jc w:val="center"/>
              <w:rPr>
                <w:rFonts w:ascii="宋体" w:hAnsi="宋体" w:cs="宋体"/>
                <w:kern w:val="0"/>
                <w:szCs w:val="21"/>
              </w:rPr>
            </w:pPr>
            <w:r>
              <w:rPr>
                <w:rFonts w:hint="eastAsia" w:ascii="宋体" w:hAnsi="宋体" w:cs="宋体"/>
                <w:kern w:val="0"/>
                <w:szCs w:val="21"/>
              </w:rPr>
              <w:t xml:space="preserve">4 </w:t>
            </w:r>
          </w:p>
        </w:tc>
        <w:tc>
          <w:tcPr>
            <w:tcW w:w="2010" w:type="dxa"/>
            <w:vAlign w:val="center"/>
          </w:tcPr>
          <w:p>
            <w:pPr>
              <w:widowControl/>
              <w:jc w:val="center"/>
              <w:rPr>
                <w:rFonts w:ascii="宋体" w:hAnsi="宋体" w:cs="宋体"/>
                <w:kern w:val="0"/>
                <w:szCs w:val="21"/>
              </w:rPr>
            </w:pPr>
            <w:r>
              <w:rPr>
                <w:rFonts w:hint="eastAsia" w:ascii="宋体" w:hAnsi="宋体" w:cs="宋体"/>
                <w:kern w:val="0"/>
                <w:szCs w:val="21"/>
              </w:rPr>
              <w:t>视频流标注服务器</w:t>
            </w:r>
          </w:p>
        </w:tc>
        <w:tc>
          <w:tcPr>
            <w:tcW w:w="5638" w:type="dxa"/>
          </w:tcPr>
          <w:p>
            <w:pPr>
              <w:widowControl/>
              <w:jc w:val="left"/>
              <w:rPr>
                <w:rFonts w:ascii="宋体" w:hAnsi="宋体" w:cs="宋体"/>
                <w:kern w:val="0"/>
                <w:szCs w:val="21"/>
              </w:rPr>
            </w:pPr>
            <w:r>
              <w:rPr>
                <w:rFonts w:hint="eastAsia" w:ascii="宋体" w:hAnsi="宋体" w:cs="宋体"/>
                <w:b/>
                <w:kern w:val="0"/>
                <w:szCs w:val="21"/>
              </w:rPr>
              <w:t>硬件规格：</w:t>
            </w:r>
            <w:r>
              <w:rPr>
                <w:rFonts w:hint="eastAsia" w:ascii="宋体" w:hAnsi="宋体" w:cs="宋体"/>
                <w:kern w:val="0"/>
                <w:szCs w:val="21"/>
              </w:rPr>
              <w:br w:type="textWrapping"/>
            </w:r>
            <w:r>
              <w:rPr>
                <w:rFonts w:hint="eastAsia" w:ascii="宋体" w:hAnsi="宋体" w:cs="宋体"/>
                <w:kern w:val="0"/>
                <w:szCs w:val="21"/>
              </w:rPr>
              <w:t>CPU：≥Hygon 3135 （国产X86架构芯片，8核，16线程，3.2GHz）</w:t>
            </w:r>
            <w:r>
              <w:rPr>
                <w:rFonts w:hint="eastAsia" w:ascii="宋体" w:hAnsi="宋体" w:cs="宋体"/>
                <w:kern w:val="0"/>
                <w:szCs w:val="21"/>
              </w:rPr>
              <w:br w:type="textWrapping"/>
            </w:r>
            <w:r>
              <w:rPr>
                <w:rFonts w:hint="eastAsia" w:ascii="宋体" w:hAnsi="宋体" w:cs="宋体"/>
                <w:kern w:val="0"/>
                <w:szCs w:val="21"/>
              </w:rPr>
              <w:t>GPU：≥4张高性能GPU卡</w:t>
            </w:r>
            <w:r>
              <w:rPr>
                <w:rFonts w:hint="eastAsia" w:ascii="宋体" w:hAnsi="宋体" w:cs="宋体"/>
                <w:kern w:val="0"/>
                <w:szCs w:val="21"/>
              </w:rPr>
              <w:br w:type="textWrapping"/>
            </w:r>
            <w:r>
              <w:rPr>
                <w:rFonts w:hint="eastAsia" w:ascii="宋体" w:hAnsi="宋体" w:cs="宋体"/>
                <w:kern w:val="0"/>
                <w:szCs w:val="21"/>
              </w:rPr>
              <w:t>内存：≥32GB DDR4</w:t>
            </w:r>
            <w:r>
              <w:rPr>
                <w:rFonts w:hint="eastAsia" w:ascii="宋体" w:hAnsi="宋体" w:cs="宋体"/>
                <w:kern w:val="0"/>
                <w:szCs w:val="21"/>
              </w:rPr>
              <w:br w:type="textWrapping"/>
            </w:r>
            <w:r>
              <w:rPr>
                <w:rFonts w:hint="eastAsia" w:ascii="宋体" w:hAnsi="宋体" w:cs="宋体"/>
                <w:kern w:val="0"/>
                <w:szCs w:val="21"/>
              </w:rPr>
              <w:t>硬盘：≥240G SSD * 2（系统盘，做主备）</w:t>
            </w:r>
            <w:r>
              <w:rPr>
                <w:rFonts w:hint="eastAsia" w:ascii="宋体" w:hAnsi="宋体" w:cs="宋体"/>
                <w:kern w:val="0"/>
                <w:szCs w:val="21"/>
              </w:rPr>
              <w:br w:type="textWrapping"/>
            </w:r>
            <w:r>
              <w:rPr>
                <w:rFonts w:hint="eastAsia" w:ascii="宋体" w:hAnsi="宋体" w:cs="宋体"/>
                <w:kern w:val="0"/>
                <w:szCs w:val="21"/>
              </w:rPr>
              <w:t>网口：≥4个千兆自适应网口，≥1个1000M/100M自适应管理口</w:t>
            </w:r>
            <w:r>
              <w:rPr>
                <w:rFonts w:hint="eastAsia" w:ascii="宋体" w:hAnsi="宋体" w:cs="宋体"/>
                <w:kern w:val="0"/>
                <w:szCs w:val="21"/>
              </w:rPr>
              <w:br w:type="textWrapping"/>
            </w:r>
            <w:r>
              <w:rPr>
                <w:rFonts w:hint="eastAsia" w:ascii="宋体" w:hAnsi="宋体" w:cs="宋体"/>
                <w:kern w:val="0"/>
                <w:szCs w:val="21"/>
              </w:rPr>
              <w:t>其他接口：</w:t>
            </w:r>
            <w:r>
              <w:rPr>
                <w:rFonts w:hint="eastAsia" w:ascii="宋体" w:hAnsi="宋体" w:cs="宋体"/>
                <w:color w:val="auto"/>
                <w:kern w:val="0"/>
                <w:szCs w:val="21"/>
              </w:rPr>
              <w:t>≥1个VGA接口，≥4个USB 3.0接口，≥2个USB 2.0接口</w:t>
            </w:r>
            <w:r>
              <w:rPr>
                <w:rFonts w:hint="eastAsia" w:ascii="宋体" w:hAnsi="宋体" w:cs="宋体"/>
                <w:color w:val="auto"/>
                <w:kern w:val="0"/>
                <w:szCs w:val="21"/>
              </w:rPr>
              <w:br w:type="textWrapping"/>
            </w:r>
            <w:r>
              <w:rPr>
                <w:rFonts w:hint="eastAsia" w:ascii="宋体" w:hAnsi="宋体" w:cs="宋体"/>
                <w:color w:val="auto"/>
                <w:kern w:val="0"/>
                <w:szCs w:val="21"/>
              </w:rPr>
              <w:t>质保：质保五年（</w:t>
            </w:r>
            <w:r>
              <w:rPr>
                <w:rFonts w:hint="eastAsia" w:ascii="宋体" w:hAnsi="宋体" w:cs="宋体"/>
                <w:color w:val="auto"/>
                <w:kern w:val="0"/>
                <w:szCs w:val="21"/>
                <w:lang w:eastAsia="zh-CN"/>
              </w:rPr>
              <w:t>保修期内换下来的硬盘不返还</w:t>
            </w:r>
            <w:r>
              <w:rPr>
                <w:rFonts w:hint="eastAsia" w:ascii="宋体" w:hAnsi="宋体" w:cs="宋体"/>
                <w:color w:val="auto"/>
                <w:kern w:val="0"/>
                <w:szCs w:val="21"/>
              </w:rPr>
              <w:t>）</w:t>
            </w:r>
            <w:r>
              <w:rPr>
                <w:rFonts w:hint="eastAsia" w:ascii="宋体" w:hAnsi="宋体" w:cs="宋体"/>
                <w:color w:val="auto"/>
                <w:kern w:val="0"/>
                <w:szCs w:val="21"/>
              </w:rPr>
              <w:br w:type="textWrapping"/>
            </w:r>
            <w:r>
              <w:rPr>
                <w:rFonts w:hint="eastAsia" w:ascii="宋体" w:hAnsi="宋体" w:cs="宋体"/>
                <w:color w:val="auto"/>
                <w:kern w:val="0"/>
                <w:szCs w:val="21"/>
              </w:rPr>
              <w:t>电源：热插拔高效1+1冗余550W电源模块</w:t>
            </w:r>
            <w:r>
              <w:rPr>
                <w:rFonts w:hint="eastAsia" w:ascii="宋体" w:hAnsi="宋体" w:cs="宋体"/>
                <w:color w:val="auto"/>
                <w:kern w:val="0"/>
                <w:szCs w:val="21"/>
              </w:rPr>
              <w:br w:type="textWrapping"/>
            </w:r>
            <w:r>
              <w:rPr>
                <w:rFonts w:hint="eastAsia" w:ascii="宋体" w:hAnsi="宋体" w:cs="宋体"/>
                <w:kern w:val="0"/>
                <w:szCs w:val="21"/>
              </w:rPr>
              <w:br w:type="textWrapping"/>
            </w:r>
            <w:r>
              <w:rPr>
                <w:rFonts w:hint="eastAsia" w:ascii="宋体" w:hAnsi="宋体" w:cs="宋体"/>
                <w:b/>
                <w:kern w:val="0"/>
                <w:szCs w:val="21"/>
              </w:rPr>
              <w:t>产品功能及性能：</w:t>
            </w:r>
            <w:r>
              <w:rPr>
                <w:rFonts w:hint="eastAsia" w:ascii="宋体" w:hAnsi="宋体" w:cs="宋体"/>
                <w:kern w:val="0"/>
                <w:szCs w:val="21"/>
              </w:rPr>
              <w:br w:type="textWrapping"/>
            </w:r>
            <w:r>
              <w:rPr>
                <w:rFonts w:hint="eastAsia" w:ascii="宋体" w:hAnsi="宋体" w:cs="宋体"/>
                <w:kern w:val="0"/>
                <w:szCs w:val="21"/>
              </w:rPr>
              <w:t>★1、单台支持≥24路的视频流标注能力。</w:t>
            </w:r>
            <w:r>
              <w:rPr>
                <w:rFonts w:hint="eastAsia" w:ascii="宋体" w:hAnsi="宋体" w:cs="宋体"/>
                <w:kern w:val="0"/>
                <w:szCs w:val="21"/>
              </w:rPr>
              <w:br w:type="textWrapping"/>
            </w:r>
            <w:r>
              <w:rPr>
                <w:rFonts w:hint="eastAsia" w:ascii="宋体" w:hAnsi="宋体" w:cs="宋体"/>
                <w:kern w:val="0"/>
                <w:szCs w:val="21"/>
              </w:rPr>
              <w:t>★2、支持与台州市公安局智能视频分析系统有效对接，提供有效证明材料。</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158" w:type="dxa"/>
            <w:gridSpan w:val="5"/>
            <w:vAlign w:val="center"/>
          </w:tcPr>
          <w:p>
            <w:pPr>
              <w:widowControl/>
              <w:jc w:val="left"/>
              <w:rPr>
                <w:rFonts w:ascii="宋体" w:hAnsi="宋体" w:cs="宋体"/>
                <w:kern w:val="0"/>
                <w:szCs w:val="21"/>
              </w:rPr>
            </w:pPr>
            <w:r>
              <w:rPr>
                <w:rFonts w:hint="eastAsia" w:ascii="宋体" w:hAnsi="宋体" w:cs="宋体"/>
                <w:b/>
                <w:bCs/>
                <w:kern w:val="0"/>
                <w:szCs w:val="21"/>
              </w:rPr>
              <w:t>三、传输及安全系统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8" w:type="dxa"/>
            <w:vAlign w:val="center"/>
          </w:tcPr>
          <w:p>
            <w:pPr>
              <w:widowControl/>
              <w:jc w:val="center"/>
              <w:rPr>
                <w:rFonts w:ascii="宋体" w:hAnsi="宋体" w:cs="宋体"/>
                <w:kern w:val="0"/>
                <w:szCs w:val="21"/>
              </w:rPr>
            </w:pPr>
            <w:r>
              <w:rPr>
                <w:rFonts w:hint="eastAsia" w:ascii="宋体" w:hAnsi="宋体" w:cs="宋体"/>
                <w:kern w:val="0"/>
                <w:szCs w:val="21"/>
              </w:rPr>
              <w:t xml:space="preserve">5 </w:t>
            </w:r>
          </w:p>
        </w:tc>
        <w:tc>
          <w:tcPr>
            <w:tcW w:w="2010" w:type="dxa"/>
            <w:noWrap/>
            <w:vAlign w:val="center"/>
          </w:tcPr>
          <w:p>
            <w:pPr>
              <w:widowControl/>
              <w:jc w:val="center"/>
              <w:rPr>
                <w:rFonts w:ascii="宋体" w:hAnsi="宋体" w:cs="宋体"/>
                <w:kern w:val="0"/>
                <w:szCs w:val="21"/>
              </w:rPr>
            </w:pPr>
            <w:r>
              <w:rPr>
                <w:rFonts w:hint="eastAsia" w:ascii="宋体" w:hAnsi="宋体" w:cs="宋体"/>
                <w:kern w:val="0"/>
                <w:szCs w:val="21"/>
              </w:rPr>
              <w:t>24口万兆交换机</w:t>
            </w:r>
          </w:p>
        </w:tc>
        <w:tc>
          <w:tcPr>
            <w:tcW w:w="5638" w:type="dxa"/>
          </w:tcPr>
          <w:p>
            <w:pPr>
              <w:widowControl/>
              <w:jc w:val="left"/>
              <w:rPr>
                <w:rFonts w:ascii="宋体" w:hAnsi="宋体" w:cs="宋体"/>
                <w:kern w:val="0"/>
                <w:szCs w:val="21"/>
              </w:rPr>
            </w:pPr>
            <w:r>
              <w:rPr>
                <w:rFonts w:hint="eastAsia" w:ascii="宋体" w:hAnsi="宋体" w:cs="宋体"/>
                <w:kern w:val="0"/>
                <w:szCs w:val="21"/>
              </w:rPr>
              <w:t>★交换容量：交换容量≥2.5Tbps（若存在双指标，以较小为准）</w:t>
            </w:r>
            <w:r>
              <w:rPr>
                <w:rFonts w:hint="eastAsia" w:ascii="宋体" w:hAnsi="宋体" w:cs="宋体"/>
                <w:kern w:val="0"/>
                <w:szCs w:val="21"/>
              </w:rPr>
              <w:br w:type="textWrapping"/>
            </w:r>
            <w:r>
              <w:rPr>
                <w:rFonts w:hint="eastAsia" w:ascii="宋体" w:hAnsi="宋体" w:cs="宋体"/>
                <w:kern w:val="0"/>
                <w:szCs w:val="21"/>
              </w:rPr>
              <w:t>转发性能：转发性能≥720Mpps（若存在双指标，以较小为准）</w:t>
            </w:r>
            <w:r>
              <w:rPr>
                <w:rFonts w:hint="eastAsia" w:ascii="宋体" w:hAnsi="宋体" w:cs="宋体"/>
                <w:kern w:val="0"/>
                <w:szCs w:val="21"/>
              </w:rPr>
              <w:br w:type="textWrapping"/>
            </w:r>
            <w:r>
              <w:rPr>
                <w:rFonts w:hint="eastAsia" w:ascii="宋体" w:hAnsi="宋体" w:cs="宋体"/>
                <w:kern w:val="0"/>
                <w:szCs w:val="21"/>
              </w:rPr>
              <w:t>接口类型：配置24个1G/10GSFP+端口，2个QSFP28端口，支持2个Slot</w:t>
            </w:r>
            <w:r>
              <w:rPr>
                <w:rFonts w:hint="eastAsia" w:ascii="宋体" w:hAnsi="宋体" w:cs="宋体"/>
                <w:kern w:val="0"/>
                <w:szCs w:val="21"/>
              </w:rPr>
              <w:br w:type="textWrapping"/>
            </w:r>
            <w:r>
              <w:rPr>
                <w:rFonts w:hint="eastAsia" w:ascii="宋体" w:hAnsi="宋体" w:cs="宋体"/>
                <w:kern w:val="0"/>
                <w:szCs w:val="21"/>
              </w:rPr>
              <w:t xml:space="preserve">扩展插槽数：扩展插槽≥2 </w:t>
            </w:r>
            <w:r>
              <w:rPr>
                <w:rFonts w:hint="eastAsia" w:ascii="宋体" w:hAnsi="宋体" w:cs="宋体"/>
                <w:kern w:val="0"/>
                <w:szCs w:val="21"/>
              </w:rPr>
              <w:br w:type="textWrapping"/>
            </w:r>
            <w:r>
              <w:rPr>
                <w:rFonts w:hint="eastAsia" w:ascii="宋体" w:hAnsi="宋体" w:cs="宋体"/>
                <w:kern w:val="0"/>
                <w:szCs w:val="21"/>
              </w:rPr>
              <w:t>电源配置：模块化双电源</w:t>
            </w:r>
            <w:r>
              <w:rPr>
                <w:rFonts w:hint="eastAsia" w:ascii="宋体" w:hAnsi="宋体" w:cs="宋体"/>
                <w:kern w:val="0"/>
                <w:szCs w:val="21"/>
              </w:rPr>
              <w:br w:type="textWrapping"/>
            </w:r>
            <w:r>
              <w:rPr>
                <w:rFonts w:hint="eastAsia" w:ascii="宋体" w:hAnsi="宋体" w:cs="宋体"/>
                <w:kern w:val="0"/>
                <w:szCs w:val="21"/>
              </w:rPr>
              <w:t>风扇配置：模块化双风扇，前/后通风，风道可调</w:t>
            </w:r>
            <w:r>
              <w:rPr>
                <w:rFonts w:hint="eastAsia" w:ascii="宋体" w:hAnsi="宋体" w:cs="宋体"/>
                <w:kern w:val="0"/>
                <w:szCs w:val="21"/>
              </w:rPr>
              <w:br w:type="textWrapping"/>
            </w:r>
            <w:r>
              <w:rPr>
                <w:rFonts w:hint="eastAsia" w:ascii="宋体" w:hAnsi="宋体" w:cs="宋体"/>
                <w:kern w:val="0"/>
                <w:szCs w:val="21"/>
              </w:rPr>
              <w:t>性能指标MAC地址表≥256K</w:t>
            </w:r>
            <w:r>
              <w:rPr>
                <w:rFonts w:hint="eastAsia" w:ascii="宋体" w:hAnsi="宋体" w:cs="宋体"/>
                <w:kern w:val="0"/>
                <w:szCs w:val="21"/>
              </w:rPr>
              <w:br w:type="textWrapping"/>
            </w:r>
            <w:r>
              <w:rPr>
                <w:rFonts w:hint="eastAsia" w:ascii="宋体" w:hAnsi="宋体" w:cs="宋体"/>
                <w:kern w:val="0"/>
                <w:szCs w:val="21"/>
              </w:rPr>
              <w:t>路由表容量≥128K</w:t>
            </w:r>
            <w:r>
              <w:rPr>
                <w:rFonts w:hint="eastAsia" w:ascii="宋体" w:hAnsi="宋体" w:cs="宋体"/>
                <w:kern w:val="0"/>
                <w:szCs w:val="21"/>
              </w:rPr>
              <w:br w:type="textWrapping"/>
            </w:r>
            <w:r>
              <w:rPr>
                <w:rFonts w:hint="eastAsia" w:ascii="宋体" w:hAnsi="宋体" w:cs="宋体"/>
                <w:kern w:val="0"/>
                <w:szCs w:val="21"/>
              </w:rPr>
              <w:t>ARP：128KV</w:t>
            </w:r>
            <w:r>
              <w:rPr>
                <w:rFonts w:hint="eastAsia" w:ascii="宋体" w:hAnsi="宋体" w:cs="宋体"/>
                <w:kern w:val="0"/>
                <w:szCs w:val="21"/>
              </w:rPr>
              <w:br w:type="textWrapping"/>
            </w:r>
            <w:r>
              <w:rPr>
                <w:rFonts w:hint="eastAsia" w:ascii="宋体" w:hAnsi="宋体" w:cs="宋体"/>
                <w:kern w:val="0"/>
                <w:szCs w:val="21"/>
              </w:rPr>
              <w:t>支持VxLAN二层网关</w:t>
            </w:r>
            <w:r>
              <w:rPr>
                <w:rFonts w:hint="eastAsia" w:ascii="宋体" w:hAnsi="宋体" w:cs="宋体"/>
                <w:kern w:val="0"/>
                <w:szCs w:val="21"/>
              </w:rPr>
              <w:br w:type="textWrapping"/>
            </w:r>
            <w:r>
              <w:rPr>
                <w:rFonts w:hint="eastAsia" w:ascii="宋体" w:hAnsi="宋体" w:cs="宋体"/>
                <w:kern w:val="0"/>
                <w:szCs w:val="21"/>
              </w:rPr>
              <w:t>支持VxLAN三层网关</w:t>
            </w:r>
            <w:r>
              <w:rPr>
                <w:rFonts w:hint="eastAsia" w:ascii="宋体" w:hAnsi="宋体" w:cs="宋体"/>
                <w:kern w:val="0"/>
                <w:szCs w:val="21"/>
              </w:rPr>
              <w:br w:type="textWrapping"/>
            </w:r>
            <w:r>
              <w:rPr>
                <w:rFonts w:hint="eastAsia" w:ascii="宋体" w:hAnsi="宋体" w:cs="宋体"/>
                <w:kern w:val="0"/>
                <w:szCs w:val="21"/>
              </w:rPr>
              <w:t>支持EVPN</w:t>
            </w:r>
            <w:r>
              <w:rPr>
                <w:rFonts w:hint="eastAsia" w:ascii="宋体" w:hAnsi="宋体" w:cs="宋体"/>
                <w:kern w:val="0"/>
                <w:szCs w:val="21"/>
              </w:rPr>
              <w:br w:type="textWrapping"/>
            </w:r>
            <w:r>
              <w:rPr>
                <w:rFonts w:hint="eastAsia" w:ascii="宋体" w:hAnsi="宋体" w:cs="宋体"/>
                <w:kern w:val="0"/>
                <w:szCs w:val="21"/>
              </w:rPr>
              <w:t>最大堆叠台数≥9台</w:t>
            </w:r>
            <w:r>
              <w:rPr>
                <w:rFonts w:hint="eastAsia" w:ascii="宋体" w:hAnsi="宋体" w:cs="宋体"/>
                <w:kern w:val="0"/>
                <w:szCs w:val="21"/>
              </w:rPr>
              <w:br w:type="textWrapping"/>
            </w:r>
            <w:r>
              <w:rPr>
                <w:rFonts w:hint="eastAsia" w:ascii="宋体" w:hAnsi="宋体" w:cs="宋体"/>
                <w:kern w:val="0"/>
                <w:szCs w:val="21"/>
              </w:rPr>
              <w:t>支持跨设备链路聚合，单一IP管理，分布式弹性路由</w:t>
            </w:r>
            <w:r>
              <w:rPr>
                <w:rFonts w:hint="eastAsia" w:ascii="宋体" w:hAnsi="宋体" w:cs="宋体"/>
                <w:kern w:val="0"/>
                <w:szCs w:val="21"/>
              </w:rPr>
              <w:br w:type="textWrapping"/>
            </w:r>
            <w:r>
              <w:rPr>
                <w:rFonts w:hint="eastAsia" w:ascii="宋体" w:hAnsi="宋体" w:cs="宋体"/>
                <w:kern w:val="0"/>
                <w:szCs w:val="21"/>
              </w:rPr>
              <w:t>支持通过标准以太端口进行堆叠（万兆或40G均支持）</w:t>
            </w:r>
            <w:r>
              <w:rPr>
                <w:rFonts w:hint="eastAsia" w:ascii="宋体" w:hAnsi="宋体" w:cs="宋体"/>
                <w:kern w:val="0"/>
                <w:szCs w:val="21"/>
              </w:rPr>
              <w:br w:type="textWrapping"/>
            </w:r>
            <w:r>
              <w:rPr>
                <w:rFonts w:hint="eastAsia" w:ascii="宋体" w:hAnsi="宋体" w:cs="宋体"/>
                <w:kern w:val="0"/>
                <w:szCs w:val="21"/>
              </w:rPr>
              <w:t>支持完善的堆叠分裂检测机制，堆叠分裂后能自动完成MAC和IP地址的重配置，无需手动干预</w:t>
            </w:r>
            <w:r>
              <w:rPr>
                <w:rFonts w:hint="eastAsia" w:ascii="宋体" w:hAnsi="宋体" w:cs="宋体"/>
                <w:kern w:val="0"/>
                <w:szCs w:val="21"/>
              </w:rPr>
              <w:br w:type="textWrapping"/>
            </w:r>
            <w:r>
              <w:rPr>
                <w:rFonts w:hint="eastAsia" w:ascii="宋体" w:hAnsi="宋体" w:cs="宋体"/>
                <w:kern w:val="0"/>
                <w:szCs w:val="21"/>
              </w:rPr>
              <w:t>支持远程堆叠</w:t>
            </w:r>
            <w:r>
              <w:rPr>
                <w:rFonts w:hint="eastAsia" w:ascii="宋体" w:hAnsi="宋体" w:cs="宋体"/>
                <w:kern w:val="0"/>
                <w:szCs w:val="21"/>
              </w:rPr>
              <w:br w:type="textWrapping"/>
            </w:r>
            <w:r>
              <w:rPr>
                <w:rFonts w:hint="eastAsia" w:ascii="宋体" w:hAnsi="宋体" w:cs="宋体"/>
                <w:kern w:val="0"/>
                <w:szCs w:val="21"/>
              </w:rPr>
              <w:t>VLAN特性支持基于端口的VLAN，支持基于协议的VLAN</w:t>
            </w:r>
            <w:r>
              <w:rPr>
                <w:rFonts w:hint="eastAsia" w:ascii="宋体" w:hAnsi="宋体" w:cs="宋体"/>
                <w:kern w:val="0"/>
                <w:szCs w:val="21"/>
              </w:rPr>
              <w:br w:type="textWrapping"/>
            </w:r>
            <w:r>
              <w:rPr>
                <w:rFonts w:hint="eastAsia" w:ascii="宋体" w:hAnsi="宋体" w:cs="宋体"/>
                <w:kern w:val="0"/>
                <w:szCs w:val="21"/>
              </w:rPr>
              <w:t>支持基于MAC的VLAN</w:t>
            </w:r>
            <w:r>
              <w:rPr>
                <w:rFonts w:hint="eastAsia" w:ascii="宋体" w:hAnsi="宋体" w:cs="宋体"/>
                <w:kern w:val="0"/>
                <w:szCs w:val="21"/>
              </w:rPr>
              <w:br w:type="textWrapping"/>
            </w:r>
            <w:r>
              <w:rPr>
                <w:rFonts w:hint="eastAsia" w:ascii="宋体" w:hAnsi="宋体" w:cs="宋体"/>
                <w:kern w:val="0"/>
                <w:szCs w:val="21"/>
              </w:rPr>
              <w:t>最大VLAN数(不是VLANID)≥4094</w:t>
            </w:r>
            <w:r>
              <w:rPr>
                <w:rFonts w:hint="eastAsia" w:ascii="宋体" w:hAnsi="宋体" w:cs="宋体"/>
                <w:kern w:val="0"/>
                <w:szCs w:val="21"/>
              </w:rPr>
              <w:br w:type="textWrapping"/>
            </w:r>
            <w:r>
              <w:rPr>
                <w:rFonts w:hint="eastAsia" w:ascii="宋体" w:hAnsi="宋体" w:cs="宋体"/>
                <w:kern w:val="0"/>
                <w:szCs w:val="21"/>
              </w:rPr>
              <w:t>链路聚合支持最多8个端口聚合；支持最多128个聚合组（IRF2）</w:t>
            </w:r>
            <w:r>
              <w:rPr>
                <w:rFonts w:hint="eastAsia" w:ascii="宋体" w:hAnsi="宋体" w:cs="宋体"/>
                <w:kern w:val="0"/>
                <w:szCs w:val="21"/>
              </w:rPr>
              <w:br w:type="textWrapping"/>
            </w:r>
            <w:r>
              <w:rPr>
                <w:rFonts w:hint="eastAsia" w:ascii="宋体" w:hAnsi="宋体" w:cs="宋体"/>
                <w:kern w:val="0"/>
                <w:szCs w:val="21"/>
              </w:rPr>
              <w:t>镜像功能支持本地端口镜像和远程端口镜像RSPAN</w:t>
            </w:r>
            <w:r>
              <w:rPr>
                <w:rFonts w:hint="eastAsia" w:ascii="宋体" w:hAnsi="宋体" w:cs="宋体"/>
                <w:kern w:val="0"/>
                <w:szCs w:val="21"/>
              </w:rPr>
              <w:br w:type="textWrapping"/>
            </w:r>
            <w:r>
              <w:rPr>
                <w:rFonts w:hint="eastAsia" w:ascii="宋体" w:hAnsi="宋体" w:cs="宋体"/>
                <w:kern w:val="0"/>
                <w:szCs w:val="21"/>
              </w:rPr>
              <w:t>支持流镜像</w:t>
            </w:r>
            <w:r>
              <w:rPr>
                <w:rFonts w:hint="eastAsia" w:ascii="宋体" w:hAnsi="宋体" w:cs="宋体"/>
                <w:kern w:val="0"/>
                <w:szCs w:val="21"/>
              </w:rPr>
              <w:br w:type="textWrapping"/>
            </w:r>
            <w:r>
              <w:rPr>
                <w:rFonts w:hint="eastAsia" w:ascii="宋体" w:hAnsi="宋体" w:cs="宋体"/>
                <w:kern w:val="0"/>
                <w:szCs w:val="21"/>
              </w:rPr>
              <w:t>同时支持N：M的端口镜像（M大于1）</w:t>
            </w:r>
            <w:r>
              <w:rPr>
                <w:rFonts w:hint="eastAsia" w:ascii="宋体" w:hAnsi="宋体" w:cs="宋体"/>
                <w:kern w:val="0"/>
                <w:szCs w:val="21"/>
              </w:rPr>
              <w:br w:type="textWrapping"/>
            </w:r>
            <w:r>
              <w:rPr>
                <w:rFonts w:hint="eastAsia" w:ascii="宋体" w:hAnsi="宋体" w:cs="宋体"/>
                <w:kern w:val="0"/>
                <w:szCs w:val="21"/>
              </w:rPr>
              <w:t>组播协议支持IGMPv1/v2/v3，MLDv1/v2</w:t>
            </w:r>
            <w:r>
              <w:rPr>
                <w:rFonts w:hint="eastAsia" w:ascii="宋体" w:hAnsi="宋体" w:cs="宋体"/>
                <w:kern w:val="0"/>
                <w:szCs w:val="21"/>
              </w:rPr>
              <w:br w:type="textWrapping"/>
            </w:r>
            <w:r>
              <w:rPr>
                <w:rFonts w:hint="eastAsia" w:ascii="宋体" w:hAnsi="宋体" w:cs="宋体"/>
                <w:kern w:val="0"/>
                <w:szCs w:val="21"/>
              </w:rPr>
              <w:t>支持IGMPSnoopingv1/v2/v3，MLDSnoopingv1/v2</w:t>
            </w:r>
            <w:r>
              <w:rPr>
                <w:rFonts w:hint="eastAsia" w:ascii="宋体" w:hAnsi="宋体" w:cs="宋体"/>
                <w:kern w:val="0"/>
                <w:szCs w:val="21"/>
              </w:rPr>
              <w:br w:type="textWrapping"/>
            </w:r>
            <w:r>
              <w:rPr>
                <w:rFonts w:hint="eastAsia" w:ascii="宋体" w:hAnsi="宋体" w:cs="宋体"/>
                <w:kern w:val="0"/>
                <w:szCs w:val="21"/>
              </w:rPr>
              <w:t>支持PIMSnooping</w:t>
            </w:r>
            <w:r>
              <w:rPr>
                <w:rFonts w:hint="eastAsia" w:ascii="宋体" w:hAnsi="宋体" w:cs="宋体"/>
                <w:kern w:val="0"/>
                <w:szCs w:val="21"/>
              </w:rPr>
              <w:br w:type="textWrapping"/>
            </w:r>
            <w:r>
              <w:rPr>
                <w:rFonts w:hint="eastAsia" w:ascii="宋体" w:hAnsi="宋体" w:cs="宋体"/>
                <w:kern w:val="0"/>
                <w:szCs w:val="21"/>
              </w:rPr>
              <w:t>支持MLDProxy</w:t>
            </w:r>
            <w:r>
              <w:rPr>
                <w:rFonts w:hint="eastAsia" w:ascii="宋体" w:hAnsi="宋体" w:cs="宋体"/>
                <w:kern w:val="0"/>
                <w:szCs w:val="21"/>
              </w:rPr>
              <w:br w:type="textWrapping"/>
            </w:r>
            <w:r>
              <w:rPr>
                <w:rFonts w:hint="eastAsia" w:ascii="宋体" w:hAnsi="宋体" w:cs="宋体"/>
                <w:kern w:val="0"/>
                <w:szCs w:val="21"/>
              </w:rPr>
              <w:t>支持组播VLAN</w:t>
            </w:r>
            <w:r>
              <w:rPr>
                <w:rFonts w:hint="eastAsia" w:ascii="宋体" w:hAnsi="宋体" w:cs="宋体"/>
                <w:kern w:val="0"/>
                <w:szCs w:val="21"/>
              </w:rPr>
              <w:br w:type="textWrapping"/>
            </w:r>
            <w:r>
              <w:rPr>
                <w:rFonts w:hint="eastAsia" w:ascii="宋体" w:hAnsi="宋体" w:cs="宋体"/>
                <w:kern w:val="0"/>
                <w:szCs w:val="21"/>
              </w:rPr>
              <w:t>支持PIM-DM，PIM-SM，PIM-SSM</w:t>
            </w:r>
            <w:r>
              <w:rPr>
                <w:rFonts w:hint="eastAsia" w:ascii="宋体" w:hAnsi="宋体" w:cs="宋体"/>
                <w:kern w:val="0"/>
                <w:szCs w:val="21"/>
              </w:rPr>
              <w:br w:type="textWrapping"/>
            </w:r>
            <w:r>
              <w:rPr>
                <w:rFonts w:hint="eastAsia" w:ascii="宋体" w:hAnsi="宋体" w:cs="宋体"/>
                <w:kern w:val="0"/>
                <w:szCs w:val="21"/>
              </w:rPr>
              <w:t>支持MSDP，MSDPforIPv6</w:t>
            </w:r>
            <w:r>
              <w:rPr>
                <w:rFonts w:hint="eastAsia" w:ascii="宋体" w:hAnsi="宋体" w:cs="宋体"/>
                <w:kern w:val="0"/>
                <w:szCs w:val="21"/>
              </w:rPr>
              <w:br w:type="textWrapping"/>
            </w:r>
            <w:r>
              <w:rPr>
                <w:rFonts w:hint="eastAsia" w:ascii="宋体" w:hAnsi="宋体" w:cs="宋体"/>
                <w:kern w:val="0"/>
                <w:szCs w:val="21"/>
              </w:rPr>
              <w:t>支持MBGP，MBGPforIpv6</w:t>
            </w:r>
            <w:r>
              <w:rPr>
                <w:rFonts w:hint="eastAsia" w:ascii="宋体" w:hAnsi="宋体" w:cs="宋体"/>
                <w:kern w:val="0"/>
                <w:szCs w:val="21"/>
              </w:rPr>
              <w:br w:type="textWrapping"/>
            </w:r>
            <w:r>
              <w:rPr>
                <w:rFonts w:hint="eastAsia" w:ascii="宋体" w:hAnsi="宋体" w:cs="宋体"/>
                <w:kern w:val="0"/>
                <w:szCs w:val="21"/>
              </w:rPr>
              <w:t>运维管理：内置免费的网管软件、从传统的网元的设备管理升级为对整个网络的WEB管理、一键启动。</w:t>
            </w:r>
            <w:r>
              <w:rPr>
                <w:rFonts w:hint="eastAsia" w:ascii="宋体" w:hAnsi="宋体" w:cs="宋体"/>
                <w:kern w:val="0"/>
                <w:szCs w:val="21"/>
              </w:rPr>
              <w:br w:type="textWrapping"/>
            </w:r>
            <w:r>
              <w:rPr>
                <w:rFonts w:hint="eastAsia" w:ascii="宋体" w:hAnsi="宋体" w:cs="宋体"/>
                <w:kern w:val="0"/>
                <w:szCs w:val="21"/>
              </w:rPr>
              <w:t>路由协议：支持IPv4静态路由、RIPV1/V2、OSPF、BGP、ISIS</w:t>
            </w:r>
            <w:r>
              <w:rPr>
                <w:rFonts w:hint="eastAsia" w:ascii="宋体" w:hAnsi="宋体" w:cs="宋体"/>
                <w:kern w:val="0"/>
                <w:szCs w:val="21"/>
              </w:rPr>
              <w:br w:type="textWrapping"/>
            </w:r>
            <w:r>
              <w:rPr>
                <w:rFonts w:hint="eastAsia" w:ascii="宋体" w:hAnsi="宋体" w:cs="宋体"/>
                <w:kern w:val="0"/>
                <w:szCs w:val="21"/>
              </w:rPr>
              <w:t>支持IPv6静态路由、RIPng、OSPFv3、BGP4+</w:t>
            </w:r>
            <w:r>
              <w:rPr>
                <w:rFonts w:hint="eastAsia" w:ascii="宋体" w:hAnsi="宋体" w:cs="宋体"/>
                <w:kern w:val="0"/>
                <w:szCs w:val="21"/>
              </w:rPr>
              <w:br w:type="textWrapping"/>
            </w:r>
            <w:r>
              <w:rPr>
                <w:rFonts w:hint="eastAsia" w:ascii="宋体" w:hAnsi="宋体" w:cs="宋体"/>
                <w:kern w:val="0"/>
                <w:szCs w:val="21"/>
              </w:rPr>
              <w:t>支持IPv4和IPv6环境下的策略路由</w:t>
            </w:r>
            <w:r>
              <w:rPr>
                <w:rFonts w:hint="eastAsia" w:ascii="宋体" w:hAnsi="宋体" w:cs="宋体"/>
                <w:kern w:val="0"/>
                <w:szCs w:val="21"/>
              </w:rPr>
              <w:br w:type="textWrapping"/>
            </w:r>
            <w:r>
              <w:rPr>
                <w:rFonts w:hint="eastAsia" w:ascii="宋体" w:hAnsi="宋体" w:cs="宋体"/>
                <w:kern w:val="0"/>
                <w:szCs w:val="21"/>
              </w:rPr>
              <w:t>支持IPv6手动隧道、6to4隧道和ISATAP隧道</w:t>
            </w:r>
            <w:r>
              <w:rPr>
                <w:rFonts w:hint="eastAsia" w:ascii="宋体" w:hAnsi="宋体" w:cs="宋体"/>
                <w:kern w:val="0"/>
                <w:szCs w:val="21"/>
              </w:rPr>
              <w:br w:type="textWrapping"/>
            </w:r>
            <w:r>
              <w:rPr>
                <w:rFonts w:hint="eastAsia" w:ascii="宋体" w:hAnsi="宋体" w:cs="宋体"/>
                <w:kern w:val="0"/>
                <w:szCs w:val="21"/>
              </w:rPr>
              <w:t>管理和维护支持SNMPV1/V2/V3、RMON、SSHV2</w:t>
            </w:r>
            <w:r>
              <w:rPr>
                <w:rFonts w:hint="eastAsia" w:ascii="宋体" w:hAnsi="宋体" w:cs="宋体"/>
                <w:kern w:val="0"/>
                <w:szCs w:val="21"/>
              </w:rPr>
              <w:br w:type="textWrapping"/>
            </w:r>
            <w:r>
              <w:rPr>
                <w:rFonts w:hint="eastAsia" w:ascii="宋体" w:hAnsi="宋体" w:cs="宋体"/>
                <w:kern w:val="0"/>
                <w:szCs w:val="21"/>
              </w:rPr>
              <w:t>支持OAM(802.1AG，802.3AH)以太网运行、维护和管理标准</w:t>
            </w:r>
            <w:r>
              <w:rPr>
                <w:rFonts w:hint="eastAsia" w:ascii="宋体" w:hAnsi="宋体" w:cs="宋体"/>
                <w:kern w:val="0"/>
                <w:szCs w:val="21"/>
              </w:rPr>
              <w:br w:type="textWrapping"/>
            </w:r>
            <w:r>
              <w:rPr>
                <w:rFonts w:hint="eastAsia" w:ascii="宋体" w:hAnsi="宋体" w:cs="宋体"/>
                <w:kern w:val="0"/>
                <w:szCs w:val="21"/>
              </w:rPr>
              <w:t>资质认证要求提供国内权威机构颁发的第三方测试报告</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8" w:type="dxa"/>
            <w:vAlign w:val="center"/>
          </w:tcPr>
          <w:p>
            <w:pPr>
              <w:widowControl/>
              <w:jc w:val="center"/>
              <w:rPr>
                <w:rFonts w:ascii="宋体" w:hAnsi="宋体" w:cs="宋体"/>
                <w:kern w:val="0"/>
                <w:szCs w:val="21"/>
              </w:rPr>
            </w:pPr>
            <w:r>
              <w:rPr>
                <w:rFonts w:hint="eastAsia" w:ascii="宋体" w:hAnsi="宋体" w:cs="宋体"/>
                <w:kern w:val="0"/>
                <w:szCs w:val="21"/>
              </w:rPr>
              <w:t xml:space="preserve">6 </w:t>
            </w:r>
          </w:p>
        </w:tc>
        <w:tc>
          <w:tcPr>
            <w:tcW w:w="2010" w:type="dxa"/>
            <w:noWrap/>
            <w:vAlign w:val="center"/>
          </w:tcPr>
          <w:p>
            <w:pPr>
              <w:widowControl/>
              <w:jc w:val="center"/>
              <w:rPr>
                <w:rFonts w:ascii="宋体" w:hAnsi="宋体" w:cs="宋体"/>
                <w:kern w:val="0"/>
                <w:szCs w:val="21"/>
              </w:rPr>
            </w:pPr>
            <w:r>
              <w:rPr>
                <w:rFonts w:hint="eastAsia" w:ascii="宋体" w:hAnsi="宋体" w:cs="宋体"/>
                <w:kern w:val="0"/>
                <w:szCs w:val="21"/>
              </w:rPr>
              <w:t>48口核心交换机</w:t>
            </w:r>
          </w:p>
        </w:tc>
        <w:tc>
          <w:tcPr>
            <w:tcW w:w="5638" w:type="dxa"/>
          </w:tcPr>
          <w:p>
            <w:pPr>
              <w:widowControl/>
              <w:jc w:val="left"/>
              <w:rPr>
                <w:rFonts w:ascii="宋体" w:hAnsi="宋体" w:cs="宋体"/>
                <w:kern w:val="0"/>
                <w:szCs w:val="21"/>
              </w:rPr>
            </w:pPr>
            <w:r>
              <w:rPr>
                <w:rFonts w:hint="eastAsia" w:ascii="宋体" w:hAnsi="宋体" w:cs="宋体"/>
                <w:kern w:val="0"/>
                <w:szCs w:val="21"/>
              </w:rPr>
              <w:t xml:space="preserve">★交换容量≥2.56Tbps </w:t>
            </w:r>
            <w:r>
              <w:rPr>
                <w:rFonts w:hint="eastAsia" w:ascii="宋体" w:hAnsi="宋体" w:cs="宋体"/>
                <w:kern w:val="0"/>
                <w:szCs w:val="21"/>
              </w:rPr>
              <w:br w:type="textWrapping"/>
            </w:r>
            <w:r>
              <w:rPr>
                <w:rFonts w:hint="eastAsia" w:ascii="宋体" w:hAnsi="宋体" w:cs="宋体"/>
                <w:kern w:val="0"/>
                <w:szCs w:val="21"/>
              </w:rPr>
              <w:t xml:space="preserve">转发性能：转发性能≥1080Mpps </w:t>
            </w:r>
            <w:r>
              <w:rPr>
                <w:rFonts w:hint="eastAsia" w:ascii="宋体" w:hAnsi="宋体" w:cs="宋体"/>
                <w:kern w:val="0"/>
                <w:szCs w:val="21"/>
              </w:rPr>
              <w:br w:type="textWrapping"/>
            </w:r>
            <w:r>
              <w:rPr>
                <w:rFonts w:hint="eastAsia" w:ascii="宋体" w:hAnsi="宋体" w:cs="宋体"/>
                <w:kern w:val="0"/>
                <w:szCs w:val="21"/>
              </w:rPr>
              <w:t>硬件规格：高度1U，固定接口交换机</w:t>
            </w:r>
            <w:r>
              <w:rPr>
                <w:rFonts w:hint="eastAsia" w:ascii="宋体" w:hAnsi="宋体" w:cs="宋体"/>
                <w:kern w:val="0"/>
                <w:szCs w:val="21"/>
              </w:rPr>
              <w:br w:type="textWrapping"/>
            </w:r>
            <w:r>
              <w:rPr>
                <w:rFonts w:hint="eastAsia" w:ascii="宋体" w:hAnsi="宋体" w:cs="宋体"/>
                <w:kern w:val="0"/>
                <w:szCs w:val="21"/>
              </w:rPr>
              <w:t>支持双电源，4风扇框</w:t>
            </w:r>
            <w:r>
              <w:rPr>
                <w:rFonts w:hint="eastAsia" w:ascii="宋体" w:hAnsi="宋体" w:cs="宋体"/>
                <w:kern w:val="0"/>
                <w:szCs w:val="21"/>
              </w:rPr>
              <w:br w:type="textWrapping"/>
            </w:r>
            <w:r>
              <w:rPr>
                <w:rFonts w:hint="eastAsia" w:ascii="宋体" w:hAnsi="宋体" w:cs="宋体"/>
                <w:kern w:val="0"/>
                <w:szCs w:val="21"/>
              </w:rPr>
              <w:t>支持前后、后前风道</w:t>
            </w:r>
            <w:r>
              <w:rPr>
                <w:rFonts w:hint="eastAsia" w:ascii="宋体" w:hAnsi="宋体" w:cs="宋体"/>
                <w:kern w:val="0"/>
                <w:szCs w:val="21"/>
              </w:rPr>
              <w:br w:type="textWrapping"/>
            </w:r>
            <w:r>
              <w:rPr>
                <w:rFonts w:hint="eastAsia" w:ascii="宋体" w:hAnsi="宋体" w:cs="宋体"/>
                <w:kern w:val="0"/>
                <w:szCs w:val="21"/>
              </w:rPr>
              <w:t>整机最大功耗≤200W</w:t>
            </w:r>
            <w:r>
              <w:rPr>
                <w:rFonts w:hint="eastAsia" w:ascii="宋体" w:hAnsi="宋体" w:cs="宋体"/>
                <w:kern w:val="0"/>
                <w:szCs w:val="21"/>
              </w:rPr>
              <w:br w:type="textWrapping"/>
            </w:r>
            <w:r>
              <w:rPr>
                <w:rFonts w:hint="eastAsia" w:ascii="宋体" w:hAnsi="宋体" w:cs="宋体"/>
                <w:kern w:val="0"/>
                <w:szCs w:val="21"/>
              </w:rPr>
              <w:t>工作环境温度0ºC～45ºC</w:t>
            </w:r>
            <w:r>
              <w:rPr>
                <w:rFonts w:hint="eastAsia" w:ascii="宋体" w:hAnsi="宋体" w:cs="宋体"/>
                <w:kern w:val="0"/>
                <w:szCs w:val="21"/>
              </w:rPr>
              <w:br w:type="textWrapping"/>
            </w:r>
            <w:r>
              <w:rPr>
                <w:rFonts w:hint="eastAsia" w:ascii="宋体" w:hAnsi="宋体" w:cs="宋体"/>
                <w:kern w:val="0"/>
                <w:szCs w:val="21"/>
              </w:rPr>
              <w:t>支持交直流电源输入（非高压直流）</w:t>
            </w:r>
            <w:r>
              <w:rPr>
                <w:rFonts w:hint="eastAsia" w:ascii="宋体" w:hAnsi="宋体" w:cs="宋体"/>
                <w:kern w:val="0"/>
                <w:szCs w:val="21"/>
              </w:rPr>
              <w:br w:type="textWrapping"/>
            </w:r>
            <w:r>
              <w:rPr>
                <w:rFonts w:hint="eastAsia" w:ascii="宋体" w:hAnsi="宋体" w:cs="宋体"/>
                <w:kern w:val="0"/>
                <w:szCs w:val="21"/>
              </w:rPr>
              <w:t>软件规格：整机最大路由地址表≥250K</w:t>
            </w:r>
            <w:r>
              <w:rPr>
                <w:rFonts w:hint="eastAsia" w:ascii="宋体" w:hAnsi="宋体" w:cs="宋体"/>
                <w:kern w:val="0"/>
                <w:szCs w:val="21"/>
              </w:rPr>
              <w:br w:type="textWrapping"/>
            </w:r>
            <w:r>
              <w:rPr>
                <w:rFonts w:hint="eastAsia" w:ascii="宋体" w:hAnsi="宋体" w:cs="宋体"/>
                <w:kern w:val="0"/>
                <w:szCs w:val="21"/>
              </w:rPr>
              <w:t>整机最大ARP地址表≥260K</w:t>
            </w:r>
            <w:r>
              <w:rPr>
                <w:rFonts w:hint="eastAsia" w:ascii="宋体" w:hAnsi="宋体" w:cs="宋体"/>
                <w:kern w:val="0"/>
                <w:szCs w:val="21"/>
              </w:rPr>
              <w:br w:type="textWrapping"/>
            </w:r>
            <w:r>
              <w:rPr>
                <w:rFonts w:hint="eastAsia" w:ascii="宋体" w:hAnsi="宋体" w:cs="宋体"/>
                <w:kern w:val="0"/>
                <w:szCs w:val="21"/>
              </w:rPr>
              <w:t>整机最大MAC地址表≥270K</w:t>
            </w:r>
            <w:r>
              <w:rPr>
                <w:rFonts w:hint="eastAsia" w:ascii="宋体" w:hAnsi="宋体" w:cs="宋体"/>
                <w:kern w:val="0"/>
                <w:szCs w:val="21"/>
              </w:rPr>
              <w:br w:type="textWrapping"/>
            </w:r>
            <w:r>
              <w:rPr>
                <w:rFonts w:hint="eastAsia" w:ascii="宋体" w:hAnsi="宋体" w:cs="宋体"/>
                <w:kern w:val="0"/>
                <w:szCs w:val="21"/>
              </w:rPr>
              <w:t>端口配置要求：实配40GE光接口≥6个，40GQSFP+3m电缆一根</w:t>
            </w:r>
          </w:p>
          <w:p>
            <w:pPr>
              <w:widowControl/>
              <w:jc w:val="left"/>
              <w:rPr>
                <w:rFonts w:ascii="宋体" w:hAnsi="宋体" w:cs="宋体"/>
                <w:kern w:val="0"/>
                <w:szCs w:val="21"/>
              </w:rPr>
            </w:pPr>
            <w:r>
              <w:rPr>
                <w:rFonts w:hint="eastAsia" w:ascii="宋体" w:hAnsi="宋体" w:cs="宋体"/>
                <w:kern w:val="0"/>
                <w:szCs w:val="21"/>
              </w:rPr>
              <w:t>实配10GE光口端口数量≥48个,配置24个光模块</w:t>
            </w:r>
          </w:p>
          <w:p>
            <w:pPr>
              <w:widowControl/>
              <w:jc w:val="left"/>
              <w:rPr>
                <w:rFonts w:ascii="宋体" w:hAnsi="宋体" w:cs="宋体"/>
                <w:kern w:val="0"/>
                <w:szCs w:val="21"/>
              </w:rPr>
            </w:pPr>
            <w:r>
              <w:rPr>
                <w:rFonts w:hint="eastAsia" w:ascii="宋体" w:hAnsi="宋体" w:cs="宋体"/>
                <w:kern w:val="0"/>
                <w:szCs w:val="21"/>
              </w:rPr>
              <w:t>支持40GE端口拆分为10GE端口</w:t>
            </w:r>
            <w:r>
              <w:rPr>
                <w:rFonts w:hint="eastAsia" w:ascii="宋体" w:hAnsi="宋体" w:cs="宋体"/>
                <w:kern w:val="0"/>
                <w:szCs w:val="21"/>
              </w:rPr>
              <w:br w:type="textWrapping"/>
            </w:r>
            <w:r>
              <w:rPr>
                <w:rFonts w:hint="eastAsia" w:ascii="宋体" w:hAnsi="宋体" w:cs="宋体"/>
                <w:kern w:val="0"/>
                <w:szCs w:val="21"/>
              </w:rPr>
              <w:t>满足DCI互联需求</w:t>
            </w:r>
            <w:r>
              <w:rPr>
                <w:rFonts w:hint="eastAsia" w:ascii="宋体" w:hAnsi="宋体" w:cs="宋体"/>
                <w:kern w:val="0"/>
                <w:szCs w:val="21"/>
              </w:rPr>
              <w:br w:type="textWrapping"/>
            </w:r>
            <w:r>
              <w:rPr>
                <w:rFonts w:hint="eastAsia" w:ascii="宋体" w:hAnsi="宋体" w:cs="宋体"/>
                <w:kern w:val="0"/>
                <w:szCs w:val="21"/>
              </w:rPr>
              <w:t>二层功能支持基于端口、基于协议、基于MAC的VLAN</w:t>
            </w:r>
            <w:r>
              <w:rPr>
                <w:rFonts w:hint="eastAsia" w:ascii="宋体" w:hAnsi="宋体" w:cs="宋体"/>
                <w:kern w:val="0"/>
                <w:szCs w:val="21"/>
              </w:rPr>
              <w:br w:type="textWrapping"/>
            </w:r>
            <w:r>
              <w:rPr>
                <w:rFonts w:hint="eastAsia" w:ascii="宋体" w:hAnsi="宋体" w:cs="宋体"/>
                <w:kern w:val="0"/>
                <w:szCs w:val="21"/>
              </w:rPr>
              <w:t>支持QinQ</w:t>
            </w:r>
            <w:r>
              <w:rPr>
                <w:rFonts w:hint="eastAsia" w:ascii="宋体" w:hAnsi="宋体" w:cs="宋体"/>
                <w:kern w:val="0"/>
                <w:szCs w:val="21"/>
              </w:rPr>
              <w:br w:type="textWrapping"/>
            </w:r>
            <w:r>
              <w:rPr>
                <w:rFonts w:hint="eastAsia" w:ascii="宋体" w:hAnsi="宋体" w:cs="宋体"/>
                <w:kern w:val="0"/>
                <w:szCs w:val="21"/>
              </w:rPr>
              <w:t>支持DLDP</w:t>
            </w:r>
            <w:r>
              <w:rPr>
                <w:rFonts w:hint="eastAsia" w:ascii="宋体" w:hAnsi="宋体" w:cs="宋体"/>
                <w:kern w:val="0"/>
                <w:szCs w:val="21"/>
              </w:rPr>
              <w:br w:type="textWrapping"/>
            </w:r>
            <w:r>
              <w:rPr>
                <w:rFonts w:hint="eastAsia" w:ascii="宋体" w:hAnsi="宋体" w:cs="宋体"/>
                <w:kern w:val="0"/>
                <w:szCs w:val="21"/>
              </w:rPr>
              <w:t>支持动态MAC、静态MAC和黑洞MAC表项</w:t>
            </w:r>
            <w:r>
              <w:rPr>
                <w:rFonts w:hint="eastAsia" w:ascii="宋体" w:hAnsi="宋体" w:cs="宋体"/>
                <w:kern w:val="0"/>
                <w:szCs w:val="21"/>
              </w:rPr>
              <w:br w:type="textWrapping"/>
            </w:r>
            <w:r>
              <w:rPr>
                <w:rFonts w:hint="eastAsia" w:ascii="宋体" w:hAnsi="宋体" w:cs="宋体"/>
                <w:kern w:val="0"/>
                <w:szCs w:val="21"/>
              </w:rPr>
              <w:t>三层功能支持RIP、OSPF、ISIS、BGP等IPv4动态路由协议</w:t>
            </w:r>
            <w:r>
              <w:rPr>
                <w:rFonts w:hint="eastAsia" w:ascii="宋体" w:hAnsi="宋体" w:cs="宋体"/>
                <w:kern w:val="0"/>
                <w:szCs w:val="21"/>
              </w:rPr>
              <w:br w:type="textWrapping"/>
            </w:r>
            <w:r>
              <w:rPr>
                <w:rFonts w:hint="eastAsia" w:ascii="宋体" w:hAnsi="宋体" w:cs="宋体"/>
                <w:kern w:val="0"/>
                <w:szCs w:val="21"/>
              </w:rPr>
              <w:t>支持RIPng、OSPFv3、ISISv6、BGP4+等IPv6动态路由协议</w:t>
            </w:r>
            <w:r>
              <w:rPr>
                <w:rFonts w:hint="eastAsia" w:ascii="宋体" w:hAnsi="宋体" w:cs="宋体"/>
                <w:kern w:val="0"/>
                <w:szCs w:val="21"/>
              </w:rPr>
              <w:br w:type="textWrapping"/>
            </w:r>
            <w:r>
              <w:rPr>
                <w:rFonts w:hint="eastAsia" w:ascii="宋体" w:hAnsi="宋体" w:cs="宋体"/>
                <w:kern w:val="0"/>
                <w:szCs w:val="21"/>
              </w:rPr>
              <w:t>支持IPv6ND、支持路径MTU发现</w:t>
            </w:r>
            <w:r>
              <w:rPr>
                <w:rFonts w:hint="eastAsia" w:ascii="宋体" w:hAnsi="宋体" w:cs="宋体"/>
                <w:kern w:val="0"/>
                <w:szCs w:val="21"/>
              </w:rPr>
              <w:br w:type="textWrapping"/>
            </w:r>
            <w:r>
              <w:rPr>
                <w:rFonts w:hint="eastAsia" w:ascii="宋体" w:hAnsi="宋体" w:cs="宋体"/>
                <w:kern w:val="0"/>
                <w:szCs w:val="21"/>
              </w:rPr>
              <w:t>支持GRE隧道</w:t>
            </w:r>
            <w:r>
              <w:rPr>
                <w:rFonts w:hint="eastAsia" w:ascii="宋体" w:hAnsi="宋体" w:cs="宋体"/>
                <w:kern w:val="0"/>
                <w:szCs w:val="21"/>
              </w:rPr>
              <w:br w:type="textWrapping"/>
            </w:r>
            <w:r>
              <w:rPr>
                <w:rFonts w:hint="eastAsia" w:ascii="宋体" w:hAnsi="宋体" w:cs="宋体"/>
                <w:kern w:val="0"/>
                <w:szCs w:val="21"/>
              </w:rPr>
              <w:t>MPLS支持MPLS、MCE</w:t>
            </w:r>
            <w:r>
              <w:rPr>
                <w:rFonts w:hint="eastAsia" w:ascii="宋体" w:hAnsi="宋体" w:cs="宋体"/>
                <w:kern w:val="0"/>
                <w:szCs w:val="21"/>
              </w:rPr>
              <w:br w:type="textWrapping"/>
            </w:r>
            <w:r>
              <w:rPr>
                <w:rFonts w:hint="eastAsia" w:ascii="宋体" w:hAnsi="宋体" w:cs="宋体"/>
                <w:kern w:val="0"/>
                <w:szCs w:val="21"/>
              </w:rPr>
              <w:t>支持MPLSVPN</w:t>
            </w:r>
            <w:r>
              <w:rPr>
                <w:rFonts w:hint="eastAsia" w:ascii="宋体" w:hAnsi="宋体" w:cs="宋体"/>
                <w:kern w:val="0"/>
                <w:szCs w:val="21"/>
              </w:rPr>
              <w:br w:type="textWrapping"/>
            </w:r>
            <w:r>
              <w:rPr>
                <w:rFonts w:hint="eastAsia" w:ascii="宋体" w:hAnsi="宋体" w:cs="宋体"/>
                <w:kern w:val="0"/>
                <w:szCs w:val="21"/>
              </w:rPr>
              <w:t>支持MPLSTE</w:t>
            </w:r>
            <w:r>
              <w:rPr>
                <w:rFonts w:hint="eastAsia" w:ascii="宋体" w:hAnsi="宋体" w:cs="宋体"/>
                <w:kern w:val="0"/>
                <w:szCs w:val="21"/>
              </w:rPr>
              <w:br w:type="textWrapping"/>
            </w:r>
            <w:r>
              <w:rPr>
                <w:rFonts w:hint="eastAsia" w:ascii="宋体" w:hAnsi="宋体" w:cs="宋体"/>
                <w:kern w:val="0"/>
                <w:szCs w:val="21"/>
              </w:rPr>
              <w:t>可靠性支持VRRP</w:t>
            </w:r>
            <w:r>
              <w:rPr>
                <w:rFonts w:hint="eastAsia" w:ascii="宋体" w:hAnsi="宋体" w:cs="宋体"/>
                <w:kern w:val="0"/>
                <w:szCs w:val="21"/>
              </w:rPr>
              <w:br w:type="textWrapping"/>
            </w:r>
            <w:r>
              <w:rPr>
                <w:rFonts w:hint="eastAsia" w:ascii="宋体" w:hAnsi="宋体" w:cs="宋体"/>
                <w:kern w:val="0"/>
                <w:szCs w:val="21"/>
              </w:rPr>
              <w:t>支持跨设备链路聚合技术</w:t>
            </w:r>
            <w:r>
              <w:rPr>
                <w:rFonts w:hint="eastAsia" w:ascii="宋体" w:hAnsi="宋体" w:cs="宋体"/>
                <w:kern w:val="0"/>
                <w:szCs w:val="21"/>
              </w:rPr>
              <w:br w:type="textWrapping"/>
            </w:r>
            <w:r>
              <w:rPr>
                <w:rFonts w:hint="eastAsia" w:ascii="宋体" w:hAnsi="宋体" w:cs="宋体"/>
                <w:kern w:val="0"/>
                <w:szCs w:val="21"/>
              </w:rPr>
              <w:t>支持STP/RSTP/MSTP</w:t>
            </w:r>
            <w:r>
              <w:rPr>
                <w:rFonts w:hint="eastAsia" w:ascii="宋体" w:hAnsi="宋体" w:cs="宋体"/>
                <w:kern w:val="0"/>
                <w:szCs w:val="21"/>
              </w:rPr>
              <w:br w:type="textWrapping"/>
            </w:r>
            <w:r>
              <w:rPr>
                <w:rFonts w:hint="eastAsia" w:ascii="宋体" w:hAnsi="宋体" w:cs="宋体"/>
                <w:kern w:val="0"/>
                <w:szCs w:val="21"/>
              </w:rPr>
              <w:t>兼容PVST协议，支持跨厂商生成树互通，</w:t>
            </w:r>
            <w:r>
              <w:rPr>
                <w:rFonts w:hint="eastAsia" w:ascii="宋体" w:hAnsi="宋体" w:cs="宋体"/>
                <w:kern w:val="0"/>
                <w:szCs w:val="21"/>
              </w:rPr>
              <w:br w:type="textWrapping"/>
            </w:r>
            <w:r>
              <w:rPr>
                <w:rFonts w:hint="eastAsia" w:ascii="宋体" w:hAnsi="宋体" w:cs="宋体"/>
                <w:kern w:val="0"/>
                <w:szCs w:val="21"/>
              </w:rPr>
              <w:t>支持横向堆叠虚拟化技术</w:t>
            </w:r>
            <w:r>
              <w:rPr>
                <w:rFonts w:hint="eastAsia" w:ascii="宋体" w:hAnsi="宋体" w:cs="宋体"/>
                <w:kern w:val="0"/>
                <w:szCs w:val="21"/>
              </w:rPr>
              <w:br w:type="textWrapping"/>
            </w:r>
            <w:r>
              <w:rPr>
                <w:rFonts w:hint="eastAsia" w:ascii="宋体" w:hAnsi="宋体" w:cs="宋体"/>
                <w:kern w:val="0"/>
                <w:szCs w:val="21"/>
              </w:rPr>
              <w:t>支持纵向堆叠</w:t>
            </w:r>
            <w:r>
              <w:rPr>
                <w:rFonts w:hint="eastAsia" w:ascii="宋体" w:hAnsi="宋体" w:cs="宋体"/>
                <w:kern w:val="0"/>
                <w:szCs w:val="21"/>
              </w:rPr>
              <w:br w:type="textWrapping"/>
            </w:r>
            <w:r>
              <w:rPr>
                <w:rFonts w:hint="eastAsia" w:ascii="宋体" w:hAnsi="宋体" w:cs="宋体"/>
                <w:kern w:val="0"/>
                <w:szCs w:val="21"/>
              </w:rPr>
              <w:t>DC特性支持二层、三层Vxlan网关和BGPEVPN特性（非环回方式）</w:t>
            </w:r>
            <w:r>
              <w:rPr>
                <w:rFonts w:hint="eastAsia" w:ascii="宋体" w:hAnsi="宋体" w:cs="宋体"/>
                <w:kern w:val="0"/>
                <w:szCs w:val="21"/>
              </w:rPr>
              <w:br w:type="textWrapping"/>
            </w:r>
            <w:r>
              <w:rPr>
                <w:rFonts w:hint="eastAsia" w:ascii="宋体" w:hAnsi="宋体" w:cs="宋体"/>
                <w:kern w:val="0"/>
                <w:szCs w:val="21"/>
              </w:rPr>
              <w:t>支持FCoE功能</w:t>
            </w:r>
            <w:r>
              <w:rPr>
                <w:rFonts w:hint="eastAsia" w:ascii="宋体" w:hAnsi="宋体" w:cs="宋体"/>
                <w:kern w:val="0"/>
                <w:szCs w:val="21"/>
              </w:rPr>
              <w:br w:type="textWrapping"/>
            </w:r>
            <w:r>
              <w:rPr>
                <w:rFonts w:hint="eastAsia" w:ascii="宋体" w:hAnsi="宋体" w:cs="宋体"/>
                <w:kern w:val="0"/>
                <w:szCs w:val="21"/>
              </w:rPr>
              <w:t>支持无损网络RoCE，支持PFC、ECN、ETS</w:t>
            </w:r>
            <w:r>
              <w:rPr>
                <w:rFonts w:hint="eastAsia" w:ascii="宋体" w:hAnsi="宋体" w:cs="宋体"/>
                <w:kern w:val="0"/>
                <w:szCs w:val="21"/>
              </w:rPr>
              <w:br w:type="textWrapping"/>
            </w:r>
            <w:r>
              <w:rPr>
                <w:rFonts w:hint="eastAsia" w:ascii="宋体" w:hAnsi="宋体" w:cs="宋体"/>
                <w:kern w:val="0"/>
                <w:szCs w:val="21"/>
              </w:rPr>
              <w:t>支持Telemetry</w:t>
            </w:r>
            <w:r>
              <w:rPr>
                <w:rFonts w:hint="eastAsia" w:ascii="宋体" w:hAnsi="宋体" w:cs="宋体"/>
                <w:kern w:val="0"/>
                <w:szCs w:val="21"/>
              </w:rPr>
              <w:br w:type="textWrapping"/>
            </w:r>
            <w:r>
              <w:rPr>
                <w:rFonts w:hint="eastAsia" w:ascii="宋体" w:hAnsi="宋体" w:cs="宋体"/>
                <w:kern w:val="0"/>
                <w:szCs w:val="21"/>
              </w:rPr>
              <w:t>支持服务链Servicechain功能</w:t>
            </w:r>
            <w:r>
              <w:rPr>
                <w:rFonts w:hint="eastAsia" w:ascii="宋体" w:hAnsi="宋体" w:cs="宋体"/>
                <w:kern w:val="0"/>
                <w:szCs w:val="21"/>
              </w:rPr>
              <w:br w:type="textWrapping"/>
            </w:r>
            <w:r>
              <w:rPr>
                <w:rFonts w:hint="eastAsia" w:ascii="宋体" w:hAnsi="宋体" w:cs="宋体"/>
                <w:kern w:val="0"/>
                <w:szCs w:val="21"/>
              </w:rPr>
              <w:t>安全性支持黑洞MAC、动态ARP检测、ARP防攻击</w:t>
            </w:r>
            <w:r>
              <w:rPr>
                <w:rFonts w:hint="eastAsia" w:ascii="宋体" w:hAnsi="宋体" w:cs="宋体"/>
                <w:kern w:val="0"/>
                <w:szCs w:val="21"/>
              </w:rPr>
              <w:br w:type="textWrapping"/>
            </w:r>
            <w:r>
              <w:rPr>
                <w:rFonts w:hint="eastAsia" w:ascii="宋体" w:hAnsi="宋体" w:cs="宋体"/>
                <w:kern w:val="0"/>
                <w:szCs w:val="21"/>
              </w:rPr>
              <w:t>支持IP、MAC、端口和VLAN的组合绑定</w:t>
            </w:r>
            <w:r>
              <w:rPr>
                <w:rFonts w:hint="eastAsia" w:ascii="宋体" w:hAnsi="宋体" w:cs="宋体"/>
                <w:kern w:val="0"/>
                <w:szCs w:val="21"/>
              </w:rPr>
              <w:br w:type="textWrapping"/>
            </w:r>
            <w:r>
              <w:rPr>
                <w:rFonts w:hint="eastAsia" w:ascii="宋体" w:hAnsi="宋体" w:cs="宋体"/>
                <w:kern w:val="0"/>
                <w:szCs w:val="21"/>
              </w:rPr>
              <w:t>支持端口隔离</w:t>
            </w:r>
            <w:r>
              <w:rPr>
                <w:rFonts w:hint="eastAsia" w:ascii="宋体" w:hAnsi="宋体" w:cs="宋体"/>
                <w:kern w:val="0"/>
                <w:szCs w:val="21"/>
              </w:rPr>
              <w:br w:type="textWrapping"/>
            </w:r>
            <w:r>
              <w:rPr>
                <w:rFonts w:hint="eastAsia" w:ascii="宋体" w:hAnsi="宋体" w:cs="宋体"/>
                <w:kern w:val="0"/>
                <w:szCs w:val="21"/>
              </w:rPr>
              <w:t>支持AAA、Radius和TACACS认证</w:t>
            </w:r>
            <w:r>
              <w:rPr>
                <w:rFonts w:hint="eastAsia" w:ascii="宋体" w:hAnsi="宋体" w:cs="宋体"/>
                <w:kern w:val="0"/>
                <w:szCs w:val="21"/>
              </w:rPr>
              <w:br w:type="textWrapping"/>
            </w:r>
            <w:r>
              <w:rPr>
                <w:rFonts w:hint="eastAsia" w:ascii="宋体" w:hAnsi="宋体" w:cs="宋体"/>
                <w:kern w:val="0"/>
                <w:szCs w:val="21"/>
              </w:rPr>
              <w:t>支持DHCPSnooping</w:t>
            </w:r>
            <w:r>
              <w:rPr>
                <w:rFonts w:hint="eastAsia" w:ascii="宋体" w:hAnsi="宋体" w:cs="宋体"/>
                <w:kern w:val="0"/>
                <w:szCs w:val="21"/>
              </w:rPr>
              <w:br w:type="textWrapping"/>
            </w:r>
            <w:r>
              <w:rPr>
                <w:rFonts w:hint="eastAsia" w:ascii="宋体" w:hAnsi="宋体" w:cs="宋体"/>
                <w:kern w:val="0"/>
                <w:szCs w:val="21"/>
              </w:rPr>
              <w:t>支持PIM-DM、PIM-SM、MLD、IPV6PIM-DM、IPV6PIM-SM，</w:t>
            </w:r>
            <w:r>
              <w:rPr>
                <w:rFonts w:hint="eastAsia" w:ascii="宋体" w:hAnsi="宋体" w:cs="宋体"/>
                <w:kern w:val="0"/>
                <w:szCs w:val="21"/>
              </w:rPr>
              <w:br w:type="textWrapping"/>
            </w:r>
            <w:r>
              <w:rPr>
                <w:rFonts w:hint="eastAsia" w:ascii="宋体" w:hAnsi="宋体" w:cs="宋体"/>
                <w:kern w:val="0"/>
                <w:szCs w:val="21"/>
              </w:rPr>
              <w:t xml:space="preserve">组播：支持组播overVXLAN </w:t>
            </w:r>
            <w:r>
              <w:rPr>
                <w:rFonts w:hint="eastAsia" w:ascii="宋体" w:hAnsi="宋体" w:cs="宋体"/>
                <w:kern w:val="0"/>
                <w:szCs w:val="21"/>
              </w:rPr>
              <w:br w:type="textWrapping"/>
            </w:r>
            <w:r>
              <w:rPr>
                <w:rFonts w:hint="eastAsia" w:ascii="宋体" w:hAnsi="宋体" w:cs="宋体"/>
                <w:kern w:val="0"/>
                <w:szCs w:val="21"/>
              </w:rPr>
              <w:t>支持IGMPSnooping、MLDSnooping</w:t>
            </w:r>
            <w:r>
              <w:rPr>
                <w:rFonts w:hint="eastAsia" w:ascii="宋体" w:hAnsi="宋体" w:cs="宋体"/>
                <w:kern w:val="0"/>
                <w:szCs w:val="21"/>
              </w:rPr>
              <w:br w:type="textWrapping"/>
            </w:r>
            <w:r>
              <w:rPr>
                <w:rFonts w:hint="eastAsia" w:ascii="宋体" w:hAnsi="宋体" w:cs="宋体"/>
                <w:kern w:val="0"/>
                <w:szCs w:val="21"/>
              </w:rPr>
              <w:t>支持IGMP、IGMPProxy</w:t>
            </w:r>
            <w:r>
              <w:rPr>
                <w:rFonts w:hint="eastAsia" w:ascii="宋体" w:hAnsi="宋体" w:cs="宋体"/>
                <w:kern w:val="0"/>
                <w:szCs w:val="21"/>
              </w:rPr>
              <w:br w:type="textWrapping"/>
            </w:r>
            <w:r>
              <w:rPr>
                <w:rFonts w:hint="eastAsia" w:ascii="宋体" w:hAnsi="宋体" w:cs="宋体"/>
                <w:kern w:val="0"/>
                <w:szCs w:val="21"/>
              </w:rPr>
              <w:t xml:space="preserve">配置和维护：支持sFlow </w:t>
            </w:r>
            <w:r>
              <w:rPr>
                <w:rFonts w:hint="eastAsia" w:ascii="宋体" w:hAnsi="宋体" w:cs="宋体"/>
                <w:kern w:val="0"/>
                <w:szCs w:val="21"/>
              </w:rPr>
              <w:br w:type="textWrapping"/>
            </w:r>
            <w:r>
              <w:rPr>
                <w:rFonts w:hint="eastAsia" w:ascii="宋体" w:hAnsi="宋体" w:cs="宋体"/>
                <w:kern w:val="0"/>
                <w:szCs w:val="21"/>
              </w:rPr>
              <w:t>支持端口镜像ERSPAN</w:t>
            </w:r>
            <w:r>
              <w:rPr>
                <w:rFonts w:hint="eastAsia" w:ascii="宋体" w:hAnsi="宋体" w:cs="宋体"/>
                <w:kern w:val="0"/>
                <w:szCs w:val="21"/>
              </w:rPr>
              <w:br w:type="textWrapping"/>
            </w:r>
            <w:r>
              <w:rPr>
                <w:rFonts w:hint="eastAsia" w:ascii="宋体" w:hAnsi="宋体" w:cs="宋体"/>
                <w:kern w:val="0"/>
                <w:szCs w:val="21"/>
              </w:rPr>
              <w:t>支持SNMPV1/V2/V3、Telnet、RMON、SSH</w:t>
            </w:r>
            <w:r>
              <w:rPr>
                <w:rFonts w:hint="eastAsia" w:ascii="宋体" w:hAnsi="宋体" w:cs="宋体"/>
                <w:kern w:val="0"/>
                <w:szCs w:val="21"/>
              </w:rPr>
              <w:br w:type="textWrapping"/>
            </w:r>
            <w:r>
              <w:rPr>
                <w:rFonts w:hint="eastAsia" w:ascii="宋体" w:hAnsi="宋体" w:cs="宋体"/>
                <w:kern w:val="0"/>
                <w:szCs w:val="21"/>
              </w:rPr>
              <w:t>支持配置回滚</w:t>
            </w:r>
            <w:r>
              <w:rPr>
                <w:rFonts w:hint="eastAsia" w:ascii="宋体" w:hAnsi="宋体" w:cs="宋体"/>
                <w:kern w:val="0"/>
                <w:szCs w:val="21"/>
              </w:rPr>
              <w:br w:type="textWrapping"/>
            </w:r>
            <w:r>
              <w:rPr>
                <w:rFonts w:hint="eastAsia" w:ascii="宋体" w:hAnsi="宋体" w:cs="宋体"/>
                <w:kern w:val="0"/>
                <w:szCs w:val="21"/>
              </w:rPr>
              <w:t>支持缓存的微突发</w:t>
            </w:r>
            <w:r>
              <w:rPr>
                <w:rFonts w:hint="eastAsia" w:ascii="宋体" w:hAnsi="宋体" w:cs="宋体"/>
                <w:kern w:val="0"/>
                <w:szCs w:val="21"/>
              </w:rPr>
              <w:br w:type="textWrapping"/>
            </w:r>
            <w:r>
              <w:rPr>
                <w:rFonts w:hint="eastAsia" w:ascii="宋体" w:hAnsi="宋体" w:cs="宋体"/>
                <w:kern w:val="0"/>
                <w:szCs w:val="21"/>
              </w:rPr>
              <w:t>支持零配置技术，配置自动下发</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8" w:type="dxa"/>
            <w:vAlign w:val="center"/>
          </w:tcPr>
          <w:p>
            <w:pPr>
              <w:widowControl/>
              <w:jc w:val="center"/>
              <w:rPr>
                <w:rFonts w:ascii="宋体" w:hAnsi="宋体" w:cs="宋体"/>
                <w:kern w:val="0"/>
                <w:szCs w:val="21"/>
              </w:rPr>
            </w:pPr>
            <w:r>
              <w:rPr>
                <w:rFonts w:hint="eastAsia" w:ascii="宋体" w:hAnsi="宋体" w:cs="宋体"/>
                <w:kern w:val="0"/>
                <w:szCs w:val="21"/>
              </w:rPr>
              <w:t xml:space="preserve">7 </w:t>
            </w:r>
          </w:p>
        </w:tc>
        <w:tc>
          <w:tcPr>
            <w:tcW w:w="2010" w:type="dxa"/>
            <w:noWrap/>
            <w:vAlign w:val="center"/>
          </w:tcPr>
          <w:p>
            <w:pPr>
              <w:widowControl/>
              <w:jc w:val="center"/>
              <w:rPr>
                <w:rFonts w:ascii="宋体" w:hAnsi="宋体" w:cs="宋体"/>
                <w:kern w:val="0"/>
                <w:szCs w:val="21"/>
              </w:rPr>
            </w:pPr>
            <w:r>
              <w:rPr>
                <w:rFonts w:hint="eastAsia" w:ascii="宋体" w:hAnsi="宋体" w:cs="宋体"/>
                <w:kern w:val="0"/>
                <w:szCs w:val="21"/>
              </w:rPr>
              <w:t>48口汇聚交换机</w:t>
            </w:r>
          </w:p>
        </w:tc>
        <w:tc>
          <w:tcPr>
            <w:tcW w:w="5638" w:type="dxa"/>
          </w:tcPr>
          <w:p>
            <w:pPr>
              <w:widowControl/>
              <w:jc w:val="left"/>
              <w:rPr>
                <w:rFonts w:ascii="宋体" w:hAnsi="宋体" w:cs="宋体"/>
                <w:kern w:val="0"/>
                <w:szCs w:val="21"/>
              </w:rPr>
            </w:pPr>
            <w:r>
              <w:rPr>
                <w:rFonts w:hint="eastAsia" w:ascii="宋体" w:hAnsi="宋体" w:cs="宋体"/>
                <w:kern w:val="0"/>
                <w:szCs w:val="21"/>
              </w:rPr>
              <w:t xml:space="preserve">★设备性能交换容量≥750Gbps，转发性能≥250Mpps </w:t>
            </w:r>
            <w:r>
              <w:rPr>
                <w:rFonts w:hint="eastAsia" w:ascii="宋体" w:hAnsi="宋体" w:cs="宋体"/>
                <w:kern w:val="0"/>
                <w:szCs w:val="21"/>
              </w:rPr>
              <w:br w:type="textWrapping"/>
            </w:r>
            <w:r>
              <w:rPr>
                <w:rFonts w:hint="eastAsia" w:ascii="宋体" w:hAnsi="宋体" w:cs="宋体"/>
                <w:kern w:val="0"/>
                <w:szCs w:val="21"/>
              </w:rPr>
              <w:t>接口要求≥48个10/100/1000Base-T自适应以太网端口，≥4个万兆SFP+口，满配光模块，每台配置一根5MSFP+电缆</w:t>
            </w:r>
            <w:r>
              <w:rPr>
                <w:rFonts w:hint="eastAsia" w:ascii="宋体" w:hAnsi="宋体" w:cs="宋体"/>
                <w:kern w:val="0"/>
                <w:szCs w:val="21"/>
              </w:rPr>
              <w:br w:type="textWrapping"/>
            </w:r>
            <w:r>
              <w:rPr>
                <w:rFonts w:hint="eastAsia" w:ascii="宋体" w:hAnsi="宋体" w:cs="宋体"/>
                <w:kern w:val="0"/>
                <w:szCs w:val="21"/>
              </w:rPr>
              <w:t>满足以上接口要求剩余不少于1个扩展槽，可扩展40G接口</w:t>
            </w:r>
            <w:r>
              <w:rPr>
                <w:rFonts w:hint="eastAsia" w:ascii="宋体" w:hAnsi="宋体" w:cs="宋体"/>
                <w:kern w:val="0"/>
                <w:szCs w:val="21"/>
              </w:rPr>
              <w:br w:type="textWrapping"/>
            </w:r>
            <w:r>
              <w:rPr>
                <w:rFonts w:hint="eastAsia" w:ascii="宋体" w:hAnsi="宋体" w:cs="宋体"/>
                <w:kern w:val="0"/>
                <w:szCs w:val="21"/>
              </w:rPr>
              <w:t>性能指标路由表容量≥32K，ARP表容量≥32K</w:t>
            </w:r>
            <w:r>
              <w:rPr>
                <w:rFonts w:hint="eastAsia" w:ascii="宋体" w:hAnsi="宋体" w:cs="宋体"/>
                <w:kern w:val="0"/>
                <w:szCs w:val="21"/>
              </w:rPr>
              <w:br w:type="textWrapping"/>
            </w:r>
            <w:r>
              <w:rPr>
                <w:rFonts w:hint="eastAsia" w:ascii="宋体" w:hAnsi="宋体" w:cs="宋体"/>
                <w:kern w:val="0"/>
                <w:szCs w:val="21"/>
              </w:rPr>
              <w:t>路由协议支持IPv4静态路由、RIPV1/V2、OSPF、BGP、支持IPv6静态路由、RIPng、OSPFv3、BGP4+、支持IPv4和IPv6环境下的策略路由、支持IPv6手动隧道、6to4隧道和ISATAP隧道</w:t>
            </w:r>
            <w:r>
              <w:rPr>
                <w:rFonts w:hint="eastAsia" w:ascii="宋体" w:hAnsi="宋体" w:cs="宋体"/>
                <w:kern w:val="0"/>
                <w:szCs w:val="21"/>
              </w:rPr>
              <w:br w:type="textWrapping"/>
            </w:r>
            <w:r>
              <w:rPr>
                <w:rFonts w:hint="eastAsia" w:ascii="宋体" w:hAnsi="宋体" w:cs="宋体"/>
                <w:kern w:val="0"/>
                <w:szCs w:val="21"/>
              </w:rPr>
              <w:t>可靠性支持VRRPv2/v3（虚拟路由冗余协议)</w:t>
            </w:r>
            <w:r>
              <w:rPr>
                <w:rFonts w:hint="eastAsia" w:ascii="宋体" w:hAnsi="宋体" w:cs="宋体"/>
                <w:kern w:val="0"/>
                <w:szCs w:val="21"/>
              </w:rPr>
              <w:br w:type="textWrapping"/>
            </w:r>
            <w:r>
              <w:rPr>
                <w:rFonts w:hint="eastAsia" w:ascii="宋体" w:hAnsi="宋体" w:cs="宋体"/>
                <w:kern w:val="0"/>
                <w:szCs w:val="21"/>
              </w:rPr>
              <w:t>支持RRPP（快速环网保护协议），环网故障恢复时间不超200ms</w:t>
            </w:r>
            <w:r>
              <w:rPr>
                <w:rFonts w:hint="eastAsia" w:ascii="宋体" w:hAnsi="宋体" w:cs="宋体"/>
                <w:kern w:val="0"/>
                <w:szCs w:val="21"/>
              </w:rPr>
              <w:br w:type="textWrapping"/>
            </w:r>
            <w:r>
              <w:rPr>
                <w:rFonts w:hint="eastAsia" w:ascii="宋体" w:hAnsi="宋体" w:cs="宋体"/>
                <w:kern w:val="0"/>
                <w:szCs w:val="21"/>
              </w:rPr>
              <w:t>访问控制策略支持基于第二层、第三层和第四层的ACL；整机提供ACl条目数不小于4K条；支持基于端口和VLAN的ACL；支持IPv6ACL；支持出方向ACL，以便于灵活实现数据包过滤；支持802.1x认证，支持集中式MAC地址认证</w:t>
            </w:r>
            <w:r>
              <w:rPr>
                <w:rFonts w:hint="eastAsia" w:ascii="宋体" w:hAnsi="宋体" w:cs="宋体"/>
                <w:kern w:val="0"/>
                <w:szCs w:val="21"/>
              </w:rPr>
              <w:br w:type="textWrapping"/>
            </w:r>
            <w:r>
              <w:rPr>
                <w:rFonts w:hint="eastAsia" w:ascii="宋体" w:hAnsi="宋体" w:cs="宋体"/>
                <w:kern w:val="0"/>
                <w:szCs w:val="21"/>
              </w:rPr>
              <w:t>VXLAN支持VXLAN二层交换、支持VXLAN路由交换、支持VXLAN网关、支持OpenFlow+Netconf的VxLAN集中式控制平面</w:t>
            </w:r>
            <w:r>
              <w:rPr>
                <w:rFonts w:hint="eastAsia" w:ascii="宋体" w:hAnsi="宋体" w:cs="宋体"/>
                <w:kern w:val="0"/>
                <w:szCs w:val="21"/>
              </w:rPr>
              <w:br w:type="textWrapping"/>
            </w:r>
            <w:r>
              <w:rPr>
                <w:rFonts w:hint="eastAsia" w:ascii="宋体" w:hAnsi="宋体" w:cs="宋体"/>
                <w:kern w:val="0"/>
                <w:szCs w:val="21"/>
              </w:rPr>
              <w:t>MACsec支持802.1aeMacsec安全加密，实现MAC层安全加密，包括用户数据加密、数据帧完整性检查</w:t>
            </w:r>
            <w:r>
              <w:rPr>
                <w:rFonts w:hint="eastAsia" w:ascii="宋体" w:hAnsi="宋体" w:cs="宋体"/>
                <w:kern w:val="0"/>
                <w:szCs w:val="21"/>
              </w:rPr>
              <w:br w:type="textWrapping"/>
            </w:r>
            <w:r>
              <w:rPr>
                <w:rFonts w:hint="eastAsia" w:ascii="宋体" w:hAnsi="宋体" w:cs="宋体"/>
                <w:kern w:val="0"/>
                <w:szCs w:val="21"/>
              </w:rPr>
              <w:t>VLAN特性支持基于端口的VLAN，支持基于协议的VLAN</w:t>
            </w:r>
            <w:r>
              <w:rPr>
                <w:rFonts w:hint="eastAsia" w:ascii="宋体" w:hAnsi="宋体" w:cs="宋体"/>
                <w:kern w:val="0"/>
                <w:szCs w:val="21"/>
              </w:rPr>
              <w:br w:type="textWrapping"/>
            </w:r>
            <w:r>
              <w:rPr>
                <w:rFonts w:hint="eastAsia" w:ascii="宋体" w:hAnsi="宋体" w:cs="宋体"/>
                <w:kern w:val="0"/>
                <w:szCs w:val="21"/>
              </w:rPr>
              <w:t>最大VLAN数(不是VLANID)&gt;=4094</w:t>
            </w:r>
            <w:r>
              <w:rPr>
                <w:rFonts w:hint="eastAsia" w:ascii="宋体" w:hAnsi="宋体" w:cs="宋体"/>
                <w:kern w:val="0"/>
                <w:szCs w:val="21"/>
              </w:rPr>
              <w:br w:type="textWrapping"/>
            </w:r>
            <w:r>
              <w:rPr>
                <w:rFonts w:hint="eastAsia" w:ascii="宋体" w:hAnsi="宋体" w:cs="宋体"/>
                <w:kern w:val="0"/>
                <w:szCs w:val="21"/>
              </w:rPr>
              <w:t>开放多业务架构集成包括FW，IPS、负载均衡等高性能OAP模块插卡</w:t>
            </w:r>
            <w:r>
              <w:rPr>
                <w:rFonts w:hint="eastAsia" w:ascii="宋体" w:hAnsi="宋体" w:cs="宋体"/>
                <w:kern w:val="0"/>
                <w:szCs w:val="21"/>
              </w:rPr>
              <w:br w:type="textWrapping"/>
            </w:r>
            <w:r>
              <w:rPr>
                <w:rFonts w:hint="eastAsia" w:ascii="宋体" w:hAnsi="宋体" w:cs="宋体"/>
                <w:kern w:val="0"/>
                <w:szCs w:val="21"/>
              </w:rPr>
              <w:t>路由协议支持IPv4静态路由、RIPV1/V2、OSPF、BGP</w:t>
            </w:r>
            <w:r>
              <w:rPr>
                <w:rFonts w:hint="eastAsia" w:ascii="宋体" w:hAnsi="宋体" w:cs="宋体"/>
                <w:kern w:val="0"/>
                <w:szCs w:val="21"/>
              </w:rPr>
              <w:br w:type="textWrapping"/>
            </w:r>
            <w:r>
              <w:rPr>
                <w:rFonts w:hint="eastAsia" w:ascii="宋体" w:hAnsi="宋体" w:cs="宋体"/>
                <w:kern w:val="0"/>
                <w:szCs w:val="21"/>
              </w:rPr>
              <w:t>支持IPv6静态路由、RIPng、OSPFv3、BGP4+</w:t>
            </w:r>
            <w:r>
              <w:rPr>
                <w:rFonts w:hint="eastAsia" w:ascii="宋体" w:hAnsi="宋体" w:cs="宋体"/>
                <w:kern w:val="0"/>
                <w:szCs w:val="21"/>
              </w:rPr>
              <w:br w:type="textWrapping"/>
            </w:r>
            <w:r>
              <w:rPr>
                <w:rFonts w:hint="eastAsia" w:ascii="宋体" w:hAnsi="宋体" w:cs="宋体"/>
                <w:kern w:val="0"/>
                <w:szCs w:val="21"/>
              </w:rPr>
              <w:t>无线功能集成无线控制功能，实现接入层无线/有线本地转发，消除无线控制带宽瓶颈，扩大无线部署规模，节省用户投资成本</w:t>
            </w:r>
            <w:r>
              <w:rPr>
                <w:rFonts w:hint="eastAsia" w:ascii="宋体" w:hAnsi="宋体" w:cs="宋体"/>
                <w:kern w:val="0"/>
                <w:szCs w:val="21"/>
              </w:rPr>
              <w:br w:type="textWrapping"/>
            </w:r>
            <w:r>
              <w:rPr>
                <w:rFonts w:hint="eastAsia" w:ascii="宋体" w:hAnsi="宋体" w:cs="宋体"/>
                <w:kern w:val="0"/>
                <w:szCs w:val="21"/>
              </w:rPr>
              <w:t>管理和维护支持SNMPV1/V2/V3、RMON、SSHV2；支持OAM(802.1AG，802.3AH)以太网运行、维护和管理标准</w:t>
            </w:r>
            <w:r>
              <w:rPr>
                <w:rFonts w:hint="eastAsia" w:ascii="宋体" w:hAnsi="宋体" w:cs="宋体"/>
                <w:kern w:val="0"/>
                <w:szCs w:val="21"/>
              </w:rPr>
              <w:br w:type="textWrapping"/>
            </w:r>
            <w:r>
              <w:rPr>
                <w:rFonts w:hint="eastAsia" w:ascii="宋体" w:hAnsi="宋体" w:cs="宋体"/>
                <w:kern w:val="0"/>
                <w:szCs w:val="21"/>
              </w:rPr>
              <w:t>OPENFLOW支持OPENFLOW1.3标准、支持普通模式和Openflow模式切换</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8" w:type="dxa"/>
            <w:vAlign w:val="center"/>
          </w:tcPr>
          <w:p>
            <w:pPr>
              <w:widowControl/>
              <w:jc w:val="center"/>
              <w:rPr>
                <w:rFonts w:ascii="宋体" w:hAnsi="宋体" w:cs="宋体"/>
                <w:kern w:val="0"/>
                <w:szCs w:val="21"/>
              </w:rPr>
            </w:pPr>
            <w:r>
              <w:rPr>
                <w:rFonts w:hint="eastAsia" w:ascii="宋体" w:hAnsi="宋体" w:cs="宋体"/>
                <w:kern w:val="0"/>
                <w:szCs w:val="21"/>
              </w:rPr>
              <w:t xml:space="preserve">8 </w:t>
            </w:r>
          </w:p>
        </w:tc>
        <w:tc>
          <w:tcPr>
            <w:tcW w:w="2010" w:type="dxa"/>
            <w:noWrap/>
            <w:vAlign w:val="center"/>
          </w:tcPr>
          <w:p>
            <w:pPr>
              <w:widowControl/>
              <w:jc w:val="center"/>
              <w:rPr>
                <w:rFonts w:ascii="宋体" w:hAnsi="宋体" w:cs="宋体"/>
                <w:kern w:val="0"/>
                <w:szCs w:val="21"/>
              </w:rPr>
            </w:pPr>
            <w:r>
              <w:rPr>
                <w:rFonts w:hint="eastAsia" w:ascii="宋体" w:hAnsi="宋体" w:cs="宋体"/>
                <w:kern w:val="0"/>
                <w:szCs w:val="21"/>
              </w:rPr>
              <w:t>日志存储（高配）</w:t>
            </w:r>
          </w:p>
        </w:tc>
        <w:tc>
          <w:tcPr>
            <w:tcW w:w="5638" w:type="dxa"/>
          </w:tcPr>
          <w:p>
            <w:pPr>
              <w:widowControl/>
              <w:jc w:val="left"/>
              <w:rPr>
                <w:rFonts w:hint="eastAsia"/>
                <w:color w:val="auto"/>
              </w:rPr>
            </w:pPr>
            <w:r>
              <w:rPr>
                <w:rFonts w:hint="eastAsia"/>
                <w:color w:val="auto"/>
              </w:rPr>
              <w:t>采用标准2U式机架，支持≥12盘位，支持≥3.5寸SATA盘，内置≥12块10T企业级 硬盘</w:t>
            </w:r>
            <w:r>
              <w:rPr>
                <w:rFonts w:hint="eastAsia"/>
                <w:color w:val="auto"/>
              </w:rPr>
              <w:br w:type="textWrapping"/>
            </w:r>
            <w:r>
              <w:rPr>
                <w:rFonts w:hint="eastAsia"/>
                <w:color w:val="auto"/>
              </w:rPr>
              <w:t>处理器≥1.5G</w:t>
            </w:r>
            <w:r>
              <w:rPr>
                <w:rFonts w:hint="eastAsia"/>
                <w:color w:val="auto"/>
              </w:rPr>
              <w:br w:type="textWrapping"/>
            </w:r>
            <w:r>
              <w:rPr>
                <w:rFonts w:hint="eastAsia"/>
                <w:color w:val="auto"/>
              </w:rPr>
              <w:t>内存≥4GB</w:t>
            </w:r>
            <w:r>
              <w:rPr>
                <w:rFonts w:hint="eastAsia"/>
                <w:color w:val="auto"/>
              </w:rPr>
              <w:br w:type="textWrapping"/>
            </w:r>
            <w:r>
              <w:rPr>
                <w:rFonts w:hint="eastAsia"/>
                <w:color w:val="auto"/>
              </w:rPr>
              <w:t>内置≥2个10G SFP+端口（满配10G多模光模块），内置≥2个千兆网口</w:t>
            </w:r>
            <w:r>
              <w:rPr>
                <w:rFonts w:hint="eastAsia"/>
                <w:color w:val="auto"/>
              </w:rPr>
              <w:br w:type="textWrapping"/>
            </w:r>
            <w:r>
              <w:rPr>
                <w:rFonts w:hint="eastAsia"/>
                <w:color w:val="auto"/>
              </w:rPr>
              <w:t>提供ISCSI、FTP、Syslog等应用</w:t>
            </w:r>
            <w:r>
              <w:rPr>
                <w:rFonts w:hint="eastAsia"/>
                <w:color w:val="auto"/>
              </w:rPr>
              <w:br w:type="textWrapping"/>
            </w:r>
            <w:r>
              <w:rPr>
                <w:rFonts w:hint="eastAsia"/>
                <w:color w:val="auto"/>
              </w:rPr>
              <w:t>万兆网口时，读取的速度不少于1000MB/S</w:t>
            </w:r>
            <w:r>
              <w:rPr>
                <w:rFonts w:hint="eastAsia"/>
                <w:color w:val="auto"/>
              </w:rPr>
              <w:br w:type="textWrapping"/>
            </w:r>
            <w:r>
              <w:rPr>
                <w:rFonts w:hint="eastAsia"/>
                <w:color w:val="auto"/>
              </w:rPr>
              <w:t>配置3TB以上M.2 SSD</w:t>
            </w:r>
          </w:p>
          <w:p>
            <w:pPr>
              <w:pStyle w:val="2"/>
              <w:rPr>
                <w:color w:val="auto"/>
              </w:rPr>
            </w:pPr>
            <w:r>
              <w:rPr>
                <w:rFonts w:hint="eastAsia" w:ascii="宋体" w:hAnsi="宋体" w:eastAsia="宋体" w:cs="宋体"/>
                <w:color w:val="auto"/>
                <w:kern w:val="0"/>
                <w:sz w:val="21"/>
                <w:szCs w:val="21"/>
              </w:rPr>
              <w:t>质保：五年（</w:t>
            </w:r>
            <w:r>
              <w:rPr>
                <w:rFonts w:hint="eastAsia" w:ascii="宋体" w:hAnsi="宋体" w:eastAsia="宋体" w:cs="宋体"/>
                <w:color w:val="auto"/>
                <w:kern w:val="0"/>
                <w:sz w:val="21"/>
                <w:szCs w:val="21"/>
                <w:lang w:eastAsia="zh-CN"/>
              </w:rPr>
              <w:t>保修期内换下来的硬盘不返还</w:t>
            </w:r>
            <w:r>
              <w:rPr>
                <w:rFonts w:hint="eastAsia" w:ascii="宋体" w:hAnsi="宋体" w:eastAsia="宋体" w:cs="宋体"/>
                <w:color w:val="auto"/>
                <w:kern w:val="0"/>
                <w:sz w:val="21"/>
                <w:szCs w:val="21"/>
              </w:rPr>
              <w:t>）</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8" w:type="dxa"/>
            <w:vAlign w:val="center"/>
          </w:tcPr>
          <w:p>
            <w:pPr>
              <w:widowControl/>
              <w:jc w:val="center"/>
              <w:rPr>
                <w:rFonts w:ascii="宋体" w:hAnsi="宋体" w:cs="宋体"/>
                <w:kern w:val="0"/>
                <w:szCs w:val="21"/>
              </w:rPr>
            </w:pPr>
            <w:r>
              <w:rPr>
                <w:rFonts w:hint="eastAsia" w:ascii="宋体" w:hAnsi="宋体" w:cs="宋体"/>
                <w:kern w:val="0"/>
                <w:szCs w:val="21"/>
              </w:rPr>
              <w:t xml:space="preserve">9 </w:t>
            </w:r>
          </w:p>
        </w:tc>
        <w:tc>
          <w:tcPr>
            <w:tcW w:w="2010" w:type="dxa"/>
            <w:noWrap/>
            <w:vAlign w:val="center"/>
          </w:tcPr>
          <w:p>
            <w:pPr>
              <w:widowControl/>
              <w:jc w:val="center"/>
              <w:rPr>
                <w:rFonts w:ascii="宋体" w:hAnsi="宋体" w:cs="宋体"/>
                <w:kern w:val="0"/>
                <w:szCs w:val="21"/>
              </w:rPr>
            </w:pPr>
            <w:r>
              <w:rPr>
                <w:rFonts w:hint="eastAsia" w:ascii="宋体" w:hAnsi="宋体" w:cs="宋体"/>
                <w:kern w:val="0"/>
                <w:szCs w:val="21"/>
              </w:rPr>
              <w:t>日志存储（低配）</w:t>
            </w:r>
          </w:p>
        </w:tc>
        <w:tc>
          <w:tcPr>
            <w:tcW w:w="5638" w:type="dxa"/>
          </w:tcPr>
          <w:p>
            <w:pPr>
              <w:widowControl/>
              <w:jc w:val="left"/>
              <w:rPr>
                <w:rFonts w:hint="eastAsia"/>
                <w:color w:val="auto"/>
              </w:rPr>
            </w:pPr>
            <w:r>
              <w:rPr>
                <w:rFonts w:hint="eastAsia"/>
                <w:color w:val="auto"/>
              </w:rPr>
              <w:t>采用标准2U式机架，支持≥12盘位，支持≥3.5寸SATA盘</w:t>
            </w:r>
            <w:r>
              <w:rPr>
                <w:rFonts w:hint="eastAsia"/>
                <w:color w:val="auto"/>
              </w:rPr>
              <w:br w:type="textWrapping"/>
            </w:r>
            <w:r>
              <w:rPr>
                <w:rFonts w:hint="eastAsia"/>
                <w:color w:val="auto"/>
              </w:rPr>
              <w:t>处理器≥1.5G</w:t>
            </w:r>
            <w:r>
              <w:rPr>
                <w:rFonts w:hint="eastAsia"/>
                <w:color w:val="auto"/>
              </w:rPr>
              <w:br w:type="textWrapping"/>
            </w:r>
            <w:r>
              <w:rPr>
                <w:rFonts w:hint="eastAsia"/>
                <w:color w:val="auto"/>
              </w:rPr>
              <w:t>内存≥4GB</w:t>
            </w:r>
            <w:r>
              <w:rPr>
                <w:rFonts w:hint="eastAsia"/>
                <w:color w:val="auto"/>
              </w:rPr>
              <w:br w:type="textWrapping"/>
            </w:r>
            <w:r>
              <w:rPr>
                <w:rFonts w:hint="eastAsia"/>
                <w:color w:val="auto"/>
              </w:rPr>
              <w:t>内置≥2个10G SFP+端口（满配10G多模光模块），内置≥2个千兆网口</w:t>
            </w:r>
            <w:r>
              <w:rPr>
                <w:rFonts w:hint="eastAsia"/>
                <w:color w:val="auto"/>
              </w:rPr>
              <w:br w:type="textWrapping"/>
            </w:r>
            <w:r>
              <w:rPr>
                <w:rFonts w:hint="eastAsia"/>
                <w:color w:val="auto"/>
              </w:rPr>
              <w:t>提供ISCSI、FTP、Syslog等应用</w:t>
            </w:r>
            <w:r>
              <w:rPr>
                <w:rFonts w:hint="eastAsia"/>
                <w:color w:val="auto"/>
              </w:rPr>
              <w:br w:type="textWrapping"/>
            </w:r>
            <w:r>
              <w:rPr>
                <w:rFonts w:hint="eastAsia"/>
                <w:color w:val="auto"/>
              </w:rPr>
              <w:t>万兆网口时，读取的速度不少于1000MB/S</w:t>
            </w:r>
            <w:r>
              <w:rPr>
                <w:rFonts w:hint="eastAsia"/>
                <w:color w:val="auto"/>
              </w:rPr>
              <w:br w:type="textWrapping"/>
            </w:r>
            <w:r>
              <w:rPr>
                <w:rFonts w:hint="eastAsia"/>
                <w:color w:val="auto"/>
              </w:rPr>
              <w:t>配置3TB以上M.2 SSD</w:t>
            </w:r>
          </w:p>
          <w:p>
            <w:pPr>
              <w:pStyle w:val="2"/>
              <w:rPr>
                <w:color w:val="auto"/>
              </w:rPr>
            </w:pPr>
            <w:r>
              <w:rPr>
                <w:rFonts w:hint="eastAsia" w:ascii="宋体" w:hAnsi="宋体" w:eastAsia="宋体" w:cs="宋体"/>
                <w:color w:val="auto"/>
                <w:kern w:val="0"/>
                <w:sz w:val="21"/>
                <w:szCs w:val="21"/>
              </w:rPr>
              <w:t>质保：五年（</w:t>
            </w:r>
            <w:r>
              <w:rPr>
                <w:rFonts w:hint="eastAsia" w:ascii="宋体" w:hAnsi="宋体" w:eastAsia="宋体" w:cs="宋体"/>
                <w:color w:val="auto"/>
                <w:kern w:val="0"/>
                <w:sz w:val="21"/>
                <w:szCs w:val="21"/>
                <w:lang w:eastAsia="zh-CN"/>
              </w:rPr>
              <w:t>保修期内换下来的硬盘不返还</w:t>
            </w:r>
            <w:r>
              <w:rPr>
                <w:rFonts w:hint="eastAsia" w:ascii="宋体" w:hAnsi="宋体" w:eastAsia="宋体" w:cs="宋体"/>
                <w:color w:val="auto"/>
                <w:kern w:val="0"/>
                <w:sz w:val="21"/>
                <w:szCs w:val="21"/>
              </w:rPr>
              <w:t>）</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158" w:type="dxa"/>
            <w:gridSpan w:val="5"/>
            <w:vAlign w:val="center"/>
          </w:tcPr>
          <w:p>
            <w:pPr>
              <w:widowControl/>
              <w:jc w:val="left"/>
              <w:rPr>
                <w:rFonts w:ascii="宋体" w:hAnsi="宋体" w:cs="宋体"/>
                <w:kern w:val="0"/>
                <w:szCs w:val="21"/>
              </w:rPr>
            </w:pPr>
            <w:r>
              <w:rPr>
                <w:rFonts w:hint="eastAsia" w:ascii="宋体" w:hAnsi="宋体" w:cs="宋体"/>
                <w:b/>
                <w:bCs/>
                <w:kern w:val="0"/>
                <w:szCs w:val="21"/>
              </w:rPr>
              <w:t>四、其他费用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8" w:type="dxa"/>
            <w:vAlign w:val="center"/>
          </w:tcPr>
          <w:p>
            <w:pPr>
              <w:widowControl/>
              <w:jc w:val="center"/>
              <w:rPr>
                <w:rFonts w:ascii="宋体" w:hAnsi="宋体" w:cs="宋体"/>
                <w:kern w:val="0"/>
                <w:szCs w:val="21"/>
              </w:rPr>
            </w:pPr>
            <w:r>
              <w:rPr>
                <w:rFonts w:hint="eastAsia" w:ascii="宋体" w:hAnsi="宋体" w:cs="宋体"/>
                <w:kern w:val="0"/>
                <w:szCs w:val="21"/>
              </w:rPr>
              <w:t xml:space="preserve">10 </w:t>
            </w:r>
          </w:p>
        </w:tc>
        <w:tc>
          <w:tcPr>
            <w:tcW w:w="2010" w:type="dxa"/>
            <w:noWrap/>
            <w:vAlign w:val="center"/>
          </w:tcPr>
          <w:p>
            <w:pPr>
              <w:widowControl/>
              <w:jc w:val="center"/>
              <w:rPr>
                <w:rFonts w:ascii="宋体" w:hAnsi="宋体" w:cs="宋体"/>
                <w:kern w:val="0"/>
                <w:szCs w:val="21"/>
              </w:rPr>
            </w:pPr>
            <w:r>
              <w:rPr>
                <w:rFonts w:hint="eastAsia" w:ascii="宋体" w:hAnsi="宋体" w:cs="宋体"/>
                <w:kern w:val="0"/>
                <w:szCs w:val="21"/>
              </w:rPr>
              <w:t xml:space="preserve">第三方检测费用 </w:t>
            </w:r>
          </w:p>
        </w:tc>
        <w:tc>
          <w:tcPr>
            <w:tcW w:w="5638" w:type="dxa"/>
            <w:vAlign w:val="center"/>
          </w:tcPr>
          <w:p>
            <w:pPr>
              <w:widowControl/>
              <w:rPr>
                <w:rFonts w:ascii="宋体" w:hAnsi="宋体" w:cs="宋体"/>
                <w:kern w:val="0"/>
                <w:szCs w:val="21"/>
              </w:rPr>
            </w:pPr>
            <w:r>
              <w:rPr>
                <w:rFonts w:hint="eastAsia" w:ascii="宋体" w:hAnsi="宋体" w:cs="宋体"/>
                <w:kern w:val="0"/>
                <w:szCs w:val="21"/>
              </w:rPr>
              <w:t>针对本项目范围内的系统功能及性能，</w:t>
            </w:r>
            <w:r>
              <w:rPr>
                <w:rFonts w:hint="eastAsia" w:ascii="宋体" w:hAnsi="宋体" w:cs="宋体"/>
              </w:rPr>
              <w:t>聘请国家认可的、具备相应检测资质的第三方单位进行检测</w:t>
            </w:r>
            <w:r>
              <w:rPr>
                <w:rFonts w:hint="eastAsia" w:ascii="宋体" w:hAnsi="宋体" w:cs="宋体"/>
                <w:kern w:val="0"/>
                <w:szCs w:val="21"/>
              </w:rPr>
              <w:t>，出具检测报告</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项</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8" w:type="dxa"/>
            <w:vAlign w:val="center"/>
          </w:tcPr>
          <w:p>
            <w:pPr>
              <w:widowControl/>
              <w:jc w:val="center"/>
              <w:rPr>
                <w:rFonts w:ascii="宋体" w:hAnsi="宋体" w:cs="宋体"/>
                <w:kern w:val="0"/>
                <w:szCs w:val="21"/>
              </w:rPr>
            </w:pPr>
            <w:r>
              <w:rPr>
                <w:rFonts w:hint="eastAsia" w:ascii="宋体" w:hAnsi="宋体" w:cs="宋体"/>
                <w:kern w:val="0"/>
                <w:szCs w:val="21"/>
              </w:rPr>
              <w:t xml:space="preserve">11 </w:t>
            </w:r>
          </w:p>
        </w:tc>
        <w:tc>
          <w:tcPr>
            <w:tcW w:w="2010" w:type="dxa"/>
            <w:noWrap/>
            <w:vAlign w:val="center"/>
          </w:tcPr>
          <w:p>
            <w:pPr>
              <w:widowControl/>
              <w:jc w:val="center"/>
              <w:rPr>
                <w:rFonts w:ascii="宋体" w:hAnsi="宋体" w:cs="宋体"/>
                <w:kern w:val="0"/>
                <w:szCs w:val="21"/>
              </w:rPr>
            </w:pPr>
            <w:r>
              <w:rPr>
                <w:rFonts w:hint="eastAsia" w:ascii="宋体" w:hAnsi="宋体" w:cs="宋体"/>
                <w:kern w:val="0"/>
                <w:szCs w:val="21"/>
              </w:rPr>
              <w:t>集成调试费用</w:t>
            </w:r>
          </w:p>
        </w:tc>
        <w:tc>
          <w:tcPr>
            <w:tcW w:w="5638" w:type="dxa"/>
            <w:vAlign w:val="center"/>
          </w:tcPr>
          <w:p>
            <w:pPr>
              <w:widowControl/>
              <w:rPr>
                <w:rFonts w:ascii="宋体" w:hAnsi="宋体" w:cs="宋体"/>
                <w:kern w:val="0"/>
                <w:szCs w:val="21"/>
              </w:rPr>
            </w:pPr>
            <w:r>
              <w:rPr>
                <w:rFonts w:hint="eastAsia" w:ascii="宋体" w:hAnsi="宋体" w:cs="宋体"/>
                <w:kern w:val="0"/>
                <w:szCs w:val="21"/>
              </w:rPr>
              <w:t>集成调试费用，包含设备上架（含线缆等辅材）、各县（市区）结构化数据对接、所需的各项及不可预见等费用。</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项</w:t>
            </w:r>
          </w:p>
        </w:tc>
        <w:tc>
          <w:tcPr>
            <w:tcW w:w="471"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bl>
    <w:p>
      <w:pPr>
        <w:spacing w:line="360" w:lineRule="auto"/>
        <w:ind w:firstLine="640" w:firstLineChars="200"/>
        <w:rPr>
          <w:rFonts w:hint="eastAsia" w:ascii="仿宋_GB2312" w:eastAsia="仿宋_GB2312"/>
          <w:sz w:val="32"/>
          <w:szCs w:val="32"/>
          <w:highlight w:val="none"/>
        </w:rPr>
      </w:pPr>
    </w:p>
    <w:p>
      <w:pPr>
        <w:spacing w:line="360" w:lineRule="auto"/>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六</w:t>
      </w:r>
      <w:r>
        <w:rPr>
          <w:rFonts w:hint="eastAsia" w:ascii="仿宋_GB2312" w:eastAsia="仿宋_GB2312"/>
          <w:sz w:val="32"/>
          <w:szCs w:val="32"/>
          <w:highlight w:val="none"/>
        </w:rPr>
        <w:t>）项目验收标准</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1、设备根据合同清单核对到货情况；</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2、安装调试完成后根据合同以及招标、投标文件要求进行验收；</w:t>
      </w:r>
    </w:p>
    <w:p>
      <w:pPr>
        <w:spacing w:line="360" w:lineRule="auto"/>
        <w:ind w:firstLine="420" w:firstLineChars="200"/>
        <w:rPr>
          <w:rFonts w:hint="eastAsia" w:ascii="宋体" w:hAnsi="宋体" w:cs="宋体"/>
          <w:sz w:val="24"/>
          <w:highlight w:val="none"/>
        </w:rPr>
        <w:sectPr>
          <w:pgSz w:w="11906" w:h="16838"/>
          <w:pgMar w:top="1758" w:right="1474" w:bottom="1758" w:left="1474"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cs="宋体"/>
        </w:rPr>
        <w:t>▲</w:t>
      </w:r>
      <w:r>
        <w:rPr>
          <w:rFonts w:hint="eastAsia" w:ascii="宋体" w:hAnsi="宋体" w:cs="宋体"/>
          <w:sz w:val="24"/>
          <w:highlight w:val="none"/>
        </w:rPr>
        <w:t>3、本项目建设标准必须遵循台州市公安局科技项目建设管理办法以及台州市政府数字化转型项目管理办法要求，验收资料文档必须满足上述管理办法要求。</w:t>
      </w:r>
    </w:p>
    <w:p>
      <w:pPr>
        <w:spacing w:line="360" w:lineRule="auto"/>
        <w:rPr>
          <w:rFonts w:ascii="仿宋_GB2312" w:hAnsi="宋体" w:eastAsia="仿宋_GB2312" w:cs="宋体"/>
          <w:b/>
          <w:bCs/>
          <w:sz w:val="30"/>
          <w:szCs w:val="30"/>
          <w:highlight w:val="none"/>
        </w:rPr>
      </w:pPr>
      <w:r>
        <w:rPr>
          <w:rFonts w:hint="eastAsia" w:ascii="仿宋_GB2312" w:eastAsia="仿宋_GB2312"/>
          <w:b/>
          <w:bCs/>
          <w:sz w:val="30"/>
          <w:szCs w:val="30"/>
          <w:highlight w:val="none"/>
        </w:rPr>
        <w:t>（</w:t>
      </w:r>
      <w:r>
        <w:rPr>
          <w:rFonts w:hint="eastAsia" w:ascii="仿宋_GB2312" w:eastAsia="仿宋_GB2312"/>
          <w:b/>
          <w:bCs/>
          <w:sz w:val="30"/>
          <w:szCs w:val="30"/>
          <w:highlight w:val="none"/>
          <w:lang w:eastAsia="zh-CN"/>
        </w:rPr>
        <w:t>七</w:t>
      </w:r>
      <w:r>
        <w:rPr>
          <w:rFonts w:hint="eastAsia" w:ascii="仿宋_GB2312" w:eastAsia="仿宋_GB2312"/>
          <w:b/>
          <w:bCs/>
          <w:sz w:val="30"/>
          <w:szCs w:val="30"/>
          <w:highlight w:val="none"/>
        </w:rPr>
        <w:t>）项目售后服务标准</w:t>
      </w:r>
    </w:p>
    <w:p>
      <w:pPr>
        <w:spacing w:line="360" w:lineRule="auto"/>
        <w:jc w:val="center"/>
        <w:rPr>
          <w:rFonts w:ascii="方正小标宋简体" w:hAnsi="宋体" w:eastAsia="方正小标宋简体" w:cs="宋体"/>
          <w:sz w:val="32"/>
          <w:szCs w:val="32"/>
          <w:highlight w:val="none"/>
        </w:rPr>
      </w:pPr>
      <w:r>
        <w:rPr>
          <w:rFonts w:hint="eastAsia" w:ascii="方正小标宋简体" w:hAnsi="宋体" w:eastAsia="方正小标宋简体" w:cs="宋体"/>
          <w:sz w:val="32"/>
          <w:szCs w:val="32"/>
          <w:highlight w:val="none"/>
        </w:rPr>
        <w:t>项目售后服务标准</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844"/>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44" w:type="dxa"/>
            <w:noWrap w:val="0"/>
            <w:vAlign w:val="center"/>
          </w:tcPr>
          <w:p>
            <w:pPr>
              <w:jc w:val="center"/>
              <w:rPr>
                <w:rFonts w:ascii="宋体" w:hAnsi="宋体"/>
                <w:highlight w:val="none"/>
              </w:rPr>
            </w:pPr>
            <w:r>
              <w:rPr>
                <w:rFonts w:hint="eastAsia" w:ascii="宋体" w:hAnsi="宋体"/>
                <w:highlight w:val="none"/>
              </w:rPr>
              <w:t>序号</w:t>
            </w:r>
          </w:p>
        </w:tc>
        <w:tc>
          <w:tcPr>
            <w:tcW w:w="1844" w:type="dxa"/>
            <w:noWrap w:val="0"/>
            <w:vAlign w:val="center"/>
          </w:tcPr>
          <w:p>
            <w:pPr>
              <w:jc w:val="center"/>
              <w:rPr>
                <w:rFonts w:ascii="宋体" w:hAnsi="宋体"/>
                <w:highlight w:val="none"/>
              </w:rPr>
            </w:pPr>
            <w:r>
              <w:rPr>
                <w:rFonts w:hint="eastAsia" w:ascii="宋体" w:hAnsi="宋体"/>
                <w:highlight w:val="none"/>
              </w:rPr>
              <w:t>服务要求内容</w:t>
            </w:r>
          </w:p>
        </w:tc>
        <w:tc>
          <w:tcPr>
            <w:tcW w:w="6930" w:type="dxa"/>
            <w:noWrap w:val="0"/>
            <w:vAlign w:val="center"/>
          </w:tcPr>
          <w:p>
            <w:pPr>
              <w:jc w:val="center"/>
              <w:rPr>
                <w:rFonts w:ascii="宋体" w:hAnsi="宋体"/>
                <w:highlight w:val="none"/>
              </w:rPr>
            </w:pPr>
            <w:r>
              <w:rPr>
                <w:rFonts w:hint="eastAsia" w:ascii="宋体" w:hAnsi="宋体"/>
                <w:highlight w:val="none"/>
              </w:rPr>
              <w:t>服务要求标准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 w:type="dxa"/>
            <w:noWrap w:val="0"/>
            <w:vAlign w:val="center"/>
          </w:tcPr>
          <w:p>
            <w:pPr>
              <w:jc w:val="center"/>
              <w:rPr>
                <w:rFonts w:ascii="宋体" w:hAnsi="宋体"/>
                <w:highlight w:val="none"/>
              </w:rPr>
            </w:pPr>
            <w:r>
              <w:rPr>
                <w:rFonts w:hint="eastAsia" w:ascii="宋体" w:hAnsi="宋体"/>
                <w:highlight w:val="none"/>
              </w:rPr>
              <w:t>1</w:t>
            </w:r>
          </w:p>
        </w:tc>
        <w:tc>
          <w:tcPr>
            <w:tcW w:w="1844" w:type="dxa"/>
            <w:noWrap w:val="0"/>
            <w:vAlign w:val="center"/>
          </w:tcPr>
          <w:p>
            <w:pPr>
              <w:jc w:val="center"/>
              <w:rPr>
                <w:rFonts w:ascii="宋体" w:hAnsi="宋体"/>
                <w:highlight w:val="none"/>
              </w:rPr>
            </w:pPr>
            <w:r>
              <w:rPr>
                <w:rFonts w:hint="eastAsia" w:ascii="宋体" w:hAnsi="宋体"/>
                <w:highlight w:val="none"/>
              </w:rPr>
              <w:t>售后服务承诺函</w:t>
            </w:r>
          </w:p>
        </w:tc>
        <w:tc>
          <w:tcPr>
            <w:tcW w:w="6930" w:type="dxa"/>
            <w:noWrap w:val="0"/>
            <w:vAlign w:val="top"/>
          </w:tcPr>
          <w:p>
            <w:pPr>
              <w:rPr>
                <w:rFonts w:ascii="宋体" w:hAnsi="宋体"/>
                <w:highlight w:val="none"/>
              </w:rPr>
            </w:pPr>
            <w:r>
              <w:rPr>
                <w:rFonts w:hint="eastAsia" w:ascii="宋体" w:hAnsi="宋体"/>
                <w:highlight w:val="none"/>
              </w:rPr>
              <w:t>质保期内均提供（7*24）上门维护、升级服务，对故障即时响应，2小时以内到现场，4小时以内提出问题解决方案并实施。逾期未作出响应，投标方应承担由于故障所造成的全部损失。质保期内产生的维护费用均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 w:type="dxa"/>
            <w:noWrap w:val="0"/>
            <w:vAlign w:val="center"/>
          </w:tcPr>
          <w:p>
            <w:pPr>
              <w:jc w:val="center"/>
              <w:rPr>
                <w:rFonts w:ascii="宋体" w:hAnsi="宋体"/>
                <w:highlight w:val="none"/>
              </w:rPr>
            </w:pPr>
            <w:r>
              <w:rPr>
                <w:rFonts w:hint="eastAsia" w:ascii="宋体" w:hAnsi="宋体"/>
                <w:highlight w:val="none"/>
              </w:rPr>
              <w:t>2</w:t>
            </w:r>
          </w:p>
        </w:tc>
        <w:tc>
          <w:tcPr>
            <w:tcW w:w="1844" w:type="dxa"/>
            <w:noWrap w:val="0"/>
            <w:vAlign w:val="center"/>
          </w:tcPr>
          <w:p>
            <w:pPr>
              <w:jc w:val="center"/>
              <w:rPr>
                <w:rFonts w:ascii="宋体" w:hAnsi="宋体"/>
                <w:highlight w:val="none"/>
              </w:rPr>
            </w:pPr>
            <w:r>
              <w:rPr>
                <w:rFonts w:hint="eastAsia" w:ascii="宋体" w:hAnsi="宋体"/>
                <w:highlight w:val="none"/>
              </w:rPr>
              <w:t>技术培训</w:t>
            </w:r>
          </w:p>
        </w:tc>
        <w:tc>
          <w:tcPr>
            <w:tcW w:w="6930" w:type="dxa"/>
            <w:noWrap w:val="0"/>
            <w:vAlign w:val="top"/>
          </w:tcPr>
          <w:p>
            <w:pPr>
              <w:rPr>
                <w:rFonts w:hint="eastAsia" w:ascii="宋体" w:hAnsi="宋体"/>
                <w:highlight w:val="none"/>
              </w:rPr>
            </w:pPr>
            <w:r>
              <w:rPr>
                <w:rFonts w:hint="eastAsia" w:ascii="宋体" w:hAnsi="宋体"/>
                <w:highlight w:val="none"/>
              </w:rPr>
              <w:t>①现场培训</w:t>
            </w:r>
          </w:p>
          <w:p>
            <w:pPr>
              <w:rPr>
                <w:rFonts w:hint="eastAsia" w:ascii="宋体" w:hAnsi="宋体"/>
                <w:highlight w:val="none"/>
              </w:rPr>
            </w:pPr>
            <w:r>
              <w:rPr>
                <w:rFonts w:hint="eastAsia" w:ascii="宋体" w:hAnsi="宋体"/>
                <w:highlight w:val="none"/>
              </w:rPr>
              <w:t>在所有产品部署现场，投标方负责用户的现场技术培训，包括产品的功能、部署条件、部署步骤和注意事项、产品升级、日常维护事项等方面，使用户达到能独立进行管理、维护测试和故障处理等工作，以使所提供的软硬件产品能够正常、安全的运行。</w:t>
            </w:r>
          </w:p>
          <w:p>
            <w:pPr>
              <w:rPr>
                <w:rFonts w:hint="eastAsia" w:ascii="宋体" w:hAnsi="宋体"/>
                <w:highlight w:val="none"/>
              </w:rPr>
            </w:pPr>
            <w:r>
              <w:rPr>
                <w:rFonts w:hint="eastAsia" w:ascii="宋体" w:hAnsi="宋体"/>
                <w:highlight w:val="none"/>
              </w:rPr>
              <w:t>②课程培训</w:t>
            </w:r>
          </w:p>
          <w:p>
            <w:pPr>
              <w:rPr>
                <w:rFonts w:hint="eastAsia" w:ascii="宋体" w:hAnsi="宋体"/>
                <w:highlight w:val="none"/>
              </w:rPr>
            </w:pPr>
            <w:r>
              <w:rPr>
                <w:rFonts w:hint="eastAsia" w:ascii="宋体" w:hAnsi="宋体"/>
                <w:highlight w:val="none"/>
              </w:rPr>
              <w:t>投标方应提供专门的课程培训，包括理论教授，问题讨论和上机操作，以便采购人能够迅速掌握相应的培训内容，同时为采购人自主组织开展培训推广提供支持。</w:t>
            </w:r>
          </w:p>
          <w:p>
            <w:pPr>
              <w:rPr>
                <w:rFonts w:hint="eastAsia" w:ascii="宋体" w:hAnsi="宋体"/>
                <w:highlight w:val="none"/>
              </w:rPr>
            </w:pPr>
            <w:r>
              <w:rPr>
                <w:rFonts w:hint="eastAsia" w:ascii="宋体" w:hAnsi="宋体"/>
                <w:highlight w:val="none"/>
              </w:rPr>
              <w:t>应提供详细的培训计划，包括课程的内容、资料讲义、授课方式、课程目标。</w:t>
            </w:r>
          </w:p>
          <w:p>
            <w:pPr>
              <w:rPr>
                <w:rFonts w:hint="eastAsia" w:ascii="宋体" w:hAnsi="宋体"/>
                <w:highlight w:val="none"/>
              </w:rPr>
            </w:pPr>
            <w:r>
              <w:rPr>
                <w:rFonts w:hint="eastAsia" w:ascii="宋体" w:hAnsi="宋体"/>
                <w:highlight w:val="none"/>
              </w:rPr>
              <w:t>③培训费用</w:t>
            </w:r>
          </w:p>
          <w:p>
            <w:pPr>
              <w:rPr>
                <w:rFonts w:ascii="宋体" w:hAnsi="宋体"/>
                <w:highlight w:val="none"/>
              </w:rPr>
            </w:pPr>
            <w:r>
              <w:rPr>
                <w:rFonts w:hint="eastAsia" w:ascii="宋体" w:hAnsi="宋体"/>
                <w:highlight w:val="none"/>
              </w:rPr>
              <w:t>所有培训所涉及的所有费用</w:t>
            </w:r>
            <w:r>
              <w:rPr>
                <w:rFonts w:hint="eastAsia" w:ascii="宋体" w:hAnsi="宋体"/>
                <w:highlight w:val="none"/>
                <w:lang w:eastAsia="zh-CN"/>
              </w:rPr>
              <w:t>均包含在本次保荐内</w:t>
            </w:r>
            <w:r>
              <w:rPr>
                <w:rFonts w:hint="eastAsia" w:ascii="宋体" w:hAnsi="宋体"/>
                <w:highlight w:val="none"/>
              </w:rPr>
              <w:t>，不得另行向采购人收取。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 w:type="dxa"/>
            <w:noWrap w:val="0"/>
            <w:vAlign w:val="center"/>
          </w:tcPr>
          <w:p>
            <w:pPr>
              <w:jc w:val="center"/>
              <w:rPr>
                <w:rFonts w:ascii="宋体" w:hAnsi="宋体"/>
                <w:highlight w:val="none"/>
              </w:rPr>
            </w:pPr>
            <w:r>
              <w:rPr>
                <w:rFonts w:ascii="宋体" w:hAnsi="宋体"/>
                <w:highlight w:val="none"/>
              </w:rPr>
              <w:t>3</w:t>
            </w:r>
          </w:p>
        </w:tc>
        <w:tc>
          <w:tcPr>
            <w:tcW w:w="1844" w:type="dxa"/>
            <w:noWrap w:val="0"/>
            <w:vAlign w:val="center"/>
          </w:tcPr>
          <w:p>
            <w:pPr>
              <w:jc w:val="center"/>
              <w:rPr>
                <w:rFonts w:ascii="宋体" w:hAnsi="宋体"/>
                <w:highlight w:val="none"/>
              </w:rPr>
            </w:pPr>
            <w:r>
              <w:rPr>
                <w:rFonts w:hint="eastAsia" w:ascii="宋体" w:hAnsi="宋体"/>
                <w:highlight w:val="none"/>
              </w:rPr>
              <w:t>集成要求</w:t>
            </w:r>
          </w:p>
        </w:tc>
        <w:tc>
          <w:tcPr>
            <w:tcW w:w="6930" w:type="dxa"/>
            <w:noWrap w:val="0"/>
            <w:vAlign w:val="top"/>
          </w:tcPr>
          <w:p>
            <w:pPr>
              <w:rPr>
                <w:rFonts w:hint="eastAsia" w:ascii="宋体" w:hAnsi="宋体"/>
                <w:highlight w:val="none"/>
              </w:rPr>
            </w:pPr>
            <w:r>
              <w:rPr>
                <w:rFonts w:hint="eastAsia" w:ascii="宋体" w:hAnsi="宋体"/>
                <w:highlight w:val="none"/>
              </w:rPr>
              <w:t>中标方应保证投标项目在</w:t>
            </w:r>
            <w:r>
              <w:rPr>
                <w:rFonts w:hint="eastAsia" w:ascii="宋体" w:hAnsi="宋体"/>
                <w:highlight w:val="none"/>
                <w:lang w:eastAsia="zh-CN"/>
              </w:rPr>
              <w:t>采购人</w:t>
            </w:r>
            <w:r>
              <w:rPr>
                <w:rFonts w:hint="eastAsia" w:ascii="宋体" w:hAnsi="宋体"/>
                <w:highlight w:val="none"/>
              </w:rPr>
              <w:t>条件成熟时应立即开展实施；</w:t>
            </w:r>
          </w:p>
          <w:p>
            <w:pPr>
              <w:rPr>
                <w:rFonts w:hint="eastAsia" w:ascii="宋体" w:hAnsi="宋体"/>
                <w:highlight w:val="none"/>
              </w:rPr>
            </w:pPr>
            <w:r>
              <w:rPr>
                <w:rFonts w:hint="eastAsia" w:ascii="宋体" w:hAnsi="宋体"/>
                <w:highlight w:val="none"/>
              </w:rPr>
              <w:t>中标方在项目实施过程中应服从</w:t>
            </w:r>
            <w:r>
              <w:rPr>
                <w:rFonts w:hint="eastAsia" w:ascii="宋体" w:hAnsi="宋体"/>
                <w:highlight w:val="none"/>
                <w:lang w:eastAsia="zh-CN"/>
              </w:rPr>
              <w:t>采购人</w:t>
            </w:r>
            <w:r>
              <w:rPr>
                <w:rFonts w:hint="eastAsia" w:ascii="宋体" w:hAnsi="宋体"/>
                <w:color w:val="auto"/>
                <w:highlight w:val="none"/>
              </w:rPr>
              <w:t>的统一领导和协调，</w:t>
            </w:r>
            <w:r>
              <w:rPr>
                <w:rFonts w:hint="eastAsia" w:ascii="宋体" w:hAnsi="宋体"/>
                <w:color w:val="auto"/>
                <w:highlight w:val="none"/>
                <w:lang w:eastAsia="zh-CN"/>
              </w:rPr>
              <w:t>在</w:t>
            </w:r>
            <w:r>
              <w:rPr>
                <w:rFonts w:hint="eastAsia" w:ascii="宋体" w:hAnsi="宋体"/>
                <w:color w:val="auto"/>
                <w:highlight w:val="none"/>
              </w:rPr>
              <w:t>中标方的责任范围，中标方必须执行，在</w:t>
            </w:r>
            <w:r>
              <w:rPr>
                <w:rFonts w:hint="eastAsia" w:ascii="宋体" w:hAnsi="宋体"/>
                <w:color w:val="auto"/>
                <w:highlight w:val="none"/>
                <w:lang w:eastAsia="zh-CN"/>
              </w:rPr>
              <w:t>采购人</w:t>
            </w:r>
            <w:r>
              <w:rPr>
                <w:rFonts w:hint="eastAsia" w:ascii="宋体" w:hAnsi="宋体"/>
                <w:color w:val="auto"/>
                <w:highlight w:val="none"/>
              </w:rPr>
              <w:t>限定的时间内解决问题。如果中标方不能按时完成评估内容，</w:t>
            </w:r>
            <w:r>
              <w:rPr>
                <w:rFonts w:hint="eastAsia" w:ascii="宋体" w:hAnsi="宋体"/>
                <w:color w:val="auto"/>
                <w:highlight w:val="none"/>
                <w:lang w:eastAsia="zh-CN"/>
              </w:rPr>
              <w:t>采购人</w:t>
            </w:r>
            <w:r>
              <w:rPr>
                <w:rFonts w:hint="eastAsia" w:ascii="宋体" w:hAnsi="宋体"/>
                <w:color w:val="auto"/>
                <w:highlight w:val="none"/>
              </w:rPr>
              <w:t>有权中止</w:t>
            </w:r>
            <w:r>
              <w:rPr>
                <w:rFonts w:hint="eastAsia" w:ascii="宋体" w:hAnsi="宋体"/>
                <w:highlight w:val="none"/>
              </w:rPr>
              <w:t>项目、索赔或拒付款项；</w:t>
            </w:r>
          </w:p>
          <w:p>
            <w:pPr>
              <w:rPr>
                <w:rFonts w:hint="eastAsia" w:ascii="宋体" w:hAnsi="宋体"/>
                <w:highlight w:val="none"/>
              </w:rPr>
            </w:pPr>
            <w:r>
              <w:rPr>
                <w:rFonts w:hint="eastAsia" w:ascii="宋体" w:hAnsi="宋体"/>
                <w:highlight w:val="none"/>
              </w:rPr>
              <w:t>中标方应根据</w:t>
            </w:r>
            <w:r>
              <w:rPr>
                <w:rFonts w:hint="eastAsia" w:ascii="宋体" w:hAnsi="宋体"/>
                <w:highlight w:val="none"/>
                <w:lang w:eastAsia="zh-CN"/>
              </w:rPr>
              <w:t>采购人</w:t>
            </w:r>
            <w:r>
              <w:rPr>
                <w:rFonts w:hint="eastAsia" w:ascii="宋体" w:hAnsi="宋体"/>
                <w:highlight w:val="none"/>
              </w:rPr>
              <w:t>工作需求、进度要求、实际情况制定详细的项目实施方案和项目实施计划，对项目目标、工作任务、阶段性工作、项目组织机构、职责分工、项目进度、质量控制等内容进行详细的说明，以确保项目实施按时保质的完成；</w:t>
            </w:r>
          </w:p>
          <w:p>
            <w:pPr>
              <w:rPr>
                <w:rFonts w:hint="eastAsia"/>
                <w:highlight w:val="none"/>
              </w:rPr>
            </w:pPr>
            <w:r>
              <w:rPr>
                <w:rFonts w:hint="eastAsia" w:ascii="宋体" w:hAnsi="宋体"/>
                <w:highlight w:val="none"/>
              </w:rPr>
              <w:t>中标方需根据自己的项目实施经验结合</w:t>
            </w:r>
            <w:r>
              <w:rPr>
                <w:rFonts w:hint="eastAsia" w:ascii="宋体" w:hAnsi="宋体"/>
                <w:highlight w:val="none"/>
                <w:lang w:eastAsia="zh-CN"/>
              </w:rPr>
              <w:t>采购人</w:t>
            </w:r>
            <w:r>
              <w:rPr>
                <w:rFonts w:hint="eastAsia" w:ascii="宋体" w:hAnsi="宋体"/>
                <w:highlight w:val="none"/>
              </w:rPr>
              <w:t>的实际需求进一步细化和完善项目实施方案，作为项目实施的指导性文件；</w:t>
            </w:r>
          </w:p>
          <w:p>
            <w:pPr>
              <w:rPr>
                <w:rFonts w:ascii="宋体" w:hAnsi="宋体"/>
                <w:highlight w:val="none"/>
              </w:rPr>
            </w:pPr>
            <w:r>
              <w:rPr>
                <w:rFonts w:hint="eastAsia" w:ascii="宋体" w:hAnsi="宋体"/>
                <w:highlight w:val="none"/>
              </w:rPr>
              <w:t>中标方必须配合监理单位工作，对</w:t>
            </w:r>
            <w:r>
              <w:rPr>
                <w:rFonts w:hint="eastAsia" w:ascii="宋体" w:hAnsi="宋体"/>
                <w:highlight w:val="none"/>
                <w:lang w:eastAsia="zh-CN"/>
              </w:rPr>
              <w:t>采购人</w:t>
            </w:r>
            <w:r>
              <w:rPr>
                <w:rFonts w:hint="eastAsia" w:ascii="宋体" w:hAnsi="宋体"/>
                <w:highlight w:val="none"/>
              </w:rPr>
              <w:t>及其监理单位开出的工作联系单或整改通知单等，都要按要求予以办理并及时回复，否则</w:t>
            </w:r>
            <w:r>
              <w:rPr>
                <w:rFonts w:hint="eastAsia" w:ascii="宋体" w:hAnsi="宋体"/>
                <w:highlight w:val="none"/>
                <w:lang w:eastAsia="zh-CN"/>
              </w:rPr>
              <w:t>采购人</w:t>
            </w:r>
            <w:r>
              <w:rPr>
                <w:rFonts w:hint="eastAsia" w:ascii="宋体" w:hAnsi="宋体"/>
                <w:highlight w:val="none"/>
              </w:rPr>
              <w:t>有权扣除1000元/次违约金。</w:t>
            </w:r>
          </w:p>
        </w:tc>
      </w:tr>
    </w:tbl>
    <w:p>
      <w:pPr>
        <w:pStyle w:val="26"/>
        <w:spacing w:line="360" w:lineRule="auto"/>
        <w:ind w:firstLine="200"/>
        <w:jc w:val="both"/>
      </w:pPr>
    </w:p>
    <w:p>
      <w:pPr>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eastAsia="zh-CN"/>
        </w:rPr>
        <w:t>（八）</w:t>
      </w:r>
      <w:r>
        <w:rPr>
          <w:rFonts w:hint="eastAsia" w:ascii="仿宋_GB2312" w:eastAsia="仿宋_GB2312"/>
          <w:sz w:val="32"/>
          <w:szCs w:val="32"/>
          <w:highlight w:val="none"/>
        </w:rPr>
        <w:t>其他要求</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lang w:val="en-US" w:eastAsia="zh-CN"/>
        </w:rPr>
        <w:t>1.</w:t>
      </w:r>
      <w:r>
        <w:rPr>
          <w:rFonts w:hint="eastAsia" w:ascii="宋体" w:hAnsi="宋体" w:cs="宋体"/>
          <w:sz w:val="24"/>
          <w:highlight w:val="none"/>
        </w:rPr>
        <w:t>第三方检测</w:t>
      </w:r>
    </w:p>
    <w:p>
      <w:pPr>
        <w:pStyle w:val="50"/>
        <w:ind w:firstLine="480"/>
        <w:rPr>
          <w:rFonts w:hint="eastAsia" w:ascii="宋体" w:hAnsi="宋体" w:eastAsia="宋体" w:cs="宋体"/>
          <w:szCs w:val="24"/>
          <w:highlight w:val="none"/>
        </w:rPr>
      </w:pPr>
      <w:r>
        <w:rPr>
          <w:rFonts w:hint="eastAsia" w:ascii="宋体" w:hAnsi="宋体" w:eastAsia="宋体" w:cs="宋体"/>
          <w:szCs w:val="24"/>
          <w:highlight w:val="none"/>
        </w:rPr>
        <w:t>针对本项目范围内的系统功能及性能，聘请国家认可的、具备相应检测资质的第三方单位进行检测，并由本项目的中标单位根据检测结果进行整改，期间产生的相关费用包含在本次项目预算中。</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2.项目质量保证</w:t>
      </w:r>
    </w:p>
    <w:p>
      <w:pPr>
        <w:pStyle w:val="50"/>
        <w:ind w:firstLine="480"/>
        <w:rPr>
          <w:rFonts w:ascii="宋体" w:hAnsi="宋体" w:eastAsia="宋体" w:cs="宋体"/>
          <w:szCs w:val="24"/>
          <w:highlight w:val="none"/>
        </w:rPr>
      </w:pPr>
      <w:r>
        <w:rPr>
          <w:rFonts w:hint="eastAsia" w:ascii="宋体" w:hAnsi="宋体" w:eastAsia="宋体" w:cs="宋体"/>
          <w:szCs w:val="24"/>
          <w:highlight w:val="none"/>
        </w:rPr>
        <w:t>1)投标方须保证所提供产品符合国家有关规定。投标方须保证所提供产品具有合法的版权或使用权，本项目采购的产品，如在本项目范围内使用过程中出现版权或使用权纠纷，应由投标方负责，采购方不承担责任。</w:t>
      </w:r>
    </w:p>
    <w:p>
      <w:pPr>
        <w:pStyle w:val="50"/>
        <w:ind w:firstLine="480"/>
        <w:rPr>
          <w:rFonts w:ascii="宋体" w:hAnsi="宋体" w:eastAsia="宋体" w:cs="宋体"/>
          <w:color w:val="auto"/>
          <w:szCs w:val="24"/>
          <w:highlight w:val="none"/>
        </w:rPr>
      </w:pPr>
      <w:r>
        <w:rPr>
          <w:rFonts w:hint="eastAsia" w:ascii="宋体" w:hAnsi="宋体" w:eastAsia="宋体" w:cs="宋体"/>
          <w:szCs w:val="24"/>
          <w:highlight w:val="none"/>
        </w:rPr>
        <w:t>2)投标方必须保证解决项目所涉及的技术问题，如因技术原因无法满足采购人需求，由此产生的风险</w:t>
      </w:r>
      <w:r>
        <w:rPr>
          <w:rFonts w:hint="eastAsia" w:ascii="宋体" w:hAnsi="宋体" w:eastAsia="宋体" w:cs="宋体"/>
          <w:color w:val="auto"/>
          <w:szCs w:val="24"/>
          <w:highlight w:val="none"/>
        </w:rPr>
        <w:t>由投标人承担。</w:t>
      </w:r>
    </w:p>
    <w:p>
      <w:pPr>
        <w:pStyle w:val="5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3)投标方在质保期内，如遇软件产品升级、改版，应免费提供更新、升级服务。</w:t>
      </w:r>
    </w:p>
    <w:p>
      <w:pPr>
        <w:pStyle w:val="50"/>
        <w:ind w:firstLine="480"/>
        <w:rPr>
          <w:rFonts w:hint="eastAsia" w:asciiTheme="minorEastAsia" w:hAnsiTheme="minorEastAsia" w:eastAsiaTheme="minorEastAsia"/>
          <w:b/>
          <w:sz w:val="24"/>
          <w:lang w:eastAsia="zh-CN"/>
        </w:rPr>
      </w:pPr>
      <w:r>
        <w:rPr>
          <w:rFonts w:hint="eastAsia" w:ascii="宋体" w:hAnsi="宋体" w:eastAsia="宋体" w:cs="宋体"/>
          <w:color w:val="auto"/>
          <w:kern w:val="2"/>
          <w:sz w:val="24"/>
          <w:szCs w:val="24"/>
          <w:highlight w:val="none"/>
          <w:lang w:val="en-US" w:eastAsia="zh-CN" w:bidi="ar-SA"/>
        </w:rPr>
        <w:t>▲3.投标人中标后、项目实施期间，若采购人发现投标人所投产品性能与投标文件有出入，采购人有权要求中标人按照投标文件</w:t>
      </w:r>
      <w:r>
        <w:rPr>
          <w:rFonts w:hint="eastAsia" w:ascii="宋体" w:hAnsi="宋体" w:eastAsia="宋体" w:cs="宋体"/>
          <w:kern w:val="2"/>
          <w:sz w:val="24"/>
          <w:szCs w:val="24"/>
          <w:highlight w:val="none"/>
          <w:lang w:val="en-US" w:eastAsia="zh-CN" w:bidi="ar-SA"/>
        </w:rPr>
        <w:t>指标，免费提供满足投标文件性能指标的产品。</w:t>
      </w:r>
    </w:p>
    <w:p>
      <w:pPr>
        <w:spacing w:line="360" w:lineRule="auto"/>
        <w:ind w:firstLine="482" w:firstLineChars="200"/>
        <w:rPr>
          <w:rFonts w:hint="eastAsia" w:asciiTheme="minorEastAsia" w:hAnsiTheme="minorEastAsia" w:eastAsiaTheme="minorEastAsia"/>
          <w:b/>
          <w:sz w:val="24"/>
        </w:rPr>
      </w:pP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w:t>
      </w:r>
      <w:r>
        <w:rPr>
          <w:rFonts w:hint="eastAsia" w:asciiTheme="minorEastAsia" w:hAnsiTheme="minorEastAsia" w:eastAsiaTheme="minorEastAsia"/>
          <w:b/>
          <w:sz w:val="24"/>
        </w:rPr>
        <w:t>商务需求</w:t>
      </w:r>
    </w:p>
    <w:p>
      <w:pPr>
        <w:pStyle w:val="12"/>
        <w:snapToGrid w:val="0"/>
        <w:spacing w:line="360" w:lineRule="auto"/>
        <w:ind w:firstLine="482" w:firstLineChars="200"/>
        <w:rPr>
          <w:rFonts w:asciiTheme="minorEastAsia" w:hAnsiTheme="minorEastAsia" w:eastAsiaTheme="minorEastAsia"/>
          <w:kern w:val="0"/>
          <w:sz w:val="24"/>
        </w:rPr>
      </w:pPr>
      <w:r>
        <w:rPr>
          <w:rFonts w:hint="eastAsia" w:asciiTheme="minorEastAsia" w:hAnsiTheme="minorEastAsia" w:eastAsiaTheme="minorEastAsia"/>
          <w:b/>
          <w:sz w:val="24"/>
        </w:rPr>
        <w:t>（一）质保期：</w:t>
      </w:r>
      <w:r>
        <w:rPr>
          <w:rFonts w:hint="eastAsia" w:ascii="宋体" w:hAnsi="宋体" w:cs="宋体"/>
          <w:sz w:val="24"/>
          <w:szCs w:val="24"/>
          <w:highlight w:val="none"/>
        </w:rPr>
        <w:t>免费质保期_</w:t>
      </w:r>
      <w:r>
        <w:rPr>
          <w:rFonts w:ascii="宋体" w:hAnsi="宋体" w:cs="宋体"/>
          <w:sz w:val="24"/>
          <w:szCs w:val="24"/>
          <w:highlight w:val="none"/>
        </w:rPr>
        <w:t>5</w:t>
      </w:r>
      <w:r>
        <w:rPr>
          <w:rFonts w:hint="eastAsia" w:ascii="宋体" w:hAnsi="宋体" w:cs="宋体"/>
          <w:sz w:val="24"/>
          <w:szCs w:val="24"/>
          <w:highlight w:val="none"/>
        </w:rPr>
        <w:t>_年（项目终验通过之日起算）</w:t>
      </w:r>
    </w:p>
    <w:p>
      <w:pPr>
        <w:pStyle w:val="12"/>
        <w:snapToGrid w:val="0"/>
        <w:spacing w:line="360" w:lineRule="auto"/>
        <w:ind w:firstLine="482" w:firstLineChars="200"/>
        <w:rPr>
          <w:rFonts w:asciiTheme="minorEastAsia" w:hAnsiTheme="minorEastAsia" w:eastAsiaTheme="minorEastAsia"/>
          <w:kern w:val="0"/>
          <w:sz w:val="24"/>
        </w:rPr>
      </w:pPr>
      <w:r>
        <w:rPr>
          <w:rFonts w:hint="eastAsia" w:asciiTheme="minorEastAsia" w:hAnsiTheme="minorEastAsia" w:eastAsiaTheme="minorEastAsia"/>
          <w:b/>
          <w:kern w:val="0"/>
          <w:sz w:val="24"/>
        </w:rPr>
        <w:t>（二）交货时间及地点：</w:t>
      </w:r>
      <w:r>
        <w:rPr>
          <w:rFonts w:hint="eastAsia" w:asciiTheme="minorEastAsia" w:hAnsiTheme="minorEastAsia" w:eastAsiaTheme="minorEastAsia"/>
          <w:kern w:val="0"/>
          <w:sz w:val="24"/>
        </w:rPr>
        <w:t>同前面“招标项目一览表”内所填的相关内容。</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kern w:val="0"/>
          <w:sz w:val="24"/>
        </w:rPr>
        <w:t>（三）</w:t>
      </w:r>
      <w:r>
        <w:rPr>
          <w:rFonts w:hint="eastAsia" w:asciiTheme="minorEastAsia" w:hAnsiTheme="minorEastAsia" w:eastAsiaTheme="minorEastAsia"/>
          <w:b/>
          <w:sz w:val="24"/>
        </w:rPr>
        <w:t>付款条件：</w:t>
      </w:r>
      <w:r>
        <w:rPr>
          <w:rFonts w:hint="eastAsia" w:ascii="宋体" w:hAnsi="宋体" w:cs="宋体"/>
          <w:sz w:val="24"/>
          <w:szCs w:val="24"/>
          <w:highlight w:val="none"/>
        </w:rPr>
        <w:t>在签订合同后支付合同金额的30%，主要设备到货且满足合同要求后支付合同金额的30%，项目初验后支付合同金额的30%，项目终验通过后支付合同金额的10%。</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（四）履约保证金</w:t>
      </w:r>
      <w:r>
        <w:rPr>
          <w:rFonts w:hint="eastAsia" w:asciiTheme="minorEastAsia" w:hAnsiTheme="minorEastAsia" w:eastAsiaTheme="minorEastAsia"/>
          <w:b/>
          <w:sz w:val="24"/>
          <w:lang w:eastAsia="zh-CN"/>
        </w:rPr>
        <w:t>：</w:t>
      </w:r>
      <w:r>
        <w:rPr>
          <w:rFonts w:hint="eastAsia" w:ascii="宋体" w:hAnsi="宋体" w:cs="宋体"/>
          <w:sz w:val="24"/>
          <w:szCs w:val="24"/>
          <w:highlight w:val="none"/>
        </w:rPr>
        <w:t>中标签订合同后，中标人需支付合同金额的5%作为履约保证金，履约保证金在质保期满后15个工作日内无息退还（扣除相应违约金）。</w:t>
      </w:r>
    </w:p>
    <w:p>
      <w:pPr>
        <w:snapToGrid w:val="0"/>
        <w:spacing w:line="360" w:lineRule="auto"/>
        <w:ind w:firstLine="480" w:firstLineChars="200"/>
        <w:rPr>
          <w:rFonts w:asciiTheme="minorEastAsia" w:hAnsiTheme="minorEastAsia" w:eastAsiaTheme="minorEastAsia" w:cstheme="minorEastAsia"/>
          <w:sz w:val="24"/>
        </w:rPr>
      </w:pPr>
    </w:p>
    <w:p>
      <w:pPr>
        <w:pStyle w:val="2"/>
        <w:rPr>
          <w:rFonts w:asciiTheme="minorEastAsia" w:hAnsiTheme="minorEastAsia" w:eastAsiaTheme="minorEastAsia" w:cstheme="minorEastAsia"/>
          <w:sz w:val="24"/>
        </w:rPr>
      </w:pPr>
    </w:p>
    <w:p>
      <w:pPr>
        <w:pStyle w:val="3"/>
        <w:rPr>
          <w:rFonts w:asciiTheme="minorEastAsia" w:hAnsiTheme="minorEastAsia" w:eastAsiaTheme="minorEastAsia" w:cstheme="minorEastAsia"/>
          <w:sz w:val="24"/>
        </w:rPr>
      </w:pPr>
    </w:p>
    <w:p>
      <w:pPr>
        <w:pStyle w:val="4"/>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pStyle w:val="2"/>
        <w:rPr>
          <w:rFonts w:asciiTheme="minorEastAsia" w:hAnsiTheme="minorEastAsia" w:eastAsiaTheme="minorEastAsia" w:cstheme="minorEastAsia"/>
          <w:sz w:val="24"/>
        </w:rPr>
      </w:pPr>
    </w:p>
    <w:p>
      <w:pPr>
        <w:pStyle w:val="3"/>
        <w:rPr>
          <w:rFonts w:asciiTheme="minorEastAsia" w:hAnsiTheme="minorEastAsia" w:eastAsiaTheme="minorEastAsia" w:cstheme="minorEastAsia"/>
          <w:sz w:val="24"/>
        </w:rPr>
      </w:pPr>
    </w:p>
    <w:p>
      <w:pPr>
        <w:pStyle w:val="4"/>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pStyle w:val="2"/>
        <w:rPr>
          <w:rFonts w:asciiTheme="minorEastAsia" w:hAnsiTheme="minorEastAsia" w:eastAsiaTheme="minorEastAsia" w:cstheme="minorEastAsia"/>
          <w:sz w:val="24"/>
        </w:rPr>
      </w:pPr>
    </w:p>
    <w:p>
      <w:pPr>
        <w:pStyle w:val="3"/>
        <w:rPr>
          <w:rFonts w:asciiTheme="minorEastAsia" w:hAnsiTheme="minorEastAsia" w:eastAsiaTheme="minorEastAsia" w:cstheme="minorEastAsia"/>
          <w:sz w:val="24"/>
        </w:rPr>
      </w:pPr>
    </w:p>
    <w:p>
      <w:pPr>
        <w:pStyle w:val="4"/>
      </w:pPr>
    </w:p>
    <w:p>
      <w:pPr>
        <w:pStyle w:val="3"/>
        <w:rPr>
          <w:rFonts w:asciiTheme="minorEastAsia" w:hAnsiTheme="minorEastAsia" w:eastAsiaTheme="minorEastAsia" w:cstheme="minorEastAsia"/>
          <w:sz w:val="24"/>
        </w:rPr>
      </w:pPr>
    </w:p>
    <w:p>
      <w:pPr>
        <w:pStyle w:val="4"/>
      </w:pPr>
    </w:p>
    <w:p>
      <w:pPr>
        <w:pStyle w:val="12"/>
        <w:tabs>
          <w:tab w:val="left" w:pos="630"/>
        </w:tabs>
        <w:snapToGrid w:val="0"/>
        <w:spacing w:line="360" w:lineRule="auto"/>
        <w:jc w:val="center"/>
        <w:rPr>
          <w:rFonts w:asciiTheme="minorEastAsia" w:hAnsiTheme="minorEastAsia" w:eastAsiaTheme="minorEastAsia"/>
          <w:b/>
          <w:sz w:val="32"/>
          <w:szCs w:val="32"/>
        </w:rPr>
      </w:pPr>
      <w:bookmarkStart w:id="39" w:name="_Toc31173_WPSOffice_Level1"/>
      <w:r>
        <w:rPr>
          <w:rFonts w:hint="eastAsia" w:cs="Times New Roman" w:asciiTheme="minorEastAsia" w:hAnsiTheme="minorEastAsia" w:eastAsiaTheme="minorEastAsia"/>
          <w:b/>
          <w:sz w:val="36"/>
          <w:szCs w:val="36"/>
        </w:rPr>
        <w:t>第四章  评标</w:t>
      </w:r>
      <w:bookmarkEnd w:id="39"/>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19"/>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9"/>
        <w:spacing w:line="360" w:lineRule="auto"/>
        <w:ind w:firstLine="480" w:firstLineChars="200"/>
        <w:rPr>
          <w:rFonts w:asciiTheme="minorEastAsia" w:hAnsiTheme="minorEastAsia" w:eastAsiaTheme="minorEastAsia"/>
          <w:szCs w:val="21"/>
        </w:rPr>
      </w:pPr>
      <w:r>
        <w:rPr>
          <w:rFonts w:hint="eastAsia" w:asciiTheme="minorEastAsia" w:hAnsiTheme="minorEastAsia" w:eastAsiaTheme="minorEastAsia"/>
          <w:sz w:val="24"/>
        </w:rPr>
        <w:t>6.法律法规规定的其他职责。</w:t>
      </w:r>
    </w:p>
    <w:p>
      <w:pPr>
        <w:pStyle w:val="18"/>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（一）在资格证明文件或商务与技术文件中出现投标报价的，或者报价文件中报价的货物跟商务与技术文件中的投标货物出现重大偏差的；</w:t>
      </w:r>
    </w:p>
    <w:p>
      <w:pPr>
        <w:pStyle w:val="18"/>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10"/>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1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（六）主要性能参数指标负偏离 </w:t>
      </w:r>
      <w:r>
        <w:rPr>
          <w:rFonts w:hint="eastAsia" w:asciiTheme="minorEastAsia" w:hAnsiTheme="minorEastAsia" w:eastAsiaTheme="minorEastAsia"/>
          <w:kern w:val="0"/>
          <w:sz w:val="24"/>
          <w:lang w:val="en-US" w:eastAsia="zh-CN"/>
        </w:rPr>
        <w:t>6</w:t>
      </w:r>
      <w:r>
        <w:rPr>
          <w:rFonts w:hint="eastAsia" w:asciiTheme="minorEastAsia" w:hAnsiTheme="minorEastAsia" w:eastAsiaTheme="minorEastAsia"/>
          <w:kern w:val="0"/>
          <w:sz w:val="24"/>
        </w:rPr>
        <w:t xml:space="preserve"> 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8"/>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9"/>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rPr>
        <w:t>（十一）商务</w:t>
      </w:r>
      <w:r>
        <w:rPr>
          <w:rFonts w:hint="eastAsia" w:ascii="宋体" w:hAnsi="宋体" w:cs="宋体"/>
          <w:sz w:val="24"/>
          <w:szCs w:val="24"/>
        </w:rPr>
        <w:t>条款不响应的；</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（十二）投标文件有效期不足的；</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（十三）逾期或未按要求提交投标文件的；</w:t>
      </w:r>
    </w:p>
    <w:p>
      <w:pPr>
        <w:pStyle w:val="9"/>
        <w:spacing w:line="360" w:lineRule="auto"/>
        <w:ind w:firstLine="480" w:firstLineChars="200"/>
        <w:rPr>
          <w:rFonts w:asciiTheme="minorEastAsia" w:hAnsiTheme="minorEastAsia"/>
          <w:kern w:val="0"/>
          <w:sz w:val="24"/>
        </w:rPr>
      </w:pPr>
      <w:r>
        <w:rPr>
          <w:rFonts w:hint="eastAsia" w:asciiTheme="minorEastAsia" w:hAnsiTheme="minorEastAsia" w:eastAsiaTheme="minorEastAsia"/>
          <w:kern w:val="0"/>
          <w:sz w:val="24"/>
        </w:rPr>
        <w:t>（十四）其他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8"/>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2"/>
        <w:snapToGrid w:val="0"/>
        <w:spacing w:line="360" w:lineRule="auto"/>
        <w:ind w:firstLine="482" w:firstLineChars="200"/>
        <w:rPr>
          <w:rFonts w:hAnsi="宋体" w:cs="宋体"/>
          <w:b/>
          <w:sz w:val="24"/>
        </w:rPr>
      </w:pPr>
      <w:r>
        <w:rPr>
          <w:rFonts w:hint="eastAsia" w:hAnsi="宋体" w:cs="宋体"/>
          <w:b/>
          <w:sz w:val="24"/>
        </w:rPr>
        <w:t>六、评标过程的监控</w:t>
      </w:r>
    </w:p>
    <w:p>
      <w:pPr>
        <w:pStyle w:val="18"/>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2"/>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见附件18</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18</w:t>
      </w:r>
      <w:r>
        <w:rPr>
          <w:rFonts w:hint="eastAsia" w:ascii="宋体"/>
          <w:sz w:val="24"/>
          <w:lang w:val="zh-CN"/>
        </w:rPr>
        <w:t>），视同小型、微型企业，享受小微企业政府采购优惠政策；</w:t>
      </w:r>
    </w:p>
    <w:p>
      <w:pPr>
        <w:pStyle w:val="10"/>
        <w:spacing w:line="360" w:lineRule="auto"/>
        <w:ind w:firstLine="480" w:firstLineChars="200"/>
        <w:jc w:val="both"/>
        <w:rPr>
          <w:rFonts w:ascii="宋体" w:hAnsi="宋体" w:cs="宋体"/>
          <w:sz w:val="24"/>
        </w:rPr>
      </w:pPr>
      <w:r>
        <w:rPr>
          <w:rFonts w:hint="eastAsia" w:ascii="宋体"/>
          <w:sz w:val="24"/>
        </w:rPr>
        <w:t>4.</w:t>
      </w:r>
      <w:r>
        <w:rPr>
          <w:rFonts w:hint="eastAsia" w:ascii="宋体" w:hAnsi="宋体" w:cs="宋体"/>
          <w:sz w:val="24"/>
        </w:rPr>
        <w:t>投标产品中有符合最新一期行政主管部门公布的“节能产品政府采购品目清单”、“环境标志产品政府采购品目清单”标准的节能环保产品，应提供所投产品由国家确定的认证机关出具的节能产品、环保产品有效认证证书【特别提示：节能和环境标志产品最新一期政府采购品目清单，可在“中国政府采购网”中查看】；</w:t>
      </w:r>
    </w:p>
    <w:p>
      <w:pPr>
        <w:pStyle w:val="10"/>
        <w:spacing w:line="360" w:lineRule="auto"/>
        <w:ind w:firstLine="480" w:firstLineChars="200"/>
        <w:jc w:val="both"/>
        <w:rPr>
          <w:rFonts w:ascii="宋体" w:hAnsi="宋体" w:cs="宋体"/>
          <w:sz w:val="24"/>
        </w:rPr>
      </w:pPr>
      <w:r>
        <w:rPr>
          <w:rFonts w:hint="eastAsia" w:ascii="宋体" w:hAnsi="宋体" w:cs="宋体"/>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 6 %-10%的扣除，用扣除后的价格计算评标基准价和投标报价。联合体各方均为小微企业的，联合体视同为小微企业，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 6 %-10%的扣除；联合协议或者分包意向协议约定小微企业的合同份额占到合同总金额 30%以上的，</w:t>
      </w:r>
      <w:r>
        <w:rPr>
          <w:rFonts w:hint="eastAsia" w:ascii="宋体"/>
          <w:color w:val="000000"/>
          <w:sz w:val="24"/>
        </w:rPr>
        <w:t>对报价</w:t>
      </w:r>
      <w:r>
        <w:rPr>
          <w:rFonts w:hint="eastAsia" w:ascii="宋体"/>
          <w:color w:val="000000"/>
          <w:sz w:val="24"/>
          <w:lang w:val="zh-CN"/>
        </w:rPr>
        <w:t>给予2%</w:t>
      </w:r>
      <w:r>
        <w:rPr>
          <w:rFonts w:hint="eastAsia" w:ascii="宋体"/>
          <w:color w:val="000000"/>
          <w:sz w:val="24"/>
        </w:rPr>
        <w:t>-3%</w:t>
      </w:r>
      <w:r>
        <w:rPr>
          <w:rFonts w:hint="eastAsia" w:ascii="宋体"/>
          <w:color w:val="000000"/>
          <w:sz w:val="24"/>
          <w:lang w:val="zh-CN"/>
        </w:rPr>
        <w:t>的价格扣除，用扣除后的价格计算评标基准价和响应报价</w:t>
      </w:r>
      <w:r>
        <w:rPr>
          <w:rFonts w:hint="eastAsia" w:ascii="宋体"/>
          <w:sz w:val="24"/>
          <w:lang w:val="zh-CN"/>
        </w:rPr>
        <w:t>。同一投标人（包括联合体），小微企业、监狱企业、残疾人福利性单位价格扣除优惠只享受一次，不得重复享受。</w:t>
      </w:r>
    </w:p>
    <w:p>
      <w:pPr>
        <w:pStyle w:val="12"/>
        <w:snapToGrid w:val="0"/>
        <w:spacing w:line="360" w:lineRule="auto"/>
        <w:ind w:firstLine="482" w:firstLineChars="200"/>
        <w:rPr>
          <w:rFonts w:hAnsi="宋体" w:cs="宋体"/>
          <w:b/>
          <w:bCs/>
          <w:sz w:val="24"/>
        </w:rPr>
      </w:pPr>
      <w:r>
        <w:rPr>
          <w:rFonts w:hint="eastAsia" w:hAnsi="宋体" w:cs="宋体"/>
          <w:b/>
          <w:bCs/>
          <w:sz w:val="24"/>
        </w:rPr>
        <w:t>八、评标程序</w:t>
      </w:r>
    </w:p>
    <w:p>
      <w:pPr>
        <w:snapToGrid w:val="0"/>
        <w:spacing w:line="360" w:lineRule="auto"/>
        <w:ind w:firstLine="482" w:firstLineChars="200"/>
        <w:rPr>
          <w:rFonts w:ascii="宋体" w:hAnsi="宋体" w:cs="宋体"/>
          <w:b/>
          <w:bCs/>
          <w:sz w:val="24"/>
        </w:rPr>
      </w:pPr>
      <w:r>
        <w:rPr>
          <w:rFonts w:hint="eastAsia" w:ascii="宋体" w:hAnsi="宋体" w:cs="宋体"/>
          <w:b/>
          <w:bCs/>
          <w:sz w:val="24"/>
        </w:rPr>
        <w:t>（一）资格性审查</w:t>
      </w:r>
    </w:p>
    <w:p>
      <w:pPr>
        <w:pStyle w:val="10"/>
        <w:spacing w:line="360" w:lineRule="auto"/>
        <w:ind w:firstLine="480" w:firstLineChars="200"/>
        <w:jc w:val="both"/>
        <w:rPr>
          <w:rFonts w:ascii="宋体" w:hAnsi="宋体" w:cs="宋体"/>
          <w:sz w:val="24"/>
        </w:rPr>
      </w:pPr>
      <w:r>
        <w:rPr>
          <w:rFonts w:hint="eastAsia" w:ascii="宋体" w:hAnsi="宋体" w:cs="宋体"/>
          <w:sz w:val="24"/>
        </w:rPr>
        <w:t>投标文件解密后，采购人或采购组织机构依法对投标人的资格进行审查，对审查发现无效的进行必要的询问，在政采云平台公布无效投标的投标人名单、投标无效的原因。</w:t>
      </w:r>
    </w:p>
    <w:tbl>
      <w:tblPr>
        <w:tblStyle w:val="20"/>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694" w:type="dxa"/>
            <w:shd w:val="clear" w:color="auto" w:fill="auto"/>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pPr>
            <w:r>
              <w:rPr>
                <w:rFonts w:hint="eastAsia"/>
              </w:rPr>
              <w:t>具有独立承担民事责任的能力</w:t>
            </w:r>
          </w:p>
        </w:tc>
        <w:tc>
          <w:tcPr>
            <w:tcW w:w="7495" w:type="dxa"/>
            <w:shd w:val="clear" w:color="auto" w:fill="auto"/>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pPr>
            <w:r>
              <w:rPr>
                <w:rFonts w:hint="eastAsia"/>
              </w:rPr>
              <w:t>在中华人民共和国境内注册的法人或其他组织或自然人，投标时提交有效的营业执照（或事业法人登记证或身份证等相关证明）扫描件（以联合体形式投标时，联合体各方均须满足该条款）。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1694" w:type="dxa"/>
            <w:shd w:val="clear" w:color="auto" w:fill="auto"/>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pPr>
            <w:r>
              <w:rPr>
                <w:rFonts w:hint="eastAsia"/>
              </w:rPr>
              <w:t>有依法缴纳税收和社会保障资金的良好记录</w:t>
            </w:r>
          </w:p>
        </w:tc>
        <w:tc>
          <w:tcPr>
            <w:tcW w:w="7495" w:type="dxa"/>
            <w:shd w:val="clear" w:color="auto" w:fill="auto"/>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pPr>
            <w:r>
              <w:rPr>
                <w:rFonts w:hint="eastAsia"/>
              </w:rPr>
              <w:t>提供投标截止日前6个月内任意1个月依法缴纳税收和社会保障资金的相关材料。如依法免税或不需要缴纳社会保障资金的，提供相应证明材料（以联合体形式投标时，联合体各方均须满足该条款）。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694" w:type="dxa"/>
            <w:shd w:val="clear" w:color="auto" w:fill="auto"/>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pPr>
            <w:r>
              <w:rPr>
                <w:rFonts w:hint="eastAsia"/>
              </w:rPr>
              <w:t>具有良好的商业信誉和健全的财务会计制度</w:t>
            </w:r>
          </w:p>
        </w:tc>
        <w:tc>
          <w:tcPr>
            <w:tcW w:w="7495" w:type="dxa"/>
            <w:shd w:val="clear" w:color="auto" w:fill="auto"/>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pPr>
            <w:r>
              <w:rPr>
                <w:rFonts w:hint="eastAsia"/>
              </w:rPr>
              <w:t>提供上一年度财务状况报告或基本开户行出具的资信证明（以联合体形式投标时，联合体各方均须满足该条款）。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694" w:type="dxa"/>
            <w:shd w:val="clear" w:color="auto" w:fill="auto"/>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pPr>
            <w:r>
              <w:rPr>
                <w:rFonts w:hint="eastAsia"/>
              </w:rPr>
              <w:t>履行合同所必需的设备和专业技术能力</w:t>
            </w:r>
          </w:p>
        </w:tc>
        <w:tc>
          <w:tcPr>
            <w:tcW w:w="7495" w:type="dxa"/>
            <w:shd w:val="clear" w:color="auto" w:fill="auto"/>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pPr>
            <w:r>
              <w:rPr>
                <w:rFonts w:hint="eastAsia"/>
              </w:rPr>
              <w:t>按投标文件格式填报设备及专业技术能力情况（根据附件5《投标人基本情况表》和附件6《项目实施人员一览表》填报）。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2" w:hRule="atLeast"/>
          <w:jc w:val="center"/>
        </w:trPr>
        <w:tc>
          <w:tcPr>
            <w:tcW w:w="1694" w:type="dxa"/>
            <w:shd w:val="clear" w:color="auto" w:fill="auto"/>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pPr>
            <w:r>
              <w:rPr>
                <w:rFonts w:hint="eastAsia"/>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pPr>
            <w:r>
              <w:rPr>
                <w:rFonts w:hint="eastAsia"/>
              </w:rPr>
              <w:t>参照投标</w:t>
            </w:r>
            <w:r>
              <w:rPr>
                <w:rFonts w:hint="eastAsia"/>
                <w:szCs w:val="21"/>
              </w:rPr>
              <w:t>声明</w:t>
            </w:r>
            <w:r>
              <w:rPr>
                <w:rFonts w:hint="eastAsia"/>
              </w:rPr>
              <w:t>书相关承诺内容。重大违法记录，是指投标人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1" w:hRule="atLeast"/>
          <w:jc w:val="center"/>
        </w:trPr>
        <w:tc>
          <w:tcPr>
            <w:tcW w:w="1694" w:type="dxa"/>
            <w:shd w:val="clear" w:color="auto" w:fill="auto"/>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pPr>
            <w:r>
              <w:rPr>
                <w:rFonts w:hint="eastAsia"/>
              </w:rPr>
              <w:t>信用记录</w:t>
            </w:r>
          </w:p>
        </w:tc>
        <w:tc>
          <w:tcPr>
            <w:tcW w:w="7495" w:type="dxa"/>
            <w:shd w:val="clear" w:color="auto" w:fill="auto"/>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auto"/>
              <w:rPr>
                <w:rFonts w:ascii="宋体" w:hAnsi="宋体" w:cs="宋体"/>
                <w:szCs w:val="21"/>
              </w:rPr>
            </w:pPr>
            <w:r>
              <w:rPr>
                <w:rFonts w:hint="eastAsia"/>
              </w:rPr>
              <w:t>1.</w:t>
            </w:r>
            <w:r>
              <w:t>截止时点：</w:t>
            </w:r>
            <w:r>
              <w:rPr>
                <w:rFonts w:hint="eastAsia"/>
              </w:rPr>
              <w:t>开标后评标前</w:t>
            </w:r>
            <w: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pPr>
            <w:r>
              <w:rPr>
                <w:rFonts w:hint="eastAsia"/>
              </w:rPr>
              <w:t>2.</w:t>
            </w:r>
            <w:r>
              <w:t>信用信息查询记录和证据留存的具体方式：由采购组织机构在规定查询时间内打印信用信息查询记录并归入项目档案。</w:t>
            </w:r>
            <w:r>
              <w:br w:type="textWrapping"/>
            </w:r>
            <w:r>
              <w:rPr>
                <w:rFonts w:hint="eastAsia"/>
              </w:rPr>
              <w:t xml:space="preserve">    3.</w:t>
            </w:r>
            <w:r>
              <w:t>使用规则</w:t>
            </w:r>
            <w:r>
              <w:rPr>
                <w:rFonts w:hint="eastAsia"/>
              </w:rPr>
              <w:t>：投标人</w:t>
            </w:r>
            <w:r>
              <w:t>未被列入“信用中国”失信被执行人或重大税收违法案件当事人名单；</w:t>
            </w:r>
            <w:r>
              <w:rPr>
                <w:rFonts w:hint="eastAsia"/>
              </w:rPr>
              <w:t>未</w:t>
            </w:r>
            <w:r>
              <w:t>处于“中国政府采购网”政府采购严重违法失信行为信息记录中的禁止参加政府采购活动期间（以联合体形式投标时，联合体各方均须满足该条款）</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jc w:val="center"/>
        </w:trPr>
        <w:tc>
          <w:tcPr>
            <w:tcW w:w="1694" w:type="dxa"/>
            <w:shd w:val="clear" w:color="auto" w:fill="auto"/>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pPr>
            <w:r>
              <w:rPr>
                <w:rFonts w:hint="eastAsia"/>
              </w:rPr>
              <w:t>必须符合法律、行政法规规定的其他条件</w:t>
            </w:r>
          </w:p>
        </w:tc>
        <w:tc>
          <w:tcPr>
            <w:tcW w:w="7495" w:type="dxa"/>
            <w:shd w:val="clear" w:color="auto" w:fill="auto"/>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pPr>
            <w:r>
              <w:rPr>
                <w:rFonts w:hint="eastAsia"/>
              </w:rPr>
              <w:t>1.单位负责人为同一人或者存在直接控股、管理关系的不同供应商，不得同时参加本项目投标。</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pPr>
            <w:r>
              <w:rPr>
                <w:rFonts w:hint="eastAsia"/>
              </w:rPr>
              <w:t>2.为本项目提供整体设计、规范编制或者项目管理、监理、检测等服务的供应商，不得再参与本项目投标。</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pPr>
            <w:r>
              <w:rPr>
                <w:rFonts w:hint="eastAsia"/>
              </w:rPr>
              <w:t>3.投标（报价）文件相关承诺要求内容（以联合体形式投标时，联合体各方均须满足该条款）。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694" w:type="dxa"/>
            <w:shd w:val="clear" w:color="auto" w:fill="auto"/>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pPr>
            <w:r>
              <w:rPr>
                <w:rFonts w:hint="eastAsia"/>
              </w:rPr>
              <w:t>联合体投标</w:t>
            </w:r>
          </w:p>
        </w:tc>
        <w:tc>
          <w:tcPr>
            <w:tcW w:w="7495" w:type="dxa"/>
            <w:shd w:val="clear" w:color="auto" w:fill="auto"/>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pPr>
            <w:r>
              <w:rPr>
                <w:rFonts w:hint="eastAsia"/>
              </w:rPr>
              <w:t>本项目不接受联合体投标。</w:t>
            </w:r>
          </w:p>
        </w:tc>
      </w:tr>
    </w:tbl>
    <w:p>
      <w:pPr>
        <w:pStyle w:val="10"/>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10"/>
        <w:spacing w:line="360" w:lineRule="auto"/>
        <w:ind w:firstLine="480" w:firstLineChars="200"/>
        <w:jc w:val="both"/>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评标委员会应当对符合资格的投标人的投标文件进行符合性审查，以确定其是否满足招标文件的实质性要求，对审查发现无效的进行必要的询</w:t>
      </w:r>
      <w:r>
        <w:rPr>
          <w:rFonts w:hint="eastAsia" w:asciiTheme="minorEastAsia" w:hAnsiTheme="minorEastAsia" w:eastAsiaTheme="minorEastAsia"/>
          <w:sz w:val="24"/>
        </w:rPr>
        <w:t>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p>
    <w:tbl>
      <w:tblPr>
        <w:tblStyle w:val="20"/>
        <w:tblpPr w:leftFromText="181" w:rightFromText="181" w:bottomFromText="170" w:vertAnchor="text" w:tblpXSpec="center" w:tblpY="1"/>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702" w:type="dxa"/>
            <w:shd w:val="clear" w:color="auto" w:fill="auto"/>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right="146"/>
              <w:textAlignment w:val="auto"/>
              <w:rPr>
                <w:szCs w:val="21"/>
              </w:rPr>
            </w:pPr>
            <w:r>
              <w:rPr>
                <w:rFonts w:hint="eastAsia"/>
                <w:szCs w:val="21"/>
              </w:rPr>
              <w:t>投标文件</w:t>
            </w:r>
          </w:p>
        </w:tc>
        <w:tc>
          <w:tcPr>
            <w:tcW w:w="7476" w:type="dxa"/>
            <w:shd w:val="clear" w:color="auto" w:fill="auto"/>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before="48" w:line="300" w:lineRule="auto"/>
              <w:textAlignment w:val="auto"/>
              <w:rPr>
                <w:szCs w:val="21"/>
              </w:rPr>
            </w:pPr>
            <w:r>
              <w:rPr>
                <w:rFonts w:hint="eastAsia"/>
                <w:szCs w:val="21"/>
              </w:rPr>
              <w:t>投标文件完整且编排有序，投标内容基本完整，无重大错漏，并按要求签署、盖章。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1" w:hRule="atLeast"/>
          <w:jc w:val="center"/>
        </w:trPr>
        <w:tc>
          <w:tcPr>
            <w:tcW w:w="1702" w:type="dxa"/>
            <w:shd w:val="clear" w:color="auto" w:fill="auto"/>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right="146"/>
              <w:textAlignment w:val="auto"/>
              <w:rPr>
                <w:szCs w:val="21"/>
              </w:rPr>
            </w:pPr>
            <w:r>
              <w:rPr>
                <w:rFonts w:hint="eastAsia"/>
                <w:szCs w:val="21"/>
              </w:rPr>
              <w:t>法定代表人/负责人授权委托书</w:t>
            </w:r>
          </w:p>
        </w:tc>
        <w:tc>
          <w:tcPr>
            <w:tcW w:w="7476" w:type="dxa"/>
            <w:shd w:val="clear" w:color="auto" w:fill="auto"/>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before="48" w:line="300" w:lineRule="auto"/>
              <w:textAlignment w:val="auto"/>
              <w:rPr>
                <w:szCs w:val="21"/>
              </w:rPr>
            </w:pPr>
            <w:r>
              <w:rPr>
                <w:rFonts w:hint="eastAsia"/>
                <w:szCs w:val="21"/>
              </w:rPr>
              <w:t>法定代表人/负责人授权委托书，按对应格式文件签署、盖章。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702" w:type="dxa"/>
            <w:shd w:val="clear" w:color="auto" w:fill="auto"/>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right="146"/>
              <w:textAlignment w:val="auto"/>
              <w:rPr>
                <w:szCs w:val="21"/>
              </w:rPr>
            </w:pPr>
            <w:r>
              <w:rPr>
                <w:rFonts w:hint="eastAsia"/>
                <w:szCs w:val="21"/>
              </w:rPr>
              <w:t>“▲”实质性条款</w:t>
            </w:r>
          </w:p>
        </w:tc>
        <w:tc>
          <w:tcPr>
            <w:tcW w:w="7476" w:type="dxa"/>
            <w:shd w:val="clear" w:color="auto" w:fill="auto"/>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before="48" w:line="300" w:lineRule="auto"/>
              <w:textAlignment w:val="auto"/>
              <w:rPr>
                <w:szCs w:val="21"/>
              </w:rPr>
            </w:pPr>
            <w:r>
              <w:rPr>
                <w:rFonts w:hint="eastAsia"/>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702" w:type="dxa"/>
            <w:shd w:val="clear" w:color="auto" w:fill="auto"/>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right="146"/>
              <w:textAlignment w:val="auto"/>
              <w:rPr>
                <w:szCs w:val="21"/>
              </w:rPr>
            </w:pPr>
            <w:r>
              <w:rPr>
                <w:rFonts w:hint="eastAsia"/>
                <w:szCs w:val="21"/>
              </w:rPr>
              <w:t>串通投标</w:t>
            </w:r>
          </w:p>
        </w:tc>
        <w:tc>
          <w:tcPr>
            <w:tcW w:w="7476" w:type="dxa"/>
            <w:shd w:val="clear" w:color="auto" w:fill="auto"/>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before="48" w:line="300" w:lineRule="auto"/>
              <w:textAlignment w:val="auto"/>
              <w:rPr>
                <w:szCs w:val="21"/>
              </w:rPr>
            </w:pPr>
            <w:r>
              <w:rPr>
                <w:rFonts w:hint="eastAsia"/>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702" w:type="dxa"/>
            <w:shd w:val="clear" w:color="auto" w:fill="auto"/>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right="146"/>
              <w:textAlignment w:val="auto"/>
              <w:rPr>
                <w:szCs w:val="21"/>
              </w:rPr>
            </w:pPr>
            <w:r>
              <w:rPr>
                <w:rFonts w:hint="eastAsia"/>
                <w:szCs w:val="21"/>
              </w:rPr>
              <w:t>附加条件</w:t>
            </w:r>
          </w:p>
        </w:tc>
        <w:tc>
          <w:tcPr>
            <w:tcW w:w="7476" w:type="dxa"/>
            <w:shd w:val="clear" w:color="auto" w:fill="auto"/>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before="48" w:line="300" w:lineRule="auto"/>
              <w:textAlignment w:val="auto"/>
              <w:rPr>
                <w:szCs w:val="21"/>
              </w:rPr>
            </w:pPr>
            <w:r>
              <w:rPr>
                <w:rFonts w:hint="eastAsia"/>
                <w:szCs w:val="21"/>
              </w:rPr>
              <w:t>投标文件未含有采购人不可接受的附加条件。</w:t>
            </w:r>
          </w:p>
        </w:tc>
      </w:tr>
    </w:tbl>
    <w:p>
      <w:pPr>
        <w:pStyle w:val="10"/>
        <w:spacing w:line="360" w:lineRule="auto"/>
        <w:ind w:firstLine="480" w:firstLineChars="200"/>
        <w:jc w:val="both"/>
        <w:rPr>
          <w:rFonts w:hint="default" w:asciiTheme="minorEastAsia" w:hAnsiTheme="minorEastAsia" w:eastAsiaTheme="minorEastAsia"/>
          <w:b w:val="0"/>
          <w:bCs w:val="0"/>
          <w:sz w:val="24"/>
        </w:rPr>
      </w:pPr>
      <w:r>
        <w:rPr>
          <w:rFonts w:hint="eastAsia" w:asciiTheme="minorEastAsia" w:hAnsiTheme="minorEastAsia" w:eastAsiaTheme="minorEastAsia"/>
          <w:b w:val="0"/>
          <w:bCs w:val="0"/>
          <w:sz w:val="24"/>
        </w:rPr>
        <w:t>（三）商务技术及价格评审</w:t>
      </w:r>
    </w:p>
    <w:p>
      <w:pPr>
        <w:autoSpaceDE w:val="0"/>
        <w:autoSpaceDN w:val="0"/>
        <w:spacing w:line="360" w:lineRule="auto"/>
        <w:ind w:firstLine="480" w:firstLineChars="200"/>
        <w:rPr>
          <w:rFonts w:asciiTheme="minorEastAsia" w:hAnsiTheme="minorEastAsia" w:eastAsiaTheme="minorEastAsia"/>
          <w:sz w:val="24"/>
        </w:rPr>
      </w:pPr>
      <w:r>
        <w:rPr>
          <w:rFonts w:hint="eastAsia" w:ascii="宋体" w:hAnsi="宋体" w:cs="宋体" w:eastAsiaTheme="minorEastAsia"/>
          <w:sz w:val="24"/>
          <w:u w:val="none"/>
          <w:lang w:eastAsia="zh-CN"/>
        </w:rPr>
        <w:t>本</w:t>
      </w:r>
      <w:r>
        <w:rPr>
          <w:rFonts w:hint="eastAsia" w:asciiTheme="minorEastAsia" w:hAnsiTheme="minorEastAsia" w:eastAsiaTheme="minorEastAsia"/>
          <w:kern w:val="0"/>
          <w:sz w:val="24"/>
        </w:rPr>
        <w:t>项目评标方法为综合评分法，总计100分，评标按以下标准及要求进行：</w:t>
      </w:r>
    </w:p>
    <w:p>
      <w:pPr>
        <w:numPr>
          <w:ilvl w:val="0"/>
          <w:numId w:val="7"/>
        </w:numPr>
        <w:autoSpaceDE w:val="0"/>
        <w:autoSpaceDN w:val="0"/>
        <w:adjustRightInd w:val="0"/>
        <w:spacing w:line="360" w:lineRule="auto"/>
        <w:ind w:firstLine="482" w:firstLineChars="200"/>
        <w:rPr>
          <w:rFonts w:hint="eastAsia"/>
        </w:rPr>
      </w:pPr>
      <w:r>
        <w:rPr>
          <w:rFonts w:hint="eastAsia" w:ascii="宋体"/>
          <w:b/>
          <w:bCs/>
          <w:sz w:val="24"/>
        </w:rPr>
        <w:t>评分标准</w:t>
      </w:r>
    </w:p>
    <w:tbl>
      <w:tblPr>
        <w:tblStyle w:val="20"/>
        <w:tblW w:w="9239"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743"/>
        <w:gridCol w:w="6797"/>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41"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评分项目</w:t>
            </w:r>
          </w:p>
        </w:tc>
        <w:tc>
          <w:tcPr>
            <w:tcW w:w="7540" w:type="dxa"/>
            <w:gridSpan w:val="2"/>
            <w:vAlign w:val="center"/>
          </w:tcPr>
          <w:p>
            <w:pPr>
              <w:widowControl/>
              <w:jc w:val="center"/>
              <w:rPr>
                <w:rFonts w:ascii="宋体" w:hAnsi="宋体" w:cs="宋体"/>
                <w:color w:val="000000"/>
                <w:kern w:val="0"/>
                <w:sz w:val="24"/>
              </w:rPr>
            </w:pPr>
            <w:r>
              <w:rPr>
                <w:rFonts w:hint="eastAsia" w:ascii="宋体" w:hAnsi="宋体" w:cs="宋体"/>
                <w:color w:val="000000"/>
                <w:kern w:val="0"/>
                <w:sz w:val="24"/>
              </w:rPr>
              <w:t>评分细则</w:t>
            </w:r>
          </w:p>
        </w:tc>
        <w:tc>
          <w:tcPr>
            <w:tcW w:w="858"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trPr>
        <w:tc>
          <w:tcPr>
            <w:tcW w:w="841" w:type="dxa"/>
            <w:vMerge w:val="restart"/>
            <w:vAlign w:val="center"/>
          </w:tcPr>
          <w:p>
            <w:pPr>
              <w:widowControl/>
              <w:jc w:val="center"/>
              <w:rPr>
                <w:rFonts w:ascii="宋体" w:hAnsi="宋体" w:cs="宋体"/>
                <w:color w:val="000000"/>
                <w:kern w:val="0"/>
                <w:sz w:val="24"/>
              </w:rPr>
            </w:pPr>
            <w:r>
              <w:rPr>
                <w:rFonts w:hint="eastAsia" w:ascii="宋体" w:hAnsi="宋体" w:cs="宋体"/>
                <w:color w:val="000000"/>
                <w:kern w:val="0"/>
                <w:sz w:val="24"/>
              </w:rPr>
              <w:t>技术方案及设备性能</w:t>
            </w:r>
            <w:r>
              <w:rPr>
                <w:rFonts w:hint="eastAsia" w:ascii="宋体" w:hAnsi="宋体" w:cs="宋体"/>
                <w:color w:val="000000"/>
                <w:kern w:val="0"/>
                <w:sz w:val="24"/>
                <w:lang w:val="en-US" w:eastAsia="zh-CN"/>
              </w:rPr>
              <w:t>52</w:t>
            </w:r>
            <w:r>
              <w:rPr>
                <w:rFonts w:hint="eastAsia" w:ascii="宋体" w:hAnsi="宋体" w:cs="宋体"/>
                <w:color w:val="000000"/>
                <w:kern w:val="0"/>
                <w:sz w:val="24"/>
              </w:rPr>
              <w:t>分</w:t>
            </w:r>
          </w:p>
        </w:tc>
        <w:tc>
          <w:tcPr>
            <w:tcW w:w="743" w:type="dxa"/>
            <w:vMerge w:val="restart"/>
            <w:vAlign w:val="center"/>
          </w:tcPr>
          <w:p>
            <w:pPr>
              <w:widowControl/>
              <w:jc w:val="center"/>
              <w:rPr>
                <w:rFonts w:ascii="宋体" w:hAnsi="宋体" w:cs="宋体"/>
                <w:color w:val="000000"/>
                <w:kern w:val="0"/>
                <w:sz w:val="24"/>
              </w:rPr>
            </w:pPr>
            <w:r>
              <w:rPr>
                <w:rFonts w:hint="eastAsia" w:ascii="宋体" w:hAnsi="宋体" w:cs="宋体"/>
                <w:color w:val="000000"/>
                <w:kern w:val="0"/>
                <w:sz w:val="24"/>
              </w:rPr>
              <w:t>技术方案</w:t>
            </w:r>
          </w:p>
        </w:tc>
        <w:tc>
          <w:tcPr>
            <w:tcW w:w="6797" w:type="dxa"/>
            <w:vAlign w:val="center"/>
          </w:tcPr>
          <w:p>
            <w:pPr>
              <w:widowControl/>
              <w:rPr>
                <w:rFonts w:hint="eastAsia" w:ascii="宋体" w:hAnsi="宋体" w:cs="宋体"/>
                <w:color w:val="auto"/>
                <w:kern w:val="0"/>
                <w:sz w:val="24"/>
              </w:rPr>
            </w:pPr>
            <w:r>
              <w:rPr>
                <w:rFonts w:hint="eastAsia" w:ascii="宋体" w:hAnsi="宋体" w:cs="宋体"/>
                <w:color w:val="000000"/>
                <w:kern w:val="0"/>
                <w:sz w:val="24"/>
              </w:rPr>
              <w:t>根据产品功能、同类产品品牌一致性、响应程度、兼容性等方面进行综合评</w:t>
            </w:r>
            <w:r>
              <w:rPr>
                <w:rFonts w:hint="eastAsia" w:ascii="宋体" w:hAnsi="宋体" w:cs="宋体"/>
                <w:color w:val="auto"/>
                <w:kern w:val="0"/>
                <w:sz w:val="24"/>
              </w:rPr>
              <w:t>分。</w:t>
            </w:r>
          </w:p>
          <w:p>
            <w:pPr>
              <w:widowControl/>
              <w:rPr>
                <w:rFonts w:ascii="宋体" w:hAnsi="宋体" w:cs="宋体"/>
                <w:color w:val="auto"/>
                <w:kern w:val="0"/>
                <w:sz w:val="24"/>
              </w:rPr>
            </w:pPr>
            <w:r>
              <w:rPr>
                <w:rFonts w:hint="eastAsia" w:ascii="宋体" w:hAnsi="宋体" w:cs="宋体"/>
                <w:color w:val="auto"/>
                <w:kern w:val="0"/>
                <w:sz w:val="24"/>
              </w:rPr>
              <w:t>（1）总体方案的功能强、同类产品品牌一致性高、响应程度高、兼容性高的为一档12-</w:t>
            </w:r>
            <w:r>
              <w:rPr>
                <w:rFonts w:hint="eastAsia" w:ascii="宋体" w:hAnsi="宋体" w:cs="宋体"/>
                <w:color w:val="auto"/>
                <w:kern w:val="0"/>
                <w:sz w:val="24"/>
                <w:lang w:val="en-US" w:eastAsia="zh-CN"/>
              </w:rPr>
              <w:t>8</w:t>
            </w:r>
            <w:r>
              <w:rPr>
                <w:rFonts w:hint="eastAsia" w:ascii="宋体" w:hAnsi="宋体" w:cs="宋体"/>
                <w:color w:val="auto"/>
                <w:kern w:val="0"/>
                <w:sz w:val="24"/>
              </w:rPr>
              <w:t>.1分；</w:t>
            </w:r>
          </w:p>
          <w:p>
            <w:pPr>
              <w:widowControl/>
              <w:rPr>
                <w:rFonts w:hint="eastAsia" w:ascii="宋体" w:hAnsi="宋体" w:eastAsia="宋体" w:cs="宋体"/>
                <w:color w:val="auto"/>
                <w:kern w:val="0"/>
                <w:sz w:val="24"/>
                <w:lang w:eastAsia="zh-CN"/>
              </w:rPr>
            </w:pPr>
            <w:r>
              <w:rPr>
                <w:rFonts w:hint="eastAsia" w:ascii="宋体" w:hAnsi="宋体" w:cs="宋体"/>
                <w:color w:val="auto"/>
                <w:kern w:val="0"/>
                <w:sz w:val="24"/>
              </w:rPr>
              <w:t>（2）总体方案的功能较强、同类产品品牌一致性较高、响应程度较高、兼容性较高的为二档</w:t>
            </w:r>
            <w:r>
              <w:rPr>
                <w:rFonts w:hint="eastAsia" w:ascii="宋体" w:hAnsi="宋体" w:cs="宋体"/>
                <w:color w:val="auto"/>
                <w:kern w:val="0"/>
                <w:sz w:val="24"/>
                <w:lang w:val="en-US" w:eastAsia="zh-CN"/>
              </w:rPr>
              <w:t>8</w:t>
            </w:r>
            <w:r>
              <w:rPr>
                <w:rFonts w:hint="eastAsia" w:ascii="宋体" w:hAnsi="宋体" w:cs="宋体"/>
                <w:color w:val="auto"/>
                <w:kern w:val="0"/>
                <w:sz w:val="24"/>
              </w:rPr>
              <w:t>-</w:t>
            </w:r>
            <w:r>
              <w:rPr>
                <w:rFonts w:hint="eastAsia" w:ascii="宋体" w:hAnsi="宋体" w:cs="宋体"/>
                <w:color w:val="auto"/>
                <w:kern w:val="0"/>
                <w:sz w:val="24"/>
                <w:lang w:val="en-US" w:eastAsia="zh-CN"/>
              </w:rPr>
              <w:t>4</w:t>
            </w:r>
            <w:r>
              <w:rPr>
                <w:rFonts w:hint="eastAsia" w:ascii="宋体" w:hAnsi="宋体" w:cs="宋体"/>
                <w:color w:val="auto"/>
                <w:kern w:val="0"/>
                <w:sz w:val="24"/>
              </w:rPr>
              <w:t>.1分</w:t>
            </w:r>
            <w:r>
              <w:rPr>
                <w:rFonts w:hint="eastAsia" w:ascii="宋体" w:hAnsi="宋体" w:cs="宋体"/>
                <w:color w:val="auto"/>
                <w:kern w:val="0"/>
                <w:sz w:val="24"/>
                <w:lang w:eastAsia="zh-CN"/>
              </w:rPr>
              <w:t>；</w:t>
            </w:r>
          </w:p>
          <w:p>
            <w:pPr>
              <w:widowControl/>
              <w:rPr>
                <w:rFonts w:ascii="宋体" w:hAnsi="宋体" w:cs="宋体"/>
                <w:color w:val="000000"/>
                <w:kern w:val="0"/>
                <w:sz w:val="24"/>
              </w:rPr>
            </w:pPr>
            <w:r>
              <w:rPr>
                <w:rFonts w:hint="eastAsia" w:ascii="宋体" w:hAnsi="宋体" w:cs="宋体"/>
                <w:color w:val="auto"/>
                <w:kern w:val="0"/>
                <w:sz w:val="24"/>
              </w:rPr>
              <w:t>（3）总体方案的功能较差、同类产品品牌一致性较差、响应程度较差、兼容性较差的为三档</w:t>
            </w:r>
            <w:r>
              <w:rPr>
                <w:rFonts w:hint="eastAsia" w:ascii="宋体" w:hAnsi="宋体" w:cs="宋体"/>
                <w:color w:val="auto"/>
                <w:kern w:val="0"/>
                <w:sz w:val="24"/>
                <w:lang w:val="en-US" w:eastAsia="zh-CN"/>
              </w:rPr>
              <w:t>4</w:t>
            </w:r>
            <w:r>
              <w:rPr>
                <w:rFonts w:hint="eastAsia" w:ascii="宋体" w:hAnsi="宋体" w:cs="宋体"/>
                <w:color w:val="auto"/>
                <w:kern w:val="0"/>
                <w:sz w:val="24"/>
              </w:rPr>
              <w:t>-0分。</w:t>
            </w:r>
          </w:p>
        </w:tc>
        <w:tc>
          <w:tcPr>
            <w:tcW w:w="858"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841" w:type="dxa"/>
            <w:vMerge w:val="continue"/>
            <w:vAlign w:val="center"/>
          </w:tcPr>
          <w:p>
            <w:pPr>
              <w:widowControl/>
              <w:jc w:val="left"/>
              <w:rPr>
                <w:rFonts w:ascii="宋体" w:hAnsi="宋体" w:cs="宋体"/>
                <w:color w:val="000000"/>
                <w:kern w:val="0"/>
                <w:sz w:val="24"/>
              </w:rPr>
            </w:pPr>
          </w:p>
        </w:tc>
        <w:tc>
          <w:tcPr>
            <w:tcW w:w="743" w:type="dxa"/>
            <w:vMerge w:val="restart"/>
            <w:vAlign w:val="center"/>
          </w:tcPr>
          <w:p>
            <w:pPr>
              <w:widowControl/>
              <w:jc w:val="center"/>
              <w:rPr>
                <w:rFonts w:ascii="宋体" w:hAnsi="宋体" w:cs="宋体"/>
                <w:color w:val="000000"/>
                <w:kern w:val="0"/>
                <w:sz w:val="24"/>
              </w:rPr>
            </w:pPr>
            <w:r>
              <w:rPr>
                <w:rFonts w:hint="eastAsia" w:ascii="宋体" w:hAnsi="宋体" w:cs="宋体"/>
                <w:color w:val="000000"/>
                <w:kern w:val="0"/>
                <w:sz w:val="24"/>
              </w:rPr>
              <w:t>性能指标</w:t>
            </w:r>
          </w:p>
        </w:tc>
        <w:tc>
          <w:tcPr>
            <w:tcW w:w="6797" w:type="dxa"/>
            <w:vAlign w:val="center"/>
          </w:tcPr>
          <w:p>
            <w:pPr>
              <w:widowControl/>
              <w:rPr>
                <w:rFonts w:ascii="宋体" w:hAnsi="宋体" w:cs="宋体"/>
                <w:color w:val="auto"/>
                <w:kern w:val="0"/>
                <w:sz w:val="24"/>
              </w:rPr>
            </w:pPr>
            <w:r>
              <w:rPr>
                <w:rFonts w:hint="eastAsia" w:ascii="宋体" w:hAnsi="宋体" w:cs="宋体"/>
                <w:color w:val="auto"/>
                <w:kern w:val="0"/>
                <w:sz w:val="24"/>
              </w:rPr>
              <w:t>根据所投视频结构化服务器对招标文件技术参数的满足程度评分；完全满足的得满分，产品功能及性能每项不满足扣3分，处理器、内存、硬盘不满足的每项扣2分，其他性能指标不满足的每项扣1分，直到扣完为止；如</w:t>
            </w:r>
            <w:r>
              <w:rPr>
                <w:rFonts w:hint="eastAsia" w:ascii="宋体" w:hAnsi="宋体" w:cs="宋体"/>
                <w:color w:val="auto"/>
                <w:kern w:val="0"/>
                <w:sz w:val="24"/>
                <w:lang w:eastAsia="zh-CN"/>
              </w:rPr>
              <w:t>投标</w:t>
            </w:r>
            <w:r>
              <w:rPr>
                <w:rFonts w:hint="eastAsia" w:ascii="宋体" w:hAnsi="宋体" w:cs="宋体"/>
                <w:color w:val="auto"/>
                <w:kern w:val="0"/>
                <w:sz w:val="24"/>
              </w:rPr>
              <w:t>时缺项，则视同负偏离处理。</w:t>
            </w:r>
          </w:p>
        </w:tc>
        <w:tc>
          <w:tcPr>
            <w:tcW w:w="858"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841" w:type="dxa"/>
            <w:vMerge w:val="continue"/>
            <w:vAlign w:val="center"/>
          </w:tcPr>
          <w:p>
            <w:pPr>
              <w:widowControl/>
              <w:jc w:val="left"/>
              <w:rPr>
                <w:rFonts w:ascii="宋体" w:hAnsi="宋体" w:cs="宋体"/>
                <w:color w:val="000000"/>
                <w:kern w:val="0"/>
                <w:sz w:val="24"/>
              </w:rPr>
            </w:pPr>
          </w:p>
        </w:tc>
        <w:tc>
          <w:tcPr>
            <w:tcW w:w="743" w:type="dxa"/>
            <w:vMerge w:val="continue"/>
            <w:vAlign w:val="center"/>
          </w:tcPr>
          <w:p>
            <w:pPr>
              <w:widowControl/>
              <w:jc w:val="left"/>
              <w:rPr>
                <w:rFonts w:ascii="宋体" w:hAnsi="宋体" w:cs="宋体"/>
                <w:color w:val="000000"/>
                <w:kern w:val="0"/>
                <w:sz w:val="24"/>
              </w:rPr>
            </w:pPr>
          </w:p>
        </w:tc>
        <w:tc>
          <w:tcPr>
            <w:tcW w:w="6797" w:type="dxa"/>
            <w:vAlign w:val="center"/>
          </w:tcPr>
          <w:p>
            <w:pPr>
              <w:widowControl/>
              <w:rPr>
                <w:rFonts w:ascii="宋体" w:hAnsi="宋体" w:cs="宋体"/>
                <w:color w:val="auto"/>
                <w:kern w:val="0"/>
                <w:sz w:val="24"/>
              </w:rPr>
            </w:pPr>
            <w:r>
              <w:rPr>
                <w:rFonts w:hint="eastAsia" w:ascii="宋体" w:hAnsi="宋体" w:cs="宋体"/>
                <w:color w:val="auto"/>
                <w:kern w:val="0"/>
                <w:sz w:val="24"/>
              </w:rPr>
              <w:t>根据所投云数据库服务器对招标文件技术参数的满足程度评分；完全满足的得满分，产品功能及性能每项不满足扣</w:t>
            </w:r>
            <w:r>
              <w:rPr>
                <w:rFonts w:ascii="宋体" w:hAnsi="宋体" w:cs="宋体"/>
                <w:color w:val="auto"/>
                <w:kern w:val="0"/>
                <w:sz w:val="24"/>
              </w:rPr>
              <w:t>2</w:t>
            </w:r>
            <w:r>
              <w:rPr>
                <w:rFonts w:hint="eastAsia" w:ascii="宋体" w:hAnsi="宋体" w:cs="宋体"/>
                <w:color w:val="auto"/>
                <w:kern w:val="0"/>
                <w:sz w:val="24"/>
              </w:rPr>
              <w:t>分，处理器、内存、硬盘不满足的每项扣2分，其他性能指标不满足的每项扣1分，直到扣完为止；如</w:t>
            </w:r>
            <w:r>
              <w:rPr>
                <w:rFonts w:hint="eastAsia" w:ascii="宋体" w:hAnsi="宋体" w:cs="宋体"/>
                <w:color w:val="auto"/>
                <w:kern w:val="0"/>
                <w:sz w:val="24"/>
                <w:lang w:eastAsia="zh-CN"/>
              </w:rPr>
              <w:t>投标</w:t>
            </w:r>
            <w:r>
              <w:rPr>
                <w:rFonts w:hint="eastAsia" w:ascii="宋体" w:hAnsi="宋体" w:cs="宋体"/>
                <w:color w:val="auto"/>
                <w:kern w:val="0"/>
                <w:sz w:val="24"/>
              </w:rPr>
              <w:t>时缺项，则视同负偏离处理。</w:t>
            </w:r>
          </w:p>
        </w:tc>
        <w:tc>
          <w:tcPr>
            <w:tcW w:w="858"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841" w:type="dxa"/>
            <w:vMerge w:val="continue"/>
            <w:vAlign w:val="center"/>
          </w:tcPr>
          <w:p>
            <w:pPr>
              <w:widowControl/>
              <w:jc w:val="left"/>
              <w:rPr>
                <w:rFonts w:ascii="宋体" w:hAnsi="宋体" w:cs="宋体"/>
                <w:color w:val="000000"/>
                <w:kern w:val="0"/>
                <w:sz w:val="24"/>
              </w:rPr>
            </w:pPr>
          </w:p>
        </w:tc>
        <w:tc>
          <w:tcPr>
            <w:tcW w:w="743" w:type="dxa"/>
            <w:vMerge w:val="continue"/>
            <w:vAlign w:val="center"/>
          </w:tcPr>
          <w:p>
            <w:pPr>
              <w:widowControl/>
              <w:jc w:val="left"/>
              <w:rPr>
                <w:rFonts w:ascii="宋体" w:hAnsi="宋体" w:cs="宋体"/>
                <w:color w:val="000000"/>
                <w:kern w:val="0"/>
                <w:sz w:val="24"/>
              </w:rPr>
            </w:pPr>
          </w:p>
        </w:tc>
        <w:tc>
          <w:tcPr>
            <w:tcW w:w="6797" w:type="dxa"/>
            <w:vAlign w:val="center"/>
          </w:tcPr>
          <w:p>
            <w:pPr>
              <w:widowControl/>
              <w:rPr>
                <w:rFonts w:ascii="宋体" w:hAnsi="宋体" w:cs="宋体"/>
                <w:color w:val="auto"/>
                <w:kern w:val="0"/>
                <w:sz w:val="24"/>
              </w:rPr>
            </w:pPr>
            <w:r>
              <w:rPr>
                <w:rFonts w:hint="eastAsia" w:ascii="宋体" w:hAnsi="宋体" w:cs="宋体"/>
                <w:color w:val="auto"/>
                <w:kern w:val="0"/>
                <w:sz w:val="24"/>
              </w:rPr>
              <w:t>根据所投视频流标注服务器对招标文件技术参数的满足程度评分；完全满足的得满分，产品功能及性能每项不满足扣1分，处理器、内存、硬盘不满足的每项扣1分，其他性能指标不满足的每项扣0.5分，直到扣完为止；如</w:t>
            </w:r>
            <w:r>
              <w:rPr>
                <w:rFonts w:hint="eastAsia" w:ascii="宋体" w:hAnsi="宋体" w:cs="宋体"/>
                <w:color w:val="auto"/>
                <w:kern w:val="0"/>
                <w:sz w:val="24"/>
                <w:lang w:eastAsia="zh-CN"/>
              </w:rPr>
              <w:t>投标</w:t>
            </w:r>
            <w:r>
              <w:rPr>
                <w:rFonts w:hint="eastAsia" w:ascii="宋体" w:hAnsi="宋体" w:cs="宋体"/>
                <w:color w:val="auto"/>
                <w:kern w:val="0"/>
                <w:sz w:val="24"/>
              </w:rPr>
              <w:t>时缺项，则视同负偏离处理。</w:t>
            </w:r>
          </w:p>
        </w:tc>
        <w:tc>
          <w:tcPr>
            <w:tcW w:w="858"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trPr>
        <w:tc>
          <w:tcPr>
            <w:tcW w:w="841" w:type="dxa"/>
            <w:vMerge w:val="continue"/>
            <w:vAlign w:val="center"/>
          </w:tcPr>
          <w:p>
            <w:pPr>
              <w:widowControl/>
              <w:jc w:val="left"/>
              <w:rPr>
                <w:rFonts w:ascii="宋体" w:hAnsi="宋体" w:cs="宋体"/>
                <w:color w:val="000000"/>
                <w:kern w:val="0"/>
                <w:sz w:val="24"/>
              </w:rPr>
            </w:pPr>
          </w:p>
        </w:tc>
        <w:tc>
          <w:tcPr>
            <w:tcW w:w="743" w:type="dxa"/>
            <w:vMerge w:val="continue"/>
            <w:vAlign w:val="center"/>
          </w:tcPr>
          <w:p>
            <w:pPr>
              <w:widowControl/>
              <w:jc w:val="left"/>
              <w:rPr>
                <w:rFonts w:ascii="宋体" w:hAnsi="宋体" w:cs="宋体"/>
                <w:color w:val="000000"/>
                <w:kern w:val="0"/>
                <w:sz w:val="24"/>
              </w:rPr>
            </w:pPr>
          </w:p>
        </w:tc>
        <w:tc>
          <w:tcPr>
            <w:tcW w:w="6797" w:type="dxa"/>
            <w:vAlign w:val="center"/>
          </w:tcPr>
          <w:p>
            <w:pPr>
              <w:widowControl/>
              <w:rPr>
                <w:rFonts w:ascii="宋体" w:hAnsi="宋体" w:cs="宋体"/>
                <w:color w:val="auto"/>
                <w:kern w:val="0"/>
                <w:sz w:val="24"/>
              </w:rPr>
            </w:pPr>
            <w:r>
              <w:rPr>
                <w:rFonts w:hint="eastAsia" w:ascii="宋体" w:hAnsi="宋体" w:cs="宋体"/>
                <w:color w:val="auto"/>
                <w:kern w:val="0"/>
                <w:sz w:val="24"/>
              </w:rPr>
              <w:t>根据所投系统优于【性能要求】的指标进行加分：</w:t>
            </w:r>
          </w:p>
          <w:p>
            <w:pPr>
              <w:widowControl/>
              <w:rPr>
                <w:rFonts w:ascii="宋体" w:hAnsi="宋体" w:cs="宋体"/>
                <w:color w:val="auto"/>
                <w:kern w:val="0"/>
                <w:sz w:val="24"/>
              </w:rPr>
            </w:pPr>
            <w:r>
              <w:rPr>
                <w:rFonts w:hint="eastAsia" w:ascii="宋体" w:hAnsi="宋体" w:cs="宋体"/>
                <w:color w:val="auto"/>
                <w:kern w:val="0"/>
                <w:sz w:val="24"/>
              </w:rPr>
              <w:t>1、汇聚数据转发能力每增加2000万条，</w:t>
            </w:r>
            <w:r>
              <w:rPr>
                <w:rFonts w:hint="eastAsia" w:ascii="宋体" w:hAnsi="宋体" w:cs="宋体"/>
                <w:color w:val="auto"/>
                <w:kern w:val="0"/>
                <w:sz w:val="24"/>
                <w:lang w:eastAsia="zh-CN"/>
              </w:rPr>
              <w:t>得</w:t>
            </w:r>
            <w:r>
              <w:rPr>
                <w:rFonts w:hint="eastAsia" w:ascii="宋体" w:hAnsi="宋体" w:cs="宋体"/>
                <w:color w:val="auto"/>
                <w:kern w:val="0"/>
                <w:sz w:val="24"/>
              </w:rPr>
              <w:t>0</w:t>
            </w:r>
            <w:r>
              <w:rPr>
                <w:rFonts w:ascii="宋体" w:hAnsi="宋体" w:cs="宋体"/>
                <w:color w:val="auto"/>
                <w:kern w:val="0"/>
                <w:sz w:val="24"/>
              </w:rPr>
              <w:t>.5分</w:t>
            </w:r>
            <w:r>
              <w:rPr>
                <w:rFonts w:hint="eastAsia" w:ascii="宋体" w:hAnsi="宋体" w:cs="宋体"/>
                <w:color w:val="auto"/>
                <w:kern w:val="0"/>
                <w:sz w:val="24"/>
              </w:rPr>
              <w:t>，</w:t>
            </w:r>
            <w:r>
              <w:rPr>
                <w:rFonts w:ascii="宋体" w:hAnsi="宋体" w:cs="宋体"/>
                <w:color w:val="auto"/>
                <w:kern w:val="0"/>
                <w:sz w:val="24"/>
              </w:rPr>
              <w:t>最高</w:t>
            </w:r>
            <w:r>
              <w:rPr>
                <w:rFonts w:hint="eastAsia" w:ascii="宋体" w:hAnsi="宋体" w:cs="宋体"/>
                <w:color w:val="auto"/>
                <w:kern w:val="0"/>
                <w:sz w:val="24"/>
              </w:rPr>
              <w:t>1分；</w:t>
            </w:r>
          </w:p>
          <w:p>
            <w:pPr>
              <w:widowControl/>
              <w:rPr>
                <w:rFonts w:ascii="宋体" w:hAnsi="宋体" w:cs="宋体"/>
                <w:color w:val="auto"/>
                <w:kern w:val="0"/>
                <w:sz w:val="24"/>
              </w:rPr>
            </w:pPr>
            <w:r>
              <w:rPr>
                <w:rFonts w:hint="eastAsia" w:ascii="宋体" w:hAnsi="宋体" w:cs="宋体"/>
                <w:color w:val="auto"/>
                <w:kern w:val="0"/>
                <w:sz w:val="24"/>
              </w:rPr>
              <w:t>2、结构化存储能力每增加10亿条，</w:t>
            </w:r>
            <w:r>
              <w:rPr>
                <w:rFonts w:hint="eastAsia" w:ascii="宋体" w:hAnsi="宋体" w:cs="宋体"/>
                <w:color w:val="auto"/>
                <w:kern w:val="0"/>
                <w:sz w:val="24"/>
                <w:lang w:eastAsia="zh-CN"/>
              </w:rPr>
              <w:t>得</w:t>
            </w:r>
            <w:r>
              <w:rPr>
                <w:rFonts w:hint="eastAsia" w:ascii="宋体" w:hAnsi="宋体" w:cs="宋体"/>
                <w:color w:val="auto"/>
                <w:kern w:val="0"/>
                <w:sz w:val="24"/>
              </w:rPr>
              <w:t>0.</w:t>
            </w:r>
            <w:r>
              <w:rPr>
                <w:rFonts w:ascii="宋体" w:hAnsi="宋体" w:cs="宋体"/>
                <w:color w:val="auto"/>
                <w:kern w:val="0"/>
                <w:sz w:val="24"/>
              </w:rPr>
              <w:t>2</w:t>
            </w:r>
            <w:r>
              <w:rPr>
                <w:rFonts w:hint="eastAsia" w:ascii="宋体" w:hAnsi="宋体" w:cs="宋体"/>
                <w:color w:val="auto"/>
                <w:kern w:val="0"/>
                <w:sz w:val="24"/>
              </w:rPr>
              <w:t>分，最高1分；</w:t>
            </w:r>
          </w:p>
          <w:p>
            <w:pPr>
              <w:widowControl/>
              <w:rPr>
                <w:rFonts w:ascii="宋体" w:hAnsi="宋体" w:cs="宋体"/>
                <w:color w:val="auto"/>
                <w:kern w:val="0"/>
                <w:sz w:val="24"/>
              </w:rPr>
            </w:pPr>
            <w:r>
              <w:rPr>
                <w:rFonts w:ascii="宋体" w:hAnsi="宋体" w:cs="宋体"/>
                <w:color w:val="auto"/>
                <w:kern w:val="0"/>
                <w:sz w:val="24"/>
              </w:rPr>
              <w:t>3</w:t>
            </w:r>
            <w:r>
              <w:rPr>
                <w:rFonts w:hint="eastAsia" w:ascii="宋体" w:hAnsi="宋体" w:cs="宋体"/>
                <w:color w:val="auto"/>
                <w:kern w:val="0"/>
                <w:sz w:val="24"/>
              </w:rPr>
              <w:t>、1080P视频流结构化分析路数，每额外提供1</w:t>
            </w:r>
            <w:r>
              <w:rPr>
                <w:rFonts w:ascii="宋体" w:hAnsi="宋体" w:cs="宋体"/>
                <w:color w:val="auto"/>
                <w:kern w:val="0"/>
                <w:sz w:val="24"/>
              </w:rPr>
              <w:t>2</w:t>
            </w:r>
            <w:r>
              <w:rPr>
                <w:rFonts w:hint="eastAsia" w:ascii="宋体" w:hAnsi="宋体" w:cs="宋体"/>
                <w:color w:val="auto"/>
                <w:kern w:val="0"/>
                <w:sz w:val="24"/>
              </w:rPr>
              <w:t>8路，</w:t>
            </w:r>
            <w:r>
              <w:rPr>
                <w:rFonts w:hint="eastAsia" w:ascii="宋体" w:hAnsi="宋体" w:cs="宋体"/>
                <w:color w:val="auto"/>
                <w:kern w:val="0"/>
                <w:sz w:val="24"/>
                <w:lang w:eastAsia="zh-CN"/>
              </w:rPr>
              <w:t>得</w:t>
            </w:r>
            <w:r>
              <w:rPr>
                <w:rFonts w:hint="eastAsia" w:ascii="宋体" w:hAnsi="宋体" w:cs="宋体"/>
                <w:color w:val="auto"/>
                <w:kern w:val="0"/>
                <w:sz w:val="24"/>
              </w:rPr>
              <w:t>0.5分，最高</w:t>
            </w:r>
            <w:r>
              <w:rPr>
                <w:rFonts w:ascii="宋体" w:hAnsi="宋体" w:cs="宋体"/>
                <w:color w:val="auto"/>
                <w:kern w:val="0"/>
                <w:sz w:val="24"/>
              </w:rPr>
              <w:t>3</w:t>
            </w:r>
            <w:r>
              <w:rPr>
                <w:rFonts w:hint="eastAsia" w:ascii="宋体" w:hAnsi="宋体" w:cs="宋体"/>
                <w:color w:val="auto"/>
                <w:kern w:val="0"/>
                <w:sz w:val="24"/>
              </w:rPr>
              <w:t>分；</w:t>
            </w:r>
          </w:p>
          <w:p>
            <w:pPr>
              <w:widowControl/>
              <w:rPr>
                <w:rFonts w:ascii="宋体" w:hAnsi="宋体" w:cs="宋体"/>
                <w:color w:val="auto"/>
                <w:kern w:val="0"/>
                <w:sz w:val="24"/>
              </w:rPr>
            </w:pPr>
            <w:r>
              <w:rPr>
                <w:rFonts w:ascii="宋体" w:hAnsi="宋体" w:cs="宋体"/>
                <w:color w:val="auto"/>
                <w:kern w:val="0"/>
                <w:sz w:val="24"/>
              </w:rPr>
              <w:t>4</w:t>
            </w:r>
            <w:r>
              <w:rPr>
                <w:rFonts w:hint="eastAsia" w:ascii="宋体" w:hAnsi="宋体" w:cs="宋体"/>
                <w:color w:val="auto"/>
                <w:kern w:val="0"/>
                <w:sz w:val="24"/>
              </w:rPr>
              <w:t>、以图搜图秒级查询能力每增加3000万张，</w:t>
            </w:r>
            <w:r>
              <w:rPr>
                <w:rFonts w:hint="eastAsia" w:ascii="宋体" w:hAnsi="宋体" w:cs="宋体"/>
                <w:color w:val="auto"/>
                <w:kern w:val="0"/>
                <w:sz w:val="24"/>
                <w:lang w:eastAsia="zh-CN"/>
              </w:rPr>
              <w:t>得</w:t>
            </w:r>
            <w:r>
              <w:rPr>
                <w:rFonts w:hint="eastAsia" w:ascii="宋体" w:hAnsi="宋体" w:cs="宋体"/>
                <w:color w:val="auto"/>
                <w:kern w:val="0"/>
                <w:sz w:val="24"/>
              </w:rPr>
              <w:t>0.5分，最高1分；</w:t>
            </w:r>
          </w:p>
          <w:p>
            <w:pPr>
              <w:widowControl/>
              <w:rPr>
                <w:rFonts w:hint="eastAsia" w:ascii="宋体" w:hAnsi="宋体" w:cs="宋体"/>
                <w:color w:val="auto"/>
                <w:kern w:val="0"/>
                <w:sz w:val="24"/>
              </w:rPr>
            </w:pPr>
            <w:r>
              <w:rPr>
                <w:rFonts w:ascii="宋体" w:hAnsi="宋体" w:cs="宋体"/>
                <w:color w:val="auto"/>
                <w:kern w:val="0"/>
                <w:sz w:val="24"/>
              </w:rPr>
              <w:t>5</w:t>
            </w:r>
            <w:r>
              <w:rPr>
                <w:rFonts w:hint="eastAsia" w:ascii="宋体" w:hAnsi="宋体" w:cs="宋体"/>
                <w:color w:val="auto"/>
                <w:kern w:val="0"/>
                <w:sz w:val="24"/>
              </w:rPr>
              <w:t>、视频流标注路数，每额外提供24路，</w:t>
            </w:r>
            <w:r>
              <w:rPr>
                <w:rFonts w:hint="eastAsia" w:ascii="宋体" w:hAnsi="宋体" w:cs="宋体"/>
                <w:color w:val="auto"/>
                <w:kern w:val="0"/>
                <w:sz w:val="24"/>
                <w:lang w:eastAsia="zh-CN"/>
              </w:rPr>
              <w:t>得</w:t>
            </w:r>
            <w:r>
              <w:rPr>
                <w:rFonts w:hint="eastAsia" w:ascii="宋体" w:hAnsi="宋体" w:cs="宋体"/>
                <w:color w:val="auto"/>
                <w:kern w:val="0"/>
                <w:sz w:val="24"/>
              </w:rPr>
              <w:t>1分，最高</w:t>
            </w:r>
            <w:r>
              <w:rPr>
                <w:rFonts w:ascii="宋体" w:hAnsi="宋体" w:cs="宋体"/>
                <w:color w:val="auto"/>
                <w:kern w:val="0"/>
                <w:sz w:val="24"/>
              </w:rPr>
              <w:t>2</w:t>
            </w:r>
            <w:r>
              <w:rPr>
                <w:rFonts w:hint="eastAsia" w:ascii="宋体" w:hAnsi="宋体" w:cs="宋体"/>
                <w:color w:val="auto"/>
                <w:kern w:val="0"/>
                <w:sz w:val="24"/>
              </w:rPr>
              <w:t>分；</w:t>
            </w:r>
          </w:p>
        </w:tc>
        <w:tc>
          <w:tcPr>
            <w:tcW w:w="858" w:type="dxa"/>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trPr>
        <w:tc>
          <w:tcPr>
            <w:tcW w:w="841" w:type="dxa"/>
            <w:vMerge w:val="continue"/>
            <w:vAlign w:val="center"/>
          </w:tcPr>
          <w:p>
            <w:pPr>
              <w:widowControl/>
              <w:jc w:val="left"/>
              <w:rPr>
                <w:rFonts w:ascii="宋体" w:hAnsi="宋体" w:cs="宋体"/>
                <w:color w:val="000000"/>
                <w:kern w:val="0"/>
                <w:sz w:val="24"/>
              </w:rPr>
            </w:pPr>
          </w:p>
        </w:tc>
        <w:tc>
          <w:tcPr>
            <w:tcW w:w="743" w:type="dxa"/>
            <w:vMerge w:val="restart"/>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项目管理和实施方案</w:t>
            </w:r>
          </w:p>
        </w:tc>
        <w:tc>
          <w:tcPr>
            <w:tcW w:w="6797" w:type="dxa"/>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1、根据服务器的到货计划、与采购单位的对接配合分工情况进行打分：</w:t>
            </w:r>
          </w:p>
          <w:p>
            <w:pPr>
              <w:widowControl/>
              <w:jc w:val="left"/>
              <w:rPr>
                <w:rFonts w:ascii="宋体" w:hAnsi="宋体" w:cs="宋体"/>
                <w:color w:val="auto"/>
                <w:kern w:val="0"/>
                <w:sz w:val="24"/>
              </w:rPr>
            </w:pPr>
            <w:r>
              <w:rPr>
                <w:rFonts w:hint="eastAsia" w:ascii="宋体" w:hAnsi="宋体" w:cs="宋体"/>
                <w:color w:val="auto"/>
                <w:kern w:val="0"/>
                <w:sz w:val="24"/>
              </w:rPr>
              <w:t>（1）供货对接方案完整性高，计划安排周密，可行性强的为一档得</w:t>
            </w:r>
            <w:r>
              <w:rPr>
                <w:rFonts w:ascii="宋体" w:hAnsi="宋体" w:cs="宋体"/>
                <w:color w:val="auto"/>
                <w:kern w:val="0"/>
                <w:sz w:val="24"/>
              </w:rPr>
              <w:t>6</w:t>
            </w:r>
            <w:r>
              <w:rPr>
                <w:rFonts w:hint="eastAsia" w:ascii="宋体" w:hAnsi="宋体" w:cs="宋体"/>
                <w:color w:val="auto"/>
                <w:kern w:val="0"/>
                <w:sz w:val="24"/>
              </w:rPr>
              <w:t>-</w:t>
            </w:r>
            <w:r>
              <w:rPr>
                <w:rFonts w:ascii="宋体" w:hAnsi="宋体" w:cs="宋体"/>
                <w:color w:val="auto"/>
                <w:kern w:val="0"/>
                <w:sz w:val="24"/>
              </w:rPr>
              <w:t>4</w:t>
            </w:r>
            <w:r>
              <w:rPr>
                <w:rFonts w:hint="eastAsia" w:ascii="宋体" w:hAnsi="宋体" w:cs="宋体"/>
                <w:color w:val="auto"/>
                <w:kern w:val="0"/>
                <w:sz w:val="24"/>
              </w:rPr>
              <w:t>.</w:t>
            </w:r>
            <w:r>
              <w:rPr>
                <w:rFonts w:hint="eastAsia" w:ascii="宋体" w:hAnsi="宋体" w:cs="宋体"/>
                <w:color w:val="auto"/>
                <w:kern w:val="0"/>
                <w:sz w:val="24"/>
                <w:lang w:val="en-US" w:eastAsia="zh-CN"/>
              </w:rPr>
              <w:t>1</w:t>
            </w:r>
            <w:r>
              <w:rPr>
                <w:rFonts w:hint="eastAsia" w:ascii="宋体" w:hAnsi="宋体" w:cs="宋体"/>
                <w:color w:val="auto"/>
                <w:kern w:val="0"/>
                <w:sz w:val="24"/>
              </w:rPr>
              <w:t>分；</w:t>
            </w:r>
          </w:p>
          <w:p>
            <w:pPr>
              <w:widowControl/>
              <w:jc w:val="left"/>
              <w:rPr>
                <w:rFonts w:ascii="宋体" w:hAnsi="宋体" w:cs="宋体"/>
                <w:color w:val="auto"/>
                <w:kern w:val="0"/>
                <w:sz w:val="24"/>
              </w:rPr>
            </w:pPr>
            <w:r>
              <w:rPr>
                <w:rFonts w:hint="eastAsia" w:ascii="宋体" w:hAnsi="宋体" w:cs="宋体"/>
                <w:color w:val="auto"/>
                <w:kern w:val="0"/>
                <w:sz w:val="24"/>
              </w:rPr>
              <w:t>（2）供货对接方案完整性</w:t>
            </w:r>
            <w:r>
              <w:rPr>
                <w:rFonts w:hint="eastAsia" w:ascii="宋体" w:hAnsi="宋体" w:cs="宋体"/>
                <w:color w:val="auto"/>
                <w:kern w:val="0"/>
                <w:sz w:val="24"/>
                <w:lang w:eastAsia="zh-CN"/>
              </w:rPr>
              <w:t>一般</w:t>
            </w:r>
            <w:r>
              <w:rPr>
                <w:rFonts w:hint="eastAsia" w:ascii="宋体" w:hAnsi="宋体" w:cs="宋体"/>
                <w:color w:val="auto"/>
                <w:kern w:val="0"/>
                <w:sz w:val="24"/>
              </w:rPr>
              <w:t>，计划安排较周密，可行性</w:t>
            </w:r>
            <w:r>
              <w:rPr>
                <w:rFonts w:hint="eastAsia" w:ascii="宋体" w:hAnsi="宋体" w:cs="宋体"/>
                <w:color w:val="auto"/>
                <w:kern w:val="0"/>
                <w:sz w:val="24"/>
                <w:lang w:eastAsia="zh-CN"/>
              </w:rPr>
              <w:t>一般</w:t>
            </w:r>
            <w:r>
              <w:rPr>
                <w:rFonts w:hint="eastAsia" w:ascii="宋体" w:hAnsi="宋体" w:cs="宋体"/>
                <w:color w:val="auto"/>
                <w:kern w:val="0"/>
                <w:sz w:val="24"/>
              </w:rPr>
              <w:t>的为二档得</w:t>
            </w:r>
            <w:r>
              <w:rPr>
                <w:rFonts w:ascii="宋体" w:hAnsi="宋体" w:cs="宋体"/>
                <w:color w:val="auto"/>
                <w:kern w:val="0"/>
                <w:sz w:val="24"/>
              </w:rPr>
              <w:t>4</w:t>
            </w: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w:t>
            </w:r>
            <w:r>
              <w:rPr>
                <w:rFonts w:hint="eastAsia" w:ascii="宋体" w:hAnsi="宋体" w:cs="宋体"/>
                <w:color w:val="auto"/>
                <w:kern w:val="0"/>
                <w:sz w:val="24"/>
                <w:lang w:val="en-US" w:eastAsia="zh-CN"/>
              </w:rPr>
              <w:t>1</w:t>
            </w:r>
            <w:r>
              <w:rPr>
                <w:rFonts w:hint="eastAsia" w:ascii="宋体" w:hAnsi="宋体" w:cs="宋体"/>
                <w:color w:val="auto"/>
                <w:kern w:val="0"/>
                <w:sz w:val="24"/>
              </w:rPr>
              <w:t>分；</w:t>
            </w:r>
          </w:p>
          <w:p>
            <w:pPr>
              <w:widowControl/>
              <w:jc w:val="left"/>
              <w:rPr>
                <w:rFonts w:ascii="宋体" w:hAnsi="宋体" w:cs="宋体"/>
                <w:color w:val="auto"/>
                <w:kern w:val="0"/>
                <w:sz w:val="24"/>
              </w:rPr>
            </w:pPr>
            <w:r>
              <w:rPr>
                <w:rFonts w:hint="eastAsia" w:ascii="宋体" w:hAnsi="宋体" w:cs="宋体"/>
                <w:color w:val="auto"/>
                <w:kern w:val="0"/>
                <w:sz w:val="24"/>
              </w:rPr>
              <w:t>（3）供货对接方案完整性差，计划安排不够周密，可行性差的为三档得</w:t>
            </w:r>
            <w:r>
              <w:rPr>
                <w:rFonts w:ascii="宋体" w:hAnsi="宋体" w:cs="宋体"/>
                <w:color w:val="auto"/>
                <w:kern w:val="0"/>
                <w:sz w:val="24"/>
              </w:rPr>
              <w:t>2</w:t>
            </w:r>
            <w:r>
              <w:rPr>
                <w:rFonts w:hint="eastAsia" w:ascii="宋体" w:hAnsi="宋体" w:cs="宋体"/>
                <w:color w:val="auto"/>
                <w:kern w:val="0"/>
                <w:sz w:val="24"/>
              </w:rPr>
              <w:t>-0分。</w:t>
            </w:r>
          </w:p>
        </w:tc>
        <w:tc>
          <w:tcPr>
            <w:tcW w:w="858" w:type="dxa"/>
            <w:vMerge w:val="restart"/>
            <w:vAlign w:val="center"/>
          </w:tcPr>
          <w:p>
            <w:pPr>
              <w:widowControl/>
              <w:jc w:val="center"/>
              <w:rPr>
                <w:rFonts w:ascii="宋体" w:hAnsi="宋体" w:cs="宋体"/>
                <w:color w:val="000000"/>
                <w:kern w:val="0"/>
                <w:sz w:val="24"/>
                <w:highlight w:val="none"/>
              </w:rPr>
            </w:pPr>
            <w:r>
              <w:rPr>
                <w:rFonts w:ascii="宋体" w:hAnsi="宋体" w:cs="宋体"/>
                <w:color w:val="000000"/>
                <w:kern w:val="0"/>
                <w:sz w:val="24"/>
                <w:highlight w:val="none"/>
              </w:rPr>
              <w:t>6</w:t>
            </w:r>
            <w:r>
              <w:rPr>
                <w:rFonts w:hint="eastAsia" w:ascii="宋体" w:hAnsi="宋体" w:cs="宋体"/>
                <w:color w:val="000000"/>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841" w:type="dxa"/>
            <w:vMerge w:val="continue"/>
            <w:vAlign w:val="center"/>
          </w:tcPr>
          <w:p>
            <w:pPr>
              <w:widowControl/>
              <w:jc w:val="left"/>
              <w:rPr>
                <w:rFonts w:ascii="宋体" w:hAnsi="宋体" w:cs="宋体"/>
                <w:color w:val="000000"/>
                <w:kern w:val="0"/>
                <w:sz w:val="24"/>
              </w:rPr>
            </w:pPr>
          </w:p>
        </w:tc>
        <w:tc>
          <w:tcPr>
            <w:tcW w:w="743" w:type="dxa"/>
            <w:vMerge w:val="continue"/>
            <w:vAlign w:val="center"/>
          </w:tcPr>
          <w:p>
            <w:pPr>
              <w:widowControl/>
              <w:jc w:val="left"/>
              <w:rPr>
                <w:rFonts w:ascii="宋体" w:hAnsi="宋体" w:cs="宋体"/>
                <w:color w:val="000000"/>
                <w:kern w:val="0"/>
                <w:sz w:val="24"/>
              </w:rPr>
            </w:pPr>
          </w:p>
        </w:tc>
        <w:tc>
          <w:tcPr>
            <w:tcW w:w="6797" w:type="dxa"/>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 xml:space="preserve">根据项目组织实施方案，侧重不中断业务扩容进行综合评分： </w:t>
            </w:r>
          </w:p>
          <w:p>
            <w:pPr>
              <w:widowControl/>
              <w:jc w:val="left"/>
              <w:rPr>
                <w:rFonts w:ascii="宋体" w:hAnsi="宋体" w:cs="宋体"/>
                <w:color w:val="auto"/>
                <w:kern w:val="0"/>
                <w:sz w:val="24"/>
              </w:rPr>
            </w:pPr>
            <w:r>
              <w:rPr>
                <w:rFonts w:hint="eastAsia" w:ascii="宋体" w:hAnsi="宋体" w:cs="宋体"/>
                <w:color w:val="auto"/>
                <w:kern w:val="0"/>
                <w:sz w:val="24"/>
              </w:rPr>
              <w:t>（1）项目实施方案全面、完整度高、可行性强的为一档得</w:t>
            </w:r>
            <w:r>
              <w:rPr>
                <w:rFonts w:ascii="宋体" w:hAnsi="宋体" w:cs="宋体"/>
                <w:color w:val="auto"/>
                <w:kern w:val="0"/>
                <w:sz w:val="24"/>
              </w:rPr>
              <w:t>6</w:t>
            </w:r>
            <w:r>
              <w:rPr>
                <w:rFonts w:hint="eastAsia" w:ascii="宋体" w:hAnsi="宋体" w:cs="宋体"/>
                <w:color w:val="auto"/>
                <w:kern w:val="0"/>
                <w:sz w:val="24"/>
              </w:rPr>
              <w:t>-</w:t>
            </w:r>
            <w:r>
              <w:rPr>
                <w:rFonts w:ascii="宋体" w:hAnsi="宋体" w:cs="宋体"/>
                <w:color w:val="auto"/>
                <w:kern w:val="0"/>
                <w:sz w:val="24"/>
              </w:rPr>
              <w:t>4</w:t>
            </w:r>
            <w:r>
              <w:rPr>
                <w:rFonts w:hint="eastAsia" w:ascii="宋体" w:hAnsi="宋体" w:cs="宋体"/>
                <w:color w:val="auto"/>
                <w:kern w:val="0"/>
                <w:sz w:val="24"/>
              </w:rPr>
              <w:t>.</w:t>
            </w:r>
            <w:r>
              <w:rPr>
                <w:rFonts w:hint="eastAsia" w:ascii="宋体" w:hAnsi="宋体" w:cs="宋体"/>
                <w:color w:val="auto"/>
                <w:kern w:val="0"/>
                <w:sz w:val="24"/>
                <w:lang w:val="en-US" w:eastAsia="zh-CN"/>
              </w:rPr>
              <w:t>1</w:t>
            </w:r>
            <w:r>
              <w:rPr>
                <w:rFonts w:hint="eastAsia" w:ascii="宋体" w:hAnsi="宋体" w:cs="宋体"/>
                <w:color w:val="auto"/>
                <w:kern w:val="0"/>
                <w:sz w:val="24"/>
              </w:rPr>
              <w:t>分；</w:t>
            </w:r>
          </w:p>
          <w:p>
            <w:pPr>
              <w:widowControl/>
              <w:jc w:val="left"/>
              <w:rPr>
                <w:rFonts w:ascii="宋体" w:hAnsi="宋体" w:cs="宋体"/>
                <w:color w:val="auto"/>
                <w:kern w:val="0"/>
                <w:sz w:val="24"/>
              </w:rPr>
            </w:pPr>
            <w:r>
              <w:rPr>
                <w:rFonts w:hint="eastAsia" w:ascii="宋体" w:hAnsi="宋体" w:cs="宋体"/>
                <w:color w:val="auto"/>
                <w:kern w:val="0"/>
                <w:sz w:val="24"/>
              </w:rPr>
              <w:t>（2）项目实施方案较全面、完整度</w:t>
            </w:r>
            <w:r>
              <w:rPr>
                <w:rFonts w:hint="eastAsia" w:ascii="宋体" w:hAnsi="宋体" w:cs="宋体"/>
                <w:color w:val="auto"/>
                <w:kern w:val="0"/>
                <w:sz w:val="24"/>
                <w:lang w:eastAsia="zh-CN"/>
              </w:rPr>
              <w:t>一般</w:t>
            </w:r>
            <w:r>
              <w:rPr>
                <w:rFonts w:hint="eastAsia" w:ascii="宋体" w:hAnsi="宋体" w:cs="宋体"/>
                <w:color w:val="auto"/>
                <w:kern w:val="0"/>
                <w:sz w:val="24"/>
              </w:rPr>
              <w:t>、可行性较强的为二档得</w:t>
            </w:r>
            <w:r>
              <w:rPr>
                <w:rFonts w:ascii="宋体" w:hAnsi="宋体" w:cs="宋体"/>
                <w:color w:val="auto"/>
                <w:kern w:val="0"/>
                <w:sz w:val="24"/>
              </w:rPr>
              <w:t>4</w:t>
            </w: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w:t>
            </w:r>
            <w:r>
              <w:rPr>
                <w:rFonts w:hint="eastAsia" w:ascii="宋体" w:hAnsi="宋体" w:cs="宋体"/>
                <w:color w:val="auto"/>
                <w:kern w:val="0"/>
                <w:sz w:val="24"/>
                <w:lang w:val="en-US" w:eastAsia="zh-CN"/>
              </w:rPr>
              <w:t>1</w:t>
            </w:r>
            <w:r>
              <w:rPr>
                <w:rFonts w:hint="eastAsia" w:ascii="宋体" w:hAnsi="宋体" w:cs="宋体"/>
                <w:color w:val="auto"/>
                <w:kern w:val="0"/>
                <w:sz w:val="24"/>
              </w:rPr>
              <w:t>分；</w:t>
            </w:r>
          </w:p>
          <w:p>
            <w:pPr>
              <w:widowControl/>
              <w:jc w:val="left"/>
              <w:rPr>
                <w:rFonts w:ascii="宋体" w:hAnsi="宋体" w:cs="宋体"/>
                <w:color w:val="auto"/>
                <w:kern w:val="0"/>
                <w:sz w:val="24"/>
              </w:rPr>
            </w:pPr>
            <w:r>
              <w:rPr>
                <w:rFonts w:hint="eastAsia" w:ascii="宋体" w:hAnsi="宋体" w:cs="宋体"/>
                <w:color w:val="auto"/>
                <w:kern w:val="0"/>
                <w:sz w:val="24"/>
              </w:rPr>
              <w:t>（3）项目实施方案不够全面、完整度差、可行性差的为三档得</w:t>
            </w:r>
            <w:r>
              <w:rPr>
                <w:rFonts w:ascii="宋体" w:hAnsi="宋体" w:cs="宋体"/>
                <w:color w:val="auto"/>
                <w:kern w:val="0"/>
                <w:sz w:val="24"/>
              </w:rPr>
              <w:t>2</w:t>
            </w:r>
            <w:r>
              <w:rPr>
                <w:rFonts w:hint="eastAsia" w:ascii="宋体" w:hAnsi="宋体" w:cs="宋体"/>
                <w:color w:val="auto"/>
                <w:kern w:val="0"/>
                <w:sz w:val="24"/>
              </w:rPr>
              <w:t>-0分。</w:t>
            </w:r>
          </w:p>
        </w:tc>
        <w:tc>
          <w:tcPr>
            <w:tcW w:w="858" w:type="dxa"/>
            <w:vMerge w:val="restart"/>
            <w:vAlign w:val="center"/>
          </w:tcPr>
          <w:p>
            <w:pPr>
              <w:widowControl/>
              <w:jc w:val="center"/>
              <w:rPr>
                <w:rFonts w:ascii="宋体" w:hAnsi="宋体" w:cs="宋体"/>
                <w:color w:val="000000"/>
                <w:kern w:val="0"/>
                <w:sz w:val="24"/>
                <w:highlight w:val="none"/>
              </w:rPr>
            </w:pPr>
            <w:r>
              <w:rPr>
                <w:rFonts w:ascii="宋体" w:hAnsi="宋体" w:cs="宋体"/>
                <w:color w:val="000000"/>
                <w:kern w:val="0"/>
                <w:sz w:val="24"/>
                <w:highlight w:val="none"/>
              </w:rPr>
              <w:t>6</w:t>
            </w:r>
            <w:r>
              <w:rPr>
                <w:rFonts w:hint="eastAsia" w:ascii="宋体" w:hAnsi="宋体" w:cs="宋体"/>
                <w:color w:val="000000"/>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841" w:type="dxa"/>
            <w:vMerge w:val="restart"/>
            <w:vAlign w:val="center"/>
          </w:tcPr>
          <w:p>
            <w:pPr>
              <w:widowControl/>
              <w:jc w:val="left"/>
              <w:rPr>
                <w:rFonts w:ascii="宋体" w:hAnsi="宋体" w:cs="宋体"/>
                <w:color w:val="000000"/>
                <w:kern w:val="0"/>
                <w:sz w:val="24"/>
              </w:rPr>
            </w:pPr>
            <w:r>
              <w:rPr>
                <w:rFonts w:hint="eastAsia" w:ascii="宋体" w:hAnsi="宋体" w:cs="宋体"/>
                <w:color w:val="000000"/>
                <w:kern w:val="0"/>
                <w:sz w:val="24"/>
              </w:rPr>
              <w:t>实力信誉及业绩</w:t>
            </w:r>
            <w:r>
              <w:rPr>
                <w:rFonts w:hint="eastAsia" w:ascii="宋体" w:hAnsi="宋体" w:cs="宋体"/>
                <w:color w:val="000000"/>
                <w:kern w:val="0"/>
                <w:sz w:val="24"/>
                <w:lang w:val="en-US" w:eastAsia="zh-CN"/>
              </w:rPr>
              <w:t>11</w:t>
            </w:r>
            <w:r>
              <w:rPr>
                <w:rFonts w:hint="eastAsia" w:ascii="宋体" w:hAnsi="宋体" w:cs="宋体"/>
                <w:color w:val="000000"/>
                <w:kern w:val="0"/>
                <w:sz w:val="24"/>
              </w:rPr>
              <w:t>分</w:t>
            </w:r>
          </w:p>
        </w:tc>
        <w:tc>
          <w:tcPr>
            <w:tcW w:w="743" w:type="dxa"/>
            <w:vMerge w:val="restart"/>
            <w:vAlign w:val="center"/>
          </w:tcPr>
          <w:p>
            <w:pPr>
              <w:widowControl/>
              <w:jc w:val="center"/>
              <w:rPr>
                <w:rFonts w:ascii="宋体" w:hAnsi="宋体" w:cs="Calibri"/>
                <w:sz w:val="24"/>
              </w:rPr>
            </w:pPr>
            <w:r>
              <w:rPr>
                <w:rFonts w:hint="eastAsia" w:ascii="宋体" w:hAnsi="宋体" w:cs="Calibri"/>
                <w:sz w:val="24"/>
              </w:rPr>
              <w:t>投标人实力</w:t>
            </w:r>
          </w:p>
        </w:tc>
        <w:tc>
          <w:tcPr>
            <w:tcW w:w="6797" w:type="dxa"/>
            <w:vAlign w:val="center"/>
          </w:tcPr>
          <w:p>
            <w:pPr>
              <w:widowControl/>
              <w:rPr>
                <w:rFonts w:ascii="宋体" w:hAnsi="宋体"/>
                <w:color w:val="auto"/>
                <w:sz w:val="24"/>
              </w:rPr>
            </w:pPr>
            <w:r>
              <w:rPr>
                <w:rFonts w:hint="eastAsia" w:ascii="宋体" w:hAnsi="宋体"/>
                <w:color w:val="auto"/>
                <w:sz w:val="24"/>
              </w:rPr>
              <w:t>1、投标人具有IS09001质量管理认证体系证书的得1分；</w:t>
            </w:r>
          </w:p>
          <w:p>
            <w:pPr>
              <w:widowControl/>
              <w:rPr>
                <w:rFonts w:ascii="宋体" w:hAnsi="宋体"/>
                <w:color w:val="auto"/>
                <w:sz w:val="24"/>
              </w:rPr>
            </w:pPr>
            <w:r>
              <w:rPr>
                <w:rFonts w:hint="eastAsia" w:ascii="宋体" w:hAnsi="宋体"/>
                <w:color w:val="auto"/>
                <w:sz w:val="24"/>
              </w:rPr>
              <w:t>2、投标人具有IS014001环境管理认证体系证书的得1分；</w:t>
            </w:r>
          </w:p>
          <w:p>
            <w:pPr>
              <w:widowControl/>
              <w:rPr>
                <w:rFonts w:ascii="宋体" w:hAnsi="宋体"/>
                <w:color w:val="auto"/>
                <w:sz w:val="24"/>
              </w:rPr>
            </w:pPr>
            <w:r>
              <w:rPr>
                <w:rFonts w:hint="eastAsia" w:ascii="宋体" w:hAnsi="宋体"/>
                <w:color w:val="auto"/>
                <w:sz w:val="24"/>
              </w:rPr>
              <w:t>（以上证书需提供证书</w:t>
            </w:r>
            <w:r>
              <w:rPr>
                <w:rFonts w:hint="eastAsia" w:ascii="宋体" w:hAnsi="宋体"/>
                <w:color w:val="auto"/>
                <w:sz w:val="24"/>
                <w:lang w:eastAsia="zh-CN"/>
              </w:rPr>
              <w:t>扫描件</w:t>
            </w:r>
            <w:r>
              <w:rPr>
                <w:rFonts w:hint="eastAsia" w:ascii="宋体" w:hAnsi="宋体"/>
                <w:color w:val="auto"/>
                <w:sz w:val="24"/>
              </w:rPr>
              <w:t>并加盖投标人公章，不提供则不得分）</w:t>
            </w:r>
          </w:p>
        </w:tc>
        <w:tc>
          <w:tcPr>
            <w:tcW w:w="858" w:type="dxa"/>
            <w:vMerge w:val="restart"/>
            <w:vAlign w:val="center"/>
          </w:tcPr>
          <w:p>
            <w:pPr>
              <w:widowControl/>
              <w:jc w:val="center"/>
              <w:rPr>
                <w:rFonts w:ascii="宋体" w:hAnsi="宋体" w:cs="宋体"/>
                <w:color w:val="000000"/>
                <w:kern w:val="0"/>
                <w:sz w:val="24"/>
              </w:rPr>
            </w:pPr>
            <w:r>
              <w:rPr>
                <w:rFonts w:hint="eastAsia" w:ascii="宋体" w:hAnsi="宋体" w:cs="宋体"/>
                <w:color w:val="000000"/>
                <w:kern w:val="0"/>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0" w:hRule="atLeast"/>
        </w:trPr>
        <w:tc>
          <w:tcPr>
            <w:tcW w:w="841" w:type="dxa"/>
            <w:vMerge w:val="continue"/>
            <w:vAlign w:val="center"/>
          </w:tcPr>
          <w:p>
            <w:pPr>
              <w:widowControl/>
              <w:jc w:val="left"/>
              <w:rPr>
                <w:rFonts w:ascii="宋体" w:hAnsi="宋体" w:cs="宋体"/>
                <w:color w:val="000000"/>
                <w:kern w:val="0"/>
                <w:sz w:val="24"/>
              </w:rPr>
            </w:pPr>
          </w:p>
        </w:tc>
        <w:tc>
          <w:tcPr>
            <w:tcW w:w="743" w:type="dxa"/>
            <w:vMerge w:val="continue"/>
            <w:vAlign w:val="center"/>
          </w:tcPr>
          <w:p>
            <w:pPr>
              <w:widowControl/>
              <w:jc w:val="center"/>
              <w:rPr>
                <w:rFonts w:ascii="宋体" w:hAnsi="宋体" w:cs="Calibri"/>
                <w:sz w:val="24"/>
              </w:rPr>
            </w:pPr>
          </w:p>
        </w:tc>
        <w:tc>
          <w:tcPr>
            <w:tcW w:w="6797" w:type="dxa"/>
            <w:vAlign w:val="center"/>
          </w:tcPr>
          <w:p>
            <w:pPr>
              <w:widowControl/>
              <w:rPr>
                <w:rFonts w:ascii="宋体" w:hAnsi="宋体"/>
                <w:color w:val="auto"/>
                <w:sz w:val="24"/>
              </w:rPr>
            </w:pPr>
            <w:r>
              <w:rPr>
                <w:rFonts w:hint="eastAsia" w:ascii="宋体" w:hAnsi="宋体"/>
                <w:color w:val="auto"/>
                <w:sz w:val="24"/>
              </w:rPr>
              <w:t>1、拟派入本项目的项目负责人具有高级信息系统项目管理师证书的得</w:t>
            </w:r>
            <w:r>
              <w:rPr>
                <w:rFonts w:ascii="宋体" w:hAnsi="宋体"/>
                <w:color w:val="auto"/>
                <w:sz w:val="24"/>
              </w:rPr>
              <w:t>0.5</w:t>
            </w:r>
            <w:r>
              <w:rPr>
                <w:rFonts w:hint="eastAsia" w:ascii="宋体" w:hAnsi="宋体"/>
                <w:color w:val="auto"/>
                <w:sz w:val="24"/>
              </w:rPr>
              <w:t>分；具有信息安全工程师类的证书的（如CISP、CCAT、CISAW或以上认证）的得</w:t>
            </w:r>
            <w:r>
              <w:rPr>
                <w:rFonts w:ascii="宋体" w:hAnsi="宋体"/>
                <w:color w:val="auto"/>
                <w:sz w:val="24"/>
              </w:rPr>
              <w:t>0.5</w:t>
            </w:r>
            <w:r>
              <w:rPr>
                <w:rFonts w:hint="eastAsia" w:ascii="宋体" w:hAnsi="宋体"/>
                <w:color w:val="auto"/>
                <w:sz w:val="24"/>
              </w:rPr>
              <w:t>分；具有智能化项目管理类证书的（如高级智能化系统集成项目经理、机电专业二或以上建造师认证）的得</w:t>
            </w:r>
            <w:r>
              <w:rPr>
                <w:rFonts w:ascii="宋体" w:hAnsi="宋体"/>
                <w:color w:val="auto"/>
                <w:sz w:val="24"/>
              </w:rPr>
              <w:t>0.5</w:t>
            </w:r>
            <w:r>
              <w:rPr>
                <w:rFonts w:hint="eastAsia" w:ascii="宋体" w:hAnsi="宋体"/>
                <w:color w:val="auto"/>
                <w:sz w:val="24"/>
              </w:rPr>
              <w:t>分；总分</w:t>
            </w:r>
            <w:r>
              <w:rPr>
                <w:rFonts w:ascii="宋体" w:hAnsi="宋体"/>
                <w:color w:val="auto"/>
                <w:sz w:val="24"/>
              </w:rPr>
              <w:t>1.5</w:t>
            </w:r>
            <w:r>
              <w:rPr>
                <w:rFonts w:hint="eastAsia" w:ascii="宋体" w:hAnsi="宋体"/>
                <w:color w:val="auto"/>
                <w:sz w:val="24"/>
              </w:rPr>
              <w:t>分。</w:t>
            </w:r>
          </w:p>
          <w:p>
            <w:pPr>
              <w:widowControl/>
              <w:rPr>
                <w:rFonts w:hint="eastAsia" w:ascii="宋体" w:hAnsi="宋体"/>
                <w:color w:val="auto"/>
                <w:sz w:val="24"/>
              </w:rPr>
            </w:pPr>
            <w:r>
              <w:rPr>
                <w:rFonts w:hint="eastAsia" w:ascii="宋体" w:hAnsi="宋体"/>
                <w:color w:val="auto"/>
                <w:sz w:val="24"/>
              </w:rPr>
              <w:t>提供近6个月</w:t>
            </w:r>
            <w:r>
              <w:rPr>
                <w:rFonts w:hint="eastAsia" w:ascii="宋体" w:hAnsi="宋体"/>
                <w:color w:val="auto"/>
                <w:sz w:val="24"/>
                <w:lang w:eastAsia="zh-CN"/>
              </w:rPr>
              <w:t>在投标人单位</w:t>
            </w:r>
            <w:r>
              <w:rPr>
                <w:rFonts w:hint="eastAsia" w:ascii="宋体" w:hAnsi="宋体"/>
                <w:color w:val="auto"/>
                <w:sz w:val="24"/>
              </w:rPr>
              <w:t>的社保证明及相应证书</w:t>
            </w:r>
            <w:r>
              <w:rPr>
                <w:rFonts w:hint="eastAsia" w:ascii="宋体" w:hAnsi="宋体"/>
                <w:color w:val="auto"/>
                <w:sz w:val="24"/>
                <w:lang w:eastAsia="zh-CN"/>
              </w:rPr>
              <w:t>扫描件</w:t>
            </w:r>
            <w:r>
              <w:rPr>
                <w:rFonts w:hint="eastAsia" w:ascii="宋体" w:hAnsi="宋体"/>
                <w:color w:val="auto"/>
                <w:sz w:val="24"/>
              </w:rPr>
              <w:t>制作在投标文件中，未同时提供不</w:t>
            </w:r>
            <w:r>
              <w:rPr>
                <w:rFonts w:hint="eastAsia" w:ascii="宋体" w:hAnsi="宋体"/>
                <w:color w:val="auto"/>
                <w:sz w:val="24"/>
                <w:lang w:eastAsia="zh-CN"/>
              </w:rPr>
              <w:t>得分</w:t>
            </w:r>
            <w:r>
              <w:rPr>
                <w:rFonts w:hint="eastAsia" w:ascii="宋体" w:hAnsi="宋体"/>
                <w:color w:val="auto"/>
                <w:sz w:val="24"/>
              </w:rPr>
              <w:t>。</w:t>
            </w:r>
          </w:p>
          <w:p>
            <w:pPr>
              <w:pStyle w:val="2"/>
              <w:ind w:firstLine="0"/>
              <w:rPr>
                <w:color w:val="auto"/>
              </w:rPr>
            </w:pPr>
          </w:p>
          <w:p>
            <w:pPr>
              <w:widowControl/>
              <w:rPr>
                <w:rFonts w:hint="eastAsia" w:ascii="宋体" w:hAnsi="宋体"/>
                <w:color w:val="auto"/>
                <w:sz w:val="24"/>
              </w:rPr>
            </w:pPr>
            <w:r>
              <w:rPr>
                <w:rFonts w:hint="eastAsia" w:ascii="宋体" w:hAnsi="宋体"/>
                <w:color w:val="auto"/>
                <w:sz w:val="24"/>
              </w:rPr>
              <w:t>2、拟派入本项目的技术负责人具有CISP国家注册信息安全工程师得0.5分；具有网络工程师认证的（如HCIA、CCIA、中级网络工程师或以上认证）的得0.5分；具有数据隐私/安全类工程师证书的得0.5分；总分1.5分。</w:t>
            </w:r>
          </w:p>
          <w:p>
            <w:pPr>
              <w:widowControl/>
              <w:rPr>
                <w:rFonts w:hint="eastAsia" w:ascii="宋体" w:hAnsi="宋体"/>
                <w:color w:val="auto"/>
                <w:sz w:val="24"/>
              </w:rPr>
            </w:pPr>
            <w:r>
              <w:rPr>
                <w:rFonts w:hint="eastAsia" w:ascii="宋体" w:hAnsi="宋体"/>
                <w:color w:val="auto"/>
                <w:sz w:val="24"/>
              </w:rPr>
              <w:t>提供近6个月</w:t>
            </w:r>
            <w:r>
              <w:rPr>
                <w:rFonts w:hint="eastAsia" w:ascii="宋体" w:hAnsi="宋体"/>
                <w:color w:val="auto"/>
                <w:sz w:val="24"/>
                <w:lang w:eastAsia="zh-CN"/>
              </w:rPr>
              <w:t>在投标人单位</w:t>
            </w:r>
            <w:r>
              <w:rPr>
                <w:rFonts w:hint="eastAsia" w:ascii="宋体" w:hAnsi="宋体"/>
                <w:color w:val="auto"/>
                <w:sz w:val="24"/>
              </w:rPr>
              <w:t>的社保证明及相应证书</w:t>
            </w:r>
            <w:r>
              <w:rPr>
                <w:rFonts w:hint="eastAsia" w:ascii="宋体" w:hAnsi="宋体"/>
                <w:color w:val="auto"/>
                <w:sz w:val="24"/>
                <w:lang w:eastAsia="zh-CN"/>
              </w:rPr>
              <w:t>扫描件</w:t>
            </w:r>
            <w:r>
              <w:rPr>
                <w:rFonts w:hint="eastAsia" w:ascii="宋体" w:hAnsi="宋体"/>
                <w:color w:val="auto"/>
                <w:sz w:val="24"/>
              </w:rPr>
              <w:t>制作在投标文件中，未同时提供不</w:t>
            </w:r>
            <w:r>
              <w:rPr>
                <w:rFonts w:hint="eastAsia" w:ascii="宋体" w:hAnsi="宋体"/>
                <w:color w:val="auto"/>
                <w:sz w:val="24"/>
                <w:lang w:eastAsia="zh-CN"/>
              </w:rPr>
              <w:t>得分</w:t>
            </w:r>
            <w:r>
              <w:rPr>
                <w:rFonts w:hint="eastAsia" w:ascii="宋体" w:hAnsi="宋体"/>
                <w:color w:val="auto"/>
                <w:sz w:val="24"/>
              </w:rPr>
              <w:t>。</w:t>
            </w:r>
          </w:p>
          <w:p>
            <w:pPr>
              <w:pStyle w:val="2"/>
              <w:ind w:firstLine="0"/>
              <w:rPr>
                <w:color w:val="auto"/>
              </w:rPr>
            </w:pPr>
          </w:p>
          <w:p>
            <w:pPr>
              <w:widowControl/>
              <w:rPr>
                <w:rFonts w:ascii="宋体" w:hAnsi="宋体"/>
                <w:color w:val="auto"/>
                <w:sz w:val="24"/>
              </w:rPr>
            </w:pPr>
            <w:r>
              <w:rPr>
                <w:rFonts w:hint="eastAsia" w:ascii="宋体" w:hAnsi="宋体"/>
                <w:color w:val="auto"/>
                <w:sz w:val="24"/>
              </w:rPr>
              <w:t>3、项目组成员具备CISP证书、智能化系统集成项目经理等相关证书的，有一份得0.5分，最高得</w:t>
            </w:r>
            <w:r>
              <w:rPr>
                <w:rFonts w:ascii="宋体" w:hAnsi="宋体"/>
                <w:color w:val="auto"/>
                <w:sz w:val="24"/>
              </w:rPr>
              <w:t>1</w:t>
            </w:r>
            <w:r>
              <w:rPr>
                <w:rFonts w:hint="eastAsia" w:ascii="宋体" w:hAnsi="宋体"/>
                <w:color w:val="auto"/>
                <w:sz w:val="24"/>
              </w:rPr>
              <w:t>分；提供近6个月</w:t>
            </w:r>
            <w:r>
              <w:rPr>
                <w:rFonts w:hint="eastAsia" w:ascii="宋体" w:hAnsi="宋体"/>
                <w:color w:val="auto"/>
                <w:sz w:val="24"/>
                <w:lang w:eastAsia="zh-CN"/>
              </w:rPr>
              <w:t>在投标人单位</w:t>
            </w:r>
            <w:r>
              <w:rPr>
                <w:rFonts w:hint="eastAsia" w:ascii="宋体" w:hAnsi="宋体"/>
                <w:color w:val="auto"/>
                <w:sz w:val="24"/>
              </w:rPr>
              <w:t>的社保证明及相应证书</w:t>
            </w:r>
            <w:r>
              <w:rPr>
                <w:rFonts w:hint="eastAsia" w:ascii="宋体" w:hAnsi="宋体"/>
                <w:color w:val="auto"/>
                <w:sz w:val="24"/>
                <w:lang w:eastAsia="zh-CN"/>
              </w:rPr>
              <w:t>扫描件</w:t>
            </w:r>
            <w:r>
              <w:rPr>
                <w:rFonts w:hint="eastAsia" w:ascii="宋体" w:hAnsi="宋体"/>
                <w:color w:val="auto"/>
                <w:sz w:val="24"/>
              </w:rPr>
              <w:t>制作在投标文件中，未同时提供不</w:t>
            </w:r>
            <w:r>
              <w:rPr>
                <w:rFonts w:hint="eastAsia" w:ascii="宋体" w:hAnsi="宋体"/>
                <w:color w:val="auto"/>
                <w:sz w:val="24"/>
                <w:lang w:eastAsia="zh-CN"/>
              </w:rPr>
              <w:t>得分</w:t>
            </w:r>
            <w:r>
              <w:rPr>
                <w:rFonts w:hint="eastAsia" w:ascii="宋体" w:hAnsi="宋体"/>
                <w:color w:val="auto"/>
                <w:sz w:val="24"/>
              </w:rPr>
              <w:t>。</w:t>
            </w:r>
          </w:p>
        </w:tc>
        <w:tc>
          <w:tcPr>
            <w:tcW w:w="858" w:type="dxa"/>
            <w:vMerge w:val="continue"/>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841" w:type="dxa"/>
            <w:vMerge w:val="continue"/>
            <w:vAlign w:val="center"/>
          </w:tcPr>
          <w:p>
            <w:pPr>
              <w:widowControl/>
              <w:jc w:val="left"/>
              <w:rPr>
                <w:rFonts w:ascii="宋体" w:hAnsi="宋体" w:cs="宋体"/>
                <w:color w:val="000000"/>
                <w:kern w:val="0"/>
                <w:sz w:val="24"/>
              </w:rPr>
            </w:pPr>
          </w:p>
        </w:tc>
        <w:tc>
          <w:tcPr>
            <w:tcW w:w="74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业绩和案例</w:t>
            </w:r>
          </w:p>
        </w:tc>
        <w:tc>
          <w:tcPr>
            <w:tcW w:w="6797" w:type="dxa"/>
            <w:vAlign w:val="center"/>
          </w:tcPr>
          <w:p>
            <w:pPr>
              <w:widowControl/>
              <w:jc w:val="left"/>
              <w:rPr>
                <w:rFonts w:ascii="宋体" w:hAnsi="宋体" w:cs="宋体"/>
                <w:color w:val="000000"/>
                <w:kern w:val="0"/>
                <w:sz w:val="24"/>
              </w:rPr>
            </w:pPr>
            <w:r>
              <w:rPr>
                <w:rFonts w:hint="eastAsia" w:ascii="宋体" w:hAnsi="宋体" w:cs="宋体"/>
                <w:color w:val="000000"/>
                <w:kern w:val="0"/>
                <w:sz w:val="24"/>
              </w:rPr>
              <w:t>根据投标人提供201</w:t>
            </w:r>
            <w:r>
              <w:rPr>
                <w:rFonts w:hint="eastAsia" w:ascii="宋体" w:hAnsi="宋体" w:cs="宋体"/>
                <w:color w:val="000000"/>
                <w:kern w:val="0"/>
                <w:sz w:val="24"/>
                <w:lang w:val="en-US" w:eastAsia="zh-CN"/>
              </w:rPr>
              <w:t>8</w:t>
            </w:r>
            <w:r>
              <w:rPr>
                <w:rFonts w:hint="eastAsia" w:ascii="宋体" w:hAnsi="宋体" w:cs="宋体"/>
                <w:color w:val="000000"/>
                <w:kern w:val="0"/>
                <w:sz w:val="24"/>
              </w:rPr>
              <w:t>年</w:t>
            </w:r>
            <w:r>
              <w:rPr>
                <w:rFonts w:ascii="宋体" w:hAnsi="宋体" w:cs="宋体"/>
                <w:color w:val="000000"/>
                <w:kern w:val="0"/>
                <w:sz w:val="24"/>
              </w:rPr>
              <w:t>1</w:t>
            </w:r>
            <w:r>
              <w:rPr>
                <w:rFonts w:hint="eastAsia" w:ascii="宋体" w:hAnsi="宋体" w:cs="宋体"/>
                <w:color w:val="000000"/>
                <w:kern w:val="0"/>
                <w:sz w:val="24"/>
                <w:lang w:val="en-US" w:eastAsia="zh-CN"/>
              </w:rPr>
              <w:t>1</w:t>
            </w:r>
            <w:r>
              <w:rPr>
                <w:rFonts w:hint="eastAsia" w:ascii="宋体" w:hAnsi="宋体" w:cs="宋体"/>
                <w:color w:val="000000"/>
                <w:kern w:val="0"/>
                <w:sz w:val="24"/>
              </w:rPr>
              <w:t>月1日以来（以合同签订之日起算）类似行业信息化项目相关的成功实施案</w:t>
            </w:r>
            <w:r>
              <w:rPr>
                <w:rFonts w:hint="eastAsia" w:ascii="宋体" w:hAnsi="宋体" w:cs="宋体"/>
                <w:color w:val="auto"/>
                <w:kern w:val="0"/>
                <w:sz w:val="24"/>
              </w:rPr>
              <w:t>例，每提供1个有效业绩得1分，最高5分（投标文件中须提供合同资料</w:t>
            </w:r>
            <w:r>
              <w:rPr>
                <w:rFonts w:hint="eastAsia" w:ascii="宋体" w:hAnsi="宋体"/>
                <w:color w:val="auto"/>
                <w:sz w:val="24"/>
                <w:lang w:eastAsia="zh-CN"/>
              </w:rPr>
              <w:t>扫描件</w:t>
            </w:r>
            <w:r>
              <w:rPr>
                <w:rFonts w:hint="eastAsia" w:ascii="宋体" w:hAnsi="宋体" w:cs="宋体"/>
                <w:color w:val="auto"/>
                <w:kern w:val="0"/>
                <w:sz w:val="24"/>
              </w:rPr>
              <w:t>并加盖公章，不提供不得分）。</w:t>
            </w:r>
          </w:p>
        </w:tc>
        <w:tc>
          <w:tcPr>
            <w:tcW w:w="858"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7" w:hRule="atLeast"/>
        </w:trPr>
        <w:tc>
          <w:tcPr>
            <w:tcW w:w="841" w:type="dxa"/>
            <w:vMerge w:val="restart"/>
            <w:vAlign w:val="center"/>
          </w:tcPr>
          <w:p>
            <w:pPr>
              <w:widowControl/>
              <w:jc w:val="center"/>
              <w:rPr>
                <w:rFonts w:ascii="宋体" w:hAnsi="宋体" w:cs="宋体"/>
                <w:color w:val="000000"/>
                <w:kern w:val="0"/>
                <w:sz w:val="24"/>
              </w:rPr>
            </w:pPr>
            <w:r>
              <w:rPr>
                <w:rFonts w:hint="eastAsia" w:ascii="宋体" w:hAnsi="宋体" w:cs="宋体"/>
                <w:color w:val="000000"/>
                <w:kern w:val="0"/>
                <w:sz w:val="24"/>
              </w:rPr>
              <w:t>售后服务7分</w:t>
            </w:r>
          </w:p>
        </w:tc>
        <w:tc>
          <w:tcPr>
            <w:tcW w:w="74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本地化售后服务能力</w:t>
            </w:r>
          </w:p>
        </w:tc>
        <w:tc>
          <w:tcPr>
            <w:tcW w:w="6797" w:type="dxa"/>
            <w:vAlign w:val="center"/>
          </w:tcPr>
          <w:p>
            <w:pPr>
              <w:widowControl/>
              <w:rPr>
                <w:rFonts w:hint="eastAsia" w:ascii="宋体" w:hAnsi="宋体"/>
                <w:color w:val="auto"/>
                <w:sz w:val="24"/>
              </w:rPr>
            </w:pPr>
            <w:r>
              <w:rPr>
                <w:rFonts w:hint="eastAsia" w:ascii="宋体" w:hAnsi="宋体"/>
                <w:sz w:val="24"/>
              </w:rPr>
              <w:t>为保障设备正常运行，投标人应具有完善的售后服务管理体系，有常驻售后服务机构或团队提供本地化服务，根据提供的办公场所地址</w:t>
            </w:r>
            <w:r>
              <w:rPr>
                <w:rFonts w:hint="eastAsia" w:ascii="宋体" w:hAnsi="宋体"/>
                <w:color w:val="auto"/>
                <w:sz w:val="24"/>
              </w:rPr>
              <w:t>、售后服务人员数量及售后服务时效等材料等进行综合评分。</w:t>
            </w:r>
          </w:p>
          <w:p>
            <w:pPr>
              <w:widowControl/>
              <w:rPr>
                <w:rFonts w:hint="eastAsia" w:ascii="宋体" w:hAnsi="宋体"/>
                <w:color w:val="auto"/>
                <w:sz w:val="24"/>
              </w:rPr>
            </w:pPr>
            <w:r>
              <w:rPr>
                <w:rFonts w:hint="eastAsia" w:ascii="宋体" w:hAnsi="宋体"/>
                <w:color w:val="auto"/>
                <w:sz w:val="24"/>
              </w:rPr>
              <w:t>（1）针对本项目服务方案措施明确，人员配备充足，售后服务时效性强的得5-3.</w:t>
            </w:r>
            <w:r>
              <w:rPr>
                <w:rFonts w:hint="eastAsia" w:ascii="宋体" w:hAnsi="宋体"/>
                <w:color w:val="auto"/>
                <w:sz w:val="24"/>
                <w:lang w:val="en-US" w:eastAsia="zh-CN"/>
              </w:rPr>
              <w:t>4</w:t>
            </w:r>
            <w:r>
              <w:rPr>
                <w:rFonts w:hint="eastAsia" w:ascii="宋体" w:hAnsi="宋体"/>
                <w:color w:val="auto"/>
                <w:sz w:val="24"/>
              </w:rPr>
              <w:t>分；</w:t>
            </w:r>
          </w:p>
          <w:p>
            <w:pPr>
              <w:widowControl/>
              <w:rPr>
                <w:rFonts w:hint="eastAsia" w:ascii="宋体" w:hAnsi="宋体"/>
                <w:color w:val="auto"/>
                <w:sz w:val="24"/>
              </w:rPr>
            </w:pPr>
            <w:r>
              <w:rPr>
                <w:rFonts w:hint="eastAsia" w:ascii="宋体" w:hAnsi="宋体"/>
                <w:color w:val="auto"/>
                <w:sz w:val="24"/>
              </w:rPr>
              <w:t>（2）针对本项目服务方案措施比较明确，人员配置一般，售后服务时效性一般的得3.</w:t>
            </w:r>
            <w:r>
              <w:rPr>
                <w:rFonts w:hint="eastAsia" w:ascii="宋体" w:hAnsi="宋体"/>
                <w:color w:val="auto"/>
                <w:sz w:val="24"/>
                <w:lang w:val="en-US" w:eastAsia="zh-CN"/>
              </w:rPr>
              <w:t>3</w:t>
            </w:r>
            <w:r>
              <w:rPr>
                <w:rFonts w:hint="eastAsia" w:ascii="宋体" w:hAnsi="宋体"/>
                <w:color w:val="auto"/>
                <w:sz w:val="24"/>
              </w:rPr>
              <w:t xml:space="preserve">-1.6分；  </w:t>
            </w:r>
          </w:p>
          <w:p>
            <w:pPr>
              <w:widowControl/>
              <w:rPr>
                <w:rFonts w:hint="eastAsia" w:ascii="宋体" w:hAnsi="宋体"/>
                <w:color w:val="auto"/>
                <w:sz w:val="24"/>
              </w:rPr>
            </w:pPr>
            <w:r>
              <w:rPr>
                <w:rFonts w:hint="eastAsia" w:ascii="宋体" w:hAnsi="宋体"/>
                <w:color w:val="auto"/>
                <w:sz w:val="24"/>
              </w:rPr>
              <w:t xml:space="preserve">（3）针对本项目服务方案措施片面，无具体的服务人员，售后服务时效性差的得1.5-0分。 </w:t>
            </w:r>
          </w:p>
          <w:p>
            <w:pPr>
              <w:widowControl/>
              <w:rPr>
                <w:rFonts w:hint="eastAsia"/>
              </w:rPr>
            </w:pPr>
            <w:r>
              <w:rPr>
                <w:rFonts w:hint="eastAsia" w:ascii="宋体" w:hAnsi="宋体"/>
                <w:color w:val="auto"/>
                <w:sz w:val="24"/>
              </w:rPr>
              <w:t>售后服务人员须提供近6个月</w:t>
            </w:r>
            <w:r>
              <w:rPr>
                <w:rFonts w:hint="eastAsia" w:ascii="宋体" w:hAnsi="宋体"/>
                <w:color w:val="auto"/>
                <w:sz w:val="24"/>
                <w:lang w:eastAsia="zh-CN"/>
              </w:rPr>
              <w:t>在投标</w:t>
            </w:r>
            <w:r>
              <w:rPr>
                <w:rFonts w:hint="eastAsia" w:ascii="宋体" w:hAnsi="宋体"/>
                <w:sz w:val="24"/>
                <w:lang w:eastAsia="zh-CN"/>
              </w:rPr>
              <w:t>人单位</w:t>
            </w:r>
            <w:r>
              <w:rPr>
                <w:rFonts w:hint="eastAsia" w:ascii="宋体" w:hAnsi="宋体"/>
                <w:sz w:val="24"/>
              </w:rPr>
              <w:t>的社保缴纳证明，其他服务能力视情提供相关材料。</w:t>
            </w:r>
          </w:p>
        </w:tc>
        <w:tc>
          <w:tcPr>
            <w:tcW w:w="858"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41" w:type="dxa"/>
            <w:vMerge w:val="continue"/>
            <w:vAlign w:val="center"/>
          </w:tcPr>
          <w:p>
            <w:pPr>
              <w:widowControl/>
              <w:jc w:val="left"/>
              <w:rPr>
                <w:rFonts w:ascii="宋体" w:hAnsi="宋体" w:cs="宋体"/>
                <w:color w:val="000000"/>
                <w:kern w:val="0"/>
                <w:sz w:val="24"/>
              </w:rPr>
            </w:pPr>
          </w:p>
        </w:tc>
        <w:tc>
          <w:tcPr>
            <w:tcW w:w="74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培训方案</w:t>
            </w:r>
          </w:p>
        </w:tc>
        <w:tc>
          <w:tcPr>
            <w:tcW w:w="6797" w:type="dxa"/>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投标人提供可行合理的培训方案及培训计划，得2分。</w:t>
            </w:r>
          </w:p>
        </w:tc>
        <w:tc>
          <w:tcPr>
            <w:tcW w:w="858" w:type="dxa"/>
            <w:vAlign w:val="center"/>
          </w:tcPr>
          <w:p>
            <w:pPr>
              <w:widowControl/>
              <w:jc w:val="center"/>
              <w:rPr>
                <w:rFonts w:ascii="宋体" w:hAns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1"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产品价格30分</w:t>
            </w:r>
          </w:p>
        </w:tc>
        <w:tc>
          <w:tcPr>
            <w:tcW w:w="7540" w:type="dxa"/>
            <w:gridSpan w:val="2"/>
            <w:vAlign w:val="center"/>
          </w:tcPr>
          <w:p>
            <w:pPr>
              <w:widowControl/>
              <w:rPr>
                <w:rFonts w:ascii="宋体" w:hAnsi="宋体" w:cs="宋体"/>
                <w:color w:val="000000"/>
                <w:kern w:val="0"/>
                <w:sz w:val="24"/>
              </w:rPr>
            </w:pPr>
            <w:r>
              <w:rPr>
                <w:rFonts w:hint="eastAsia" w:ascii="宋体" w:hAnsi="宋体" w:cs="宋体"/>
                <w:color w:val="000000"/>
                <w:kern w:val="0"/>
                <w:sz w:val="24"/>
              </w:rPr>
              <w:t>取投标合格供应商的投标最终报价最低价为基准价。基准价为30分。投标报价得分＝（评标基准价/最终投标报价）×30 %×100（小数点后保留2位小数）。（注：对于符合政府采购政策及优惠的企业产品给予6%的扣除，用扣除后的价格参与评审。具体执行依据见本章第二点的第四条“政府采购政策及优惠”内的规定）。</w:t>
            </w:r>
          </w:p>
        </w:tc>
        <w:tc>
          <w:tcPr>
            <w:tcW w:w="858"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30分</w:t>
            </w:r>
          </w:p>
        </w:tc>
      </w:tr>
    </w:tbl>
    <w:p>
      <w:pPr>
        <w:spacing w:line="360" w:lineRule="auto"/>
      </w:pPr>
      <w:r>
        <w:rPr>
          <w:rFonts w:hint="eastAsia"/>
        </w:rPr>
        <w:t>注：①请扫描上传合同、证书、报告及其他相关证明材料的原件至投标文件，并加盖公章。</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①政府采购云平台上开启的投标报价与电子投标文件中开标一览表（报价表）内容不一致的，以电子投标文件中开标一览表（报价表）为准；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spacing w:line="360" w:lineRule="auto"/>
        <w:jc w:val="center"/>
        <w:rPr>
          <w:rFonts w:asciiTheme="minorEastAsia" w:hAnsiTheme="minorEastAsia" w:eastAsiaTheme="minorEastAsia"/>
          <w:b/>
          <w:sz w:val="36"/>
          <w:szCs w:val="36"/>
        </w:rPr>
      </w:pPr>
      <w:bookmarkStart w:id="40" w:name="_Toc27944_WPSOffice_Level1"/>
      <w:r>
        <w:rPr>
          <w:rFonts w:hint="eastAsia" w:asciiTheme="minorEastAsia" w:hAnsiTheme="minorEastAsia" w:eastAsiaTheme="minorEastAsia"/>
          <w:b/>
          <w:sz w:val="36"/>
          <w:szCs w:val="36"/>
        </w:rPr>
        <w:t xml:space="preserve">第五章 </w:t>
      </w:r>
      <w:bookmarkEnd w:id="40"/>
      <w:r>
        <w:rPr>
          <w:rFonts w:hint="eastAsia" w:asciiTheme="minorEastAsia" w:hAnsiTheme="minorEastAsia" w:eastAsiaTheme="minorEastAsia"/>
          <w:b/>
          <w:sz w:val="36"/>
          <w:szCs w:val="36"/>
        </w:rPr>
        <w:t>拟签订的合同文本</w:t>
      </w:r>
    </w:p>
    <w:p>
      <w:pPr>
        <w:widowControl/>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以下为成交后签</w:t>
      </w:r>
      <w:r>
        <w:rPr>
          <w:rFonts w:hint="eastAsia" w:asciiTheme="minorEastAsia" w:hAnsiTheme="minorEastAsia" w:eastAsiaTheme="minorEastAsia"/>
          <w:sz w:val="24"/>
        </w:rPr>
        <w:t>订</w:t>
      </w:r>
      <w:r>
        <w:rPr>
          <w:rFonts w:asciiTheme="minorEastAsia" w:hAnsiTheme="minorEastAsia" w:eastAsiaTheme="minorEastAsia"/>
          <w:sz w:val="24"/>
        </w:rPr>
        <w:t>本项目合同的通用条款，</w:t>
      </w:r>
      <w:r>
        <w:rPr>
          <w:rFonts w:hint="eastAsia" w:asciiTheme="minorEastAsia" w:hAnsiTheme="minorEastAsia" w:eastAsiaTheme="minorEastAsia"/>
          <w:sz w:val="24"/>
        </w:rPr>
        <w:t>中标人</w:t>
      </w:r>
      <w:r>
        <w:rPr>
          <w:rFonts w:asciiTheme="minorEastAsia" w:hAnsiTheme="minorEastAsia" w:eastAsiaTheme="minorEastAsia"/>
          <w:sz w:val="24"/>
        </w:rPr>
        <w:t>不得提出实质性的修改，关于专用条款将由采购人与</w:t>
      </w:r>
      <w:r>
        <w:rPr>
          <w:rFonts w:hint="eastAsia" w:asciiTheme="minorEastAsia" w:hAnsiTheme="minorEastAsia" w:eastAsiaTheme="minorEastAsia"/>
          <w:sz w:val="24"/>
        </w:rPr>
        <w:t>中标人</w:t>
      </w:r>
      <w:r>
        <w:rPr>
          <w:rFonts w:asciiTheme="minorEastAsia" w:hAnsiTheme="minorEastAsia" w:eastAsiaTheme="minorEastAsia"/>
          <w:sz w:val="24"/>
        </w:rPr>
        <w:t>结合本项目具体情况协商后签订。</w:t>
      </w:r>
    </w:p>
    <w:p>
      <w:pPr>
        <w:pStyle w:val="12"/>
        <w:snapToGrid w:val="0"/>
        <w:spacing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2"/>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2"/>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pStyle w:val="12"/>
        <w:snapToGrid w:val="0"/>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sz w:val="24"/>
        </w:rPr>
        <w:t>××</w:t>
      </w:r>
      <w:r>
        <w:rPr>
          <w:rFonts w:asciiTheme="minorEastAsia" w:hAnsiTheme="minorEastAsia" w:eastAsiaTheme="minorEastAsia"/>
          <w:sz w:val="24"/>
        </w:rPr>
        <w:t>单位</w:t>
      </w:r>
      <w:r>
        <w:rPr>
          <w:rFonts w:hint="eastAsia" w:cs="Arial" w:asciiTheme="minorEastAsia" w:hAnsiTheme="minorEastAsia" w:eastAsiaTheme="minorEastAsia"/>
          <w:sz w:val="24"/>
        </w:rPr>
        <w:t>××</w:t>
      </w:r>
      <w:r>
        <w:rPr>
          <w:rFonts w:asciiTheme="minorEastAsia" w:hAnsiTheme="minorEastAsia" w:eastAsiaTheme="minorEastAsia"/>
          <w:sz w:val="24"/>
        </w:rPr>
        <w:t>项目公开招标的结果，签署本合同。</w:t>
      </w:r>
    </w:p>
    <w:p>
      <w:pPr>
        <w:spacing w:line="360" w:lineRule="auto"/>
        <w:ind w:firstLine="482" w:firstLineChars="200"/>
        <w:rPr>
          <w:rFonts w:ascii="宋体"/>
          <w:b/>
          <w:bCs/>
          <w:sz w:val="24"/>
          <w:lang w:val="zh-CN"/>
        </w:rPr>
      </w:pPr>
      <w:r>
        <w:rPr>
          <w:rFonts w:hint="eastAsia" w:ascii="宋体"/>
          <w:b/>
          <w:bCs/>
          <w:sz w:val="24"/>
          <w:lang w:val="zh-CN"/>
        </w:rPr>
        <w:t xml:space="preserve">一、合同文件：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2"/>
        <w:snapToGrid w:val="0"/>
        <w:spacing w:line="360" w:lineRule="auto"/>
        <w:ind w:firstLine="480" w:firstLineChars="200"/>
        <w:rPr>
          <w:rFonts w:hAnsi="Times New Roman"/>
          <w:sz w:val="24"/>
          <w:lang w:val="zh-CN"/>
        </w:rPr>
      </w:pPr>
      <w:r>
        <w:rPr>
          <w:rFonts w:hint="eastAsia"/>
          <w:sz w:val="24"/>
          <w:lang w:val="zh-CN"/>
        </w:rPr>
        <w:t>上述所指合同文件应认为是互相补充和解释的，但是有模棱两可或互相矛盾之处，以其所列内容顺序为准。</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货物名称：</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型号规格：</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技术参数：</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数量（单位）：</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2"/>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本合同金额为（大写）：____________________元（￥__________元）人民币。</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乙方应按招标文件规定的时间向甲方提供使用货物的有关技术资料。</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乙方应保证所提供的货物或其任何一部分均不会侵犯任何第三方的知识产权。</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（二）若侵犯,由乙方赔偿甲方因此遭受的损失（包括但不限于应对及追偿过程中所支付的律师费、差旅费、诉讼费、保全费、鉴定费、评估费等）。</w:t>
      </w:r>
    </w:p>
    <w:p>
      <w:pPr>
        <w:pStyle w:val="12"/>
        <w:snapToGrid w:val="0"/>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2"/>
        <w:snapToGrid w:val="0"/>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rPr>
        <w:t>质保期满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2"/>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2"/>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质保期</w:t>
      </w:r>
      <w:r>
        <w:rPr>
          <w:rFonts w:hAnsi="宋体" w:cs="Times New Roman"/>
          <w:sz w:val="24"/>
        </w:rPr>
        <w:t>___</w:t>
      </w:r>
      <w:r>
        <w:rPr>
          <w:rFonts w:asciiTheme="minorEastAsia" w:hAnsiTheme="minorEastAsia" w:eastAsiaTheme="minorEastAsia"/>
          <w:sz w:val="24"/>
        </w:rPr>
        <w:t>年。（自交货验收合格之日起计）</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2"/>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交货期：</w:t>
      </w:r>
    </w:p>
    <w:p>
      <w:pPr>
        <w:pStyle w:val="12"/>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（二）</w:t>
      </w:r>
      <w:r>
        <w:rPr>
          <w:rFonts w:asciiTheme="minorEastAsia" w:hAnsiTheme="minorEastAsia" w:eastAsiaTheme="minorEastAsia"/>
          <w:bCs/>
          <w:sz w:val="24"/>
        </w:rPr>
        <w:t>交货方式：</w:t>
      </w:r>
    </w:p>
    <w:p>
      <w:pPr>
        <w:pStyle w:val="12"/>
        <w:snapToGrid w:val="0"/>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Cs/>
          <w:sz w:val="24"/>
        </w:rPr>
        <w:t>（三）</w:t>
      </w:r>
      <w:r>
        <w:rPr>
          <w:rFonts w:asciiTheme="minorEastAsia" w:hAnsiTheme="minorEastAsia" w:eastAsiaTheme="minorEastAsia"/>
          <w:bCs/>
          <w:sz w:val="24"/>
        </w:rPr>
        <w:t>交货地点：</w:t>
      </w:r>
    </w:p>
    <w:p>
      <w:pPr>
        <w:pStyle w:val="12"/>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一</w:t>
      </w:r>
      <w:r>
        <w:rPr>
          <w:rFonts w:asciiTheme="minorEastAsia" w:hAnsiTheme="minorEastAsia" w:eastAsiaTheme="minorEastAsia"/>
          <w:b/>
          <w:sz w:val="24"/>
        </w:rPr>
        <w:t>、货款支付</w:t>
      </w:r>
    </w:p>
    <w:p>
      <w:pPr>
        <w:pStyle w:val="12"/>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付款方式：</w:t>
      </w:r>
    </w:p>
    <w:p>
      <w:pPr>
        <w:pStyle w:val="12"/>
        <w:snapToGrid w:val="0"/>
        <w:spacing w:line="360" w:lineRule="auto"/>
        <w:ind w:firstLine="480" w:firstLineChars="200"/>
        <w:rPr>
          <w:rFonts w:asciiTheme="minorEastAsia" w:hAnsiTheme="minorEastAsia" w:eastAsiaTheme="minorEastAsia"/>
          <w:bCs/>
          <w:sz w:val="24"/>
        </w:rPr>
      </w:pPr>
      <w:r>
        <w:rPr>
          <w:rFonts w:hint="eastAsia" w:hAnsi="Times New Roman"/>
          <w:sz w:val="24"/>
          <w:lang w:val="zh-CN"/>
        </w:rPr>
        <w:t>（</w:t>
      </w:r>
      <w:r>
        <w:rPr>
          <w:rFonts w:hint="eastAsia" w:hAnsi="Times New Roman"/>
          <w:sz w:val="24"/>
        </w:rPr>
        <w:t>二</w:t>
      </w:r>
      <w:r>
        <w:rPr>
          <w:rFonts w:hint="eastAsia" w:hAnsi="Times New Roman"/>
          <w:sz w:val="24"/>
          <w:lang w:val="zh-CN"/>
        </w:rPr>
        <w:t>）当采购数量与实际使用数量不一致时，由采购单位向同级财政部门申请并经批准后，可以由乙方根据实际使用量供货，合同的最终结算金额按实际使用量乘以成交单价进行计算。</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2"/>
        <w:snapToGrid w:val="0"/>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乙方应按招标文件规定的货物性能、技术要求、质量标准向甲方提供未经使用的全新产品。</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更换：由乙方承担所发生的全部费用。</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贬值处理：由甲乙双方合议定价。</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退货处理：乙方应退还甲方支付的合同款，同时应承担该货物的直接费用（运输、保险、检验、货款利息及银行手续费等）。</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如在使用过程中发生质量问题，乙方在接到甲方通知后在</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小时内到达甲方现场。</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在质保期内，乙方应对货物出现的质量及安全问题负责处理解决并承担一切费用。</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上述的货物免费保修期为</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年，因人为因素出现的故障不在免费保修范围内。超过保修期的机器设备，终生维修，维修时只收部件成本费。</w:t>
      </w:r>
    </w:p>
    <w:p>
      <w:pPr>
        <w:pStyle w:val="12"/>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甲方对乙方提交的货物依据招标文件上的技术规格要求和国家有关质量标准进行现场初步验收，外观、说明书符合招标文件技术要求的，给予签收，初步验收不合格的不予签收。货到后，甲方需在</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乙方交货前应对产品作出全面检查和对验收文件进行整理，并列出清单，作为甲方收货验收和使用的技术条件依据，检验的结果应随货物交甲方。</w:t>
      </w:r>
    </w:p>
    <w:p>
      <w:pPr>
        <w:pStyle w:val="12"/>
        <w:snapToGrid w:val="0"/>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（三）</w:t>
      </w:r>
      <w:r>
        <w:rPr>
          <w:rFonts w:asciiTheme="minorEastAsia" w:hAnsiTheme="minorEastAsia" w:eastAsiaTheme="minorEastAsia"/>
          <w:sz w:val="24"/>
        </w:rPr>
        <w:t>甲方对乙方提供的货物在使用前进行调试时，乙方需负责安装并培训甲方的使用操作人员，并协助甲方一起调试，直到符合技术要求，甲方才做最终验收。</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对技术复杂的货物，甲方应请国家认可的专业检测机构参与初步验收及最终验收，并由其出具质量检测报告。</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lang w:eastAsia="zh-CN"/>
        </w:rPr>
        <w:t>乙</w:t>
      </w:r>
      <w:r>
        <w:rPr>
          <w:rFonts w:asciiTheme="minorEastAsia" w:hAnsiTheme="minorEastAsia" w:eastAsiaTheme="minorEastAsia"/>
          <w:sz w:val="24"/>
        </w:rPr>
        <w:t>方负责。</w:t>
      </w:r>
    </w:p>
    <w:p>
      <w:pPr>
        <w:pStyle w:val="12"/>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乙方应在货物发运前对其进行满足运输距离、防潮、防震、防锈和防破损装卸等要求包装，以保证货物安全运达甲方指定地点。</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使用说明书、质量检验证明书、随配附件和工具以及清单一并附于货物内。</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乙方在货物发运手续办理完毕后</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小时内或货到甲方</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小时前通知甲方，以准备接货。</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货物在交付甲方前发生的风险均由乙方负责。</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货物在规定的交付期限内由乙方送达甲方指定的地点视为交付，乙方同时需通知甲方货物已送达。</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（六）乙方运送的货物涉及商品包装和快递包装的，参考《商品包装政府采购需求标准（试行）》、《快递包装政府采购需求标准（试行）》（财办库［2020］123号）。</w:t>
      </w:r>
    </w:p>
    <w:p>
      <w:pPr>
        <w:pStyle w:val="12"/>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甲方无正当理由拒收货物的，甲方向乙方偿付拒收货款总值的</w:t>
      </w:r>
      <w:r>
        <w:rPr>
          <w:rFonts w:asciiTheme="minorEastAsia" w:hAnsiTheme="minorEastAsia" w:eastAsiaTheme="minorEastAsia"/>
          <w:sz w:val="24"/>
          <w:u w:val="single"/>
        </w:rPr>
        <w:t>百分之五</w:t>
      </w:r>
      <w:r>
        <w:rPr>
          <w:rFonts w:asciiTheme="minorEastAsia" w:hAnsiTheme="minorEastAsia" w:eastAsiaTheme="minorEastAsia"/>
          <w:sz w:val="24"/>
        </w:rPr>
        <w:t>违约金。</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甲方无故逾期验收和办理货款支付手续的,甲方应按逾期付款总额每日</w:t>
      </w:r>
      <w:r>
        <w:rPr>
          <w:rFonts w:asciiTheme="minorEastAsia" w:hAnsiTheme="minorEastAsia" w:eastAsiaTheme="minorEastAsia"/>
          <w:sz w:val="24"/>
          <w:u w:val="single"/>
        </w:rPr>
        <w:t>万分之五</w:t>
      </w:r>
      <w:r>
        <w:rPr>
          <w:rFonts w:asciiTheme="minorEastAsia" w:hAnsiTheme="minorEastAsia" w:eastAsiaTheme="minorEastAsia"/>
          <w:sz w:val="24"/>
        </w:rPr>
        <w:t>向乙方支付违约金。</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乙方逾期交付货物的，乙方应按逾期交货总额每日</w:t>
      </w:r>
      <w:r>
        <w:rPr>
          <w:rFonts w:asciiTheme="minorEastAsia" w:hAnsiTheme="minorEastAsia" w:eastAsiaTheme="minorEastAsia"/>
          <w:sz w:val="24"/>
          <w:u w:val="single"/>
        </w:rPr>
        <w:t>千分之六</w:t>
      </w:r>
      <w:r>
        <w:rPr>
          <w:rFonts w:asciiTheme="minorEastAsia" w:hAnsiTheme="minorEastAsia" w:eastAsiaTheme="minorEastAsia"/>
          <w:sz w:val="24"/>
        </w:rPr>
        <w:t>向甲方支付违约金，由甲方从待付货款中扣除。逾期超过约定日期</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（五）若发生纠纷，由违约方赔偿守约方因纠纷所支付的费用（包括但不限于律师费、差旅费、诉讼费、保全费、鉴定费、评估费等）。</w:t>
      </w:r>
    </w:p>
    <w:p>
      <w:pPr>
        <w:pStyle w:val="12"/>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在合同有效期内，任何一方因不可抗力事件导致不能履行合同，则合同履行期可延长，其延长期与不可抗力影响期相同。</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不可抗力事件发生后，应立即通知对方，并寄送有关权威机构出具的证明。</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不可抗力事件延续120天以上，双方应通过友好协商，确定是否继续履行合同。</w:t>
      </w:r>
    </w:p>
    <w:p>
      <w:pPr>
        <w:pStyle w:val="12"/>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pStyle w:val="12"/>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2"/>
        <w:tabs>
          <w:tab w:val="left" w:pos="5790"/>
        </w:tabs>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2"/>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（一）</w:t>
      </w:r>
      <w:r>
        <w:rPr>
          <w:rFonts w:asciiTheme="minorEastAsia" w:hAnsiTheme="minorEastAsia" w:eastAsiaTheme="minorEastAsia"/>
        </w:rPr>
        <w:t>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2"/>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（二）</w:t>
      </w:r>
      <w:r>
        <w:rPr>
          <w:rFonts w:asciiTheme="minorEastAsia" w:hAnsiTheme="minorEastAsia" w:eastAsiaTheme="minorEastAsia"/>
        </w:rPr>
        <w:t>本合同未尽事宜，遵照《</w:t>
      </w:r>
      <w:r>
        <w:rPr>
          <w:rFonts w:hint="eastAsia" w:ascii="黑体" w:hAnsi="黑体" w:eastAsia="黑体" w:cs="黑体"/>
          <w:color w:val="111F2C"/>
          <w:szCs w:val="21"/>
          <w:shd w:val="clear" w:color="auto" w:fill="FFFFFF"/>
        </w:rPr>
        <w:t>中华人民共和国民法典</w:t>
      </w:r>
      <w:r>
        <w:rPr>
          <w:rFonts w:asciiTheme="minorEastAsia" w:hAnsiTheme="minorEastAsia" w:eastAsiaTheme="minorEastAsia"/>
        </w:rPr>
        <w:t>》有关条文执行。</w:t>
      </w:r>
    </w:p>
    <w:p>
      <w:pPr>
        <w:pStyle w:val="2"/>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（三）本合同一式两份，甲、乙双方各执一份。本项目未尽事宜以招标文件、投标文件及澄清文件等为准。</w:t>
      </w:r>
    </w:p>
    <w:p>
      <w:pPr>
        <w:widowControl/>
        <w:spacing w:line="360" w:lineRule="auto"/>
        <w:ind w:firstLine="482" w:firstLineChars="200"/>
        <w:rPr>
          <w:rFonts w:asciiTheme="minorEastAsia" w:hAnsiTheme="minorEastAsia" w:eastAsiaTheme="minorEastAsia"/>
          <w:b/>
          <w:sz w:val="24"/>
        </w:rPr>
      </w:pPr>
    </w:p>
    <w:p>
      <w:pPr>
        <w:widowControl/>
        <w:spacing w:line="360" w:lineRule="auto"/>
        <w:ind w:firstLine="482" w:firstLineChars="200"/>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甲方（盖章）                                     乙方（盖章）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账号：                                           账号：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ind w:firstLine="480" w:firstLineChars="200"/>
        <w:rPr>
          <w:rFonts w:asciiTheme="minorEastAsia" w:hAnsiTheme="minorEastAsia" w:eastAsiaTheme="minorEastAsia"/>
          <w:sz w:val="24"/>
        </w:rPr>
      </w:pPr>
    </w:p>
    <w:p>
      <w:pPr>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专用条款</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pStyle w:val="26"/>
        <w:rPr>
          <w:rFonts w:asciiTheme="majorEastAsia" w:hAnsiTheme="majorEastAsia" w:eastAsiaTheme="majorEastAsia"/>
          <w:sz w:val="28"/>
          <w:szCs w:val="28"/>
        </w:rPr>
      </w:pPr>
    </w:p>
    <w:p>
      <w:pPr>
        <w:spacing w:line="360" w:lineRule="auto"/>
        <w:jc w:val="center"/>
        <w:rPr>
          <w:rFonts w:asciiTheme="minorEastAsia" w:hAnsiTheme="minorEastAsia" w:eastAsiaTheme="minorEastAsia"/>
          <w:b/>
          <w:sz w:val="36"/>
          <w:szCs w:val="36"/>
        </w:rPr>
      </w:pPr>
      <w:bookmarkStart w:id="41" w:name="_Toc5481_WPSOffice_Level1"/>
      <w:r>
        <w:rPr>
          <w:rFonts w:hint="eastAsia" w:asciiTheme="minorEastAsia" w:hAnsiTheme="minorEastAsia" w:eastAsiaTheme="minorEastAsia"/>
          <w:b/>
          <w:sz w:val="36"/>
          <w:szCs w:val="36"/>
        </w:rPr>
        <w:t>第六章 投标文件格式</w:t>
      </w:r>
      <w:bookmarkEnd w:id="41"/>
    </w:p>
    <w:p>
      <w:pPr>
        <w:rPr>
          <w:rFonts w:hint="eastAsia" w:ascii="宋体" w:hAnsi="宋体"/>
          <w:b/>
          <w:kern w:val="0"/>
          <w:sz w:val="28"/>
          <w:szCs w:val="28"/>
          <w:lang w:val="en-US" w:eastAsia="zh-CN"/>
        </w:rPr>
      </w:pPr>
      <w:r>
        <w:rPr>
          <w:rFonts w:hint="eastAsia" w:ascii="宋体" w:hAnsi="宋体"/>
          <w:b/>
          <w:kern w:val="0"/>
          <w:sz w:val="28"/>
          <w:szCs w:val="28"/>
          <w:lang w:val="en-US" w:eastAsia="zh-CN"/>
        </w:rPr>
        <w:t xml:space="preserve"> </w:t>
      </w: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2" w:name="_Toc4956_WPSOffice_Level1"/>
      <w:bookmarkStart w:id="43" w:name="_Toc32372_WPSOffice_Level1"/>
      <w:bookmarkStart w:id="44" w:name="_Toc19093_WPSOffice_Level1"/>
      <w:r>
        <w:rPr>
          <w:rFonts w:hint="eastAsia"/>
          <w:sz w:val="52"/>
          <w:szCs w:val="52"/>
        </w:rPr>
        <w:t>项目名称</w:t>
      </w:r>
      <w:bookmarkEnd w:id="42"/>
      <w:bookmarkEnd w:id="43"/>
      <w:bookmarkEnd w:id="44"/>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19"/>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rPr>
          <w:rFonts w:ascii="仿宋_GB2312" w:hAnsi="宋体" w:eastAsia="仿宋_GB2312"/>
          <w:b/>
          <w:sz w:val="36"/>
          <w:szCs w:val="36"/>
        </w:rPr>
      </w:pPr>
      <w:r>
        <w:rPr>
          <w:rFonts w:ascii="仿宋_GB2312" w:hAnsi="宋体" w:eastAsia="仿宋_GB2312"/>
          <w:b/>
          <w:sz w:val="36"/>
          <w:szCs w:val="36"/>
        </w:rPr>
        <w:br w:type="page"/>
      </w:r>
    </w:p>
    <w:p>
      <w:pPr>
        <w:pStyle w:val="19"/>
      </w:pPr>
    </w:p>
    <w:p>
      <w:pPr>
        <w:spacing w:line="360" w:lineRule="auto"/>
        <w:jc w:val="center"/>
        <w:rPr>
          <w:rFonts w:hint="eastAsia"/>
          <w:b/>
          <w:bCs/>
          <w:sz w:val="36"/>
          <w:szCs w:val="36"/>
        </w:rPr>
      </w:pPr>
      <w:r>
        <w:rPr>
          <w:rFonts w:hint="eastAsia"/>
          <w:b/>
          <w:bCs/>
          <w:sz w:val="36"/>
          <w:szCs w:val="36"/>
        </w:rPr>
        <w:t>资格证明文件目录</w:t>
      </w:r>
    </w:p>
    <w:p>
      <w:pPr>
        <w:pStyle w:val="9"/>
      </w:pPr>
    </w:p>
    <w:p/>
    <w:p>
      <w:pPr>
        <w:numPr>
          <w:ilvl w:val="0"/>
          <w:numId w:val="8"/>
        </w:numPr>
        <w:spacing w:line="360" w:lineRule="auto"/>
        <w:ind w:hanging="5"/>
        <w:rPr>
          <w:rFonts w:hint="eastAsia"/>
          <w:sz w:val="28"/>
          <w:szCs w:val="36"/>
        </w:rPr>
      </w:pPr>
      <w:bookmarkStart w:id="45" w:name="_Toc27049_WPSOffice_Level1"/>
      <w:bookmarkStart w:id="46" w:name="_Toc12587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45"/>
      <w:bookmarkEnd w:id="46"/>
    </w:p>
    <w:p>
      <w:pPr>
        <w:numPr>
          <w:ilvl w:val="0"/>
          <w:numId w:val="8"/>
        </w:numPr>
        <w:spacing w:line="360" w:lineRule="auto"/>
        <w:ind w:hanging="5"/>
        <w:rPr>
          <w:rFonts w:hint="eastAsia"/>
          <w:sz w:val="28"/>
          <w:szCs w:val="36"/>
        </w:rPr>
      </w:pPr>
      <w:bookmarkStart w:id="47" w:name="_Toc25574_WPSOffice_Level1"/>
      <w:bookmarkStart w:id="48" w:name="_Toc28306_WPSOffice_Level1"/>
      <w:r>
        <w:rPr>
          <w:rFonts w:hint="eastAsia"/>
          <w:sz w:val="28"/>
          <w:szCs w:val="36"/>
        </w:rPr>
        <w:t>授权委托书（法定代表人办理投标事宜的，则无需提交）（附件</w:t>
      </w:r>
      <w:r>
        <w:rPr>
          <w:rFonts w:hint="eastAsia"/>
          <w:sz w:val="28"/>
          <w:szCs w:val="36"/>
          <w:lang w:val="en-US" w:eastAsia="zh-CN"/>
        </w:rPr>
        <w:t>2</w:t>
      </w:r>
      <w:r>
        <w:rPr>
          <w:rFonts w:hint="eastAsia"/>
          <w:sz w:val="28"/>
          <w:szCs w:val="36"/>
        </w:rPr>
        <w:t>）</w:t>
      </w:r>
      <w:bookmarkEnd w:id="47"/>
      <w:bookmarkEnd w:id="48"/>
    </w:p>
    <w:p>
      <w:pPr>
        <w:numPr>
          <w:ilvl w:val="0"/>
          <w:numId w:val="8"/>
        </w:numPr>
        <w:spacing w:line="360" w:lineRule="auto"/>
        <w:ind w:hanging="5"/>
        <w:rPr>
          <w:rFonts w:hint="eastAsia"/>
          <w:sz w:val="28"/>
          <w:szCs w:val="36"/>
        </w:rPr>
      </w:pPr>
      <w:bookmarkStart w:id="49" w:name="_Toc29616_WPSOffice_Level1"/>
      <w:bookmarkStart w:id="50" w:name="_Toc32100_WPSOffice_Level1"/>
      <w:r>
        <w:rPr>
          <w:rFonts w:hint="eastAsia"/>
          <w:sz w:val="28"/>
          <w:szCs w:val="36"/>
        </w:rPr>
        <w:t>法人或者其他组织的营业执照等证明文件、自然人的身份证明</w:t>
      </w:r>
      <w:bookmarkEnd w:id="49"/>
      <w:bookmarkEnd w:id="50"/>
    </w:p>
    <w:p>
      <w:pPr>
        <w:numPr>
          <w:ilvl w:val="0"/>
          <w:numId w:val="8"/>
        </w:numPr>
        <w:spacing w:line="360" w:lineRule="auto"/>
        <w:ind w:hanging="5"/>
        <w:rPr>
          <w:rFonts w:hint="eastAsia"/>
          <w:sz w:val="28"/>
          <w:szCs w:val="36"/>
        </w:rPr>
      </w:pPr>
      <w:bookmarkStart w:id="51" w:name="_Toc30751_WPSOffice_Level1"/>
      <w:bookmarkStart w:id="52" w:name="_Toc2696_WPSOffice_Level1"/>
      <w:r>
        <w:rPr>
          <w:rFonts w:hint="eastAsia"/>
          <w:sz w:val="28"/>
          <w:szCs w:val="36"/>
        </w:rPr>
        <w:t>符合参与政府采购活动的资格条件并且没有税收缴纳、社会保障等方面的失信记录的承诺函</w:t>
      </w:r>
    </w:p>
    <w:p>
      <w:pPr>
        <w:numPr>
          <w:ilvl w:val="0"/>
          <w:numId w:val="8"/>
        </w:numPr>
        <w:spacing w:line="360" w:lineRule="auto"/>
        <w:ind w:hanging="5"/>
        <w:rPr>
          <w:rFonts w:hint="eastAsia"/>
          <w:sz w:val="28"/>
          <w:szCs w:val="36"/>
        </w:rPr>
      </w:pPr>
      <w:r>
        <w:rPr>
          <w:rFonts w:hint="eastAsia"/>
          <w:sz w:val="28"/>
          <w:szCs w:val="36"/>
        </w:rPr>
        <w:t>具备履行合同所必需的设备和专业技术能力的证明材料</w:t>
      </w:r>
      <w:bookmarkEnd w:id="51"/>
      <w:bookmarkEnd w:id="52"/>
    </w:p>
    <w:p>
      <w:pPr>
        <w:numPr>
          <w:ilvl w:val="0"/>
          <w:numId w:val="8"/>
        </w:numPr>
        <w:spacing w:line="360" w:lineRule="auto"/>
        <w:ind w:hanging="5"/>
        <w:rPr>
          <w:rFonts w:hint="eastAsia"/>
          <w:sz w:val="28"/>
          <w:szCs w:val="36"/>
        </w:rPr>
      </w:pPr>
      <w:bookmarkStart w:id="53" w:name="_Toc14150_WPSOffice_Level1"/>
      <w:bookmarkStart w:id="54" w:name="_Toc4587_WPSOffice_Level1"/>
      <w:r>
        <w:rPr>
          <w:rFonts w:hint="eastAsia"/>
          <w:sz w:val="28"/>
          <w:szCs w:val="36"/>
        </w:rPr>
        <w:t>本项目要求的特定资质证书</w:t>
      </w:r>
      <w:bookmarkEnd w:id="53"/>
      <w:bookmarkEnd w:id="54"/>
    </w:p>
    <w:p>
      <w:pPr>
        <w:spacing w:line="360" w:lineRule="auto"/>
        <w:ind w:firstLine="482" w:firstLineChars="200"/>
        <w:rPr>
          <w:rFonts w:ascii="宋体" w:hAnsi="宋体"/>
          <w:b/>
          <w:sz w:val="24"/>
        </w:rPr>
      </w:pPr>
    </w:p>
    <w:p>
      <w:pPr>
        <w:spacing w:line="360" w:lineRule="auto"/>
        <w:ind w:left="420"/>
        <w:rPr>
          <w:rFonts w:ascii="宋体" w:hAnsi="宋体"/>
          <w:b/>
          <w:sz w:val="28"/>
        </w:rPr>
      </w:pPr>
    </w:p>
    <w:p>
      <w:pPr>
        <w:pStyle w:val="26"/>
        <w:rPr>
          <w:rFonts w:ascii="宋体" w:hAnsi="宋体"/>
          <w:b/>
          <w:sz w:val="28"/>
        </w:rPr>
      </w:pPr>
    </w:p>
    <w:p>
      <w:pPr>
        <w:pStyle w:val="26"/>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rPr>
          <w:rFonts w:ascii="宋体" w:hAnsi="宋体"/>
          <w:b/>
          <w:sz w:val="28"/>
        </w:rPr>
      </w:pPr>
      <w:r>
        <w:rPr>
          <w:rFonts w:ascii="宋体" w:hAnsi="宋体"/>
          <w:b/>
          <w:sz w:val="28"/>
        </w:rPr>
        <w:br w:type="page"/>
      </w: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55" w:name="_Toc31708_WPSOffice_Level1"/>
      <w:bookmarkStart w:id="56" w:name="_Toc30723_WPSOffice_Level1"/>
      <w:r>
        <w:rPr>
          <w:rFonts w:hint="eastAsia" w:ascii="宋体" w:hAnsi="宋体"/>
          <w:b/>
          <w:kern w:val="0"/>
          <w:sz w:val="32"/>
          <w:szCs w:val="32"/>
          <w:lang w:val="zh-CN"/>
        </w:rPr>
        <w:t>投标声明书</w:t>
      </w:r>
      <w:bookmarkEnd w:id="55"/>
      <w:bookmarkEnd w:id="56"/>
    </w:p>
    <w:p>
      <w:pPr>
        <w:snapToGrid w:val="0"/>
        <w:spacing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9"/>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9"/>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9"/>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9"/>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9"/>
        </w:numPr>
        <w:snapToGrid w:val="0"/>
        <w:spacing w:line="360" w:lineRule="auto"/>
        <w:ind w:left="5" w:firstLine="415"/>
        <w:rPr>
          <w:rFonts w:ascii="仿宋_GB2312" w:hAnsi="仿宋_GB2312" w:eastAsia="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9"/>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lang w:val="en-US" w:eastAsia="zh-CN"/>
        </w:rPr>
        <w:t xml:space="preserve">  </w:t>
      </w:r>
      <w:r>
        <w:rPr>
          <w:rFonts w:hint="eastAsia" w:ascii="宋体" w:hAnsi="宋体" w:cs="仿宋_GB2312"/>
          <w:kern w:val="0"/>
          <w:sz w:val="24"/>
          <w:lang w:val="zh-CN"/>
        </w:rPr>
        <w:t>法定代表人或授权委托人签字：</w:t>
      </w:r>
    </w:p>
    <w:p>
      <w:pPr>
        <w:adjustRightInd w:val="0"/>
        <w:snapToGrid w:val="0"/>
        <w:spacing w:line="360"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lang w:val="en-US" w:eastAsia="zh-CN"/>
        </w:rPr>
        <w:t xml:space="preserve">  </w:t>
      </w:r>
      <w:r>
        <w:rPr>
          <w:rFonts w:hint="eastAsia" w:ascii="宋体" w:hAnsi="宋体" w:cs="仿宋_GB2312"/>
          <w:kern w:val="0"/>
          <w:sz w:val="24"/>
          <w:lang w:val="zh-CN"/>
        </w:rPr>
        <w:t xml:space="preserve"> 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cs="仿宋_GB2312"/>
          <w:kern w:val="0"/>
          <w:sz w:val="24"/>
          <w:lang w:val="zh-CN"/>
        </w:rPr>
      </w:pPr>
      <w:r>
        <w:rPr>
          <w:rFonts w:hint="eastAsia" w:ascii="宋体" w:hAnsi="宋体" w:cs="仿宋_GB2312"/>
          <w:kern w:val="0"/>
          <w:sz w:val="24"/>
          <w:lang w:val="zh-CN"/>
        </w:rPr>
        <w:br w:type="page"/>
      </w:r>
    </w:p>
    <w:p>
      <w:pPr>
        <w:adjustRightInd w:val="0"/>
        <w:snapToGrid w:val="0"/>
        <w:spacing w:line="360" w:lineRule="auto"/>
        <w:ind w:right="480"/>
        <w:rPr>
          <w:rFonts w:hint="eastAsia" w:ascii="宋体" w:eastAsia="宋体"/>
          <w:b/>
          <w:sz w:val="30"/>
          <w:szCs w:val="30"/>
          <w:lang w:eastAsia="zh-CN"/>
        </w:rPr>
      </w:pPr>
      <w:r>
        <w:rPr>
          <w:rFonts w:hint="eastAsia" w:ascii="宋体" w:hAnsi="宋体"/>
          <w:b/>
          <w:sz w:val="28"/>
        </w:rPr>
        <w:t>附件</w:t>
      </w:r>
      <w:r>
        <w:rPr>
          <w:rFonts w:hint="eastAsia" w:ascii="宋体" w:hAnsi="宋体"/>
          <w:b/>
          <w:sz w:val="28"/>
          <w:lang w:val="en-US" w:eastAsia="zh-CN"/>
        </w:rPr>
        <w:t>2</w:t>
      </w:r>
    </w:p>
    <w:p>
      <w:pPr>
        <w:spacing w:line="360" w:lineRule="auto"/>
        <w:ind w:firstLine="321" w:firstLineChars="100"/>
        <w:jc w:val="center"/>
        <w:rPr>
          <w:rFonts w:hAnsi="宋体"/>
          <w:b/>
          <w:sz w:val="32"/>
          <w:szCs w:val="32"/>
          <w:u w:val="single"/>
        </w:rPr>
      </w:pPr>
      <w:bookmarkStart w:id="57" w:name="_Toc24373_WPSOffice_Level1"/>
      <w:bookmarkStart w:id="58" w:name="_Toc6870_WPSOffice_Level1"/>
      <w:r>
        <w:rPr>
          <w:b/>
          <w:sz w:val="32"/>
          <w:szCs w:val="32"/>
        </w:rPr>
        <w:t>授权</w:t>
      </w:r>
      <w:r>
        <w:rPr>
          <w:rFonts w:hint="eastAsia"/>
          <w:b/>
          <w:sz w:val="32"/>
          <w:szCs w:val="32"/>
        </w:rPr>
        <w:t>委托</w:t>
      </w:r>
      <w:r>
        <w:rPr>
          <w:b/>
          <w:sz w:val="32"/>
          <w:szCs w:val="32"/>
        </w:rPr>
        <w:t>书</w:t>
      </w:r>
      <w:bookmarkEnd w:id="57"/>
      <w:bookmarkEnd w:id="58"/>
    </w:p>
    <w:p>
      <w:pPr>
        <w:snapToGrid w:val="0"/>
        <w:spacing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2"/>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2"/>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2"/>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jc w:val="center"/>
        <w:rPr>
          <w:rFonts w:hint="eastAsia"/>
          <w:sz w:val="52"/>
          <w:szCs w:val="52"/>
        </w:rPr>
      </w:pPr>
      <w:bookmarkStart w:id="59" w:name="_Toc16825_WPSOffice_Level1"/>
      <w:bookmarkStart w:id="60" w:name="_Toc26389_WPSOffice_Level1"/>
      <w:bookmarkStart w:id="61" w:name="_Toc12331_WPSOffice_Level1"/>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rPr>
        <w:t>项目名称</w:t>
      </w:r>
      <w:bookmarkEnd w:id="59"/>
      <w:bookmarkEnd w:id="60"/>
      <w:bookmarkEnd w:id="61"/>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8"/>
          <w:szCs w:val="28"/>
          <w:lang w:val="zh-CN"/>
        </w:rPr>
        <w:t>商务与技术文件</w:t>
      </w:r>
      <w:r>
        <w:rPr>
          <w:rFonts w:hint="eastAsia" w:ascii="宋体" w:hAnsi="宋体"/>
          <w:b/>
          <w:sz w:val="28"/>
          <w:szCs w:val="28"/>
        </w:rPr>
        <w:t>）</w:t>
      </w:r>
    </w:p>
    <w:p>
      <w:pPr>
        <w:pStyle w:val="19"/>
      </w:pPr>
    </w:p>
    <w:p>
      <w:pPr>
        <w:pStyle w:val="19"/>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rPr>
          <w:rFonts w:ascii="仿宋_GB2312" w:hAnsi="宋体" w:eastAsia="仿宋_GB2312"/>
          <w:b/>
          <w:sz w:val="36"/>
          <w:szCs w:val="36"/>
        </w:rPr>
      </w:pPr>
      <w:r>
        <w:rPr>
          <w:rFonts w:ascii="仿宋_GB2312" w:hAnsi="宋体" w:eastAsia="仿宋_GB2312"/>
          <w:b/>
          <w:sz w:val="36"/>
          <w:szCs w:val="36"/>
        </w:rPr>
        <w:br w:type="page"/>
      </w:r>
    </w:p>
    <w:p>
      <w:pPr>
        <w:pStyle w:val="19"/>
      </w:pPr>
    </w:p>
    <w:p>
      <w:pPr>
        <w:spacing w:line="360" w:lineRule="auto"/>
        <w:jc w:val="center"/>
        <w:rPr>
          <w:sz w:val="28"/>
          <w:szCs w:val="28"/>
        </w:rPr>
      </w:pPr>
      <w:bookmarkStart w:id="62" w:name="_Toc5889_WPSOffice_Level1"/>
      <w:bookmarkStart w:id="63" w:name="_Toc11308_WPSOffice_Level1"/>
      <w:r>
        <w:rPr>
          <w:rFonts w:hint="eastAsia"/>
          <w:b/>
          <w:bCs/>
          <w:sz w:val="36"/>
          <w:szCs w:val="36"/>
          <w:lang w:val="zh-CN"/>
        </w:rPr>
        <w:t>商务与技术文件目录</w:t>
      </w:r>
      <w:bookmarkEnd w:id="62"/>
      <w:bookmarkEnd w:id="63"/>
    </w:p>
    <w:p>
      <w:pPr>
        <w:spacing w:line="360" w:lineRule="auto"/>
        <w:ind w:firstLine="562" w:firstLineChars="200"/>
        <w:rPr>
          <w:rFonts w:hint="eastAsia"/>
          <w:b/>
          <w:bCs/>
          <w:sz w:val="28"/>
          <w:szCs w:val="28"/>
        </w:rPr>
      </w:pPr>
      <w:bookmarkStart w:id="64" w:name="_Toc21250_WPSOffice_Level1"/>
      <w:bookmarkStart w:id="65" w:name="_Toc20529_WPSOffice_Level1"/>
      <w:r>
        <w:rPr>
          <w:rFonts w:hint="eastAsia"/>
          <w:b/>
          <w:bCs/>
          <w:sz w:val="28"/>
          <w:szCs w:val="28"/>
        </w:rPr>
        <w:t>第一部分  技术方案描述部分</w:t>
      </w:r>
      <w:bookmarkEnd w:id="64"/>
      <w:bookmarkEnd w:id="65"/>
    </w:p>
    <w:p>
      <w:pPr>
        <w:numPr>
          <w:ilvl w:val="0"/>
          <w:numId w:val="10"/>
        </w:numPr>
        <w:spacing w:line="360" w:lineRule="auto"/>
        <w:ind w:left="405" w:leftChars="0" w:firstLine="15" w:firstLineChars="0"/>
        <w:rPr>
          <w:rFonts w:hint="eastAsia"/>
          <w:sz w:val="28"/>
          <w:szCs w:val="28"/>
        </w:rPr>
      </w:pPr>
      <w:r>
        <w:rPr>
          <w:rFonts w:hint="eastAsia"/>
          <w:sz w:val="28"/>
          <w:szCs w:val="28"/>
        </w:rPr>
        <w:t>投标人情况介绍（附件</w:t>
      </w:r>
      <w:r>
        <w:rPr>
          <w:rFonts w:hint="eastAsia"/>
          <w:sz w:val="28"/>
          <w:szCs w:val="28"/>
          <w:lang w:val="en-US" w:eastAsia="zh-CN"/>
        </w:rPr>
        <w:t>3</w:t>
      </w:r>
      <w:r>
        <w:rPr>
          <w:rFonts w:hint="eastAsia"/>
          <w:sz w:val="28"/>
          <w:szCs w:val="28"/>
        </w:rPr>
        <w:t>）</w:t>
      </w:r>
    </w:p>
    <w:p>
      <w:pPr>
        <w:numPr>
          <w:ilvl w:val="0"/>
          <w:numId w:val="10"/>
        </w:numPr>
        <w:spacing w:line="360" w:lineRule="auto"/>
        <w:ind w:left="405" w:leftChars="0" w:firstLine="15" w:firstLineChars="0"/>
        <w:rPr>
          <w:rFonts w:hint="eastAsia"/>
          <w:sz w:val="28"/>
          <w:szCs w:val="28"/>
        </w:rPr>
      </w:pPr>
      <w:r>
        <w:rPr>
          <w:rFonts w:hint="eastAsia"/>
          <w:sz w:val="28"/>
          <w:szCs w:val="28"/>
        </w:rPr>
        <w:t>项目需求的理解与分析</w:t>
      </w:r>
    </w:p>
    <w:p>
      <w:pPr>
        <w:numPr>
          <w:ilvl w:val="0"/>
          <w:numId w:val="10"/>
        </w:numPr>
        <w:spacing w:line="360" w:lineRule="auto"/>
        <w:ind w:left="405" w:leftChars="0" w:firstLine="15" w:firstLineChars="0"/>
        <w:rPr>
          <w:rFonts w:hint="eastAsia"/>
          <w:sz w:val="28"/>
          <w:szCs w:val="28"/>
        </w:rPr>
      </w:pPr>
      <w:r>
        <w:rPr>
          <w:rFonts w:hint="eastAsia"/>
          <w:sz w:val="28"/>
          <w:szCs w:val="28"/>
        </w:rPr>
        <w:t>项目组织实施方案（可视情选用附件</w:t>
      </w:r>
      <w:r>
        <w:rPr>
          <w:rFonts w:hint="eastAsia"/>
          <w:sz w:val="28"/>
          <w:szCs w:val="28"/>
          <w:lang w:val="en-US" w:eastAsia="zh-CN"/>
        </w:rPr>
        <w:t>4</w:t>
      </w:r>
      <w:r>
        <w:rPr>
          <w:rFonts w:hint="eastAsia"/>
          <w:sz w:val="28"/>
          <w:szCs w:val="28"/>
        </w:rPr>
        <w:t>、附件</w:t>
      </w:r>
      <w:r>
        <w:rPr>
          <w:rFonts w:hint="eastAsia"/>
          <w:sz w:val="28"/>
          <w:szCs w:val="28"/>
          <w:lang w:val="en-US" w:eastAsia="zh-CN"/>
        </w:rPr>
        <w:t>5</w:t>
      </w:r>
      <w:r>
        <w:rPr>
          <w:rFonts w:hint="eastAsia"/>
          <w:sz w:val="28"/>
          <w:szCs w:val="28"/>
        </w:rPr>
        <w:t>）</w:t>
      </w:r>
    </w:p>
    <w:p>
      <w:pPr>
        <w:numPr>
          <w:ilvl w:val="0"/>
          <w:numId w:val="10"/>
        </w:numPr>
        <w:spacing w:line="360" w:lineRule="auto"/>
        <w:ind w:left="405" w:leftChars="0" w:firstLine="15" w:firstLineChars="0"/>
        <w:rPr>
          <w:rFonts w:hint="eastAsia"/>
          <w:sz w:val="28"/>
          <w:szCs w:val="28"/>
        </w:rPr>
      </w:pPr>
      <w:r>
        <w:rPr>
          <w:rFonts w:hint="eastAsia"/>
          <w:sz w:val="28"/>
          <w:szCs w:val="28"/>
        </w:rPr>
        <w:t>安装、调试及验收方案</w:t>
      </w:r>
    </w:p>
    <w:p>
      <w:pPr>
        <w:spacing w:line="360" w:lineRule="auto"/>
        <w:ind w:firstLine="562" w:firstLineChars="200"/>
        <w:rPr>
          <w:rFonts w:hint="eastAsia"/>
          <w:b/>
          <w:bCs/>
          <w:sz w:val="28"/>
          <w:szCs w:val="28"/>
        </w:rPr>
      </w:pPr>
      <w:bookmarkStart w:id="66" w:name="_Toc6008_WPSOffice_Level1"/>
      <w:bookmarkStart w:id="67" w:name="_Toc12004_WPSOffice_Level1"/>
      <w:r>
        <w:rPr>
          <w:rFonts w:hint="eastAsia"/>
          <w:b/>
          <w:bCs/>
          <w:sz w:val="28"/>
          <w:szCs w:val="28"/>
        </w:rPr>
        <w:t>第二部分  投标产品描述部分</w:t>
      </w:r>
      <w:bookmarkEnd w:id="66"/>
      <w:bookmarkEnd w:id="67"/>
    </w:p>
    <w:p>
      <w:pPr>
        <w:numPr>
          <w:ilvl w:val="0"/>
          <w:numId w:val="11"/>
        </w:numPr>
        <w:spacing w:line="360" w:lineRule="auto"/>
        <w:ind w:left="425" w:leftChars="0" w:hanging="5" w:firstLineChars="0"/>
        <w:rPr>
          <w:rFonts w:hint="eastAsia"/>
          <w:sz w:val="28"/>
          <w:szCs w:val="28"/>
        </w:rPr>
      </w:pPr>
      <w:r>
        <w:rPr>
          <w:rFonts w:hint="eastAsia"/>
          <w:sz w:val="28"/>
          <w:szCs w:val="28"/>
        </w:rPr>
        <w:t>投标产品描述及相关资料（可视情选用附件</w:t>
      </w:r>
      <w:r>
        <w:rPr>
          <w:rFonts w:hint="eastAsia"/>
          <w:sz w:val="28"/>
          <w:szCs w:val="28"/>
          <w:lang w:val="en-US" w:eastAsia="zh-CN"/>
        </w:rPr>
        <w:t>6</w:t>
      </w:r>
      <w:r>
        <w:rPr>
          <w:rFonts w:hint="eastAsia"/>
          <w:sz w:val="28"/>
          <w:szCs w:val="28"/>
        </w:rPr>
        <w:t>）</w:t>
      </w:r>
    </w:p>
    <w:p>
      <w:pPr>
        <w:numPr>
          <w:ilvl w:val="0"/>
          <w:numId w:val="11"/>
        </w:numPr>
        <w:spacing w:line="360" w:lineRule="auto"/>
        <w:ind w:left="425" w:leftChars="0" w:hanging="5" w:firstLineChars="0"/>
        <w:rPr>
          <w:rFonts w:hint="eastAsia"/>
          <w:sz w:val="28"/>
          <w:szCs w:val="28"/>
        </w:rPr>
      </w:pPr>
      <w:r>
        <w:rPr>
          <w:rFonts w:hint="eastAsia"/>
          <w:sz w:val="28"/>
          <w:szCs w:val="28"/>
        </w:rPr>
        <w:t>技术需求响应表（附件</w:t>
      </w:r>
      <w:r>
        <w:rPr>
          <w:rFonts w:hint="eastAsia"/>
          <w:sz w:val="28"/>
          <w:szCs w:val="28"/>
          <w:lang w:val="en-US" w:eastAsia="zh-CN"/>
        </w:rPr>
        <w:t>7</w:t>
      </w:r>
      <w:r>
        <w:rPr>
          <w:rFonts w:hint="eastAsia"/>
          <w:sz w:val="28"/>
          <w:szCs w:val="28"/>
        </w:rPr>
        <w:t>）</w:t>
      </w:r>
    </w:p>
    <w:p>
      <w:pPr>
        <w:numPr>
          <w:ilvl w:val="0"/>
          <w:numId w:val="11"/>
        </w:numPr>
        <w:spacing w:line="360" w:lineRule="auto"/>
        <w:ind w:left="425" w:leftChars="0" w:hanging="5" w:firstLineChars="0"/>
        <w:rPr>
          <w:rFonts w:hint="eastAsia"/>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rFonts w:hint="eastAsia"/>
          <w:b/>
          <w:bCs/>
          <w:sz w:val="28"/>
          <w:szCs w:val="28"/>
        </w:rPr>
      </w:pPr>
      <w:bookmarkStart w:id="68" w:name="_Toc30029_WPSOffice_Level1"/>
      <w:bookmarkStart w:id="69" w:name="_Toc20986_WPSOffice_Level1"/>
      <w:r>
        <w:rPr>
          <w:rFonts w:hint="eastAsia"/>
          <w:b/>
          <w:bCs/>
          <w:sz w:val="28"/>
          <w:szCs w:val="28"/>
        </w:rPr>
        <w:t>第三部分  商务及其他部分</w:t>
      </w:r>
      <w:bookmarkEnd w:id="68"/>
      <w:bookmarkEnd w:id="69"/>
    </w:p>
    <w:p>
      <w:pPr>
        <w:numPr>
          <w:ilvl w:val="0"/>
          <w:numId w:val="12"/>
        </w:numPr>
        <w:spacing w:line="360" w:lineRule="auto"/>
        <w:ind w:left="425" w:leftChars="0" w:hanging="5" w:firstLineChars="0"/>
        <w:rPr>
          <w:rFonts w:hint="eastAsia"/>
          <w:sz w:val="28"/>
          <w:szCs w:val="28"/>
        </w:rPr>
      </w:pPr>
      <w:r>
        <w:rPr>
          <w:rFonts w:hint="eastAsia"/>
          <w:sz w:val="28"/>
          <w:szCs w:val="28"/>
        </w:rPr>
        <w:t>证书一览表（附件</w:t>
      </w:r>
      <w:r>
        <w:rPr>
          <w:rFonts w:hint="eastAsia"/>
          <w:sz w:val="28"/>
          <w:szCs w:val="28"/>
          <w:lang w:val="en-US" w:eastAsia="zh-CN"/>
        </w:rPr>
        <w:t>8</w:t>
      </w:r>
      <w:r>
        <w:rPr>
          <w:rFonts w:hint="eastAsia"/>
          <w:sz w:val="28"/>
          <w:szCs w:val="28"/>
        </w:rPr>
        <w:t>）</w:t>
      </w:r>
    </w:p>
    <w:p>
      <w:pPr>
        <w:numPr>
          <w:ilvl w:val="0"/>
          <w:numId w:val="12"/>
        </w:numPr>
        <w:spacing w:line="360" w:lineRule="auto"/>
        <w:ind w:left="425" w:leftChars="0" w:hanging="5" w:firstLineChars="0"/>
        <w:rPr>
          <w:rFonts w:hint="eastAsia"/>
          <w:sz w:val="28"/>
          <w:szCs w:val="28"/>
        </w:rPr>
      </w:pPr>
      <w:r>
        <w:rPr>
          <w:rFonts w:hint="eastAsia"/>
          <w:sz w:val="28"/>
          <w:szCs w:val="28"/>
        </w:rPr>
        <w:t>近三年来类似项目的成功案例（附件</w:t>
      </w:r>
      <w:r>
        <w:rPr>
          <w:rFonts w:hint="eastAsia"/>
          <w:sz w:val="28"/>
          <w:szCs w:val="28"/>
          <w:lang w:val="en-US" w:eastAsia="zh-CN"/>
        </w:rPr>
        <w:t>9</w:t>
      </w:r>
      <w:r>
        <w:rPr>
          <w:rFonts w:hint="eastAsia"/>
          <w:sz w:val="28"/>
          <w:szCs w:val="28"/>
        </w:rPr>
        <w:t>）</w:t>
      </w:r>
    </w:p>
    <w:p>
      <w:pPr>
        <w:numPr>
          <w:ilvl w:val="0"/>
          <w:numId w:val="12"/>
        </w:numPr>
        <w:spacing w:line="360" w:lineRule="auto"/>
        <w:ind w:left="425" w:leftChars="0" w:hanging="5" w:firstLineChars="0"/>
        <w:rPr>
          <w:rFonts w:hint="eastAsia"/>
          <w:sz w:val="28"/>
          <w:szCs w:val="28"/>
        </w:rPr>
      </w:pPr>
      <w:r>
        <w:rPr>
          <w:rFonts w:hint="eastAsia"/>
          <w:sz w:val="28"/>
          <w:szCs w:val="28"/>
        </w:rPr>
        <w:t>售后服务描述及承诺（可视情选用附件1</w:t>
      </w:r>
      <w:r>
        <w:rPr>
          <w:rFonts w:hint="eastAsia"/>
          <w:sz w:val="28"/>
          <w:szCs w:val="28"/>
          <w:lang w:val="en-US" w:eastAsia="zh-CN"/>
        </w:rPr>
        <w:t>0</w:t>
      </w:r>
      <w:r>
        <w:rPr>
          <w:rFonts w:hint="eastAsia"/>
          <w:sz w:val="28"/>
          <w:szCs w:val="28"/>
        </w:rPr>
        <w:t>，附件1</w:t>
      </w:r>
      <w:r>
        <w:rPr>
          <w:rFonts w:hint="eastAsia"/>
          <w:sz w:val="28"/>
          <w:szCs w:val="28"/>
          <w:lang w:val="en-US" w:eastAsia="zh-CN"/>
        </w:rPr>
        <w:t>1</w:t>
      </w:r>
      <w:r>
        <w:rPr>
          <w:rFonts w:hint="eastAsia"/>
          <w:sz w:val="28"/>
          <w:szCs w:val="28"/>
        </w:rPr>
        <w:t>）</w:t>
      </w:r>
    </w:p>
    <w:p>
      <w:pPr>
        <w:numPr>
          <w:ilvl w:val="0"/>
          <w:numId w:val="12"/>
        </w:numPr>
        <w:spacing w:line="360" w:lineRule="auto"/>
        <w:ind w:left="425" w:leftChars="0" w:hanging="5" w:firstLineChars="0"/>
        <w:rPr>
          <w:rFonts w:hint="eastAsia"/>
          <w:sz w:val="28"/>
          <w:szCs w:val="28"/>
        </w:rPr>
      </w:pPr>
      <w:r>
        <w:rPr>
          <w:rFonts w:hint="eastAsia"/>
          <w:sz w:val="28"/>
          <w:szCs w:val="28"/>
        </w:rPr>
        <w:t>投标人需要说明的其他内容（包括可能影响投标人企业实力及信誉评分项以及售后服务评分项的各类证明材料）</w:t>
      </w:r>
    </w:p>
    <w:p>
      <w:pPr>
        <w:numPr>
          <w:ilvl w:val="0"/>
          <w:numId w:val="12"/>
        </w:numPr>
        <w:spacing w:line="360" w:lineRule="auto"/>
        <w:ind w:left="425" w:leftChars="0" w:hanging="5" w:firstLineChars="0"/>
        <w:rPr>
          <w:rFonts w:hint="eastAsia"/>
          <w:sz w:val="28"/>
          <w:szCs w:val="28"/>
        </w:rPr>
      </w:pPr>
      <w:r>
        <w:rPr>
          <w:rFonts w:hint="eastAsia"/>
          <w:sz w:val="28"/>
          <w:szCs w:val="28"/>
        </w:rPr>
        <w:t>主要货物用材响应表（类似家具类货物采用，附件1</w:t>
      </w:r>
      <w:r>
        <w:rPr>
          <w:rFonts w:hint="eastAsia"/>
          <w:sz w:val="28"/>
          <w:szCs w:val="28"/>
          <w:lang w:val="en-US" w:eastAsia="zh-CN"/>
        </w:rPr>
        <w:t>2</w:t>
      </w:r>
      <w:r>
        <w:rPr>
          <w:rFonts w:hint="eastAsia"/>
          <w:sz w:val="28"/>
          <w:szCs w:val="28"/>
        </w:rPr>
        <w:t>）</w:t>
      </w:r>
    </w:p>
    <w:p>
      <w:pPr>
        <w:pStyle w:val="30"/>
        <w:spacing w:before="0" w:beforeAutospacing="0" w:after="0" w:afterAutospacing="0" w:line="360" w:lineRule="auto"/>
        <w:ind w:firstLine="482" w:firstLineChars="200"/>
        <w:jc w:val="both"/>
        <w:rPr>
          <w:b/>
        </w:rPr>
      </w:pPr>
    </w:p>
    <w:p>
      <w:pPr>
        <w:pStyle w:val="30"/>
        <w:spacing w:before="0" w:beforeAutospacing="0" w:after="0" w:afterAutospacing="0" w:line="360" w:lineRule="auto"/>
        <w:rPr>
          <w:b/>
          <w:sz w:val="28"/>
        </w:rPr>
      </w:pPr>
    </w:p>
    <w:p>
      <w:pPr>
        <w:rPr>
          <w:b/>
          <w:sz w:val="28"/>
        </w:rPr>
      </w:pPr>
      <w:r>
        <w:rPr>
          <w:b/>
          <w:sz w:val="28"/>
        </w:rPr>
        <w:br w:type="page"/>
      </w:r>
    </w:p>
    <w:p>
      <w:pPr>
        <w:pStyle w:val="30"/>
        <w:spacing w:before="0" w:beforeAutospacing="0" w:after="0" w:afterAutospacing="0" w:line="360" w:lineRule="auto"/>
        <w:rPr>
          <w:rFonts w:hint="eastAsia" w:eastAsia="宋体"/>
          <w:b/>
          <w:sz w:val="28"/>
          <w:lang w:eastAsia="zh-CN"/>
        </w:rPr>
      </w:pPr>
      <w:r>
        <w:rPr>
          <w:rFonts w:hint="eastAsia"/>
          <w:b/>
          <w:sz w:val="28"/>
        </w:rPr>
        <w:t>附件</w:t>
      </w:r>
      <w:r>
        <w:rPr>
          <w:rFonts w:hint="eastAsia"/>
          <w:b/>
          <w:sz w:val="28"/>
          <w:lang w:val="en-US" w:eastAsia="zh-CN"/>
        </w:rPr>
        <w:t>3</w:t>
      </w:r>
    </w:p>
    <w:p>
      <w:pPr>
        <w:pStyle w:val="30"/>
        <w:spacing w:before="0" w:beforeAutospacing="0" w:after="0" w:afterAutospacing="0" w:line="360" w:lineRule="auto"/>
        <w:jc w:val="center"/>
        <w:rPr>
          <w:rFonts w:eastAsia="微软雅黑"/>
          <w:sz w:val="36"/>
          <w:szCs w:val="36"/>
        </w:rPr>
      </w:pPr>
      <w:r>
        <w:rPr>
          <w:rFonts w:hint="eastAsia"/>
          <w:b/>
          <w:sz w:val="32"/>
          <w:szCs w:val="32"/>
        </w:rPr>
        <w:t xml:space="preserve">  </w:t>
      </w:r>
      <w:bookmarkStart w:id="70" w:name="_Toc14261_WPSOffice_Level1"/>
      <w:bookmarkStart w:id="71" w:name="_Toc13307_WPSOffice_Level1"/>
      <w:r>
        <w:rPr>
          <w:rFonts w:hint="eastAsia"/>
          <w:b/>
          <w:sz w:val="32"/>
          <w:szCs w:val="32"/>
        </w:rPr>
        <w:t>投标</w:t>
      </w:r>
      <w:r>
        <w:rPr>
          <w:rFonts w:hint="eastAsia"/>
          <w:b/>
          <w:bCs/>
          <w:sz w:val="32"/>
          <w:szCs w:val="32"/>
        </w:rPr>
        <w:t>人基本情况表</w:t>
      </w:r>
      <w:bookmarkEnd w:id="70"/>
      <w:bookmarkEnd w:id="71"/>
    </w:p>
    <w:tbl>
      <w:tblPr>
        <w:tblStyle w:val="20"/>
        <w:tblpPr w:leftFromText="181" w:rightFromText="181" w:bottomFromText="170" w:vertAnchor="text" w:tblpXSpec="center" w:tblpY="1"/>
        <w:tblOverlap w:val="never"/>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700"/>
        <w:gridCol w:w="852"/>
        <w:gridCol w:w="58"/>
        <w:gridCol w:w="1196"/>
        <w:gridCol w:w="112"/>
        <w:gridCol w:w="1093"/>
        <w:gridCol w:w="325"/>
        <w:gridCol w:w="1276"/>
        <w:gridCol w:w="400"/>
        <w:gridCol w:w="122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22"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企业名称</w:t>
            </w:r>
          </w:p>
        </w:tc>
        <w:tc>
          <w:tcPr>
            <w:tcW w:w="4011" w:type="dxa"/>
            <w:gridSpan w:val="6"/>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法人代表</w:t>
            </w:r>
          </w:p>
        </w:tc>
        <w:tc>
          <w:tcPr>
            <w:tcW w:w="2153"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22"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地址</w:t>
            </w:r>
          </w:p>
        </w:tc>
        <w:tc>
          <w:tcPr>
            <w:tcW w:w="4011" w:type="dxa"/>
            <w:gridSpan w:val="6"/>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企业性质</w:t>
            </w:r>
          </w:p>
        </w:tc>
        <w:tc>
          <w:tcPr>
            <w:tcW w:w="2153"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22" w:type="dxa"/>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股东姓名</w:t>
            </w:r>
          </w:p>
        </w:tc>
        <w:tc>
          <w:tcPr>
            <w:tcW w:w="700" w:type="dxa"/>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股权结构（%）</w:t>
            </w:r>
          </w:p>
        </w:tc>
        <w:tc>
          <w:tcPr>
            <w:tcW w:w="2401" w:type="dxa"/>
            <w:gridSpan w:val="3"/>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股东关系</w:t>
            </w:r>
          </w:p>
        </w:tc>
        <w:tc>
          <w:tcPr>
            <w:tcW w:w="2153"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22" w:type="dxa"/>
            <w:vMerge w:val="restart"/>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联系人姓名</w:t>
            </w:r>
          </w:p>
        </w:tc>
        <w:tc>
          <w:tcPr>
            <w:tcW w:w="700" w:type="dxa"/>
            <w:vMerge w:val="restart"/>
            <w:tcBorders>
              <w:top w:val="nil"/>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top w:val="nil"/>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固定电话</w:t>
            </w:r>
          </w:p>
        </w:tc>
        <w:tc>
          <w:tcPr>
            <w:tcW w:w="2401" w:type="dxa"/>
            <w:gridSpan w:val="3"/>
            <w:tcBorders>
              <w:top w:val="nil"/>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vMerge w:val="restart"/>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传真</w:t>
            </w:r>
          </w:p>
        </w:tc>
        <w:tc>
          <w:tcPr>
            <w:tcW w:w="2153" w:type="dxa"/>
            <w:gridSpan w:val="2"/>
            <w:vMerge w:val="restart"/>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22" w:type="dxa"/>
            <w:vMerge w:val="continue"/>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vMerge w:val="continue"/>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手机</w:t>
            </w:r>
          </w:p>
        </w:tc>
        <w:tc>
          <w:tcPr>
            <w:tcW w:w="2401" w:type="dxa"/>
            <w:gridSpan w:val="3"/>
            <w:tcBorders>
              <w:bottom w:val="single" w:color="auto" w:sz="4" w:space="0"/>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2153" w:type="dxa"/>
            <w:gridSpan w:val="2"/>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22" w:type="dxa"/>
            <w:vMerge w:val="restart"/>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w:t>
            </w:r>
          </w:p>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w:t>
            </w:r>
          </w:p>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概</w:t>
            </w:r>
          </w:p>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况</w:t>
            </w:r>
          </w:p>
        </w:tc>
        <w:tc>
          <w:tcPr>
            <w:tcW w:w="700" w:type="dxa"/>
            <w:tcBorders>
              <w:top w:val="nil"/>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职工人数</w:t>
            </w:r>
          </w:p>
        </w:tc>
        <w:tc>
          <w:tcPr>
            <w:tcW w:w="910" w:type="dxa"/>
            <w:gridSpan w:val="2"/>
            <w:tcBorders>
              <w:top w:val="nil"/>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Borders>
              <w:top w:val="nil"/>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具备大专以上学历人数</w:t>
            </w:r>
          </w:p>
        </w:tc>
        <w:tc>
          <w:tcPr>
            <w:tcW w:w="1205" w:type="dxa"/>
            <w:gridSpan w:val="2"/>
            <w:tcBorders>
              <w:top w:val="nil"/>
            </w:tcBorders>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国家授予技术职称人数</w:t>
            </w:r>
          </w:p>
        </w:tc>
        <w:tc>
          <w:tcPr>
            <w:tcW w:w="2153" w:type="dxa"/>
            <w:gridSpan w:val="2"/>
            <w:tcMar>
              <w:top w:w="57" w:type="dxa"/>
              <w:left w:w="108" w:type="dxa"/>
              <w:bottom w:w="0" w:type="dxa"/>
              <w:right w:w="108" w:type="dxa"/>
            </w:tcMar>
            <w:vAlign w:val="center"/>
          </w:tcPr>
          <w:p>
            <w:pPr>
              <w:widowControl/>
              <w:jc w:val="center"/>
              <w:rPr>
                <w:rFonts w:hint="eastAsia" w:asciiTheme="minorEastAsia" w:hAnsiTheme="minorEastAsia" w:eastAsiaTheme="minorEastAsia" w:cstheme="minorEastAsia"/>
                <w:bCs/>
                <w:kern w:val="0"/>
                <w:sz w:val="21"/>
                <w:szCs w:val="21"/>
              </w:rPr>
            </w:pPr>
          </w:p>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占地面积</w:t>
            </w:r>
          </w:p>
        </w:tc>
        <w:tc>
          <w:tcPr>
            <w:tcW w:w="910"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建筑</w:t>
            </w:r>
          </w:p>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面积</w:t>
            </w:r>
          </w:p>
        </w:tc>
        <w:tc>
          <w:tcPr>
            <w:tcW w:w="1205" w:type="dxa"/>
            <w:gridSpan w:val="2"/>
            <w:tcMar>
              <w:top w:w="57" w:type="dxa"/>
              <w:left w:w="108" w:type="dxa"/>
              <w:bottom w:w="0" w:type="dxa"/>
              <w:right w:w="108" w:type="dxa"/>
            </w:tcMar>
            <w:vAlign w:val="center"/>
          </w:tcPr>
          <w:p>
            <w:pPr>
              <w:pStyle w:val="30"/>
              <w:spacing w:before="0" w:beforeAutospacing="0" w:after="0" w:afterAutospacing="0"/>
              <w:jc w:val="righ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平方米</w:t>
            </w:r>
          </w:p>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□自有</w:t>
            </w:r>
          </w:p>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□租赁</w:t>
            </w:r>
          </w:p>
        </w:tc>
        <w:tc>
          <w:tcPr>
            <w:tcW w:w="2001" w:type="dxa"/>
            <w:gridSpan w:val="3"/>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生产经营场所及场所的设施与设备</w:t>
            </w:r>
          </w:p>
        </w:tc>
        <w:tc>
          <w:tcPr>
            <w:tcW w:w="2153"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注册资金</w:t>
            </w:r>
          </w:p>
        </w:tc>
        <w:tc>
          <w:tcPr>
            <w:tcW w:w="910"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注册发证机关</w:t>
            </w:r>
          </w:p>
        </w:tc>
        <w:tc>
          <w:tcPr>
            <w:tcW w:w="3206" w:type="dxa"/>
            <w:gridSpan w:val="5"/>
            <w:tcMar>
              <w:top w:w="57" w:type="dxa"/>
              <w:left w:w="108" w:type="dxa"/>
              <w:bottom w:w="0" w:type="dxa"/>
              <w:right w:w="108" w:type="dxa"/>
            </w:tcMar>
            <w:vAlign w:val="center"/>
          </w:tcPr>
          <w:p>
            <w:pPr>
              <w:widowControl/>
              <w:jc w:val="center"/>
              <w:rPr>
                <w:rFonts w:hint="eastAsia" w:asciiTheme="minorEastAsia" w:hAnsiTheme="minorEastAsia" w:eastAsiaTheme="minorEastAsia" w:cstheme="minorEastAsia"/>
                <w:bCs/>
                <w:kern w:val="0"/>
                <w:sz w:val="21"/>
                <w:szCs w:val="21"/>
              </w:rPr>
            </w:pPr>
          </w:p>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220"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公司成立时间</w:t>
            </w:r>
          </w:p>
        </w:tc>
        <w:tc>
          <w:tcPr>
            <w:tcW w:w="933"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核准经营范围</w:t>
            </w:r>
          </w:p>
        </w:tc>
        <w:tc>
          <w:tcPr>
            <w:tcW w:w="7465" w:type="dxa"/>
            <w:gridSpan w:val="10"/>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8165" w:type="dxa"/>
            <w:gridSpan w:val="11"/>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22" w:type="dxa"/>
            <w:vMerge w:val="restart"/>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企业有关资质获证情况</w:t>
            </w:r>
          </w:p>
        </w:tc>
        <w:tc>
          <w:tcPr>
            <w:tcW w:w="1552" w:type="dxa"/>
            <w:gridSpan w:val="2"/>
            <w:vMerge w:val="restart"/>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产品生产许可证情况（对需获得生产许可证的产品要填写此栏）</w:t>
            </w:r>
          </w:p>
        </w:tc>
        <w:tc>
          <w:tcPr>
            <w:tcW w:w="1366" w:type="dxa"/>
            <w:gridSpan w:val="3"/>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产品名称</w:t>
            </w:r>
          </w:p>
        </w:tc>
        <w:tc>
          <w:tcPr>
            <w:tcW w:w="1418"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发证机关</w:t>
            </w:r>
          </w:p>
        </w:tc>
        <w:tc>
          <w:tcPr>
            <w:tcW w:w="1276"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编号</w:t>
            </w:r>
          </w:p>
        </w:tc>
        <w:tc>
          <w:tcPr>
            <w:tcW w:w="1620"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发证时间</w:t>
            </w:r>
          </w:p>
        </w:tc>
        <w:tc>
          <w:tcPr>
            <w:tcW w:w="933"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366" w:type="dxa"/>
            <w:gridSpan w:val="3"/>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418"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276"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620"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933" w:type="dxa"/>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企业通过质量体系、环保体系、计量等认证情况</w:t>
            </w:r>
          </w:p>
        </w:tc>
        <w:tc>
          <w:tcPr>
            <w:tcW w:w="6613" w:type="dxa"/>
            <w:gridSpan w:val="9"/>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2" w:type="dxa"/>
            <w:vMerge w:val="continue"/>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企业获得专利情况</w:t>
            </w:r>
          </w:p>
        </w:tc>
        <w:tc>
          <w:tcPr>
            <w:tcW w:w="6613" w:type="dxa"/>
            <w:gridSpan w:val="9"/>
            <w:tcMar>
              <w:top w:w="57" w:type="dxa"/>
              <w:left w:w="108" w:type="dxa"/>
              <w:bottom w:w="0" w:type="dxa"/>
              <w:right w:w="108" w:type="dxa"/>
            </w:tcMar>
            <w:vAlign w:val="center"/>
          </w:tcPr>
          <w:p>
            <w:pPr>
              <w:pStyle w:val="30"/>
              <w:spacing w:before="0" w:beforeAutospacing="0" w:after="0" w:afterAutospacing="0"/>
              <w:jc w:val="center"/>
              <w:rPr>
                <w:rFonts w:hint="eastAsia" w:asciiTheme="minorEastAsia" w:hAnsiTheme="minorEastAsia" w:eastAsiaTheme="minorEastAsia" w:cstheme="minorEastAsia"/>
                <w:bCs/>
                <w:sz w:val="21"/>
                <w:szCs w:val="21"/>
              </w:rPr>
            </w:pPr>
          </w:p>
        </w:tc>
      </w:tr>
    </w:tbl>
    <w:p>
      <w:pPr>
        <w:pStyle w:val="30"/>
        <w:spacing w:before="0" w:beforeAutospacing="0" w:after="0" w:afterAutospacing="0"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p>
      <w:pPr>
        <w:pStyle w:val="30"/>
        <w:spacing w:before="0" w:beforeAutospacing="0" w:after="0" w:afterAutospacing="0" w:line="360" w:lineRule="auto"/>
        <w:ind w:firstLine="424" w:firstLineChars="20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0"/>
        <w:spacing w:before="0" w:beforeAutospacing="0" w:after="0" w:afterAutospacing="0" w:line="360" w:lineRule="auto"/>
        <w:ind w:firstLine="424" w:firstLineChars="177"/>
        <w:rPr>
          <w:b/>
          <w:bCs/>
        </w:rPr>
      </w:pPr>
      <w:r>
        <w:rPr>
          <w:rFonts w:hint="eastAsia"/>
        </w:rPr>
        <w:t>日        期：：</w:t>
      </w:r>
    </w:p>
    <w:p>
      <w:pPr>
        <w:rPr>
          <w:rFonts w:ascii="宋体" w:hAnsi="宋体"/>
          <w:b/>
          <w:sz w:val="24"/>
        </w:rPr>
      </w:pPr>
      <w:r>
        <w:rPr>
          <w:rFonts w:ascii="宋体" w:hAnsi="宋体"/>
          <w:b/>
          <w:sz w:val="24"/>
        </w:rPr>
        <w:br w:type="page"/>
      </w: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4</w:t>
      </w:r>
    </w:p>
    <w:p>
      <w:pPr>
        <w:snapToGrid w:val="0"/>
        <w:spacing w:beforeLines="50" w:after="50" w:line="360" w:lineRule="auto"/>
        <w:jc w:val="center"/>
        <w:rPr>
          <w:rFonts w:ascii="宋体" w:hAnsi="宋体"/>
          <w:b/>
          <w:sz w:val="36"/>
          <w:szCs w:val="36"/>
        </w:rPr>
      </w:pPr>
      <w:bookmarkStart w:id="72" w:name="_Toc20569_WPSOffice_Level1"/>
      <w:bookmarkStart w:id="73" w:name="_Toc23671_WPSOffice_Level1"/>
      <w:r>
        <w:rPr>
          <w:rFonts w:hint="eastAsia" w:ascii="宋体" w:hAnsi="宋体"/>
          <w:b/>
          <w:sz w:val="32"/>
          <w:szCs w:val="32"/>
        </w:rPr>
        <w:t>项目实施人员一览表</w:t>
      </w:r>
      <w:bookmarkEnd w:id="72"/>
      <w:bookmarkEnd w:id="73"/>
    </w:p>
    <w:p>
      <w:pPr>
        <w:snapToGrid w:val="0"/>
        <w:spacing w:beforeLines="50" w:after="50" w:line="360" w:lineRule="auto"/>
        <w:ind w:left="0" w:leftChars="0" w:firstLine="0" w:firstLineChars="0"/>
        <w:jc w:val="center"/>
        <w:rPr>
          <w:rFonts w:ascii="宋体" w:hAnsi="宋体"/>
          <w:sz w:val="24"/>
        </w:rPr>
      </w:pPr>
      <w:r>
        <w:rPr>
          <w:rFonts w:hint="eastAsia" w:ascii="宋体" w:hAnsi="宋体"/>
          <w:sz w:val="24"/>
        </w:rPr>
        <w:t>（主要从业人员及其技术资格）</w:t>
      </w:r>
    </w:p>
    <w:tbl>
      <w:tblPr>
        <w:tblStyle w:val="20"/>
        <w:tblpPr w:leftFromText="181" w:rightFromText="181" w:bottomFromText="170" w:vertAnchor="text" w:tblpXSpec="center" w:tblpY="1"/>
        <w:tblOverlap w:val="never"/>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napToGrid w:val="0"/>
              <w:spacing w:beforeLines="50" w:after="50" w:line="360" w:lineRule="auto"/>
              <w:ind w:left="5250"/>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napToGrid w:val="0"/>
              <w:spacing w:beforeLines="50" w:after="50" w:line="360" w:lineRule="auto"/>
              <w:ind w:left="5250"/>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pacing w:line="360" w:lineRule="auto"/>
              <w:ind w:left="5250"/>
              <w:rPr>
                <w:rFonts w:hint="eastAsia" w:asciiTheme="minorEastAsia" w:hAnsiTheme="minorEastAsia" w:eastAsiaTheme="minorEastAsia" w:cstheme="minorEastAsia"/>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szCs w:val="21"/>
        </w:rPr>
        <w:t>1.</w:t>
      </w:r>
      <w:r>
        <w:rPr>
          <w:rFonts w:hint="eastAsia" w:ascii="宋体" w:hAnsi="宋体"/>
          <w:szCs w:val="21"/>
        </w:rPr>
        <w:t>在填写时，如本表格不适合投标单位的实际情况，可根据本表格式自行划表填写。</w:t>
      </w:r>
    </w:p>
    <w:p>
      <w:pPr>
        <w:pStyle w:val="31"/>
        <w:spacing w:line="360" w:lineRule="auto"/>
        <w:ind w:left="424" w:leftChars="202"/>
        <w:rPr>
          <w:rFonts w:ascii="宋体" w:hAnsi="宋体"/>
          <w:szCs w:val="21"/>
        </w:rPr>
      </w:pPr>
      <w:r>
        <w:rPr>
          <w:rFonts w:hint="eastAsia" w:ascii="宋体" w:hAnsi="宋体"/>
          <w:szCs w:val="21"/>
        </w:rPr>
        <w:t>2.附人员证书。</w:t>
      </w:r>
    </w:p>
    <w:p>
      <w:pPr>
        <w:pStyle w:val="31"/>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宋体" w:hAnsi="宋体"/>
          <w:sz w:val="24"/>
        </w:rPr>
      </w:pPr>
      <w:r>
        <w:rPr>
          <w:rFonts w:hint="eastAsia" w:ascii="宋体" w:hAnsi="宋体"/>
          <w:sz w:val="24"/>
        </w:rPr>
        <w:br w:type="page"/>
      </w:r>
    </w:p>
    <w:p>
      <w:pPr>
        <w:spacing w:line="360" w:lineRule="auto"/>
        <w:rPr>
          <w:rFonts w:hint="eastAsia" w:ascii="宋体" w:hAnsi="宋体" w:eastAsia="宋体"/>
          <w:lang w:val="en-US" w:eastAsia="zh-CN"/>
        </w:rPr>
      </w:pPr>
      <w:r>
        <w:rPr>
          <w:rFonts w:hint="eastAsia" w:ascii="宋体" w:hAnsi="宋体"/>
          <w:b/>
          <w:sz w:val="28"/>
        </w:rPr>
        <w:t>附件</w:t>
      </w:r>
      <w:r>
        <w:rPr>
          <w:rFonts w:hint="eastAsia" w:ascii="宋体" w:hAnsi="宋体"/>
          <w:b/>
          <w:sz w:val="28"/>
          <w:lang w:val="en-US" w:eastAsia="zh-CN"/>
        </w:rPr>
        <w:t>5</w:t>
      </w:r>
    </w:p>
    <w:p>
      <w:pPr>
        <w:spacing w:beforeLines="50" w:afterLines="50" w:line="360" w:lineRule="auto"/>
        <w:ind w:right="-10"/>
        <w:jc w:val="center"/>
        <w:rPr>
          <w:rFonts w:ascii="宋体" w:hAnsi="宋体"/>
          <w:b/>
          <w:bCs/>
          <w:sz w:val="32"/>
          <w:szCs w:val="32"/>
        </w:rPr>
      </w:pPr>
      <w:bookmarkStart w:id="74" w:name="_Toc23055_WPSOffice_Level1"/>
      <w:bookmarkStart w:id="75" w:name="_Toc12710_WPSOffice_Level1"/>
      <w:r>
        <w:rPr>
          <w:rFonts w:hint="eastAsia" w:ascii="宋体" w:hAnsi="宋体"/>
          <w:b/>
          <w:bCs/>
          <w:sz w:val="32"/>
          <w:szCs w:val="32"/>
        </w:rPr>
        <w:t>项目负责人资格情况表</w:t>
      </w:r>
      <w:bookmarkEnd w:id="74"/>
      <w:bookmarkEnd w:id="75"/>
    </w:p>
    <w:tbl>
      <w:tblPr>
        <w:tblStyle w:val="20"/>
        <w:tblW w:w="8626"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6</w:t>
      </w:r>
    </w:p>
    <w:p>
      <w:pPr>
        <w:spacing w:line="360" w:lineRule="auto"/>
        <w:ind w:left="-2" w:leftChars="0" w:firstLine="0" w:firstLineChars="0"/>
        <w:jc w:val="center"/>
        <w:rPr>
          <w:rFonts w:ascii="宋体" w:hAnsi="宋体"/>
          <w:sz w:val="24"/>
        </w:rPr>
      </w:pPr>
      <w:bookmarkStart w:id="76" w:name="_Toc32718_WPSOffice_Level1"/>
      <w:bookmarkStart w:id="77" w:name="_Toc3591_WPSOffice_Level1"/>
      <w:r>
        <w:rPr>
          <w:rFonts w:hint="eastAsia" w:ascii="宋体" w:hAnsi="宋体"/>
          <w:b/>
          <w:sz w:val="32"/>
          <w:szCs w:val="32"/>
        </w:rPr>
        <w:t>供货</w:t>
      </w:r>
      <w:r>
        <w:rPr>
          <w:rFonts w:ascii="宋体" w:hAnsi="宋体"/>
          <w:b/>
          <w:sz w:val="32"/>
          <w:szCs w:val="32"/>
        </w:rPr>
        <w:t>清单</w:t>
      </w:r>
      <w:bookmarkEnd w:id="76"/>
      <w:bookmarkEnd w:id="77"/>
    </w:p>
    <w:tbl>
      <w:tblPr>
        <w:tblStyle w:val="20"/>
        <w:tblpPr w:leftFromText="181" w:rightFromText="181" w:bottomFromText="170" w:vertAnchor="text" w:tblpXSpec="center" w:tblpY="1"/>
        <w:tblOverlap w:val="never"/>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81"/>
        <w:gridCol w:w="1134"/>
        <w:gridCol w:w="2195"/>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0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2381"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134"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品牌</w:t>
            </w:r>
          </w:p>
        </w:tc>
        <w:tc>
          <w:tcPr>
            <w:tcW w:w="2195"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规格型号</w:t>
            </w:r>
          </w:p>
        </w:tc>
        <w:tc>
          <w:tcPr>
            <w:tcW w:w="993"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产地</w:t>
            </w:r>
          </w:p>
        </w:tc>
        <w:tc>
          <w:tcPr>
            <w:tcW w:w="155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bl>
    <w:p>
      <w:pPr>
        <w:spacing w:line="360" w:lineRule="auto"/>
        <w:ind w:firstLine="422" w:firstLineChars="200"/>
        <w:rPr>
          <w:rFonts w:ascii="宋体" w:hAnsi="宋体"/>
          <w:b/>
          <w:szCs w:val="21"/>
        </w:rPr>
      </w:pPr>
      <w:r>
        <w:rPr>
          <w:rFonts w:hint="eastAsia" w:ascii="宋体" w:hAnsi="宋体"/>
          <w:b/>
          <w:szCs w:val="21"/>
        </w:rPr>
        <w:t>要求：</w:t>
      </w:r>
    </w:p>
    <w:p>
      <w:pPr>
        <w:numPr>
          <w:ilvl w:val="0"/>
          <w:numId w:val="13"/>
        </w:numPr>
        <w:spacing w:line="360" w:lineRule="auto"/>
        <w:ind w:left="435" w:firstLine="556" w:firstLineChars="265"/>
        <w:rPr>
          <w:rFonts w:ascii="宋体" w:hAnsi="宋体"/>
          <w:szCs w:val="21"/>
        </w:rPr>
      </w:pPr>
      <w:r>
        <w:rPr>
          <w:rFonts w:hint="eastAsia" w:ascii="宋体" w:hAnsi="宋体"/>
          <w:szCs w:val="21"/>
        </w:rPr>
        <w:t>本表中的名称、数量应与报价明细表中相对应的报价名称、数量一致。</w:t>
      </w:r>
    </w:p>
    <w:p>
      <w:pPr>
        <w:numPr>
          <w:ilvl w:val="0"/>
          <w:numId w:val="13"/>
        </w:numPr>
        <w:spacing w:line="360" w:lineRule="auto"/>
        <w:ind w:left="435" w:firstLine="556" w:firstLineChars="265"/>
        <w:rPr>
          <w:rFonts w:ascii="宋体" w:hAnsi="宋体"/>
          <w:szCs w:val="21"/>
        </w:rPr>
      </w:pPr>
      <w:r>
        <w:rPr>
          <w:rFonts w:hint="eastAsia" w:ascii="宋体" w:hAnsi="宋体"/>
          <w:szCs w:val="21"/>
        </w:rPr>
        <w:t>不含报价。</w:t>
      </w:r>
    </w:p>
    <w:p>
      <w:pPr>
        <w:spacing w:line="360" w:lineRule="auto"/>
        <w:rPr>
          <w:rFonts w:ascii="宋体" w:hAnsi="宋体"/>
          <w:sz w:val="24"/>
        </w:rPr>
      </w:pPr>
    </w:p>
    <w:p>
      <w:pPr>
        <w:spacing w:line="360" w:lineRule="auto"/>
        <w:ind w:left="420"/>
        <w:rPr>
          <w:rFonts w:ascii="宋体" w:hAnsi="宋体"/>
          <w:sz w:val="24"/>
        </w:rPr>
      </w:pPr>
    </w:p>
    <w:p>
      <w:pPr>
        <w:spacing w:line="360" w:lineRule="auto"/>
        <w:ind w:left="420" w:firstLine="571" w:firstLineChars="238"/>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993"/>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日        期：</w:t>
      </w:r>
    </w:p>
    <w:p>
      <w:pPr>
        <w:rPr>
          <w:rFonts w:ascii="宋体" w:hAnsi="宋体"/>
          <w:b/>
          <w:sz w:val="28"/>
        </w:rPr>
      </w:pPr>
      <w:r>
        <w:rPr>
          <w:rFonts w:ascii="宋体" w:hAnsi="宋体"/>
          <w:b/>
          <w:sz w:val="28"/>
        </w:rPr>
        <w:br w:type="page"/>
      </w: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7</w:t>
      </w:r>
    </w:p>
    <w:p>
      <w:pPr>
        <w:spacing w:line="360" w:lineRule="auto"/>
        <w:ind w:left="480"/>
        <w:jc w:val="center"/>
        <w:rPr>
          <w:rFonts w:ascii="宋体" w:hAnsi="宋体"/>
          <w:b/>
          <w:sz w:val="32"/>
          <w:szCs w:val="32"/>
        </w:rPr>
      </w:pPr>
      <w:bookmarkStart w:id="78" w:name="_Toc12856_WPSOffice_Level1"/>
      <w:bookmarkStart w:id="79" w:name="_Toc26601_WPSOffice_Level1"/>
      <w:r>
        <w:rPr>
          <w:rFonts w:ascii="宋体" w:hAnsi="宋体"/>
          <w:b/>
          <w:kern w:val="0"/>
          <w:sz w:val="32"/>
          <w:szCs w:val="32"/>
        </w:rPr>
        <w:t>技术</w:t>
      </w:r>
      <w:r>
        <w:rPr>
          <w:rFonts w:hint="eastAsia" w:ascii="宋体" w:hAnsi="宋体"/>
          <w:b/>
          <w:kern w:val="0"/>
          <w:sz w:val="32"/>
          <w:szCs w:val="32"/>
        </w:rPr>
        <w:t>需求</w:t>
      </w:r>
      <w:r>
        <w:rPr>
          <w:rFonts w:ascii="宋体" w:hAnsi="宋体"/>
          <w:b/>
          <w:kern w:val="0"/>
          <w:sz w:val="32"/>
          <w:szCs w:val="32"/>
        </w:rPr>
        <w:t>响应表</w:t>
      </w:r>
      <w:bookmarkEnd w:id="78"/>
      <w:bookmarkEnd w:id="79"/>
    </w:p>
    <w:tbl>
      <w:tblPr>
        <w:tblStyle w:val="20"/>
        <w:tblpPr w:leftFromText="181" w:rightFromText="181" w:bottomFromText="170" w:vertAnchor="text" w:tblpXSpec="center" w:tblpY="1"/>
        <w:tblOverlap w:val="never"/>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41"/>
        <w:gridCol w:w="1449"/>
        <w:gridCol w:w="1560"/>
        <w:gridCol w:w="1401"/>
        <w:gridCol w:w="136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64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44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规格型号</w:t>
            </w: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03"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bl>
    <w:p>
      <w:pPr>
        <w:pStyle w:val="32"/>
        <w:tabs>
          <w:tab w:val="left" w:pos="360"/>
        </w:tabs>
        <w:spacing w:line="360" w:lineRule="auto"/>
        <w:jc w:val="both"/>
        <w:rPr>
          <w:rFonts w:ascii="宋体"/>
          <w:b/>
          <w:szCs w:val="21"/>
        </w:rPr>
      </w:pPr>
      <w:r>
        <w:rPr>
          <w:rFonts w:hint="eastAsia" w:ascii="宋体"/>
          <w:b/>
          <w:szCs w:val="21"/>
        </w:rPr>
        <w:t>要求：</w:t>
      </w:r>
    </w:p>
    <w:p>
      <w:pPr>
        <w:pStyle w:val="32"/>
        <w:tabs>
          <w:tab w:val="left" w:pos="360"/>
        </w:tabs>
        <w:spacing w:line="360" w:lineRule="auto"/>
        <w:ind w:firstLine="420" w:firstLineChars="200"/>
        <w:jc w:val="both"/>
        <w:rPr>
          <w:rFonts w:ascii="宋体"/>
          <w:szCs w:val="21"/>
        </w:rPr>
      </w:pPr>
      <w:r>
        <w:rPr>
          <w:rFonts w:hint="eastAsia" w:ascii="宋体"/>
          <w:szCs w:val="21"/>
        </w:rPr>
        <w:t>1. 本表的名称须与《报价明细表》一致。</w:t>
      </w:r>
    </w:p>
    <w:p>
      <w:pPr>
        <w:pStyle w:val="32"/>
        <w:spacing w:line="360" w:lineRule="auto"/>
        <w:ind w:firstLine="420" w:firstLineChars="200"/>
        <w:jc w:val="both"/>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2"/>
        <w:spacing w:line="360" w:lineRule="auto"/>
        <w:ind w:firstLine="420" w:firstLineChars="200"/>
        <w:jc w:val="both"/>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19"/>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pStyle w:val="33"/>
        <w:spacing w:line="360" w:lineRule="auto"/>
        <w:jc w:val="left"/>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8</w:t>
      </w:r>
    </w:p>
    <w:p>
      <w:pPr>
        <w:pStyle w:val="34"/>
        <w:spacing w:line="360" w:lineRule="auto"/>
        <w:jc w:val="center"/>
        <w:rPr>
          <w:rFonts w:ascii="宋体" w:hAnsi="宋体"/>
          <w:b/>
          <w:sz w:val="32"/>
          <w:szCs w:val="32"/>
        </w:rPr>
      </w:pPr>
      <w:bookmarkStart w:id="80" w:name="_Toc17604_WPSOffice_Level1"/>
      <w:bookmarkStart w:id="81" w:name="_Toc11030_WPSOffice_Level1"/>
      <w:r>
        <w:rPr>
          <w:rFonts w:hint="eastAsia" w:ascii="宋体" w:hAnsi="宋体"/>
          <w:b/>
          <w:sz w:val="32"/>
          <w:szCs w:val="32"/>
        </w:rPr>
        <w:t>证书一览表</w:t>
      </w:r>
      <w:bookmarkEnd w:id="80"/>
      <w:bookmarkEnd w:id="81"/>
    </w:p>
    <w:tbl>
      <w:tblPr>
        <w:tblStyle w:val="20"/>
        <w:tblpPr w:leftFromText="181" w:rightFromText="181" w:bottomFromText="170" w:vertAnchor="text" w:tblpXSpec="center" w:tblpY="1"/>
        <w:tblOverlap w:val="never"/>
        <w:tblW w:w="896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258"/>
        <w:gridCol w:w="2260"/>
        <w:gridCol w:w="23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bottom w:val="single" w:color="auto" w:sz="4"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证书名称</w:t>
            </w:r>
          </w:p>
        </w:tc>
        <w:tc>
          <w:tcPr>
            <w:tcW w:w="2258" w:type="dxa"/>
            <w:tcBorders>
              <w:top w:val="single" w:color="auto" w:sz="4" w:space="0"/>
              <w:bottom w:val="single" w:color="auto" w:sz="4"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发证单位</w:t>
            </w:r>
          </w:p>
        </w:tc>
        <w:tc>
          <w:tcPr>
            <w:tcW w:w="2260" w:type="dxa"/>
            <w:tcBorders>
              <w:top w:val="single" w:color="auto" w:sz="4" w:space="0"/>
              <w:bottom w:val="single" w:color="auto" w:sz="4"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证书等级</w:t>
            </w:r>
          </w:p>
        </w:tc>
        <w:tc>
          <w:tcPr>
            <w:tcW w:w="2359" w:type="dxa"/>
            <w:tcBorders>
              <w:top w:val="single" w:color="auto" w:sz="4" w:space="0"/>
              <w:bottom w:val="single" w:color="auto" w:sz="4" w:space="0"/>
              <w:right w:val="single" w:color="auto" w:sz="4"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58" w:type="dxa"/>
            <w:tcBorders>
              <w:top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60" w:type="dxa"/>
            <w:tcBorders>
              <w:top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359" w:type="dxa"/>
            <w:tcBorders>
              <w:top w:val="single" w:color="auto" w:sz="4" w:space="0"/>
              <w:righ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bottom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58" w:type="dxa"/>
            <w:tcBorders>
              <w:bottom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260" w:type="dxa"/>
            <w:tcBorders>
              <w:bottom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2359" w:type="dxa"/>
            <w:tcBorders>
              <w:bottom w:val="single" w:color="auto" w:sz="4" w:space="0"/>
              <w:righ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r>
    </w:tbl>
    <w:p>
      <w:pPr>
        <w:pStyle w:val="34"/>
        <w:tabs>
          <w:tab w:val="left" w:pos="1050"/>
        </w:tabs>
        <w:spacing w:line="360" w:lineRule="auto"/>
        <w:rPr>
          <w:rFonts w:ascii="宋体" w:hAnsi="宋体"/>
          <w:szCs w:val="21"/>
        </w:rPr>
      </w:pPr>
      <w:r>
        <w:rPr>
          <w:rFonts w:hint="eastAsia" w:ascii="宋体" w:hAnsi="宋体"/>
          <w:b/>
          <w:szCs w:val="21"/>
        </w:rPr>
        <w:t>要求：</w:t>
      </w:r>
    </w:p>
    <w:p>
      <w:pPr>
        <w:pStyle w:val="34"/>
        <w:tabs>
          <w:tab w:val="left" w:pos="1050"/>
        </w:tabs>
        <w:spacing w:line="360" w:lineRule="auto"/>
        <w:ind w:firstLine="420" w:firstLineChars="200"/>
        <w:rPr>
          <w:rFonts w:ascii="宋体" w:hAnsi="宋体"/>
          <w:szCs w:val="21"/>
        </w:rPr>
      </w:pPr>
      <w:r>
        <w:rPr>
          <w:rFonts w:hint="eastAsia" w:ascii="宋体" w:hAnsi="宋体"/>
          <w:szCs w:val="21"/>
        </w:rPr>
        <w:t>1.填写投标人获得资质、认证或企业信誉证书。</w:t>
      </w:r>
    </w:p>
    <w:p>
      <w:pPr>
        <w:pStyle w:val="34"/>
        <w:tabs>
          <w:tab w:val="left" w:pos="1050"/>
        </w:tabs>
        <w:spacing w:line="360" w:lineRule="auto"/>
        <w:ind w:firstLine="420" w:firstLineChars="200"/>
        <w:rPr>
          <w:rFonts w:ascii="宋体" w:hAnsi="宋体"/>
          <w:szCs w:val="21"/>
        </w:rPr>
      </w:pPr>
      <w:r>
        <w:rPr>
          <w:rFonts w:hint="eastAsia" w:ascii="宋体" w:hAnsi="宋体"/>
          <w:szCs w:val="21"/>
        </w:rPr>
        <w:t>2.附所列证书或其他证明材料。</w:t>
      </w:r>
    </w:p>
    <w:p>
      <w:pPr>
        <w:pStyle w:val="34"/>
        <w:tabs>
          <w:tab w:val="left" w:pos="1050"/>
        </w:tabs>
        <w:spacing w:line="360" w:lineRule="auto"/>
        <w:rPr>
          <w:rFonts w:ascii="仿宋_GB2312" w:hAnsi="宋体" w:eastAsia="仿宋_GB2312"/>
          <w:sz w:val="24"/>
        </w:rPr>
      </w:pPr>
    </w:p>
    <w:p>
      <w:pPr>
        <w:pStyle w:val="34"/>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0"/>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pStyle w:val="33"/>
        <w:spacing w:line="360" w:lineRule="auto"/>
        <w:jc w:val="center"/>
        <w:rPr>
          <w:rFonts w:ascii="仿宋_GB2312" w:eastAsia="仿宋_GB2312"/>
          <w:b/>
          <w:sz w:val="28"/>
          <w:szCs w:val="28"/>
        </w:rPr>
      </w:pPr>
      <w:bookmarkStart w:id="82" w:name="_Toc7134_WPSOffice_Level1"/>
      <w:bookmarkStart w:id="83" w:name="_Toc19231_WPSOffice_Level1"/>
      <w:r>
        <w:rPr>
          <w:rFonts w:hint="eastAsia" w:ascii="宋体" w:hAnsi="宋体"/>
          <w:b/>
          <w:sz w:val="32"/>
          <w:szCs w:val="32"/>
        </w:rPr>
        <w:t>投标人类似项目实施情况一览表</w:t>
      </w:r>
      <w:bookmarkEnd w:id="82"/>
      <w:bookmarkEnd w:id="83"/>
    </w:p>
    <w:tbl>
      <w:tblPr>
        <w:tblStyle w:val="20"/>
        <w:tblpPr w:leftFromText="181" w:rightFromText="181" w:bottomFromText="170" w:vertAnchor="text" w:tblpXSpec="center" w:tblpY="1"/>
        <w:tblOverlap w:val="never"/>
        <w:tblW w:w="9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322"/>
        <w:gridCol w:w="1260"/>
        <w:gridCol w:w="127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仿宋" w:hAnsi="仿宋" w:eastAsia="仿宋"/>
          <w:snapToGrid w:val="0"/>
          <w:kern w:val="0"/>
          <w:sz w:val="24"/>
        </w:rPr>
      </w:pPr>
      <w:r>
        <w:rPr>
          <w:rFonts w:ascii="仿宋" w:hAnsi="仿宋" w:eastAsia="仿宋"/>
          <w:snapToGrid w:val="0"/>
          <w:kern w:val="0"/>
          <w:sz w:val="24"/>
        </w:rPr>
        <w:br w:type="page"/>
      </w:r>
    </w:p>
    <w:p>
      <w:pPr>
        <w:pStyle w:val="34"/>
        <w:tabs>
          <w:tab w:val="left" w:pos="1050"/>
        </w:tabs>
        <w:spacing w:line="360" w:lineRule="auto"/>
        <w:rPr>
          <w:rFonts w:hint="eastAsia" w:ascii="仿宋_GB2312" w:hAnsi="宋体" w:eastAsia="宋体"/>
          <w:sz w:val="24"/>
          <w:lang w:val="en-US" w:eastAsia="zh-CN"/>
        </w:rPr>
      </w:pPr>
      <w:r>
        <w:rPr>
          <w:rFonts w:hint="eastAsia" w:ascii="宋体" w:hAnsi="宋体"/>
          <w:b/>
          <w:sz w:val="28"/>
        </w:rPr>
        <w:t>附件1</w:t>
      </w:r>
      <w:r>
        <w:rPr>
          <w:rFonts w:hint="eastAsia" w:ascii="宋体" w:hAnsi="宋体"/>
          <w:b/>
          <w:sz w:val="28"/>
          <w:lang w:val="en-US" w:eastAsia="zh-CN"/>
        </w:rPr>
        <w:t>0</w:t>
      </w:r>
    </w:p>
    <w:p>
      <w:pPr>
        <w:spacing w:line="360" w:lineRule="auto"/>
        <w:ind w:left="0" w:leftChars="0" w:hanging="9" w:firstLineChars="0"/>
        <w:jc w:val="center"/>
        <w:rPr>
          <w:rFonts w:ascii="宋体" w:hAnsi="宋体"/>
          <w:b/>
          <w:sz w:val="18"/>
          <w:szCs w:val="18"/>
        </w:rPr>
      </w:pPr>
      <w:bookmarkStart w:id="84" w:name="_Toc3068_WPSOffice_Level1"/>
      <w:bookmarkStart w:id="85" w:name="_Toc21582_WPSOffice_Level1"/>
      <w:r>
        <w:rPr>
          <w:rFonts w:hint="eastAsia" w:ascii="宋体" w:hAnsi="宋体"/>
          <w:b/>
          <w:sz w:val="32"/>
          <w:szCs w:val="32"/>
        </w:rPr>
        <w:t>商务需求响应表</w:t>
      </w:r>
      <w:bookmarkEnd w:id="84"/>
      <w:bookmarkEnd w:id="85"/>
    </w:p>
    <w:tbl>
      <w:tblPr>
        <w:tblStyle w:val="20"/>
        <w:tblpPr w:leftFromText="181" w:rightFromText="181" w:bottomFromText="170" w:vertAnchor="text" w:tblpXSpec="center" w:tblpY="1"/>
        <w:tblOverlap w:val="never"/>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87"/>
        <w:gridCol w:w="1785"/>
        <w:gridCol w:w="1365"/>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序号</w:t>
            </w:r>
          </w:p>
        </w:tc>
        <w:tc>
          <w:tcPr>
            <w:tcW w:w="2587"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 xml:space="preserve">   内容</w:t>
            </w:r>
          </w:p>
        </w:tc>
        <w:tc>
          <w:tcPr>
            <w:tcW w:w="1785" w:type="dxa"/>
            <w:tcMar>
              <w:top w:w="57" w:type="dxa"/>
              <w:left w:w="108" w:type="dxa"/>
              <w:bottom w:w="0" w:type="dxa"/>
              <w:right w:w="108" w:type="dxa"/>
            </w:tcMar>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tcMar>
              <w:top w:w="57" w:type="dxa"/>
              <w:left w:w="108" w:type="dxa"/>
              <w:bottom w:w="0" w:type="dxa"/>
              <w:right w:w="108" w:type="dxa"/>
            </w:tcMar>
            <w:vAlign w:val="center"/>
          </w:tcPr>
          <w:p>
            <w:pPr>
              <w:ind w:left="152"/>
              <w:rPr>
                <w:rFonts w:ascii="宋体" w:hAnsi="宋体"/>
                <w:b/>
                <w:sz w:val="24"/>
              </w:rPr>
            </w:pPr>
            <w:r>
              <w:rPr>
                <w:rFonts w:hint="eastAsia" w:ascii="宋体" w:hAnsi="宋体"/>
                <w:b/>
                <w:sz w:val="24"/>
              </w:rPr>
              <w:t>是否响应</w:t>
            </w:r>
          </w:p>
        </w:tc>
        <w:tc>
          <w:tcPr>
            <w:tcW w:w="2633" w:type="dxa"/>
            <w:tcMar>
              <w:top w:w="57" w:type="dxa"/>
              <w:left w:w="108" w:type="dxa"/>
              <w:bottom w:w="0" w:type="dxa"/>
              <w:right w:w="108" w:type="dxa"/>
            </w:tcMar>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售后服务保障要求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备品备件及耗材等要求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质保期</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交货和服务</w:t>
            </w:r>
          </w:p>
          <w:p>
            <w:pPr>
              <w:snapToGrid w:val="0"/>
              <w:rPr>
                <w:rFonts w:ascii="宋体" w:hAnsi="宋体"/>
                <w:sz w:val="24"/>
              </w:rPr>
            </w:pPr>
            <w:r>
              <w:rPr>
                <w:rFonts w:hint="eastAsia" w:ascii="宋体" w:hAnsi="宋体"/>
                <w:sz w:val="24"/>
              </w:rPr>
              <w:t>时间及地点</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付款条件</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rPr>
          <w:rFonts w:ascii="宋体" w:hAnsi="宋体"/>
          <w:b/>
          <w:sz w:val="28"/>
        </w:rPr>
      </w:pPr>
      <w:r>
        <w:rPr>
          <w:rFonts w:ascii="宋体" w:hAnsi="宋体"/>
          <w:b/>
          <w:sz w:val="28"/>
        </w:rPr>
        <w:br w:type="page"/>
      </w:r>
    </w:p>
    <w:p>
      <w:pPr>
        <w:tabs>
          <w:tab w:val="left" w:pos="2460"/>
        </w:tabs>
        <w:spacing w:line="360" w:lineRule="auto"/>
        <w:rPr>
          <w:rFonts w:ascii="宋体" w:hAnsi="宋体"/>
          <w:b/>
          <w:sz w:val="28"/>
        </w:rPr>
      </w:pPr>
      <w:r>
        <w:rPr>
          <w:rFonts w:hint="eastAsia" w:ascii="宋体" w:hAnsi="宋体"/>
          <w:b/>
          <w:sz w:val="28"/>
        </w:rPr>
        <w:t>附件</w:t>
      </w:r>
      <w:r>
        <w:rPr>
          <w:rFonts w:hint="eastAsia" w:ascii="宋体" w:hAnsi="宋体"/>
          <w:b/>
          <w:sz w:val="28"/>
          <w:lang w:val="en-US" w:eastAsia="zh-CN"/>
        </w:rPr>
        <w:t>11</w:t>
      </w:r>
      <w:r>
        <w:rPr>
          <w:rFonts w:ascii="宋体" w:hAnsi="宋体"/>
          <w:b/>
          <w:sz w:val="28"/>
        </w:rPr>
        <w:tab/>
      </w:r>
    </w:p>
    <w:p>
      <w:pPr>
        <w:spacing w:line="360" w:lineRule="auto"/>
        <w:ind w:left="0" w:leftChars="0" w:firstLine="0" w:firstLineChars="0"/>
        <w:jc w:val="center"/>
        <w:rPr>
          <w:rFonts w:ascii="宋体" w:hAnsi="宋体"/>
          <w:b/>
          <w:sz w:val="24"/>
        </w:rPr>
      </w:pPr>
      <w:bookmarkStart w:id="86" w:name="_Toc29652_WPSOffice_Level1"/>
      <w:bookmarkStart w:id="87" w:name="_Toc3463_WPSOffice_Level1"/>
      <w:r>
        <w:rPr>
          <w:rFonts w:hint="eastAsia" w:ascii="宋体" w:hAnsi="宋体"/>
          <w:b/>
          <w:sz w:val="32"/>
          <w:szCs w:val="32"/>
        </w:rPr>
        <w:t>售后服务情况表</w:t>
      </w:r>
      <w:bookmarkEnd w:id="86"/>
      <w:bookmarkEnd w:id="87"/>
    </w:p>
    <w:tbl>
      <w:tblPr>
        <w:tblStyle w:val="20"/>
        <w:tblpPr w:leftFromText="181" w:rightFromText="181" w:bottomFromText="170" w:vertAnchor="text" w:tblpXSpec="center" w:tblpY="1"/>
        <w:tblOverlap w:val="never"/>
        <w:tblW w:w="89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879"/>
        <w:gridCol w:w="4061"/>
        <w:gridCol w:w="1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序号</w:t>
            </w:r>
          </w:p>
        </w:tc>
        <w:tc>
          <w:tcPr>
            <w:tcW w:w="2879"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项目</w:t>
            </w:r>
          </w:p>
        </w:tc>
        <w:tc>
          <w:tcPr>
            <w:tcW w:w="4061"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投标人情况</w:t>
            </w:r>
          </w:p>
        </w:tc>
        <w:tc>
          <w:tcPr>
            <w:tcW w:w="1301"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5"/>
              <w:spacing w:line="360" w:lineRule="auto"/>
              <w:jc w:val="center"/>
              <w:rPr>
                <w:rFonts w:ascii="宋体" w:hAnsi="宋体" w:cs="Arial"/>
                <w:bCs/>
                <w:sz w:val="21"/>
                <w:szCs w:val="21"/>
              </w:rPr>
            </w:pPr>
            <w:r>
              <w:rPr>
                <w:rFonts w:hint="eastAsia" w:ascii="宋体" w:hAnsi="宋体" w:cs="Arial"/>
                <w:bCs/>
                <w:sz w:val="21"/>
                <w:szCs w:val="21"/>
              </w:rPr>
              <w:t>1</w:t>
            </w:r>
          </w:p>
        </w:tc>
        <w:tc>
          <w:tcPr>
            <w:tcW w:w="2879" w:type="dxa"/>
            <w:vMerge w:val="restart"/>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hint="eastAsia" w:ascii="宋体" w:hAnsi="宋体" w:cs="Arial"/>
                <w:bCs/>
                <w:sz w:val="21"/>
                <w:szCs w:val="21"/>
              </w:rPr>
              <w:t>保修期内售后服务情况(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、售后服务的内容和措施</w:t>
            </w:r>
            <w:r>
              <w:rPr>
                <w:rFonts w:hint="eastAsia" w:ascii="宋体" w:hAnsi="宋体" w:cs="Arial"/>
                <w:bCs/>
                <w:sz w:val="21"/>
                <w:szCs w:val="21"/>
              </w:rPr>
              <w:t>等等，可用附页和宣传材料)</w:t>
            </w:r>
          </w:p>
        </w:tc>
        <w:tc>
          <w:tcPr>
            <w:tcW w:w="4061" w:type="dxa"/>
            <w:tcMar>
              <w:top w:w="57" w:type="dxa"/>
              <w:left w:w="108" w:type="dxa"/>
              <w:bottom w:w="0" w:type="dxa"/>
              <w:right w:w="108" w:type="dxa"/>
            </w:tcMar>
          </w:tcPr>
          <w:p>
            <w:pPr>
              <w:pStyle w:val="35"/>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01" w:type="dxa"/>
            <w:tcMar>
              <w:top w:w="57" w:type="dxa"/>
              <w:left w:w="108" w:type="dxa"/>
              <w:bottom w:w="0" w:type="dxa"/>
              <w:right w:w="108" w:type="dxa"/>
            </w:tcMar>
          </w:tcPr>
          <w:p>
            <w:pPr>
              <w:pStyle w:val="35"/>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p>
        </w:tc>
        <w:tc>
          <w:tcPr>
            <w:tcW w:w="2879" w:type="dxa"/>
            <w:vMerge w:val="continue"/>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p>
        </w:tc>
        <w:tc>
          <w:tcPr>
            <w:tcW w:w="4061" w:type="dxa"/>
            <w:tcMar>
              <w:top w:w="57" w:type="dxa"/>
              <w:left w:w="108" w:type="dxa"/>
              <w:bottom w:w="0" w:type="dxa"/>
              <w:right w:w="108" w:type="dxa"/>
            </w:tcMar>
          </w:tcPr>
          <w:p>
            <w:pPr>
              <w:pStyle w:val="35"/>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01" w:type="dxa"/>
            <w:tcMar>
              <w:top w:w="57" w:type="dxa"/>
              <w:left w:w="108" w:type="dxa"/>
              <w:bottom w:w="0" w:type="dxa"/>
              <w:right w:w="108" w:type="dxa"/>
            </w:tcMar>
          </w:tcPr>
          <w:p>
            <w:pPr>
              <w:pStyle w:val="35"/>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21" w:hRule="exact"/>
          <w:jc w:val="center"/>
        </w:trPr>
        <w:tc>
          <w:tcPr>
            <w:tcW w:w="739" w:type="dxa"/>
            <w:tcMar>
              <w:top w:w="57" w:type="dxa"/>
              <w:left w:w="108" w:type="dxa"/>
              <w:bottom w:w="0" w:type="dxa"/>
              <w:right w:w="108" w:type="dxa"/>
            </w:tcMar>
            <w:vAlign w:val="center"/>
          </w:tcPr>
          <w:p>
            <w:pPr>
              <w:pStyle w:val="35"/>
              <w:spacing w:line="360" w:lineRule="auto"/>
              <w:jc w:val="center"/>
              <w:rPr>
                <w:rFonts w:ascii="宋体" w:hAnsi="宋体" w:cs="Arial"/>
                <w:bCs/>
                <w:sz w:val="21"/>
                <w:szCs w:val="21"/>
              </w:rPr>
            </w:pPr>
            <w:r>
              <w:rPr>
                <w:rFonts w:hint="eastAsia" w:ascii="宋体" w:hAnsi="宋体" w:cs="Arial"/>
                <w:bCs/>
                <w:sz w:val="21"/>
                <w:szCs w:val="21"/>
              </w:rPr>
              <w:t>2</w:t>
            </w:r>
          </w:p>
        </w:tc>
        <w:tc>
          <w:tcPr>
            <w:tcW w:w="2879" w:type="dxa"/>
            <w:tcMar>
              <w:top w:w="57" w:type="dxa"/>
              <w:left w:w="108" w:type="dxa"/>
              <w:bottom w:w="0" w:type="dxa"/>
              <w:right w:w="108" w:type="dxa"/>
            </w:tcMar>
            <w:vAlign w:val="center"/>
          </w:tcPr>
          <w:p>
            <w:pPr>
              <w:pStyle w:val="35"/>
              <w:spacing w:line="360" w:lineRule="auto"/>
              <w:rPr>
                <w:rFonts w:ascii="宋体" w:hAnsi="宋体" w:cs="Arial"/>
                <w:bCs/>
                <w:sz w:val="21"/>
                <w:szCs w:val="21"/>
              </w:rPr>
            </w:pPr>
            <w:r>
              <w:rPr>
                <w:rFonts w:hint="eastAsia" w:ascii="宋体" w:hAnsi="宋体" w:cs="Arial"/>
                <w:bCs/>
                <w:sz w:val="21"/>
                <w:szCs w:val="21"/>
              </w:rPr>
              <w:t>保修期后售后服务</w:t>
            </w:r>
          </w:p>
        </w:tc>
        <w:tc>
          <w:tcPr>
            <w:tcW w:w="4061"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p>
            <w:pPr>
              <w:pStyle w:val="35"/>
              <w:widowControl/>
              <w:spacing w:line="360" w:lineRule="auto"/>
              <w:jc w:val="left"/>
              <w:rPr>
                <w:rFonts w:ascii="宋体" w:hAnsi="宋体" w:cs="Arial"/>
                <w:bCs/>
                <w:sz w:val="21"/>
                <w:szCs w:val="21"/>
              </w:rPr>
            </w:pPr>
          </w:p>
          <w:p>
            <w:pPr>
              <w:pStyle w:val="35"/>
              <w:spacing w:line="360" w:lineRule="auto"/>
              <w:rPr>
                <w:rFonts w:ascii="宋体" w:hAnsi="宋体" w:cs="Arial"/>
                <w:bCs/>
                <w:sz w:val="21"/>
                <w:szCs w:val="21"/>
              </w:rPr>
            </w:pPr>
          </w:p>
        </w:tc>
        <w:tc>
          <w:tcPr>
            <w:tcW w:w="1301"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p>
            <w:pPr>
              <w:pStyle w:val="35"/>
              <w:widowControl/>
              <w:spacing w:line="360" w:lineRule="auto"/>
              <w:jc w:val="left"/>
              <w:rPr>
                <w:rFonts w:ascii="宋体" w:hAnsi="宋体" w:cs="Arial"/>
                <w:bCs/>
                <w:sz w:val="21"/>
                <w:szCs w:val="21"/>
              </w:rPr>
            </w:pPr>
          </w:p>
          <w:p>
            <w:pPr>
              <w:pStyle w:val="35"/>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60" w:hRule="exact"/>
          <w:jc w:val="center"/>
        </w:trPr>
        <w:tc>
          <w:tcPr>
            <w:tcW w:w="73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287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4061" w:type="dxa"/>
            <w:tcMar>
              <w:top w:w="57" w:type="dxa"/>
              <w:left w:w="108" w:type="dxa"/>
              <w:bottom w:w="0" w:type="dxa"/>
              <w:right w:w="108" w:type="dxa"/>
            </w:tcMar>
          </w:tcPr>
          <w:p>
            <w:pPr>
              <w:pStyle w:val="35"/>
              <w:widowControl/>
              <w:spacing w:line="360" w:lineRule="auto"/>
              <w:jc w:val="left"/>
              <w:rPr>
                <w:rFonts w:ascii="宋体" w:hAnsi="宋体" w:cs="Arial"/>
                <w:bCs/>
                <w:i/>
                <w:sz w:val="21"/>
                <w:szCs w:val="21"/>
              </w:rPr>
            </w:pPr>
          </w:p>
          <w:p>
            <w:pPr>
              <w:pStyle w:val="35"/>
              <w:widowControl/>
              <w:spacing w:line="360" w:lineRule="auto"/>
              <w:jc w:val="left"/>
              <w:rPr>
                <w:rFonts w:ascii="宋体" w:hAnsi="宋体" w:cs="Arial"/>
                <w:bCs/>
                <w:i/>
                <w:sz w:val="21"/>
                <w:szCs w:val="21"/>
              </w:rPr>
            </w:pPr>
          </w:p>
        </w:tc>
        <w:tc>
          <w:tcPr>
            <w:tcW w:w="1301" w:type="dxa"/>
            <w:tcMar>
              <w:top w:w="57" w:type="dxa"/>
              <w:left w:w="108" w:type="dxa"/>
              <w:bottom w:w="0" w:type="dxa"/>
              <w:right w:w="108" w:type="dxa"/>
            </w:tcMar>
          </w:tcPr>
          <w:p>
            <w:pPr>
              <w:pStyle w:val="35"/>
              <w:widowControl/>
              <w:spacing w:line="360" w:lineRule="auto"/>
              <w:jc w:val="left"/>
              <w:rPr>
                <w:rFonts w:ascii="宋体" w:hAnsi="宋体" w:cs="Arial"/>
                <w:bCs/>
                <w:i/>
                <w:sz w:val="21"/>
                <w:szCs w:val="21"/>
              </w:rPr>
            </w:pPr>
          </w:p>
          <w:p>
            <w:pPr>
              <w:pStyle w:val="35"/>
              <w:widowControl/>
              <w:spacing w:line="360" w:lineRule="auto"/>
              <w:jc w:val="left"/>
              <w:rPr>
                <w:rFonts w:ascii="宋体" w:hAnsi="宋体" w:cs="Arial"/>
                <w:bCs/>
                <w:i/>
                <w:sz w:val="21"/>
                <w:szCs w:val="21"/>
              </w:rPr>
            </w:pPr>
          </w:p>
          <w:p>
            <w:pPr>
              <w:pStyle w:val="35"/>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ascii="宋体" w:hAnsi="宋体" w:cs="Arial"/>
                <w:bCs/>
                <w:sz w:val="21"/>
                <w:szCs w:val="21"/>
              </w:rPr>
              <w:t>……</w:t>
            </w:r>
          </w:p>
        </w:tc>
        <w:tc>
          <w:tcPr>
            <w:tcW w:w="287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ascii="宋体" w:hAnsi="宋体" w:cs="Arial"/>
                <w:bCs/>
                <w:sz w:val="21"/>
                <w:szCs w:val="21"/>
              </w:rPr>
              <w:t>……</w:t>
            </w:r>
          </w:p>
        </w:tc>
        <w:tc>
          <w:tcPr>
            <w:tcW w:w="4061"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tc>
        <w:tc>
          <w:tcPr>
            <w:tcW w:w="1301"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9"/>
        <w:rPr>
          <w:rFonts w:ascii="宋体" w:hAnsi="宋体"/>
          <w:sz w:val="24"/>
          <w:u w:val="single"/>
        </w:rPr>
      </w:pPr>
    </w:p>
    <w:p>
      <w:pPr>
        <w:pStyle w:val="9"/>
        <w:rPr>
          <w:rFonts w:ascii="宋体" w:hAnsi="宋体"/>
          <w:sz w:val="24"/>
          <w:u w:val="single"/>
        </w:rPr>
      </w:pPr>
    </w:p>
    <w:p>
      <w:pPr>
        <w:pStyle w:val="9"/>
        <w:rPr>
          <w:rFonts w:ascii="宋体" w:hAnsi="宋体"/>
          <w:sz w:val="24"/>
          <w:u w:val="single"/>
        </w:rPr>
      </w:pPr>
    </w:p>
    <w:p>
      <w:pPr>
        <w:pStyle w:val="9"/>
        <w:ind w:firstLine="0"/>
        <w:rPr>
          <w:rFonts w:ascii="宋体" w:hAnsi="宋体"/>
          <w:sz w:val="24"/>
          <w:u w:val="single"/>
        </w:rPr>
      </w:pPr>
    </w:p>
    <w:p>
      <w:pPr>
        <w:pStyle w:val="9"/>
        <w:ind w:firstLine="0"/>
        <w:rPr>
          <w:rFonts w:ascii="宋体" w:hAnsi="宋体"/>
          <w:sz w:val="24"/>
          <w:u w:val="single"/>
        </w:rPr>
      </w:pPr>
    </w:p>
    <w:p>
      <w:pPr>
        <w:pStyle w:val="9"/>
        <w:ind w:firstLine="0"/>
        <w:rPr>
          <w:rFonts w:ascii="宋体" w:hAnsi="宋体"/>
          <w:sz w:val="24"/>
          <w:u w:val="single"/>
        </w:rPr>
      </w:pPr>
    </w:p>
    <w:p>
      <w:pPr>
        <w:pStyle w:val="36"/>
        <w:spacing w:line="360" w:lineRule="auto"/>
        <w:rPr>
          <w:rFonts w:hint="default" w:hAnsi="宋体" w:eastAsiaTheme="minorEastAsia"/>
          <w:b/>
          <w:sz w:val="28"/>
          <w:szCs w:val="28"/>
          <w:lang w:val="en-US" w:eastAsia="zh-CN"/>
        </w:rPr>
      </w:pPr>
      <w:r>
        <w:rPr>
          <w:rFonts w:hint="eastAsia" w:hAnsi="宋体"/>
          <w:b/>
          <w:sz w:val="28"/>
          <w:szCs w:val="28"/>
        </w:rPr>
        <w:t>附件</w:t>
      </w:r>
      <w:r>
        <w:rPr>
          <w:rFonts w:hint="eastAsia" w:hAnsi="宋体"/>
          <w:b/>
          <w:sz w:val="28"/>
          <w:szCs w:val="28"/>
          <w:lang w:val="en-US" w:eastAsia="zh-CN"/>
        </w:rPr>
        <w:t>12</w:t>
      </w:r>
    </w:p>
    <w:p>
      <w:pPr>
        <w:pStyle w:val="36"/>
        <w:spacing w:line="360" w:lineRule="auto"/>
        <w:jc w:val="center"/>
        <w:rPr>
          <w:rFonts w:hAnsi="宋体"/>
          <w:b/>
          <w:sz w:val="32"/>
          <w:szCs w:val="32"/>
          <w:lang w:val="en-GB"/>
        </w:rPr>
      </w:pPr>
      <w:bookmarkStart w:id="88" w:name="_Toc16175_WPSOffice_Level1"/>
      <w:bookmarkStart w:id="89" w:name="_Toc15536_WPSOffice_Level1"/>
      <w:r>
        <w:rPr>
          <w:rFonts w:hint="eastAsia" w:hAnsi="宋体"/>
          <w:b/>
          <w:sz w:val="32"/>
          <w:szCs w:val="32"/>
        </w:rPr>
        <w:t>主要货物用材响应表(类似家具类货物采用)</w:t>
      </w:r>
      <w:bookmarkEnd w:id="88"/>
      <w:bookmarkEnd w:id="89"/>
    </w:p>
    <w:tbl>
      <w:tblPr>
        <w:tblStyle w:val="20"/>
        <w:tblpPr w:leftFromText="181" w:rightFromText="181" w:bottomFromText="170" w:vertAnchor="text" w:tblpXSpec="center" w:tblpY="1"/>
        <w:tblOverlap w:val="never"/>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658"/>
        <w:gridCol w:w="788"/>
        <w:gridCol w:w="1260"/>
        <w:gridCol w:w="900"/>
        <w:gridCol w:w="773"/>
        <w:gridCol w:w="1260"/>
        <w:gridCol w:w="89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货物名称</w:t>
            </w:r>
          </w:p>
        </w:tc>
        <w:tc>
          <w:tcPr>
            <w:tcW w:w="78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产品配置</w:t>
            </w:r>
          </w:p>
        </w:tc>
        <w:tc>
          <w:tcPr>
            <w:tcW w:w="5988" w:type="dxa"/>
            <w:gridSpan w:val="6"/>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78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材料规格及参数</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w:t>
            </w:r>
          </w:p>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商标</w:t>
            </w: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生产厂家</w:t>
            </w: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符合标准</w:t>
            </w: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性能说明</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5"/>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5"/>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firstLine="420" w:firstLineChars="200"/>
        <w:rPr>
          <w:rFonts w:ascii="宋体" w:hAnsi="宋体"/>
          <w:szCs w:val="21"/>
        </w:rPr>
      </w:pPr>
      <w:r>
        <w:rPr>
          <w:rFonts w:hint="eastAsia" w:ascii="宋体" w:hAnsi="宋体"/>
          <w:szCs w:val="21"/>
        </w:rPr>
        <w:t>1.请列出以上产品的各项主要用材、辅料、油漆、五金件等。</w:t>
      </w:r>
    </w:p>
    <w:p>
      <w:pPr>
        <w:pStyle w:val="35"/>
        <w:spacing w:line="360" w:lineRule="auto"/>
        <w:ind w:firstLine="420" w:firstLineChars="200"/>
        <w:rPr>
          <w:rFonts w:ascii="宋体" w:hAnsi="宋体"/>
          <w:szCs w:val="21"/>
        </w:rPr>
      </w:pPr>
      <w:r>
        <w:rPr>
          <w:rFonts w:hint="eastAsia" w:ascii="宋体" w:hAnsi="宋体"/>
          <w:szCs w:val="21"/>
        </w:rPr>
        <w:t>2.本表所列产品主要用材均为采购人抽样送检的范围。</w:t>
      </w:r>
    </w:p>
    <w:p>
      <w:pPr>
        <w:pStyle w:val="35"/>
        <w:spacing w:line="360" w:lineRule="auto"/>
        <w:ind w:firstLine="480" w:firstLineChars="200"/>
        <w:rPr>
          <w:rFonts w:ascii="仿宋_GB2312" w:eastAsia="仿宋_GB2312"/>
          <w:sz w:val="24"/>
        </w:rPr>
      </w:pPr>
    </w:p>
    <w:p>
      <w:pPr>
        <w:pStyle w:val="35"/>
        <w:spacing w:line="360" w:lineRule="auto"/>
        <w:ind w:firstLine="480" w:firstLineChars="200"/>
        <w:rPr>
          <w:rFonts w:ascii="仿宋_GB2312" w:eastAsia="仿宋_GB2312"/>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日        期：</w:t>
      </w:r>
    </w:p>
    <w:p>
      <w:pPr>
        <w:spacing w:line="360" w:lineRule="auto"/>
        <w:ind w:right="-110"/>
        <w:jc w:val="left"/>
        <w:rPr>
          <w:rFonts w:ascii="宋体" w:hAnsi="宋体"/>
          <w:b/>
          <w:sz w:val="28"/>
        </w:rPr>
      </w:pPr>
    </w:p>
    <w:p>
      <w:pPr>
        <w:rPr>
          <w:rFonts w:ascii="宋体" w:hAnsi="宋体"/>
          <w:b/>
          <w:sz w:val="28"/>
        </w:rPr>
      </w:pPr>
      <w:r>
        <w:rPr>
          <w:rFonts w:hint="eastAsia" w:ascii="宋体" w:hAnsi="宋体"/>
          <w:b/>
          <w:sz w:val="28"/>
        </w:rPr>
        <w:br w:type="page"/>
      </w:r>
    </w:p>
    <w:p>
      <w:pPr>
        <w:jc w:val="center"/>
        <w:rPr>
          <w:rFonts w:hint="eastAsia"/>
          <w:sz w:val="52"/>
          <w:szCs w:val="52"/>
        </w:rPr>
      </w:pPr>
      <w:bookmarkStart w:id="90" w:name="_Toc21322_WPSOffice_Level1"/>
      <w:bookmarkStart w:id="91" w:name="_Toc4615_WPSOffice_Level1"/>
      <w:bookmarkStart w:id="92" w:name="_Toc30468_WPSOffice_Level1"/>
    </w:p>
    <w:p>
      <w:pPr>
        <w:pStyle w:val="19"/>
        <w:rPr>
          <w:rFonts w:hint="eastAsia"/>
        </w:rPr>
      </w:pPr>
    </w:p>
    <w:p>
      <w:pPr>
        <w:jc w:val="center"/>
        <w:rPr>
          <w:rFonts w:hint="eastAsia"/>
          <w:sz w:val="52"/>
          <w:szCs w:val="52"/>
        </w:rPr>
      </w:pPr>
    </w:p>
    <w:p>
      <w:pPr>
        <w:jc w:val="center"/>
        <w:rPr>
          <w:sz w:val="52"/>
          <w:szCs w:val="52"/>
        </w:rPr>
      </w:pPr>
      <w:r>
        <w:rPr>
          <w:rFonts w:hint="eastAsia"/>
          <w:sz w:val="52"/>
          <w:szCs w:val="52"/>
        </w:rPr>
        <w:t>项目名称</w:t>
      </w:r>
      <w:bookmarkEnd w:id="90"/>
      <w:bookmarkEnd w:id="91"/>
      <w:bookmarkEnd w:id="9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rPr>
      </w:pPr>
      <w:bookmarkStart w:id="93" w:name="_Toc9453_WPSOffice_Level1"/>
      <w:bookmarkStart w:id="94" w:name="_Toc8885_WPSOffice_Level1"/>
      <w:r>
        <w:rPr>
          <w:rFonts w:hint="eastAsia"/>
          <w:sz w:val="84"/>
          <w:szCs w:val="84"/>
        </w:rPr>
        <w:t>报</w:t>
      </w:r>
      <w:bookmarkEnd w:id="93"/>
      <w:bookmarkEnd w:id="94"/>
    </w:p>
    <w:p>
      <w:pPr>
        <w:jc w:val="center"/>
        <w:rPr>
          <w:sz w:val="84"/>
          <w:szCs w:val="84"/>
        </w:rPr>
      </w:pPr>
      <w:bookmarkStart w:id="95" w:name="_Toc10910_WPSOffice_Level1"/>
      <w:bookmarkStart w:id="96" w:name="_Toc7485_WPSOffice_Level1"/>
      <w:r>
        <w:rPr>
          <w:rFonts w:hint="eastAsia"/>
          <w:sz w:val="84"/>
          <w:szCs w:val="84"/>
        </w:rPr>
        <w:t>价</w:t>
      </w:r>
      <w:bookmarkEnd w:id="95"/>
      <w:bookmarkEnd w:id="96"/>
    </w:p>
    <w:p>
      <w:pPr>
        <w:jc w:val="center"/>
        <w:rPr>
          <w:sz w:val="84"/>
          <w:szCs w:val="84"/>
        </w:rPr>
      </w:pPr>
      <w:bookmarkStart w:id="97" w:name="_Toc14572_WPSOffice_Level1"/>
      <w:bookmarkStart w:id="98" w:name="_Toc3932_WPSOffice_Level1"/>
      <w:r>
        <w:rPr>
          <w:rFonts w:hint="eastAsia"/>
          <w:sz w:val="84"/>
          <w:szCs w:val="84"/>
        </w:rPr>
        <w:t>文</w:t>
      </w:r>
      <w:bookmarkEnd w:id="97"/>
      <w:bookmarkEnd w:id="98"/>
    </w:p>
    <w:p>
      <w:pPr>
        <w:jc w:val="center"/>
        <w:rPr>
          <w:sz w:val="84"/>
          <w:szCs w:val="84"/>
        </w:rPr>
      </w:pPr>
      <w:bookmarkStart w:id="99" w:name="_Toc16973_WPSOffice_Level1"/>
      <w:bookmarkStart w:id="100" w:name="_Toc7562_WPSOffice_Level1"/>
      <w:r>
        <w:rPr>
          <w:rFonts w:hint="eastAsia"/>
          <w:sz w:val="84"/>
          <w:szCs w:val="84"/>
        </w:rPr>
        <w:t>件</w:t>
      </w:r>
      <w:bookmarkEnd w:id="99"/>
      <w:bookmarkEnd w:id="100"/>
    </w:p>
    <w:p>
      <w:pPr>
        <w:spacing w:line="360" w:lineRule="auto"/>
        <w:ind w:right="532"/>
        <w:rPr>
          <w:rFonts w:ascii="宋体" w:hAnsi="宋体"/>
          <w:sz w:val="36"/>
          <w:szCs w:val="36"/>
        </w:rPr>
      </w:pPr>
    </w:p>
    <w:p>
      <w:pPr>
        <w:pStyle w:val="19"/>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101" w:name="_Toc26700_WPSOffice_Level1"/>
      <w:bookmarkStart w:id="102" w:name="_Toc4603_WPSOffice_Level1"/>
      <w:r>
        <w:rPr>
          <w:rFonts w:hint="eastAsia" w:ascii="宋体" w:hAnsi="宋体"/>
          <w:sz w:val="36"/>
          <w:szCs w:val="36"/>
        </w:rPr>
        <w:t>投标人全称（公章）：</w:t>
      </w:r>
      <w:bookmarkEnd w:id="101"/>
      <w:bookmarkEnd w:id="102"/>
    </w:p>
    <w:p>
      <w:pPr>
        <w:spacing w:line="360" w:lineRule="auto"/>
        <w:ind w:right="-108" w:firstLine="720" w:firstLineChars="200"/>
        <w:rPr>
          <w:rFonts w:ascii="宋体" w:hAnsi="宋体"/>
          <w:sz w:val="36"/>
          <w:szCs w:val="36"/>
        </w:rPr>
      </w:pPr>
      <w:bookmarkStart w:id="103" w:name="_Toc32593_WPSOffice_Level1"/>
      <w:bookmarkStart w:id="104" w:name="_Toc1391_WPSOffice_Level1"/>
      <w:r>
        <w:rPr>
          <w:rFonts w:hint="eastAsia" w:ascii="宋体" w:hAnsi="宋体"/>
          <w:sz w:val="36"/>
          <w:szCs w:val="36"/>
        </w:rPr>
        <w:t>地    址：</w:t>
      </w:r>
      <w:bookmarkEnd w:id="103"/>
      <w:bookmarkEnd w:id="104"/>
    </w:p>
    <w:p>
      <w:pPr>
        <w:spacing w:line="360" w:lineRule="auto"/>
        <w:ind w:right="-108" w:firstLine="720" w:firstLineChars="200"/>
        <w:rPr>
          <w:rFonts w:ascii="宋体" w:hAnsi="宋体"/>
          <w:sz w:val="36"/>
          <w:szCs w:val="36"/>
        </w:rPr>
      </w:pPr>
      <w:bookmarkStart w:id="105" w:name="_Toc20938_WPSOffice_Level1"/>
      <w:bookmarkStart w:id="106" w:name="_Toc3791_WPSOffice_Level1"/>
      <w:r>
        <w:rPr>
          <w:rFonts w:hint="eastAsia" w:ascii="宋体" w:hAnsi="宋体"/>
          <w:sz w:val="36"/>
          <w:szCs w:val="36"/>
        </w:rPr>
        <w:t>时    间：</w:t>
      </w:r>
      <w:bookmarkEnd w:id="105"/>
      <w:bookmarkEnd w:id="106"/>
    </w:p>
    <w:p>
      <w:pPr>
        <w:spacing w:line="360" w:lineRule="auto"/>
        <w:ind w:right="-108"/>
        <w:jc w:val="center"/>
        <w:rPr>
          <w:rFonts w:ascii="仿宋_GB2312" w:hAnsi="宋体" w:eastAsia="仿宋_GB2312"/>
          <w:b/>
          <w:sz w:val="36"/>
          <w:szCs w:val="36"/>
        </w:rPr>
      </w:pPr>
    </w:p>
    <w:p>
      <w:pPr>
        <w:pStyle w:val="19"/>
      </w:pPr>
    </w:p>
    <w:p>
      <w:pPr>
        <w:pStyle w:val="19"/>
      </w:pPr>
    </w:p>
    <w:p>
      <w:pPr>
        <w:pStyle w:val="19"/>
      </w:pPr>
    </w:p>
    <w:p>
      <w:pPr>
        <w:pStyle w:val="9"/>
        <w:ind w:left="0" w:leftChars="0" w:firstLine="0" w:firstLineChars="0"/>
        <w:rPr>
          <w:rFonts w:ascii="仿宋_GB2312" w:hAnsi="宋体" w:eastAsia="仿宋_GB2312"/>
          <w:b/>
          <w:sz w:val="36"/>
          <w:szCs w:val="36"/>
        </w:rPr>
      </w:pPr>
    </w:p>
    <w:p>
      <w:pPr>
        <w:pStyle w:val="9"/>
        <w:ind w:left="0" w:leftChars="0" w:firstLine="0" w:firstLineChars="0"/>
        <w:rPr>
          <w:rFonts w:ascii="仿宋_GB2312" w:hAnsi="宋体" w:eastAsia="仿宋_GB2312"/>
          <w:b/>
          <w:sz w:val="36"/>
          <w:szCs w:val="36"/>
        </w:rPr>
      </w:pPr>
    </w:p>
    <w:p>
      <w:pPr>
        <w:spacing w:line="480" w:lineRule="auto"/>
        <w:jc w:val="center"/>
        <w:rPr>
          <w:rFonts w:hint="eastAsia" w:ascii="宋体" w:hAnsi="宋体"/>
          <w:b/>
          <w:bCs/>
          <w:sz w:val="36"/>
          <w:szCs w:val="36"/>
        </w:rPr>
      </w:pPr>
      <w:bookmarkStart w:id="107" w:name="_Toc29537_WPSOffice_Level1"/>
      <w:bookmarkStart w:id="108" w:name="_Toc19972_WPSOffice_Level1"/>
      <w:r>
        <w:rPr>
          <w:rFonts w:hint="eastAsia" w:ascii="宋体" w:hAnsi="宋体"/>
          <w:b/>
          <w:bCs/>
          <w:sz w:val="36"/>
          <w:szCs w:val="36"/>
        </w:rPr>
        <w:t>报价文件目录</w:t>
      </w:r>
      <w:bookmarkEnd w:id="107"/>
      <w:bookmarkEnd w:id="108"/>
    </w:p>
    <w:p>
      <w:pPr>
        <w:pStyle w:val="19"/>
        <w:rPr>
          <w:rFonts w:hint="eastAsia"/>
        </w:rPr>
      </w:pPr>
    </w:p>
    <w:p>
      <w:pPr>
        <w:spacing w:line="360" w:lineRule="auto"/>
        <w:ind w:firstLine="480" w:firstLineChars="200"/>
        <w:rPr>
          <w:sz w:val="24"/>
        </w:rPr>
      </w:pPr>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09" w:name="_Toc6778_WPSOffice_Level1"/>
      <w:bookmarkStart w:id="110" w:name="_Toc29988_WPSOffice_Level1"/>
      <w:r>
        <w:rPr>
          <w:rFonts w:hint="eastAsia" w:asciiTheme="minorEastAsia" w:hAnsiTheme="minorEastAsia" w:eastAsiaTheme="minorEastAsia" w:cstheme="minorEastAsia"/>
          <w:sz w:val="28"/>
          <w:szCs w:val="28"/>
          <w:lang w:val="en-US" w:eastAsia="zh-CN"/>
        </w:rPr>
        <w:t>开标一览表（附件13）</w:t>
      </w:r>
      <w:bookmarkEnd w:id="109"/>
      <w:bookmarkEnd w:id="110"/>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11" w:name="_Toc11601_WPSOffice_Level1"/>
      <w:bookmarkStart w:id="112" w:name="_Toc15601_WPSOffice_Level1"/>
      <w:r>
        <w:rPr>
          <w:rFonts w:hint="eastAsia" w:asciiTheme="minorEastAsia" w:hAnsiTheme="minorEastAsia" w:eastAsiaTheme="minorEastAsia" w:cstheme="minorEastAsia"/>
          <w:sz w:val="28"/>
          <w:szCs w:val="28"/>
          <w:lang w:val="en-US" w:eastAsia="zh-CN"/>
        </w:rPr>
        <w:t>报价明细表（附件14）</w:t>
      </w:r>
      <w:bookmarkEnd w:id="111"/>
      <w:bookmarkEnd w:id="112"/>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13" w:name="_Toc17543_WPSOffice_Level1"/>
      <w:bookmarkStart w:id="114" w:name="_Toc45_WPSOffice_Level1"/>
      <w:r>
        <w:rPr>
          <w:rFonts w:hint="eastAsia" w:asciiTheme="minorEastAsia" w:hAnsiTheme="minorEastAsia" w:eastAsiaTheme="minorEastAsia" w:cstheme="minorEastAsia"/>
          <w:kern w:val="2"/>
          <w:sz w:val="28"/>
          <w:szCs w:val="28"/>
          <w:lang w:val="en-US" w:eastAsia="zh-CN" w:bidi="ar-SA"/>
        </w:rPr>
        <w:t>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lang w:val="en-US" w:eastAsia="zh-CN"/>
        </w:rPr>
        <w:t>（附件15）</w:t>
      </w:r>
      <w:bookmarkEnd w:id="113"/>
      <w:bookmarkEnd w:id="114"/>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针对报价投标人认为其他需要说明的</w:t>
      </w:r>
    </w:p>
    <w:p>
      <w:pPr>
        <w:numPr>
          <w:ilvl w:val="0"/>
          <w:numId w:val="0"/>
        </w:numPr>
        <w:spacing w:line="360" w:lineRule="auto"/>
        <w:ind w:leftChars="0"/>
        <w:jc w:val="both"/>
        <w:rPr>
          <w:rFonts w:hint="eastAsia" w:asciiTheme="minorEastAsia" w:hAnsiTheme="minorEastAsia" w:eastAsiaTheme="minorEastAsia" w:cstheme="minorEastAsia"/>
          <w:sz w:val="28"/>
          <w:szCs w:val="28"/>
          <w:lang w:val="en-US" w:eastAsia="zh-CN"/>
        </w:rPr>
      </w:pPr>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rPr>
          <w:rFonts w:ascii="宋体" w:hAnsi="宋体"/>
          <w:b/>
          <w:sz w:val="28"/>
        </w:rPr>
      </w:pPr>
      <w:r>
        <w:rPr>
          <w:rFonts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3</w:t>
      </w:r>
    </w:p>
    <w:p>
      <w:pPr>
        <w:spacing w:line="360" w:lineRule="auto"/>
        <w:ind w:left="-2" w:hanging="2"/>
        <w:jc w:val="center"/>
        <w:rPr>
          <w:rFonts w:hint="eastAsia" w:ascii="宋体" w:hAnsi="宋体"/>
          <w:b/>
          <w:sz w:val="32"/>
          <w:szCs w:val="32"/>
        </w:rPr>
      </w:pPr>
      <w:bookmarkStart w:id="115" w:name="_Toc30363_WPSOffice_Level1"/>
      <w:bookmarkStart w:id="116" w:name="_Toc16144_WPSOffice_Level1"/>
      <w:r>
        <w:rPr>
          <w:rFonts w:hint="eastAsia" w:ascii="宋体" w:hAnsi="宋体"/>
          <w:b/>
          <w:sz w:val="32"/>
          <w:szCs w:val="32"/>
        </w:rPr>
        <w:t>开标一览表</w:t>
      </w:r>
      <w:bookmarkEnd w:id="115"/>
      <w:bookmarkEnd w:id="116"/>
    </w:p>
    <w:p>
      <w:pPr>
        <w:pStyle w:val="19"/>
      </w:pPr>
    </w:p>
    <w:p>
      <w:pPr>
        <w:pStyle w:val="12"/>
        <w:spacing w:line="360" w:lineRule="auto"/>
        <w:ind w:firstLine="482" w:firstLineChars="200"/>
        <w:rPr>
          <w:rFonts w:hAnsi="宋体"/>
          <w:b/>
          <w:sz w:val="24"/>
        </w:rPr>
      </w:pPr>
      <w:r>
        <w:rPr>
          <w:rFonts w:hAnsi="宋体"/>
          <w:b/>
          <w:sz w:val="24"/>
        </w:rPr>
        <w:t>项目编号：</w:t>
      </w:r>
    </w:p>
    <w:p>
      <w:pPr>
        <w:pStyle w:val="39"/>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0"/>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投标总报价(元)</w:t>
            </w:r>
          </w:p>
        </w:tc>
        <w:tc>
          <w:tcPr>
            <w:tcW w:w="1349"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bl>
    <w:p>
      <w:pPr>
        <w:spacing w:line="360" w:lineRule="auto"/>
        <w:ind w:firstLine="422" w:firstLineChars="200"/>
        <w:rPr>
          <w:rFonts w:ascii="宋体" w:hAnsi="宋体"/>
          <w:sz w:val="24"/>
        </w:rPr>
      </w:pPr>
      <w:r>
        <w:rPr>
          <w:rFonts w:hint="eastAsia" w:ascii="宋体" w:hAnsi="宋体"/>
          <w:b/>
          <w:szCs w:val="21"/>
        </w:rPr>
        <w:t>填报要求：</w:t>
      </w:r>
      <w:r>
        <w:rPr>
          <w:rFonts w:hint="eastAsia" w:ascii="黑体" w:hAnsi="黑体" w:eastAsia="黑体" w:cs="黑体"/>
          <w:color w:val="111F2C"/>
          <w:szCs w:val="21"/>
          <w:shd w:val="clear" w:color="auto" w:fill="FFFFFF"/>
        </w:rPr>
        <w:t>投标报价包括本项目采购需求和投入使用的所有费用，包括但不限于主件、标准附件、备品备件、施工、服务、专用工具、安装、调试、检验、培训、运输、保险、税款等。</w:t>
      </w:r>
    </w:p>
    <w:p>
      <w:pPr>
        <w:spacing w:line="360" w:lineRule="auto"/>
        <w:rPr>
          <w:rFonts w:ascii="宋体" w:hAnsi="宋体"/>
          <w:sz w:val="24"/>
        </w:rPr>
      </w:pPr>
    </w:p>
    <w:p>
      <w:pPr>
        <w:pStyle w:val="19"/>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4</w:t>
      </w:r>
    </w:p>
    <w:p>
      <w:pPr>
        <w:spacing w:line="360" w:lineRule="auto"/>
        <w:jc w:val="center"/>
        <w:rPr>
          <w:rFonts w:hint="eastAsia" w:ascii="宋体" w:hAnsi="宋体"/>
          <w:sz w:val="24"/>
        </w:rPr>
      </w:pPr>
      <w:bookmarkStart w:id="117" w:name="_Toc8975_WPSOffice_Level1"/>
      <w:bookmarkStart w:id="118" w:name="_Toc22412_WPSOffice_Level1"/>
      <w:r>
        <w:rPr>
          <w:rFonts w:hint="eastAsia" w:ascii="宋体" w:hAnsi="宋体"/>
          <w:b/>
          <w:sz w:val="32"/>
          <w:szCs w:val="32"/>
        </w:rPr>
        <w:t>报价明细表</w:t>
      </w:r>
      <w:bookmarkEnd w:id="117"/>
      <w:bookmarkEnd w:id="118"/>
      <w:r>
        <w:rPr>
          <w:rFonts w:hint="eastAsia" w:ascii="宋体" w:hAnsi="宋体"/>
          <w:sz w:val="24"/>
        </w:rPr>
        <w:t xml:space="preserve">  </w:t>
      </w:r>
    </w:p>
    <w:p>
      <w:pPr>
        <w:spacing w:line="360" w:lineRule="auto"/>
        <w:jc w:val="both"/>
        <w:rPr>
          <w:rFonts w:hAnsi="宋体"/>
          <w:b/>
          <w:sz w:val="24"/>
        </w:rPr>
      </w:pPr>
      <w:r>
        <w:rPr>
          <w:rFonts w:hAnsi="宋体"/>
          <w:b/>
          <w:sz w:val="24"/>
        </w:rPr>
        <w:t>项目编号：</w:t>
      </w:r>
    </w:p>
    <w:p>
      <w:pPr>
        <w:pStyle w:val="39"/>
        <w:spacing w:line="360" w:lineRule="auto"/>
        <w:ind w:right="480"/>
        <w:jc w:val="left"/>
        <w:rPr>
          <w:rFonts w:ascii="宋体" w:hAnsi="宋体"/>
          <w:sz w:val="24"/>
        </w:rPr>
      </w:pPr>
      <w:r>
        <w:rPr>
          <w:rFonts w:hAnsi="宋体"/>
          <w:b/>
          <w:sz w:val="24"/>
        </w:rPr>
        <w:t>项目名称：</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[货币单位：人民币元]</w:t>
      </w:r>
    </w:p>
    <w:tbl>
      <w:tblPr>
        <w:tblStyle w:val="20"/>
        <w:tblpPr w:leftFromText="181" w:rightFromText="181" w:bottomFromText="170" w:vertAnchor="text" w:tblpXSpec="center" w:tblpY="1"/>
        <w:tblOverlap w:val="never"/>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44"/>
        <w:gridCol w:w="1034"/>
        <w:gridCol w:w="1260"/>
        <w:gridCol w:w="1036"/>
        <w:gridCol w:w="1005"/>
        <w:gridCol w:w="851"/>
        <w:gridCol w:w="714"/>
        <w:gridCol w:w="6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序号</w:t>
            </w:r>
          </w:p>
        </w:tc>
        <w:tc>
          <w:tcPr>
            <w:tcW w:w="114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报价项目</w:t>
            </w:r>
          </w:p>
        </w:tc>
        <w:tc>
          <w:tcPr>
            <w:tcW w:w="103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品牌、产地</w:t>
            </w:r>
          </w:p>
        </w:tc>
        <w:tc>
          <w:tcPr>
            <w:tcW w:w="1260" w:type="dxa"/>
            <w:tcMar>
              <w:top w:w="57" w:type="dxa"/>
              <w:left w:w="108" w:type="dxa"/>
              <w:bottom w:w="0" w:type="dxa"/>
              <w:right w:w="108" w:type="dxa"/>
            </w:tcMar>
            <w:vAlign w:val="center"/>
          </w:tcPr>
          <w:p>
            <w:pPr>
              <w:spacing w:line="360" w:lineRule="auto"/>
              <w:ind w:left="52"/>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型号规格</w:t>
            </w:r>
          </w:p>
        </w:tc>
        <w:tc>
          <w:tcPr>
            <w:tcW w:w="1036"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制造商名称</w:t>
            </w:r>
          </w:p>
        </w:tc>
        <w:tc>
          <w:tcPr>
            <w:tcW w:w="1005"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是否是小微企业</w:t>
            </w:r>
          </w:p>
        </w:tc>
        <w:tc>
          <w:tcPr>
            <w:tcW w:w="851" w:type="dxa"/>
            <w:tcMar>
              <w:top w:w="57" w:type="dxa"/>
              <w:left w:w="108" w:type="dxa"/>
              <w:bottom w:w="0" w:type="dxa"/>
              <w:right w:w="108" w:type="dxa"/>
            </w:tcMar>
            <w:vAlign w:val="center"/>
          </w:tcPr>
          <w:p>
            <w:pPr>
              <w:spacing w:line="360" w:lineRule="auto"/>
              <w:ind w:left="152"/>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数量</w:t>
            </w:r>
          </w:p>
        </w:tc>
        <w:tc>
          <w:tcPr>
            <w:tcW w:w="714"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单价</w:t>
            </w:r>
          </w:p>
        </w:tc>
        <w:tc>
          <w:tcPr>
            <w:tcW w:w="697"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小计</w:t>
            </w:r>
          </w:p>
        </w:tc>
        <w:tc>
          <w:tcPr>
            <w:tcW w:w="709"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975" w:type="dxa"/>
            <w:gridSpan w:val="10"/>
            <w:tcBorders>
              <w:bottom w:val="single" w:color="auto" w:sz="4" w:space="0"/>
            </w:tcBorders>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435"/>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5</w:t>
      </w:r>
    </w:p>
    <w:p>
      <w:pPr>
        <w:pStyle w:val="9"/>
        <w:spacing w:line="360" w:lineRule="auto"/>
        <w:ind w:left="0" w:leftChars="0" w:firstLine="0" w:firstLineChars="0"/>
        <w:jc w:val="center"/>
        <w:rPr>
          <w:rFonts w:ascii="宋体" w:hAnsi="宋体" w:cs="宋体"/>
          <w:b/>
          <w:sz w:val="32"/>
          <w:szCs w:val="32"/>
        </w:rPr>
      </w:pPr>
      <w:bookmarkStart w:id="119" w:name="_Toc12654_WPSOffice_Level1"/>
      <w:bookmarkStart w:id="120" w:name="_Toc29357_WPSOffice_Level1"/>
      <w:r>
        <w:rPr>
          <w:rFonts w:hint="eastAsia" w:ascii="宋体" w:hAnsi="宋体" w:cs="宋体"/>
          <w:b/>
          <w:sz w:val="32"/>
          <w:szCs w:val="32"/>
        </w:rPr>
        <w:t>中小企业声明函（货物）</w:t>
      </w:r>
      <w:bookmarkEnd w:id="119"/>
      <w:bookmarkEnd w:id="120"/>
    </w:p>
    <w:p>
      <w:pPr>
        <w:pStyle w:val="9"/>
        <w:spacing w:line="360" w:lineRule="auto"/>
        <w:ind w:firstLine="643" w:firstLineChars="200"/>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fldChar w:fldCharType="begin"/>
      </w:r>
      <w:r>
        <w:rPr>
          <w:rFonts w:hint="eastAsia" w:ascii="宋体" w:hAnsi="宋体" w:cs="宋体"/>
          <w:sz w:val="24"/>
          <w:vertAlign w:val="superscript"/>
        </w:rPr>
        <w:instrText xml:space="preserve"> = 1 \* GB3 </w:instrText>
      </w:r>
      <w:r>
        <w:rPr>
          <w:rFonts w:hint="eastAsia" w:ascii="宋体" w:hAnsi="宋体" w:cs="宋体"/>
          <w:sz w:val="24"/>
          <w:vertAlign w:val="superscript"/>
        </w:rPr>
        <w:fldChar w:fldCharType="separate"/>
      </w:r>
      <w:r>
        <w:rPr>
          <w:rFonts w:hint="eastAsia" w:ascii="宋体" w:hAnsi="宋体" w:cs="宋体"/>
          <w:sz w:val="24"/>
          <w:vertAlign w:val="superscript"/>
        </w:rPr>
        <w:t>①</w:t>
      </w:r>
      <w:r>
        <w:rPr>
          <w:rFonts w:hint="eastAsia" w:ascii="宋体" w:hAnsi="宋体" w:cs="宋体"/>
          <w:sz w:val="24"/>
          <w:vertAlign w:val="superscript"/>
        </w:rPr>
        <w:fldChar w:fldCharType="end"/>
      </w:r>
      <w:r>
        <w:rPr>
          <w:rFonts w:hint="eastAsia" w:ascii="宋体" w:hAnsi="宋体" w:cs="宋体"/>
          <w:sz w:val="24"/>
        </w:rPr>
        <w:t>，属于（中型企业、小型企业、微型企业）；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center"/>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企业名称（盖章）：        </w:t>
      </w:r>
    </w:p>
    <w:p>
      <w:pPr>
        <w:wordWrap w:val="0"/>
        <w:spacing w:line="360" w:lineRule="auto"/>
        <w:ind w:firstLine="480" w:firstLineChars="200"/>
        <w:jc w:val="center"/>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日 期：    </w:t>
      </w:r>
    </w:p>
    <w:p>
      <w:pPr>
        <w:wordWrap w:val="0"/>
        <w:spacing w:line="360" w:lineRule="auto"/>
        <w:ind w:firstLine="480" w:firstLineChars="200"/>
        <w:jc w:val="center"/>
        <w:rPr>
          <w:rFonts w:hint="eastAsia" w:ascii="宋体" w:hAnsi="宋体" w:cs="宋体"/>
          <w:sz w:val="24"/>
        </w:rPr>
      </w:pPr>
      <w:r>
        <w:rPr>
          <w:rFonts w:hint="eastAsia" w:ascii="宋体" w:hAnsi="宋体" w:cs="宋体"/>
          <w:sz w:val="24"/>
        </w:rPr>
        <w:t xml:space="preserve">      </w:t>
      </w: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 AQAADwAAAGRycy9kb3ducmV2LnhtbE2PwU7DMBBE70j8g7VI3KgdCgWlcSqBhAQXJNIeOG6TbRJq r6PYbcPfs4hDOc7MauZtsZq8U0caYx/YQjYzoIjr0PTcWtisX24eQcWE3KALTBa+KcKqvLwoMG/C iT/oWKVWSQnHHC10KQ251rHuyGOchYFYsl0YPSaRY6ubEU9S7p2+NWahPfYsCx0O9NxRva8O3sJ7 tdm/6Wy6/4ru84kXmK3Nq7P2+iozS1CJpnQ+hl98QYdSmLbhwE1UzoJwJwvzuTwk6d2DEWP7Z+iy 0P/xyx9QSwMEFAAAAAgAh07iQG8SiXD2AQAA1AMAAA4AAABkcnMvZTJvRG9jLnhtbK1TzW4TMRC+ I/EOlu9k07SlYZVND43KBUEkygNMvXbWkv/kcbPJS/ACSNzgxJE7b0N5DMbebQjl0gM5OGOP55v5 Pn+7uNxZw7Yyovau4SeTKWfSCd9qt2n4h5vrF3POMIFrwXgnG76XyC+Xz58t+lDLme+8aWVkBOKw 7kPDu5RCXVUoOmkBJz5IR0nlo4VE27ip2gg9oVtTzabTl1XvYxuiFxKRTldDko+I8SmAXikt5MqL OytdGlCjNJCIEnY6IF+WaZWSIr1TCmVipuHENJWVmlB8m9dquYB6EyF0WowjwFNGeMTJgnbU9AC1 ggTsLup/oKwW0aNXaSK8rQYiRRFicTJ9pM37DoIsXEhqDAfR8f/BirfbdWS6bfgpZw4sPfj9p+8/ P3759eMzrfffvrLTLFIfsKa7V24dxx2GdcyMdyra/E9c2K4Iuz8IK3eJCTqcvZqfXZyR5uIhV/0p DBHTa+kty0HDjXaZM9SwfYOJmtHVhyv52PlrbUx5N+NYTxY+n1+cEzSQGRWZgEIbiBC6DWdgNuRy kWKBRG90m8szEO7xykS2BbIG+bP1/Q3Ny5kBTJQgEuWX2dMIf5XmeVaA3VBcUoOTrE70cRhtGz4/ rjYud5TFkCOrrOigYY5ufbsv0lZ5R49dmo7GzG463lN8/DEufwN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BiBAAAW0NvbnRlbnRfVHlwZXNdLnht bFBLAQIUAAoAAAAAAIdO4kAAAAAAAAAAAAAAAAAGAAAAAAAAAAAAEAAAAEQDAABfcmVscy9QSwEC FAAUAAAACACHTuJAihRmPNEAAACUAQAACwAAAAAAAAABACAAAABoAwAAX3JlbHMvLnJlbHNQSwEC FAAKAAAAAACHTuJAAAAAAAAAAAAAAAAABAAAAAAAAAAAABAAAAAAAAAAZHJzL1BLAQIUABQAAAAI AIdO4kDNFKqV0wAAAAYBAAAPAAAAAAAAAAEAIAAAACIAAABkcnMvZG93bnJldi54bWxQSwECFAAU AAAACACHTuJAbxKJcPYBAADUAwAADgAAAAAAAAABACAAAAAiAQAAZHJzL2Uyb0RvYy54bWxQSwUG AAAAAAYABgBZAQAAigUAAAAA ">
                <v:fill on="f" focussize="0,0"/>
                <v:stroke weight="1.25pt" color="#000000" miterlimit="8" joinstyle="miter"/>
                <v:imagedata o:title=""/>
                <o:lock v:ext="edit" aspectratio="f"/>
              </v:line>
            </w:pict>
          </mc:Fallback>
        </mc:AlternateContent>
      </w:r>
    </w:p>
    <w:p>
      <w:pP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sectPr>
          <w:headerReference r:id="rId5" w:type="first"/>
          <w:headerReference r:id="rId4" w:type="default"/>
          <w:footerReference r:id="rId6" w:type="default"/>
          <w:pgSz w:w="11906" w:h="16838"/>
          <w:pgMar w:top="1701" w:right="1418" w:bottom="1588"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2"/>
        <w:spacing w:line="360" w:lineRule="auto"/>
        <w:jc w:val="center"/>
        <w:outlineLvl w:val="1"/>
        <w:rPr>
          <w:rFonts w:hAnsi="宋体" w:cs="宋体"/>
          <w:b/>
          <w:sz w:val="32"/>
          <w:szCs w:val="32"/>
          <w:lang w:val="en-GB"/>
        </w:rPr>
      </w:pPr>
      <w:bookmarkStart w:id="121" w:name="_Toc17646_WPSOffice_Level1"/>
      <w:bookmarkStart w:id="122" w:name="_Toc27483_WPSOffice_Level1"/>
      <w:r>
        <w:rPr>
          <w:rFonts w:hint="eastAsia" w:hAnsi="宋体" w:cs="宋体"/>
          <w:b/>
          <w:sz w:val="32"/>
          <w:szCs w:val="32"/>
          <w:lang w:val="en-GB"/>
        </w:rPr>
        <w:t>残疾人福利性单位声明函</w:t>
      </w:r>
      <w:bookmarkEnd w:id="121"/>
      <w:bookmarkEnd w:id="122"/>
    </w:p>
    <w:p>
      <w:pPr>
        <w:spacing w:line="588"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0"/>
        <w:spacing w:line="360" w:lineRule="auto"/>
        <w:ind w:left="4788" w:leftChars="2280" w:firstLine="0" w:firstLineChars="0"/>
        <w:rPr>
          <w:rFonts w:hint="eastAsia" w:ascii="宋体" w:hAnsi="宋体"/>
          <w:sz w:val="24"/>
        </w:rPr>
      </w:pPr>
      <w:r>
        <w:rPr>
          <w:rFonts w:hint="eastAsia" w:ascii="宋体" w:hAnsi="宋体" w:cs="宋体"/>
          <w:sz w:val="24"/>
        </w:rPr>
        <w:t xml:space="preserve">                                </w:t>
      </w:r>
      <w:r>
        <w:rPr>
          <w:rFonts w:hint="eastAsia" w:ascii="宋体" w:hAnsi="宋体"/>
          <w:sz w:val="24"/>
        </w:rPr>
        <w:t>单位名称（盖章）：</w:t>
      </w:r>
    </w:p>
    <w:p>
      <w:pPr>
        <w:pStyle w:val="40"/>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tabs>
          <w:tab w:val="left" w:pos="4860"/>
        </w:tabs>
        <w:spacing w:line="588" w:lineRule="exact"/>
        <w:ind w:right="1560" w:firstLine="480" w:firstLineChars="200"/>
        <w:jc w:val="center"/>
        <w:rPr>
          <w:rFonts w:ascii="宋体" w:hAnsi="宋体" w:cs="宋体"/>
          <w:sz w:val="24"/>
        </w:rPr>
      </w:pPr>
    </w:p>
    <w:p>
      <w:pPr>
        <w:pStyle w:val="40"/>
        <w:spacing w:line="360" w:lineRule="auto"/>
      </w:pPr>
    </w:p>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___WRD_EMBED_SUB_41">
    <w:altName w:val="宋体"/>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upMyU4AgAAbwQAAA4AAABkcnMvZTJvRG9jLnhtbK1UzY7TMBC+I/EO lu80aRG7VdV0VbYqQqrYlRbE2XWcJpL/ZLtNygPAG3Diwp3n6nPw2Wm6aOGwBy7p2DP+Zr5vZjq/ 6ZQkB+F8Y3RBx6OcEqG5KRu9K+inj+tXU0p8YLpk0mhR0KPw9Gbx8sW8tTMxMbWRpXAEINrPWlvQ OgQ7yzLPa6GYHxkrNJyVcYoFHN0uKx1rga5kNsnzq6w1rrTOcOE9ble9k54R3XMATVU1XKwM3yuh Q4/qhGQBlHzdWE8XqdqqEjzcVZUXgciCgmlIXySBvY3fbDFns51jtm74uQT2nBKecFKs0Uh6gVqx wMjeNX9BqYY7400VRtyorCeSFAGLcf5Em4eaWZG4QGpvL6L7/wfLPxzuHWnKgl5ToplCw0/fv51+ /Dr9/Equozyt9TNEPVjEhe6t6TA0w73HZWTdVU7FX/Ah8EPc40Vc0QXC46PpZDrN4eLwDQfgZ4/P rfPhnTCKRKOgDt1LorLDxoc+dAiJ2bRZN1KmDkpN2oJevX6TpwcXD8CljrEizcIZJlLqS49W6Lbd mefWlEfQdKafE2/5ukEpG+bDPXMYDJSP1Ql3+FTSIKU5W5TUxn35132MR7/gpaTFoBVUY68oke81 +gjAMBhuMLaDoffq1mByx1hJy5OJBy7IwaycUZ+xT8uYAy6mOTIVNAzmbeiHHfvIxXKZgvbWNbu6 f4AptCxs9IPlMU2UytvlPkDapHgUqFcFnYoHzGHq2Xln4qD/eU5Rj/8Ti9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zSVju0AAAAAUBAAAPAAAAAAAAAAEAIAAAACIAAABkcnMvZG93bnJldi54bWxQ SwECFAAUAAAACACHTuJAe6kzJTgCAABvBAAADgAAAAAAAAABACAAAAAfAQAAZHJzL2Uyb0RvYy54 bWxQSwUGAAAAAAYABgBZAQAAyQUAAAAA ">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BR89qo3AgAAbwQAAA4AAABkcnMvZTJvRG9jLnhtbK1UzY7TMBC+I/EO lu80bRGrqmq6KlsVIVXsSgVxdh2nieQ/2W6T8gDwBpy4cOe5+hx8dpIuWjjsgUs69oy/me+bmS5u WyXJSThfG53TyWhMidDcFLU+5PTTx82rGSU+MF0wabTI6Vl4ert8+WLR2LmYmsrIQjgCEO3njc1p FYKdZ5nnlVDMj4wVGs7SOMUCju6QFY41QFcym47HN1ljXGGd4cJ73K47J+0R3XMATVnWXKwNPyqh Q4fqhGQBlHxVW0+XqdqyFDzcl6UXgcicgmlIXySBvY/fbLlg84Njtqp5XwJ7TglPOClWayS9Qq1Z YOTo6r+gVM2d8aYMI25U1hFJioDFZPxEm13FrEhcILW3V9H9/4PlH04PjtRFTtF2zRQafvn+7fLj 1+XnVzKL8jTWzxG1s4gL7VvTYmiGe4/LyLotnYq/4EPgh7jnq7iiDYTHR7PpbDaGi8M3HICfPT63 zod3wigSjZw6dC+Jyk5bH7rQISRm02ZTS5k6KDVpcnrz+s04Pbh6AC51jBVpFnqYSKkrPVqh3bc9 z70pzqDpTDcn3vJNjVK2zIcH5jAYKB+rE+7xKaVBStNblFTGffnXfYxHv+ClpMGg5VRjryiR7zX6 CMAwGG4w9oOhj+rOYHInWEnLk4kHLsjBLJ1Rn7FPq5gDLqY5MuU0DOZd6IYd+8jFapWCjtbVh6p7 gCm0LGz1zvKYJkrl7eoYIG1SPArUqYJOxQPmMPWs35k46H+eU9Tj/8TyN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LNJWO7QAAAABQEAAA8AAAAAAAAAAQAgAAAAIgAAAGRycy9kb3ducmV2LnhtbFBL AQIUABQAAAAIAIdO4kAUfPaqNwIAAG8EAAAOAAAAAAAAAAEAIAAAAB8BAABkcnMvZTJvRG9jLnht bFBLBQYAAAAABgAGAFkBAADIBQAAAAA= ">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1F+UJskBAACZAwAADgAAAGRycy9lMm9Eb2MueG1srVPNjtMwEL4j8Q6W 79TZaoWqqOlqUbUICQHSwgO4jt1Y8p88bpO+ALwBJy7cea4+B2Mn6S7LZQ97ccYz42/m+2ayvhms IUcZQXvX0KtFRYl0wrfa7Rv67evdmxUlkLhrufFONvQkgd5sXr9a96GWS99508pIEMRB3YeGdimF mjEQnbQcFj5Ih0Hlo+UJr3HP2sh7RLeGLavqLet9bEP0QgKgdzsG6YQYnwPoldJCbr04WOnSiBql 4QkpQacD0E3pVikp0melQCZiGopMUzmxCNq7fLLNmtf7yEOnxdQCf04LTzhZrh0WvUBteeLkEPV/ UFaL6MGrtBDespFIUQRZXFVPtLnveJCFC0oN4SI6vBys+HT8EoluG3pNieMWB37++eP868/593dy neXpA9SYdR8wLw3v/IBLM/sBnZn1oKLNX+RDMI7ini7iyiERkR+tlqtVhSGBsfmC+OzheYiQ3ktv STYaGnF6RVR+/AhpTJ1TcjXn77QxZYLG/eNAzOxhufexx2ylYTdMhHa+PSGfHgffUId7Ton54FDX vCOzEWdjNxuHEPW+K0uU60G4PSRsovSWK4ywU2GcWGE3bVdeicf3kvXwR23+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UX5QmyQEAAJkDAAAOAAAAAAAAAAEAIAAAAB4BAABkcnMvZTJvRG9j LnhtbFBLBQYAAAAABgAGAFkBAABZBQAAAAA= ">
              <v:fill on="f" focussize="0,0"/>
              <v:stroke on="f"/>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r>
      <w:rPr>
        <w:rFonts w:hint="eastAsia"/>
        <w:lang w:eastAsia="zh-CN"/>
      </w:rPr>
      <w:t>台州市政府采购招标文件</w:t>
    </w: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政府采购文件公开招标货物类示范文本</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仿宋_GB2312" w:eastAsia="仿宋_GB2312"/>
        <w:sz w:val="24"/>
      </w:rPr>
      <w:t>丽水市政府采购中心</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XXX政府采购招标文件--货物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B640206"/>
    <w:multiLevelType w:val="singleLevel"/>
    <w:tmpl w:val="8B640206"/>
    <w:lvl w:ilvl="0" w:tentative="0">
      <w:start w:val="1"/>
      <w:numFmt w:val="bullet"/>
      <w:lvlText w:val=""/>
      <w:lvlJc w:val="left"/>
      <w:pPr>
        <w:ind w:left="420" w:hanging="420"/>
      </w:pPr>
      <w:rPr>
        <w:rFonts w:hint="default" w:ascii="Wingdings" w:hAnsi="Wingdings"/>
      </w:rPr>
    </w:lvl>
  </w:abstractNum>
  <w:abstractNum w:abstractNumId="2">
    <w:nsid w:val="8FA37827"/>
    <w:multiLevelType w:val="singleLevel"/>
    <w:tmpl w:val="8FA37827"/>
    <w:lvl w:ilvl="0" w:tentative="0">
      <w:start w:val="1"/>
      <w:numFmt w:val="decimal"/>
      <w:lvlText w:val="%1."/>
      <w:lvlJc w:val="left"/>
      <w:pPr>
        <w:ind w:left="425" w:hanging="425"/>
      </w:pPr>
      <w:rPr>
        <w:rFonts w:hint="default"/>
      </w:rPr>
    </w:lvl>
  </w:abstractNum>
  <w:abstractNum w:abstractNumId="3">
    <w:nsid w:val="B778F772"/>
    <w:multiLevelType w:val="singleLevel"/>
    <w:tmpl w:val="B778F772"/>
    <w:lvl w:ilvl="0" w:tentative="0">
      <w:start w:val="1"/>
      <w:numFmt w:val="decimal"/>
      <w:lvlText w:val="%1."/>
      <w:lvlJc w:val="left"/>
      <w:pPr>
        <w:tabs>
          <w:tab w:val="left" w:pos="312"/>
        </w:tabs>
      </w:pPr>
    </w:lvl>
  </w:abstractNum>
  <w:abstractNum w:abstractNumId="4">
    <w:nsid w:val="FF4D4BA8"/>
    <w:multiLevelType w:val="singleLevel"/>
    <w:tmpl w:val="FF4D4BA8"/>
    <w:lvl w:ilvl="0" w:tentative="0">
      <w:start w:val="1"/>
      <w:numFmt w:val="decimal"/>
      <w:lvlText w:val="%1."/>
      <w:lvlJc w:val="left"/>
      <w:pPr>
        <w:ind w:left="425" w:hanging="425"/>
      </w:pPr>
      <w:rPr>
        <w:rFonts w:hint="default"/>
      </w:rPr>
    </w:lvl>
  </w:abstractNum>
  <w:abstractNum w:abstractNumId="5">
    <w:nsid w:val="0A307B3E"/>
    <w:multiLevelType w:val="singleLevel"/>
    <w:tmpl w:val="0A307B3E"/>
    <w:lvl w:ilvl="0" w:tentative="0">
      <w:start w:val="1"/>
      <w:numFmt w:val="decimal"/>
      <w:lvlText w:val="(%1)"/>
      <w:lvlJc w:val="left"/>
      <w:pPr>
        <w:ind w:left="425" w:hanging="425"/>
      </w:pPr>
      <w:rPr>
        <w:rFonts w:hint="default"/>
      </w:rPr>
    </w:lvl>
  </w:abstractNum>
  <w:abstractNum w:abstractNumId="6">
    <w:nsid w:val="0ED2C79B"/>
    <w:multiLevelType w:val="singleLevel"/>
    <w:tmpl w:val="0ED2C79B"/>
    <w:lvl w:ilvl="0" w:tentative="0">
      <w:start w:val="1"/>
      <w:numFmt w:val="decimal"/>
      <w:pStyle w:val="8"/>
      <w:lvlText w:val="%1."/>
      <w:lvlJc w:val="left"/>
      <w:pPr>
        <w:tabs>
          <w:tab w:val="left" w:pos="360"/>
        </w:tabs>
        <w:ind w:left="360" w:hanging="360"/>
      </w:pPr>
    </w:lvl>
  </w:abstractNum>
  <w:abstractNum w:abstractNumId="7">
    <w:nsid w:val="229B591F"/>
    <w:multiLevelType w:val="singleLevel"/>
    <w:tmpl w:val="229B591F"/>
    <w:lvl w:ilvl="0" w:tentative="0">
      <w:start w:val="1"/>
      <w:numFmt w:val="decimal"/>
      <w:lvlText w:val="%1."/>
      <w:lvlJc w:val="left"/>
      <w:pPr>
        <w:tabs>
          <w:tab w:val="left" w:pos="312"/>
        </w:tabs>
      </w:pPr>
    </w:lvl>
  </w:abstractNum>
  <w:abstractNum w:abstractNumId="8">
    <w:nsid w:val="289F1F1C"/>
    <w:multiLevelType w:val="singleLevel"/>
    <w:tmpl w:val="289F1F1C"/>
    <w:lvl w:ilvl="0" w:tentative="0">
      <w:start w:val="1"/>
      <w:numFmt w:val="decimal"/>
      <w:lvlText w:val="%1."/>
      <w:lvlJc w:val="left"/>
      <w:pPr>
        <w:ind w:left="425" w:hanging="425"/>
      </w:pPr>
      <w:rPr>
        <w:rFonts w:hint="default"/>
      </w:rPr>
    </w:lvl>
  </w:abstractNum>
  <w:abstractNum w:abstractNumId="9">
    <w:nsid w:val="461E5E94"/>
    <w:multiLevelType w:val="singleLevel"/>
    <w:tmpl w:val="461E5E94"/>
    <w:lvl w:ilvl="0" w:tentative="0">
      <w:start w:val="2"/>
      <w:numFmt w:val="chineseCounting"/>
      <w:suff w:val="space"/>
      <w:lvlText w:val="第%1章"/>
      <w:lvlJc w:val="left"/>
      <w:rPr>
        <w:rFonts w:hint="eastAsia"/>
      </w:rPr>
    </w:lvl>
  </w:abstractNum>
  <w:abstractNum w:abstractNumId="10">
    <w:nsid w:val="636567A2"/>
    <w:multiLevelType w:val="multilevel"/>
    <w:tmpl w:val="636567A2"/>
    <w:lvl w:ilvl="0" w:tentative="0">
      <w:start w:val="1"/>
      <w:numFmt w:val="decimal"/>
      <w:pStyle w:val="5"/>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1">
    <w:nsid w:val="66DDD653"/>
    <w:multiLevelType w:val="singleLevel"/>
    <w:tmpl w:val="66DDD653"/>
    <w:lvl w:ilvl="0" w:tentative="0">
      <w:start w:val="1"/>
      <w:numFmt w:val="chineseCounting"/>
      <w:suff w:val="space"/>
      <w:lvlText w:val="第%1章"/>
      <w:lvlJc w:val="left"/>
      <w:rPr>
        <w:rFonts w:hint="eastAsia"/>
      </w:rPr>
    </w:lvl>
  </w:abstractNum>
  <w:abstractNum w:abstractNumId="12">
    <w:nsid w:val="7488A27B"/>
    <w:multiLevelType w:val="singleLevel"/>
    <w:tmpl w:val="7488A27B"/>
    <w:lvl w:ilvl="0" w:tentative="0">
      <w:start w:val="1"/>
      <w:numFmt w:val="decimal"/>
      <w:lvlText w:val="%1."/>
      <w:lvlJc w:val="left"/>
      <w:pPr>
        <w:ind w:left="425" w:hanging="425"/>
      </w:pPr>
      <w:rPr>
        <w:rFonts w:hint="default"/>
      </w:rPr>
    </w:lvl>
  </w:abstractNum>
  <w:abstractNum w:abstractNumId="13">
    <w:nsid w:val="7E92F494"/>
    <w:multiLevelType w:val="singleLevel"/>
    <w:tmpl w:val="7E92F494"/>
    <w:lvl w:ilvl="0" w:tentative="0">
      <w:start w:val="1"/>
      <w:numFmt w:val="decimal"/>
      <w:lvlText w:val="%1."/>
      <w:lvlJc w:val="left"/>
      <w:pPr>
        <w:ind w:left="425" w:hanging="425"/>
      </w:pPr>
      <w:rPr>
        <w:rFonts w:hint="default"/>
      </w:rPr>
    </w:lvl>
  </w:abstractNum>
  <w:num w:numId="1">
    <w:abstractNumId w:val="10"/>
  </w:num>
  <w:num w:numId="2">
    <w:abstractNumId w:val="6"/>
  </w:num>
  <w:num w:numId="3">
    <w:abstractNumId w:val="11"/>
  </w:num>
  <w:num w:numId="4">
    <w:abstractNumId w:val="9"/>
  </w:num>
  <w:num w:numId="5">
    <w:abstractNumId w:val="5"/>
  </w:num>
  <w:num w:numId="6">
    <w:abstractNumId w:val="1"/>
  </w:num>
  <w:num w:numId="7">
    <w:abstractNumId w:val="7"/>
  </w:num>
  <w:num w:numId="8">
    <w:abstractNumId w:val="0"/>
  </w:num>
  <w:num w:numId="9">
    <w:abstractNumId w:val="13"/>
  </w:num>
  <w:num w:numId="10">
    <w:abstractNumId w:val="12"/>
  </w:num>
  <w:num w:numId="11">
    <w:abstractNumId w:val="2"/>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F2B0C"/>
    <w:rsid w:val="0002799D"/>
    <w:rsid w:val="00037F4A"/>
    <w:rsid w:val="00072A3F"/>
    <w:rsid w:val="000E538F"/>
    <w:rsid w:val="001136A2"/>
    <w:rsid w:val="001B51C8"/>
    <w:rsid w:val="001C4F91"/>
    <w:rsid w:val="001E6CF9"/>
    <w:rsid w:val="00242A20"/>
    <w:rsid w:val="002A4418"/>
    <w:rsid w:val="00312C7C"/>
    <w:rsid w:val="00315916"/>
    <w:rsid w:val="003201FA"/>
    <w:rsid w:val="00330F75"/>
    <w:rsid w:val="003C4BB8"/>
    <w:rsid w:val="003E7404"/>
    <w:rsid w:val="00401AC8"/>
    <w:rsid w:val="00494691"/>
    <w:rsid w:val="005240D4"/>
    <w:rsid w:val="00565F77"/>
    <w:rsid w:val="005B7FA6"/>
    <w:rsid w:val="00623A21"/>
    <w:rsid w:val="00627077"/>
    <w:rsid w:val="00627D71"/>
    <w:rsid w:val="0066350B"/>
    <w:rsid w:val="006F24A9"/>
    <w:rsid w:val="006F679D"/>
    <w:rsid w:val="0072317A"/>
    <w:rsid w:val="007E4962"/>
    <w:rsid w:val="0093255C"/>
    <w:rsid w:val="00987EDA"/>
    <w:rsid w:val="00A921FD"/>
    <w:rsid w:val="00A97E75"/>
    <w:rsid w:val="00AA020C"/>
    <w:rsid w:val="00AB49B7"/>
    <w:rsid w:val="00B023A2"/>
    <w:rsid w:val="00B44061"/>
    <w:rsid w:val="00BD378A"/>
    <w:rsid w:val="00C4791F"/>
    <w:rsid w:val="00CF3329"/>
    <w:rsid w:val="00D00C48"/>
    <w:rsid w:val="00D0546E"/>
    <w:rsid w:val="00D07E9B"/>
    <w:rsid w:val="00DB1E3F"/>
    <w:rsid w:val="00DC1336"/>
    <w:rsid w:val="00E32B23"/>
    <w:rsid w:val="00E41EBA"/>
    <w:rsid w:val="00E448AC"/>
    <w:rsid w:val="00E66CDC"/>
    <w:rsid w:val="00EC04A9"/>
    <w:rsid w:val="00EF43FF"/>
    <w:rsid w:val="00F26F1C"/>
    <w:rsid w:val="010742D5"/>
    <w:rsid w:val="01077B6C"/>
    <w:rsid w:val="011C2867"/>
    <w:rsid w:val="011E4134"/>
    <w:rsid w:val="012355F0"/>
    <w:rsid w:val="012B6D61"/>
    <w:rsid w:val="015C2A86"/>
    <w:rsid w:val="015F789E"/>
    <w:rsid w:val="01851778"/>
    <w:rsid w:val="01AE11E6"/>
    <w:rsid w:val="01B70CE3"/>
    <w:rsid w:val="01D10A61"/>
    <w:rsid w:val="01D61DCE"/>
    <w:rsid w:val="01F170ED"/>
    <w:rsid w:val="01F53A09"/>
    <w:rsid w:val="01F916C8"/>
    <w:rsid w:val="02040004"/>
    <w:rsid w:val="022115FB"/>
    <w:rsid w:val="02292E42"/>
    <w:rsid w:val="02375009"/>
    <w:rsid w:val="02536BAE"/>
    <w:rsid w:val="0277756A"/>
    <w:rsid w:val="0294584C"/>
    <w:rsid w:val="029A4E8A"/>
    <w:rsid w:val="02BD7D6C"/>
    <w:rsid w:val="02C73731"/>
    <w:rsid w:val="032A675A"/>
    <w:rsid w:val="032C58C3"/>
    <w:rsid w:val="036059A4"/>
    <w:rsid w:val="037628ED"/>
    <w:rsid w:val="03804F1D"/>
    <w:rsid w:val="038D5F87"/>
    <w:rsid w:val="03996F9E"/>
    <w:rsid w:val="03A92BAF"/>
    <w:rsid w:val="03AD4EC4"/>
    <w:rsid w:val="03DC5B25"/>
    <w:rsid w:val="041155D0"/>
    <w:rsid w:val="04315D2A"/>
    <w:rsid w:val="04431C4F"/>
    <w:rsid w:val="044D523C"/>
    <w:rsid w:val="04604D98"/>
    <w:rsid w:val="046212F9"/>
    <w:rsid w:val="04663F34"/>
    <w:rsid w:val="04686D1E"/>
    <w:rsid w:val="04E746F0"/>
    <w:rsid w:val="04E87471"/>
    <w:rsid w:val="050A0D5B"/>
    <w:rsid w:val="050D23B9"/>
    <w:rsid w:val="05162537"/>
    <w:rsid w:val="051E7487"/>
    <w:rsid w:val="053F0EAC"/>
    <w:rsid w:val="053F23D3"/>
    <w:rsid w:val="056B3DBF"/>
    <w:rsid w:val="057D6BFC"/>
    <w:rsid w:val="057E41A9"/>
    <w:rsid w:val="05B01B1D"/>
    <w:rsid w:val="05BC5BB6"/>
    <w:rsid w:val="05CB2372"/>
    <w:rsid w:val="05FD1629"/>
    <w:rsid w:val="06221E50"/>
    <w:rsid w:val="06653309"/>
    <w:rsid w:val="06653EC4"/>
    <w:rsid w:val="067544C8"/>
    <w:rsid w:val="0699402C"/>
    <w:rsid w:val="069C64C8"/>
    <w:rsid w:val="06A0112C"/>
    <w:rsid w:val="06AD7687"/>
    <w:rsid w:val="06B864B2"/>
    <w:rsid w:val="06D372D6"/>
    <w:rsid w:val="06D64E56"/>
    <w:rsid w:val="06F061D6"/>
    <w:rsid w:val="0703081A"/>
    <w:rsid w:val="070C5153"/>
    <w:rsid w:val="070E765D"/>
    <w:rsid w:val="07157529"/>
    <w:rsid w:val="071747A0"/>
    <w:rsid w:val="071E2C8A"/>
    <w:rsid w:val="07347410"/>
    <w:rsid w:val="07425FC3"/>
    <w:rsid w:val="074273EB"/>
    <w:rsid w:val="07463A3E"/>
    <w:rsid w:val="074E4D14"/>
    <w:rsid w:val="079219E0"/>
    <w:rsid w:val="079F3EE7"/>
    <w:rsid w:val="07AE41DE"/>
    <w:rsid w:val="07DF5164"/>
    <w:rsid w:val="07E50580"/>
    <w:rsid w:val="07F46C10"/>
    <w:rsid w:val="07F9224F"/>
    <w:rsid w:val="07FA589D"/>
    <w:rsid w:val="082E5DF2"/>
    <w:rsid w:val="085403A4"/>
    <w:rsid w:val="085E020A"/>
    <w:rsid w:val="086951C1"/>
    <w:rsid w:val="08696EDC"/>
    <w:rsid w:val="087075EB"/>
    <w:rsid w:val="088D6A54"/>
    <w:rsid w:val="08941B48"/>
    <w:rsid w:val="08C60C4A"/>
    <w:rsid w:val="08C72312"/>
    <w:rsid w:val="08DC3175"/>
    <w:rsid w:val="08F0261B"/>
    <w:rsid w:val="08F81693"/>
    <w:rsid w:val="09060203"/>
    <w:rsid w:val="090A0832"/>
    <w:rsid w:val="095406F9"/>
    <w:rsid w:val="0955362C"/>
    <w:rsid w:val="09566590"/>
    <w:rsid w:val="09583EB5"/>
    <w:rsid w:val="095D7A37"/>
    <w:rsid w:val="09875848"/>
    <w:rsid w:val="09B565E4"/>
    <w:rsid w:val="09BB0BBA"/>
    <w:rsid w:val="09C77B1C"/>
    <w:rsid w:val="09E70A54"/>
    <w:rsid w:val="09E77E14"/>
    <w:rsid w:val="09E9749A"/>
    <w:rsid w:val="09F232F3"/>
    <w:rsid w:val="09F46495"/>
    <w:rsid w:val="09F623EB"/>
    <w:rsid w:val="09FF3A0A"/>
    <w:rsid w:val="0A082AE0"/>
    <w:rsid w:val="0A0D5A3B"/>
    <w:rsid w:val="0A172426"/>
    <w:rsid w:val="0A2355D9"/>
    <w:rsid w:val="0A4573B3"/>
    <w:rsid w:val="0A53599E"/>
    <w:rsid w:val="0A744A82"/>
    <w:rsid w:val="0A8528D5"/>
    <w:rsid w:val="0A903A5E"/>
    <w:rsid w:val="0A904AA4"/>
    <w:rsid w:val="0A93374C"/>
    <w:rsid w:val="0A972E8D"/>
    <w:rsid w:val="0AA9160E"/>
    <w:rsid w:val="0AAA5EAC"/>
    <w:rsid w:val="0AB40849"/>
    <w:rsid w:val="0ABB2280"/>
    <w:rsid w:val="0AD56F1F"/>
    <w:rsid w:val="0AE946CC"/>
    <w:rsid w:val="0AEA3C8C"/>
    <w:rsid w:val="0AEE0D1E"/>
    <w:rsid w:val="0AFC0782"/>
    <w:rsid w:val="0B1E0CF0"/>
    <w:rsid w:val="0B556C34"/>
    <w:rsid w:val="0B6C389D"/>
    <w:rsid w:val="0B760351"/>
    <w:rsid w:val="0B846791"/>
    <w:rsid w:val="0B8B536A"/>
    <w:rsid w:val="0BCC7711"/>
    <w:rsid w:val="0BCD0049"/>
    <w:rsid w:val="0BE83010"/>
    <w:rsid w:val="0BEA0DB9"/>
    <w:rsid w:val="0C061D9D"/>
    <w:rsid w:val="0C0F3325"/>
    <w:rsid w:val="0C1358B4"/>
    <w:rsid w:val="0C35472E"/>
    <w:rsid w:val="0C4551B9"/>
    <w:rsid w:val="0C480F3E"/>
    <w:rsid w:val="0C4813D5"/>
    <w:rsid w:val="0C585BE0"/>
    <w:rsid w:val="0C7E2237"/>
    <w:rsid w:val="0C9F1CEA"/>
    <w:rsid w:val="0CBE1DF9"/>
    <w:rsid w:val="0CC9599A"/>
    <w:rsid w:val="0CE0341A"/>
    <w:rsid w:val="0D10283C"/>
    <w:rsid w:val="0D3F7F2E"/>
    <w:rsid w:val="0D494870"/>
    <w:rsid w:val="0D5456F5"/>
    <w:rsid w:val="0D5955C7"/>
    <w:rsid w:val="0D705EC6"/>
    <w:rsid w:val="0D7C5049"/>
    <w:rsid w:val="0D83675C"/>
    <w:rsid w:val="0D8C75B3"/>
    <w:rsid w:val="0D9E0018"/>
    <w:rsid w:val="0DB757B9"/>
    <w:rsid w:val="0DE7555E"/>
    <w:rsid w:val="0E0979BF"/>
    <w:rsid w:val="0E5A014C"/>
    <w:rsid w:val="0E5E4DB8"/>
    <w:rsid w:val="0E5F6E07"/>
    <w:rsid w:val="0E607B1B"/>
    <w:rsid w:val="0E6126CF"/>
    <w:rsid w:val="0E635AF2"/>
    <w:rsid w:val="0E7F77A7"/>
    <w:rsid w:val="0E8405CA"/>
    <w:rsid w:val="0E8D5133"/>
    <w:rsid w:val="0EB1236A"/>
    <w:rsid w:val="0F197C6F"/>
    <w:rsid w:val="0F270991"/>
    <w:rsid w:val="0F3E6F11"/>
    <w:rsid w:val="0F6F7789"/>
    <w:rsid w:val="0FC27645"/>
    <w:rsid w:val="101F02CE"/>
    <w:rsid w:val="105C5738"/>
    <w:rsid w:val="107907CC"/>
    <w:rsid w:val="10843C5D"/>
    <w:rsid w:val="109909D1"/>
    <w:rsid w:val="10B73F1D"/>
    <w:rsid w:val="10BE1B05"/>
    <w:rsid w:val="10C84882"/>
    <w:rsid w:val="10D1178C"/>
    <w:rsid w:val="10E07EE2"/>
    <w:rsid w:val="10F630E0"/>
    <w:rsid w:val="11112CBE"/>
    <w:rsid w:val="11163418"/>
    <w:rsid w:val="111818B8"/>
    <w:rsid w:val="113B439C"/>
    <w:rsid w:val="11537715"/>
    <w:rsid w:val="11565610"/>
    <w:rsid w:val="11674F62"/>
    <w:rsid w:val="1171000D"/>
    <w:rsid w:val="118A244C"/>
    <w:rsid w:val="11950BDB"/>
    <w:rsid w:val="119C5B20"/>
    <w:rsid w:val="11A2124C"/>
    <w:rsid w:val="11AC592C"/>
    <w:rsid w:val="11AD389E"/>
    <w:rsid w:val="11C20C82"/>
    <w:rsid w:val="11C768FF"/>
    <w:rsid w:val="11D675CB"/>
    <w:rsid w:val="12063740"/>
    <w:rsid w:val="12101447"/>
    <w:rsid w:val="12275F24"/>
    <w:rsid w:val="123756C9"/>
    <w:rsid w:val="125F1817"/>
    <w:rsid w:val="12631B42"/>
    <w:rsid w:val="12655569"/>
    <w:rsid w:val="12695551"/>
    <w:rsid w:val="127F2662"/>
    <w:rsid w:val="128435EC"/>
    <w:rsid w:val="129643EF"/>
    <w:rsid w:val="12B83A98"/>
    <w:rsid w:val="12BB4641"/>
    <w:rsid w:val="12BF6231"/>
    <w:rsid w:val="12CD4F26"/>
    <w:rsid w:val="12CE1F8E"/>
    <w:rsid w:val="13024F62"/>
    <w:rsid w:val="1307442E"/>
    <w:rsid w:val="130B3F40"/>
    <w:rsid w:val="13244721"/>
    <w:rsid w:val="13285985"/>
    <w:rsid w:val="133A1A09"/>
    <w:rsid w:val="133C703D"/>
    <w:rsid w:val="13494163"/>
    <w:rsid w:val="134C77A5"/>
    <w:rsid w:val="134D2BB6"/>
    <w:rsid w:val="135D3F89"/>
    <w:rsid w:val="135E6A8D"/>
    <w:rsid w:val="13731B39"/>
    <w:rsid w:val="1381791C"/>
    <w:rsid w:val="13A11F77"/>
    <w:rsid w:val="13A75515"/>
    <w:rsid w:val="13C30E6E"/>
    <w:rsid w:val="140769BE"/>
    <w:rsid w:val="1413430F"/>
    <w:rsid w:val="141613F9"/>
    <w:rsid w:val="14203CB8"/>
    <w:rsid w:val="143A0B7C"/>
    <w:rsid w:val="143C354F"/>
    <w:rsid w:val="144646A7"/>
    <w:rsid w:val="14545F32"/>
    <w:rsid w:val="14596F4E"/>
    <w:rsid w:val="146F011F"/>
    <w:rsid w:val="147632A2"/>
    <w:rsid w:val="14872049"/>
    <w:rsid w:val="14936552"/>
    <w:rsid w:val="14C272D2"/>
    <w:rsid w:val="14E463A0"/>
    <w:rsid w:val="14EA3450"/>
    <w:rsid w:val="14F767B6"/>
    <w:rsid w:val="14FB222F"/>
    <w:rsid w:val="14FF79DA"/>
    <w:rsid w:val="150F0D42"/>
    <w:rsid w:val="151C2838"/>
    <w:rsid w:val="153E582F"/>
    <w:rsid w:val="159016BB"/>
    <w:rsid w:val="15E5000F"/>
    <w:rsid w:val="16031113"/>
    <w:rsid w:val="16213B9C"/>
    <w:rsid w:val="16674FC6"/>
    <w:rsid w:val="16692CA6"/>
    <w:rsid w:val="16725D01"/>
    <w:rsid w:val="168F227C"/>
    <w:rsid w:val="16F45F36"/>
    <w:rsid w:val="16FC1D97"/>
    <w:rsid w:val="171F0861"/>
    <w:rsid w:val="17372639"/>
    <w:rsid w:val="173D243C"/>
    <w:rsid w:val="17534ECF"/>
    <w:rsid w:val="175F0E7A"/>
    <w:rsid w:val="1767434D"/>
    <w:rsid w:val="17BA77C8"/>
    <w:rsid w:val="17C93C3F"/>
    <w:rsid w:val="17D71645"/>
    <w:rsid w:val="17DD1E28"/>
    <w:rsid w:val="17E01BB1"/>
    <w:rsid w:val="17E21891"/>
    <w:rsid w:val="181011F1"/>
    <w:rsid w:val="181C38B0"/>
    <w:rsid w:val="181E053B"/>
    <w:rsid w:val="18205336"/>
    <w:rsid w:val="184F29B3"/>
    <w:rsid w:val="18810539"/>
    <w:rsid w:val="18AA0A18"/>
    <w:rsid w:val="18DF40DC"/>
    <w:rsid w:val="18F45107"/>
    <w:rsid w:val="18F47AF6"/>
    <w:rsid w:val="190A522C"/>
    <w:rsid w:val="191C0124"/>
    <w:rsid w:val="192349BD"/>
    <w:rsid w:val="19297C63"/>
    <w:rsid w:val="192A06DB"/>
    <w:rsid w:val="192C0B58"/>
    <w:rsid w:val="192D288C"/>
    <w:rsid w:val="194335B5"/>
    <w:rsid w:val="198218DD"/>
    <w:rsid w:val="19A01ECA"/>
    <w:rsid w:val="19BF2F9E"/>
    <w:rsid w:val="19C56581"/>
    <w:rsid w:val="19EE41FA"/>
    <w:rsid w:val="1A002E3D"/>
    <w:rsid w:val="1A0E78C9"/>
    <w:rsid w:val="1A5A6066"/>
    <w:rsid w:val="1A777345"/>
    <w:rsid w:val="1A7A4184"/>
    <w:rsid w:val="1A8D59A2"/>
    <w:rsid w:val="1A8E3BCD"/>
    <w:rsid w:val="1AD15B84"/>
    <w:rsid w:val="1ADA6CD0"/>
    <w:rsid w:val="1AF47380"/>
    <w:rsid w:val="1B0C0005"/>
    <w:rsid w:val="1B251F48"/>
    <w:rsid w:val="1B3833FF"/>
    <w:rsid w:val="1B396BED"/>
    <w:rsid w:val="1B4C6CA1"/>
    <w:rsid w:val="1B52759D"/>
    <w:rsid w:val="1B612ED3"/>
    <w:rsid w:val="1B6A011C"/>
    <w:rsid w:val="1B705E15"/>
    <w:rsid w:val="1B8C6B7B"/>
    <w:rsid w:val="1BA0571E"/>
    <w:rsid w:val="1BA72C10"/>
    <w:rsid w:val="1BB91038"/>
    <w:rsid w:val="1BBF65FB"/>
    <w:rsid w:val="1BD162E3"/>
    <w:rsid w:val="1BDE64F1"/>
    <w:rsid w:val="1BEA1EEC"/>
    <w:rsid w:val="1BF657FB"/>
    <w:rsid w:val="1BF868AD"/>
    <w:rsid w:val="1C0503E8"/>
    <w:rsid w:val="1C126363"/>
    <w:rsid w:val="1C2023D8"/>
    <w:rsid w:val="1C766429"/>
    <w:rsid w:val="1C771298"/>
    <w:rsid w:val="1C786858"/>
    <w:rsid w:val="1C800114"/>
    <w:rsid w:val="1C9A155D"/>
    <w:rsid w:val="1CB15134"/>
    <w:rsid w:val="1CC92F95"/>
    <w:rsid w:val="1CFA7EEF"/>
    <w:rsid w:val="1CFB1146"/>
    <w:rsid w:val="1D0E75B6"/>
    <w:rsid w:val="1D2331DE"/>
    <w:rsid w:val="1D312AFC"/>
    <w:rsid w:val="1D325ED3"/>
    <w:rsid w:val="1D37062D"/>
    <w:rsid w:val="1D4105A8"/>
    <w:rsid w:val="1D487EB6"/>
    <w:rsid w:val="1D7B204C"/>
    <w:rsid w:val="1E317170"/>
    <w:rsid w:val="1E331E3B"/>
    <w:rsid w:val="1E4914EC"/>
    <w:rsid w:val="1E561B49"/>
    <w:rsid w:val="1E5B5B74"/>
    <w:rsid w:val="1E925E44"/>
    <w:rsid w:val="1EDB21B2"/>
    <w:rsid w:val="1EE21D29"/>
    <w:rsid w:val="1F0B37C8"/>
    <w:rsid w:val="1F280F4B"/>
    <w:rsid w:val="1F3E1D5D"/>
    <w:rsid w:val="1F441C9D"/>
    <w:rsid w:val="1F6E3177"/>
    <w:rsid w:val="1F6F04BA"/>
    <w:rsid w:val="1F6F7A87"/>
    <w:rsid w:val="1F7742A1"/>
    <w:rsid w:val="1F832B7E"/>
    <w:rsid w:val="1F8C15A6"/>
    <w:rsid w:val="1F986F45"/>
    <w:rsid w:val="1F9F6666"/>
    <w:rsid w:val="1FCD6552"/>
    <w:rsid w:val="1FE07634"/>
    <w:rsid w:val="1FF829ED"/>
    <w:rsid w:val="20027E74"/>
    <w:rsid w:val="201047BC"/>
    <w:rsid w:val="2019412B"/>
    <w:rsid w:val="2024650C"/>
    <w:rsid w:val="204E5FD2"/>
    <w:rsid w:val="20703E6E"/>
    <w:rsid w:val="207A428C"/>
    <w:rsid w:val="20835E3C"/>
    <w:rsid w:val="208F1332"/>
    <w:rsid w:val="20AA71C2"/>
    <w:rsid w:val="20B10A0D"/>
    <w:rsid w:val="20B9166B"/>
    <w:rsid w:val="20D02ECC"/>
    <w:rsid w:val="20DC2970"/>
    <w:rsid w:val="20FA7410"/>
    <w:rsid w:val="21076B87"/>
    <w:rsid w:val="21094E07"/>
    <w:rsid w:val="21113681"/>
    <w:rsid w:val="21250156"/>
    <w:rsid w:val="212B3666"/>
    <w:rsid w:val="21523AD1"/>
    <w:rsid w:val="215C6880"/>
    <w:rsid w:val="216D19EE"/>
    <w:rsid w:val="21860B2C"/>
    <w:rsid w:val="218F0080"/>
    <w:rsid w:val="21E13F03"/>
    <w:rsid w:val="22084595"/>
    <w:rsid w:val="2225605D"/>
    <w:rsid w:val="222A72A4"/>
    <w:rsid w:val="222F2404"/>
    <w:rsid w:val="22423882"/>
    <w:rsid w:val="227334E7"/>
    <w:rsid w:val="22734646"/>
    <w:rsid w:val="22AE1EDE"/>
    <w:rsid w:val="22C23296"/>
    <w:rsid w:val="22DD6CC1"/>
    <w:rsid w:val="2307360A"/>
    <w:rsid w:val="230F0CC5"/>
    <w:rsid w:val="23243D93"/>
    <w:rsid w:val="232931CF"/>
    <w:rsid w:val="233E3FBC"/>
    <w:rsid w:val="23444415"/>
    <w:rsid w:val="234D2AE9"/>
    <w:rsid w:val="23505F5A"/>
    <w:rsid w:val="235F3612"/>
    <w:rsid w:val="23666663"/>
    <w:rsid w:val="23693289"/>
    <w:rsid w:val="23757B5B"/>
    <w:rsid w:val="237B0E89"/>
    <w:rsid w:val="238732D2"/>
    <w:rsid w:val="23887728"/>
    <w:rsid w:val="239147E1"/>
    <w:rsid w:val="23920DB7"/>
    <w:rsid w:val="239C1E68"/>
    <w:rsid w:val="23BB34F7"/>
    <w:rsid w:val="23D167C1"/>
    <w:rsid w:val="23FE2934"/>
    <w:rsid w:val="24105169"/>
    <w:rsid w:val="24145543"/>
    <w:rsid w:val="2415164D"/>
    <w:rsid w:val="242853E9"/>
    <w:rsid w:val="24372605"/>
    <w:rsid w:val="24426206"/>
    <w:rsid w:val="247921D2"/>
    <w:rsid w:val="24D40FD8"/>
    <w:rsid w:val="24DE5C48"/>
    <w:rsid w:val="24E51E80"/>
    <w:rsid w:val="24F64777"/>
    <w:rsid w:val="24FB1C59"/>
    <w:rsid w:val="24FE0E05"/>
    <w:rsid w:val="25517809"/>
    <w:rsid w:val="256C1BBD"/>
    <w:rsid w:val="256F2571"/>
    <w:rsid w:val="2576124C"/>
    <w:rsid w:val="258130F7"/>
    <w:rsid w:val="259402E7"/>
    <w:rsid w:val="25AF3989"/>
    <w:rsid w:val="25B82D92"/>
    <w:rsid w:val="25C73339"/>
    <w:rsid w:val="25C772BF"/>
    <w:rsid w:val="25D05B49"/>
    <w:rsid w:val="25D62822"/>
    <w:rsid w:val="25FD1357"/>
    <w:rsid w:val="260B3061"/>
    <w:rsid w:val="26205FC9"/>
    <w:rsid w:val="262931EB"/>
    <w:rsid w:val="262E591A"/>
    <w:rsid w:val="263771C4"/>
    <w:rsid w:val="26400EA4"/>
    <w:rsid w:val="265B4748"/>
    <w:rsid w:val="26622CD9"/>
    <w:rsid w:val="266372C2"/>
    <w:rsid w:val="267961DB"/>
    <w:rsid w:val="268C7D4E"/>
    <w:rsid w:val="26A60A07"/>
    <w:rsid w:val="26B424FB"/>
    <w:rsid w:val="26CC1B59"/>
    <w:rsid w:val="26D10ECC"/>
    <w:rsid w:val="26EF57DC"/>
    <w:rsid w:val="27083115"/>
    <w:rsid w:val="27142A2D"/>
    <w:rsid w:val="271B4881"/>
    <w:rsid w:val="27214C90"/>
    <w:rsid w:val="272414C7"/>
    <w:rsid w:val="272A2ED5"/>
    <w:rsid w:val="27685524"/>
    <w:rsid w:val="276959E0"/>
    <w:rsid w:val="276F555C"/>
    <w:rsid w:val="27702C8E"/>
    <w:rsid w:val="27827E3D"/>
    <w:rsid w:val="27A028B7"/>
    <w:rsid w:val="27AB6605"/>
    <w:rsid w:val="27BF3604"/>
    <w:rsid w:val="27D26786"/>
    <w:rsid w:val="27EA6257"/>
    <w:rsid w:val="27FD3CE9"/>
    <w:rsid w:val="2831638E"/>
    <w:rsid w:val="284F457A"/>
    <w:rsid w:val="28503B39"/>
    <w:rsid w:val="285117F8"/>
    <w:rsid w:val="288445F5"/>
    <w:rsid w:val="28883EBB"/>
    <w:rsid w:val="28885F5E"/>
    <w:rsid w:val="28901CD3"/>
    <w:rsid w:val="28907627"/>
    <w:rsid w:val="28A908AA"/>
    <w:rsid w:val="28C3120E"/>
    <w:rsid w:val="28D9203E"/>
    <w:rsid w:val="290A1459"/>
    <w:rsid w:val="290D2770"/>
    <w:rsid w:val="293430C2"/>
    <w:rsid w:val="29394DC3"/>
    <w:rsid w:val="294D3F3D"/>
    <w:rsid w:val="296A69AB"/>
    <w:rsid w:val="296E2E4C"/>
    <w:rsid w:val="297A28A9"/>
    <w:rsid w:val="29871168"/>
    <w:rsid w:val="299C610E"/>
    <w:rsid w:val="299F7580"/>
    <w:rsid w:val="29B24934"/>
    <w:rsid w:val="29B661A7"/>
    <w:rsid w:val="29C25DAC"/>
    <w:rsid w:val="29EF59E7"/>
    <w:rsid w:val="29F869C7"/>
    <w:rsid w:val="29FA460F"/>
    <w:rsid w:val="2A081208"/>
    <w:rsid w:val="2A19132F"/>
    <w:rsid w:val="2A1E3A2B"/>
    <w:rsid w:val="2A3714C4"/>
    <w:rsid w:val="2A4E1459"/>
    <w:rsid w:val="2A5E24DB"/>
    <w:rsid w:val="2A926984"/>
    <w:rsid w:val="2AA908E7"/>
    <w:rsid w:val="2AC017A8"/>
    <w:rsid w:val="2AC36155"/>
    <w:rsid w:val="2AF2488D"/>
    <w:rsid w:val="2B1C1A99"/>
    <w:rsid w:val="2B334F71"/>
    <w:rsid w:val="2B50394A"/>
    <w:rsid w:val="2B753191"/>
    <w:rsid w:val="2B7D6E07"/>
    <w:rsid w:val="2B9444D2"/>
    <w:rsid w:val="2BE340CE"/>
    <w:rsid w:val="2BFC3479"/>
    <w:rsid w:val="2C1E1CA1"/>
    <w:rsid w:val="2C214447"/>
    <w:rsid w:val="2C232160"/>
    <w:rsid w:val="2C4D6F1B"/>
    <w:rsid w:val="2C587217"/>
    <w:rsid w:val="2C825683"/>
    <w:rsid w:val="2C8D63B1"/>
    <w:rsid w:val="2CBB44E5"/>
    <w:rsid w:val="2CBC77F6"/>
    <w:rsid w:val="2CDB55D6"/>
    <w:rsid w:val="2D1D236A"/>
    <w:rsid w:val="2DAB174B"/>
    <w:rsid w:val="2DAC3053"/>
    <w:rsid w:val="2DB21AB3"/>
    <w:rsid w:val="2DC70AE2"/>
    <w:rsid w:val="2DCA6026"/>
    <w:rsid w:val="2DCD4928"/>
    <w:rsid w:val="2DE96603"/>
    <w:rsid w:val="2E1729D6"/>
    <w:rsid w:val="2E1A0C6A"/>
    <w:rsid w:val="2E347EE6"/>
    <w:rsid w:val="2E374A38"/>
    <w:rsid w:val="2E3A1850"/>
    <w:rsid w:val="2E3C5510"/>
    <w:rsid w:val="2E6305D7"/>
    <w:rsid w:val="2E690638"/>
    <w:rsid w:val="2E875B98"/>
    <w:rsid w:val="2EA37EAA"/>
    <w:rsid w:val="2EBD7031"/>
    <w:rsid w:val="2EF73B32"/>
    <w:rsid w:val="2F011E82"/>
    <w:rsid w:val="2F240791"/>
    <w:rsid w:val="2F492921"/>
    <w:rsid w:val="2F4C7446"/>
    <w:rsid w:val="2F6858EF"/>
    <w:rsid w:val="2F6A0B1E"/>
    <w:rsid w:val="2F784161"/>
    <w:rsid w:val="2F7B48B5"/>
    <w:rsid w:val="2F853233"/>
    <w:rsid w:val="2FAF333B"/>
    <w:rsid w:val="2FC27E67"/>
    <w:rsid w:val="2FCD2C96"/>
    <w:rsid w:val="2FE66FC1"/>
    <w:rsid w:val="30160CDB"/>
    <w:rsid w:val="301B2075"/>
    <w:rsid w:val="30243B4E"/>
    <w:rsid w:val="30287A71"/>
    <w:rsid w:val="3046030C"/>
    <w:rsid w:val="30613F93"/>
    <w:rsid w:val="306162D4"/>
    <w:rsid w:val="30635A86"/>
    <w:rsid w:val="30797BE5"/>
    <w:rsid w:val="308146B4"/>
    <w:rsid w:val="309F27BB"/>
    <w:rsid w:val="30C01081"/>
    <w:rsid w:val="30C81567"/>
    <w:rsid w:val="30CD46BC"/>
    <w:rsid w:val="31013135"/>
    <w:rsid w:val="311763B6"/>
    <w:rsid w:val="31257A15"/>
    <w:rsid w:val="31452A71"/>
    <w:rsid w:val="31527289"/>
    <w:rsid w:val="31834561"/>
    <w:rsid w:val="31856C65"/>
    <w:rsid w:val="318F2514"/>
    <w:rsid w:val="31AC658F"/>
    <w:rsid w:val="31B2519D"/>
    <w:rsid w:val="31B37BA1"/>
    <w:rsid w:val="31EE6D68"/>
    <w:rsid w:val="31F241E6"/>
    <w:rsid w:val="31FD2600"/>
    <w:rsid w:val="32114B98"/>
    <w:rsid w:val="32127E75"/>
    <w:rsid w:val="32210BD1"/>
    <w:rsid w:val="322658D9"/>
    <w:rsid w:val="32361B53"/>
    <w:rsid w:val="32400891"/>
    <w:rsid w:val="32493248"/>
    <w:rsid w:val="324C0B81"/>
    <w:rsid w:val="326745C9"/>
    <w:rsid w:val="3272558C"/>
    <w:rsid w:val="327403EA"/>
    <w:rsid w:val="32C25872"/>
    <w:rsid w:val="32D473D1"/>
    <w:rsid w:val="32DA51AD"/>
    <w:rsid w:val="32DC671C"/>
    <w:rsid w:val="33091096"/>
    <w:rsid w:val="33232830"/>
    <w:rsid w:val="33247F6A"/>
    <w:rsid w:val="33442827"/>
    <w:rsid w:val="33462AFF"/>
    <w:rsid w:val="337E52FC"/>
    <w:rsid w:val="33843CA1"/>
    <w:rsid w:val="338604C2"/>
    <w:rsid w:val="338F2A0F"/>
    <w:rsid w:val="33996246"/>
    <w:rsid w:val="33DC7649"/>
    <w:rsid w:val="340639D6"/>
    <w:rsid w:val="34105AD1"/>
    <w:rsid w:val="34731AFC"/>
    <w:rsid w:val="347728F4"/>
    <w:rsid w:val="348B54C8"/>
    <w:rsid w:val="34915550"/>
    <w:rsid w:val="349D56AC"/>
    <w:rsid w:val="349D6BA5"/>
    <w:rsid w:val="34A11B7B"/>
    <w:rsid w:val="34A6697A"/>
    <w:rsid w:val="34AF7E71"/>
    <w:rsid w:val="34B33A72"/>
    <w:rsid w:val="34BF1760"/>
    <w:rsid w:val="34D5280E"/>
    <w:rsid w:val="34E20D20"/>
    <w:rsid w:val="350C7DB7"/>
    <w:rsid w:val="3562042D"/>
    <w:rsid w:val="356608C9"/>
    <w:rsid w:val="35850AE6"/>
    <w:rsid w:val="35DE1818"/>
    <w:rsid w:val="35E06871"/>
    <w:rsid w:val="36146F55"/>
    <w:rsid w:val="36787E34"/>
    <w:rsid w:val="36D974F7"/>
    <w:rsid w:val="36E03CF2"/>
    <w:rsid w:val="36E05B33"/>
    <w:rsid w:val="36E77649"/>
    <w:rsid w:val="36FC06E4"/>
    <w:rsid w:val="37002BA5"/>
    <w:rsid w:val="372A57D1"/>
    <w:rsid w:val="373006D6"/>
    <w:rsid w:val="373215AF"/>
    <w:rsid w:val="37395AAC"/>
    <w:rsid w:val="37533A9C"/>
    <w:rsid w:val="37554C2A"/>
    <w:rsid w:val="376C2F8C"/>
    <w:rsid w:val="37733C45"/>
    <w:rsid w:val="37B539BC"/>
    <w:rsid w:val="37EA244F"/>
    <w:rsid w:val="3801691A"/>
    <w:rsid w:val="38053C44"/>
    <w:rsid w:val="3816564C"/>
    <w:rsid w:val="382A2A0E"/>
    <w:rsid w:val="383C5D00"/>
    <w:rsid w:val="383F5E4A"/>
    <w:rsid w:val="38622194"/>
    <w:rsid w:val="38684F32"/>
    <w:rsid w:val="387A7CA5"/>
    <w:rsid w:val="387E3BF1"/>
    <w:rsid w:val="388E0F50"/>
    <w:rsid w:val="38941E98"/>
    <w:rsid w:val="38983F5E"/>
    <w:rsid w:val="38EC1118"/>
    <w:rsid w:val="38F96580"/>
    <w:rsid w:val="38FD1A72"/>
    <w:rsid w:val="39056352"/>
    <w:rsid w:val="392F5095"/>
    <w:rsid w:val="39413193"/>
    <w:rsid w:val="39465433"/>
    <w:rsid w:val="395B6912"/>
    <w:rsid w:val="39750ACE"/>
    <w:rsid w:val="398A61BC"/>
    <w:rsid w:val="399510E7"/>
    <w:rsid w:val="399B683C"/>
    <w:rsid w:val="399D3FE9"/>
    <w:rsid w:val="39B51F60"/>
    <w:rsid w:val="39BE3B67"/>
    <w:rsid w:val="39E932D4"/>
    <w:rsid w:val="39EA0C0C"/>
    <w:rsid w:val="3A1C6D85"/>
    <w:rsid w:val="3A3F6C87"/>
    <w:rsid w:val="3A531373"/>
    <w:rsid w:val="3A5B021A"/>
    <w:rsid w:val="3A772970"/>
    <w:rsid w:val="3A7D6D38"/>
    <w:rsid w:val="3AB971E4"/>
    <w:rsid w:val="3ADF78F0"/>
    <w:rsid w:val="3AE00107"/>
    <w:rsid w:val="3AE428CE"/>
    <w:rsid w:val="3B023CD3"/>
    <w:rsid w:val="3B140F58"/>
    <w:rsid w:val="3B170940"/>
    <w:rsid w:val="3B2A2C19"/>
    <w:rsid w:val="3B376B70"/>
    <w:rsid w:val="3B7A7129"/>
    <w:rsid w:val="3B7D7576"/>
    <w:rsid w:val="3B7F1E8C"/>
    <w:rsid w:val="3B890DAC"/>
    <w:rsid w:val="3BA25DBC"/>
    <w:rsid w:val="3BC76E9C"/>
    <w:rsid w:val="3BCB467A"/>
    <w:rsid w:val="3BE90506"/>
    <w:rsid w:val="3BEB6832"/>
    <w:rsid w:val="3BFA06DC"/>
    <w:rsid w:val="3C2E5ED4"/>
    <w:rsid w:val="3C40766B"/>
    <w:rsid w:val="3C7F621D"/>
    <w:rsid w:val="3C8B47EB"/>
    <w:rsid w:val="3CBB6AC9"/>
    <w:rsid w:val="3CBD35C8"/>
    <w:rsid w:val="3D1456AE"/>
    <w:rsid w:val="3D145DCC"/>
    <w:rsid w:val="3D1C0002"/>
    <w:rsid w:val="3D2962ED"/>
    <w:rsid w:val="3D2D7B94"/>
    <w:rsid w:val="3D340B81"/>
    <w:rsid w:val="3D4E706F"/>
    <w:rsid w:val="3D8311E9"/>
    <w:rsid w:val="3D946EAC"/>
    <w:rsid w:val="3DAA319C"/>
    <w:rsid w:val="3E036111"/>
    <w:rsid w:val="3E5D6B5C"/>
    <w:rsid w:val="3E7E4756"/>
    <w:rsid w:val="3E8106B7"/>
    <w:rsid w:val="3E845265"/>
    <w:rsid w:val="3E9A3719"/>
    <w:rsid w:val="3EC254C0"/>
    <w:rsid w:val="3ED07987"/>
    <w:rsid w:val="3EED10F8"/>
    <w:rsid w:val="3EFE25BA"/>
    <w:rsid w:val="3F310FA6"/>
    <w:rsid w:val="3F337D20"/>
    <w:rsid w:val="3F506818"/>
    <w:rsid w:val="3F684E6E"/>
    <w:rsid w:val="3F6A3676"/>
    <w:rsid w:val="3F710A6F"/>
    <w:rsid w:val="3F7E1F67"/>
    <w:rsid w:val="3F83420A"/>
    <w:rsid w:val="3F8F7315"/>
    <w:rsid w:val="3F9A203F"/>
    <w:rsid w:val="3FA67005"/>
    <w:rsid w:val="3FAE6184"/>
    <w:rsid w:val="3FE36C1C"/>
    <w:rsid w:val="3FE72AEA"/>
    <w:rsid w:val="3FEB19D5"/>
    <w:rsid w:val="40114015"/>
    <w:rsid w:val="403B55F7"/>
    <w:rsid w:val="403D5505"/>
    <w:rsid w:val="404C5FC4"/>
    <w:rsid w:val="40632B44"/>
    <w:rsid w:val="408853C4"/>
    <w:rsid w:val="40D75E60"/>
    <w:rsid w:val="40F2437B"/>
    <w:rsid w:val="40FD48E0"/>
    <w:rsid w:val="40FE1BCF"/>
    <w:rsid w:val="40FE520F"/>
    <w:rsid w:val="414562FD"/>
    <w:rsid w:val="414C3B30"/>
    <w:rsid w:val="41563B9A"/>
    <w:rsid w:val="41731331"/>
    <w:rsid w:val="417B7161"/>
    <w:rsid w:val="418579D7"/>
    <w:rsid w:val="418C6B85"/>
    <w:rsid w:val="4196095F"/>
    <w:rsid w:val="419D72A2"/>
    <w:rsid w:val="41A0236E"/>
    <w:rsid w:val="41A96728"/>
    <w:rsid w:val="41AB6899"/>
    <w:rsid w:val="41F95353"/>
    <w:rsid w:val="42076836"/>
    <w:rsid w:val="420F1D94"/>
    <w:rsid w:val="422B06C8"/>
    <w:rsid w:val="423B1FA8"/>
    <w:rsid w:val="424E4424"/>
    <w:rsid w:val="429325D1"/>
    <w:rsid w:val="429B53DF"/>
    <w:rsid w:val="429E3CF8"/>
    <w:rsid w:val="42BC7452"/>
    <w:rsid w:val="42D12138"/>
    <w:rsid w:val="42F7079D"/>
    <w:rsid w:val="430D4AC0"/>
    <w:rsid w:val="431E047F"/>
    <w:rsid w:val="431E65EF"/>
    <w:rsid w:val="43522956"/>
    <w:rsid w:val="43624EAD"/>
    <w:rsid w:val="437750CA"/>
    <w:rsid w:val="438D45B9"/>
    <w:rsid w:val="43985D00"/>
    <w:rsid w:val="43986BA3"/>
    <w:rsid w:val="43AB2F4E"/>
    <w:rsid w:val="43AC3F44"/>
    <w:rsid w:val="43B1210D"/>
    <w:rsid w:val="43DE77F3"/>
    <w:rsid w:val="43EF7EFB"/>
    <w:rsid w:val="43FA2050"/>
    <w:rsid w:val="4400649E"/>
    <w:rsid w:val="441910A9"/>
    <w:rsid w:val="44500782"/>
    <w:rsid w:val="446871A0"/>
    <w:rsid w:val="4478624B"/>
    <w:rsid w:val="447B6681"/>
    <w:rsid w:val="4493367B"/>
    <w:rsid w:val="44961F17"/>
    <w:rsid w:val="44A84176"/>
    <w:rsid w:val="44AB74B4"/>
    <w:rsid w:val="44BB301C"/>
    <w:rsid w:val="450A3185"/>
    <w:rsid w:val="450E61CB"/>
    <w:rsid w:val="451037D6"/>
    <w:rsid w:val="452905F3"/>
    <w:rsid w:val="45582FC6"/>
    <w:rsid w:val="4568103F"/>
    <w:rsid w:val="45801D53"/>
    <w:rsid w:val="45953C03"/>
    <w:rsid w:val="45AE2DF6"/>
    <w:rsid w:val="45D80492"/>
    <w:rsid w:val="45F459D1"/>
    <w:rsid w:val="46052F0A"/>
    <w:rsid w:val="460C379B"/>
    <w:rsid w:val="462B2635"/>
    <w:rsid w:val="464A3711"/>
    <w:rsid w:val="466B4F4C"/>
    <w:rsid w:val="469246C4"/>
    <w:rsid w:val="46977D08"/>
    <w:rsid w:val="46AF3AB5"/>
    <w:rsid w:val="46E25CA4"/>
    <w:rsid w:val="46E37251"/>
    <w:rsid w:val="46F40267"/>
    <w:rsid w:val="47017932"/>
    <w:rsid w:val="47294A71"/>
    <w:rsid w:val="474C71DB"/>
    <w:rsid w:val="475662DB"/>
    <w:rsid w:val="47756FD4"/>
    <w:rsid w:val="479B7297"/>
    <w:rsid w:val="47A214C1"/>
    <w:rsid w:val="47D626EF"/>
    <w:rsid w:val="47DE0285"/>
    <w:rsid w:val="47E81AB8"/>
    <w:rsid w:val="47F3460E"/>
    <w:rsid w:val="47F77566"/>
    <w:rsid w:val="47F94BE6"/>
    <w:rsid w:val="4812405E"/>
    <w:rsid w:val="481A3D49"/>
    <w:rsid w:val="481C1F20"/>
    <w:rsid w:val="48220E04"/>
    <w:rsid w:val="48225672"/>
    <w:rsid w:val="482454C6"/>
    <w:rsid w:val="48297C86"/>
    <w:rsid w:val="48370969"/>
    <w:rsid w:val="4844625B"/>
    <w:rsid w:val="486B4E85"/>
    <w:rsid w:val="48801F0A"/>
    <w:rsid w:val="488C6B30"/>
    <w:rsid w:val="48913C4F"/>
    <w:rsid w:val="489757F5"/>
    <w:rsid w:val="489C3512"/>
    <w:rsid w:val="489C7EA5"/>
    <w:rsid w:val="48AF592F"/>
    <w:rsid w:val="48DB5184"/>
    <w:rsid w:val="48DC4BB3"/>
    <w:rsid w:val="48F11175"/>
    <w:rsid w:val="48FC5916"/>
    <w:rsid w:val="49035E3C"/>
    <w:rsid w:val="49161A6F"/>
    <w:rsid w:val="491B567A"/>
    <w:rsid w:val="492819DC"/>
    <w:rsid w:val="49336FEA"/>
    <w:rsid w:val="493E22D0"/>
    <w:rsid w:val="49415896"/>
    <w:rsid w:val="4953162D"/>
    <w:rsid w:val="495C3D14"/>
    <w:rsid w:val="496A4A80"/>
    <w:rsid w:val="497C5511"/>
    <w:rsid w:val="498E2725"/>
    <w:rsid w:val="499C6D01"/>
    <w:rsid w:val="49A3132A"/>
    <w:rsid w:val="49B65DC9"/>
    <w:rsid w:val="49C828D8"/>
    <w:rsid w:val="49D94123"/>
    <w:rsid w:val="49E82B6B"/>
    <w:rsid w:val="49E970EA"/>
    <w:rsid w:val="49EE0415"/>
    <w:rsid w:val="4A0805D0"/>
    <w:rsid w:val="4A26545B"/>
    <w:rsid w:val="4A3E1268"/>
    <w:rsid w:val="4A560AA6"/>
    <w:rsid w:val="4A631F60"/>
    <w:rsid w:val="4A7B659D"/>
    <w:rsid w:val="4A8F76FA"/>
    <w:rsid w:val="4AD018B4"/>
    <w:rsid w:val="4AD122F6"/>
    <w:rsid w:val="4AFB6678"/>
    <w:rsid w:val="4B12483C"/>
    <w:rsid w:val="4B281AD9"/>
    <w:rsid w:val="4B286964"/>
    <w:rsid w:val="4B462533"/>
    <w:rsid w:val="4B497516"/>
    <w:rsid w:val="4B5F395F"/>
    <w:rsid w:val="4B887ABD"/>
    <w:rsid w:val="4B927D05"/>
    <w:rsid w:val="4BA71700"/>
    <w:rsid w:val="4BC40127"/>
    <w:rsid w:val="4BCF7C38"/>
    <w:rsid w:val="4BD1718E"/>
    <w:rsid w:val="4BD95ACE"/>
    <w:rsid w:val="4C000F41"/>
    <w:rsid w:val="4C1E38AF"/>
    <w:rsid w:val="4C1F09E8"/>
    <w:rsid w:val="4C6A4F05"/>
    <w:rsid w:val="4C6B7BE3"/>
    <w:rsid w:val="4C771D65"/>
    <w:rsid w:val="4C783020"/>
    <w:rsid w:val="4C9743B6"/>
    <w:rsid w:val="4CD104DB"/>
    <w:rsid w:val="4CEE4DA0"/>
    <w:rsid w:val="4CFA5EBA"/>
    <w:rsid w:val="4D0B09F5"/>
    <w:rsid w:val="4D243AE6"/>
    <w:rsid w:val="4D362180"/>
    <w:rsid w:val="4D3C4079"/>
    <w:rsid w:val="4D4152D2"/>
    <w:rsid w:val="4D420722"/>
    <w:rsid w:val="4D5D2973"/>
    <w:rsid w:val="4D670A85"/>
    <w:rsid w:val="4D743D70"/>
    <w:rsid w:val="4D806473"/>
    <w:rsid w:val="4DA27E03"/>
    <w:rsid w:val="4DB87F6B"/>
    <w:rsid w:val="4DE22211"/>
    <w:rsid w:val="4DF85FC0"/>
    <w:rsid w:val="4E001052"/>
    <w:rsid w:val="4E2B135E"/>
    <w:rsid w:val="4E3F2EE6"/>
    <w:rsid w:val="4E457068"/>
    <w:rsid w:val="4E4E4B6D"/>
    <w:rsid w:val="4E625DA3"/>
    <w:rsid w:val="4E7B029B"/>
    <w:rsid w:val="4E94139D"/>
    <w:rsid w:val="4ED36E10"/>
    <w:rsid w:val="4ED61833"/>
    <w:rsid w:val="4EDA18B9"/>
    <w:rsid w:val="4EEA1FB8"/>
    <w:rsid w:val="4F1214F9"/>
    <w:rsid w:val="4F37236C"/>
    <w:rsid w:val="4F400F3C"/>
    <w:rsid w:val="4F434170"/>
    <w:rsid w:val="4F573543"/>
    <w:rsid w:val="4FA24E56"/>
    <w:rsid w:val="4FA613D6"/>
    <w:rsid w:val="4FAE4B93"/>
    <w:rsid w:val="4FB43984"/>
    <w:rsid w:val="4FB80520"/>
    <w:rsid w:val="4FCE557D"/>
    <w:rsid w:val="4FCF67B8"/>
    <w:rsid w:val="4FFE7F33"/>
    <w:rsid w:val="500E331C"/>
    <w:rsid w:val="500F7F8E"/>
    <w:rsid w:val="5010363B"/>
    <w:rsid w:val="501802EF"/>
    <w:rsid w:val="501A6EB3"/>
    <w:rsid w:val="501C4E89"/>
    <w:rsid w:val="50401C90"/>
    <w:rsid w:val="50520469"/>
    <w:rsid w:val="50705EA7"/>
    <w:rsid w:val="508A0BD0"/>
    <w:rsid w:val="508E4B33"/>
    <w:rsid w:val="50DD3BA3"/>
    <w:rsid w:val="50E61CAB"/>
    <w:rsid w:val="50EE7DC2"/>
    <w:rsid w:val="514136A1"/>
    <w:rsid w:val="514A20B0"/>
    <w:rsid w:val="515463AA"/>
    <w:rsid w:val="517D1FD1"/>
    <w:rsid w:val="51820F0A"/>
    <w:rsid w:val="51B00924"/>
    <w:rsid w:val="51BF1CEA"/>
    <w:rsid w:val="51C55B60"/>
    <w:rsid w:val="51C720FB"/>
    <w:rsid w:val="51D2101C"/>
    <w:rsid w:val="51E441B2"/>
    <w:rsid w:val="51E878B5"/>
    <w:rsid w:val="51EE3F4A"/>
    <w:rsid w:val="52144845"/>
    <w:rsid w:val="522B4481"/>
    <w:rsid w:val="523F3431"/>
    <w:rsid w:val="52433E33"/>
    <w:rsid w:val="52461D9B"/>
    <w:rsid w:val="52556F68"/>
    <w:rsid w:val="526131D0"/>
    <w:rsid w:val="527A0BC1"/>
    <w:rsid w:val="528E5F94"/>
    <w:rsid w:val="52B73817"/>
    <w:rsid w:val="53014F84"/>
    <w:rsid w:val="53081FE2"/>
    <w:rsid w:val="53757657"/>
    <w:rsid w:val="53836E13"/>
    <w:rsid w:val="5399393C"/>
    <w:rsid w:val="53BC34C4"/>
    <w:rsid w:val="53CE29B7"/>
    <w:rsid w:val="5423339D"/>
    <w:rsid w:val="54451376"/>
    <w:rsid w:val="545B0024"/>
    <w:rsid w:val="54623CCF"/>
    <w:rsid w:val="54783F91"/>
    <w:rsid w:val="54C52C01"/>
    <w:rsid w:val="54DE257B"/>
    <w:rsid w:val="551B052F"/>
    <w:rsid w:val="551F503D"/>
    <w:rsid w:val="552E7B6C"/>
    <w:rsid w:val="55356F21"/>
    <w:rsid w:val="553B1566"/>
    <w:rsid w:val="553D5A1E"/>
    <w:rsid w:val="554E66B4"/>
    <w:rsid w:val="55623019"/>
    <w:rsid w:val="559508F1"/>
    <w:rsid w:val="55A0704C"/>
    <w:rsid w:val="55CD2AA4"/>
    <w:rsid w:val="55CD5B20"/>
    <w:rsid w:val="55DD38ED"/>
    <w:rsid w:val="55E33C19"/>
    <w:rsid w:val="55E3492A"/>
    <w:rsid w:val="55E63D84"/>
    <w:rsid w:val="55FB5288"/>
    <w:rsid w:val="560F5295"/>
    <w:rsid w:val="56536DD0"/>
    <w:rsid w:val="56A16CF1"/>
    <w:rsid w:val="56C569E8"/>
    <w:rsid w:val="56EA1F97"/>
    <w:rsid w:val="56FE7B3D"/>
    <w:rsid w:val="57115A76"/>
    <w:rsid w:val="57356CE5"/>
    <w:rsid w:val="57400691"/>
    <w:rsid w:val="57477A7D"/>
    <w:rsid w:val="574C5991"/>
    <w:rsid w:val="575E0275"/>
    <w:rsid w:val="57685E63"/>
    <w:rsid w:val="576E359C"/>
    <w:rsid w:val="57761A73"/>
    <w:rsid w:val="57803A91"/>
    <w:rsid w:val="578F63E0"/>
    <w:rsid w:val="57974CC5"/>
    <w:rsid w:val="57AA5D1A"/>
    <w:rsid w:val="57B717AF"/>
    <w:rsid w:val="57C06BFC"/>
    <w:rsid w:val="57D0016E"/>
    <w:rsid w:val="57D46CDD"/>
    <w:rsid w:val="57DD461C"/>
    <w:rsid w:val="57DE15F7"/>
    <w:rsid w:val="57E0757A"/>
    <w:rsid w:val="57F052A5"/>
    <w:rsid w:val="57F56DA8"/>
    <w:rsid w:val="580F5DBC"/>
    <w:rsid w:val="58372026"/>
    <w:rsid w:val="584809DA"/>
    <w:rsid w:val="587316C8"/>
    <w:rsid w:val="588A1881"/>
    <w:rsid w:val="588C1B3F"/>
    <w:rsid w:val="588C3DE2"/>
    <w:rsid w:val="58952B75"/>
    <w:rsid w:val="589923E8"/>
    <w:rsid w:val="58D3199A"/>
    <w:rsid w:val="58DA5821"/>
    <w:rsid w:val="58E146E6"/>
    <w:rsid w:val="59043E08"/>
    <w:rsid w:val="5934326C"/>
    <w:rsid w:val="59471B28"/>
    <w:rsid w:val="59763E82"/>
    <w:rsid w:val="597F5245"/>
    <w:rsid w:val="598A3666"/>
    <w:rsid w:val="59A63822"/>
    <w:rsid w:val="59B8355B"/>
    <w:rsid w:val="59FE08FA"/>
    <w:rsid w:val="5A257E94"/>
    <w:rsid w:val="5A2A02BF"/>
    <w:rsid w:val="5A5106AE"/>
    <w:rsid w:val="5A60741A"/>
    <w:rsid w:val="5A7A608F"/>
    <w:rsid w:val="5A976E36"/>
    <w:rsid w:val="5A9D694A"/>
    <w:rsid w:val="5AA2358A"/>
    <w:rsid w:val="5AA24080"/>
    <w:rsid w:val="5AAD1EF8"/>
    <w:rsid w:val="5ACF7403"/>
    <w:rsid w:val="5B365C08"/>
    <w:rsid w:val="5B46719F"/>
    <w:rsid w:val="5B60313C"/>
    <w:rsid w:val="5B705B09"/>
    <w:rsid w:val="5B9331F3"/>
    <w:rsid w:val="5B983712"/>
    <w:rsid w:val="5B997CCC"/>
    <w:rsid w:val="5B9D7438"/>
    <w:rsid w:val="5BA42A14"/>
    <w:rsid w:val="5BC52ADE"/>
    <w:rsid w:val="5BF44BC4"/>
    <w:rsid w:val="5C60141A"/>
    <w:rsid w:val="5C691962"/>
    <w:rsid w:val="5C8D4642"/>
    <w:rsid w:val="5CA70BEA"/>
    <w:rsid w:val="5CFA70E0"/>
    <w:rsid w:val="5CFF3634"/>
    <w:rsid w:val="5D0B0214"/>
    <w:rsid w:val="5D1A0A42"/>
    <w:rsid w:val="5D282771"/>
    <w:rsid w:val="5D3A4C89"/>
    <w:rsid w:val="5D42151C"/>
    <w:rsid w:val="5D4F1710"/>
    <w:rsid w:val="5D5D43F4"/>
    <w:rsid w:val="5D71045F"/>
    <w:rsid w:val="5D9A4060"/>
    <w:rsid w:val="5DAB19D1"/>
    <w:rsid w:val="5DBE340A"/>
    <w:rsid w:val="5DD263B9"/>
    <w:rsid w:val="5DE41D76"/>
    <w:rsid w:val="5DE555FC"/>
    <w:rsid w:val="5DF27C61"/>
    <w:rsid w:val="5E4A015A"/>
    <w:rsid w:val="5E617327"/>
    <w:rsid w:val="5E772D56"/>
    <w:rsid w:val="5E843AB7"/>
    <w:rsid w:val="5E9A1FB9"/>
    <w:rsid w:val="5EB11CC9"/>
    <w:rsid w:val="5EB7165F"/>
    <w:rsid w:val="5EDA2E6C"/>
    <w:rsid w:val="5EDF49B6"/>
    <w:rsid w:val="5EE659E4"/>
    <w:rsid w:val="5EF029BA"/>
    <w:rsid w:val="5EF2401E"/>
    <w:rsid w:val="5EF37A12"/>
    <w:rsid w:val="5F19063B"/>
    <w:rsid w:val="5F2A58BF"/>
    <w:rsid w:val="5F2D2E3D"/>
    <w:rsid w:val="5F3F28CF"/>
    <w:rsid w:val="5F4D6034"/>
    <w:rsid w:val="5FBE3FE5"/>
    <w:rsid w:val="5FC03792"/>
    <w:rsid w:val="5FC939D5"/>
    <w:rsid w:val="5FDA399F"/>
    <w:rsid w:val="5FF22D36"/>
    <w:rsid w:val="5FFA79ED"/>
    <w:rsid w:val="60075E39"/>
    <w:rsid w:val="600D0AF4"/>
    <w:rsid w:val="60273573"/>
    <w:rsid w:val="60276DC2"/>
    <w:rsid w:val="602A54A3"/>
    <w:rsid w:val="60370997"/>
    <w:rsid w:val="604F40FC"/>
    <w:rsid w:val="605A259A"/>
    <w:rsid w:val="6060154E"/>
    <w:rsid w:val="606D0EF6"/>
    <w:rsid w:val="6078413F"/>
    <w:rsid w:val="60B07C9E"/>
    <w:rsid w:val="60D06270"/>
    <w:rsid w:val="60EA7F29"/>
    <w:rsid w:val="61013040"/>
    <w:rsid w:val="611128E5"/>
    <w:rsid w:val="611C35B8"/>
    <w:rsid w:val="61315EF6"/>
    <w:rsid w:val="613A0A49"/>
    <w:rsid w:val="614E56CB"/>
    <w:rsid w:val="615440FF"/>
    <w:rsid w:val="616E368F"/>
    <w:rsid w:val="6184566A"/>
    <w:rsid w:val="619012C2"/>
    <w:rsid w:val="61AE7556"/>
    <w:rsid w:val="61D41854"/>
    <w:rsid w:val="61E3363C"/>
    <w:rsid w:val="62282B27"/>
    <w:rsid w:val="623743B3"/>
    <w:rsid w:val="623E7108"/>
    <w:rsid w:val="625A6442"/>
    <w:rsid w:val="626A1CE1"/>
    <w:rsid w:val="626C134E"/>
    <w:rsid w:val="629B22CB"/>
    <w:rsid w:val="62A3229B"/>
    <w:rsid w:val="62A45588"/>
    <w:rsid w:val="62A57C35"/>
    <w:rsid w:val="62B952CA"/>
    <w:rsid w:val="62E07553"/>
    <w:rsid w:val="63081C9E"/>
    <w:rsid w:val="63421845"/>
    <w:rsid w:val="634A387E"/>
    <w:rsid w:val="6361478E"/>
    <w:rsid w:val="636E52EB"/>
    <w:rsid w:val="638B4892"/>
    <w:rsid w:val="639279AF"/>
    <w:rsid w:val="63944825"/>
    <w:rsid w:val="63D762DC"/>
    <w:rsid w:val="63EC2A57"/>
    <w:rsid w:val="63FE5C95"/>
    <w:rsid w:val="640E22EE"/>
    <w:rsid w:val="641222ED"/>
    <w:rsid w:val="64156B80"/>
    <w:rsid w:val="642B5582"/>
    <w:rsid w:val="642F3826"/>
    <w:rsid w:val="643B040A"/>
    <w:rsid w:val="645D1336"/>
    <w:rsid w:val="64643953"/>
    <w:rsid w:val="649122E0"/>
    <w:rsid w:val="6491381F"/>
    <w:rsid w:val="64B77EFF"/>
    <w:rsid w:val="64BB209D"/>
    <w:rsid w:val="64FB2F8F"/>
    <w:rsid w:val="65077676"/>
    <w:rsid w:val="651722E7"/>
    <w:rsid w:val="65347231"/>
    <w:rsid w:val="65740427"/>
    <w:rsid w:val="6577651D"/>
    <w:rsid w:val="658C66C4"/>
    <w:rsid w:val="65A05658"/>
    <w:rsid w:val="65AC2EFD"/>
    <w:rsid w:val="65B46375"/>
    <w:rsid w:val="65D37A5B"/>
    <w:rsid w:val="65F4511D"/>
    <w:rsid w:val="65F47DC0"/>
    <w:rsid w:val="65FF7596"/>
    <w:rsid w:val="66096B05"/>
    <w:rsid w:val="6627721E"/>
    <w:rsid w:val="66537DD0"/>
    <w:rsid w:val="66753E2C"/>
    <w:rsid w:val="6687460E"/>
    <w:rsid w:val="66A146AB"/>
    <w:rsid w:val="66A34F7A"/>
    <w:rsid w:val="66A43DA7"/>
    <w:rsid w:val="66AE0D1C"/>
    <w:rsid w:val="66B56271"/>
    <w:rsid w:val="66C32061"/>
    <w:rsid w:val="66CE247E"/>
    <w:rsid w:val="66D1553B"/>
    <w:rsid w:val="66D678E5"/>
    <w:rsid w:val="66E23A48"/>
    <w:rsid w:val="66EF31C1"/>
    <w:rsid w:val="66F123D1"/>
    <w:rsid w:val="66F16A47"/>
    <w:rsid w:val="66F203EF"/>
    <w:rsid w:val="671A0D2D"/>
    <w:rsid w:val="67200F9C"/>
    <w:rsid w:val="672252C1"/>
    <w:rsid w:val="67340A1D"/>
    <w:rsid w:val="674A4FC0"/>
    <w:rsid w:val="674D101A"/>
    <w:rsid w:val="675249FA"/>
    <w:rsid w:val="67683CFC"/>
    <w:rsid w:val="67B406DA"/>
    <w:rsid w:val="67C75EAB"/>
    <w:rsid w:val="67D13F82"/>
    <w:rsid w:val="67D47556"/>
    <w:rsid w:val="67DA0448"/>
    <w:rsid w:val="67E83BD3"/>
    <w:rsid w:val="67FE0A51"/>
    <w:rsid w:val="683021EA"/>
    <w:rsid w:val="6831292C"/>
    <w:rsid w:val="683A5F07"/>
    <w:rsid w:val="683D4EA1"/>
    <w:rsid w:val="68482B4B"/>
    <w:rsid w:val="6857517B"/>
    <w:rsid w:val="685F2B0C"/>
    <w:rsid w:val="68615AEE"/>
    <w:rsid w:val="686465B8"/>
    <w:rsid w:val="686E2F1C"/>
    <w:rsid w:val="686E4CA0"/>
    <w:rsid w:val="686F3D4E"/>
    <w:rsid w:val="6892121B"/>
    <w:rsid w:val="689E473A"/>
    <w:rsid w:val="68A772BD"/>
    <w:rsid w:val="68AD32C0"/>
    <w:rsid w:val="68B055E0"/>
    <w:rsid w:val="68C163CF"/>
    <w:rsid w:val="68F77559"/>
    <w:rsid w:val="693053C2"/>
    <w:rsid w:val="69577852"/>
    <w:rsid w:val="697A46A8"/>
    <w:rsid w:val="69AA61FA"/>
    <w:rsid w:val="69B022B6"/>
    <w:rsid w:val="69B72806"/>
    <w:rsid w:val="69B83AE8"/>
    <w:rsid w:val="69C21FC2"/>
    <w:rsid w:val="69D05774"/>
    <w:rsid w:val="69DD68EF"/>
    <w:rsid w:val="69F431E5"/>
    <w:rsid w:val="6A0B12F9"/>
    <w:rsid w:val="6A387A83"/>
    <w:rsid w:val="6A4E3481"/>
    <w:rsid w:val="6AB0358F"/>
    <w:rsid w:val="6AC81DFB"/>
    <w:rsid w:val="6ACC4B2B"/>
    <w:rsid w:val="6AD5470C"/>
    <w:rsid w:val="6B156F01"/>
    <w:rsid w:val="6B1823F4"/>
    <w:rsid w:val="6B302155"/>
    <w:rsid w:val="6B5061B8"/>
    <w:rsid w:val="6B5541CC"/>
    <w:rsid w:val="6B594757"/>
    <w:rsid w:val="6B794694"/>
    <w:rsid w:val="6BB10ECA"/>
    <w:rsid w:val="6BB80CD3"/>
    <w:rsid w:val="6BD97443"/>
    <w:rsid w:val="6BE154D6"/>
    <w:rsid w:val="6BFA34BF"/>
    <w:rsid w:val="6C1E27AA"/>
    <w:rsid w:val="6C253A83"/>
    <w:rsid w:val="6C282E9B"/>
    <w:rsid w:val="6C4C1DDE"/>
    <w:rsid w:val="6C60775B"/>
    <w:rsid w:val="6C787CBB"/>
    <w:rsid w:val="6C8A4E5F"/>
    <w:rsid w:val="6C8C5CC8"/>
    <w:rsid w:val="6C9165B6"/>
    <w:rsid w:val="6CA87474"/>
    <w:rsid w:val="6CAE0CBE"/>
    <w:rsid w:val="6CBA4949"/>
    <w:rsid w:val="6D1075E9"/>
    <w:rsid w:val="6D2F4343"/>
    <w:rsid w:val="6D353D8C"/>
    <w:rsid w:val="6D4E6285"/>
    <w:rsid w:val="6D5C18AC"/>
    <w:rsid w:val="6D6B1613"/>
    <w:rsid w:val="6D886D51"/>
    <w:rsid w:val="6DCC4C0D"/>
    <w:rsid w:val="6DEA0A67"/>
    <w:rsid w:val="6DEC6437"/>
    <w:rsid w:val="6DFC561D"/>
    <w:rsid w:val="6E0F76B0"/>
    <w:rsid w:val="6E382FA7"/>
    <w:rsid w:val="6E395E9E"/>
    <w:rsid w:val="6E4341AC"/>
    <w:rsid w:val="6E5126B4"/>
    <w:rsid w:val="6E567C0C"/>
    <w:rsid w:val="6E5D6868"/>
    <w:rsid w:val="6E683231"/>
    <w:rsid w:val="6E7C1EB5"/>
    <w:rsid w:val="6EB664D0"/>
    <w:rsid w:val="6ED36BB1"/>
    <w:rsid w:val="6EE110A6"/>
    <w:rsid w:val="6EF03BAE"/>
    <w:rsid w:val="6F155D21"/>
    <w:rsid w:val="6F1E3244"/>
    <w:rsid w:val="6F286746"/>
    <w:rsid w:val="6F2B2506"/>
    <w:rsid w:val="6F436F8F"/>
    <w:rsid w:val="6F451BBF"/>
    <w:rsid w:val="6F634567"/>
    <w:rsid w:val="6F8D6B1D"/>
    <w:rsid w:val="6FAE4748"/>
    <w:rsid w:val="6FCD4F46"/>
    <w:rsid w:val="6FD91F90"/>
    <w:rsid w:val="6FE31AA8"/>
    <w:rsid w:val="70045D42"/>
    <w:rsid w:val="704D2ABA"/>
    <w:rsid w:val="706717CB"/>
    <w:rsid w:val="707200F0"/>
    <w:rsid w:val="707663A9"/>
    <w:rsid w:val="707F274F"/>
    <w:rsid w:val="70950CE0"/>
    <w:rsid w:val="709D2458"/>
    <w:rsid w:val="70A2698B"/>
    <w:rsid w:val="70AA312E"/>
    <w:rsid w:val="70C24A2F"/>
    <w:rsid w:val="70CC0C4C"/>
    <w:rsid w:val="70E41087"/>
    <w:rsid w:val="70E65326"/>
    <w:rsid w:val="70E80F60"/>
    <w:rsid w:val="70F11D57"/>
    <w:rsid w:val="71014D29"/>
    <w:rsid w:val="710A2B65"/>
    <w:rsid w:val="71191A27"/>
    <w:rsid w:val="711F713E"/>
    <w:rsid w:val="71217371"/>
    <w:rsid w:val="712E54D4"/>
    <w:rsid w:val="71321C7C"/>
    <w:rsid w:val="714A1780"/>
    <w:rsid w:val="7170146E"/>
    <w:rsid w:val="71705776"/>
    <w:rsid w:val="717268C8"/>
    <w:rsid w:val="71802D0E"/>
    <w:rsid w:val="71880353"/>
    <w:rsid w:val="718F5890"/>
    <w:rsid w:val="71C16BD6"/>
    <w:rsid w:val="71C363B8"/>
    <w:rsid w:val="71D14144"/>
    <w:rsid w:val="72143089"/>
    <w:rsid w:val="72150CEA"/>
    <w:rsid w:val="721F1006"/>
    <w:rsid w:val="721F4F40"/>
    <w:rsid w:val="7227177D"/>
    <w:rsid w:val="723419F5"/>
    <w:rsid w:val="7235573F"/>
    <w:rsid w:val="72477BAC"/>
    <w:rsid w:val="7255330E"/>
    <w:rsid w:val="726C56B8"/>
    <w:rsid w:val="72760CB0"/>
    <w:rsid w:val="7288771C"/>
    <w:rsid w:val="729326C7"/>
    <w:rsid w:val="72A458E1"/>
    <w:rsid w:val="72B13FB1"/>
    <w:rsid w:val="72C13E7C"/>
    <w:rsid w:val="72CD388B"/>
    <w:rsid w:val="72CE592F"/>
    <w:rsid w:val="72D21B1B"/>
    <w:rsid w:val="73014E33"/>
    <w:rsid w:val="730770A2"/>
    <w:rsid w:val="73197AE0"/>
    <w:rsid w:val="73221860"/>
    <w:rsid w:val="732F2FC7"/>
    <w:rsid w:val="733A4EF6"/>
    <w:rsid w:val="733D0234"/>
    <w:rsid w:val="735F4C52"/>
    <w:rsid w:val="73773239"/>
    <w:rsid w:val="739D4E7F"/>
    <w:rsid w:val="73A52CA9"/>
    <w:rsid w:val="73C82E30"/>
    <w:rsid w:val="73FA14E3"/>
    <w:rsid w:val="73FD29BB"/>
    <w:rsid w:val="740A7F35"/>
    <w:rsid w:val="740B686A"/>
    <w:rsid w:val="74193434"/>
    <w:rsid w:val="7436153F"/>
    <w:rsid w:val="744401CE"/>
    <w:rsid w:val="745819FD"/>
    <w:rsid w:val="746C366D"/>
    <w:rsid w:val="748200B4"/>
    <w:rsid w:val="749C71E6"/>
    <w:rsid w:val="74AC77E0"/>
    <w:rsid w:val="74DE6D4A"/>
    <w:rsid w:val="75045F44"/>
    <w:rsid w:val="75154170"/>
    <w:rsid w:val="751F2CCD"/>
    <w:rsid w:val="75334F10"/>
    <w:rsid w:val="754A3843"/>
    <w:rsid w:val="755E6626"/>
    <w:rsid w:val="75714F21"/>
    <w:rsid w:val="75801690"/>
    <w:rsid w:val="75841DF5"/>
    <w:rsid w:val="75883FFE"/>
    <w:rsid w:val="759118EE"/>
    <w:rsid w:val="759A0BFF"/>
    <w:rsid w:val="75A62B5C"/>
    <w:rsid w:val="75B660D9"/>
    <w:rsid w:val="75DA056C"/>
    <w:rsid w:val="75E32177"/>
    <w:rsid w:val="75FA2F4D"/>
    <w:rsid w:val="76177C7F"/>
    <w:rsid w:val="761E4555"/>
    <w:rsid w:val="7652518B"/>
    <w:rsid w:val="765661CE"/>
    <w:rsid w:val="766B1FE7"/>
    <w:rsid w:val="767737E8"/>
    <w:rsid w:val="7687321E"/>
    <w:rsid w:val="769C5380"/>
    <w:rsid w:val="769D488D"/>
    <w:rsid w:val="76A648DB"/>
    <w:rsid w:val="76AA6FCA"/>
    <w:rsid w:val="76AD33AB"/>
    <w:rsid w:val="76AE1A33"/>
    <w:rsid w:val="76B645C9"/>
    <w:rsid w:val="76CB05E9"/>
    <w:rsid w:val="76F557EA"/>
    <w:rsid w:val="76FB601C"/>
    <w:rsid w:val="771E0B46"/>
    <w:rsid w:val="77243900"/>
    <w:rsid w:val="7745626C"/>
    <w:rsid w:val="774A218D"/>
    <w:rsid w:val="77534E7F"/>
    <w:rsid w:val="77765B6B"/>
    <w:rsid w:val="777D79D9"/>
    <w:rsid w:val="7788271D"/>
    <w:rsid w:val="778A3CA6"/>
    <w:rsid w:val="77AB127E"/>
    <w:rsid w:val="77B8759C"/>
    <w:rsid w:val="77CA7AD8"/>
    <w:rsid w:val="77F04589"/>
    <w:rsid w:val="780776F7"/>
    <w:rsid w:val="785D4AC2"/>
    <w:rsid w:val="78755AD9"/>
    <w:rsid w:val="78867CFB"/>
    <w:rsid w:val="7895518B"/>
    <w:rsid w:val="78DA375A"/>
    <w:rsid w:val="78FB6861"/>
    <w:rsid w:val="790C30F7"/>
    <w:rsid w:val="79182F94"/>
    <w:rsid w:val="791E6626"/>
    <w:rsid w:val="791F15A3"/>
    <w:rsid w:val="791F1ABD"/>
    <w:rsid w:val="792A6014"/>
    <w:rsid w:val="792A77CA"/>
    <w:rsid w:val="792C1C9C"/>
    <w:rsid w:val="79534836"/>
    <w:rsid w:val="795F47C4"/>
    <w:rsid w:val="79880110"/>
    <w:rsid w:val="79894347"/>
    <w:rsid w:val="799447B2"/>
    <w:rsid w:val="79993DEC"/>
    <w:rsid w:val="79A91848"/>
    <w:rsid w:val="79B155D3"/>
    <w:rsid w:val="79C44E91"/>
    <w:rsid w:val="79D75B18"/>
    <w:rsid w:val="79E70A50"/>
    <w:rsid w:val="79F9227E"/>
    <w:rsid w:val="7A03141B"/>
    <w:rsid w:val="7A2F5A98"/>
    <w:rsid w:val="7A340EA4"/>
    <w:rsid w:val="7A3F5F0E"/>
    <w:rsid w:val="7A402127"/>
    <w:rsid w:val="7A677819"/>
    <w:rsid w:val="7A75750A"/>
    <w:rsid w:val="7A7C3110"/>
    <w:rsid w:val="7A9E603E"/>
    <w:rsid w:val="7AA5799A"/>
    <w:rsid w:val="7AAE7A48"/>
    <w:rsid w:val="7AF259C5"/>
    <w:rsid w:val="7B12265C"/>
    <w:rsid w:val="7B4E1237"/>
    <w:rsid w:val="7B557668"/>
    <w:rsid w:val="7B5721B8"/>
    <w:rsid w:val="7B5C6BFD"/>
    <w:rsid w:val="7B884D33"/>
    <w:rsid w:val="7BA630A7"/>
    <w:rsid w:val="7BBB6A08"/>
    <w:rsid w:val="7BCB5994"/>
    <w:rsid w:val="7BED154E"/>
    <w:rsid w:val="7BED6B05"/>
    <w:rsid w:val="7C1946E0"/>
    <w:rsid w:val="7C42078B"/>
    <w:rsid w:val="7C953CBE"/>
    <w:rsid w:val="7C9C6D51"/>
    <w:rsid w:val="7CA326C8"/>
    <w:rsid w:val="7CAA5F0D"/>
    <w:rsid w:val="7D25417D"/>
    <w:rsid w:val="7D470375"/>
    <w:rsid w:val="7D5A124C"/>
    <w:rsid w:val="7D6B3C9C"/>
    <w:rsid w:val="7D6C7837"/>
    <w:rsid w:val="7D87483A"/>
    <w:rsid w:val="7D886B89"/>
    <w:rsid w:val="7D8A3047"/>
    <w:rsid w:val="7D92427A"/>
    <w:rsid w:val="7DA653E8"/>
    <w:rsid w:val="7DAB4450"/>
    <w:rsid w:val="7DAE4568"/>
    <w:rsid w:val="7DC3009F"/>
    <w:rsid w:val="7DC80DDA"/>
    <w:rsid w:val="7DDC30D5"/>
    <w:rsid w:val="7E0B16A2"/>
    <w:rsid w:val="7E12506E"/>
    <w:rsid w:val="7E1B5179"/>
    <w:rsid w:val="7E3610F8"/>
    <w:rsid w:val="7E594E0B"/>
    <w:rsid w:val="7E7C766D"/>
    <w:rsid w:val="7E833262"/>
    <w:rsid w:val="7E932FC5"/>
    <w:rsid w:val="7E9B5F2D"/>
    <w:rsid w:val="7ECE4E91"/>
    <w:rsid w:val="7ECE6209"/>
    <w:rsid w:val="7EDB5D8D"/>
    <w:rsid w:val="7EDD4604"/>
    <w:rsid w:val="7EE626A2"/>
    <w:rsid w:val="7F0A31ED"/>
    <w:rsid w:val="7F165CD8"/>
    <w:rsid w:val="7F243837"/>
    <w:rsid w:val="7F2B17D8"/>
    <w:rsid w:val="7F3C05D3"/>
    <w:rsid w:val="7F4E60A4"/>
    <w:rsid w:val="7F676C28"/>
    <w:rsid w:val="7F751E64"/>
    <w:rsid w:val="7F7A4953"/>
    <w:rsid w:val="7F806C96"/>
    <w:rsid w:val="7F90721E"/>
    <w:rsid w:val="7F990359"/>
    <w:rsid w:val="7FAC08C1"/>
    <w:rsid w:val="7FAD0277"/>
    <w:rsid w:val="7FB44E0C"/>
    <w:rsid w:val="7FCF5193"/>
    <w:rsid w:val="7FD06104"/>
    <w:rsid w:val="7FF03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6">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7">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exact"/>
    </w:pPr>
    <w:rPr>
      <w:sz w:val="24"/>
    </w:rPr>
  </w:style>
  <w:style w:type="paragraph" w:styleId="3">
    <w:name w:val="Body Text First Indent"/>
    <w:basedOn w:val="2"/>
    <w:next w:val="4"/>
    <w:qFormat/>
    <w:uiPriority w:val="0"/>
    <w:pPr>
      <w:ind w:firstLine="200" w:firstLineChars="200"/>
    </w:pPr>
  </w:style>
  <w:style w:type="paragraph" w:styleId="4">
    <w:name w:val="toc 6"/>
    <w:basedOn w:val="1"/>
    <w:next w:val="1"/>
    <w:unhideWhenUsed/>
    <w:qFormat/>
    <w:uiPriority w:val="39"/>
    <w:pPr>
      <w:spacing w:line="240" w:lineRule="auto"/>
      <w:ind w:left="2100" w:leftChars="1000" w:firstLine="0" w:firstLineChars="0"/>
    </w:pPr>
    <w:rPr>
      <w:rFonts w:ascii="Calibri" w:hAnsi="Calibri" w:eastAsia="宋体" w:cs="Times New Roman"/>
      <w:sz w:val="21"/>
      <w:szCs w:val="22"/>
    </w:rPr>
  </w:style>
  <w:style w:type="paragraph" w:styleId="8">
    <w:name w:val="List Number"/>
    <w:basedOn w:val="1"/>
    <w:qFormat/>
    <w:uiPriority w:val="0"/>
    <w:pPr>
      <w:numPr>
        <w:ilvl w:val="0"/>
        <w:numId w:val="2"/>
      </w:numPr>
    </w:pPr>
  </w:style>
  <w:style w:type="paragraph" w:styleId="9">
    <w:name w:val="Normal Indent"/>
    <w:basedOn w:val="1"/>
    <w:qFormat/>
    <w:uiPriority w:val="0"/>
    <w:pPr>
      <w:ind w:firstLine="420"/>
    </w:pPr>
    <w:rPr>
      <w:szCs w:val="20"/>
    </w:rPr>
  </w:style>
  <w:style w:type="paragraph" w:styleId="10">
    <w:name w:val="annotation text"/>
    <w:basedOn w:val="1"/>
    <w:qFormat/>
    <w:uiPriority w:val="0"/>
    <w:pPr>
      <w:jc w:val="left"/>
    </w:pPr>
  </w:style>
  <w:style w:type="paragraph" w:styleId="11">
    <w:name w:val="Body Text Indent"/>
    <w:basedOn w:val="1"/>
    <w:next w:val="1"/>
    <w:qFormat/>
    <w:uiPriority w:val="0"/>
    <w:pPr>
      <w:spacing w:after="120"/>
      <w:ind w:left="420" w:leftChars="200"/>
    </w:pPr>
  </w:style>
  <w:style w:type="paragraph" w:styleId="12">
    <w:name w:val="Plain Text"/>
    <w:basedOn w:val="1"/>
    <w:next w:val="13"/>
    <w:qFormat/>
    <w:uiPriority w:val="0"/>
    <w:rPr>
      <w:rFonts w:ascii="宋体" w:hAnsi="Courier New" w:cstheme="minorBidi"/>
    </w:rPr>
  </w:style>
  <w:style w:type="paragraph" w:styleId="13">
    <w:name w:val="Date"/>
    <w:basedOn w:val="1"/>
    <w:next w:val="1"/>
    <w:qFormat/>
    <w:uiPriority w:val="0"/>
    <w:pPr>
      <w:ind w:left="2500" w:leftChars="2500"/>
    </w:pPr>
    <w:rPr>
      <w:rFonts w:eastAsia="楷体_GB2312" w:asciiTheme="minorHAnsi" w:hAnsiTheme="minorHAnsi" w:cstheme="minorBidi"/>
      <w:sz w:val="32"/>
      <w:szCs w:val="22"/>
    </w:rPr>
  </w:style>
  <w:style w:type="paragraph" w:styleId="14">
    <w:name w:val="Balloon Text"/>
    <w:basedOn w:val="1"/>
    <w:link w:val="49"/>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8">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9">
    <w:name w:val="Body Text First Indent 2"/>
    <w:basedOn w:val="11"/>
    <w:qFormat/>
    <w:uiPriority w:val="0"/>
    <w:pPr>
      <w:ind w:firstLine="420"/>
    </w:pPr>
  </w:style>
  <w:style w:type="table" w:styleId="21">
    <w:name w:val="Table Grid"/>
    <w:basedOn w:val="20"/>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3">
    <w:name w:val="FollowedHyperlink"/>
    <w:basedOn w:val="22"/>
    <w:qFormat/>
    <w:uiPriority w:val="0"/>
    <w:rPr>
      <w:color w:val="800080"/>
      <w:u w:val="single"/>
    </w:rPr>
  </w:style>
  <w:style w:type="character" w:styleId="24">
    <w:name w:val="Hyperlink"/>
    <w:qFormat/>
    <w:uiPriority w:val="0"/>
    <w:rPr>
      <w:color w:val="0000FF"/>
      <w:u w:val="single"/>
    </w:rPr>
  </w:style>
  <w:style w:type="character" w:styleId="25">
    <w:name w:val="annotation reference"/>
    <w:basedOn w:val="22"/>
    <w:qFormat/>
    <w:uiPriority w:val="0"/>
    <w:rPr>
      <w:sz w:val="21"/>
      <w:szCs w:val="21"/>
    </w:rPr>
  </w:style>
  <w:style w:type="paragraph" w:customStyle="1" w:styleId="26">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7">
    <w:name w:val="List Paragraph"/>
    <w:basedOn w:val="1"/>
    <w:qFormat/>
    <w:uiPriority w:val="34"/>
    <w:pPr>
      <w:ind w:firstLine="420" w:firstLineChars="200"/>
    </w:pPr>
    <w:rPr>
      <w:rFonts w:ascii="Calibri" w:hAnsi="Calibri"/>
      <w:szCs w:val="22"/>
    </w:rPr>
  </w:style>
  <w:style w:type="paragraph" w:customStyle="1" w:styleId="28">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29">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_14"/>
    <w:qFormat/>
    <w:uiPriority w:val="0"/>
    <w:rPr>
      <w:rFonts w:ascii="Times New Roman" w:hAnsi="Times New Roman" w:eastAsia="宋体" w:cs="Times New Roman"/>
      <w:sz w:val="21"/>
      <w:szCs w:val="22"/>
      <w:lang w:val="en-US" w:eastAsia="zh-CN" w:bidi="ar-SA"/>
    </w:rPr>
  </w:style>
  <w:style w:type="paragraph" w:customStyle="1" w:styleId="33">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纯文本_3"/>
    <w:basedOn w:val="35"/>
    <w:qFormat/>
    <w:uiPriority w:val="0"/>
    <w:pPr>
      <w:widowControl/>
      <w:jc w:val="left"/>
    </w:pPr>
    <w:rPr>
      <w:rFonts w:ascii="宋体" w:hAnsi="Courier New" w:eastAsiaTheme="minorEastAsia" w:cstheme="minorBidi"/>
      <w:szCs w:val="21"/>
    </w:rPr>
  </w:style>
  <w:style w:type="paragraph" w:customStyle="1" w:styleId="37">
    <w:name w:val="纯文本_0_1"/>
    <w:basedOn w:val="1"/>
    <w:qFormat/>
    <w:uiPriority w:val="0"/>
    <w:pPr>
      <w:widowControl/>
      <w:jc w:val="left"/>
    </w:pPr>
    <w:rPr>
      <w:rFonts w:ascii="宋体" w:hAnsi="Courier New" w:eastAsiaTheme="minorEastAsia" w:cstheme="minorBidi"/>
      <w:szCs w:val="21"/>
    </w:rPr>
  </w:style>
  <w:style w:type="paragraph" w:customStyle="1" w:styleId="3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2">
    <w:name w:val="font21"/>
    <w:basedOn w:val="22"/>
    <w:qFormat/>
    <w:uiPriority w:val="0"/>
    <w:rPr>
      <w:rFonts w:hint="default" w:ascii="Arial" w:hAnsi="Arial" w:cs="Arial"/>
      <w:color w:val="000000"/>
      <w:sz w:val="20"/>
      <w:szCs w:val="20"/>
      <w:u w:val="none"/>
    </w:rPr>
  </w:style>
  <w:style w:type="character" w:customStyle="1" w:styleId="43">
    <w:name w:val="font01"/>
    <w:basedOn w:val="22"/>
    <w:qFormat/>
    <w:uiPriority w:val="0"/>
    <w:rPr>
      <w:rFonts w:hint="eastAsia" w:ascii="宋体" w:hAnsi="宋体" w:eastAsia="宋体" w:cs="宋体"/>
      <w:color w:val="000000"/>
      <w:sz w:val="20"/>
      <w:szCs w:val="20"/>
      <w:u w:val="none"/>
    </w:rPr>
  </w:style>
  <w:style w:type="paragraph" w:customStyle="1" w:styleId="44">
    <w:name w:val="纯文本1"/>
    <w:basedOn w:val="45"/>
    <w:qFormat/>
    <w:uiPriority w:val="0"/>
    <w:pPr>
      <w:widowControl/>
      <w:jc w:val="left"/>
    </w:pPr>
    <w:rPr>
      <w:rFonts w:ascii="宋体" w:hAnsi="Courier New"/>
    </w:rPr>
  </w:style>
  <w:style w:type="paragraph" w:customStyle="1" w:styleId="45">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6">
    <w:name w:val="Table Paragraph"/>
    <w:basedOn w:val="1"/>
    <w:qFormat/>
    <w:uiPriority w:val="1"/>
    <w:rPr>
      <w:rFonts w:ascii="宋体" w:hAnsi="宋体" w:cs="宋体"/>
    </w:rPr>
  </w:style>
  <w:style w:type="paragraph" w:customStyle="1" w:styleId="47">
    <w:name w:val="WPSOffice手动目录 1"/>
    <w:qFormat/>
    <w:uiPriority w:val="0"/>
    <w:rPr>
      <w:rFonts w:ascii="Times New Roman" w:hAnsi="Times New Roman" w:eastAsia="宋体" w:cs="Times New Roman"/>
      <w:lang w:val="en-US" w:eastAsia="zh-CN" w:bidi="ar-SA"/>
    </w:rPr>
  </w:style>
  <w:style w:type="character" w:customStyle="1" w:styleId="48">
    <w:name w:val="标题 1 Char Char"/>
    <w:basedOn w:val="22"/>
    <w:qFormat/>
    <w:uiPriority w:val="0"/>
    <w:rPr>
      <w:rFonts w:eastAsia="宋体"/>
      <w:b/>
      <w:spacing w:val="-2"/>
      <w:sz w:val="24"/>
      <w:lang w:val="en-US" w:eastAsia="zh-CN" w:bidi="ar-SA"/>
    </w:rPr>
  </w:style>
  <w:style w:type="character" w:customStyle="1" w:styleId="49">
    <w:name w:val="批注框文本 Char"/>
    <w:basedOn w:val="22"/>
    <w:link w:val="14"/>
    <w:qFormat/>
    <w:uiPriority w:val="0"/>
    <w:rPr>
      <w:kern w:val="2"/>
      <w:sz w:val="18"/>
      <w:szCs w:val="18"/>
    </w:rPr>
  </w:style>
  <w:style w:type="paragraph" w:customStyle="1" w:styleId="50">
    <w:name w:val="正文小四"/>
    <w:basedOn w:val="1"/>
    <w:qFormat/>
    <w:uiPriority w:val="0"/>
    <w:pPr>
      <w:widowControl/>
      <w:spacing w:line="360" w:lineRule="auto"/>
      <w:ind w:firstLine="200" w:firstLineChars="200"/>
      <w:jc w:val="left"/>
    </w:pPr>
    <w:rPr>
      <w:rFonts w:ascii="等线" w:hAnsi="等线" w:eastAsia="等线" w:cs="Times New Roman"/>
      <w:sz w:val="24"/>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1.jpeg" Type="http://schemas.openxmlformats.org/officeDocument/2006/relationships/image"/><Relationship Id="rId11" Target="media/image2.jpeg" Type="http://schemas.openxmlformats.org/officeDocument/2006/relationships/image"/><Relationship Id="rId12" Target="../customXml/item1.xml" Type="http://schemas.openxmlformats.org/officeDocument/2006/relationships/customXml"/><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header4.xml" Type="http://schemas.openxmlformats.org/officeDocument/2006/relationships/header"/><Relationship Id="rId8" Target="footer2.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3669</Words>
  <Characters>20917</Characters>
  <Lines>174</Lines>
  <Paragraphs>49</Paragraphs>
  <TotalTime>21</TotalTime>
  <ScaleCrop>false</ScaleCrop>
  <LinksUpToDate>false</LinksUpToDate>
  <CharactersWithSpaces>24537</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2021-02-05T09:06:00Z</dcterms:created>
  <dc:creator>Thorpe521</dc:creator>
  <cp:lastModifiedBy>阿拉丁</cp:lastModifiedBy>
  <cp:lastPrinted>2021-08-18T01:05:00Z</cp:lastPrinted>
  <dcterms:modified xsi:type="dcterms:W3CDTF">2021-11-25T08:06:18Z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56099B2E4D2A4F63A2AAC9078C67EC41</vt:lpwstr>
  </property>
</Properties>
</file>