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14:textFill>
            <w14:solidFill>
              <w14:schemeClr w14:val="tx1"/>
            </w14:solidFill>
          </w14:textFill>
        </w:rPr>
      </w:pPr>
      <w:r>
        <w:rPr>
          <w:rFonts w:hint="eastAsia" w:ascii="宋体"/>
          <w:b/>
          <w:color w:val="000000" w:themeColor="text1"/>
          <w:kern w:val="0"/>
          <w:sz w:val="32"/>
          <w14:textFill>
            <w14:solidFill>
              <w14:schemeClr w14:val="tx1"/>
            </w14:solidFill>
          </w14:textFill>
        </w:rPr>
        <w:t>TZ</w:t>
      </w:r>
      <w:r>
        <w:rPr>
          <w:rFonts w:ascii="宋体"/>
          <w:b/>
          <w:color w:val="000000" w:themeColor="text1"/>
          <w:kern w:val="0"/>
          <w:sz w:val="32"/>
          <w14:textFill>
            <w14:solidFill>
              <w14:schemeClr w14:val="tx1"/>
            </w14:solidFill>
          </w14:textFill>
        </w:rPr>
        <w:t>CG-20</w:t>
      </w:r>
      <w:r>
        <w:rPr>
          <w:rFonts w:hint="eastAsia" w:ascii="宋体"/>
          <w:b/>
          <w:color w:val="000000" w:themeColor="text1"/>
          <w:kern w:val="0"/>
          <w:sz w:val="32"/>
          <w:lang w:val="en-US" w:eastAsia="zh-CN"/>
          <w14:textFill>
            <w14:solidFill>
              <w14:schemeClr w14:val="tx1"/>
            </w14:solidFill>
          </w14:textFill>
        </w:rPr>
        <w:t>20</w:t>
      </w:r>
      <w:r>
        <w:rPr>
          <w:rFonts w:ascii="宋体"/>
          <w:b/>
          <w:color w:val="000000" w:themeColor="text1"/>
          <w:kern w:val="0"/>
          <w:sz w:val="32"/>
          <w14:textFill>
            <w14:solidFill>
              <w14:schemeClr w14:val="tx1"/>
            </w14:solidFill>
          </w14:textFill>
        </w:rPr>
        <w:t>-</w:t>
      </w:r>
      <w:r>
        <w:rPr>
          <w:rFonts w:hint="eastAsia" w:ascii="宋体"/>
          <w:b/>
          <w:color w:val="000000" w:themeColor="text1"/>
          <w:kern w:val="0"/>
          <w:sz w:val="32"/>
          <w14:textFill>
            <w14:solidFill>
              <w14:schemeClr w14:val="tx1"/>
            </w14:solidFill>
          </w14:textFill>
        </w:rPr>
        <w:t>GK</w:t>
      </w:r>
      <w:r>
        <w:rPr>
          <w:rFonts w:hint="eastAsia" w:ascii="宋体"/>
          <w:b/>
          <w:color w:val="000000" w:themeColor="text1"/>
          <w:kern w:val="0"/>
          <w:sz w:val="32"/>
          <w:lang w:val="en-US" w:eastAsia="zh-CN"/>
          <w14:textFill>
            <w14:solidFill>
              <w14:schemeClr w14:val="tx1"/>
            </w14:solidFill>
          </w14:textFill>
        </w:rPr>
        <w:t>002D</w:t>
      </w:r>
      <w:r>
        <w:rPr>
          <w:rFonts w:hint="eastAsia" w:ascii="宋体"/>
          <w:b/>
          <w:color w:val="000000" w:themeColor="text1"/>
          <w:kern w:val="0"/>
          <w:sz w:val="32"/>
          <w14:textFill>
            <w14:solidFill>
              <w14:schemeClr w14:val="tx1"/>
            </w14:solidFill>
          </w14:textFill>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firstLine="1797" w:firstLineChars="642"/>
        <w:jc w:val="left"/>
        <w:rPr>
          <w:rFonts w:hint="eastAsia" w:ascii="宋体"/>
          <w:color w:val="000000" w:themeColor="text1"/>
          <w:kern w:val="0"/>
          <w:sz w:val="28"/>
          <w:lang w:val="en-US" w:eastAsia="zh-CN"/>
          <w14:textFill>
            <w14:solidFill>
              <w14:schemeClr w14:val="tx1"/>
            </w14:solidFill>
          </w14:textFill>
        </w:rPr>
      </w:pPr>
      <w:r>
        <w:rPr>
          <w:rFonts w:hint="eastAsia" w:ascii="宋体"/>
          <w:color w:val="000000" w:themeColor="text1"/>
          <w:kern w:val="0"/>
          <w:sz w:val="28"/>
          <w14:textFill>
            <w14:solidFill>
              <w14:schemeClr w14:val="tx1"/>
            </w14:solidFill>
          </w14:textFill>
        </w:rPr>
        <w:t>采购项目：台州市基础大数据管理平台（一期）</w:t>
      </w:r>
    </w:p>
    <w:p>
      <w:pPr>
        <w:autoSpaceDE w:val="0"/>
        <w:autoSpaceDN w:val="0"/>
        <w:adjustRightInd w:val="0"/>
        <w:spacing w:line="360" w:lineRule="auto"/>
        <w:ind w:firstLine="1797" w:firstLineChars="642"/>
        <w:jc w:val="left"/>
        <w:rPr>
          <w:rFonts w:hint="eastAsia" w:ascii="宋体"/>
          <w:color w:val="000000" w:themeColor="text1"/>
          <w:kern w:val="0"/>
          <w:sz w:val="28"/>
          <w:lang w:val="en-US" w:eastAsia="zh-CN"/>
          <w14:textFill>
            <w14:solidFill>
              <w14:schemeClr w14:val="tx1"/>
            </w14:solidFill>
          </w14:textFill>
        </w:rPr>
      </w:pPr>
      <w:r>
        <w:rPr>
          <w:rFonts w:hint="eastAsia" w:ascii="宋体"/>
          <w:color w:val="000000" w:themeColor="text1"/>
          <w:kern w:val="0"/>
          <w:sz w:val="28"/>
          <w14:textFill>
            <w14:solidFill>
              <w14:schemeClr w14:val="tx1"/>
            </w14:solidFill>
          </w14:textFill>
        </w:rPr>
        <w:t xml:space="preserve"> 采购</w:t>
      </w:r>
      <w:r>
        <w:rPr>
          <w:rFonts w:hint="eastAsia" w:ascii="宋体"/>
          <w:color w:val="000000" w:themeColor="text1"/>
          <w:kern w:val="0"/>
          <w:sz w:val="28"/>
          <w:lang w:eastAsia="zh-CN"/>
          <w14:textFill>
            <w14:solidFill>
              <w14:schemeClr w14:val="tx1"/>
            </w14:solidFill>
          </w14:textFill>
        </w:rPr>
        <w:t>人</w:t>
      </w:r>
      <w:r>
        <w:rPr>
          <w:rFonts w:hint="eastAsia" w:ascii="宋体"/>
          <w:color w:val="000000" w:themeColor="text1"/>
          <w:kern w:val="0"/>
          <w:sz w:val="28"/>
          <w14:textFill>
            <w14:solidFill>
              <w14:schemeClr w14:val="tx1"/>
            </w14:solidFill>
          </w14:textFill>
        </w:rPr>
        <w:t>：台州市大数据发展中心</w:t>
      </w:r>
    </w:p>
    <w:p>
      <w:pPr>
        <w:autoSpaceDE w:val="0"/>
        <w:autoSpaceDN w:val="0"/>
        <w:adjustRightInd w:val="0"/>
        <w:spacing w:line="360" w:lineRule="auto"/>
        <w:rPr>
          <w:rFonts w:ascii="宋体"/>
          <w:color w:val="000000" w:themeColor="text1"/>
          <w:kern w:val="0"/>
          <w:sz w:val="28"/>
          <w14:textFill>
            <w14:solidFill>
              <w14:schemeClr w14:val="tx1"/>
            </w14:solidFill>
          </w14:textFill>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color w:val="000000" w:themeColor="text1"/>
          <w:kern w:val="0"/>
          <w:sz w:val="28"/>
          <w:szCs w:val="28"/>
          <w14:textFill>
            <w14:solidFill>
              <w14:schemeClr w14:val="tx1"/>
            </w14:solidFill>
          </w14:textFill>
        </w:rPr>
        <w:t>20</w:t>
      </w:r>
      <w:r>
        <w:rPr>
          <w:rFonts w:hint="eastAsia" w:ascii="宋体" w:hAnsi="宋体" w:cs="宋体"/>
          <w:color w:val="000000" w:themeColor="text1"/>
          <w:kern w:val="0"/>
          <w:sz w:val="28"/>
          <w:szCs w:val="28"/>
          <w:lang w:val="en-US" w:eastAsia="zh-CN"/>
          <w14:textFill>
            <w14:solidFill>
              <w14:schemeClr w14:val="tx1"/>
            </w14:solidFill>
          </w14:textFill>
        </w:rPr>
        <w:t>20</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20</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26"/>
      </w:pPr>
    </w:p>
    <w:p>
      <w:pPr>
        <w:spacing w:line="360" w:lineRule="auto"/>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电子投标文件</w:t>
      </w:r>
      <w:r>
        <w:rPr>
          <w:rFonts w:hint="eastAsia" w:asciiTheme="minorEastAsia" w:hAnsiTheme="minorEastAsia" w:eastAsiaTheme="minorEastAsia"/>
          <w:b/>
          <w:sz w:val="28"/>
          <w:szCs w:val="28"/>
        </w:rPr>
        <w:t>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受采购人委托，现就台州市大数据发展中心台州市基础大数据管理平台（一期）进行公开招标采购，欢迎合格供应商前来投标。</w:t>
      </w:r>
    </w:p>
    <w:p>
      <w:pPr>
        <w:numPr>
          <w:ilvl w:val="0"/>
          <w:numId w:val="3"/>
        </w:num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kern w:val="0"/>
          <w:sz w:val="24"/>
        </w:rPr>
      </w:pPr>
      <w:r>
        <w:rPr>
          <w:rFonts w:hint="eastAsia" w:asciiTheme="minorEastAsia" w:hAnsiTheme="minorEastAsia" w:eastAsiaTheme="minorEastAsia"/>
          <w:b/>
          <w:kern w:val="0"/>
          <w:sz w:val="24"/>
        </w:rPr>
        <w:t>项目编号：</w:t>
      </w:r>
      <w:r>
        <w:rPr>
          <w:rFonts w:hint="eastAsia" w:asciiTheme="minorEastAsia" w:hAnsiTheme="minorEastAsia" w:eastAsiaTheme="minorEastAsia"/>
          <w:b/>
          <w:color w:val="000000" w:themeColor="text1"/>
          <w:kern w:val="0"/>
          <w:sz w:val="24"/>
          <w:szCs w:val="24"/>
          <w:lang w:val="en-US" w:eastAsia="zh-CN"/>
          <w14:textFill>
            <w14:solidFill>
              <w14:schemeClr w14:val="tx1"/>
            </w14:solidFill>
          </w14:textFill>
        </w:rPr>
        <w:t>TZCG-2020-GK002</w:t>
      </w:r>
      <w:r>
        <w:rPr>
          <w:rFonts w:hint="eastAsia" w:asciiTheme="minorEastAsia" w:hAnsiTheme="minorEastAsia" w:eastAsiaTheme="minorEastAsia"/>
          <w:b/>
          <w:kern w:val="0"/>
          <w:sz w:val="24"/>
          <w:lang w:val="en-US" w:eastAsia="zh-CN"/>
        </w:rPr>
        <w:t>D</w:t>
      </w:r>
      <w:r>
        <w:rPr>
          <w:rFonts w:hint="eastAsia" w:asciiTheme="minorEastAsia" w:hAnsiTheme="minorEastAsia" w:eastAsiaTheme="minorEastAsia"/>
          <w:b/>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sz w:val="24"/>
        </w:rPr>
      </w:pPr>
      <w:r>
        <w:rPr>
          <w:rFonts w:hint="eastAsia" w:asciiTheme="minorEastAsia" w:hAnsiTheme="minorEastAsia" w:eastAsiaTheme="minorEastAsia"/>
          <w:b/>
          <w:kern w:val="0"/>
          <w:sz w:val="24"/>
        </w:rPr>
        <w:t>二、招标项目概况：</w:t>
      </w:r>
    </w:p>
    <w:tbl>
      <w:tblPr>
        <w:tblStyle w:val="20"/>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93"/>
        <w:gridCol w:w="1899"/>
        <w:gridCol w:w="522"/>
        <w:gridCol w:w="522"/>
        <w:gridCol w:w="884"/>
        <w:gridCol w:w="117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96"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themeColor="text1"/>
                <w:sz w:val="24"/>
                <w:szCs w:val="24"/>
                <w14:textFill>
                  <w14:solidFill>
                    <w14:schemeClr w14:val="tx1"/>
                  </w14:solidFill>
                </w14:textFill>
              </w:rPr>
            </w:pPr>
            <w:bookmarkStart w:id="0" w:name="EBc3c9f0bc06b6413d849824fe98ba274c"/>
            <w:r>
              <w:rPr>
                <w:rFonts w:hint="eastAsia" w:asciiTheme="minorEastAsia" w:hAnsiTheme="minorEastAsia" w:eastAsiaTheme="minorEastAsia"/>
                <w:b/>
                <w:color w:val="000000" w:themeColor="text1"/>
                <w:sz w:val="24"/>
                <w:szCs w:val="24"/>
                <w14:textFill>
                  <w14:solidFill>
                    <w14:schemeClr w14:val="tx1"/>
                  </w14:solidFill>
                </w14:textFill>
              </w:rPr>
              <w:t>标段号</w:t>
            </w:r>
          </w:p>
        </w:tc>
        <w:tc>
          <w:tcPr>
            <w:tcW w:w="1393"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项目名称</w:t>
            </w:r>
          </w:p>
        </w:tc>
        <w:tc>
          <w:tcPr>
            <w:tcW w:w="1899" w:type="dxa"/>
            <w:vAlign w:val="center"/>
          </w:tcPr>
          <w:p>
            <w:pPr>
              <w:tabs>
                <w:tab w:val="left" w:pos="8280"/>
              </w:tabs>
              <w:autoSpaceDE w:val="0"/>
              <w:autoSpaceDN w:val="0"/>
              <w:adjustRightInd w:val="0"/>
              <w:ind w:right="25"/>
              <w:rPr>
                <w:rFonts w:asciiTheme="minorEastAsia" w:hAnsiTheme="minorEastAsia" w:eastAsiaTheme="minorEastAsia"/>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简要技术要求</w:t>
            </w:r>
          </w:p>
        </w:tc>
        <w:tc>
          <w:tcPr>
            <w:tcW w:w="522"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数量</w:t>
            </w:r>
          </w:p>
        </w:tc>
        <w:tc>
          <w:tcPr>
            <w:tcW w:w="522"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单位</w:t>
            </w:r>
          </w:p>
        </w:tc>
        <w:tc>
          <w:tcPr>
            <w:tcW w:w="884"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预算（万元）</w:t>
            </w:r>
          </w:p>
        </w:tc>
        <w:tc>
          <w:tcPr>
            <w:tcW w:w="1170"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最高限价</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(万元）</w:t>
            </w:r>
          </w:p>
        </w:tc>
        <w:tc>
          <w:tcPr>
            <w:tcW w:w="1445" w:type="dxa"/>
            <w:vAlign w:val="center"/>
          </w:tcPr>
          <w:p>
            <w:pPr>
              <w:tabs>
                <w:tab w:val="left" w:pos="8280"/>
              </w:tabs>
              <w:autoSpaceDE w:val="0"/>
              <w:autoSpaceDN w:val="0"/>
              <w:adjustRightInd w:val="0"/>
              <w:ind w:right="25" w:firstLine="24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交货期</w:t>
            </w:r>
          </w:p>
          <w:p>
            <w:pPr>
              <w:tabs>
                <w:tab w:val="left" w:pos="8280"/>
              </w:tabs>
              <w:autoSpaceDE w:val="0"/>
              <w:autoSpaceDN w:val="0"/>
              <w:adjustRightInd w:val="0"/>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（合同签订后几天内）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rPr>
              <w:t>1</w:t>
            </w:r>
          </w:p>
        </w:tc>
        <w:tc>
          <w:tcPr>
            <w:tcW w:w="1393"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kern w:val="0"/>
                <w:sz w:val="24"/>
              </w:rPr>
              <w:t>台州市基础大数据管理平台（一期）</w:t>
            </w:r>
          </w:p>
        </w:tc>
        <w:tc>
          <w:tcPr>
            <w:tcW w:w="1899"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rPr>
              <w:t>详见技术需求</w:t>
            </w:r>
          </w:p>
        </w:tc>
        <w:tc>
          <w:tcPr>
            <w:tcW w:w="522"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rPr>
              <w:t>1</w:t>
            </w:r>
          </w:p>
        </w:tc>
        <w:tc>
          <w:tcPr>
            <w:tcW w:w="522"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rPr>
              <w:t>项</w:t>
            </w:r>
          </w:p>
        </w:tc>
        <w:tc>
          <w:tcPr>
            <w:tcW w:w="884" w:type="dxa"/>
            <w:vAlign w:val="center"/>
          </w:tcPr>
          <w:p>
            <w:pPr>
              <w:tabs>
                <w:tab w:val="left" w:pos="8280"/>
              </w:tabs>
              <w:autoSpaceDE w:val="0"/>
              <w:autoSpaceDN w:val="0"/>
              <w:adjustRightInd w:val="0"/>
              <w:ind w:right="25" w:rightChars="0"/>
              <w:jc w:val="center"/>
              <w:rPr>
                <w:rFonts w:hint="default"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sz w:val="24"/>
                <w:lang w:val="en-US" w:eastAsia="zh-CN"/>
              </w:rPr>
              <w:t>1000</w:t>
            </w:r>
          </w:p>
        </w:tc>
        <w:tc>
          <w:tcPr>
            <w:tcW w:w="1170" w:type="dxa"/>
            <w:vAlign w:val="center"/>
          </w:tcPr>
          <w:p>
            <w:pPr>
              <w:tabs>
                <w:tab w:val="left" w:pos="8280"/>
              </w:tabs>
              <w:autoSpaceDE w:val="0"/>
              <w:autoSpaceDN w:val="0"/>
              <w:adjustRightInd w:val="0"/>
              <w:ind w:right="25" w:rightChars="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sz w:val="24"/>
                <w:lang w:val="en-US" w:eastAsia="zh-CN"/>
              </w:rPr>
              <w:t>969</w:t>
            </w:r>
          </w:p>
        </w:tc>
        <w:tc>
          <w:tcPr>
            <w:tcW w:w="1445"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sz w:val="24"/>
              </w:rPr>
              <w:t>合同签订后</w:t>
            </w:r>
            <w:r>
              <w:rPr>
                <w:rFonts w:hint="eastAsia" w:asciiTheme="minorEastAsia" w:hAnsiTheme="minorEastAsia" w:eastAsiaTheme="minorEastAsia"/>
                <w:sz w:val="24"/>
              </w:rPr>
              <w:t>4</w:t>
            </w:r>
            <w:r>
              <w:rPr>
                <w:rFonts w:asciiTheme="minorEastAsia" w:hAnsiTheme="minorEastAsia" w:eastAsiaTheme="minorEastAsia"/>
                <w:sz w:val="24"/>
              </w:rPr>
              <w:t>个月内</w:t>
            </w:r>
            <w:r>
              <w:rPr>
                <w:rFonts w:hint="eastAsia" w:asciiTheme="minorEastAsia" w:hAnsiTheme="minorEastAsia" w:eastAsiaTheme="minorEastAsia"/>
                <w:sz w:val="24"/>
              </w:rPr>
              <w:t>完成软件交付</w:t>
            </w:r>
          </w:p>
        </w:tc>
      </w:tr>
    </w:tbl>
    <w:p>
      <w:pPr>
        <w:widowControl/>
        <w:tabs>
          <w:tab w:val="left" w:pos="0"/>
        </w:tabs>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szCs w:val="24"/>
          <w14:textFill>
            <w14:solidFill>
              <w14:schemeClr w14:val="tx1"/>
            </w14:solidFill>
          </w14:textFill>
        </w:rPr>
        <w:t>本次采购产品为非进口产品。</w:t>
      </w:r>
    </w:p>
    <w:bookmarkEnd w:id="0"/>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kern w:val="0"/>
          <w:sz w:val="24"/>
        </w:rPr>
      </w:pPr>
      <w:r>
        <w:rPr>
          <w:rFonts w:hint="eastAsia" w:asciiTheme="minorEastAsia" w:hAnsiTheme="minorEastAsia" w:eastAsiaTheme="minorEastAsia"/>
          <w:b/>
          <w:sz w:val="24"/>
        </w:rPr>
        <w:t>三、合格投标人的资格条件：</w:t>
      </w:r>
    </w:p>
    <w:p>
      <w:pPr>
        <w:pStyle w:val="27"/>
        <w:adjustRightInd w:val="0"/>
        <w:snapToGrid w:val="0"/>
        <w:spacing w:before="0" w:line="360" w:lineRule="auto"/>
        <w:ind w:left="102" w:right="102"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在当地建有机房</w:t>
      </w:r>
      <w:r>
        <w:rPr>
          <w:rFonts w:hint="eastAsia" w:asciiTheme="minorEastAsia" w:hAnsiTheme="minorEastAsia" w:eastAsiaTheme="minorEastAsia"/>
          <w:sz w:val="24"/>
          <w:lang w:eastAsia="zh-CN"/>
        </w:rPr>
        <w:t>，且</w:t>
      </w:r>
      <w:r>
        <w:rPr>
          <w:rFonts w:hint="eastAsia" w:asciiTheme="minorEastAsia" w:hAnsiTheme="minorEastAsia" w:eastAsiaTheme="minorEastAsia"/>
          <w:sz w:val="24"/>
        </w:rPr>
        <w:t>提供政务云</w:t>
      </w:r>
      <w:r>
        <w:rPr>
          <w:rFonts w:hint="eastAsia" w:asciiTheme="minorEastAsia" w:hAnsiTheme="minorEastAsia" w:eastAsiaTheme="minorEastAsia"/>
          <w:sz w:val="24"/>
          <w:lang w:eastAsia="zh-CN"/>
        </w:rPr>
        <w:t>业务</w:t>
      </w:r>
      <w:r>
        <w:rPr>
          <w:rFonts w:hint="eastAsia" w:asciiTheme="minorEastAsia" w:hAnsiTheme="minorEastAsia" w:eastAsiaTheme="minorEastAsia"/>
          <w:sz w:val="24"/>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四、招标文件获取的方式、时间：</w:t>
      </w:r>
    </w:p>
    <w:p>
      <w:pPr>
        <w:snapToGrid w:val="0"/>
        <w:spacing w:line="360" w:lineRule="auto"/>
        <w:ind w:firstLine="720" w:firstLineChars="300"/>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1、获取方式：</w:t>
      </w:r>
      <w:r>
        <w:rPr>
          <w:rFonts w:hint="eastAsia" w:cs="Arial" w:asciiTheme="minorEastAsia" w:hAnsiTheme="minorEastAsia" w:eastAsiaTheme="minorEastAsia"/>
          <w:color w:val="000000" w:themeColor="text1"/>
          <w:sz w:val="24"/>
          <w:lang w:eastAsia="zh-CN"/>
          <w14:textFill>
            <w14:solidFill>
              <w14:schemeClr w14:val="tx1"/>
            </w14:solidFill>
          </w14:textFill>
        </w:rPr>
        <w:t>投标人在浙江政府采购云平台（</w:t>
      </w:r>
      <w:r>
        <w:rPr>
          <w:rStyle w:val="24"/>
          <w:rFonts w:hint="eastAsia" w:ascii="仿宋_GB2312" w:hAnsi="新宋体" w:eastAsia="仿宋_GB2312" w:cs="Arial"/>
          <w:bCs/>
          <w:color w:val="000000" w:themeColor="text1"/>
          <w:sz w:val="24"/>
          <w14:textFill>
            <w14:solidFill>
              <w14:schemeClr w14:val="tx1"/>
            </w14:solidFill>
          </w14:textFill>
        </w:rPr>
        <w:t>http://www.zcygov.cn</w:t>
      </w:r>
      <w:r>
        <w:rPr>
          <w:rStyle w:val="24"/>
          <w:rFonts w:hint="eastAsia" w:ascii="仿宋_GB2312" w:hAnsi="新宋体" w:eastAsia="仿宋_GB2312" w:cs="Arial"/>
          <w:bCs/>
          <w:color w:val="000000" w:themeColor="text1"/>
          <w:sz w:val="24"/>
          <w:lang w:eastAsia="zh-CN"/>
          <w14:textFill>
            <w14:solidFill>
              <w14:schemeClr w14:val="tx1"/>
            </w14:solidFill>
          </w14:textFill>
        </w:rPr>
        <w:t>）</w:t>
      </w:r>
      <w:r>
        <w:rPr>
          <w:rFonts w:hint="eastAsia" w:cs="Arial" w:asciiTheme="minorEastAsia" w:hAnsiTheme="minorEastAsia" w:eastAsiaTheme="minorEastAsia"/>
          <w:color w:val="000000" w:themeColor="text1"/>
          <w:sz w:val="24"/>
          <w:lang w:eastAsia="zh-CN"/>
          <w14:textFill>
            <w14:solidFill>
              <w14:schemeClr w14:val="tx1"/>
            </w14:solidFill>
          </w14:textFill>
        </w:rPr>
        <w:t>进行网上报名后可</w:t>
      </w:r>
      <w:r>
        <w:rPr>
          <w:rFonts w:hint="eastAsia" w:cs="Arial" w:asciiTheme="minorEastAsia" w:hAnsiTheme="minorEastAsia" w:eastAsiaTheme="minorEastAsia"/>
          <w:color w:val="000000" w:themeColor="text1"/>
          <w:sz w:val="24"/>
          <w14:textFill>
            <w14:solidFill>
              <w14:schemeClr w14:val="tx1"/>
            </w14:solidFill>
          </w14:textFill>
        </w:rPr>
        <w:t>免费下载</w:t>
      </w:r>
      <w:r>
        <w:rPr>
          <w:rFonts w:hint="eastAsia" w:cs="Arial" w:asciiTheme="minorEastAsia" w:hAnsiTheme="minorEastAsia" w:eastAsiaTheme="minorEastAsia"/>
          <w:color w:val="000000" w:themeColor="text1"/>
          <w:sz w:val="24"/>
          <w:lang w:eastAsia="zh-CN"/>
          <w14:textFill>
            <w14:solidFill>
              <w14:schemeClr w14:val="tx1"/>
            </w14:solidFill>
          </w14:textFill>
        </w:rPr>
        <w:t>。</w:t>
      </w:r>
    </w:p>
    <w:p>
      <w:pPr>
        <w:snapToGrid w:val="0"/>
        <w:spacing w:line="360" w:lineRule="auto"/>
        <w:ind w:firstLine="720" w:firstLineChars="300"/>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eastAsiaTheme="minorEastAsia"/>
          <w:color w:val="000000" w:themeColor="text1"/>
          <w:sz w:val="24"/>
          <w:lang w:eastAsia="zh-CN"/>
          <w14:textFill>
            <w14:solidFill>
              <w14:schemeClr w14:val="tx1"/>
            </w14:solidFill>
          </w14:textFill>
        </w:rPr>
        <w:t>提示：采购机构将拒绝非报名供应商的电子投标文件。</w:t>
      </w:r>
    </w:p>
    <w:p>
      <w:pPr>
        <w:spacing w:line="360" w:lineRule="auto"/>
        <w:ind w:firstLine="600" w:firstLineChars="25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2、获取（公告）时间：</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2020</w:t>
      </w:r>
      <w:r>
        <w:rPr>
          <w:rFonts w:hint="eastAsia" w:cs="Arial" w:asciiTheme="minorEastAsia" w:hAnsiTheme="minorEastAsia" w:eastAsiaTheme="minorEastAsia"/>
          <w:color w:val="000000" w:themeColor="text1"/>
          <w:sz w:val="24"/>
          <w:szCs w:val="24"/>
          <w14:textFill>
            <w14:solidFill>
              <w14:schemeClr w14:val="tx1"/>
            </w14:solidFill>
          </w14:textFill>
        </w:rPr>
        <w:t>年</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月</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20</w:t>
      </w:r>
      <w:r>
        <w:rPr>
          <w:rFonts w:hint="eastAsia" w:cs="Arial" w:asciiTheme="minorEastAsia" w:hAnsiTheme="minorEastAsia" w:eastAsiaTheme="minorEastAsia"/>
          <w:color w:val="000000" w:themeColor="text1"/>
          <w:sz w:val="24"/>
          <w:szCs w:val="24"/>
          <w14:textFill>
            <w14:solidFill>
              <w14:schemeClr w14:val="tx1"/>
            </w14:solidFill>
          </w14:textFill>
        </w:rPr>
        <w:t>日至</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2020</w:t>
      </w:r>
      <w:r>
        <w:rPr>
          <w:rFonts w:hint="eastAsia" w:cs="Arial" w:asciiTheme="minorEastAsia" w:hAnsiTheme="minorEastAsia" w:eastAsiaTheme="minorEastAsia"/>
          <w:color w:val="000000" w:themeColor="text1"/>
          <w:sz w:val="24"/>
          <w:szCs w:val="24"/>
          <w14:textFill>
            <w14:solidFill>
              <w14:schemeClr w14:val="tx1"/>
            </w14:solidFill>
          </w14:textFill>
        </w:rPr>
        <w:t>年</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月</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 xml:space="preserve">27 </w:t>
      </w:r>
      <w:r>
        <w:rPr>
          <w:rFonts w:hint="eastAsia" w:cs="Arial" w:asciiTheme="minorEastAsia" w:hAnsiTheme="minorEastAsia" w:eastAsiaTheme="minorEastAsia"/>
          <w:color w:val="000000" w:themeColor="text1"/>
          <w:sz w:val="24"/>
          <w:szCs w:val="24"/>
          <w14:textFill>
            <w14:solidFill>
              <w14:schemeClr w14:val="tx1"/>
            </w14:solidFill>
          </w14:textFill>
        </w:rPr>
        <w:t>日</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五、招标答疑会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六、</w:t>
      </w:r>
      <w:r>
        <w:rPr>
          <w:rFonts w:hint="eastAsia" w:asciiTheme="minorEastAsia" w:hAnsiTheme="minorEastAsia" w:eastAsiaTheme="minorEastAsia"/>
          <w:b/>
          <w:color w:val="000000" w:themeColor="text1"/>
          <w:kern w:val="0"/>
          <w:sz w:val="24"/>
          <w14:textFill>
            <w14:solidFill>
              <w14:schemeClr w14:val="tx1"/>
            </w14:solidFill>
          </w14:textFill>
        </w:rPr>
        <w:t>投标截止及开标时间、地点：</w:t>
      </w:r>
    </w:p>
    <w:p>
      <w:pPr>
        <w:pStyle w:val="2"/>
        <w:spacing w:line="360" w:lineRule="auto"/>
        <w:rPr>
          <w:rFonts w:hint="eastAsia" w:ascii="宋体" w:hAnsi="宋体" w:eastAsia="宋体"/>
          <w:b w:val="0"/>
          <w:bCs w:val="0"/>
          <w:color w:val="000000" w:themeColor="text1"/>
          <w:kern w:val="0"/>
          <w:sz w:val="24"/>
          <w:lang w:eastAsia="zh-CN"/>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本次招标将于20</w:t>
      </w:r>
      <w:r>
        <w:rPr>
          <w:rFonts w:hint="eastAsia" w:cs="Arial" w:asciiTheme="minorEastAsia" w:hAnsiTheme="minorEastAsia" w:eastAsiaTheme="minorEastAsia"/>
          <w:color w:val="000000" w:themeColor="text1"/>
          <w:sz w:val="24"/>
          <w:lang w:val="en-US" w:eastAsia="zh-CN"/>
          <w14:textFill>
            <w14:solidFill>
              <w14:schemeClr w14:val="tx1"/>
            </w14:solidFill>
          </w14:textFill>
        </w:rPr>
        <w:t>20</w:t>
      </w:r>
      <w:r>
        <w:rPr>
          <w:rFonts w:hint="eastAsia" w:asciiTheme="minorEastAsia" w:hAnsiTheme="minorEastAsia" w:eastAsiaTheme="minorEastAsia"/>
          <w:color w:val="000000" w:themeColor="text1"/>
          <w:kern w:val="0"/>
          <w:sz w:val="24"/>
          <w14:textFill>
            <w14:solidFill>
              <w14:schemeClr w14:val="tx1"/>
            </w14:solidFill>
          </w14:textFill>
        </w:rPr>
        <w:t>年</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14:textFill>
            <w14:solidFill>
              <w14:schemeClr w14:val="tx1"/>
            </w14:solidFill>
          </w14:textFill>
        </w:rPr>
        <w:t>月</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13</w:t>
      </w:r>
      <w:r>
        <w:rPr>
          <w:rFonts w:hint="eastAsia" w:asciiTheme="minorEastAsia" w:hAnsiTheme="minorEastAsia" w:eastAsiaTheme="minorEastAsia"/>
          <w:color w:val="000000" w:themeColor="text1"/>
          <w:kern w:val="0"/>
          <w:sz w:val="24"/>
          <w14:textFill>
            <w14:solidFill>
              <w14:schemeClr w14:val="tx1"/>
            </w14:solidFill>
          </w14:textFill>
        </w:rPr>
        <w:t>日星期</w:t>
      </w:r>
      <w:r>
        <w:rPr>
          <w:rFonts w:hint="eastAsia" w:asciiTheme="minorEastAsia" w:hAnsiTheme="minorEastAsia" w:eastAsiaTheme="minorEastAsia"/>
          <w:color w:val="000000" w:themeColor="text1"/>
          <w:kern w:val="0"/>
          <w:sz w:val="24"/>
          <w:lang w:eastAsia="zh-CN"/>
          <w14:textFill>
            <w14:solidFill>
              <w14:schemeClr w14:val="tx1"/>
            </w14:solidFill>
          </w14:textFill>
        </w:rPr>
        <w:t>三</w:t>
      </w:r>
      <w:r>
        <w:rPr>
          <w:rFonts w:hint="eastAsia" w:cs="Arial" w:asciiTheme="minorEastAsia" w:hAnsiTheme="minorEastAsia" w:eastAsiaTheme="minorEastAsia"/>
          <w:color w:val="000000" w:themeColor="text1"/>
          <w:sz w:val="24"/>
          <w14:textFill>
            <w14:solidFill>
              <w14:schemeClr w14:val="tx1"/>
            </w14:solidFill>
          </w14:textFill>
        </w:rPr>
        <w:t>上</w:t>
      </w:r>
      <w:r>
        <w:rPr>
          <w:rFonts w:hint="eastAsia" w:asciiTheme="minorEastAsia" w:hAnsiTheme="minorEastAsia" w:eastAsiaTheme="minorEastAsia"/>
          <w:color w:val="000000" w:themeColor="text1"/>
          <w:kern w:val="0"/>
          <w:sz w:val="24"/>
          <w14:textFill>
            <w14:solidFill>
              <w14:schemeClr w14:val="tx1"/>
            </w14:solidFill>
          </w14:textFill>
        </w:rPr>
        <w:t>午</w:t>
      </w:r>
      <w:r>
        <w:rPr>
          <w:rFonts w:hint="eastAsia" w:cs="Arial" w:asciiTheme="minorEastAsia" w:hAnsiTheme="minorEastAsia" w:eastAsiaTheme="minorEastAsia"/>
          <w:color w:val="000000" w:themeColor="text1"/>
          <w:sz w:val="24"/>
          <w14:textFill>
            <w14:solidFill>
              <w14:schemeClr w14:val="tx1"/>
            </w14:solidFill>
          </w14:textFill>
        </w:rPr>
        <w:t>9</w:t>
      </w:r>
      <w:r>
        <w:rPr>
          <w:rFonts w:hint="eastAsia" w:asciiTheme="minorEastAsia" w:hAnsiTheme="minorEastAsia" w:eastAsiaTheme="minorEastAsia"/>
          <w:color w:val="000000" w:themeColor="text1"/>
          <w:kern w:val="0"/>
          <w:sz w:val="24"/>
          <w14:textFill>
            <w14:solidFill>
              <w14:schemeClr w14:val="tx1"/>
            </w14:solidFill>
          </w14:textFill>
        </w:rPr>
        <w:t>时</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30分</w:t>
      </w:r>
      <w:r>
        <w:rPr>
          <w:rFonts w:hint="eastAsia" w:asciiTheme="minorEastAsia" w:hAnsiTheme="minorEastAsia" w:eastAsiaTheme="minorEastAsia"/>
          <w:color w:val="000000" w:themeColor="text1"/>
          <w:kern w:val="0"/>
          <w:sz w:val="24"/>
          <w14:textFill>
            <w14:solidFill>
              <w14:schemeClr w14:val="tx1"/>
            </w14:solidFill>
          </w14:textFill>
        </w:rPr>
        <w:t>整</w:t>
      </w:r>
      <w:r>
        <w:rPr>
          <w:rFonts w:hint="eastAsia" w:cs="Arial" w:asciiTheme="minorEastAsia" w:hAnsiTheme="minorEastAsia" w:eastAsiaTheme="minorEastAsia"/>
          <w:color w:val="000000" w:themeColor="text1"/>
          <w:sz w:val="24"/>
          <w14:textFill>
            <w14:solidFill>
              <w14:schemeClr w14:val="tx1"/>
            </w14:solidFill>
          </w14:textFill>
        </w:rPr>
        <w:t>在台州市公共资源交易中心3楼306室第四开标室</w:t>
      </w:r>
      <w:r>
        <w:rPr>
          <w:rFonts w:hint="eastAsia" w:asciiTheme="minorEastAsia" w:hAnsiTheme="minorEastAsia" w:eastAsiaTheme="minorEastAsia"/>
          <w:color w:val="000000" w:themeColor="text1"/>
          <w:sz w:val="24"/>
          <w14:textFill>
            <w14:solidFill>
              <w14:schemeClr w14:val="tx1"/>
            </w14:solidFill>
          </w14:textFill>
        </w:rPr>
        <w:t>开</w:t>
      </w:r>
      <w:r>
        <w:rPr>
          <w:rFonts w:hint="eastAsia" w:cs="Arial" w:asciiTheme="minorEastAsia" w:hAnsiTheme="minorEastAsia" w:eastAsiaTheme="minorEastAsia"/>
          <w:color w:val="000000" w:themeColor="text1"/>
          <w:sz w:val="24"/>
          <w14:textFill>
            <w14:solidFill>
              <w14:schemeClr w14:val="tx1"/>
            </w14:solidFill>
          </w14:textFill>
        </w:rPr>
        <w:t>标，</w:t>
      </w:r>
      <w:r>
        <w:rPr>
          <w:rFonts w:hint="eastAsia" w:asciiTheme="minorEastAsia" w:hAnsiTheme="minorEastAsia" w:eastAsiaTheme="minorEastAsia"/>
          <w:color w:val="000000" w:themeColor="text1"/>
          <w:kern w:val="0"/>
          <w:sz w:val="24"/>
          <w14:textFill>
            <w14:solidFill>
              <w14:schemeClr w14:val="tx1"/>
            </w14:solidFill>
          </w14:textFill>
        </w:rPr>
        <w:t>请在开标当日</w:t>
      </w:r>
      <w:r>
        <w:rPr>
          <w:rFonts w:hint="eastAsia" w:cs="Arial" w:asciiTheme="minorEastAsia" w:hAnsiTheme="minorEastAsia" w:eastAsiaTheme="minorEastAsia"/>
          <w:color w:val="000000" w:themeColor="text1"/>
          <w:sz w:val="24"/>
          <w14:textFill>
            <w14:solidFill>
              <w14:schemeClr w14:val="tx1"/>
            </w14:solidFill>
          </w14:textFill>
        </w:rPr>
        <w:t>09:</w:t>
      </w:r>
      <w:r>
        <w:rPr>
          <w:rFonts w:hint="eastAsia" w:cs="Arial" w:asciiTheme="minorEastAsia" w:hAnsiTheme="minorEastAsia" w:eastAsiaTheme="minorEastAsia"/>
          <w:color w:val="000000" w:themeColor="text1"/>
          <w:sz w:val="24"/>
          <w:lang w:val="en-US" w:eastAsia="zh-CN"/>
          <w14:textFill>
            <w14:solidFill>
              <w14:schemeClr w14:val="tx1"/>
            </w14:solidFill>
          </w14:textFill>
        </w:rPr>
        <w:t>3</w:t>
      </w:r>
      <w:r>
        <w:rPr>
          <w:rFonts w:hint="eastAsia" w:cs="Arial" w:asciiTheme="minorEastAsia" w:hAnsiTheme="minorEastAsia" w:eastAsiaTheme="minorEastAsia"/>
          <w:color w:val="000000" w:themeColor="text1"/>
          <w:sz w:val="24"/>
          <w14:textFill>
            <w14:solidFill>
              <w14:schemeClr w14:val="tx1"/>
            </w14:solidFill>
          </w14:textFill>
        </w:rPr>
        <w:t>0</w:t>
      </w:r>
      <w:r>
        <w:rPr>
          <w:rFonts w:hint="eastAsia" w:asciiTheme="minorEastAsia" w:hAnsiTheme="minorEastAsia" w:eastAsiaTheme="minorEastAsia"/>
          <w:color w:val="000000" w:themeColor="text1"/>
          <w:kern w:val="0"/>
          <w:sz w:val="24"/>
          <w14:textFill>
            <w14:solidFill>
              <w14:schemeClr w14:val="tx1"/>
            </w14:solidFill>
          </w14:textFill>
        </w:rPr>
        <w:t>至</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1</w:t>
      </w:r>
      <w:r>
        <w:rPr>
          <w:rFonts w:hint="eastAsia" w:cs="Arial" w:asciiTheme="minorEastAsia" w:hAnsiTheme="minorEastAsia" w:eastAsiaTheme="minorEastAsia"/>
          <w:color w:val="000000" w:themeColor="text1"/>
          <w:sz w:val="24"/>
          <w:lang w:val="en-US" w:eastAsia="zh-CN"/>
          <w14:textFill>
            <w14:solidFill>
              <w14:schemeClr w14:val="tx1"/>
            </w14:solidFill>
          </w14:textFill>
        </w:rPr>
        <w:t>0</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cs="Arial" w:asciiTheme="minorEastAsia" w:hAnsiTheme="minorEastAsia" w:eastAsiaTheme="minorEastAsia"/>
          <w:color w:val="000000" w:themeColor="text1"/>
          <w:sz w:val="24"/>
          <w:lang w:val="en-US" w:eastAsia="zh-CN"/>
          <w14:textFill>
            <w14:solidFill>
              <w14:schemeClr w14:val="tx1"/>
            </w14:solidFill>
          </w14:textFill>
        </w:rPr>
        <w:t>0</w:t>
      </w:r>
      <w:r>
        <w:rPr>
          <w:rFonts w:hint="eastAsia" w:cs="Arial" w:asciiTheme="minorEastAsia" w:hAnsiTheme="minorEastAsia" w:eastAsiaTheme="minorEastAsia"/>
          <w:color w:val="000000" w:themeColor="text1"/>
          <w:sz w:val="24"/>
          <w14:textFill>
            <w14:solidFill>
              <w14:schemeClr w14:val="tx1"/>
            </w14:solidFill>
          </w14:textFill>
        </w:rPr>
        <w:t>0</w:t>
      </w:r>
      <w:r>
        <w:rPr>
          <w:rFonts w:hint="eastAsia" w:cs="Arial" w:asciiTheme="minorEastAsia" w:hAnsiTheme="minorEastAsia" w:eastAsiaTheme="minorEastAsia"/>
          <w:color w:val="000000" w:themeColor="text1"/>
          <w:sz w:val="24"/>
          <w:lang w:eastAsia="zh-CN"/>
          <w14:textFill>
            <w14:solidFill>
              <w14:schemeClr w14:val="tx1"/>
            </w14:solidFill>
          </w14:textFill>
        </w:rPr>
        <w:t>将电子投标文件</w:t>
      </w:r>
      <w:r>
        <w:rPr>
          <w:rFonts w:hint="eastAsia" w:cs="Arial" w:asciiTheme="minorEastAsia" w:hAnsiTheme="minorEastAsia" w:eastAsiaTheme="minorEastAsia"/>
          <w:b/>
          <w:bCs/>
          <w:color w:val="000000" w:themeColor="text1"/>
          <w:sz w:val="24"/>
          <w:lang w:eastAsia="zh-CN"/>
          <w14:textFill>
            <w14:solidFill>
              <w14:schemeClr w14:val="tx1"/>
            </w14:solidFill>
          </w14:textFill>
        </w:rPr>
        <w:t>完</w:t>
      </w:r>
      <w:r>
        <w:rPr>
          <w:rFonts w:hint="eastAsia" w:cs="Arial" w:asciiTheme="minorEastAsia" w:hAnsiTheme="minorEastAsia" w:eastAsiaTheme="minorEastAsia"/>
          <w:b w:val="0"/>
          <w:bCs w:val="0"/>
          <w:color w:val="000000" w:themeColor="text1"/>
          <w:sz w:val="24"/>
          <w:lang w:eastAsia="zh-CN"/>
          <w14:textFill>
            <w14:solidFill>
              <w14:schemeClr w14:val="tx1"/>
            </w14:solidFill>
          </w14:textFill>
        </w:rPr>
        <w:t>成解密。</w:t>
      </w:r>
      <w:r>
        <w:rPr>
          <w:rFonts w:hint="eastAsia" w:ascii="宋体" w:hAnsi="宋体" w:eastAsia="宋体" w:cs="Arial"/>
          <w:b w:val="0"/>
          <w:bCs w:val="0"/>
          <w:color w:val="000000" w:themeColor="text1"/>
          <w:sz w:val="24"/>
          <w:u w:val="single"/>
          <w:lang w:val="en-US" w:eastAsia="zh-CN"/>
          <w14:textFill>
            <w14:solidFill>
              <w14:schemeClr w14:val="tx1"/>
            </w14:solidFill>
          </w14:textFill>
        </w:rPr>
        <w:t>于开标时间前请</w:t>
      </w:r>
      <w:r>
        <w:rPr>
          <w:rFonts w:hint="eastAsia" w:ascii="宋体" w:hAnsi="宋体" w:eastAsia="宋体"/>
          <w:b w:val="0"/>
          <w:bCs w:val="0"/>
          <w:color w:val="000000" w:themeColor="text1"/>
          <w:kern w:val="0"/>
          <w:sz w:val="24"/>
          <w14:textFill>
            <w14:solidFill>
              <w14:schemeClr w14:val="tx1"/>
            </w14:solidFill>
          </w14:textFill>
        </w:rPr>
        <w:t>将</w:t>
      </w:r>
      <w:r>
        <w:rPr>
          <w:rFonts w:hint="eastAsia" w:ascii="宋体" w:hAnsi="宋体" w:eastAsia="宋体"/>
          <w:b w:val="0"/>
          <w:bCs w:val="0"/>
          <w:color w:val="000000" w:themeColor="text1"/>
          <w:kern w:val="0"/>
          <w:sz w:val="24"/>
          <w:lang w:eastAsia="zh-CN"/>
          <w14:textFill>
            <w14:solidFill>
              <w14:schemeClr w14:val="tx1"/>
            </w14:solidFill>
          </w14:textFill>
        </w:rPr>
        <w:t>备份</w:t>
      </w:r>
      <w:r>
        <w:rPr>
          <w:rFonts w:hint="eastAsia" w:ascii="宋体" w:hAnsi="宋体"/>
          <w:b w:val="0"/>
          <w:bCs w:val="0"/>
          <w:color w:val="000000" w:themeColor="text1"/>
          <w:kern w:val="0"/>
          <w:sz w:val="24"/>
          <w:lang w:val="en-US" w:eastAsia="zh-CN"/>
          <w14:textFill>
            <w14:solidFill>
              <w14:schemeClr w14:val="tx1"/>
            </w14:solidFill>
          </w14:textFill>
        </w:rPr>
        <w:t>电子投标文件以邮寄的方式送达至项目负责人,联系地址及电话见下方，（备份电子文件单独</w:t>
      </w:r>
      <w:r>
        <w:rPr>
          <w:rFonts w:hint="eastAsia" w:ascii="宋体" w:hAnsi="宋体" w:eastAsia="宋体" w:cs="宋体"/>
          <w:b w:val="0"/>
          <w:bCs w:val="0"/>
          <w:color w:val="000000" w:themeColor="text1"/>
          <w:sz w:val="24"/>
          <w14:textFill>
            <w14:solidFill>
              <w14:schemeClr w14:val="tx1"/>
            </w14:solidFill>
          </w14:textFill>
        </w:rPr>
        <w:t>密封包装</w:t>
      </w:r>
      <w:r>
        <w:rPr>
          <w:rFonts w:hint="eastAsia" w:ascii="宋体" w:hAnsi="宋体" w:eastAsia="宋体" w:cs="宋体"/>
          <w:b w:val="0"/>
          <w:bCs w:val="0"/>
          <w:color w:val="000000" w:themeColor="text1"/>
          <w:sz w:val="24"/>
          <w:lang w:eastAsia="zh-CN"/>
          <w14:textFill>
            <w14:solidFill>
              <w14:schemeClr w14:val="tx1"/>
            </w14:solidFill>
          </w14:textFill>
        </w:rPr>
        <w:t>，包装</w:t>
      </w:r>
      <w:r>
        <w:rPr>
          <w:rFonts w:hint="eastAsia" w:ascii="宋体" w:hAnsi="宋体" w:eastAsia="宋体" w:cs="宋体"/>
          <w:b/>
          <w:bCs/>
          <w:color w:val="000000" w:themeColor="text1"/>
          <w:sz w:val="24"/>
          <w:lang w:eastAsia="zh-CN"/>
          <w14:textFill>
            <w14:solidFill>
              <w14:schemeClr w14:val="tx1"/>
            </w14:solidFill>
          </w14:textFill>
        </w:rPr>
        <w:t>（内或外）</w:t>
      </w:r>
      <w:r>
        <w:rPr>
          <w:rFonts w:hint="eastAsia" w:ascii="宋体" w:hAnsi="宋体" w:eastAsia="宋体" w:cs="宋体"/>
          <w:b w:val="0"/>
          <w:bCs w:val="0"/>
          <w:color w:val="000000" w:themeColor="text1"/>
          <w:sz w:val="24"/>
          <w:lang w:eastAsia="zh-CN"/>
          <w14:textFill>
            <w14:solidFill>
              <w14:schemeClr w14:val="tx1"/>
            </w14:solidFill>
          </w14:textFill>
        </w:rPr>
        <w:t>封口应加盖单位公章，</w:t>
      </w:r>
      <w:r>
        <w:rPr>
          <w:rFonts w:hint="eastAsia" w:ascii="宋体" w:hAnsi="宋体" w:cs="宋体"/>
          <w:b w:val="0"/>
          <w:bCs w:val="0"/>
          <w:color w:val="000000" w:themeColor="text1"/>
          <w:sz w:val="24"/>
          <w:lang w:eastAsia="zh-CN"/>
          <w14:textFill>
            <w14:solidFill>
              <w14:schemeClr w14:val="tx1"/>
            </w14:solidFill>
          </w14:textFill>
        </w:rPr>
        <w:t>可与演示电子文件与同寄</w:t>
      </w:r>
      <w:r>
        <w:rPr>
          <w:rFonts w:hint="eastAsia" w:ascii="宋体" w:hAnsi="宋体"/>
          <w:b w:val="0"/>
          <w:bCs w:val="0"/>
          <w:color w:val="000000" w:themeColor="text1"/>
          <w:kern w:val="0"/>
          <w:sz w:val="24"/>
          <w:lang w:val="en-US" w:eastAsia="zh-CN"/>
          <w14:textFill>
            <w14:solidFill>
              <w14:schemeClr w14:val="tx1"/>
            </w14:solidFill>
          </w14:textFill>
        </w:rPr>
        <w:t>，演示电子文件的</w:t>
      </w:r>
      <w:r>
        <w:rPr>
          <w:rFonts w:hint="eastAsia" w:ascii="宋体" w:hAnsi="宋体"/>
          <w:b w:val="0"/>
          <w:bCs w:val="0"/>
          <w:color w:val="000000" w:themeColor="text1"/>
          <w:kern w:val="0"/>
          <w:sz w:val="24"/>
          <w:lang w:eastAsia="zh-CN"/>
          <w14:textFill>
            <w14:solidFill>
              <w14:schemeClr w14:val="tx1"/>
            </w14:solidFill>
          </w14:textFill>
        </w:rPr>
        <w:t>封装要求同备份电子文件</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b w:val="0"/>
          <w:bCs w:val="0"/>
          <w:color w:val="000000" w:themeColor="text1"/>
          <w:kern w:val="0"/>
          <w:sz w:val="24"/>
          <w14:textFill>
            <w14:solidFill>
              <w14:schemeClr w14:val="tx1"/>
            </w14:solidFill>
          </w14:textFill>
        </w:rPr>
        <w:t>逾期或不符合规定的</w:t>
      </w:r>
      <w:r>
        <w:rPr>
          <w:rFonts w:hint="eastAsia" w:ascii="宋体" w:hAnsi="宋体"/>
          <w:b w:val="0"/>
          <w:bCs w:val="0"/>
          <w:color w:val="000000" w:themeColor="text1"/>
          <w:kern w:val="0"/>
          <w:sz w:val="24"/>
          <w:lang w:eastAsia="zh-CN"/>
          <w14:textFill>
            <w14:solidFill>
              <w14:schemeClr w14:val="tx1"/>
            </w14:solidFill>
          </w14:textFill>
        </w:rPr>
        <w:t>电子投标文件</w:t>
      </w:r>
      <w:r>
        <w:rPr>
          <w:rFonts w:hint="eastAsia" w:ascii="宋体" w:hAnsi="宋体" w:eastAsia="宋体"/>
          <w:b w:val="0"/>
          <w:bCs w:val="0"/>
          <w:color w:val="000000" w:themeColor="text1"/>
          <w:kern w:val="0"/>
          <w:sz w:val="24"/>
          <w14:textFill>
            <w14:solidFill>
              <w14:schemeClr w14:val="tx1"/>
            </w14:solidFill>
          </w14:textFill>
        </w:rPr>
        <w:t>恕不接受。</w:t>
      </w:r>
      <w:r>
        <w:rPr>
          <w:rFonts w:hint="eastAsia" w:ascii="宋体" w:hAnsi="宋体"/>
          <w:b w:val="0"/>
          <w:bCs w:val="0"/>
          <w:color w:val="000000" w:themeColor="text1"/>
          <w:kern w:val="0"/>
          <w:sz w:val="24"/>
          <w:lang w:eastAsia="zh-CN"/>
          <w14:textFill>
            <w14:solidFill>
              <w14:schemeClr w14:val="tx1"/>
            </w14:solidFill>
          </w14:textFill>
        </w:rPr>
        <w:t>）</w:t>
      </w:r>
    </w:p>
    <w:p>
      <w:pPr>
        <w:pStyle w:val="2"/>
        <w:spacing w:line="360" w:lineRule="auto"/>
        <w:rPr>
          <w:rFonts w:hint="eastAsia" w:ascii="宋体" w:hAnsi="宋体" w:cs="宋体"/>
          <w:bCs/>
          <w:sz w:val="24"/>
          <w:lang w:eastAsia="zh-CN"/>
        </w:rPr>
      </w:pPr>
      <w:r>
        <w:rPr>
          <w:rFonts w:hint="eastAsia" w:ascii="宋体" w:hAnsi="宋体"/>
          <w:color w:val="000000" w:themeColor="text1"/>
          <w:kern w:val="0"/>
          <w:sz w:val="24"/>
          <w:lang w:eastAsia="zh-CN"/>
          <w14:textFill>
            <w14:solidFill>
              <w14:schemeClr w14:val="tx1"/>
            </w14:solidFill>
          </w14:textFill>
        </w:rPr>
        <w:t>注：</w:t>
      </w:r>
      <w:r>
        <w:rPr>
          <w:rFonts w:hint="eastAsia" w:ascii="宋体" w:hAnsi="宋体" w:eastAsia="宋体"/>
          <w:color w:val="000000" w:themeColor="text1"/>
          <w:kern w:val="0"/>
          <w:sz w:val="24"/>
          <w:lang w:eastAsia="zh-CN"/>
          <w14:textFill>
            <w14:solidFill>
              <w14:schemeClr w14:val="tx1"/>
            </w14:solidFill>
          </w14:textFill>
        </w:rPr>
        <w:t>备份</w:t>
      </w:r>
      <w:r>
        <w:rPr>
          <w:rFonts w:hint="eastAsia" w:ascii="宋体" w:hAnsi="宋体"/>
          <w:color w:val="000000" w:themeColor="text1"/>
          <w:kern w:val="0"/>
          <w:sz w:val="24"/>
          <w:lang w:eastAsia="zh-CN"/>
          <w14:textFill>
            <w14:solidFill>
              <w14:schemeClr w14:val="tx1"/>
            </w14:solidFill>
          </w14:textFill>
        </w:rPr>
        <w:t>电子投标文件：</w:t>
      </w:r>
      <w:r>
        <w:rPr>
          <w:rFonts w:hint="eastAsia" w:ascii="宋体" w:hAnsi="宋体" w:eastAsia="宋体" w:cs="宋体"/>
          <w:bCs/>
          <w:color w:val="000000" w:themeColor="text1"/>
          <w:sz w:val="24"/>
          <w14:textFill>
            <w14:solidFill>
              <w14:schemeClr w14:val="tx1"/>
            </w14:solidFill>
          </w14:textFill>
        </w:rPr>
        <w:t>通过“政采云”平台电子投标工具制作</w:t>
      </w:r>
      <w:r>
        <w:rPr>
          <w:rFonts w:hint="eastAsia" w:ascii="宋体" w:hAnsi="宋体" w:cs="宋体"/>
          <w:bCs/>
          <w:color w:val="000000" w:themeColor="text1"/>
          <w:sz w:val="24"/>
          <w:lang w:eastAsia="zh-CN"/>
          <w14:textFill>
            <w14:solidFill>
              <w14:schemeClr w14:val="tx1"/>
            </w14:solidFill>
          </w14:textFill>
        </w:rPr>
        <w:t>电子投标文件产</w:t>
      </w:r>
      <w:r>
        <w:rPr>
          <w:rFonts w:hint="eastAsia" w:ascii="宋体" w:hAnsi="宋体" w:cs="宋体"/>
          <w:bCs/>
          <w:sz w:val="24"/>
          <w:lang w:eastAsia="zh-CN"/>
        </w:rPr>
        <w:t>生的备份文件）</w:t>
      </w:r>
    </w:p>
    <w:p>
      <w:pPr>
        <w:pStyle w:val="8"/>
        <w:spacing w:line="360" w:lineRule="auto"/>
        <w:ind w:firstLine="480" w:firstLineChars="200"/>
        <w:rPr>
          <w:rFonts w:ascii="仿宋_GB2312" w:hAnsi="仿宋_GB2312" w:eastAsia="仿宋_GB2312" w:cs="仿宋_GB2312"/>
          <w:bCs/>
          <w:color w:val="000000" w:themeColor="text1"/>
          <w:kern w:val="0"/>
          <w:sz w:val="24"/>
          <w14:textFill>
            <w14:solidFill>
              <w14:schemeClr w14:val="tx1"/>
            </w14:solidFill>
          </w14:textFill>
        </w:rPr>
      </w:pPr>
      <w:r>
        <w:rPr>
          <w:rFonts w:hint="eastAsia" w:ascii="宋体" w:hAnsi="宋体" w:eastAsia="宋体"/>
          <w:color w:val="000000" w:themeColor="text1"/>
          <w:kern w:val="0"/>
          <w:sz w:val="24"/>
          <w:lang w:eastAsia="zh-CN"/>
          <w14:textFill>
            <w14:solidFill>
              <w14:schemeClr w14:val="tx1"/>
            </w14:solidFill>
          </w14:textFill>
        </w:rPr>
        <w:t>提示：因技术原因导致</w:t>
      </w:r>
      <w:r>
        <w:rPr>
          <w:rFonts w:hint="eastAsia" w:cs="Arial" w:asciiTheme="minorEastAsia" w:hAnsiTheme="minorEastAsia" w:eastAsiaTheme="minorEastAsia"/>
          <w:b/>
          <w:bCs/>
          <w:color w:val="000000" w:themeColor="text1"/>
          <w:sz w:val="24"/>
          <w:lang w:eastAsia="zh-CN"/>
          <w14:textFill>
            <w14:solidFill>
              <w14:schemeClr w14:val="tx1"/>
            </w14:solidFill>
          </w14:textFill>
        </w:rPr>
        <w:t>电子投标文件</w:t>
      </w:r>
      <w:r>
        <w:rPr>
          <w:rFonts w:hint="eastAsia" w:ascii="宋体" w:hAnsi="宋体" w:eastAsia="宋体" w:cs="Arial"/>
          <w:b/>
          <w:bCs/>
          <w:color w:val="000000" w:themeColor="text1"/>
          <w:sz w:val="24"/>
          <w:lang w:eastAsia="zh-CN"/>
          <w14:textFill>
            <w14:solidFill>
              <w14:schemeClr w14:val="tx1"/>
            </w14:solidFill>
          </w14:textFill>
        </w:rPr>
        <w:t>未</w:t>
      </w:r>
      <w:r>
        <w:rPr>
          <w:rFonts w:hint="eastAsia" w:ascii="宋体" w:hAnsi="宋体" w:cs="Arial"/>
          <w:b/>
          <w:bCs/>
          <w:color w:val="000000" w:themeColor="text1"/>
          <w:sz w:val="24"/>
          <w:lang w:eastAsia="zh-CN"/>
          <w14:textFill>
            <w14:solidFill>
              <w14:schemeClr w14:val="tx1"/>
            </w14:solidFill>
          </w14:textFill>
        </w:rPr>
        <w:t>能及时</w:t>
      </w:r>
      <w:r>
        <w:rPr>
          <w:rFonts w:hint="eastAsia" w:ascii="宋体" w:hAnsi="宋体" w:eastAsia="宋体" w:cs="Arial"/>
          <w:b/>
          <w:bCs/>
          <w:color w:val="000000" w:themeColor="text1"/>
          <w:sz w:val="24"/>
          <w:lang w:eastAsia="zh-CN"/>
          <w14:textFill>
            <w14:solidFill>
              <w14:schemeClr w14:val="tx1"/>
            </w14:solidFill>
          </w14:textFill>
        </w:rPr>
        <w:t>解密</w:t>
      </w:r>
      <w:r>
        <w:rPr>
          <w:rFonts w:hint="eastAsia" w:ascii="宋体" w:hAnsi="宋体" w:cs="Arial"/>
          <w:b/>
          <w:bCs/>
          <w:color w:val="000000" w:themeColor="text1"/>
          <w:sz w:val="24"/>
          <w:lang w:eastAsia="zh-CN"/>
          <w14:textFill>
            <w14:solidFill>
              <w14:schemeClr w14:val="tx1"/>
            </w14:solidFill>
          </w14:textFill>
        </w:rPr>
        <w:t>的</w:t>
      </w:r>
      <w:r>
        <w:rPr>
          <w:rFonts w:hint="eastAsia" w:ascii="宋体" w:hAnsi="宋体" w:eastAsia="宋体" w:cs="Arial"/>
          <w:color w:val="000000" w:themeColor="text1"/>
          <w:sz w:val="24"/>
          <w:lang w:eastAsia="zh-CN"/>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可联系</w:t>
      </w:r>
      <w:r>
        <w:rPr>
          <w:rFonts w:hint="eastAsia" w:ascii="宋体" w:hAnsi="宋体" w:eastAsia="宋体" w:cs="Arial"/>
          <w:color w:val="000000" w:themeColor="text1"/>
          <w:sz w:val="24"/>
          <w:lang w:eastAsia="zh-CN"/>
          <w14:textFill>
            <w14:solidFill>
              <w14:schemeClr w14:val="tx1"/>
            </w14:solidFill>
          </w14:textFill>
        </w:rPr>
        <w:t>我中心技术人员</w:t>
      </w:r>
      <w:r>
        <w:rPr>
          <w:rFonts w:hint="eastAsia" w:ascii="宋体" w:hAnsi="宋体" w:cs="Arial"/>
          <w:color w:val="000000" w:themeColor="text1"/>
          <w:sz w:val="24"/>
          <w:lang w:eastAsia="zh-CN"/>
          <w14:textFill>
            <w14:solidFill>
              <w14:schemeClr w14:val="tx1"/>
            </w14:solidFill>
          </w14:textFill>
        </w:rPr>
        <w:t>（陈工：</w:t>
      </w:r>
      <w:r>
        <w:rPr>
          <w:rFonts w:hint="eastAsia" w:ascii="宋体" w:hAnsi="宋体" w:cs="Arial"/>
          <w:color w:val="000000" w:themeColor="text1"/>
          <w:sz w:val="24"/>
          <w:lang w:val="en-US" w:eastAsia="zh-CN"/>
          <w14:textFill>
            <w14:solidFill>
              <w14:schemeClr w14:val="tx1"/>
            </w14:solidFill>
          </w14:textFill>
        </w:rPr>
        <w:t>15167606512</w:t>
      </w:r>
      <w:r>
        <w:rPr>
          <w:rFonts w:hint="eastAsia" w:ascii="宋体" w:hAnsi="宋体" w:cs="Arial"/>
          <w:color w:val="000000" w:themeColor="text1"/>
          <w:sz w:val="24"/>
          <w:lang w:eastAsia="zh-CN"/>
          <w14:textFill>
            <w14:solidFill>
              <w14:schemeClr w14:val="tx1"/>
            </w14:solidFill>
          </w14:textFill>
        </w:rPr>
        <w:t>）</w:t>
      </w:r>
      <w:r>
        <w:rPr>
          <w:rFonts w:hint="eastAsia" w:ascii="宋体" w:hAnsi="宋体" w:eastAsia="宋体" w:cs="Arial"/>
          <w:color w:val="000000" w:themeColor="text1"/>
          <w:sz w:val="24"/>
          <w:lang w:eastAsia="zh-CN"/>
          <w14:textFill>
            <w14:solidFill>
              <w14:schemeClr w14:val="tx1"/>
            </w14:solidFill>
          </w14:textFill>
        </w:rPr>
        <w:t>在采监处的监督下</w:t>
      </w:r>
      <w:r>
        <w:rPr>
          <w:rFonts w:hint="eastAsia" w:ascii="宋体" w:hAnsi="宋体" w:cs="Arial"/>
          <w:color w:val="000000" w:themeColor="text1"/>
          <w:sz w:val="24"/>
          <w:lang w:eastAsia="zh-CN"/>
          <w14:textFill>
            <w14:solidFill>
              <w14:schemeClr w14:val="tx1"/>
            </w14:solidFill>
          </w14:textFill>
        </w:rPr>
        <w:t>远程</w:t>
      </w:r>
      <w:r>
        <w:rPr>
          <w:rFonts w:hint="eastAsia" w:ascii="宋体" w:hAnsi="宋体" w:eastAsia="宋体" w:cs="Arial"/>
          <w:color w:val="000000" w:themeColor="text1"/>
          <w:sz w:val="24"/>
          <w:lang w:eastAsia="zh-CN"/>
          <w14:textFill>
            <w14:solidFill>
              <w14:schemeClr w14:val="tx1"/>
            </w14:solidFill>
          </w14:textFill>
        </w:rPr>
        <w:t>协助其完成解密。</w:t>
      </w:r>
      <w:r>
        <w:rPr>
          <w:rFonts w:hint="eastAsia" w:ascii="宋体" w:hAnsi="宋体" w:cs="Arial"/>
          <w:color w:val="000000" w:themeColor="text1"/>
          <w:sz w:val="24"/>
          <w:lang w:eastAsia="zh-CN"/>
          <w14:textFill>
            <w14:solidFill>
              <w14:schemeClr w14:val="tx1"/>
            </w14:solidFill>
          </w14:textFill>
        </w:rPr>
        <w:t>电子投标文件</w:t>
      </w:r>
      <w:r>
        <w:rPr>
          <w:rFonts w:hint="eastAsia" w:ascii="宋体" w:hAnsi="宋体" w:eastAsia="宋体" w:cs="Arial"/>
          <w:color w:val="000000" w:themeColor="text1"/>
          <w:sz w:val="24"/>
          <w:lang w:eastAsia="zh-CN"/>
          <w14:textFill>
            <w14:solidFill>
              <w14:schemeClr w14:val="tx1"/>
            </w14:solidFill>
          </w14:textFill>
        </w:rPr>
        <w:t>未按时</w:t>
      </w:r>
      <w:r>
        <w:rPr>
          <w:rFonts w:hint="eastAsia" w:ascii="宋体" w:hAnsi="宋体" w:cs="Arial"/>
          <w:color w:val="000000" w:themeColor="text1"/>
          <w:sz w:val="24"/>
          <w:lang w:eastAsia="zh-CN"/>
          <w14:textFill>
            <w14:solidFill>
              <w14:schemeClr w14:val="tx1"/>
            </w14:solidFill>
          </w14:textFill>
        </w:rPr>
        <w:t>完成</w:t>
      </w:r>
      <w:r>
        <w:rPr>
          <w:rFonts w:hint="eastAsia" w:ascii="宋体" w:hAnsi="宋体" w:eastAsia="宋体" w:cs="Arial"/>
          <w:color w:val="000000" w:themeColor="text1"/>
          <w:sz w:val="24"/>
          <w:lang w:eastAsia="zh-CN"/>
          <w14:textFill>
            <w14:solidFill>
              <w14:schemeClr w14:val="tx1"/>
            </w14:solidFill>
          </w14:textFill>
        </w:rPr>
        <w:t>解密，供应商提供了备份电子</w:t>
      </w:r>
      <w:r>
        <w:rPr>
          <w:rFonts w:hint="eastAsia" w:ascii="宋体" w:hAnsi="宋体" w:cs="Arial"/>
          <w:color w:val="000000" w:themeColor="text1"/>
          <w:sz w:val="24"/>
          <w:lang w:eastAsia="zh-CN"/>
          <w14:textFill>
            <w14:solidFill>
              <w14:schemeClr w14:val="tx1"/>
            </w14:solidFill>
          </w14:textFill>
        </w:rPr>
        <w:t>投标</w:t>
      </w:r>
      <w:r>
        <w:rPr>
          <w:rFonts w:hint="eastAsia" w:ascii="宋体" w:hAnsi="宋体" w:eastAsia="宋体" w:cs="Arial"/>
          <w:color w:val="000000" w:themeColor="text1"/>
          <w:sz w:val="24"/>
          <w:lang w:eastAsia="zh-CN"/>
          <w14:textFill>
            <w14:solidFill>
              <w14:schemeClr w14:val="tx1"/>
            </w14:solidFill>
          </w14:textFill>
        </w:rPr>
        <w:t>文件的，以备份电子</w:t>
      </w:r>
      <w:r>
        <w:rPr>
          <w:rFonts w:hint="eastAsia" w:ascii="宋体" w:hAnsi="宋体" w:cs="Arial"/>
          <w:color w:val="000000" w:themeColor="text1"/>
          <w:sz w:val="24"/>
          <w:lang w:eastAsia="zh-CN"/>
          <w14:textFill>
            <w14:solidFill>
              <w14:schemeClr w14:val="tx1"/>
            </w14:solidFill>
          </w14:textFill>
        </w:rPr>
        <w:t>投标</w:t>
      </w:r>
      <w:r>
        <w:rPr>
          <w:rFonts w:hint="eastAsia" w:ascii="宋体" w:hAnsi="宋体" w:eastAsia="宋体" w:cs="Arial"/>
          <w:color w:val="000000" w:themeColor="text1"/>
          <w:sz w:val="24"/>
          <w:lang w:eastAsia="zh-CN"/>
          <w14:textFill>
            <w14:solidFill>
              <w14:schemeClr w14:val="tx1"/>
            </w14:solidFill>
          </w14:textFill>
        </w:rPr>
        <w:t>文件作为依据，未提供备份电子</w:t>
      </w:r>
      <w:r>
        <w:rPr>
          <w:rFonts w:hint="eastAsia" w:ascii="宋体" w:hAnsi="宋体" w:cs="Arial"/>
          <w:color w:val="000000" w:themeColor="text1"/>
          <w:sz w:val="24"/>
          <w:lang w:eastAsia="zh-CN"/>
          <w14:textFill>
            <w14:solidFill>
              <w14:schemeClr w14:val="tx1"/>
            </w14:solidFill>
          </w14:textFill>
        </w:rPr>
        <w:t>投标</w:t>
      </w:r>
      <w:r>
        <w:rPr>
          <w:rFonts w:hint="eastAsia" w:ascii="宋体" w:hAnsi="宋体" w:eastAsia="宋体" w:cs="Arial"/>
          <w:color w:val="000000" w:themeColor="text1"/>
          <w:sz w:val="24"/>
          <w:lang w:eastAsia="zh-CN"/>
          <w14:textFill>
            <w14:solidFill>
              <w14:schemeClr w14:val="tx1"/>
            </w14:solidFill>
          </w14:textFill>
        </w:rPr>
        <w:t>文件的，视为放弃</w:t>
      </w:r>
      <w:r>
        <w:rPr>
          <w:rFonts w:hint="eastAsia" w:ascii="宋体" w:hAnsi="宋体" w:cs="Arial"/>
          <w:color w:val="000000" w:themeColor="text1"/>
          <w:sz w:val="24"/>
          <w:lang w:eastAsia="zh-CN"/>
          <w14:textFill>
            <w14:solidFill>
              <w14:schemeClr w14:val="tx1"/>
            </w14:solidFill>
          </w14:textFill>
        </w:rPr>
        <w:t>投标</w:t>
      </w:r>
      <w:r>
        <w:rPr>
          <w:rFonts w:hint="eastAsia" w:ascii="宋体" w:hAnsi="宋体" w:eastAsia="宋体" w:cs="Arial"/>
          <w:color w:val="000000" w:themeColor="text1"/>
          <w:sz w:val="24"/>
          <w:lang w:eastAsia="zh-CN"/>
          <w14:textFill>
            <w14:solidFill>
              <w14:schemeClr w14:val="tx1"/>
            </w14:solidFill>
          </w14:textFill>
        </w:rPr>
        <w:t>。</w:t>
      </w:r>
    </w:p>
    <w:p>
      <w:pPr>
        <w:snapToGrid w:val="0"/>
        <w:spacing w:line="360" w:lineRule="auto"/>
        <w:ind w:left="360"/>
        <w:rPr>
          <w:rFonts w:hint="eastAsia"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lang w:val="en-US" w:eastAsia="zh-CN"/>
          <w14:textFill>
            <w14:solidFill>
              <w14:schemeClr w14:val="tx1"/>
            </w14:solidFill>
          </w14:textFill>
        </w:rPr>
        <w:t>七、</w:t>
      </w:r>
      <w:r>
        <w:rPr>
          <w:rFonts w:hint="eastAsia" w:cs="Arial" w:asciiTheme="minorEastAsia" w:hAnsiTheme="minorEastAsia" w:eastAsiaTheme="minorEastAsia"/>
          <w:color w:val="000000" w:themeColor="text1"/>
          <w:sz w:val="24"/>
          <w14:textFill>
            <w14:solidFill>
              <w14:schemeClr w14:val="tx1"/>
            </w14:solidFill>
          </w14:textFill>
        </w:rPr>
        <w:t>投标保证金：</w:t>
      </w:r>
    </w:p>
    <w:p>
      <w:pPr>
        <w:snapToGrid w:val="0"/>
        <w:spacing w:line="360" w:lineRule="auto"/>
        <w:ind w:left="360"/>
        <w:rPr>
          <w:rFonts w:hint="eastAsia"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本项目投标保证金为零。</w:t>
      </w:r>
    </w:p>
    <w:p>
      <w:pPr>
        <w:snapToGrid w:val="0"/>
        <w:spacing w:line="360" w:lineRule="auto"/>
        <w:ind w:left="360"/>
        <w:rPr>
          <w:rFonts w:hint="eastAsia"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lang w:eastAsia="zh-CN"/>
          <w14:textFill>
            <w14:solidFill>
              <w14:schemeClr w14:val="tx1"/>
            </w14:solidFill>
          </w14:textFill>
        </w:rPr>
        <w:t>八、</w:t>
      </w:r>
      <w:r>
        <w:rPr>
          <w:rFonts w:hint="eastAsia" w:cs="Arial" w:asciiTheme="minorEastAsia" w:hAnsiTheme="minorEastAsia" w:eastAsiaTheme="minorEastAsia"/>
          <w:color w:val="000000" w:themeColor="text1"/>
          <w:sz w:val="24"/>
          <w14:textFill>
            <w14:solidFill>
              <w14:schemeClr w14:val="tx1"/>
            </w14:solidFill>
          </w14:textFill>
        </w:rPr>
        <w:t>投标与开标注意事项：</w:t>
      </w:r>
    </w:p>
    <w:p>
      <w:pPr>
        <w:pStyle w:val="11"/>
        <w:adjustRightInd w:val="0"/>
        <w:snapToGrid w:val="0"/>
        <w:spacing w:line="440" w:lineRule="exact"/>
        <w:ind w:firstLine="482" w:firstLineChars="201"/>
        <w:rPr>
          <w:rFonts w:hint="eastAsia" w:ascii="宋体" w:hAnsi="宋体" w:eastAsia="宋体" w:cs="宋体"/>
          <w:bCs/>
          <w:sz w:val="24"/>
        </w:rPr>
      </w:pPr>
      <w:r>
        <w:rPr>
          <w:rFonts w:hint="eastAsia" w:ascii="宋体" w:hAnsi="宋体" w:eastAsia="宋体" w:cs="宋体"/>
          <w:bCs/>
          <w:sz w:val="24"/>
        </w:rPr>
        <w:t>1.本项目实行</w:t>
      </w:r>
      <w:r>
        <w:rPr>
          <w:rFonts w:hint="eastAsia" w:hAnsi="宋体" w:eastAsia="宋体" w:cs="宋体"/>
          <w:bCs/>
          <w:color w:val="000000" w:themeColor="text1"/>
          <w:sz w:val="24"/>
          <w:lang w:eastAsia="zh-CN"/>
          <w14:textFill>
            <w14:solidFill>
              <w14:schemeClr w14:val="tx1"/>
            </w14:solidFill>
          </w14:textFill>
        </w:rPr>
        <w:t>电子采购</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sz w:val="24"/>
        </w:rPr>
        <w:t>采用电子投标文件。若供应商参与投标，自行承担投标一切费用。</w:t>
      </w:r>
    </w:p>
    <w:p>
      <w:pPr>
        <w:pStyle w:val="11"/>
        <w:adjustRightInd w:val="0"/>
        <w:snapToGrid w:val="0"/>
        <w:spacing w:line="440" w:lineRule="exact"/>
        <w:ind w:firstLine="482" w:firstLineChars="201"/>
        <w:rPr>
          <w:rFonts w:hint="eastAsia" w:ascii="宋体" w:hAnsi="宋体" w:eastAsia="宋体" w:cs="宋体"/>
          <w:bCs/>
          <w:sz w:val="24"/>
        </w:rPr>
      </w:pPr>
      <w:r>
        <w:rPr>
          <w:rFonts w:hint="eastAsia" w:ascii="宋体" w:hAnsi="宋体" w:eastAsia="宋体" w:cs="宋体"/>
          <w:bCs/>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pPr>
        <w:spacing w:line="440" w:lineRule="exact"/>
        <w:ind w:firstLine="360" w:firstLineChars="150"/>
        <w:rPr>
          <w:rFonts w:hint="eastAsia" w:ascii="宋体" w:hAnsi="宋体" w:eastAsia="宋体" w:cs="宋体"/>
          <w:bCs/>
          <w:sz w:val="24"/>
        </w:rPr>
      </w:pPr>
      <w:r>
        <w:rPr>
          <w:rFonts w:hint="eastAsia" w:ascii="宋体" w:hAnsi="宋体" w:eastAsia="宋体" w:cs="宋体"/>
          <w:bCs/>
          <w:sz w:val="24"/>
        </w:rPr>
        <w:t>3.</w:t>
      </w:r>
      <w:r>
        <w:rPr>
          <w:rFonts w:hint="eastAsia" w:ascii="宋体" w:hAnsi="宋体" w:cs="宋体"/>
          <w:bCs/>
          <w:sz w:val="24"/>
          <w:lang w:eastAsia="zh-CN"/>
        </w:rPr>
        <w:t>电子投标文件</w:t>
      </w:r>
      <w:r>
        <w:rPr>
          <w:rFonts w:hint="eastAsia" w:ascii="宋体" w:hAnsi="宋体" w:eastAsia="宋体" w:cs="宋体"/>
          <w:bCs/>
          <w:sz w:val="24"/>
        </w:rPr>
        <w:t>制作：</w:t>
      </w:r>
    </w:p>
    <w:p>
      <w:pPr>
        <w:spacing w:line="440" w:lineRule="exact"/>
        <w:ind w:firstLine="360" w:firstLineChars="150"/>
        <w:rPr>
          <w:rFonts w:hint="eastAsia" w:ascii="宋体" w:hAnsi="宋体" w:eastAsia="宋体" w:cs="宋体"/>
          <w:bCs/>
          <w:sz w:val="24"/>
        </w:rPr>
      </w:pPr>
      <w:r>
        <w:rPr>
          <w:rFonts w:hint="eastAsia" w:ascii="宋体" w:hAnsi="宋体" w:eastAsia="宋体" w:cs="宋体"/>
          <w:bCs/>
          <w:sz w:val="24"/>
        </w:rPr>
        <w:t>3.1应按照本项目招标文件和政采云平台的要求编制、加密并递交</w:t>
      </w:r>
      <w:r>
        <w:rPr>
          <w:rFonts w:hint="eastAsia" w:ascii="宋体" w:hAnsi="宋体" w:cs="宋体"/>
          <w:bCs/>
          <w:sz w:val="24"/>
          <w:lang w:eastAsia="zh-CN"/>
        </w:rPr>
        <w:t>电子投标文件</w:t>
      </w:r>
      <w:r>
        <w:rPr>
          <w:rFonts w:hint="eastAsia" w:ascii="宋体" w:hAnsi="宋体" w:eastAsia="宋体" w:cs="宋体"/>
          <w:bCs/>
          <w:sz w:val="24"/>
        </w:rPr>
        <w:t>。供应商在使用系统进行投标的过程中遇到涉及平台使用的任何问题，可致电政采云平台技术支持热线咨询，联系方式：400-881-7190。</w:t>
      </w:r>
    </w:p>
    <w:p>
      <w:pPr>
        <w:spacing w:line="440" w:lineRule="exact"/>
        <w:ind w:firstLine="360" w:firstLineChars="150"/>
        <w:rPr>
          <w:rFonts w:hint="eastAsia" w:ascii="宋体" w:hAnsi="宋体" w:eastAsia="宋体" w:cs="宋体"/>
          <w:bCs/>
          <w:sz w:val="24"/>
        </w:rPr>
      </w:pPr>
      <w:r>
        <w:rPr>
          <w:rFonts w:hint="eastAsia" w:ascii="宋体" w:hAnsi="宋体" w:eastAsia="宋体" w:cs="宋体"/>
          <w:bCs/>
          <w:sz w:val="24"/>
        </w:rPr>
        <w:t>3.2投标人通过“政采云”平台电子投标工具制作</w:t>
      </w:r>
      <w:r>
        <w:rPr>
          <w:rFonts w:hint="eastAsia" w:ascii="宋体" w:hAnsi="宋体" w:cs="宋体"/>
          <w:bCs/>
          <w:sz w:val="24"/>
          <w:lang w:eastAsia="zh-CN"/>
        </w:rPr>
        <w:t>电子投标文件</w:t>
      </w:r>
      <w:r>
        <w:rPr>
          <w:rFonts w:hint="eastAsia" w:ascii="宋体" w:hAnsi="宋体" w:eastAsia="宋体" w:cs="宋体"/>
          <w:bCs/>
          <w:sz w:val="24"/>
        </w:rPr>
        <w:t>，电子投标工具请供应商自行前往浙江省政府采购网下载并安装，（下载网址：http://www.zjzfcg.gov.cn/bidClientTemplate/2019-09-24/12975.html），</w:t>
      </w:r>
      <w:r>
        <w:rPr>
          <w:rFonts w:hint="eastAsia" w:ascii="宋体" w:hAnsi="宋体" w:cs="宋体"/>
          <w:bCs/>
          <w:sz w:val="24"/>
          <w:lang w:eastAsia="zh-CN"/>
        </w:rPr>
        <w:t>电子投标文件</w:t>
      </w:r>
      <w:r>
        <w:rPr>
          <w:rFonts w:hint="eastAsia" w:ascii="宋体" w:hAnsi="宋体" w:eastAsia="宋体" w:cs="宋体"/>
          <w:bCs/>
          <w:sz w:val="24"/>
        </w:rPr>
        <w:t>制作具体流程详见本招标公告附件：“政采云供应商项目采购-电子招投标操作指南.pdf”。</w:t>
      </w:r>
    </w:p>
    <w:p>
      <w:pPr>
        <w:pStyle w:val="2"/>
        <w:rPr>
          <w:rFonts w:hint="eastAsia"/>
        </w:rPr>
      </w:pPr>
      <w:r>
        <w:rPr>
          <w:rFonts w:hint="eastAsia"/>
          <w:b/>
          <w:bCs/>
          <w:sz w:val="24"/>
          <w:szCs w:val="24"/>
          <w:lang w:val="en-US" w:eastAsia="zh-CN"/>
        </w:rPr>
        <w:t>温馨提醒：供应商应提前上传，以便在上传时遇到技术问题，有充足的时间请教平台的技术人员。</w:t>
      </w:r>
    </w:p>
    <w:p>
      <w:pPr>
        <w:pStyle w:val="26"/>
        <w:rPr>
          <w:rFonts w:hint="eastAsia" w:eastAsia="微软雅黑"/>
          <w:lang w:eastAsia="zh-CN"/>
        </w:rPr>
      </w:pPr>
    </w:p>
    <w:p>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eastAsia="zh-CN"/>
        </w:rPr>
        <w:t>九</w:t>
      </w:r>
      <w:r>
        <w:rPr>
          <w:rFonts w:cs="Arial" w:asciiTheme="minorEastAsia" w:hAnsiTheme="minorEastAsia" w:eastAsiaTheme="minorEastAsia"/>
          <w:b/>
          <w:color w:val="000000"/>
          <w:sz w:val="24"/>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sz w:val="24"/>
        </w:rPr>
        <w:t>：</w:t>
      </w:r>
    </w:p>
    <w:p>
      <w:pPr>
        <w:spacing w:line="360" w:lineRule="auto"/>
        <w:ind w:firstLine="588" w:firstLineChars="245"/>
        <w:rPr>
          <w:rFonts w:ascii="宋体" w:hAnsi="宋体" w:cs="Arial"/>
          <w:sz w:val="24"/>
        </w:rPr>
      </w:pPr>
      <w:r>
        <w:rPr>
          <w:rFonts w:hint="eastAsia" w:cs="Arial" w:asciiTheme="minorEastAsia" w:hAnsiTheme="minorEastAsia" w:eastAsiaTheme="minorEastAsia"/>
          <w:color w:val="000000"/>
          <w:sz w:val="24"/>
        </w:rPr>
        <w:t>1、查询渠道：信用中国（网址：</w:t>
      </w:r>
      <w:r>
        <w:fldChar w:fldCharType="begin"/>
      </w:r>
      <w:r>
        <w:instrText xml:space="preserve"> HYPERLINK "http://www.creditchina.gov.cn" </w:instrText>
      </w:r>
      <w:r>
        <w:fldChar w:fldCharType="separate"/>
      </w:r>
      <w:r>
        <w:rPr>
          <w:rFonts w:cs="Arial" w:asciiTheme="minorEastAsia" w:hAnsiTheme="minorEastAsia" w:eastAsiaTheme="minorEastAsia"/>
          <w:color w:val="000000"/>
          <w:sz w:val="24"/>
        </w:rPr>
        <w:t>http://www.creditchina.gov.cn</w:t>
      </w:r>
      <w:r>
        <w:rPr>
          <w:rFonts w:cs="Arial" w:asciiTheme="minorEastAsia" w:hAnsiTheme="minorEastAsia" w:eastAsiaTheme="minorEastAsia"/>
          <w:color w:val="000000"/>
          <w:sz w:val="24"/>
        </w:rPr>
        <w:fldChar w:fldCharType="end"/>
      </w:r>
      <w:r>
        <w:rPr>
          <w:rFonts w:hint="eastAsia" w:cs="Arial" w:asciiTheme="minorEastAsia" w:hAnsiTheme="minorEastAsia" w:eastAsiaTheme="minorEastAsia"/>
          <w:color w:val="000000"/>
          <w:sz w:val="24"/>
        </w:rPr>
        <w:t>）、中国政府采购网(网址：</w:t>
      </w:r>
      <w:r>
        <w:rPr>
          <w:rFonts w:cs="Arial" w:asciiTheme="minorEastAsia" w:hAnsiTheme="minorEastAsia" w:eastAsiaTheme="minorEastAsia"/>
          <w:color w:val="000000"/>
          <w:sz w:val="24"/>
        </w:rPr>
        <w:t>http://www.ccgp.gov.cn</w:t>
      </w:r>
      <w:r>
        <w:rPr>
          <w:rFonts w:hint="eastAsia" w:cs="Arial" w:asciiTheme="minorEastAsia" w:hAnsiTheme="minorEastAsia" w:eastAsiaTheme="minorEastAsia"/>
          <w:color w:val="000000"/>
          <w:sz w:val="24"/>
        </w:rPr>
        <w:t>）、</w:t>
      </w:r>
      <w:r>
        <w:rPr>
          <w:rFonts w:hint="eastAsia" w:ascii="宋体" w:hAnsi="宋体" w:cs="Arial"/>
          <w:sz w:val="24"/>
        </w:rPr>
        <w:t>国家企业信用信息公示系统（http://www.gsxt.gov.cn/index.html）。</w:t>
      </w:r>
    </w:p>
    <w:p>
      <w:pPr>
        <w:snapToGrid w:val="0"/>
        <w:spacing w:line="360" w:lineRule="auto"/>
        <w:ind w:firstLine="480" w:firstLineChars="200"/>
        <w:rPr>
          <w:rFonts w:cs="Arial" w:asciiTheme="minorEastAsia" w:hAnsiTheme="minorEastAsia" w:eastAsiaTheme="minorEastAsia"/>
          <w:b/>
          <w:bCs/>
          <w:color w:val="000000"/>
          <w:sz w:val="24"/>
          <w:shd w:val="clear" w:color="FFFFFF" w:fill="D9D9D9"/>
        </w:rPr>
      </w:pPr>
      <w:r>
        <w:rPr>
          <w:rFonts w:hint="eastAsia" w:cs="Arial" w:asciiTheme="minorEastAsia" w:hAnsiTheme="minorEastAsia" w:eastAsiaTheme="minorEastAsia"/>
          <w:color w:val="000000"/>
          <w:sz w:val="24"/>
        </w:rPr>
        <w:t>2、截止时点：开标后评标前。</w:t>
      </w:r>
    </w:p>
    <w:p>
      <w:pPr>
        <w:snapToGrid w:val="0"/>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w:t>
      </w:r>
      <w:r>
        <w:rPr>
          <w:rFonts w:cs="Arial" w:asciiTheme="minorEastAsia" w:hAnsiTheme="minorEastAsia" w:eastAsiaTheme="minorEastAsia"/>
          <w:color w:val="000000"/>
          <w:sz w:val="24"/>
        </w:rPr>
        <w:t>信用信息查询记录和证据留存的具体方式</w:t>
      </w:r>
      <w:r>
        <w:rPr>
          <w:rFonts w:hint="eastAsia" w:cs="Arial" w:asciiTheme="minorEastAsia" w:hAnsiTheme="minorEastAsia" w:eastAsiaTheme="minorEastAsia"/>
          <w:color w:val="000000"/>
          <w:sz w:val="24"/>
        </w:rPr>
        <w:t>：由采购组织机构在规定查询时间内打印信用信息查询记录并归入项目档案。</w:t>
      </w:r>
    </w:p>
    <w:p>
      <w:pPr>
        <w:snapToGrid w:val="0"/>
        <w:spacing w:line="360" w:lineRule="auto"/>
        <w:ind w:firstLine="480" w:firstLineChars="200"/>
        <w:rPr>
          <w:rFonts w:hint="eastAsia"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sz w:val="24"/>
        </w:rPr>
        <w:t>将被</w:t>
      </w:r>
      <w:r>
        <w:rPr>
          <w:rFonts w:hint="eastAsia" w:cs="Arial" w:asciiTheme="minorEastAsia" w:hAnsiTheme="minorEastAsia" w:eastAsiaTheme="minorEastAsia"/>
          <w:color w:val="000000"/>
          <w:sz w:val="24"/>
        </w:rPr>
        <w:t>拒绝其参与政府采购活动。</w:t>
      </w:r>
    </w:p>
    <w:p>
      <w:pPr>
        <w:pStyle w:val="2"/>
        <w:numPr>
          <w:ilvl w:val="0"/>
          <w:numId w:val="0"/>
        </w:num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十</w:t>
      </w:r>
      <w:r>
        <w:rPr>
          <w:rFonts w:hint="eastAsia" w:ascii="宋体" w:hAnsi="宋体" w:eastAsia="宋体" w:cs="宋体"/>
          <w:b/>
          <w:bCs/>
          <w:color w:val="auto"/>
          <w:sz w:val="24"/>
          <w:szCs w:val="24"/>
          <w:lang w:val="en-US" w:eastAsia="zh-CN"/>
        </w:rPr>
        <w:t>、不见面开标直播</w:t>
      </w:r>
    </w:p>
    <w:p>
      <w:pPr>
        <w:pStyle w:val="2"/>
        <w:numPr>
          <w:ilvl w:val="0"/>
          <w:numId w:val="0"/>
        </w:numPr>
        <w:spacing w:line="360" w:lineRule="auto"/>
        <w:rPr>
          <w:rFonts w:hint="eastAsia"/>
        </w:rPr>
      </w:pPr>
      <w:r>
        <w:rPr>
          <w:rFonts w:hint="eastAsia" w:ascii="宋体" w:hAnsi="宋体" w:eastAsia="宋体" w:cs="宋体"/>
          <w:color w:val="auto"/>
          <w:sz w:val="24"/>
          <w:szCs w:val="24"/>
          <w:lang w:val="en-US" w:eastAsia="zh-CN"/>
        </w:rPr>
        <w:t xml:space="preserve">    本项目开评标环节实行全流程电子化，采取不见面钉钉直播开标，投标人可自行下载“钉钉软件”观看。（钉钉直播群号为：</w:t>
      </w:r>
      <w:r>
        <w:rPr>
          <w:rFonts w:hint="eastAsia" w:ascii="宋体" w:hAnsi="宋体" w:cs="宋体"/>
          <w:color w:val="auto"/>
          <w:sz w:val="24"/>
          <w:szCs w:val="24"/>
          <w:lang w:val="en-US" w:eastAsia="zh-CN"/>
        </w:rPr>
        <w:t>34424644</w:t>
      </w:r>
      <w:bookmarkStart w:id="1" w:name="_GoBack"/>
      <w:bookmarkEnd w:id="1"/>
      <w:r>
        <w:rPr>
          <w:rFonts w:hint="eastAsia" w:ascii="宋体" w:hAnsi="宋体" w:eastAsia="宋体" w:cs="宋体"/>
          <w:color w:val="auto"/>
          <w:sz w:val="24"/>
          <w:szCs w:val="24"/>
          <w:lang w:val="en-US" w:eastAsia="zh-CN"/>
        </w:rPr>
        <w:t>，投标人只能于开标当天9：00以后搜索到群号，并申请进群。）</w:t>
      </w:r>
    </w:p>
    <w:p>
      <w:pPr>
        <w:snapToGrid w:val="0"/>
        <w:spacing w:line="360" w:lineRule="auto"/>
        <w:ind w:firstLine="482" w:firstLineChars="200"/>
        <w:rPr>
          <w:rFonts w:ascii="宋体" w:hAnsi="宋体" w:cs="Arial"/>
          <w:sz w:val="24"/>
        </w:rPr>
      </w:pPr>
      <w:r>
        <w:rPr>
          <w:rFonts w:hint="eastAsia" w:cs="Arial" w:asciiTheme="minorEastAsia" w:hAnsiTheme="minorEastAsia" w:eastAsiaTheme="minorEastAsia"/>
          <w:b/>
          <w:bCs/>
          <w:sz w:val="24"/>
          <w:lang w:eastAsia="zh-CN"/>
        </w:rPr>
        <w:t>十一</w:t>
      </w:r>
      <w:r>
        <w:rPr>
          <w:rFonts w:cs="Arial" w:asciiTheme="minorEastAsia" w:hAnsiTheme="minorEastAsia" w:eastAsiaTheme="minorEastAsia"/>
          <w:b/>
          <w:bCs/>
          <w:sz w:val="24"/>
        </w:rPr>
        <w:t>、</w:t>
      </w:r>
      <w:r>
        <w:rPr>
          <w:rFonts w:hint="eastAsia" w:ascii="宋体" w:hAnsi="宋体" w:cs="Arial"/>
          <w:b/>
          <w:sz w:val="24"/>
        </w:rPr>
        <w:t>相关注意事项</w:t>
      </w:r>
      <w:r>
        <w:rPr>
          <w:rFonts w:hint="eastAsia" w:ascii="宋体" w:hAnsi="宋体" w:cs="Arial"/>
          <w:sz w:val="24"/>
        </w:rPr>
        <w:t>：</w:t>
      </w:r>
    </w:p>
    <w:p>
      <w:pPr>
        <w:snapToGrid w:val="0"/>
        <w:spacing w:line="360" w:lineRule="auto"/>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1、供应商认为采购文件使自己的权益受到损害的，可以自收到采购文件之日（获取截止日之后收到采购文件的，以获取截止日为准）起7个工作日内且应当在采购</w:t>
      </w:r>
      <w:r>
        <w:rPr>
          <w:rFonts w:hint="eastAsia" w:cs="Arial" w:asciiTheme="minorEastAsia" w:hAnsiTheme="minorEastAsia" w:eastAsiaTheme="minorEastAsia"/>
          <w:color w:val="000000" w:themeColor="text1"/>
          <w:sz w:val="24"/>
          <w:lang w:eastAsia="zh-CN"/>
          <w14:textFill>
            <w14:solidFill>
              <w14:schemeClr w14:val="tx1"/>
            </w14:solidFill>
          </w14:textFill>
        </w:rPr>
        <w:t>投标</w:t>
      </w:r>
      <w:r>
        <w:rPr>
          <w:rFonts w:hint="eastAsia" w:cs="Arial" w:asciiTheme="minorEastAsia" w:hAnsiTheme="minorEastAsia" w:eastAsiaTheme="minorEastAsia"/>
          <w:color w:val="000000" w:themeColor="text1"/>
          <w:sz w:val="24"/>
          <w14:textFill>
            <w14:solidFill>
              <w14:schemeClr w14:val="tx1"/>
            </w14:solidFill>
          </w14:textFill>
        </w:rPr>
        <w:t>截止时间之前，以书面形式一次性向采购人和集中采构机构提出同一环节的质疑。否则，被质疑人可不予接受。质疑供应商对采购人、集中采构机构的答复不满意或者采购人、集中采构机构未在规定的时间内作出答复的，可以在答复期满后十五个工作日内向同级政府采购监督管理部门投诉。</w:t>
      </w:r>
    </w:p>
    <w:p>
      <w:pPr>
        <w:spacing w:line="360" w:lineRule="auto"/>
        <w:ind w:firstLine="480" w:firstLineChars="200"/>
        <w:rPr>
          <w:rFonts w:ascii="宋体" w:hAnsi="宋体" w:cs="Arial"/>
          <w:sz w:val="24"/>
        </w:rPr>
      </w:pPr>
      <w:r>
        <w:rPr>
          <w:rFonts w:hint="eastAsia" w:ascii="宋体" w:hAnsi="宋体" w:cs="Arial"/>
          <w:sz w:val="24"/>
        </w:rPr>
        <w:t>2、根据《浙江省政府采购供应商注册及诚信管理暂行办法》浙财采监【2009】28号文件，请各投标供应商及时办理浙江政府采购网“政府采购供应商注册”手续。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cs="Arial" w:asciiTheme="minorEastAsia" w:hAnsiTheme="minorEastAsia" w:eastAsiaTheme="minorEastAsia"/>
          <w:color w:val="000000" w:themeColor="text1"/>
          <w:sz w:val="24"/>
          <w14:textFill>
            <w14:solidFill>
              <w14:schemeClr w14:val="tx1"/>
            </w14:solidFill>
          </w14:textFill>
        </w:rPr>
        <w:t>参与政府采购项目的注册供应商，</w:t>
      </w:r>
      <w:r>
        <w:rPr>
          <w:rFonts w:hint="eastAsia" w:cs="Arial" w:asciiTheme="minorEastAsia" w:hAnsiTheme="minorEastAsia" w:eastAsiaTheme="minorEastAsia"/>
          <w:color w:val="000000" w:themeColor="text1"/>
          <w:sz w:val="24"/>
          <w14:textFill>
            <w14:solidFill>
              <w14:schemeClr w14:val="tx1"/>
            </w14:solidFill>
          </w14:textFill>
        </w:rPr>
        <w:t>需登录浙江省政府采购网（</w:t>
      </w:r>
      <w:r>
        <w:fldChar w:fldCharType="begin"/>
      </w:r>
      <w:r>
        <w:instrText xml:space="preserve"> HYPERLINK "http://www.tzztb.com/tzcms/zfcg.jhtml" </w:instrText>
      </w:r>
      <w:r>
        <w:fldChar w:fldCharType="separate"/>
      </w:r>
      <w:r>
        <w:rPr>
          <w:rFonts w:hint="eastAsia" w:cs="Arial" w:asciiTheme="minorEastAsia" w:hAnsiTheme="minorEastAsia" w:eastAsiaTheme="minorEastAsia"/>
          <w:color w:val="000000" w:themeColor="text1"/>
          <w:sz w:val="24"/>
          <w14:textFill>
            <w14:solidFill>
              <w14:schemeClr w14:val="tx1"/>
            </w14:solidFill>
          </w14:textFill>
        </w:rPr>
        <w:t>http://www.zjzfcg.gov.cn</w:t>
      </w:r>
      <w:r>
        <w:rPr>
          <w:rFonts w:hint="eastAsia" w:cs="Arial" w:asciiTheme="minorEastAsia" w:hAnsiTheme="minorEastAsia" w:eastAsiaTheme="minorEastAsia"/>
          <w:color w:val="000000" w:themeColor="text1"/>
          <w:sz w:val="24"/>
          <w14:textFill>
            <w14:solidFill>
              <w14:schemeClr w14:val="tx1"/>
            </w14:solidFill>
          </w14:textFill>
        </w:rPr>
        <w:fldChar w:fldCharType="end"/>
      </w:r>
      <w:r>
        <w:rPr>
          <w:rFonts w:hint="eastAsia" w:cs="Arial" w:asciiTheme="minorEastAsia" w:hAnsiTheme="minorEastAsia" w:eastAsiaTheme="minorEastAsia"/>
          <w:color w:val="000000" w:themeColor="text1"/>
          <w:sz w:val="24"/>
          <w14:textFill>
            <w14:solidFill>
              <w14:schemeClr w14:val="tx1"/>
            </w14:solidFill>
          </w14:textFill>
        </w:rPr>
        <w:t>）进行网上报名；尚未注册的供应商应当先在浙江政府采购网上申请注册，注册后再进行网</w:t>
      </w:r>
      <w:r>
        <w:rPr>
          <w:rFonts w:cs="Arial" w:asciiTheme="minorEastAsia" w:hAnsiTheme="minorEastAsia" w:eastAsiaTheme="minorEastAsia"/>
          <w:color w:val="000000" w:themeColor="text1"/>
          <w:sz w:val="24"/>
          <w14:textFill>
            <w14:solidFill>
              <w14:schemeClr w14:val="tx1"/>
            </w14:solidFill>
          </w14:textFill>
        </w:rPr>
        <w:t>上报名</w:t>
      </w:r>
      <w:r>
        <w:rPr>
          <w:rFonts w:hint="eastAsia" w:cs="Arial"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 xml:space="preserve">4、本项目所有公告发布网站：“浙江省政府采购网”（http:// www.zjzfcg.gov.cn）和“台州市公共资源交易中心”（ </w:t>
      </w:r>
      <w:r>
        <w:fldChar w:fldCharType="begin"/>
      </w:r>
      <w:r>
        <w:instrText xml:space="preserve"> HYPERLINK "http://www.xjztb.cn" </w:instrText>
      </w:r>
      <w:r>
        <w:fldChar w:fldCharType="separate"/>
      </w:r>
      <w:r>
        <w:rPr>
          <w:rFonts w:hint="eastAsia" w:cs="Arial" w:asciiTheme="minorEastAsia" w:hAnsiTheme="minorEastAsia" w:eastAsiaTheme="minorEastAsia"/>
          <w:color w:val="000000" w:themeColor="text1"/>
          <w:sz w:val="24"/>
          <w14:textFill>
            <w14:solidFill>
              <w14:schemeClr w14:val="tx1"/>
            </w14:solidFill>
          </w14:textFill>
        </w:rPr>
        <w:t>http://www.tzztb.com</w:t>
      </w:r>
      <w:r>
        <w:rPr>
          <w:rFonts w:hint="eastAsia" w:cs="Arial" w:asciiTheme="minorEastAsia" w:hAnsiTheme="minorEastAsia" w:eastAsiaTheme="minorEastAsia"/>
          <w:color w:val="000000" w:themeColor="text1"/>
          <w:sz w:val="24"/>
          <w14:textFill>
            <w14:solidFill>
              <w14:schemeClr w14:val="tx1"/>
            </w14:solidFill>
          </w14:textFill>
        </w:rPr>
        <w:fldChar w:fldCharType="end"/>
      </w:r>
      <w:r>
        <w:rPr>
          <w:rFonts w:hint="eastAsia" w:cs="Arial" w:asciiTheme="minorEastAsia" w:hAnsiTheme="minorEastAsia" w:eastAsiaTheme="minorEastAsia"/>
          <w:color w:val="000000" w:themeColor="text1"/>
          <w:sz w:val="24"/>
          <w14:textFill>
            <w14:solidFill>
              <w14:schemeClr w14:val="tx1"/>
            </w14:solidFill>
          </w14:textFill>
        </w:rPr>
        <w:t>）。</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十</w:t>
      </w:r>
      <w:r>
        <w:rPr>
          <w:rFonts w:hint="eastAsia" w:asciiTheme="minorEastAsia" w:hAnsiTheme="minorEastAsia" w:eastAsiaTheme="minorEastAsia"/>
          <w:b/>
          <w:sz w:val="24"/>
          <w:lang w:eastAsia="zh-CN"/>
        </w:rPr>
        <w:t>二</w:t>
      </w:r>
      <w:r>
        <w:rPr>
          <w:rFonts w:hint="eastAsia" w:asciiTheme="minorEastAsia" w:hAnsiTheme="minorEastAsia" w:eastAsiaTheme="minorEastAsia"/>
          <w:b/>
          <w:sz w:val="24"/>
        </w:rPr>
        <w:t>、联系方式：</w:t>
      </w:r>
    </w:p>
    <w:p>
      <w:pPr>
        <w:spacing w:line="360" w:lineRule="auto"/>
        <w:rPr>
          <w:rFonts w:hint="eastAsia"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（一）集中采购机构</w:t>
      </w:r>
    </w:p>
    <w:p>
      <w:pPr>
        <w:snapToGrid w:val="0"/>
        <w:spacing w:line="360" w:lineRule="auto"/>
        <w:rPr>
          <w:rFonts w:hint="eastAsia" w:cs="Arial" w:asciiTheme="minorEastAsia" w:hAnsiTheme="minorEastAsia" w:eastAsiaTheme="minorEastAsia"/>
          <w:color w:val="000000" w:themeColor="text1"/>
          <w:sz w:val="24"/>
          <w:szCs w:val="24"/>
          <w:lang w:eastAsia="zh-CN"/>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项目联系人：</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陈女士</w:t>
      </w:r>
    </w:p>
    <w:p>
      <w:pPr>
        <w:snapToGrid w:val="0"/>
        <w:spacing w:line="360" w:lineRule="auto"/>
        <w:rPr>
          <w:rFonts w:hint="default" w:cs="Arial" w:asciiTheme="minorEastAsia" w:hAnsiTheme="minorEastAsia" w:eastAsiaTheme="minorEastAsia"/>
          <w:color w:val="000000" w:themeColor="text1"/>
          <w:sz w:val="24"/>
          <w:szCs w:val="24"/>
          <w:lang w:val="en-US"/>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联系电话：</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0576-88325299</w:t>
      </w:r>
      <w:r>
        <w:rPr>
          <w:rFonts w:hint="eastAsia" w:cs="Arial" w:asciiTheme="minorEastAsia" w:hAnsiTheme="minorEastAsia" w:eastAsiaTheme="minorEastAsia"/>
          <w:color w:val="000000" w:themeColor="text1"/>
          <w:sz w:val="24"/>
          <w:szCs w:val="24"/>
          <w14:textFill>
            <w14:solidFill>
              <w14:schemeClr w14:val="tx1"/>
            </w14:solidFill>
          </w14:textFill>
        </w:rPr>
        <w:t xml:space="preserve">    传真：</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0576-88685061</w:t>
      </w:r>
    </w:p>
    <w:p>
      <w:pPr>
        <w:snapToGrid w:val="0"/>
        <w:spacing w:line="360" w:lineRule="auto"/>
        <w:rPr>
          <w:rFonts w:hint="eastAsia" w:cs="Arial" w:asciiTheme="minorEastAsia" w:hAnsiTheme="minorEastAsia" w:eastAsiaTheme="minorEastAsia"/>
          <w:color w:val="000000" w:themeColor="text1"/>
          <w:sz w:val="24"/>
          <w:szCs w:val="24"/>
          <w:lang w:eastAsia="zh-CN"/>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窗口联系人：</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候女士</w:t>
      </w:r>
    </w:p>
    <w:p>
      <w:pPr>
        <w:snapToGrid w:val="0"/>
        <w:spacing w:line="360" w:lineRule="auto"/>
        <w:rPr>
          <w:rFonts w:hint="eastAsia"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联系电话：</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0576-88685121</w:t>
      </w:r>
      <w:r>
        <w:rPr>
          <w:rFonts w:hint="eastAsia" w:cs="Arial" w:asciiTheme="minorEastAsia" w:hAnsiTheme="minorEastAsia" w:eastAsiaTheme="minorEastAsia"/>
          <w:color w:val="000000" w:themeColor="text1"/>
          <w:sz w:val="24"/>
          <w:szCs w:val="24"/>
          <w14:textFill>
            <w14:solidFill>
              <w14:schemeClr w14:val="tx1"/>
            </w14:solidFill>
          </w14:textFill>
        </w:rPr>
        <w:t xml:space="preserve">  （受理供应商注册、中标结果相关质疑及答复） </w:t>
      </w:r>
    </w:p>
    <w:p>
      <w:pPr>
        <w:pStyle w:val="8"/>
        <w:spacing w:line="360" w:lineRule="auto"/>
        <w:rPr>
          <w:rFonts w:hint="eastAsia"/>
          <w:sz w:val="24"/>
          <w:szCs w:val="24"/>
          <w:lang w:val="en-US" w:eastAsia="zh-CN"/>
        </w:rPr>
      </w:pPr>
      <w:r>
        <w:rPr>
          <w:rFonts w:hint="eastAsia"/>
          <w:sz w:val="24"/>
          <w:szCs w:val="24"/>
          <w:lang w:val="en-US" w:eastAsia="zh-CN"/>
        </w:rPr>
        <w:t>平台技术人员联系人：陈先生</w:t>
      </w:r>
    </w:p>
    <w:p>
      <w:pPr>
        <w:pStyle w:val="8"/>
        <w:spacing w:line="360" w:lineRule="auto"/>
        <w:rPr>
          <w:rFonts w:hint="default"/>
          <w:sz w:val="24"/>
          <w:szCs w:val="24"/>
          <w:lang w:val="en-US" w:eastAsia="zh-CN"/>
        </w:rPr>
      </w:pPr>
      <w:r>
        <w:rPr>
          <w:rFonts w:hint="eastAsia"/>
          <w:sz w:val="24"/>
          <w:szCs w:val="24"/>
          <w:lang w:val="en-US" w:eastAsia="zh-CN"/>
        </w:rPr>
        <w:t>联系电话：0576-88685161</w:t>
      </w:r>
    </w:p>
    <w:p>
      <w:pPr>
        <w:spacing w:line="360" w:lineRule="auto"/>
        <w:jc w:val="left"/>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地址：</w:t>
      </w:r>
      <w:r>
        <w:rPr>
          <w:rFonts w:hint="eastAsia" w:asciiTheme="minorEastAsia" w:hAnsiTheme="minorEastAsia" w:eastAsiaTheme="minorEastAsia"/>
          <w:color w:val="000000" w:themeColor="text1"/>
          <w:kern w:val="0"/>
          <w:sz w:val="24"/>
          <w14:textFill>
            <w14:solidFill>
              <w14:schemeClr w14:val="tx1"/>
            </w14:solidFill>
          </w14:textFill>
        </w:rPr>
        <w:t>台州市市府大道777号台州市公共资源交易中心(电信大楼南面)</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14:textFill>
            <w14:solidFill>
              <w14:schemeClr w14:val="tx1"/>
            </w14:solidFill>
          </w14:textFill>
        </w:rPr>
        <w:t>06室</w:t>
      </w:r>
      <w:r>
        <w:rPr>
          <w:rFonts w:hint="eastAsia" w:asciiTheme="minorEastAsia" w:hAnsiTheme="minorEastAsia" w:eastAsiaTheme="minorEastAsia"/>
          <w:color w:val="000000" w:themeColor="text1"/>
          <w:kern w:val="0"/>
          <w:sz w:val="24"/>
          <w:szCs w:val="24"/>
          <w14:textFill>
            <w14:solidFill>
              <w14:schemeClr w14:val="tx1"/>
            </w14:solidFill>
          </w14:textFill>
        </w:rPr>
        <w:t xml:space="preserve">  </w:t>
      </w:r>
    </w:p>
    <w:p>
      <w:pPr>
        <w:snapToGrid w:val="0"/>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（二）采购人</w:t>
      </w:r>
      <w:r>
        <w:rPr>
          <w:rFonts w:hint="eastAsia" w:cs="Arial" w:asciiTheme="minorEastAsia" w:hAnsiTheme="minorEastAsia" w:eastAsiaTheme="minorEastAsia"/>
          <w:color w:val="000000" w:themeColor="text1"/>
          <w:sz w:val="24"/>
          <w:szCs w:val="24"/>
          <w14:textFill>
            <w14:solidFill>
              <w14:schemeClr w14:val="tx1"/>
            </w14:solidFill>
          </w14:textFill>
        </w:rPr>
        <w:t>（受理</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采购</w:t>
      </w:r>
      <w:r>
        <w:rPr>
          <w:rFonts w:hint="eastAsia" w:cs="Arial" w:asciiTheme="minorEastAsia" w:hAnsiTheme="minorEastAsia" w:eastAsiaTheme="minorEastAsia"/>
          <w:color w:val="000000" w:themeColor="text1"/>
          <w:sz w:val="24"/>
          <w:szCs w:val="24"/>
          <w14:textFill>
            <w14:solidFill>
              <w14:schemeClr w14:val="tx1"/>
            </w14:solidFill>
          </w14:textFill>
        </w:rPr>
        <w:t xml:space="preserve">文件相关质疑及答复） </w:t>
      </w:r>
    </w:p>
    <w:p>
      <w:pPr>
        <w:widowControl/>
        <w:tabs>
          <w:tab w:val="left" w:pos="0"/>
        </w:tabs>
        <w:spacing w:line="360" w:lineRule="auto"/>
        <w:ind w:left="0" w:leftChars="0" w:firstLine="0" w:firstLineChars="0"/>
        <w:rPr>
          <w:rFonts w:asciiTheme="minorEastAsia" w:hAnsiTheme="minorEastAsia" w:eastAsiaTheme="minorEastAsia"/>
          <w:sz w:val="24"/>
        </w:rPr>
      </w:pPr>
      <w:r>
        <w:rPr>
          <w:rFonts w:asciiTheme="minorEastAsia" w:hAnsiTheme="minorEastAsia" w:eastAsiaTheme="minorEastAsia"/>
          <w:sz w:val="24"/>
        </w:rPr>
        <w:t>采购</w:t>
      </w:r>
      <w:r>
        <w:rPr>
          <w:rFonts w:hint="eastAsia" w:asciiTheme="minorEastAsia" w:hAnsiTheme="minorEastAsia" w:eastAsiaTheme="minorEastAsia"/>
          <w:sz w:val="24"/>
        </w:rPr>
        <w:t>人</w:t>
      </w:r>
      <w:r>
        <w:rPr>
          <w:rFonts w:asciiTheme="minorEastAsia" w:hAnsiTheme="minorEastAsia" w:eastAsiaTheme="minorEastAsia"/>
          <w:sz w:val="24"/>
        </w:rPr>
        <w:t>名称：</w:t>
      </w:r>
      <w:r>
        <w:rPr>
          <w:rFonts w:hint="eastAsia" w:asciiTheme="minorEastAsia" w:hAnsiTheme="minorEastAsia" w:eastAsiaTheme="minorEastAsia"/>
          <w:sz w:val="24"/>
        </w:rPr>
        <w:t>台州市大数据发展中心</w:t>
      </w:r>
    </w:p>
    <w:p>
      <w:pPr>
        <w:widowControl/>
        <w:tabs>
          <w:tab w:val="left" w:pos="0"/>
        </w:tabs>
        <w:spacing w:line="360" w:lineRule="auto"/>
        <w:ind w:left="0" w:leftChars="0" w:firstLine="0" w:firstLineChars="0"/>
        <w:rPr>
          <w:rFonts w:asciiTheme="minorEastAsia" w:hAnsiTheme="minorEastAsia" w:eastAsiaTheme="minorEastAsia"/>
          <w:sz w:val="24"/>
        </w:rPr>
      </w:pPr>
      <w:r>
        <w:rPr>
          <w:rFonts w:asciiTheme="minorEastAsia" w:hAnsiTheme="minorEastAsia" w:eastAsiaTheme="minorEastAsia"/>
          <w:sz w:val="24"/>
        </w:rPr>
        <w:t>采购</w:t>
      </w:r>
      <w:r>
        <w:rPr>
          <w:rFonts w:hint="eastAsia" w:asciiTheme="minorEastAsia" w:hAnsiTheme="minorEastAsia" w:eastAsiaTheme="minorEastAsia"/>
          <w:sz w:val="24"/>
        </w:rPr>
        <w:t>人</w:t>
      </w:r>
      <w:r>
        <w:rPr>
          <w:rFonts w:asciiTheme="minorEastAsia" w:hAnsiTheme="minorEastAsia" w:eastAsiaTheme="minorEastAsia"/>
          <w:sz w:val="24"/>
        </w:rPr>
        <w:t>地址：</w:t>
      </w:r>
      <w:r>
        <w:rPr>
          <w:rFonts w:hint="eastAsia" w:asciiTheme="minorEastAsia" w:hAnsiTheme="minorEastAsia" w:eastAsiaTheme="minorEastAsia"/>
          <w:sz w:val="24"/>
        </w:rPr>
        <w:t>台州市市政府大楼</w:t>
      </w:r>
    </w:p>
    <w:p>
      <w:pPr>
        <w:widowControl/>
        <w:tabs>
          <w:tab w:val="left" w:pos="0"/>
        </w:tabs>
        <w:spacing w:line="360" w:lineRule="auto"/>
        <w:ind w:left="0" w:leftChars="0" w:firstLine="0" w:firstLineChars="0"/>
        <w:rPr>
          <w:rFonts w:asciiTheme="minorEastAsia" w:hAnsiTheme="minorEastAsia" w:eastAsiaTheme="minorEastAsia"/>
          <w:sz w:val="24"/>
        </w:rPr>
      </w:pPr>
      <w:r>
        <w:rPr>
          <w:rFonts w:asciiTheme="minorEastAsia" w:hAnsiTheme="minorEastAsia" w:eastAsiaTheme="minorEastAsia"/>
          <w:sz w:val="24"/>
        </w:rPr>
        <w:t>联系人：</w:t>
      </w:r>
      <w:r>
        <w:rPr>
          <w:rFonts w:hint="eastAsia" w:asciiTheme="minorEastAsia" w:hAnsiTheme="minorEastAsia" w:eastAsiaTheme="minorEastAsia"/>
          <w:sz w:val="24"/>
        </w:rPr>
        <w:t>黄先生   联系电话：0576-88511193</w:t>
      </w:r>
    </w:p>
    <w:p>
      <w:pPr>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（三）同级政府采购监督管理部门</w:t>
      </w:r>
    </w:p>
    <w:p>
      <w:pPr>
        <w:widowControl/>
        <w:tabs>
          <w:tab w:val="left" w:pos="0"/>
        </w:tabs>
        <w:spacing w:line="360" w:lineRule="auto"/>
        <w:ind w:left="0" w:leftChars="0" w:firstLine="0" w:firstLineChars="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名称：台州市财政局政府采购监管处</w:t>
      </w:r>
    </w:p>
    <w:p>
      <w:pPr>
        <w:widowControl/>
        <w:tabs>
          <w:tab w:val="left" w:pos="0"/>
        </w:tabs>
        <w:spacing w:line="360" w:lineRule="auto"/>
        <w:ind w:left="0" w:leftChars="0" w:firstLine="0" w:firstLineChars="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联系人：张先生                </w:t>
      </w:r>
    </w:p>
    <w:p>
      <w:pPr>
        <w:widowControl/>
        <w:tabs>
          <w:tab w:val="left" w:pos="0"/>
        </w:tabs>
        <w:spacing w:line="360" w:lineRule="auto"/>
        <w:ind w:left="0" w:leftChars="0" w:firstLine="0" w:firstLineChars="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监督投诉电话：0576-88206705     传真：0576-88206705</w:t>
      </w:r>
    </w:p>
    <w:p>
      <w:pPr>
        <w:widowControl/>
        <w:tabs>
          <w:tab w:val="left" w:pos="0"/>
        </w:tabs>
        <w:spacing w:line="360" w:lineRule="auto"/>
        <w:ind w:left="0" w:leftChars="0" w:firstLine="0" w:firstLineChars="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地址：台州市财政局</w:t>
      </w:r>
    </w:p>
    <w:p>
      <w:pPr>
        <w:pStyle w:val="2"/>
        <w:spacing w:line="360" w:lineRule="auto"/>
        <w:ind w:left="0" w:leftChars="0" w:firstLine="0" w:firstLineChars="0"/>
        <w:rPr>
          <w:rFonts w:hint="eastAsia" w:ascii="Arial" w:hAnsi="Arial" w:cs="Arial"/>
          <w:b w:val="0"/>
          <w:i w:val="0"/>
          <w:caps w:val="0"/>
          <w:color w:val="000000" w:themeColor="text1"/>
          <w:spacing w:val="0"/>
          <w:sz w:val="24"/>
          <w:szCs w:val="24"/>
          <w:shd w:val="clear" w:fill="FFFFFF"/>
          <w:lang w:val="en-US" w:eastAsia="zh-CN"/>
          <w14:textFill>
            <w14:solidFill>
              <w14:schemeClr w14:val="tx1"/>
            </w14:solidFill>
          </w14:textFill>
        </w:rPr>
      </w:pPr>
      <w:r>
        <w:rPr>
          <w:rFonts w:ascii="宋体" w:hAnsi="宋体" w:eastAsia="宋体" w:cs="宋体"/>
          <w:b/>
          <w:bCs/>
          <w:sz w:val="24"/>
          <w:szCs w:val="24"/>
        </w:rPr>
        <w:t>(四) 银行（</w:t>
      </w:r>
      <w:r>
        <w:rPr>
          <w:rFonts w:hint="eastAsia" w:ascii="宋体" w:hAnsi="宋体" w:cs="宋体"/>
          <w:b/>
          <w:bCs/>
          <w:sz w:val="24"/>
          <w:szCs w:val="24"/>
          <w:lang w:eastAsia="zh-CN"/>
        </w:rPr>
        <w:t>中标项目</w:t>
      </w:r>
      <w:r>
        <w:rPr>
          <w:rFonts w:ascii="宋体" w:hAnsi="宋体" w:eastAsia="宋体" w:cs="宋体"/>
          <w:b/>
          <w:bCs/>
          <w:sz w:val="24"/>
          <w:szCs w:val="24"/>
        </w:rPr>
        <w:t>贷款</w:t>
      </w:r>
      <w:r>
        <w:rPr>
          <w:rFonts w:hint="eastAsia" w:ascii="宋体" w:hAnsi="宋体" w:cs="宋体"/>
          <w:b/>
          <w:bCs/>
          <w:sz w:val="24"/>
          <w:szCs w:val="24"/>
          <w:lang w:eastAsia="zh-CN"/>
        </w:rPr>
        <w:t>咨询</w:t>
      </w:r>
      <w:r>
        <w:rPr>
          <w:rFonts w:ascii="宋体" w:hAnsi="宋体" w:eastAsia="宋体" w:cs="宋体"/>
          <w:b/>
          <w:bCs/>
          <w:sz w:val="24"/>
          <w:szCs w:val="24"/>
        </w:rPr>
        <w:t>）</w:t>
      </w:r>
      <w:r>
        <w:rPr>
          <w:rFonts w:ascii="宋体" w:hAnsi="宋体" w:eastAsia="宋体" w:cs="宋体"/>
          <w:b/>
          <w:bCs/>
          <w:sz w:val="24"/>
          <w:szCs w:val="24"/>
        </w:rPr>
        <w:br w:type="textWrapping"/>
      </w:r>
      <w:r>
        <w:rPr>
          <w:rFonts w:ascii="宋体" w:hAnsi="宋体" w:eastAsia="宋体" w:cs="宋体"/>
          <w:sz w:val="24"/>
          <w:szCs w:val="24"/>
        </w:rPr>
        <w:t>中标人可根据项目情况及自身需求向以下银行申请企业贷款，利率从优。</w:t>
      </w:r>
      <w:r>
        <w:rPr>
          <w:rFonts w:ascii="宋体" w:hAnsi="宋体" w:eastAsia="宋体" w:cs="宋体"/>
          <w:sz w:val="24"/>
          <w:szCs w:val="24"/>
        </w:rPr>
        <w:br w:type="textWrapping"/>
      </w:r>
      <w:r>
        <w:rPr>
          <w:rFonts w:ascii="宋体" w:hAnsi="宋体" w:eastAsia="宋体" w:cs="宋体"/>
          <w:sz w:val="24"/>
          <w:szCs w:val="24"/>
        </w:rPr>
        <w:t>中国建设银行  联系人：王颖    联系电话：88818255、13957686110；</w:t>
      </w:r>
      <w:r>
        <w:rPr>
          <w:rFonts w:ascii="宋体" w:hAnsi="宋体" w:eastAsia="宋体" w:cs="宋体"/>
          <w:sz w:val="24"/>
          <w:szCs w:val="24"/>
        </w:rPr>
        <w:br w:type="textWrapping"/>
      </w:r>
      <w:r>
        <w:rPr>
          <w:rFonts w:ascii="宋体" w:hAnsi="宋体" w:eastAsia="宋体" w:cs="宋体"/>
          <w:sz w:val="24"/>
          <w:szCs w:val="24"/>
        </w:rPr>
        <w:t>中国农业银行  联系人：龚盛    联系电话：15858682216；</w:t>
      </w:r>
      <w:r>
        <w:rPr>
          <w:rFonts w:ascii="宋体" w:hAnsi="宋体" w:eastAsia="宋体" w:cs="宋体"/>
          <w:sz w:val="24"/>
          <w:szCs w:val="24"/>
        </w:rPr>
        <w:br w:type="textWrapping"/>
      </w:r>
      <w:r>
        <w:rPr>
          <w:rFonts w:ascii="宋体" w:hAnsi="宋体" w:eastAsia="宋体" w:cs="宋体"/>
          <w:sz w:val="24"/>
          <w:szCs w:val="24"/>
        </w:rPr>
        <w:t>中国工商银行  联系人：王霖    联系电话：88588246、13857654562；</w:t>
      </w:r>
      <w:r>
        <w:rPr>
          <w:rFonts w:ascii="宋体" w:hAnsi="宋体" w:eastAsia="宋体" w:cs="宋体"/>
          <w:sz w:val="24"/>
          <w:szCs w:val="24"/>
        </w:rPr>
        <w:br w:type="textWrapping"/>
      </w:r>
      <w:r>
        <w:rPr>
          <w:rFonts w:ascii="宋体" w:hAnsi="宋体" w:eastAsia="宋体" w:cs="宋体"/>
          <w:sz w:val="24"/>
          <w:szCs w:val="24"/>
        </w:rPr>
        <w:t>中国银行    联系人：王海    联系电话：88702980、13857677798。</w:t>
      </w:r>
      <w:r>
        <w:rPr>
          <w:rFonts w:hint="eastAsia" w:ascii="Arial" w:hAnsi="Arial" w:cs="Arial"/>
          <w:b w:val="0"/>
          <w:i w:val="0"/>
          <w:caps w:val="0"/>
          <w:color w:val="000000" w:themeColor="text1"/>
          <w:spacing w:val="0"/>
          <w:sz w:val="19"/>
          <w:szCs w:val="19"/>
          <w:shd w:val="clear" w:fill="FFFFFF"/>
          <w:lang w:val="en-US" w:eastAsia="zh-CN"/>
          <w14:textFill>
            <w14:solidFill>
              <w14:schemeClr w14:val="tx1"/>
            </w14:solidFill>
          </w14:textFill>
        </w:rPr>
        <w:t xml:space="preserve">  </w:t>
      </w:r>
      <w:r>
        <w:rPr>
          <w:rFonts w:hint="eastAsia" w:ascii="Arial" w:hAnsi="Arial" w:cs="Arial"/>
          <w:b w:val="0"/>
          <w:i w:val="0"/>
          <w:caps w:val="0"/>
          <w:color w:val="000000" w:themeColor="text1"/>
          <w:spacing w:val="0"/>
          <w:sz w:val="24"/>
          <w:szCs w:val="24"/>
          <w:shd w:val="clear" w:fill="FFFFFF"/>
          <w:lang w:val="en-US" w:eastAsia="zh-CN"/>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color w:val="000000" w:themeColor="text1"/>
          <w:kern w:val="0"/>
          <w:sz w:val="24"/>
          <w:szCs w:val="24"/>
          <w14:textFill>
            <w14:solidFill>
              <w14:schemeClr w14:val="tx1"/>
            </w14:solidFill>
          </w14:textFill>
        </w:rPr>
      </w:pPr>
      <w:r>
        <w:rPr>
          <w:rFonts w:hint="eastAsia" w:ascii="Arial" w:hAnsi="Arial" w:cs="Arial"/>
          <w:b w:val="0"/>
          <w:i w:val="0"/>
          <w:caps w:val="0"/>
          <w:color w:val="000000" w:themeColor="text1"/>
          <w:spacing w:val="0"/>
          <w:sz w:val="24"/>
          <w:szCs w:val="24"/>
          <w:shd w:val="clear" w:fill="FFFFFF"/>
          <w:lang w:val="en-US" w:eastAsia="zh-CN"/>
          <w14:textFill>
            <w14:solidFill>
              <w14:schemeClr w14:val="tx1"/>
            </w14:solidFill>
          </w14:textFill>
        </w:rPr>
        <w:t xml:space="preserve">                                台州市政府采购中心</w:t>
      </w:r>
      <w:r>
        <w:rPr>
          <w:rFonts w:ascii="宋体"/>
          <w:color w:val="000000" w:themeColor="text1"/>
          <w:kern w:val="0"/>
          <w:sz w:val="24"/>
          <w:szCs w:val="24"/>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 xml:space="preserve"> </w:t>
      </w:r>
      <w:r>
        <w:rPr>
          <w:rFonts w:hint="eastAsia" w:ascii="宋体"/>
          <w:color w:val="000000" w:themeColor="text1"/>
          <w:kern w:val="0"/>
          <w:sz w:val="24"/>
          <w:szCs w:val="24"/>
          <w14:textFill>
            <w14:solidFill>
              <w14:schemeClr w14:val="tx1"/>
            </w14:solidFill>
          </w14:textFill>
        </w:rPr>
        <w:t xml:space="preserve">  </w:t>
      </w:r>
      <w:r>
        <w:rPr>
          <w:rFonts w:hint="eastAsia" w:ascii="宋体"/>
          <w:color w:val="000000" w:themeColor="text1"/>
          <w:kern w:val="0"/>
          <w:sz w:val="24"/>
          <w:szCs w:val="24"/>
          <w:lang w:val="en-US" w:eastAsia="zh-CN"/>
          <w14:textFill>
            <w14:solidFill>
              <w14:schemeClr w14:val="tx1"/>
            </w14:solidFill>
          </w14:textFill>
        </w:rPr>
        <w:t>2020</w:t>
      </w:r>
      <w:r>
        <w:rPr>
          <w:rFonts w:hint="eastAsia" w:ascii="宋体"/>
          <w:color w:val="000000" w:themeColor="text1"/>
          <w:kern w:val="0"/>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color w:val="000000" w:themeColor="text1"/>
          <w:kern w:val="0"/>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color w:val="000000" w:themeColor="text1"/>
          <w:kern w:val="0"/>
          <w:sz w:val="24"/>
          <w:szCs w:val="24"/>
          <w14:textFill>
            <w14:solidFill>
              <w14:schemeClr w14:val="tx1"/>
            </w14:solidFill>
          </w14:textFill>
        </w:rPr>
        <w:t>日</w:t>
      </w:r>
    </w:p>
    <w:p>
      <w:pPr>
        <w:pStyle w:val="2"/>
        <w:rPr>
          <w:rFonts w:hint="eastAsia" w:ascii="宋体"/>
          <w:color w:val="000000" w:themeColor="text1"/>
          <w:kern w:val="0"/>
          <w:sz w:val="24"/>
          <w:szCs w:val="24"/>
          <w14:textFill>
            <w14:solidFill>
              <w14:schemeClr w14:val="tx1"/>
            </w14:solidFill>
          </w14:textFill>
        </w:rPr>
      </w:pPr>
    </w:p>
    <w:p>
      <w:pPr>
        <w:pStyle w:val="2"/>
        <w:rPr>
          <w:rFonts w:hint="eastAsia" w:ascii="宋体"/>
          <w:color w:val="000000" w:themeColor="text1"/>
          <w:kern w:val="0"/>
          <w:sz w:val="24"/>
          <w:szCs w:val="24"/>
          <w14:textFill>
            <w14:solidFill>
              <w14:schemeClr w14:val="tx1"/>
            </w14:solidFill>
          </w14:textFill>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0"/>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54"/>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cstheme="majorEastAsia"/>
                <w:color w:val="000000"/>
                <w:sz w:val="24"/>
              </w:rPr>
            </w:pPr>
            <w:r>
              <w:rPr>
                <w:rFonts w:hint="eastAsia" w:cs="Arial" w:asciiTheme="minorEastAsia" w:hAnsiTheme="minorEastAsia" w:eastAsiaTheme="minorEastAsia"/>
                <w:color w:val="FF00FF"/>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lang w:val="en-US" w:eastAsia="zh-CN"/>
              </w:rPr>
              <w:t>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sz w:val="24"/>
                <w:lang w:eastAsia="zh-CN"/>
              </w:rPr>
              <w:t>电子</w:t>
            </w:r>
            <w:r>
              <w:rPr>
                <w:rFonts w:hint="eastAsia" w:asciiTheme="majorEastAsia" w:hAnsiTheme="majorEastAsia" w:eastAsiaTheme="majorEastAsia" w:cstheme="majorEastAsia"/>
                <w:color w:val="000000"/>
                <w:sz w:val="24"/>
              </w:rPr>
              <w:t>投标要求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lang w:eastAsia="zh-CN"/>
              </w:rPr>
              <w:t>投标</w:t>
            </w:r>
            <w:r>
              <w:rPr>
                <w:rFonts w:hint="eastAsia" w:ascii="宋体" w:hAnsi="宋体" w:eastAsia="宋体" w:cs="宋体"/>
                <w:color w:val="000000"/>
                <w:sz w:val="24"/>
                <w:lang w:eastAsia="zh-CN"/>
              </w:rPr>
              <w:t>人须</w:t>
            </w:r>
            <w:r>
              <w:rPr>
                <w:rFonts w:hint="eastAsia" w:ascii="宋体" w:hAnsi="宋体" w:eastAsia="宋体" w:cs="宋体"/>
                <w:color w:val="000000"/>
                <w:sz w:val="24"/>
                <w:szCs w:val="24"/>
              </w:rPr>
              <w:t>按照采购文件和电子交易平台的要求编制并加密</w:t>
            </w:r>
            <w:r>
              <w:rPr>
                <w:rFonts w:hint="eastAsia" w:ascii="宋体" w:hAnsi="宋体" w:eastAsia="宋体" w:cs="宋体"/>
                <w:color w:val="000000"/>
                <w:sz w:val="24"/>
                <w:szCs w:val="24"/>
                <w:lang w:eastAsia="zh-CN"/>
              </w:rPr>
              <w:t>电子</w:t>
            </w:r>
            <w:r>
              <w:rPr>
                <w:rFonts w:hint="eastAsia" w:ascii="宋体" w:hAnsi="宋体" w:cs="宋体"/>
                <w:color w:val="000000"/>
                <w:sz w:val="24"/>
                <w:szCs w:val="24"/>
                <w:lang w:eastAsia="zh-CN"/>
              </w:rPr>
              <w:t>投标</w:t>
            </w:r>
            <w:r>
              <w:rPr>
                <w:rFonts w:hint="eastAsia" w:ascii="宋体" w:hAnsi="宋体" w:eastAsia="宋体" w:cs="宋体"/>
                <w:color w:val="000000"/>
                <w:sz w:val="24"/>
                <w:szCs w:val="24"/>
              </w:rPr>
              <w:t>文件。</w:t>
            </w:r>
            <w:r>
              <w:rPr>
                <w:rFonts w:hint="eastAsia" w:ascii="宋体" w:hAnsi="宋体" w:eastAsia="宋体" w:cs="宋体"/>
                <w:color w:val="000000"/>
                <w:sz w:val="24"/>
              </w:rPr>
              <w:t>截止时间：北京时间20</w:t>
            </w:r>
            <w:r>
              <w:rPr>
                <w:rFonts w:hint="eastAsia" w:ascii="宋体" w:hAnsi="宋体" w:eastAsia="宋体" w:cs="Arial"/>
                <w:color w:val="FF00FF"/>
                <w:sz w:val="24"/>
                <w:lang w:val="en-US" w:eastAsia="zh-CN"/>
              </w:rPr>
              <w:t>20</w:t>
            </w:r>
            <w:r>
              <w:rPr>
                <w:rFonts w:hint="eastAsia" w:ascii="宋体" w:hAnsi="宋体" w:cs="宋体"/>
                <w:color w:val="000000"/>
                <w:sz w:val="24"/>
              </w:rPr>
              <w:t>年</w:t>
            </w:r>
            <w:r>
              <w:rPr>
                <w:rFonts w:hint="eastAsia" w:ascii="宋体" w:hAnsi="宋体" w:cs="Arial"/>
                <w:color w:val="FF00FF"/>
                <w:sz w:val="24"/>
                <w:lang w:val="en-US" w:eastAsia="zh-CN"/>
              </w:rPr>
              <w:t>5</w:t>
            </w:r>
            <w:r>
              <w:rPr>
                <w:rFonts w:hint="eastAsia" w:ascii="宋体" w:hAnsi="宋体" w:cs="Arial"/>
                <w:sz w:val="24"/>
              </w:rPr>
              <w:t>月</w:t>
            </w:r>
            <w:r>
              <w:rPr>
                <w:rFonts w:hint="eastAsia" w:ascii="宋体" w:hAnsi="宋体" w:cs="Arial"/>
                <w:sz w:val="24"/>
                <w:lang w:val="en-US" w:eastAsia="zh-CN"/>
              </w:rPr>
              <w:t>13</w:t>
            </w:r>
            <w:r>
              <w:rPr>
                <w:rFonts w:hint="eastAsia" w:ascii="宋体" w:hAnsi="宋体" w:cs="Arial"/>
                <w:sz w:val="24"/>
              </w:rPr>
              <w:t>日</w:t>
            </w:r>
            <w:r>
              <w:rPr>
                <w:rFonts w:hint="eastAsia" w:ascii="宋体" w:hAnsi="宋体" w:cs="Arial"/>
                <w:color w:val="FF00FF"/>
                <w:sz w:val="24"/>
              </w:rPr>
              <w:t>0</w:t>
            </w:r>
            <w:r>
              <w:rPr>
                <w:rFonts w:hint="eastAsia" w:ascii="宋体" w:hAnsi="宋体" w:cs="Arial"/>
                <w:color w:val="FF00FF"/>
                <w:sz w:val="24"/>
                <w:lang w:val="en-US" w:eastAsia="zh-CN"/>
              </w:rPr>
              <w:t>9</w:t>
            </w:r>
            <w:r>
              <w:rPr>
                <w:rFonts w:hint="eastAsia" w:ascii="宋体" w:hAnsi="宋体" w:cs="Arial"/>
                <w:color w:val="FF00FF"/>
                <w:sz w:val="24"/>
              </w:rPr>
              <w:t>:</w:t>
            </w:r>
            <w:r>
              <w:rPr>
                <w:rFonts w:hint="eastAsia" w:ascii="宋体" w:hAnsi="宋体" w:cs="Arial"/>
                <w:color w:val="FF00FF"/>
                <w:sz w:val="24"/>
                <w:lang w:val="en-US" w:eastAsia="zh-CN"/>
              </w:rPr>
              <w:t>3</w:t>
            </w:r>
            <w:r>
              <w:rPr>
                <w:rFonts w:hint="eastAsia" w:ascii="宋体" w:hAnsi="宋体" w:cs="Arial"/>
                <w:color w:val="FF00FF"/>
                <w:sz w:val="24"/>
              </w:rPr>
              <w:t>0</w:t>
            </w:r>
          </w:p>
          <w:p>
            <w:pPr>
              <w:pStyle w:val="19"/>
              <w:spacing w:line="360" w:lineRule="auto"/>
              <w:ind w:left="0" w:leftChars="0"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投标人应当在投标截止时间前完成</w:t>
            </w:r>
            <w:r>
              <w:rPr>
                <w:rFonts w:hint="eastAsia" w:ascii="宋体" w:hAnsi="宋体" w:cs="宋体"/>
                <w:color w:val="000000"/>
                <w:kern w:val="2"/>
                <w:sz w:val="24"/>
                <w:szCs w:val="24"/>
                <w:lang w:val="en-US" w:eastAsia="zh-CN" w:bidi="ar-SA"/>
              </w:rPr>
              <w:t>电子投标文件</w:t>
            </w:r>
            <w:r>
              <w:rPr>
                <w:rFonts w:hint="eastAsia" w:ascii="宋体" w:hAnsi="宋体" w:eastAsia="宋体" w:cs="宋体"/>
                <w:color w:val="000000"/>
                <w:kern w:val="2"/>
                <w:sz w:val="24"/>
                <w:szCs w:val="24"/>
                <w:lang w:val="en-US" w:eastAsia="zh-CN" w:bidi="ar-SA"/>
              </w:rPr>
              <w:t>的传输递交，并可以补充、修改或者撤回电子投标文件。补充或者修改电子投标文件的，应当先行撤回原文件，补充、修改后重新传输递交。投标截止时间前未完成传输的，视为撤回电子投标文件。逾期上传的</w:t>
            </w:r>
            <w:r>
              <w:rPr>
                <w:rFonts w:hint="eastAsia" w:ascii="宋体" w:hAnsi="宋体" w:cs="宋体"/>
                <w:color w:val="000000"/>
                <w:kern w:val="2"/>
                <w:sz w:val="24"/>
                <w:szCs w:val="24"/>
                <w:lang w:val="en-US" w:eastAsia="zh-CN" w:bidi="ar-SA"/>
              </w:rPr>
              <w:t>电子投标文件</w:t>
            </w:r>
            <w:r>
              <w:rPr>
                <w:rFonts w:hint="eastAsia" w:ascii="宋体" w:hAnsi="宋体" w:eastAsia="宋体" w:cs="宋体"/>
                <w:color w:val="000000"/>
                <w:kern w:val="2"/>
                <w:sz w:val="24"/>
                <w:szCs w:val="24"/>
                <w:lang w:val="en-US" w:eastAsia="zh-CN" w:bidi="ar-SA"/>
              </w:rPr>
              <w:t>恕不接受。</w:t>
            </w:r>
          </w:p>
          <w:p>
            <w:pPr>
              <w:pStyle w:val="19"/>
              <w:spacing w:line="360" w:lineRule="auto"/>
              <w:ind w:left="0" w:leftChars="0" w:firstLine="0" w:firstLineChars="0"/>
              <w:jc w:val="left"/>
              <w:rPr>
                <w:rFonts w:hint="eastAsia"/>
                <w:lang w:eastAsia="zh-CN"/>
              </w:rPr>
            </w:pPr>
            <w:r>
              <w:rPr>
                <w:rFonts w:hint="eastAsia"/>
                <w:b/>
                <w:bCs/>
                <w:sz w:val="24"/>
                <w:szCs w:val="24"/>
                <w:lang w:val="en-US" w:eastAsia="zh-CN"/>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lang w:val="en-US" w:eastAsia="zh-CN"/>
              </w:rPr>
              <w:t>4</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备份电子</w:t>
            </w:r>
            <w:r>
              <w:rPr>
                <w:rFonts w:hint="eastAsia" w:ascii="宋体" w:hAnsi="宋体" w:cs="宋体"/>
                <w:color w:val="000000"/>
                <w:sz w:val="24"/>
                <w:lang w:eastAsia="zh-CN"/>
              </w:rPr>
              <w:t>投标</w:t>
            </w:r>
          </w:p>
          <w:p>
            <w:pPr>
              <w:spacing w:line="360" w:lineRule="auto"/>
              <w:jc w:val="center"/>
              <w:rPr>
                <w:rFonts w:asciiTheme="majorEastAsia" w:hAnsiTheme="majorEastAsia" w:eastAsiaTheme="majorEastAsia" w:cstheme="majorEastAsia"/>
                <w:color w:val="000000"/>
                <w:sz w:val="24"/>
              </w:rPr>
            </w:pPr>
            <w:r>
              <w:rPr>
                <w:rFonts w:hint="eastAsia" w:ascii="宋体" w:hAnsi="宋体" w:eastAsia="宋体" w:cs="宋体"/>
                <w:color w:val="000000"/>
                <w:sz w:val="24"/>
              </w:rPr>
              <w:t>文件要求</w:t>
            </w:r>
          </w:p>
        </w:tc>
        <w:tc>
          <w:tcPr>
            <w:tcW w:w="62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以U盘或DVD光盘等介质存储的数据电文形式的备份</w:t>
            </w:r>
            <w:r>
              <w:rPr>
                <w:rFonts w:hint="eastAsia" w:ascii="宋体" w:hAnsi="宋体" w:eastAsia="宋体" w:cs="Arial"/>
                <w:color w:val="000000" w:themeColor="text1"/>
                <w:sz w:val="24"/>
                <w:szCs w:val="24"/>
                <w:lang w:eastAsia="zh-CN"/>
                <w14:textFill>
                  <w14:solidFill>
                    <w14:schemeClr w14:val="tx1"/>
                  </w14:solidFill>
                </w14:textFill>
              </w:rPr>
              <w:t>电子</w:t>
            </w:r>
            <w:r>
              <w:rPr>
                <w:rFonts w:hint="eastAsia" w:ascii="宋体" w:hAnsi="宋体" w:eastAsia="宋体" w:cs="Arial"/>
                <w:color w:val="000000" w:themeColor="text1"/>
                <w:sz w:val="24"/>
                <w:szCs w:val="24"/>
                <w14:textFill>
                  <w14:solidFill>
                    <w14:schemeClr w14:val="tx1"/>
                  </w14:solidFill>
                </w14:textFill>
              </w:rPr>
              <w:t>投标文件</w:t>
            </w:r>
            <w:r>
              <w:rPr>
                <w:rFonts w:hint="eastAsia" w:ascii="宋体" w:hAnsi="宋体" w:eastAsia="宋体" w:cs="Arial"/>
                <w:color w:val="000000" w:themeColor="text1"/>
                <w:sz w:val="24"/>
                <w:szCs w:val="24"/>
                <w:lang w:eastAsia="zh-CN"/>
                <w14:textFill>
                  <w14:solidFill>
                    <w14:schemeClr w14:val="tx1"/>
                  </w14:solidFill>
                </w14:textFill>
              </w:rPr>
              <w:t>（建议使用</w:t>
            </w:r>
            <w:r>
              <w:rPr>
                <w:rFonts w:hint="eastAsia" w:ascii="宋体" w:hAnsi="宋体" w:eastAsia="宋体" w:cs="Arial"/>
                <w:color w:val="000000" w:themeColor="text1"/>
                <w:sz w:val="24"/>
                <w:szCs w:val="24"/>
                <w14:textFill>
                  <w14:solidFill>
                    <w14:schemeClr w14:val="tx1"/>
                  </w14:solidFill>
                </w14:textFill>
              </w:rPr>
              <w:t>光盘</w:t>
            </w:r>
            <w:r>
              <w:rPr>
                <w:rFonts w:hint="eastAsia" w:ascii="宋体" w:hAnsi="宋体" w:eastAsia="宋体" w:cs="Arial"/>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可与演示电子文件同寄（</w:t>
            </w:r>
            <w:r>
              <w:rPr>
                <w:rFonts w:hint="eastAsia" w:ascii="宋体" w:hAnsi="宋体" w:eastAsia="宋体"/>
                <w:color w:val="000000" w:themeColor="text1"/>
                <w:kern w:val="0"/>
                <w:sz w:val="24"/>
                <w:lang w:eastAsia="zh-CN"/>
                <w14:textFill>
                  <w14:solidFill>
                    <w14:schemeClr w14:val="tx1"/>
                  </w14:solidFill>
                </w14:textFill>
              </w:rPr>
              <w:t>备份电子</w:t>
            </w:r>
            <w:r>
              <w:rPr>
                <w:rFonts w:hint="eastAsia" w:ascii="宋体" w:hAnsi="宋体"/>
                <w:color w:val="000000" w:themeColor="text1"/>
                <w:kern w:val="0"/>
                <w:sz w:val="24"/>
                <w:lang w:eastAsia="zh-CN"/>
                <w14:textFill>
                  <w14:solidFill>
                    <w14:schemeClr w14:val="tx1"/>
                  </w14:solidFill>
                </w14:textFill>
              </w:rPr>
              <w:t>投标</w:t>
            </w:r>
            <w:r>
              <w:rPr>
                <w:rFonts w:hint="eastAsia" w:ascii="宋体" w:hAnsi="宋体" w:eastAsia="宋体"/>
                <w:color w:val="000000" w:themeColor="text1"/>
                <w:kern w:val="0"/>
                <w:sz w:val="24"/>
                <w14:textFill>
                  <w14:solidFill>
                    <w14:schemeClr w14:val="tx1"/>
                  </w14:solidFill>
                </w14:textFill>
              </w:rPr>
              <w:t>文件</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通过“政采云”平台电子投标工具制作</w:t>
            </w:r>
            <w:r>
              <w:rPr>
                <w:rFonts w:hint="eastAsia" w:ascii="宋体" w:hAnsi="宋体" w:cs="宋体"/>
                <w:bCs/>
                <w:color w:val="000000" w:themeColor="text1"/>
                <w:sz w:val="24"/>
                <w:lang w:eastAsia="zh-CN"/>
                <w14:textFill>
                  <w14:solidFill>
                    <w14:schemeClr w14:val="tx1"/>
                  </w14:solidFill>
                </w14:textFill>
              </w:rPr>
              <w:t>电子投标文件产生的备份文件）</w:t>
            </w:r>
            <w:r>
              <w:rPr>
                <w:rFonts w:hint="eastAsia" w:ascii="宋体" w:hAnsi="宋体" w:eastAsia="宋体"/>
                <w:color w:val="000000" w:themeColor="text1"/>
                <w:kern w:val="0"/>
                <w:sz w:val="24"/>
                <w:szCs w:val="24"/>
                <w:u w:val="none"/>
                <w:lang w:eastAsia="zh-CN"/>
                <w14:textFill>
                  <w14:solidFill>
                    <w14:schemeClr w14:val="tx1"/>
                  </w14:solidFill>
                </w14:textFill>
              </w:rPr>
              <w:t>（采用邮寄的方式送达）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lang w:val="en-US" w:eastAsia="zh-CN"/>
              </w:rPr>
              <w:t>5</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eastAsia="zh-CN"/>
              </w:rPr>
              <w:t>备份电子</w:t>
            </w:r>
            <w:r>
              <w:rPr>
                <w:rFonts w:hint="eastAsia" w:asciiTheme="majorEastAsia" w:hAnsiTheme="majorEastAsia" w:eastAsiaTheme="majorEastAsia" w:cstheme="majorEastAsia"/>
                <w:color w:val="000000"/>
                <w:sz w:val="24"/>
              </w:rPr>
              <w:t>投标</w:t>
            </w:r>
          </w:p>
          <w:p>
            <w:pPr>
              <w:spacing w:line="360" w:lineRule="auto"/>
              <w:jc w:val="center"/>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rPr>
              <w:t>文件</w:t>
            </w:r>
            <w:r>
              <w:rPr>
                <w:rFonts w:hint="eastAsia" w:asciiTheme="majorEastAsia" w:hAnsiTheme="majorEastAsia" w:eastAsiaTheme="majorEastAsia" w:cstheme="majorEastAsia"/>
                <w:color w:val="000000"/>
                <w:sz w:val="24"/>
                <w:lang w:eastAsia="zh-CN"/>
              </w:rPr>
              <w:t>及演示电子文件</w:t>
            </w:r>
            <w:r>
              <w:rPr>
                <w:rFonts w:hint="eastAsia" w:asciiTheme="majorEastAsia" w:hAnsiTheme="majorEastAsia" w:eastAsiaTheme="majorEastAsia" w:cstheme="majorEastAsia"/>
                <w:color w:val="000000"/>
                <w:sz w:val="24"/>
              </w:rPr>
              <w:t>递交</w:t>
            </w:r>
          </w:p>
        </w:tc>
        <w:tc>
          <w:tcPr>
            <w:tcW w:w="6203"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hint="eastAsia"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截止时间：北京时间20</w:t>
            </w:r>
            <w:r>
              <w:rPr>
                <w:rFonts w:hint="eastAsia" w:ascii="宋体" w:hAnsi="宋体" w:cs="Arial"/>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日</w:t>
            </w:r>
            <w:r>
              <w:rPr>
                <w:rFonts w:hint="eastAsia" w:ascii="宋体" w:hAnsi="宋体" w:cs="Arial"/>
                <w:color w:val="000000" w:themeColor="text1"/>
                <w:sz w:val="24"/>
                <w:szCs w:val="24"/>
                <w:lang w:val="en-US" w:eastAsia="zh-CN"/>
                <w14:textFill>
                  <w14:solidFill>
                    <w14:schemeClr w14:val="tx1"/>
                  </w14:solidFill>
                </w14:textFill>
              </w:rPr>
              <w:t>16：30之前接收电子投标文件及演示电子文件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以上为最晚接收时间，供应商应提前留足时间，</w:t>
            </w:r>
            <w:r>
              <w:rPr>
                <w:rFonts w:hint="eastAsia" w:ascii="宋体" w:hAnsi="宋体" w:eastAsia="宋体"/>
                <w:b w:val="0"/>
                <w:bCs w:val="0"/>
                <w:color w:val="000000" w:themeColor="text1"/>
                <w:kern w:val="0"/>
                <w:sz w:val="24"/>
                <w:szCs w:val="24"/>
                <w14:textFill>
                  <w14:solidFill>
                    <w14:schemeClr w14:val="tx1"/>
                  </w14:solidFill>
                </w14:textFill>
              </w:rPr>
              <w:t>逾期或不符合规定的</w:t>
            </w:r>
            <w:r>
              <w:rPr>
                <w:rFonts w:hint="eastAsia" w:ascii="宋体" w:hAnsi="宋体"/>
                <w:b w:val="0"/>
                <w:bCs w:val="0"/>
                <w:color w:val="000000" w:themeColor="text1"/>
                <w:kern w:val="0"/>
                <w:sz w:val="24"/>
                <w:szCs w:val="24"/>
                <w:lang w:eastAsia="zh-CN"/>
                <w14:textFill>
                  <w14:solidFill>
                    <w14:schemeClr w14:val="tx1"/>
                  </w14:solidFill>
                </w14:textFill>
              </w:rPr>
              <w:t>电子备份投标</w:t>
            </w:r>
            <w:r>
              <w:rPr>
                <w:rFonts w:hint="eastAsia" w:ascii="宋体" w:hAnsi="宋体" w:eastAsia="宋体"/>
                <w:b w:val="0"/>
                <w:bCs w:val="0"/>
                <w:color w:val="000000" w:themeColor="text1"/>
                <w:kern w:val="0"/>
                <w:sz w:val="24"/>
                <w:szCs w:val="24"/>
                <w14:textFill>
                  <w14:solidFill>
                    <w14:schemeClr w14:val="tx1"/>
                  </w14:solidFill>
                </w14:textFill>
              </w:rPr>
              <w:t>文件</w:t>
            </w:r>
            <w:r>
              <w:rPr>
                <w:rFonts w:hint="eastAsia" w:ascii="宋体" w:hAnsi="宋体"/>
                <w:b w:val="0"/>
                <w:bCs w:val="0"/>
                <w:color w:val="000000" w:themeColor="text1"/>
                <w:kern w:val="0"/>
                <w:sz w:val="24"/>
                <w:szCs w:val="24"/>
                <w:lang w:eastAsia="zh-CN"/>
                <w14:textFill>
                  <w14:solidFill>
                    <w14:schemeClr w14:val="tx1"/>
                  </w14:solidFill>
                </w14:textFill>
              </w:rPr>
              <w:t>及演示电子文件</w:t>
            </w:r>
            <w:r>
              <w:rPr>
                <w:rFonts w:hint="eastAsia" w:ascii="宋体" w:hAnsi="宋体" w:eastAsia="宋体"/>
                <w:b w:val="0"/>
                <w:bCs w:val="0"/>
                <w:color w:val="000000" w:themeColor="text1"/>
                <w:kern w:val="0"/>
                <w:sz w:val="24"/>
                <w:szCs w:val="24"/>
                <w14:textFill>
                  <w14:solidFill>
                    <w14:schemeClr w14:val="tx1"/>
                  </w14:solidFill>
                </w14:textFill>
              </w:rPr>
              <w:t>恕不接受。</w:t>
            </w:r>
            <w:r>
              <w:rPr>
                <w:rFonts w:hint="eastAsia"/>
                <w:color w:val="000000" w:themeColor="text1"/>
                <w:sz w:val="24"/>
                <w:szCs w:val="24"/>
                <w:lang w:val="en-US" w:eastAsia="zh-CN"/>
                <w14:textFill>
                  <w14:solidFill>
                    <w14:schemeClr w14:val="tx1"/>
                  </w14:solidFill>
                </w14:textFill>
              </w:rPr>
              <w:t>）</w:t>
            </w:r>
          </w:p>
          <w:p>
            <w:pPr>
              <w:pStyle w:val="8"/>
              <w:spacing w:line="360" w:lineRule="auto"/>
              <w:rPr>
                <w:rFonts w:hint="eastAsia" w:ascii="宋体" w:hAnsi="宋体" w:eastAsia="宋体"/>
                <w:color w:val="000000" w:themeColor="text1"/>
                <w:kern w:val="0"/>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递交地点：</w:t>
            </w:r>
            <w:r>
              <w:rPr>
                <w:rFonts w:hint="eastAsia" w:ascii="宋体" w:hAnsi="宋体" w:eastAsia="宋体"/>
                <w:color w:val="000000" w:themeColor="text1"/>
                <w:kern w:val="0"/>
                <w:sz w:val="24"/>
                <w:szCs w:val="24"/>
                <w14:textFill>
                  <w14:solidFill>
                    <w14:schemeClr w14:val="tx1"/>
                  </w14:solidFill>
                </w14:textFill>
              </w:rPr>
              <w:t>台州市市府大道777号台州市公共资源交易中心(电信大楼南面)</w:t>
            </w:r>
            <w:r>
              <w:rPr>
                <w:rFonts w:hint="eastAsia" w:ascii="宋体" w:hAnsi="宋体"/>
                <w:color w:val="000000" w:themeColor="text1"/>
                <w:kern w:val="0"/>
                <w:sz w:val="24"/>
                <w:szCs w:val="24"/>
                <w:lang w:val="en-US" w:eastAsia="zh-CN"/>
                <w14:textFill>
                  <w14:solidFill>
                    <w14:schemeClr w14:val="tx1"/>
                  </w14:solidFill>
                </w14:textFill>
              </w:rPr>
              <w:t>5</w:t>
            </w:r>
            <w:r>
              <w:rPr>
                <w:rFonts w:hint="eastAsia" w:ascii="宋体" w:hAnsi="宋体" w:eastAsia="宋体"/>
                <w:color w:val="000000" w:themeColor="text1"/>
                <w:kern w:val="0"/>
                <w:sz w:val="24"/>
                <w:szCs w:val="24"/>
                <w14:textFill>
                  <w14:solidFill>
                    <w14:schemeClr w14:val="tx1"/>
                  </w14:solidFill>
                </w14:textFill>
              </w:rPr>
              <w:t>06室</w:t>
            </w:r>
            <w:r>
              <w:rPr>
                <w:rFonts w:hint="eastAsia" w:ascii="宋体" w:hAnsi="宋体" w:eastAsia="宋体"/>
                <w:color w:val="000000" w:themeColor="text1"/>
                <w:kern w:val="0"/>
                <w:sz w:val="24"/>
                <w:szCs w:val="24"/>
                <w:lang w:eastAsia="zh-CN"/>
                <w14:textFill>
                  <w14:solidFill>
                    <w14:schemeClr w14:val="tx1"/>
                  </w14:solidFill>
                </w14:textFill>
              </w:rPr>
              <w:t>（采用邮寄的方式送达）</w:t>
            </w:r>
          </w:p>
          <w:p>
            <w:pPr>
              <w:pStyle w:val="8"/>
              <w:spacing w:line="360" w:lineRule="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接收人：陈女士</w:t>
            </w:r>
          </w:p>
          <w:p>
            <w:pPr>
              <w:pStyle w:val="8"/>
              <w:spacing w:line="360" w:lineRule="auto"/>
              <w:rPr>
                <w:rFonts w:hint="eastAsia" w:asciiTheme="majorEastAsia" w:hAnsiTheme="majorEastAsia" w:eastAsiaTheme="majorEastAsia" w:cstheme="majorEastAsia"/>
                <w:b/>
                <w:bCs/>
                <w:color w:val="000000" w:themeColor="text1"/>
                <w:sz w:val="24"/>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递交文件封装要求：</w:t>
            </w:r>
            <w:r>
              <w:rPr>
                <w:rFonts w:hint="eastAsia" w:ascii="宋体" w:hAnsi="宋体" w:eastAsia="宋体" w:cs="宋体"/>
                <w:b w:val="0"/>
                <w:bCs w:val="0"/>
                <w:color w:val="000000" w:themeColor="text1"/>
                <w:sz w:val="24"/>
                <w:szCs w:val="24"/>
                <w14:textFill>
                  <w14:solidFill>
                    <w14:schemeClr w14:val="tx1"/>
                  </w14:solidFill>
                </w14:textFill>
              </w:rPr>
              <w:t>密封包装</w:t>
            </w:r>
            <w:r>
              <w:rPr>
                <w:rFonts w:hint="eastAsia" w:ascii="宋体" w:hAnsi="宋体" w:eastAsia="宋体" w:cs="宋体"/>
                <w:b w:val="0"/>
                <w:bCs w:val="0"/>
                <w:color w:val="000000" w:themeColor="text1"/>
                <w:sz w:val="24"/>
                <w:szCs w:val="24"/>
                <w:lang w:eastAsia="zh-CN"/>
                <w14:textFill>
                  <w14:solidFill>
                    <w14:schemeClr w14:val="tx1"/>
                  </w14:solidFill>
                </w14:textFill>
              </w:rPr>
              <w:t>，包装（内或外）封口</w:t>
            </w:r>
            <w:r>
              <w:rPr>
                <w:rFonts w:hint="eastAsia" w:ascii="宋体" w:hAnsi="宋体" w:cs="宋体"/>
                <w:b w:val="0"/>
                <w:bCs w:val="0"/>
                <w:color w:val="000000" w:themeColor="text1"/>
                <w:sz w:val="24"/>
                <w:szCs w:val="24"/>
                <w:lang w:eastAsia="zh-CN"/>
                <w14:textFill>
                  <w14:solidFill>
                    <w14:schemeClr w14:val="tx1"/>
                  </w14:solidFill>
                </w14:textFill>
              </w:rPr>
              <w:t>应由投标授权人用记号笔签字，并</w:t>
            </w:r>
            <w:r>
              <w:rPr>
                <w:rFonts w:hint="eastAsia" w:ascii="宋体" w:hAnsi="宋体" w:eastAsia="宋体" w:cs="宋体"/>
                <w:b w:val="0"/>
                <w:bCs w:val="0"/>
                <w:color w:val="000000" w:themeColor="text1"/>
                <w:sz w:val="24"/>
                <w:lang w:eastAsia="zh-CN"/>
                <w14:textFill>
                  <w14:solidFill>
                    <w14:schemeClr w14:val="tx1"/>
                  </w14:solidFill>
                </w14:textFill>
              </w:rPr>
              <w:t>加盖单位公章</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外包装上需写明编号、项目名称、标段号及投标公司全称。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lang w:val="en-US" w:eastAsia="zh-CN"/>
              </w:rPr>
              <w:t>6</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投标</w:t>
            </w:r>
            <w:r>
              <w:rPr>
                <w:rFonts w:hint="eastAsia" w:asciiTheme="majorEastAsia" w:hAnsiTheme="majorEastAsia" w:eastAsiaTheme="majorEastAsia" w:cstheme="majorEastAsia"/>
                <w:color w:val="000000"/>
                <w:sz w:val="24"/>
              </w:rPr>
              <w:t>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投标有效期为开标后90天，</w:t>
            </w:r>
            <w:r>
              <w:rPr>
                <w:rFonts w:hint="eastAsia" w:asciiTheme="majorEastAsia" w:hAnsiTheme="majorEastAsia" w:eastAsiaTheme="majorEastAsia" w:cstheme="majorEastAsia"/>
                <w:kern w:val="0"/>
                <w:sz w:val="24"/>
              </w:rPr>
              <w:t>投标有效期从提交</w:t>
            </w:r>
            <w:r>
              <w:rPr>
                <w:rFonts w:hint="eastAsia" w:asciiTheme="majorEastAsia" w:hAnsiTheme="majorEastAsia" w:eastAsiaTheme="majorEastAsia" w:cstheme="majorEastAsia"/>
                <w:kern w:val="0"/>
                <w:sz w:val="24"/>
                <w:lang w:eastAsia="zh-CN"/>
              </w:rPr>
              <w:t>电子投标文件</w:t>
            </w:r>
            <w:r>
              <w:rPr>
                <w:rFonts w:hint="eastAsia" w:asciiTheme="majorEastAsia" w:hAnsiTheme="majorEastAsia" w:eastAsiaTheme="majorEastAsia" w:cstheme="majorEastAsia"/>
                <w:kern w:val="0"/>
                <w:sz w:val="24"/>
              </w:rPr>
              <w:t>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lang w:val="en-US" w:eastAsia="zh-CN"/>
              </w:rPr>
              <w:t>7</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ascii="宋体" w:hAnsi="宋体" w:cs="Arial" w:eastAsiaTheme="majorEastAsia"/>
                <w:color w:val="FF00FF"/>
                <w:sz w:val="24"/>
                <w:lang w:val="en-US" w:eastAsia="zh-CN"/>
              </w:rPr>
              <w:t>20</w:t>
            </w:r>
            <w:r>
              <w:rPr>
                <w:rFonts w:hint="eastAsia" w:ascii="宋体" w:hAnsi="宋体" w:cs="宋体"/>
                <w:color w:val="000000"/>
                <w:sz w:val="24"/>
              </w:rPr>
              <w:t>年</w:t>
            </w:r>
            <w:r>
              <w:rPr>
                <w:rFonts w:hint="eastAsia" w:ascii="宋体" w:hAnsi="宋体" w:cs="Arial"/>
                <w:color w:val="FF00FF"/>
                <w:sz w:val="24"/>
                <w:lang w:val="en-US" w:eastAsia="zh-CN"/>
              </w:rPr>
              <w:t>5</w:t>
            </w:r>
            <w:r>
              <w:rPr>
                <w:rFonts w:hint="eastAsia" w:ascii="宋体" w:hAnsi="宋体" w:cs="Arial"/>
                <w:sz w:val="24"/>
              </w:rPr>
              <w:t>月</w:t>
            </w:r>
            <w:r>
              <w:rPr>
                <w:rFonts w:hint="eastAsia" w:ascii="宋体" w:hAnsi="宋体" w:cs="Arial"/>
                <w:color w:val="FF00FF"/>
                <w:sz w:val="24"/>
                <w:lang w:val="en-US" w:eastAsia="zh-CN"/>
              </w:rPr>
              <w:t>13</w:t>
            </w:r>
            <w:r>
              <w:rPr>
                <w:rFonts w:hint="eastAsia" w:ascii="宋体" w:hAnsi="宋体" w:cs="Arial"/>
                <w:sz w:val="24"/>
              </w:rPr>
              <w:t>日</w:t>
            </w:r>
            <w:r>
              <w:rPr>
                <w:rFonts w:hint="eastAsia" w:ascii="宋体" w:hAnsi="宋体" w:cs="Arial"/>
                <w:color w:val="FF00FF"/>
                <w:sz w:val="24"/>
              </w:rPr>
              <w:t>09:</w:t>
            </w:r>
            <w:r>
              <w:rPr>
                <w:rFonts w:hint="eastAsia" w:ascii="宋体" w:hAnsi="宋体" w:cs="Arial"/>
                <w:color w:val="FF00FF"/>
                <w:sz w:val="24"/>
                <w:lang w:val="en-US" w:eastAsia="zh-CN"/>
              </w:rPr>
              <w:t>3</w:t>
            </w:r>
            <w:r>
              <w:rPr>
                <w:rFonts w:hint="eastAsia" w:ascii="宋体" w:hAnsi="宋体" w:cs="Arial"/>
                <w:color w:val="FF00FF"/>
                <w:sz w:val="24"/>
              </w:rPr>
              <w:t>0</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w:t>
            </w:r>
            <w:r>
              <w:rPr>
                <w:rFonts w:hint="eastAsia" w:asciiTheme="minorEastAsia" w:hAnsiTheme="minorEastAsia" w:eastAsiaTheme="minorEastAsia"/>
                <w:kern w:val="0"/>
                <w:sz w:val="24"/>
              </w:rPr>
              <w:t>台州市市府大道777号台州市公共资源交易中心(电信大楼南面)三楼306室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lang w:val="en-US" w:eastAsia="zh-CN"/>
              </w:rPr>
              <w:t>8</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themeColor="text1"/>
                <w:sz w:val="24"/>
                <w14:textFill>
                  <w14:solidFill>
                    <w14:schemeClr w14:val="tx1"/>
                  </w14:solidFill>
                </w14:textFill>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lang w:val="en-US" w:eastAsia="zh-CN"/>
              </w:rPr>
              <w:t>9</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8"/>
              <w:rPr>
                <w:rFonts w:hint="default" w:eastAsia="宋体" w:asciiTheme="majorEastAsia" w:hAnsiTheme="majorEastAsia" w:cstheme="majorEastAsia"/>
                <w:color w:val="000000"/>
                <w:sz w:val="24"/>
                <w:szCs w:val="24"/>
                <w:lang w:val="en-US" w:eastAsia="zh-CN"/>
              </w:rPr>
            </w:pPr>
            <w:r>
              <w:rPr>
                <w:rFonts w:hint="eastAsia" w:asciiTheme="majorEastAsia" w:hAnsiTheme="majorEastAsia" w:cstheme="majorEastAsia"/>
                <w:color w:val="000000"/>
                <w:sz w:val="24"/>
                <w:szCs w:val="24"/>
                <w:lang w:val="en-US" w:eastAsia="zh-CN"/>
              </w:rPr>
              <w:t>中标后签订合同前5个工作日内，中标人需支付采购人合同金额的5%作为履约保证金，采购人在质保期满后5个工作日内退还。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lang w:val="en-US" w:eastAsia="zh-CN"/>
              </w:rPr>
              <w:t>10</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0" w:leftChars="0" w:firstLine="0" w:firstLineChars="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w:t>
            </w:r>
            <w:r>
              <w:rPr>
                <w:rFonts w:hint="eastAsia" w:asciiTheme="majorEastAsia" w:hAnsiTheme="majorEastAsia" w:eastAsiaTheme="majorEastAsia" w:cstheme="majorEastAsia"/>
                <w:bCs/>
                <w:color w:val="000000"/>
                <w:sz w:val="24"/>
                <w:lang w:eastAsia="zh-CN"/>
              </w:rPr>
              <w:t>电子投标文件</w:t>
            </w:r>
            <w:r>
              <w:rPr>
                <w:rFonts w:hint="eastAsia" w:asciiTheme="majorEastAsia" w:hAnsiTheme="majorEastAsia" w:eastAsiaTheme="majorEastAsia" w:cstheme="majorEastAsia"/>
                <w:bCs/>
                <w:color w:val="000000"/>
                <w:sz w:val="24"/>
              </w:rPr>
              <w:t>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lang w:val="en-US" w:eastAsia="zh-CN"/>
              </w:rPr>
              <w:t>11</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themeColor="text1"/>
                <w:sz w:val="24"/>
                <w14:textFill>
                  <w14:solidFill>
                    <w14:schemeClr w14:val="tx1"/>
                  </w14:solidFill>
                </w14:textFill>
              </w:rPr>
              <w:t>本招标文件解释权属于采购人和</w:t>
            </w:r>
            <w:r>
              <w:rPr>
                <w:rFonts w:hint="eastAsia" w:ascii="宋体" w:hAnsi="宋体" w:cs="Arial"/>
                <w:color w:val="000000" w:themeColor="text1"/>
                <w:sz w:val="24"/>
                <w14:textFill>
                  <w14:solidFill>
                    <w14:schemeClr w14:val="tx1"/>
                  </w14:solidFill>
                </w14:textFill>
              </w:rPr>
              <w:t>台州市政府采购中心</w:t>
            </w:r>
          </w:p>
        </w:tc>
      </w:tr>
    </w:tbl>
    <w:p>
      <w:pPr>
        <w:pStyle w:val="11"/>
        <w:snapToGrid w:val="0"/>
        <w:spacing w:before="120" w:after="120" w:line="360" w:lineRule="auto"/>
        <w:rPr>
          <w:rFonts w:hint="eastAsia" w:asciiTheme="minorEastAsia" w:hAnsiTheme="minorEastAsia" w:eastAsiaTheme="minorEastAsia"/>
          <w:b/>
          <w:sz w:val="24"/>
        </w:rPr>
      </w:pPr>
    </w:p>
    <w:p>
      <w:pPr>
        <w:pStyle w:val="11"/>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一 、总  则</w:t>
      </w:r>
    </w:p>
    <w:p>
      <w:pPr>
        <w:snapToGrid w:val="0"/>
        <w:spacing w:line="360" w:lineRule="auto"/>
        <w:ind w:firstLine="472" w:firstLineChars="196"/>
        <w:jc w:val="left"/>
        <w:outlineLvl w:val="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w:t>
      </w:r>
      <w:r>
        <w:rPr>
          <w:rFonts w:asciiTheme="minorEastAsia" w:hAnsiTheme="minorEastAsia" w:eastAsiaTheme="minorEastAsia"/>
          <w:b/>
          <w:color w:val="000000"/>
          <w:sz w:val="24"/>
        </w:rPr>
        <w:t xml:space="preserve"> 适用范围</w:t>
      </w: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asciiTheme="minorEastAsia" w:hAnsiTheme="minorEastAsia" w:eastAsiaTheme="minorEastAsia"/>
          <w:bCs/>
          <w:color w:val="000000"/>
          <w:sz w:val="24"/>
        </w:rPr>
        <w:t>本次</w:t>
      </w:r>
      <w:r>
        <w:rPr>
          <w:rFonts w:hint="eastAsia" w:asciiTheme="minorEastAsia" w:hAnsiTheme="minorEastAsia" w:eastAsiaTheme="minorEastAsia"/>
          <w:color w:val="000000"/>
          <w:sz w:val="24"/>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（二）定义</w:t>
      </w:r>
    </w:p>
    <w:p>
      <w:pPr>
        <w:pStyle w:val="4"/>
        <w:keepNext w:val="0"/>
        <w:keepLines w:val="0"/>
        <w:tabs>
          <w:tab w:val="left" w:pos="0"/>
          <w:tab w:val="left" w:pos="851"/>
        </w:tabs>
        <w:snapToGrid w:val="0"/>
        <w:spacing w:before="0" w:after="0"/>
        <w:ind w:firstLine="566" w:firstLineChars="236"/>
        <w:jc w:val="lef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color w:val="000000"/>
          <w:sz w:val="24"/>
          <w:szCs w:val="24"/>
        </w:rPr>
        <w:t>1、</w:t>
      </w:r>
      <w:r>
        <w:rPr>
          <w:rFonts w:hint="eastAsia"/>
          <w:b w:val="0"/>
          <w:bCs w:val="0"/>
          <w:sz w:val="24"/>
          <w:szCs w:val="24"/>
          <w:lang w:val="zh-CN"/>
        </w:rPr>
        <w:t>“采购组织机构”指采购人委托组织招标的集中采购机构</w:t>
      </w:r>
      <w:r>
        <w:rPr>
          <w:rFonts w:hint="eastAsia" w:cs="Arial"/>
          <w:b w:val="0"/>
          <w:bCs w:val="0"/>
          <w:color w:val="000000"/>
          <w:sz w:val="24"/>
          <w:szCs w:val="24"/>
        </w:rPr>
        <w:t>/</w:t>
      </w:r>
      <w:r>
        <w:rPr>
          <w:rFonts w:hint="eastAsia"/>
          <w:b w:val="0"/>
          <w:bCs w:val="0"/>
          <w:sz w:val="24"/>
          <w:szCs w:val="24"/>
          <w:lang w:val="zh-CN"/>
        </w:rPr>
        <w:t>采购代理机构。</w:t>
      </w:r>
    </w:p>
    <w:p>
      <w:pPr>
        <w:snapToGrid w:val="0"/>
        <w:spacing w:line="360" w:lineRule="auto"/>
        <w:ind w:firstLine="566" w:firstLineChars="236"/>
        <w:rPr>
          <w:rFonts w:asciiTheme="minorEastAsia" w:hAnsiTheme="minorEastAsia" w:eastAsiaTheme="minorEastAsia"/>
          <w:color w:val="000000"/>
          <w:sz w:val="24"/>
        </w:rPr>
      </w:pPr>
      <w:r>
        <w:rPr>
          <w:rFonts w:hint="eastAsia" w:asciiTheme="minorEastAsia" w:hAnsiTheme="minorEastAsia" w:eastAsiaTheme="minorEastAsia"/>
          <w:color w:val="000000"/>
          <w:sz w:val="24"/>
        </w:rPr>
        <w:t>2、采购人：是指委托</w:t>
      </w:r>
      <w:r>
        <w:rPr>
          <w:rFonts w:hint="eastAsia" w:ascii="宋体" w:hAnsi="宋体"/>
          <w:sz w:val="24"/>
          <w:lang w:val="zh-CN"/>
        </w:rPr>
        <w:t>集中采购机构</w:t>
      </w:r>
      <w:r>
        <w:rPr>
          <w:rFonts w:hint="eastAsia" w:ascii="宋体" w:hAnsi="宋体" w:cs="Arial"/>
          <w:color w:val="000000"/>
          <w:sz w:val="24"/>
        </w:rPr>
        <w:t>/</w:t>
      </w:r>
      <w:r>
        <w:rPr>
          <w:rFonts w:hint="eastAsia" w:asciiTheme="minorEastAsia" w:hAnsiTheme="minorEastAsia" w:eastAsiaTheme="minorEastAsia"/>
          <w:color w:val="000000"/>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投标人</w:t>
      </w:r>
      <w:r>
        <w:rPr>
          <w:rFonts w:hint="eastAsia" w:asciiTheme="minorEastAsia" w:hAnsiTheme="minorEastAsia" w:eastAsiaTheme="minorEastAsia"/>
          <w:color w:val="000000"/>
          <w:sz w:val="24"/>
        </w:rPr>
        <w:t>：是</w:t>
      </w:r>
      <w:r>
        <w:rPr>
          <w:rFonts w:asciiTheme="minorEastAsia" w:hAnsiTheme="minorEastAsia" w:eastAsiaTheme="minorEastAsia"/>
          <w:color w:val="000000"/>
          <w:sz w:val="24"/>
        </w:rPr>
        <w:t>指向</w:t>
      </w:r>
      <w:r>
        <w:rPr>
          <w:rFonts w:hint="eastAsia" w:asciiTheme="minorEastAsia" w:hAnsiTheme="minorEastAsia" w:eastAsiaTheme="minorEastAsia"/>
          <w:color w:val="000000"/>
          <w:sz w:val="24"/>
        </w:rPr>
        <w:t>采购</w:t>
      </w:r>
      <w:r>
        <w:rPr>
          <w:rFonts w:hint="eastAsia" w:ascii="宋体" w:hAnsi="宋体"/>
          <w:sz w:val="24"/>
          <w:lang w:val="zh-CN"/>
        </w:rPr>
        <w:t>组织</w:t>
      </w:r>
      <w:r>
        <w:rPr>
          <w:rFonts w:hint="eastAsia" w:asciiTheme="minorEastAsia" w:hAnsiTheme="minorEastAsia" w:eastAsiaTheme="minorEastAsia"/>
          <w:color w:val="000000"/>
          <w:sz w:val="24"/>
        </w:rPr>
        <w:t>机构</w:t>
      </w:r>
      <w:r>
        <w:rPr>
          <w:rFonts w:asciiTheme="minorEastAsia" w:hAnsiTheme="minorEastAsia" w:eastAsiaTheme="minorEastAsia"/>
          <w:color w:val="000000"/>
          <w:sz w:val="24"/>
        </w:rPr>
        <w:t>提交</w:t>
      </w:r>
      <w:r>
        <w:rPr>
          <w:rFonts w:hint="eastAsia" w:asciiTheme="minorEastAsia" w:hAnsiTheme="minorEastAsia" w:eastAsiaTheme="minorEastAsia"/>
          <w:color w:val="000000"/>
          <w:sz w:val="24"/>
          <w:lang w:eastAsia="zh-CN"/>
        </w:rPr>
        <w:t>电子投标文件</w:t>
      </w:r>
      <w:r>
        <w:rPr>
          <w:rFonts w:asciiTheme="minorEastAsia" w:hAnsiTheme="minorEastAsia" w:eastAsiaTheme="minorEastAsia"/>
          <w:color w:val="000000"/>
          <w:sz w:val="24"/>
        </w:rPr>
        <w:t>的单位或个人。</w:t>
      </w:r>
    </w:p>
    <w:p>
      <w:pPr>
        <w:snapToGrid w:val="0"/>
        <w:spacing w:line="360" w:lineRule="auto"/>
        <w:ind w:left="424" w:leftChars="202" w:firstLine="143"/>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货物</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color w:val="000000"/>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“书面形式”包括信函、传真等。</w:t>
      </w:r>
    </w:p>
    <w:p>
      <w:pPr>
        <w:snapToGrid w:val="0"/>
        <w:spacing w:line="360" w:lineRule="auto"/>
        <w:ind w:firstLine="566" w:firstLineChars="23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sz w:val="24"/>
        </w:rPr>
      </w:pPr>
      <w:r>
        <w:rPr>
          <w:rFonts w:hint="eastAsia" w:hAnsi="宋体"/>
          <w:b/>
          <w:sz w:val="24"/>
        </w:rPr>
        <w:t>（四）特别说明</w:t>
      </w:r>
    </w:p>
    <w:p>
      <w:pPr>
        <w:pStyle w:val="11"/>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2、投标供应商所投产品除招标文件中明确规定要求“提供官网截图或相应检测报告的证明材料”以外，所有技术参数描述均以</w:t>
      </w:r>
      <w:r>
        <w:rPr>
          <w:rFonts w:hint="eastAsia" w:asciiTheme="minorEastAsia" w:hAnsiTheme="minorEastAsia" w:eastAsiaTheme="minorEastAsia" w:cstheme="minorBidi"/>
          <w:sz w:val="24"/>
          <w:lang w:eastAsia="zh-CN"/>
        </w:rPr>
        <w:t>电子投标文件</w:t>
      </w:r>
      <w:r>
        <w:rPr>
          <w:rFonts w:hint="eastAsia" w:asciiTheme="minorEastAsia" w:hAnsiTheme="minorEastAsia" w:eastAsiaTheme="minorEastAsia" w:cstheme="minorBidi"/>
          <w:sz w:val="24"/>
        </w:rPr>
        <w:t>为准。投标供应商对所投产品技术参数的真实性承担法律责任。项目招标结束后、质疑期限内，如有质疑供应商认为中标供应商所投产品、</w:t>
      </w:r>
      <w:r>
        <w:rPr>
          <w:rFonts w:hint="eastAsia" w:asciiTheme="minorEastAsia" w:hAnsiTheme="minorEastAsia" w:eastAsiaTheme="minorEastAsia" w:cstheme="minorBidi"/>
          <w:sz w:val="24"/>
          <w:lang w:eastAsia="zh-CN"/>
        </w:rPr>
        <w:t>电子投标文件</w:t>
      </w:r>
      <w:r>
        <w:rPr>
          <w:rFonts w:hint="eastAsia" w:asciiTheme="minorEastAsia" w:hAnsiTheme="minorEastAsia" w:eastAsiaTheme="minorEastAsia" w:cstheme="minorBidi"/>
          <w:sz w:val="24"/>
        </w:rPr>
        <w:t>技术参数与招标需求存在重大偏离、错误、甚至造假的情况，应提供具体有效的证明材料。</w:t>
      </w:r>
      <w:r>
        <w:rPr>
          <w:rFonts w:hint="eastAsia" w:asciiTheme="minorEastAsia" w:hAnsiTheme="minorEastAsia" w:eastAsiaTheme="minorEastAsia" w:cstheme="minorBidi"/>
          <w:sz w:val="24"/>
        </w:rPr>
        <w:tab/>
      </w:r>
    </w:p>
    <w:p>
      <w:pPr>
        <w:pStyle w:val="28"/>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4"/>
        <w:keepNext w:val="0"/>
        <w:keepLines w:val="0"/>
        <w:tabs>
          <w:tab w:val="left" w:pos="851"/>
        </w:tabs>
        <w:snapToGrid w:val="0"/>
        <w:spacing w:before="0" w:after="0"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b w:val="0"/>
          <w:sz w:val="24"/>
          <w:szCs w:val="24"/>
        </w:rPr>
        <w:t>4、投标人被列入“黑名单”的，采购组织单位将根据《浙江省政府采购供应商注册及诚信管理暂行办法》第四十六条之规定，在处罚有效期内，资格审查时不予通过。</w:t>
      </w:r>
    </w:p>
    <w:p>
      <w:pPr>
        <w:pStyle w:val="4"/>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6、为采购项目提供整体设计、规范编制或者项目管理、监理、检测等服务的供应商，不得再参加该采购项目的其他采购活动。</w:t>
      </w:r>
    </w:p>
    <w:p>
      <w:pPr>
        <w:pStyle w:val="4"/>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w:t>
      </w:r>
      <w:r>
        <w:rPr>
          <w:rFonts w:hint="eastAsia" w:asciiTheme="minorEastAsia" w:hAnsiTheme="minorEastAsia" w:eastAsiaTheme="minorEastAsia"/>
          <w:b w:val="0"/>
          <w:bCs w:val="0"/>
          <w:sz w:val="24"/>
          <w:szCs w:val="24"/>
          <w:lang w:eastAsia="zh-CN"/>
        </w:rPr>
        <w:t>电子投标文件</w:t>
      </w:r>
      <w:r>
        <w:rPr>
          <w:rFonts w:hint="eastAsia" w:asciiTheme="minorEastAsia" w:hAnsiTheme="minorEastAsia" w:eastAsiaTheme="minorEastAsia"/>
          <w:b w:val="0"/>
          <w:bCs w:val="0"/>
          <w:sz w:val="24"/>
          <w:szCs w:val="24"/>
        </w:rPr>
        <w:t>格式中的表格式样可以根据项目差别做适当调整,但应当保持表格样式基本形态不变。</w:t>
      </w:r>
    </w:p>
    <w:p>
      <w:pPr>
        <w:pStyle w:val="4"/>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8、单位负责人为同一人或者存在直接控股、管理关系的不同供应商，不得参加同一合同项下的政府采购活动。</w:t>
      </w:r>
    </w:p>
    <w:p>
      <w:pPr>
        <w:pStyle w:val="4"/>
        <w:keepNext w:val="0"/>
        <w:keepLines w:val="0"/>
        <w:tabs>
          <w:tab w:val="left" w:pos="851"/>
        </w:tabs>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rPr>
      </w:pPr>
      <w:r>
        <w:rPr>
          <w:rFonts w:hint="eastAsia" w:asciiTheme="minorEastAsia" w:hAnsiTheme="minorEastAsia" w:eastAsiaTheme="minorEastAsia"/>
          <w:kern w:val="0"/>
          <w:sz w:val="24"/>
        </w:rPr>
        <w:t>1、采购组织机构可视采购具体情况对已发出的招标文件进行必要的澄清或者修改。澄清或者修改的内容可能影响</w:t>
      </w:r>
      <w:r>
        <w:rPr>
          <w:rFonts w:hint="eastAsia" w:asciiTheme="minorEastAsia" w:hAnsiTheme="minorEastAsia" w:eastAsiaTheme="minorEastAsia"/>
          <w:kern w:val="0"/>
          <w:sz w:val="24"/>
          <w:lang w:eastAsia="zh-CN"/>
        </w:rPr>
        <w:t>电子投标文件</w:t>
      </w:r>
      <w:r>
        <w:rPr>
          <w:rFonts w:hint="eastAsia" w:asciiTheme="minorEastAsia" w:hAnsiTheme="minorEastAsia" w:eastAsiaTheme="minorEastAsia"/>
          <w:kern w:val="0"/>
          <w:sz w:val="24"/>
        </w:rPr>
        <w:t>编制的，采购人或者采购组织机构应当在投标截止时间至少15日前，在原公告发布媒体上发布澄清公告，澄清或者修改的内容为招标文件的组成部分；不足15日的，采购人或者采购组织机构应当顺延提交</w:t>
      </w:r>
      <w:r>
        <w:rPr>
          <w:rFonts w:hint="eastAsia" w:asciiTheme="minorEastAsia" w:hAnsiTheme="minorEastAsia" w:eastAsiaTheme="minorEastAsia"/>
          <w:kern w:val="0"/>
          <w:sz w:val="24"/>
          <w:lang w:eastAsia="zh-CN"/>
        </w:rPr>
        <w:t>电子投标文件</w:t>
      </w:r>
      <w:r>
        <w:rPr>
          <w:rFonts w:hint="eastAsia" w:asciiTheme="minorEastAsia" w:hAnsiTheme="minorEastAsia" w:eastAsiaTheme="minorEastAsia"/>
          <w:kern w:val="0"/>
          <w:sz w:val="24"/>
        </w:rPr>
        <w:t xml:space="preserve">的截止时间。 </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asciiTheme="minorEastAsia" w:hAnsiTheme="minorEastAsia" w:eastAsia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rPr>
        <w:t>。</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 三、</w:t>
      </w:r>
      <w:r>
        <w:rPr>
          <w:rFonts w:hint="eastAsia" w:asciiTheme="minorEastAsia" w:hAnsiTheme="minorEastAsia" w:eastAsiaTheme="minorEastAsia"/>
          <w:b/>
          <w:kern w:val="0"/>
          <w:sz w:val="24"/>
          <w:lang w:eastAsia="zh-CN"/>
        </w:rPr>
        <w:t>电子</w:t>
      </w:r>
      <w:r>
        <w:rPr>
          <w:rFonts w:hint="eastAsia" w:asciiTheme="minorEastAsia" w:hAnsiTheme="minorEastAsia" w:eastAsiaTheme="minorEastAsia"/>
          <w:b/>
          <w:kern w:val="0"/>
          <w:sz w:val="24"/>
        </w:rPr>
        <w:t>投标文件</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宋体"/>
          <w:b/>
          <w:color w:val="000000"/>
          <w:sz w:val="24"/>
          <w:lang w:val="zh-CN"/>
        </w:rPr>
        <w:t>（一）电子</w:t>
      </w:r>
      <w:r>
        <w:rPr>
          <w:rFonts w:hint="eastAsia" w:asciiTheme="minorEastAsia" w:hAnsiTheme="minorEastAsia" w:eastAsiaTheme="minorEastAsia"/>
          <w:b/>
          <w:bCs/>
          <w:kern w:val="0"/>
          <w:sz w:val="24"/>
        </w:rPr>
        <w:t>投标文件的组成</w:t>
      </w:r>
    </w:p>
    <w:p>
      <w:pPr>
        <w:snapToGrid w:val="0"/>
        <w:spacing w:line="360" w:lineRule="auto"/>
        <w:ind w:firstLine="480" w:firstLineChars="200"/>
        <w:rPr>
          <w:rFonts w:ascii="仿宋_GB2312" w:hAnsi="仿宋_GB2312" w:eastAsia="仿宋_GB2312" w:cs="仿宋_GB2312"/>
          <w:sz w:val="24"/>
          <w:lang w:val="zh-CN"/>
        </w:rPr>
      </w:pPr>
      <w:r>
        <w:rPr>
          <w:rFonts w:hint="eastAsia" w:asciiTheme="minorEastAsia" w:hAnsiTheme="minorEastAsia" w:eastAsiaTheme="minorEastAsia"/>
          <w:kern w:val="0"/>
          <w:sz w:val="24"/>
        </w:rPr>
        <w:t xml:space="preserve">  投标人接到招标文件后，按照采购组织机构的要求提供：资格证明</w:t>
      </w:r>
      <w:r>
        <w:rPr>
          <w:rFonts w:hint="eastAsia" w:asciiTheme="minorEastAsia" w:hAnsiTheme="minorEastAsia" w:eastAsiaTheme="minorEastAsia"/>
          <w:kern w:val="0"/>
          <w:sz w:val="24"/>
          <w:lang w:eastAsia="zh-CN"/>
        </w:rPr>
        <w:t>电子</w:t>
      </w:r>
      <w:r>
        <w:rPr>
          <w:rFonts w:hint="eastAsia" w:asciiTheme="minorEastAsia" w:hAnsiTheme="minorEastAsia" w:eastAsiaTheme="minorEastAsia"/>
          <w:kern w:val="0"/>
          <w:sz w:val="24"/>
        </w:rPr>
        <w:t>文件、商务与技术</w:t>
      </w:r>
      <w:r>
        <w:rPr>
          <w:rFonts w:hint="eastAsia" w:asciiTheme="minorEastAsia" w:hAnsiTheme="minorEastAsia" w:eastAsiaTheme="minorEastAsia"/>
          <w:kern w:val="0"/>
          <w:sz w:val="24"/>
          <w:lang w:eastAsia="zh-CN"/>
        </w:rPr>
        <w:t>电子</w:t>
      </w:r>
      <w:r>
        <w:rPr>
          <w:rFonts w:hint="eastAsia" w:asciiTheme="minorEastAsia" w:hAnsiTheme="minorEastAsia" w:eastAsiaTheme="minorEastAsia"/>
          <w:kern w:val="0"/>
          <w:sz w:val="24"/>
        </w:rPr>
        <w:t>文件和报价</w:t>
      </w:r>
      <w:r>
        <w:rPr>
          <w:rFonts w:hint="eastAsia" w:asciiTheme="minorEastAsia" w:hAnsiTheme="minorEastAsia" w:eastAsiaTheme="minorEastAsia"/>
          <w:kern w:val="0"/>
          <w:sz w:val="24"/>
          <w:lang w:eastAsia="zh-CN"/>
        </w:rPr>
        <w:t>电子</w:t>
      </w:r>
      <w:r>
        <w:rPr>
          <w:rFonts w:hint="eastAsia" w:asciiTheme="minorEastAsia" w:hAnsiTheme="minorEastAsia" w:eastAsiaTheme="minorEastAsia"/>
          <w:kern w:val="0"/>
          <w:sz w:val="24"/>
        </w:rPr>
        <w:t>文件。</w:t>
      </w:r>
      <w:r>
        <w:rPr>
          <w:rFonts w:hint="eastAsia" w:asciiTheme="minorEastAsia" w:hAnsiTheme="minorEastAsia" w:eastAsiaTheme="minorEastAsia"/>
          <w:kern w:val="0"/>
          <w:sz w:val="24"/>
          <w:lang w:val="zh-CN"/>
        </w:rPr>
        <w:t>【特别提示：如在投标时有要求提供资料原件的，将原件扫描放入电子投标文件。】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hint="eastAsia" w:asciiTheme="minorEastAsia" w:hAnsiTheme="minorEastAsia" w:eastAsiaTheme="minorEastAsia"/>
          <w:b/>
          <w:sz w:val="24"/>
          <w:lang w:eastAsia="zh-CN"/>
        </w:rPr>
        <w:t>电子</w:t>
      </w:r>
      <w:r>
        <w:rPr>
          <w:rFonts w:asciiTheme="minorEastAsia" w:hAnsiTheme="minorEastAsia" w:eastAsiaTheme="minorEastAsia"/>
          <w:b/>
          <w:sz w:val="24"/>
        </w:rPr>
        <w:t>文件</w:t>
      </w:r>
      <w:r>
        <w:rPr>
          <w:rFonts w:hint="eastAsia" w:ascii="宋体" w:hAnsi="宋体"/>
          <w:b/>
          <w:color w:val="000000"/>
          <w:sz w:val="24"/>
        </w:rPr>
        <w:t>的组成：</w:t>
      </w:r>
    </w:p>
    <w:p>
      <w:pPr>
        <w:widowControl/>
        <w:numPr>
          <w:ilvl w:val="0"/>
          <w:numId w:val="5"/>
        </w:numPr>
        <w:spacing w:line="360" w:lineRule="auto"/>
        <w:ind w:right="60" w:firstLine="472" w:firstLineChars="197"/>
        <w:jc w:val="left"/>
        <w:outlineLvl w:val="0"/>
        <w:rPr>
          <w:rFonts w:ascii="宋体" w:hAnsi="宋体" w:cs="宋体"/>
          <w:sz w:val="24"/>
        </w:rPr>
      </w:pPr>
      <w:r>
        <w:rPr>
          <w:rFonts w:hint="eastAsia" w:ascii="宋体" w:hAnsi="宋体" w:cs="宋体"/>
          <w:sz w:val="24"/>
        </w:rPr>
        <w:t>投标声明书；</w:t>
      </w:r>
    </w:p>
    <w:p>
      <w:pPr>
        <w:widowControl/>
        <w:numPr>
          <w:ilvl w:val="0"/>
          <w:numId w:val="5"/>
        </w:numPr>
        <w:spacing w:line="360" w:lineRule="auto"/>
        <w:ind w:right="60" w:firstLine="472" w:firstLineChars="197"/>
        <w:jc w:val="left"/>
        <w:outlineLvl w:val="0"/>
        <w:rPr>
          <w:rFonts w:ascii="宋体" w:hAnsi="宋体" w:cs="宋体"/>
          <w:sz w:val="24"/>
        </w:rPr>
      </w:pPr>
      <w:r>
        <w:rPr>
          <w:rFonts w:hint="eastAsia" w:ascii="宋体" w:hAnsi="宋体" w:cs="宋体"/>
          <w:sz w:val="24"/>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sz w:val="24"/>
        </w:rPr>
      </w:pPr>
      <w:r>
        <w:rPr>
          <w:rFonts w:hint="eastAsia" w:ascii="宋体" w:hAnsi="宋体" w:cs="宋体"/>
          <w:sz w:val="24"/>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sz w:val="24"/>
        </w:rPr>
      </w:pPr>
      <w:r>
        <w:rPr>
          <w:rFonts w:hint="eastAsia" w:ascii="宋体" w:hAnsi="宋体" w:cs="宋体"/>
          <w:sz w:val="24"/>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sz w:val="24"/>
        </w:rPr>
      </w:pPr>
      <w:r>
        <w:rPr>
          <w:rFonts w:hint="eastAsia" w:ascii="宋体" w:hAnsi="宋体" w:cs="宋体"/>
          <w:sz w:val="24"/>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sz w:val="24"/>
        </w:rPr>
      </w:pPr>
      <w:r>
        <w:rPr>
          <w:rFonts w:hint="eastAsia" w:ascii="宋体" w:hAnsi="宋体" w:cs="宋体"/>
          <w:sz w:val="24"/>
        </w:rPr>
        <w:t>提供采购公告中符合供应商特定条件的有效资质证书</w:t>
      </w:r>
      <w:r>
        <w:rPr>
          <w:rFonts w:hint="eastAsia" w:ascii="宋体" w:hAnsi="宋体" w:cs="宋体"/>
          <w:sz w:val="24"/>
          <w:lang w:eastAsia="zh-CN"/>
        </w:rPr>
        <w:t>扫描</w:t>
      </w:r>
      <w:r>
        <w:rPr>
          <w:rFonts w:hint="eastAsia" w:ascii="宋体" w:hAnsi="宋体" w:cs="宋体"/>
          <w:sz w:val="24"/>
        </w:rPr>
        <w:t>件（投标供应商特定条件中有要求的必须提供），以及需要说明的其他资料；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color w:val="000000"/>
          <w:sz w:val="24"/>
        </w:rPr>
        <w:t>商务与技术</w:t>
      </w:r>
      <w:r>
        <w:rPr>
          <w:rFonts w:hint="eastAsia" w:ascii="宋体" w:hAnsi="宋体"/>
          <w:b/>
          <w:color w:val="000000"/>
          <w:sz w:val="24"/>
          <w:lang w:eastAsia="zh-CN"/>
        </w:rPr>
        <w:t>电子</w:t>
      </w:r>
      <w:r>
        <w:rPr>
          <w:rFonts w:hint="eastAsia" w:ascii="宋体" w:hAnsi="宋体"/>
          <w:b/>
          <w:color w:val="000000"/>
          <w:sz w:val="24"/>
        </w:rPr>
        <w:t>文件的组成：</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（1）投标人情况介绍（人员与技术力量、企业规模、经营业绩等）。</w:t>
      </w:r>
    </w:p>
    <w:p>
      <w:pPr>
        <w:pStyle w:val="2"/>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（2）投标方案描述：</w:t>
      </w:r>
    </w:p>
    <w:p>
      <w:pPr>
        <w:pStyle w:val="2"/>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2"/>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2"/>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asciiTheme="minorEastAsia" w:hAnsiTheme="minorEastAsia" w:eastAsiaTheme="minorEastAsia"/>
          <w:color w:val="000000" w:themeColor="text1"/>
          <w:kern w:val="0"/>
          <w:sz w:val="24"/>
          <w:szCs w:val="24"/>
          <w14:textFill>
            <w14:solidFill>
              <w14:schemeClr w14:val="tx1"/>
            </w14:solidFill>
          </w14:textFill>
        </w:rPr>
        <w:t>安装、调试及验收方案</w:t>
      </w:r>
      <w:r>
        <w:rPr>
          <w:rFonts w:hint="eastAsia" w:asciiTheme="minorEastAsia" w:hAnsiTheme="minorEastAsia" w:eastAsiaTheme="minorEastAsia"/>
          <w:color w:val="000000" w:themeColor="text1"/>
          <w:kern w:val="0"/>
          <w:sz w:val="24"/>
          <w:szCs w:val="24"/>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14:textFill>
            <w14:solidFill>
              <w14:schemeClr w14:val="tx1"/>
            </w14:solidFill>
          </w14:textFill>
        </w:rPr>
        <w:t>和措施；</w:t>
      </w:r>
    </w:p>
    <w:p>
      <w:pPr>
        <w:pStyle w:val="2"/>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（3）投标产品描述及相关资料：</w:t>
      </w:r>
    </w:p>
    <w:p>
      <w:pPr>
        <w:pStyle w:val="2"/>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w:t>
      </w:r>
      <w:r>
        <w:rPr>
          <w:rFonts w:asciiTheme="minorEastAsia" w:hAnsiTheme="minorEastAsia" w:eastAsiaTheme="minorEastAsia"/>
          <w:color w:val="000000" w:themeColor="text1"/>
          <w:sz w:val="24"/>
          <w:szCs w:val="24"/>
          <w14:textFill>
            <w14:solidFill>
              <w14:schemeClr w14:val="tx1"/>
            </w14:solidFill>
          </w14:textFill>
        </w:rPr>
        <w:t>设备配置</w:t>
      </w:r>
      <w:r>
        <w:rPr>
          <w:rFonts w:hint="eastAsia" w:asciiTheme="minorEastAsia" w:hAnsiTheme="minorEastAsia" w:eastAsiaTheme="minorEastAsia"/>
          <w:color w:val="000000" w:themeColor="text1"/>
          <w:sz w:val="24"/>
          <w:szCs w:val="24"/>
          <w:lang w:eastAsia="zh-CN"/>
          <w14:textFill>
            <w14:solidFill>
              <w14:schemeClr w14:val="tx1"/>
            </w14:solidFill>
          </w14:textFill>
        </w:rPr>
        <w:t>（或服务事项）</w:t>
      </w:r>
      <w:r>
        <w:rPr>
          <w:rFonts w:asciiTheme="minorEastAsia" w:hAnsiTheme="minorEastAsia" w:eastAsiaTheme="minorEastAsia"/>
          <w:color w:val="000000" w:themeColor="text1"/>
          <w:sz w:val="24"/>
          <w:szCs w:val="24"/>
          <w14:textFill>
            <w14:solidFill>
              <w14:schemeClr w14:val="tx1"/>
            </w14:solidFill>
          </w14:textFill>
        </w:rPr>
        <w:t>清单（</w:t>
      </w:r>
      <w:r>
        <w:rPr>
          <w:rFonts w:hint="eastAsia" w:asciiTheme="minorEastAsia" w:hAnsiTheme="minorEastAsia" w:eastAsiaTheme="minorEastAsia"/>
          <w:color w:val="000000" w:themeColor="text1"/>
          <w:sz w:val="24"/>
          <w:szCs w:val="24"/>
          <w14:textFill>
            <w14:solidFill>
              <w14:schemeClr w14:val="tx1"/>
            </w14:solidFill>
          </w14:textFill>
        </w:rPr>
        <w:t>均</w:t>
      </w:r>
      <w:r>
        <w:rPr>
          <w:rFonts w:asciiTheme="minorEastAsia" w:hAnsiTheme="minorEastAsia" w:eastAsiaTheme="minorEastAsia"/>
          <w:color w:val="000000" w:themeColor="text1"/>
          <w:sz w:val="24"/>
          <w:szCs w:val="24"/>
          <w14:textFill>
            <w14:solidFill>
              <w14:schemeClr w14:val="tx1"/>
            </w14:solidFill>
          </w14:textFill>
        </w:rPr>
        <w:t>不含报价）</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2"/>
        <w:widowControl/>
        <w:adjustRightInd w:val="0"/>
        <w:snapToGrid w:val="0"/>
        <w:spacing w:line="360" w:lineRule="auto"/>
        <w:ind w:left="218" w:leftChars="104" w:firstLine="619" w:firstLineChars="258"/>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B.产品品牌及型号、技术参数指标、性能特点、图片资料以及所遵循的技术规范、产品质保期、出厂标准、产品质量相关检测报告等内容。</w:t>
      </w:r>
    </w:p>
    <w:p>
      <w:pPr>
        <w:pStyle w:val="2"/>
        <w:widowControl/>
        <w:adjustRightInd w:val="0"/>
        <w:snapToGrid w:val="0"/>
        <w:spacing w:line="360" w:lineRule="auto"/>
        <w:ind w:left="218" w:leftChars="104" w:firstLine="619" w:firstLineChars="25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注：该项视产品或服务内容设置提供。</w:t>
      </w:r>
    </w:p>
    <w:p>
      <w:pPr>
        <w:pStyle w:val="2"/>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asciiTheme="minorEastAsia" w:hAnsiTheme="minorEastAsia" w:eastAsiaTheme="minorEastAsia"/>
          <w:color w:val="000000" w:themeColor="text1"/>
          <w:kern w:val="0"/>
          <w:sz w:val="24"/>
          <w14:textFill>
            <w14:solidFill>
              <w14:schemeClr w14:val="tx1"/>
            </w14:solidFill>
          </w14:textFill>
        </w:rPr>
        <w:t>投标人通过的</w:t>
      </w:r>
      <w:r>
        <w:rPr>
          <w:rFonts w:hint="eastAsia" w:asciiTheme="minorEastAsia" w:hAnsiTheme="minorEastAsia" w:eastAsiaTheme="minorEastAsia"/>
          <w:color w:val="000000" w:themeColor="text1"/>
          <w:kern w:val="0"/>
          <w:sz w:val="24"/>
          <w14:textFill>
            <w14:solidFill>
              <w14:schemeClr w14:val="tx1"/>
            </w14:solidFill>
          </w14:textFill>
        </w:rPr>
        <w:t>质量管理和</w:t>
      </w:r>
      <w:r>
        <w:rPr>
          <w:rFonts w:asciiTheme="minorEastAsia" w:hAnsiTheme="minorEastAsia" w:eastAsiaTheme="minorEastAsia"/>
          <w:color w:val="000000" w:themeColor="text1"/>
          <w:kern w:val="0"/>
          <w:sz w:val="24"/>
          <w14:textFill>
            <w14:solidFill>
              <w14:schemeClr w14:val="tx1"/>
            </w14:solidFill>
          </w14:textFill>
        </w:rPr>
        <w:t>质量</w:t>
      </w:r>
      <w:r>
        <w:rPr>
          <w:rFonts w:hint="eastAsia" w:asciiTheme="minorEastAsia" w:hAnsiTheme="minorEastAsia" w:eastAsiaTheme="minorEastAsia"/>
          <w:color w:val="000000" w:themeColor="text1"/>
          <w:kern w:val="0"/>
          <w:sz w:val="24"/>
          <w14:textFill>
            <w14:solidFill>
              <w14:schemeClr w14:val="tx1"/>
            </w14:solidFill>
          </w14:textFill>
        </w:rPr>
        <w:t>保证</w:t>
      </w:r>
      <w:r>
        <w:rPr>
          <w:rFonts w:asciiTheme="minorEastAsia" w:hAnsiTheme="minorEastAsia" w:eastAsiaTheme="minorEastAsia"/>
          <w:color w:val="000000" w:themeColor="text1"/>
          <w:kern w:val="0"/>
          <w:sz w:val="24"/>
          <w14:textFill>
            <w14:solidFill>
              <w14:schemeClr w14:val="tx1"/>
            </w14:solidFill>
          </w14:textFill>
        </w:rPr>
        <w:t>体系、环保体系、</w:t>
      </w:r>
      <w:r>
        <w:rPr>
          <w:rFonts w:hint="eastAsia" w:asciiTheme="minorEastAsia" w:hAnsiTheme="minorEastAsia" w:eastAsiaTheme="minorEastAsia"/>
          <w:color w:val="000000" w:themeColor="text1"/>
          <w:sz w:val="24"/>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w:t>
      </w:r>
    </w:p>
    <w:p>
      <w:pPr>
        <w:pStyle w:val="2"/>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（6）投标人认为需要提供的其他资料（包括可能影响投标人商务与技术文件评分的各类证明材料）。</w:t>
      </w:r>
    </w:p>
    <w:p>
      <w:pPr>
        <w:pStyle w:val="2"/>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（7）售后服务描述及承诺：</w:t>
      </w:r>
    </w:p>
    <w:p>
      <w:pPr>
        <w:pStyle w:val="2"/>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A.距采购人最近的服务网点详细介绍（包括地理位置、资质资格、技术力量、工作业绩、服务内容及联系电话等）。</w:t>
      </w:r>
    </w:p>
    <w:p>
      <w:pPr>
        <w:pStyle w:val="2"/>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w:t>
      </w:r>
      <w:r>
        <w:rPr>
          <w:rFonts w:hint="eastAsia" w:asciiTheme="minorEastAsia" w:hAnsiTheme="minorEastAsia" w:eastAsiaTheme="minorEastAsia"/>
          <w:b/>
          <w:kern w:val="0"/>
          <w:sz w:val="24"/>
          <w:lang w:eastAsia="zh-CN"/>
        </w:rPr>
        <w:t>电子</w:t>
      </w:r>
      <w:r>
        <w:rPr>
          <w:rFonts w:hint="eastAsia" w:asciiTheme="minorEastAsia" w:hAnsiTheme="minorEastAsia" w:eastAsiaTheme="minorEastAsia"/>
          <w:b/>
          <w:kern w:val="0"/>
          <w:sz w:val="24"/>
        </w:rPr>
        <w:t>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政府采购优惠政策相关资料、产品适用政府采购政策情况表（如有）。</w:t>
      </w:r>
    </w:p>
    <w:p>
      <w:pPr>
        <w:pStyle w:val="8"/>
        <w:ind w:firstLine="480" w:firstLineChars="200"/>
        <w:rPr>
          <w:rFonts w:hint="eastAsia" w:eastAsia="宋体"/>
          <w:lang w:eastAsia="zh-CN"/>
        </w:rPr>
      </w:pPr>
      <w:r>
        <w:rPr>
          <w:rFonts w:hint="eastAsia" w:asciiTheme="minorEastAsia" w:hAnsiTheme="minorEastAsia" w:eastAsiaTheme="minorEastAsia"/>
          <w:color w:val="000000" w:themeColor="text1"/>
          <w:kern w:val="0"/>
          <w:sz w:val="24"/>
          <w14:textFill>
            <w14:solidFill>
              <w14:schemeClr w14:val="tx1"/>
            </w14:solidFill>
          </w14:textFill>
        </w:rPr>
        <w:t>（5）</w:t>
      </w:r>
      <w:r>
        <w:rPr>
          <w:rFonts w:hint="eastAsia"/>
          <w:lang w:eastAsia="zh-CN"/>
        </w:rPr>
        <w:t>投标报价单填写需清楚明了，并加盖电子印章。因</w:t>
      </w:r>
      <w:r>
        <w:rPr>
          <w:rFonts w:hint="eastAsia" w:asciiTheme="minorEastAsia" w:hAnsiTheme="minorEastAsia" w:eastAsiaTheme="minorEastAsia"/>
          <w:color w:val="000000" w:themeColor="text1"/>
          <w:kern w:val="0"/>
          <w:sz w:val="24"/>
          <w14:textFill>
            <w14:solidFill>
              <w14:schemeClr w14:val="tx1"/>
            </w14:solidFill>
          </w14:textFill>
        </w:rPr>
        <w:t>表达不清引起的后果由投标人负责。</w:t>
      </w:r>
    </w:p>
    <w:p>
      <w:pPr>
        <w:autoSpaceDE w:val="0"/>
        <w:autoSpaceDN w:val="0"/>
        <w:adjustRightInd w:val="0"/>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投标报价应按招标文件中相关附表格式填写。</w:t>
      </w:r>
    </w:p>
    <w:p>
      <w:pPr>
        <w:numPr>
          <w:ilvl w:val="0"/>
          <w:numId w:val="6"/>
        </w:numPr>
        <w:rPr>
          <w:rFonts w:asciiTheme="minorEastAsia" w:hAnsiTheme="minorEastAsia" w:eastAsiaTheme="minorEastAsia"/>
          <w:b/>
          <w:bCs/>
          <w:kern w:val="0"/>
          <w:sz w:val="24"/>
        </w:rPr>
      </w:pPr>
      <w:r>
        <w:rPr>
          <w:rFonts w:hint="eastAsia" w:asciiTheme="minorEastAsia" w:hAnsiTheme="minorEastAsia" w:eastAsiaTheme="minorEastAsia"/>
          <w:b/>
          <w:bCs/>
          <w:kern w:val="0"/>
          <w:sz w:val="24"/>
          <w:lang w:eastAsia="zh-CN"/>
        </w:rPr>
        <w:t>电子投标文件</w:t>
      </w:r>
      <w:r>
        <w:rPr>
          <w:rFonts w:hint="eastAsia" w:asciiTheme="minorEastAsia" w:hAnsiTheme="minorEastAsia" w:eastAsiaTheme="minorEastAsia"/>
          <w:b/>
          <w:bCs/>
          <w:kern w:val="0"/>
          <w:sz w:val="24"/>
        </w:rPr>
        <w:t>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w:t>
      </w:r>
      <w:r>
        <w:rPr>
          <w:rFonts w:hint="eastAsia" w:asciiTheme="minorEastAsia" w:hAnsiTheme="minorEastAsia"/>
          <w:b/>
          <w:bCs/>
          <w:color w:val="000000" w:themeColor="text1"/>
          <w:sz w:val="24"/>
          <w:lang w:eastAsia="zh-CN"/>
          <w14:textFill>
            <w14:solidFill>
              <w14:schemeClr w14:val="tx1"/>
            </w14:solidFill>
          </w14:textFill>
        </w:rPr>
        <w:t>电子投标文件</w:t>
      </w:r>
      <w:r>
        <w:rPr>
          <w:rFonts w:hint="eastAsia" w:asciiTheme="minorEastAsia" w:hAnsiTheme="minorEastAsia"/>
          <w:b/>
          <w:bCs/>
          <w:color w:val="000000" w:themeColor="text1"/>
          <w:sz w:val="24"/>
          <w14:textFill>
            <w14:solidFill>
              <w14:schemeClr w14:val="tx1"/>
            </w14:solidFill>
          </w14:textFill>
        </w:rPr>
        <w:t>的制作要求</w:t>
      </w:r>
    </w:p>
    <w:p>
      <w:pPr>
        <w:spacing w:line="440" w:lineRule="exact"/>
        <w:ind w:firstLine="480" w:firstLineChars="200"/>
        <w:jc w:val="left"/>
        <w:rPr>
          <w:rFonts w:hint="eastAsia"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color w:val="000000" w:themeColor="text1"/>
          <w:sz w:val="24"/>
          <w14:textFill>
            <w14:solidFill>
              <w14:schemeClr w14:val="tx1"/>
            </w14:solidFill>
          </w14:textFill>
        </w:rPr>
        <w:t>应</w:t>
      </w:r>
      <w:r>
        <w:rPr>
          <w:rFonts w:hint="eastAsia" w:asciiTheme="minorEastAsia" w:hAnsiTheme="minorEastAsia" w:eastAsiaTheme="minorEastAsia"/>
          <w:color w:val="000000" w:themeColor="text1"/>
          <w:sz w:val="24"/>
          <w14:textFill>
            <w14:solidFill>
              <w14:schemeClr w14:val="tx1"/>
            </w14:solidFill>
          </w14:textFill>
        </w:rPr>
        <w:t>按照</w:t>
      </w:r>
      <w:r>
        <w:rPr>
          <w:rFonts w:hint="eastAsia" w:asciiTheme="minorEastAsia" w:hAnsiTheme="minorEastAsia" w:eastAsiaTheme="minorEastAsia"/>
          <w:color w:val="000000" w:themeColor="text1"/>
          <w:sz w:val="24"/>
          <w:lang w:eastAsia="zh-CN"/>
          <w14:textFill>
            <w14:solidFill>
              <w14:schemeClr w14:val="tx1"/>
            </w14:solidFill>
          </w14:textFill>
        </w:rPr>
        <w:t>电子投标文件</w:t>
      </w:r>
      <w:r>
        <w:rPr>
          <w:rFonts w:hint="eastAsia" w:asciiTheme="minorEastAsia" w:hAnsiTheme="minorEastAsia"/>
          <w:color w:val="000000" w:themeColor="text1"/>
          <w:sz w:val="24"/>
          <w14:textFill>
            <w14:solidFill>
              <w14:schemeClr w14:val="tx1"/>
            </w14:solidFill>
          </w14:textFill>
        </w:rPr>
        <w:t>组成内容</w:t>
      </w:r>
      <w:r>
        <w:rPr>
          <w:rFonts w:hint="eastAsia" w:asciiTheme="minorEastAsia" w:hAnsiTheme="minorEastAsia" w:eastAsiaTheme="minorEastAsia"/>
          <w:color w:val="000000" w:themeColor="text1"/>
          <w:sz w:val="24"/>
          <w14:textFill>
            <w14:solidFill>
              <w14:schemeClr w14:val="tx1"/>
            </w14:solidFill>
          </w14:textFill>
        </w:rPr>
        <w:t>及项目招标需求</w:t>
      </w:r>
      <w:r>
        <w:rPr>
          <w:rFonts w:hint="eastAsia" w:asciiTheme="minorEastAsia" w:hAnsiTheme="minorEastAsia" w:eastAsiaTheme="minorEastAsia"/>
          <w:color w:val="000000" w:themeColor="text1"/>
          <w:sz w:val="24"/>
          <w:lang w:eastAsia="zh-CN"/>
          <w14:textFill>
            <w14:solidFill>
              <w14:schemeClr w14:val="tx1"/>
            </w14:solidFill>
          </w14:textFill>
        </w:rPr>
        <w:t>和浙江政府采购云平台要求</w:t>
      </w:r>
      <w:r>
        <w:rPr>
          <w:rFonts w:hint="eastAsia" w:asciiTheme="minorEastAsia" w:hAnsiTheme="minorEastAsia" w:eastAsiaTheme="minorEastAsia"/>
          <w:color w:val="000000" w:themeColor="text1"/>
          <w:sz w:val="24"/>
          <w14:textFill>
            <w14:solidFill>
              <w14:schemeClr w14:val="tx1"/>
            </w14:solidFill>
          </w14:textFill>
        </w:rPr>
        <w:t>制作</w:t>
      </w:r>
      <w:r>
        <w:rPr>
          <w:rFonts w:hint="eastAsia" w:asciiTheme="minorEastAsia" w:hAnsiTheme="minorEastAsia" w:eastAsiaTheme="minorEastAsia"/>
          <w:color w:val="000000" w:themeColor="text1"/>
          <w:sz w:val="24"/>
          <w:lang w:eastAsia="zh-CN"/>
          <w14:textFill>
            <w14:solidFill>
              <w14:schemeClr w14:val="tx1"/>
            </w14:solidFill>
          </w14:textFill>
        </w:rPr>
        <w:t>电子投标文件</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不按招标文件</w:t>
      </w:r>
      <w:r>
        <w:rPr>
          <w:rFonts w:hint="eastAsia" w:asciiTheme="minorEastAsia" w:hAnsiTheme="minorEastAsia" w:eastAsiaTheme="minorEastAsia"/>
          <w:color w:val="000000" w:themeColor="text1"/>
          <w:sz w:val="24"/>
          <w:lang w:eastAsia="zh-CN"/>
          <w14:textFill>
            <w14:solidFill>
              <w14:schemeClr w14:val="tx1"/>
            </w14:solidFill>
          </w14:textFill>
        </w:rPr>
        <w:t>和浙江政府采购云平台</w:t>
      </w:r>
      <w:r>
        <w:rPr>
          <w:rFonts w:hint="eastAsia" w:asciiTheme="minorEastAsia" w:hAnsiTheme="minorEastAsia" w:eastAsiaTheme="minorEastAsia"/>
          <w:color w:val="000000" w:themeColor="text1"/>
          <w:kern w:val="0"/>
          <w:sz w:val="24"/>
          <w14:textFill>
            <w14:solidFill>
              <w14:schemeClr w14:val="tx1"/>
            </w14:solidFill>
          </w14:textFill>
        </w:rPr>
        <w:t>要求制作</w:t>
      </w:r>
      <w:r>
        <w:rPr>
          <w:rFonts w:hint="eastAsia" w:asciiTheme="minorEastAsia" w:hAnsiTheme="minorEastAsia" w:eastAsiaTheme="minorEastAsia"/>
          <w:color w:val="000000" w:themeColor="text1"/>
          <w:kern w:val="0"/>
          <w:sz w:val="24"/>
          <w:lang w:eastAsia="zh-CN"/>
          <w14:textFill>
            <w14:solidFill>
              <w14:schemeClr w14:val="tx1"/>
            </w14:solidFill>
          </w14:textFill>
        </w:rPr>
        <w:t>电子投标文件</w:t>
      </w:r>
      <w:r>
        <w:rPr>
          <w:rFonts w:hint="eastAsia" w:asciiTheme="minorEastAsia" w:hAnsiTheme="minorEastAsia" w:eastAsiaTheme="minorEastAsia"/>
          <w:color w:val="000000" w:themeColor="text1"/>
          <w:kern w:val="0"/>
          <w:sz w:val="24"/>
          <w14:textFill>
            <w14:solidFill>
              <w14:schemeClr w14:val="tx1"/>
            </w14:solidFill>
          </w14:textFill>
        </w:rPr>
        <w:t>的将视情</w:t>
      </w:r>
      <w:r>
        <w:rPr>
          <w:rFonts w:hint="eastAsia" w:asciiTheme="minorEastAsia" w:hAnsiTheme="minorEastAsia"/>
          <w:color w:val="000000" w:themeColor="text1"/>
          <w:kern w:val="0"/>
          <w:sz w:val="24"/>
          <w14:textFill>
            <w14:solidFill>
              <w14:schemeClr w14:val="tx1"/>
            </w14:solidFill>
          </w14:textFill>
        </w:rPr>
        <w:t>处理（拒收、扣分等），由此产生的责任由投标人自行承担。</w:t>
      </w:r>
    </w:p>
    <w:p>
      <w:pPr>
        <w:spacing w:line="44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电子投标文件部分：投标人应根据“政采云供应商项目采购-电子招投标操作指南”及本招标文件规定的格式和顺序编制电子投标文件并进行关联定位。</w:t>
      </w:r>
    </w:p>
    <w:p>
      <w:pPr>
        <w:spacing w:line="440" w:lineRule="exact"/>
        <w:ind w:firstLine="480" w:firstLineChars="200"/>
        <w:jc w:val="left"/>
        <w:rPr>
          <w:rFonts w:hint="eastAsia" w:ascii="宋体" w:hAnsi="宋体" w:cs="宋体"/>
          <w:bCs/>
          <w:sz w:val="24"/>
          <w:lang w:eastAsia="zh-CN"/>
        </w:rPr>
      </w:pPr>
      <w:r>
        <w:rPr>
          <w:rFonts w:hint="eastAsia" w:ascii="宋体" w:hAnsi="宋体" w:eastAsia="宋体"/>
          <w:color w:val="000000" w:themeColor="text1"/>
          <w:kern w:val="0"/>
          <w:sz w:val="24"/>
          <w:lang w:eastAsia="zh-CN"/>
          <w14:textFill>
            <w14:solidFill>
              <w14:schemeClr w14:val="tx1"/>
            </w14:solidFill>
          </w14:textFill>
        </w:rPr>
        <w:t>备份电子</w:t>
      </w:r>
      <w:r>
        <w:rPr>
          <w:rFonts w:hint="eastAsia" w:ascii="宋体" w:hAnsi="宋体"/>
          <w:color w:val="000000" w:themeColor="text1"/>
          <w:kern w:val="0"/>
          <w:sz w:val="24"/>
          <w:lang w:eastAsia="zh-CN"/>
          <w14:textFill>
            <w14:solidFill>
              <w14:schemeClr w14:val="tx1"/>
            </w14:solidFill>
          </w14:textFill>
        </w:rPr>
        <w:t>投标</w:t>
      </w:r>
      <w:r>
        <w:rPr>
          <w:rFonts w:hint="eastAsia" w:ascii="宋体" w:hAnsi="宋体" w:eastAsia="宋体"/>
          <w:color w:val="000000" w:themeColor="text1"/>
          <w:kern w:val="0"/>
          <w:sz w:val="24"/>
          <w14:textFill>
            <w14:solidFill>
              <w14:schemeClr w14:val="tx1"/>
            </w14:solidFill>
          </w14:textFill>
        </w:rPr>
        <w:t>文件</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通</w:t>
      </w:r>
      <w:r>
        <w:rPr>
          <w:rFonts w:hint="eastAsia" w:ascii="宋体" w:hAnsi="宋体" w:eastAsia="宋体" w:cs="宋体"/>
          <w:bCs/>
          <w:sz w:val="24"/>
        </w:rPr>
        <w:t>过“政采云”平台电子投标工具制作</w:t>
      </w:r>
      <w:r>
        <w:rPr>
          <w:rFonts w:hint="eastAsia" w:ascii="宋体" w:hAnsi="宋体" w:cs="宋体"/>
          <w:bCs/>
          <w:sz w:val="24"/>
          <w:lang w:eastAsia="zh-CN"/>
        </w:rPr>
        <w:t>电子投标文件所产生的备份文件</w:t>
      </w:r>
    </w:p>
    <w:p>
      <w:pPr>
        <w:pStyle w:val="8"/>
        <w:spacing w:line="360" w:lineRule="auto"/>
        <w:ind w:firstLine="480" w:firstLineChars="200"/>
      </w:pPr>
      <w:r>
        <w:rPr>
          <w:rFonts w:hint="eastAsia" w:ascii="宋体" w:hAnsi="宋体"/>
          <w:color w:val="000000"/>
          <w:sz w:val="24"/>
        </w:rPr>
        <w:t>（2）投标人应对所提供的全部资料的真实性</w:t>
      </w:r>
      <w:r>
        <w:rPr>
          <w:rFonts w:hint="eastAsia" w:ascii="宋体" w:hAnsi="宋体"/>
          <w:color w:val="000000"/>
          <w:sz w:val="24"/>
          <w:lang w:eastAsia="zh-CN"/>
        </w:rPr>
        <w:t>、有效性</w:t>
      </w:r>
      <w:r>
        <w:rPr>
          <w:rFonts w:hint="eastAsia" w:ascii="宋体" w:hAnsi="宋体"/>
          <w:color w:val="000000"/>
          <w:sz w:val="24"/>
        </w:rPr>
        <w:t>承担法律责任，电子投标文件中</w:t>
      </w:r>
      <w:r>
        <w:rPr>
          <w:rFonts w:hint="eastAsia" w:ascii="宋体" w:hAnsi="宋体"/>
          <w:color w:val="000000"/>
          <w:sz w:val="24"/>
          <w:lang w:eastAsia="zh-CN"/>
        </w:rPr>
        <w:t>盖章之处必须加盖公章（采用</w:t>
      </w:r>
      <w:r>
        <w:rPr>
          <w:rFonts w:hint="eastAsia" w:ascii="宋体" w:hAnsi="宋体"/>
          <w:color w:val="000000"/>
          <w:sz w:val="24"/>
        </w:rPr>
        <w:t>CA签章</w:t>
      </w:r>
      <w:r>
        <w:rPr>
          <w:rFonts w:hint="eastAsia" w:ascii="宋体" w:hAnsi="宋体"/>
          <w:color w:val="000000"/>
          <w:sz w:val="24"/>
          <w:lang w:eastAsia="zh-CN"/>
        </w:rPr>
        <w:t>）</w:t>
      </w:r>
      <w:r>
        <w:rPr>
          <w:rFonts w:hint="eastAsia" w:ascii="宋体" w:hAnsi="宋体"/>
          <w:color w:val="000000"/>
          <w:sz w:val="24"/>
        </w:rPr>
        <w:t>。</w:t>
      </w: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w:t>
      </w:r>
      <w:r>
        <w:rPr>
          <w:rFonts w:hint="eastAsia" w:asciiTheme="minorEastAsia" w:hAnsiTheme="minorEastAsia" w:eastAsiaTheme="minorEastAsia"/>
          <w:color w:val="000000"/>
          <w:sz w:val="24"/>
          <w:lang w:eastAsia="zh-CN"/>
        </w:rPr>
        <w:t>电子投标文件</w:t>
      </w:r>
      <w:r>
        <w:rPr>
          <w:rFonts w:asciiTheme="minorEastAsia" w:hAnsiTheme="minorEastAsia" w:eastAsiaTheme="minorEastAsia"/>
          <w:color w:val="000000"/>
          <w:sz w:val="24"/>
        </w:rPr>
        <w:t>以及投标人与</w:t>
      </w:r>
      <w:r>
        <w:rPr>
          <w:rFonts w:hint="eastAsia" w:asciiTheme="minorEastAsia" w:hAnsiTheme="minorEastAsia" w:eastAsiaTheme="minorEastAsia"/>
          <w:color w:val="000000"/>
          <w:sz w:val="24"/>
        </w:rPr>
        <w:t>采购组织机构</w:t>
      </w:r>
      <w:r>
        <w:rPr>
          <w:rFonts w:asciiTheme="minorEastAsia" w:hAnsiTheme="minorEastAsia" w:eastAsiaTheme="minorEastAsia"/>
          <w:color w:val="000000"/>
          <w:sz w:val="24"/>
        </w:rPr>
        <w:t>就有关投标事宜的所有来往函电，均应以中文汉语书写。除</w:t>
      </w:r>
      <w:r>
        <w:rPr>
          <w:rFonts w:hint="eastAsia" w:asciiTheme="minorEastAsia" w:hAnsiTheme="minorEastAsia" w:eastAsiaTheme="minorEastAsia"/>
          <w:color w:val="000000"/>
          <w:sz w:val="24"/>
        </w:rPr>
        <w:t>签字</w:t>
      </w:r>
      <w:r>
        <w:rPr>
          <w:rFonts w:asciiTheme="minorEastAsia" w:hAnsiTheme="minorEastAsia" w:eastAsiaTheme="minorEastAsia"/>
          <w:color w:val="000000"/>
          <w:sz w:val="24"/>
        </w:rPr>
        <w:t>、盖章、专用名称等特殊情形外，以中文汉语以外的文字表述的</w:t>
      </w:r>
      <w:r>
        <w:rPr>
          <w:rFonts w:hint="eastAsia" w:asciiTheme="minorEastAsia" w:hAnsiTheme="minorEastAsia" w:eastAsiaTheme="minorEastAsia"/>
          <w:color w:val="000000"/>
          <w:sz w:val="24"/>
          <w:lang w:eastAsia="zh-CN"/>
        </w:rPr>
        <w:t>电子投标文件</w:t>
      </w:r>
      <w:r>
        <w:rPr>
          <w:rFonts w:asciiTheme="minorEastAsia" w:hAnsiTheme="minorEastAsia" w:eastAsiaTheme="minorEastAsia"/>
          <w:color w:val="000000"/>
          <w:sz w:val="24"/>
        </w:rPr>
        <w:t>视同未提供。</w:t>
      </w: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color w:val="000000"/>
          <w:sz w:val="24"/>
        </w:rPr>
        <w:t>（4）</w:t>
      </w:r>
      <w:r>
        <w:rPr>
          <w:rFonts w:asciiTheme="minorEastAsia" w:hAnsiTheme="minorEastAsia" w:eastAsiaTheme="minorEastAsia"/>
          <w:color w:val="000000"/>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若投标人不按</w:t>
      </w:r>
      <w:r>
        <w:rPr>
          <w:rFonts w:asciiTheme="minorEastAsia" w:hAnsiTheme="minorEastAsia" w:eastAsiaTheme="minorEastAsia"/>
          <w:color w:val="000000"/>
          <w:sz w:val="24"/>
        </w:rPr>
        <w:t>招标</w:t>
      </w:r>
      <w:r>
        <w:rPr>
          <w:rFonts w:asciiTheme="minorEastAsia" w:hAnsiTheme="minorEastAsia" w:eastAsiaTheme="minorEastAsia"/>
          <w:color w:val="000000" w:themeColor="text1"/>
          <w:sz w:val="24"/>
          <w14:textFill>
            <w14:solidFill>
              <w14:schemeClr w14:val="tx1"/>
            </w14:solidFill>
          </w14:textFill>
        </w:rPr>
        <w:t>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与本次投标无关的内容请不要制作在内，确保</w:t>
      </w:r>
      <w:r>
        <w:rPr>
          <w:rFonts w:hint="eastAsia" w:asciiTheme="minorEastAsia" w:hAnsiTheme="minorEastAsia" w:eastAsiaTheme="minorEastAsia"/>
          <w:color w:val="000000" w:themeColor="text1"/>
          <w:sz w:val="24"/>
          <w:lang w:eastAsia="zh-CN"/>
          <w14:textFill>
            <w14:solidFill>
              <w14:schemeClr w14:val="tx1"/>
            </w14:solidFill>
          </w14:textFill>
        </w:rPr>
        <w:t>电子投标文件</w:t>
      </w:r>
      <w:r>
        <w:rPr>
          <w:rFonts w:hint="eastAsia" w:asciiTheme="minorEastAsia" w:hAnsiTheme="minorEastAsia" w:eastAsiaTheme="minorEastAsia"/>
          <w:color w:val="000000" w:themeColor="text1"/>
          <w:sz w:val="24"/>
          <w14:textFill>
            <w14:solidFill>
              <w14:schemeClr w14:val="tx1"/>
            </w14:solidFill>
          </w14:textFill>
        </w:rPr>
        <w:t>有针对性、简洁明了。</w:t>
      </w:r>
    </w:p>
    <w:p>
      <w:pPr>
        <w:autoSpaceDE w:val="0"/>
        <w:autoSpaceDN w:val="0"/>
        <w:adjustRightInd w:val="0"/>
        <w:spacing w:line="360" w:lineRule="auto"/>
        <w:ind w:firstLine="480"/>
        <w:rPr>
          <w:rFonts w:hint="eastAsia"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2、</w:t>
      </w:r>
      <w:r>
        <w:rPr>
          <w:rFonts w:hint="eastAsia" w:asciiTheme="minorEastAsia" w:hAnsiTheme="minorEastAsia"/>
          <w:b/>
          <w:bCs/>
          <w:color w:val="000000" w:themeColor="text1"/>
          <w:sz w:val="24"/>
          <w:lang w:eastAsia="zh-CN"/>
          <w14:textFill>
            <w14:solidFill>
              <w14:schemeClr w14:val="tx1"/>
            </w14:solidFill>
          </w14:textFill>
        </w:rPr>
        <w:t>电子投标文件</w:t>
      </w:r>
      <w:r>
        <w:rPr>
          <w:rFonts w:hint="eastAsia" w:asciiTheme="minorEastAsia" w:hAnsiTheme="minorEastAsia"/>
          <w:b/>
          <w:bCs/>
          <w:color w:val="000000" w:themeColor="text1"/>
          <w:sz w:val="24"/>
          <w14:textFill>
            <w14:solidFill>
              <w14:schemeClr w14:val="tx1"/>
            </w14:solidFill>
          </w14:textFill>
        </w:rPr>
        <w:t>的封装要求</w:t>
      </w:r>
    </w:p>
    <w:p>
      <w:pPr>
        <w:autoSpaceDE w:val="0"/>
        <w:autoSpaceDN w:val="0"/>
        <w:adjustRightInd w:val="0"/>
        <w:spacing w:line="360" w:lineRule="auto"/>
        <w:ind w:firstLine="480" w:firstLineChars="200"/>
        <w:rPr>
          <w:rFonts w:hint="eastAsia" w:ascii="宋体" w:hAnsi="宋体"/>
          <w:color w:val="000000"/>
          <w:sz w:val="24"/>
          <w:lang w:eastAsia="zh-CN"/>
        </w:rPr>
      </w:pPr>
      <w:r>
        <w:rPr>
          <w:rFonts w:hint="eastAsia" w:ascii="宋体" w:hAnsi="宋体"/>
          <w:color w:val="000000"/>
          <w:sz w:val="24"/>
        </w:rPr>
        <w:t>（1）</w:t>
      </w:r>
      <w:r>
        <w:rPr>
          <w:rFonts w:hint="eastAsia" w:ascii="宋体" w:hAnsi="宋体" w:eastAsia="宋体" w:cs="Arial"/>
          <w:color w:val="000000"/>
          <w:sz w:val="24"/>
        </w:rPr>
        <w:t>以U盘或DVD光盘等介质存储的数据电文形式的备份</w:t>
      </w:r>
      <w:r>
        <w:rPr>
          <w:rFonts w:hint="eastAsia" w:ascii="宋体" w:hAnsi="宋体" w:eastAsia="宋体" w:cs="Arial"/>
          <w:color w:val="000000"/>
          <w:sz w:val="24"/>
          <w:lang w:eastAsia="zh-CN"/>
        </w:rPr>
        <w:t>电子</w:t>
      </w:r>
      <w:r>
        <w:rPr>
          <w:rFonts w:hint="eastAsia" w:ascii="宋体" w:hAnsi="宋体" w:eastAsia="宋体" w:cs="Arial"/>
          <w:color w:val="000000"/>
          <w:sz w:val="24"/>
        </w:rPr>
        <w:t>投标文件</w:t>
      </w:r>
      <w:r>
        <w:rPr>
          <w:rFonts w:hint="eastAsia" w:ascii="宋体" w:hAnsi="宋体" w:eastAsia="宋体" w:cs="Arial"/>
          <w:color w:val="000000"/>
          <w:sz w:val="24"/>
          <w:lang w:eastAsia="zh-CN"/>
        </w:rPr>
        <w:t>（建议使用</w:t>
      </w:r>
      <w:r>
        <w:rPr>
          <w:rFonts w:hint="eastAsia" w:ascii="宋体" w:hAnsi="宋体" w:eastAsia="宋体" w:cs="Arial"/>
          <w:color w:val="000000"/>
          <w:sz w:val="24"/>
        </w:rPr>
        <w:t>光盘</w:t>
      </w:r>
      <w:r>
        <w:rPr>
          <w:rFonts w:hint="eastAsia" w:ascii="宋体" w:hAnsi="宋体" w:eastAsia="宋体" w:cs="Arial"/>
          <w:color w:val="000000"/>
          <w:sz w:val="24"/>
          <w:lang w:eastAsia="zh-CN"/>
        </w:rPr>
        <w:t>，），单独</w:t>
      </w:r>
      <w:r>
        <w:rPr>
          <w:rFonts w:hint="eastAsia" w:ascii="宋体" w:hAnsi="宋体" w:eastAsia="宋体" w:cs="宋体"/>
          <w:b/>
          <w:bCs/>
          <w:color w:val="000000"/>
          <w:sz w:val="24"/>
        </w:rPr>
        <w:t>密封包装</w:t>
      </w:r>
      <w:r>
        <w:rPr>
          <w:rFonts w:hint="eastAsia" w:ascii="宋体" w:hAnsi="宋体" w:eastAsia="宋体" w:cs="宋体"/>
          <w:b/>
          <w:bCs/>
          <w:color w:val="000000"/>
          <w:sz w:val="24"/>
          <w:lang w:eastAsia="zh-CN"/>
        </w:rPr>
        <w:t>，包装（内或外）封口应加盖单位公章，</w:t>
      </w:r>
      <w:r>
        <w:rPr>
          <w:rFonts w:hint="eastAsia" w:ascii="宋体" w:hAnsi="宋体" w:cs="宋体"/>
          <w:b/>
          <w:bCs/>
          <w:color w:val="000000"/>
          <w:sz w:val="24"/>
          <w:lang w:eastAsia="zh-CN"/>
        </w:rPr>
        <w:t>可与演示电子文件同寄</w:t>
      </w:r>
      <w:r>
        <w:rPr>
          <w:rFonts w:hint="eastAsia" w:ascii="宋体" w:hAnsi="宋体" w:eastAsia="宋体"/>
          <w:color w:val="000000"/>
          <w:kern w:val="0"/>
          <w:sz w:val="24"/>
          <w:u w:val="none"/>
          <w:lang w:eastAsia="zh-CN"/>
        </w:rPr>
        <w:t>（采用邮寄的方式送达）</w:t>
      </w:r>
      <w:r>
        <w:rPr>
          <w:rFonts w:ascii="宋体" w:hAnsi="宋体"/>
          <w:color w:val="000000"/>
          <w:sz w:val="24"/>
        </w:rPr>
        <w:t>。</w:t>
      </w:r>
      <w:r>
        <w:rPr>
          <w:rFonts w:hint="eastAsia" w:ascii="宋体" w:hAnsi="宋体"/>
          <w:color w:val="000000"/>
          <w:sz w:val="24"/>
          <w:lang w:eastAsia="zh-CN"/>
        </w:rPr>
        <w:t>演示电子文件的封装要求同备份电子投标文件。</w:t>
      </w:r>
    </w:p>
    <w:p>
      <w:pPr>
        <w:autoSpaceDE w:val="0"/>
        <w:autoSpaceDN w:val="0"/>
        <w:adjustRightInd w:val="0"/>
        <w:spacing w:line="360" w:lineRule="auto"/>
        <w:ind w:firstLine="480" w:firstLineChars="200"/>
        <w:rPr>
          <w:rFonts w:ascii="宋体" w:hAnsi="宋体"/>
          <w:kern w:val="0"/>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kern w:val="0"/>
          <w:sz w:val="24"/>
        </w:rPr>
        <w:t>项目如分标段，各标段</w:t>
      </w:r>
      <w:r>
        <w:rPr>
          <w:rFonts w:hint="eastAsia" w:ascii="宋体" w:hAnsi="宋体"/>
          <w:kern w:val="0"/>
          <w:sz w:val="24"/>
          <w:lang w:eastAsia="zh-CN"/>
        </w:rPr>
        <w:t>电子投标文件</w:t>
      </w:r>
      <w:r>
        <w:rPr>
          <w:rFonts w:hint="eastAsia" w:ascii="宋体" w:hAnsi="宋体"/>
          <w:kern w:val="0"/>
          <w:sz w:val="24"/>
        </w:rPr>
        <w:t>必须分开编制，并单独密封包装。</w:t>
      </w:r>
    </w:p>
    <w:p>
      <w:pPr>
        <w:autoSpaceDE w:val="0"/>
        <w:autoSpaceDN w:val="0"/>
        <w:adjustRightInd w:val="0"/>
        <w:spacing w:line="360" w:lineRule="auto"/>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sz w:val="24"/>
          <w:lang w:eastAsia="zh-CN"/>
          <w14:textFill>
            <w14:solidFill>
              <w14:schemeClr w14:val="tx1"/>
            </w14:solidFill>
          </w14:textFill>
        </w:rPr>
        <w:t>电子投标文件</w:t>
      </w:r>
      <w:r>
        <w:rPr>
          <w:rFonts w:hint="eastAsia" w:asciiTheme="minorEastAsia" w:hAnsiTheme="minorEastAsia"/>
          <w:color w:val="000000" w:themeColor="text1"/>
          <w:sz w:val="24"/>
          <w14:textFill>
            <w14:solidFill>
              <w14:schemeClr w14:val="tx1"/>
            </w14:solidFill>
          </w14:textFill>
        </w:rPr>
        <w:t>的递交要求</w:t>
      </w:r>
    </w:p>
    <w:p>
      <w:pPr>
        <w:spacing w:line="360" w:lineRule="auto"/>
        <w:ind w:firstLine="480" w:firstLineChars="200"/>
      </w:pPr>
      <w:r>
        <w:rPr>
          <w:rFonts w:hint="eastAsia" w:asciiTheme="majorEastAsia" w:hAnsiTheme="majorEastAsia" w:eastAsiaTheme="majorEastAsia" w:cs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投标人须</w:t>
      </w:r>
      <w:r>
        <w:rPr>
          <w:rFonts w:hint="eastAsia" w:asciiTheme="majorEastAsia" w:hAnsiTheme="majorEastAsia" w:eastAsiaTheme="majorEastAsia" w:cstheme="majorEastAsia"/>
          <w:color w:val="000000" w:themeColor="text1"/>
          <w:sz w:val="24"/>
          <w:szCs w:val="24"/>
          <w14:textFill>
            <w14:solidFill>
              <w14:schemeClr w14:val="tx1"/>
            </w14:solidFill>
          </w14:textFill>
        </w:rPr>
        <w:t>按照采购文件和</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政采云</w:t>
      </w:r>
      <w:r>
        <w:rPr>
          <w:rFonts w:hint="eastAsia" w:asciiTheme="majorEastAsia" w:hAnsiTheme="majorEastAsia" w:eastAsiaTheme="majorEastAsia" w:cstheme="majorEastAsia"/>
          <w:color w:val="000000" w:themeColor="text1"/>
          <w:sz w:val="24"/>
          <w:szCs w:val="24"/>
          <w14:textFill>
            <w14:solidFill>
              <w14:schemeClr w14:val="tx1"/>
            </w14:solidFill>
          </w14:textFill>
        </w:rPr>
        <w:t>平台的要求编制并加密</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电子投标文件</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sz w:val="24"/>
          <w:lang w:eastAsia="zh-CN"/>
        </w:rPr>
        <w:t>在电子投标文件递交</w:t>
      </w:r>
      <w:r>
        <w:rPr>
          <w:rFonts w:hint="eastAsia" w:asciiTheme="majorEastAsia" w:hAnsiTheme="majorEastAsia" w:eastAsiaTheme="majorEastAsia" w:cstheme="majorEastAsia"/>
          <w:color w:val="000000"/>
          <w:sz w:val="24"/>
        </w:rPr>
        <w:t>截止时间</w:t>
      </w:r>
      <w:r>
        <w:rPr>
          <w:rFonts w:hint="eastAsia" w:asciiTheme="majorEastAsia" w:hAnsiTheme="majorEastAsia" w:eastAsiaTheme="majorEastAsia" w:cstheme="majorEastAsia"/>
          <w:color w:val="000000"/>
          <w:sz w:val="24"/>
          <w:lang w:eastAsia="zh-CN"/>
        </w:rPr>
        <w:t>以前完成电子投标文件的</w:t>
      </w:r>
      <w:r>
        <w:rPr>
          <w:rFonts w:hint="eastAsia" w:asciiTheme="majorEastAsia" w:hAnsiTheme="majorEastAsia" w:eastAsiaTheme="majorEastAsia" w:cstheme="majorEastAsia"/>
          <w:color w:val="000000"/>
          <w:sz w:val="24"/>
        </w:rPr>
        <w:t>传输递交</w:t>
      </w:r>
      <w:r>
        <w:rPr>
          <w:rFonts w:hint="eastAsia" w:asciiTheme="majorEastAsia" w:hAnsiTheme="majorEastAsia" w:eastAsiaTheme="majorEastAsia" w:cstheme="majorEastAsia"/>
          <w:color w:val="000000"/>
          <w:sz w:val="24"/>
          <w:lang w:eastAsia="zh-CN"/>
        </w:rPr>
        <w:t>。</w:t>
      </w:r>
    </w:p>
    <w:p>
      <w:pPr>
        <w:tabs>
          <w:tab w:val="left" w:pos="1418"/>
        </w:tabs>
        <w:autoSpaceDE w:val="0"/>
        <w:autoSpaceDN w:val="0"/>
        <w:adjustRightIn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eastAsia="zh-CN"/>
        </w:rPr>
        <w:t>备份电子</w:t>
      </w:r>
      <w:r>
        <w:rPr>
          <w:rFonts w:hint="eastAsia" w:asciiTheme="minorEastAsia" w:hAnsiTheme="minorEastAsia" w:eastAsiaTheme="minorEastAsia"/>
          <w:kern w:val="0"/>
          <w:sz w:val="24"/>
        </w:rPr>
        <w:t>投标文件必须</w:t>
      </w:r>
      <w:r>
        <w:rPr>
          <w:rFonts w:hint="eastAsia" w:ascii="宋体" w:hAnsi="宋体" w:eastAsia="宋体"/>
          <w:kern w:val="0"/>
          <w:sz w:val="24"/>
        </w:rPr>
        <w:t>在规定时间前</w:t>
      </w:r>
      <w:r>
        <w:rPr>
          <w:rFonts w:hint="eastAsia" w:ascii="宋体" w:hAnsi="宋体" w:eastAsia="宋体"/>
          <w:kern w:val="0"/>
          <w:sz w:val="24"/>
          <w:lang w:eastAsia="zh-CN"/>
        </w:rPr>
        <w:t>以邮寄的方式</w:t>
      </w:r>
      <w:r>
        <w:rPr>
          <w:rFonts w:hint="eastAsia" w:ascii="宋体" w:hAnsi="宋体" w:eastAsia="宋体"/>
          <w:kern w:val="0"/>
          <w:sz w:val="24"/>
        </w:rPr>
        <w:t>送达指定的</w:t>
      </w:r>
      <w:r>
        <w:rPr>
          <w:rFonts w:hint="eastAsia" w:asciiTheme="minorEastAsia" w:hAnsiTheme="minorEastAsia" w:eastAsiaTheme="minorEastAsia"/>
          <w:kern w:val="0"/>
          <w:sz w:val="24"/>
        </w:rPr>
        <w:t>投标地点。</w:t>
      </w:r>
      <w:r>
        <w:rPr>
          <w:rFonts w:hint="eastAsia" w:asciiTheme="minorEastAsia" w:hAnsiTheme="minorEastAsia" w:eastAsiaTheme="minorEastAsia"/>
          <w:kern w:val="0"/>
          <w:sz w:val="24"/>
          <w:lang w:eastAsia="zh-CN"/>
        </w:rPr>
        <w:t>备份电子</w:t>
      </w:r>
      <w:r>
        <w:rPr>
          <w:rFonts w:hint="eastAsia" w:asciiTheme="minorEastAsia" w:hAnsiTheme="minorEastAsia" w:eastAsiaTheme="minorEastAsia"/>
          <w:kern w:val="0"/>
          <w:sz w:val="24"/>
        </w:rPr>
        <w:t>投标文件在截止时间后提交</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rPr>
        <w:t>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w:t>
      </w:r>
      <w:r>
        <w:rPr>
          <w:rFonts w:hint="eastAsia" w:asciiTheme="minorEastAsia" w:hAnsiTheme="minorEastAsia" w:eastAsiaTheme="minorEastAsia"/>
          <w:kern w:val="0"/>
          <w:sz w:val="24"/>
          <w:lang w:eastAsia="zh-CN"/>
        </w:rPr>
        <w:t>电子投标文件</w:t>
      </w:r>
      <w:r>
        <w:rPr>
          <w:rFonts w:hint="eastAsia" w:asciiTheme="minorEastAsia" w:hAnsiTheme="minorEastAsia" w:eastAsiaTheme="minorEastAsia"/>
          <w:kern w:val="0"/>
          <w:sz w:val="24"/>
        </w:rPr>
        <w:t>的补充、修改和撤回。</w:t>
      </w:r>
    </w:p>
    <w:p>
      <w:pPr>
        <w:tabs>
          <w:tab w:val="left" w:pos="960"/>
          <w:tab w:val="left" w:pos="1418"/>
        </w:tabs>
        <w:autoSpaceDE w:val="0"/>
        <w:autoSpaceDN w:val="0"/>
        <w:adjustRightInd w:val="0"/>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1）</w:t>
      </w:r>
      <w:r>
        <w:rPr>
          <w:rFonts w:hint="eastAsia" w:asciiTheme="minorEastAsia" w:hAnsiTheme="minorEastAsia" w:eastAsiaTheme="minorEastAsia"/>
          <w:kern w:val="0"/>
          <w:sz w:val="24"/>
        </w:rPr>
        <w:t>补充或者修改</w:t>
      </w:r>
      <w:r>
        <w:rPr>
          <w:rFonts w:hint="eastAsia" w:asciiTheme="minorEastAsia" w:hAnsiTheme="minorEastAsia" w:eastAsiaTheme="minorEastAsia"/>
          <w:kern w:val="0"/>
          <w:sz w:val="24"/>
          <w:lang w:eastAsia="zh-CN"/>
        </w:rPr>
        <w:t>电子投标文件</w:t>
      </w:r>
      <w:r>
        <w:rPr>
          <w:rFonts w:hint="eastAsia" w:asciiTheme="minorEastAsia" w:hAnsiTheme="minorEastAsia" w:eastAsiaTheme="minorEastAsia"/>
          <w:kern w:val="0"/>
          <w:sz w:val="24"/>
        </w:rPr>
        <w:t>的，应当先行撤回原文件，补充、修改后重新传输递交。投标截止时间前未完成传输的，视为撤回</w:t>
      </w:r>
      <w:r>
        <w:rPr>
          <w:rFonts w:hint="eastAsia" w:asciiTheme="minorEastAsia" w:hAnsiTheme="minorEastAsia" w:eastAsiaTheme="minorEastAsia"/>
          <w:kern w:val="0"/>
          <w:sz w:val="24"/>
          <w:lang w:eastAsia="zh-CN"/>
        </w:rPr>
        <w:t>电子投标文件</w:t>
      </w:r>
      <w:r>
        <w:rPr>
          <w:rFonts w:hint="eastAsia" w:asciiTheme="minorEastAsia" w:hAnsiTheme="minorEastAsia" w:eastAsiaTheme="minorEastAsia"/>
          <w:kern w:val="0"/>
          <w:sz w:val="24"/>
        </w:rPr>
        <w:t>。</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w:t>
      </w:r>
      <w:r>
        <w:rPr>
          <w:rFonts w:hint="eastAsia" w:asciiTheme="minorEastAsia" w:hAnsiTheme="minorEastAsia" w:eastAsiaTheme="minorEastAsia"/>
          <w:b/>
          <w:kern w:val="0"/>
          <w:sz w:val="24"/>
          <w:lang w:eastAsia="zh-CN"/>
        </w:rPr>
        <w:t>电子投标文件</w:t>
      </w:r>
      <w:r>
        <w:rPr>
          <w:rFonts w:hint="eastAsia" w:asciiTheme="minorEastAsia" w:hAnsiTheme="minorEastAsia" w:eastAsiaTheme="minorEastAsia"/>
          <w:b/>
          <w:kern w:val="0"/>
          <w:sz w:val="24"/>
        </w:rPr>
        <w:t>的有效期</w:t>
      </w:r>
    </w:p>
    <w:p>
      <w:pPr>
        <w:pStyle w:val="7"/>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自投标截止日起90天</w:t>
      </w:r>
      <w:r>
        <w:rPr>
          <w:rFonts w:hint="eastAsia" w:ascii="宋体" w:hAnsi="宋体"/>
          <w:color w:val="000000" w:themeColor="text1"/>
          <w:sz w:val="24"/>
          <w:lang w:val="en-GB" w:eastAsia="zh-CN"/>
          <w14:textFill>
            <w14:solidFill>
              <w14:schemeClr w14:val="tx1"/>
            </w14:solidFill>
          </w14:textFill>
        </w:rPr>
        <w:t>电子投标文件</w:t>
      </w:r>
      <w:r>
        <w:rPr>
          <w:rFonts w:hint="eastAsia" w:ascii="宋体" w:hAnsi="宋体"/>
          <w:color w:val="000000" w:themeColor="text1"/>
          <w:sz w:val="24"/>
          <w:lang w:val="en-GB"/>
          <w14:textFill>
            <w14:solidFill>
              <w14:schemeClr w14:val="tx1"/>
            </w14:solidFill>
          </w14:textFill>
        </w:rPr>
        <w:t>应保持有效。有效期不足的</w:t>
      </w:r>
      <w:r>
        <w:rPr>
          <w:rFonts w:hint="eastAsia" w:ascii="宋体" w:hAnsi="宋体"/>
          <w:color w:val="000000" w:themeColor="text1"/>
          <w:sz w:val="24"/>
          <w:lang w:val="en-GB" w:eastAsia="zh-CN"/>
          <w14:textFill>
            <w14:solidFill>
              <w14:schemeClr w14:val="tx1"/>
            </w14:solidFill>
          </w14:textFill>
        </w:rPr>
        <w:t>电子投标文件</w:t>
      </w:r>
      <w:r>
        <w:rPr>
          <w:rFonts w:hint="eastAsia" w:ascii="宋体" w:hAnsi="宋体"/>
          <w:color w:val="000000" w:themeColor="text1"/>
          <w:sz w:val="24"/>
          <w:lang w:val="en-GB"/>
          <w14:textFill>
            <w14:solidFill>
              <w14:schemeClr w14:val="tx1"/>
            </w14:solidFill>
          </w14:textFill>
        </w:rPr>
        <w:t>将被拒绝。</w:t>
      </w:r>
    </w:p>
    <w:p>
      <w:pPr>
        <w:pStyle w:val="7"/>
        <w:tabs>
          <w:tab w:val="left" w:pos="454"/>
          <w:tab w:val="left" w:pos="720"/>
          <w:tab w:val="left" w:pos="1200"/>
        </w:tabs>
        <w:snapToGrid w:val="0"/>
        <w:spacing w:line="360" w:lineRule="auto"/>
        <w:ind w:left="0"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在特殊情况下，采购人可与投标人协商延长</w:t>
      </w:r>
      <w:r>
        <w:rPr>
          <w:rFonts w:hint="eastAsia" w:ascii="宋体" w:hAnsi="宋体"/>
          <w:color w:val="000000" w:themeColor="text1"/>
          <w:sz w:val="24"/>
          <w:lang w:val="en-GB" w:eastAsia="zh-CN"/>
          <w14:textFill>
            <w14:solidFill>
              <w14:schemeClr w14:val="tx1"/>
            </w14:solidFill>
          </w14:textFill>
        </w:rPr>
        <w:t>电子投标文件</w:t>
      </w:r>
      <w:r>
        <w:rPr>
          <w:rFonts w:hint="eastAsia" w:ascii="宋体" w:hAnsi="宋体"/>
          <w:color w:val="000000" w:themeColor="text1"/>
          <w:sz w:val="24"/>
          <w:lang w:val="en-GB"/>
          <w14:textFill>
            <w14:solidFill>
              <w14:schemeClr w14:val="tx1"/>
            </w14:solidFill>
          </w14:textFill>
        </w:rPr>
        <w:t>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中标人的</w:t>
      </w:r>
      <w:r>
        <w:rPr>
          <w:rFonts w:hint="eastAsia" w:asciiTheme="minorEastAsia" w:hAnsiTheme="minorEastAsia" w:eastAsiaTheme="minorEastAsia"/>
          <w:color w:val="000000" w:themeColor="text1"/>
          <w:sz w:val="24"/>
          <w:lang w:eastAsia="zh-CN"/>
          <w14:textFill>
            <w14:solidFill>
              <w14:schemeClr w14:val="tx1"/>
            </w14:solidFill>
          </w14:textFill>
        </w:rPr>
        <w:t>电子投标文件</w:t>
      </w:r>
      <w:r>
        <w:rPr>
          <w:rFonts w:asciiTheme="minorEastAsia" w:hAnsiTheme="minorEastAsia" w:eastAsiaTheme="minorEastAsia"/>
          <w:color w:val="000000" w:themeColor="text1"/>
          <w:sz w:val="24"/>
          <w14:textFill>
            <w14:solidFill>
              <w14:schemeClr w14:val="tx1"/>
            </w14:solidFill>
          </w14:textFill>
        </w:rPr>
        <w:t>自开标之日起至合同履行完毕均应保持有效。</w:t>
      </w:r>
    </w:p>
    <w:p>
      <w:pPr>
        <w:snapToGrid w:val="0"/>
        <w:spacing w:line="360" w:lineRule="auto"/>
        <w:ind w:firstLine="472" w:firstLineChars="196"/>
        <w:rPr>
          <w:rFonts w:asciiTheme="minorEastAsia" w:hAnsiTheme="minorEastAsia" w:eastAsiaTheme="minorEastAsia"/>
          <w:b/>
          <w:kern w:val="0"/>
          <w:sz w:val="24"/>
        </w:rPr>
      </w:pPr>
      <w:r>
        <w:rPr>
          <w:rFonts w:hint="eastAsia" w:asciiTheme="minorEastAsia" w:hAnsiTheme="minorEastAsia" w:eastAsiaTheme="minorEastAsia"/>
          <w:b/>
          <w:kern w:val="0"/>
          <w:sz w:val="24"/>
        </w:rPr>
        <w:t>四、开标</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采购组织机构在“招标公告”规定的时间和地点公开开标，</w:t>
      </w:r>
      <w:r>
        <w:rPr>
          <w:rFonts w:hint="eastAsia" w:asciiTheme="minorEastAsia" w:hAnsiTheme="minorEastAsia" w:eastAsiaTheme="minorEastAsia"/>
          <w:bCs/>
          <w:color w:val="000000" w:themeColor="text1"/>
          <w:sz w:val="24"/>
          <w14:textFill>
            <w14:solidFill>
              <w14:schemeClr w14:val="tx1"/>
            </w14:solidFill>
          </w14:textFill>
        </w:rPr>
        <w:t>采购组织机构</w:t>
      </w:r>
      <w:r>
        <w:rPr>
          <w:rFonts w:asciiTheme="minorEastAsia" w:hAnsiTheme="minorEastAsia" w:eastAsiaTheme="minorEastAsia"/>
          <w:bCs/>
          <w:color w:val="000000" w:themeColor="text1"/>
          <w:sz w:val="24"/>
          <w14:textFill>
            <w14:solidFill>
              <w14:schemeClr w14:val="tx1"/>
            </w14:solidFill>
          </w14:textFill>
        </w:rPr>
        <w:t>工作人员接收</w:t>
      </w:r>
      <w:r>
        <w:rPr>
          <w:rFonts w:hint="eastAsia" w:asciiTheme="minorEastAsia" w:hAnsiTheme="minorEastAsia" w:eastAsiaTheme="minorEastAsia"/>
          <w:bCs/>
          <w:color w:val="000000" w:themeColor="text1"/>
          <w:sz w:val="24"/>
          <w:lang w:eastAsia="zh-CN"/>
          <w14:textFill>
            <w14:solidFill>
              <w14:schemeClr w14:val="tx1"/>
            </w14:solidFill>
          </w14:textFill>
        </w:rPr>
        <w:t>电子投标文件</w:t>
      </w:r>
      <w:r>
        <w:rPr>
          <w:rFonts w:asciiTheme="minorEastAsia" w:hAnsiTheme="minorEastAsia" w:eastAsiaTheme="minorEastAsia"/>
          <w:bCs/>
          <w:color w:val="000000" w:themeColor="text1"/>
          <w:sz w:val="24"/>
          <w14:textFill>
            <w14:solidFill>
              <w14:schemeClr w14:val="tx1"/>
            </w14:solidFill>
          </w14:textFill>
        </w:rPr>
        <w:t>并登记。</w:t>
      </w:r>
      <w:r>
        <w:rPr>
          <w:rFonts w:hint="eastAsia" w:asciiTheme="minorEastAsia" w:hAnsiTheme="minorEastAsia" w:eastAsiaTheme="minorEastAsia"/>
          <w:bCs/>
          <w:color w:val="000000" w:themeColor="text1"/>
          <w:sz w:val="24"/>
          <w14:textFill>
            <w14:solidFill>
              <w14:schemeClr w14:val="tx1"/>
            </w14:solidFill>
          </w14:textFill>
        </w:rPr>
        <w:t>评标委员会成员不得参加开标活动。</w:t>
      </w:r>
      <w:r>
        <w:rPr>
          <w:rFonts w:hint="eastAsia" w:asciiTheme="minorEastAsia" w:hAnsiTheme="minorEastAsia" w:eastAsiaTheme="minorEastAsia"/>
          <w:b/>
          <w:bCs/>
          <w:color w:val="000000" w:themeColor="text1"/>
          <w:kern w:val="0"/>
          <w:sz w:val="24"/>
          <w14:textFill>
            <w14:solidFill>
              <w14:schemeClr w14:val="tx1"/>
            </w14:solidFill>
          </w14:textFill>
        </w:rPr>
        <w:t>（本次招标</w:t>
      </w:r>
      <w:r>
        <w:rPr>
          <w:rFonts w:cs="Arial" w:asciiTheme="minorEastAsia" w:hAnsiTheme="minorEastAsia" w:eastAsiaTheme="minorEastAsia"/>
          <w:b/>
          <w:bCs/>
          <w:color w:val="000000" w:themeColor="text1"/>
          <w:sz w:val="24"/>
          <w14:textFill>
            <w14:solidFill>
              <w14:schemeClr w14:val="tx1"/>
            </w14:solidFill>
          </w14:textFill>
        </w:rPr>
        <w:t>采用先评审商务资格</w:t>
      </w:r>
      <w:r>
        <w:rPr>
          <w:rFonts w:hint="eastAsia" w:cs="Arial" w:asciiTheme="minorEastAsia" w:hAnsiTheme="minorEastAsia" w:eastAsiaTheme="minorEastAsia"/>
          <w:b/>
          <w:bCs/>
          <w:color w:val="000000" w:themeColor="text1"/>
          <w:sz w:val="24"/>
          <w14:textFill>
            <w14:solidFill>
              <w14:schemeClr w14:val="tx1"/>
            </w14:solidFill>
          </w14:textFill>
        </w:rPr>
        <w:t>和</w:t>
      </w:r>
      <w:r>
        <w:rPr>
          <w:rFonts w:cs="Arial" w:asciiTheme="minorEastAsia" w:hAnsiTheme="minorEastAsia" w:eastAsiaTheme="minorEastAsia"/>
          <w:b/>
          <w:bCs/>
          <w:color w:val="000000" w:themeColor="text1"/>
          <w:sz w:val="24"/>
          <w14:textFill>
            <w14:solidFill>
              <w14:schemeClr w14:val="tx1"/>
            </w14:solidFill>
          </w14:textFill>
        </w:rPr>
        <w:t>技术服务方案</w:t>
      </w:r>
      <w:r>
        <w:rPr>
          <w:rFonts w:hint="eastAsia" w:cs="Arial" w:asciiTheme="minorEastAsia" w:hAnsiTheme="minorEastAsia" w:eastAsiaTheme="minorEastAsia"/>
          <w:b/>
          <w:bCs/>
          <w:color w:val="000000" w:themeColor="text1"/>
          <w:sz w:val="24"/>
          <w14:textFill>
            <w14:solidFill>
              <w14:schemeClr w14:val="tx1"/>
            </w14:solidFill>
          </w14:textFill>
        </w:rPr>
        <w:t>，</w:t>
      </w:r>
      <w:r>
        <w:rPr>
          <w:rFonts w:cs="Arial" w:asciiTheme="minorEastAsia" w:hAnsiTheme="minorEastAsia" w:eastAsiaTheme="minorEastAsia"/>
          <w:b/>
          <w:bCs/>
          <w:color w:val="000000" w:themeColor="text1"/>
          <w:sz w:val="24"/>
          <w14:textFill>
            <w14:solidFill>
              <w14:schemeClr w14:val="tx1"/>
            </w14:solidFill>
          </w14:textFill>
        </w:rPr>
        <w:t>后公开并评审商务报价的办法</w:t>
      </w:r>
      <w:r>
        <w:rPr>
          <w:rFonts w:hint="eastAsia" w:asciiTheme="minorEastAsia" w:hAnsiTheme="minorEastAsia" w:eastAsiaTheme="minorEastAsia"/>
          <w:b/>
          <w:bCs/>
          <w:color w:val="000000" w:themeColor="text1"/>
          <w:kern w:val="0"/>
          <w:sz w:val="24"/>
          <w14:textFill>
            <w14:solidFill>
              <w14:schemeClr w14:val="tx1"/>
            </w14:solidFill>
          </w14:textFill>
        </w:rPr>
        <w:t>实施</w:t>
      </w:r>
      <w:r>
        <w:rPr>
          <w:rFonts w:hint="eastAsia" w:asciiTheme="minorEastAsia" w:hAnsiTheme="minorEastAsia" w:eastAsiaTheme="minorEastAsia"/>
          <w:b/>
          <w:bCs/>
          <w:color w:val="000000" w:themeColor="text1"/>
          <w:kern w:val="0"/>
          <w:sz w:val="24"/>
          <w:lang w:eastAsia="zh-CN"/>
          <w14:textFill>
            <w14:solidFill>
              <w14:schemeClr w14:val="tx1"/>
            </w14:solidFill>
          </w14:textFill>
        </w:rPr>
        <w:t>。各位供应商投标时必须根据菜单对应上传，切勿误传，否则一切后果自行承担</w:t>
      </w:r>
      <w:r>
        <w:rPr>
          <w:rFonts w:hint="eastAsia" w:asciiTheme="minorEastAsia" w:hAnsiTheme="minorEastAsia" w:eastAsiaTheme="minorEastAsia"/>
          <w:b/>
          <w:bCs/>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（二） 开</w:t>
      </w:r>
      <w:r>
        <w:rPr>
          <w:rFonts w:hint="eastAsia" w:asciiTheme="minorEastAsia" w:hAnsiTheme="minorEastAsia" w:eastAsiaTheme="minorEastAsia"/>
          <w:bCs/>
          <w:color w:val="000000" w:themeColor="text1"/>
          <w:sz w:val="24"/>
          <w14:textFill>
            <w14:solidFill>
              <w14:schemeClr w14:val="tx1"/>
            </w14:solidFill>
          </w14:textFill>
        </w:rPr>
        <w:t>标</w:t>
      </w:r>
      <w:r>
        <w:rPr>
          <w:rFonts w:asciiTheme="minorEastAsia" w:hAnsiTheme="minorEastAsia" w:eastAsiaTheme="minorEastAsia"/>
          <w:bCs/>
          <w:color w:val="000000" w:themeColor="text1"/>
          <w:sz w:val="24"/>
          <w14:textFill>
            <w14:solidFill>
              <w14:schemeClr w14:val="tx1"/>
            </w14:solidFill>
          </w14:textFill>
        </w:rPr>
        <w:t>程序：</w:t>
      </w:r>
    </w:p>
    <w:p>
      <w:pPr>
        <w:pStyle w:val="11"/>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1、开标</w:t>
      </w:r>
      <w:r>
        <w:rPr>
          <w:rFonts w:hint="eastAsia" w:asciiTheme="minorEastAsia" w:hAnsiTheme="minorEastAsia" w:eastAsiaTheme="minorEastAsia"/>
          <w:color w:val="000000" w:themeColor="text1"/>
          <w:sz w:val="24"/>
          <w:lang w:eastAsia="zh-CN"/>
          <w14:textFill>
            <w14:solidFill>
              <w14:schemeClr w14:val="tx1"/>
            </w14:solidFill>
          </w14:textFill>
        </w:rPr>
        <w:t>时间到后，</w:t>
      </w:r>
      <w:r>
        <w:rPr>
          <w:rFonts w:hint="eastAsia" w:asciiTheme="minorEastAsia" w:hAnsiTheme="minorEastAsia" w:eastAsiaTheme="minorEastAsia"/>
          <w:color w:val="000000" w:themeColor="text1"/>
          <w:sz w:val="24"/>
          <w14:textFill>
            <w14:solidFill>
              <w14:schemeClr w14:val="tx1"/>
            </w14:solidFill>
          </w14:textFill>
        </w:rPr>
        <w:t>招标项目负责人</w:t>
      </w:r>
      <w:r>
        <w:rPr>
          <w:rFonts w:hint="eastAsia" w:asciiTheme="minorEastAsia" w:hAnsiTheme="minorEastAsia" w:eastAsiaTheme="minorEastAsia"/>
          <w:color w:val="000000" w:themeColor="text1"/>
          <w:sz w:val="24"/>
          <w:lang w:eastAsia="zh-CN"/>
          <w14:textFill>
            <w14:solidFill>
              <w14:schemeClr w14:val="tx1"/>
            </w14:solidFill>
          </w14:textFill>
        </w:rPr>
        <w:t>准时组织开标</w:t>
      </w:r>
      <w:r>
        <w:rPr>
          <w:rFonts w:hint="eastAsia" w:asciiTheme="minorEastAsia" w:hAnsiTheme="minorEastAsia" w:eastAsiaTheme="minorEastAsia"/>
          <w:color w:val="000000" w:themeColor="text1"/>
          <w:sz w:val="24"/>
          <w14:textFill>
            <w14:solidFill>
              <w14:schemeClr w14:val="tx1"/>
            </w14:solidFill>
          </w14:textFill>
        </w:rPr>
        <w:t>；</w:t>
      </w:r>
    </w:p>
    <w:p>
      <w:pPr>
        <w:snapToGrid w:val="0"/>
        <w:spacing w:line="480" w:lineRule="exact"/>
        <w:ind w:firstLine="480" w:firstLineChars="200"/>
        <w:jc w:val="left"/>
        <w:rPr>
          <w:rFonts w:hint="eastAsia" w:ascii="宋体" w:hAnsi="宋体" w:cs="宋体"/>
          <w:b w:val="0"/>
          <w:bCs w:val="0"/>
          <w:sz w:val="24"/>
          <w:lang w:eastAsia="zh-CN"/>
        </w:rPr>
      </w:pP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sz w:val="24"/>
        </w:rPr>
        <w:t>投标人登录政采云平台，用“项目采购-开标评标”功能对电子投标文件进行在线解密。在线解密电子投标文件时间为开标时间起</w:t>
      </w:r>
      <w:r>
        <w:rPr>
          <w:rFonts w:hint="eastAsia" w:ascii="宋体" w:hAnsi="宋体" w:eastAsia="宋体" w:cs="宋体"/>
          <w:b w:val="0"/>
          <w:bCs w:val="0"/>
          <w:sz w:val="24"/>
          <w:lang w:eastAsia="zh-CN"/>
        </w:rPr>
        <w:t>半</w:t>
      </w:r>
      <w:r>
        <w:rPr>
          <w:rFonts w:hint="eastAsia" w:ascii="宋体" w:hAnsi="宋体" w:eastAsia="宋体" w:cs="宋体"/>
          <w:b w:val="0"/>
          <w:bCs w:val="0"/>
          <w:sz w:val="24"/>
        </w:rPr>
        <w:t>个小时内</w:t>
      </w:r>
      <w:r>
        <w:rPr>
          <w:rFonts w:hint="eastAsia" w:ascii="宋体" w:hAnsi="宋体" w:cs="宋体"/>
          <w:b w:val="0"/>
          <w:bCs w:val="0"/>
          <w:sz w:val="24"/>
          <w:lang w:eastAsia="zh-CN"/>
        </w:rPr>
        <w:t>。</w:t>
      </w:r>
    </w:p>
    <w:p>
      <w:pPr>
        <w:snapToGrid w:val="0"/>
        <w:spacing w:line="480" w:lineRule="exact"/>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lang w:val="en-US" w:eastAsia="zh-CN"/>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公布</w:t>
      </w:r>
      <w:r>
        <w:rPr>
          <w:rFonts w:hint="eastAsia" w:ascii="宋体" w:hAnsi="宋体" w:eastAsia="宋体" w:cs="宋体"/>
          <w:b w:val="0"/>
          <w:bCs w:val="0"/>
          <w:sz w:val="24"/>
          <w:lang w:eastAsia="zh-CN"/>
        </w:rPr>
        <w:t>开标</w:t>
      </w:r>
      <w:r>
        <w:rPr>
          <w:rFonts w:hint="eastAsia" w:ascii="宋体" w:hAnsi="宋体" w:eastAsia="宋体" w:cs="宋体"/>
          <w:b w:val="0"/>
          <w:bCs w:val="0"/>
          <w:sz w:val="24"/>
        </w:rPr>
        <w:t>结果。</w:t>
      </w:r>
    </w:p>
    <w:p>
      <w:pPr>
        <w:snapToGrid w:val="0"/>
        <w:spacing w:line="480" w:lineRule="exact"/>
        <w:ind w:firstLine="480" w:firstLineChars="200"/>
        <w:jc w:val="left"/>
        <w:rPr>
          <w:rFonts w:hint="eastAsia" w:ascii="宋体" w:hAnsi="宋体" w:eastAsia="宋体" w:cs="宋体"/>
          <w:b w:val="0"/>
          <w:bCs w:val="0"/>
          <w:sz w:val="24"/>
        </w:rPr>
      </w:pPr>
      <w:r>
        <w:rPr>
          <w:rFonts w:hint="eastAsia" w:ascii="宋体" w:hAnsi="宋体" w:cs="宋体"/>
          <w:b w:val="0"/>
          <w:bCs w:val="0"/>
          <w:color w:val="000000" w:themeColor="text1"/>
          <w:sz w:val="24"/>
          <w:lang w:val="en-US" w:eastAsia="zh-CN"/>
          <w14:textFill>
            <w14:solidFill>
              <w14:schemeClr w14:val="tx1"/>
            </w14:solidFill>
          </w14:textFill>
        </w:rPr>
        <w:t>4、</w:t>
      </w:r>
      <w:r>
        <w:rPr>
          <w:rFonts w:hint="eastAsia" w:ascii="宋体" w:hAnsi="宋体" w:eastAsia="宋体" w:cs="宋体"/>
          <w:b w:val="0"/>
          <w:bCs w:val="0"/>
          <w:color w:val="000000" w:themeColor="text1"/>
          <w:sz w:val="24"/>
          <w:lang w:eastAsia="zh-CN"/>
          <w14:textFill>
            <w14:solidFill>
              <w14:schemeClr w14:val="tx1"/>
            </w14:solidFill>
          </w14:textFill>
        </w:rPr>
        <w:t>特别说明：</w:t>
      </w:r>
      <w:r>
        <w:rPr>
          <w:rFonts w:hint="eastAsia" w:ascii="宋体" w:hAnsi="宋体" w:eastAsia="宋体" w:cs="宋体"/>
          <w:b w:val="0"/>
          <w:bCs w:val="0"/>
          <w:sz w:val="24"/>
        </w:rPr>
        <w:t>本项目原则上采用政采云电子招投标开标及评审程序，但有下情形之一的，按以下情况处理：</w:t>
      </w:r>
    </w:p>
    <w:p>
      <w:pPr>
        <w:numPr>
          <w:ilvl w:val="0"/>
          <w:numId w:val="7"/>
        </w:numPr>
        <w:snapToGrid w:val="0"/>
        <w:spacing w:line="480" w:lineRule="exact"/>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若投标人在规定时间内无法解密或解密失败，</w:t>
      </w:r>
      <w:r>
        <w:rPr>
          <w:rFonts w:hint="eastAsia" w:ascii="宋体" w:hAnsi="宋体" w:eastAsia="宋体" w:cs="宋体"/>
          <w:b w:val="0"/>
          <w:bCs w:val="0"/>
          <w:sz w:val="24"/>
          <w:lang w:eastAsia="zh-CN"/>
        </w:rPr>
        <w:t>台州</w:t>
      </w:r>
      <w:r>
        <w:rPr>
          <w:rFonts w:hint="eastAsia" w:ascii="宋体" w:hAnsi="宋体" w:eastAsia="宋体" w:cs="宋体"/>
          <w:b w:val="0"/>
          <w:bCs w:val="0"/>
          <w:sz w:val="24"/>
        </w:rPr>
        <w:t>市</w:t>
      </w:r>
      <w:r>
        <w:rPr>
          <w:rFonts w:hint="eastAsia" w:ascii="宋体" w:hAnsi="宋体" w:eastAsia="宋体" w:cs="宋体"/>
          <w:b w:val="0"/>
          <w:bCs w:val="0"/>
          <w:sz w:val="24"/>
          <w:lang w:eastAsia="zh-CN"/>
        </w:rPr>
        <w:t>政府采购</w:t>
      </w:r>
      <w:r>
        <w:rPr>
          <w:rFonts w:hint="eastAsia" w:ascii="宋体" w:hAnsi="宋体" w:eastAsia="宋体" w:cs="宋体"/>
          <w:b w:val="0"/>
          <w:bCs w:val="0"/>
          <w:sz w:val="24"/>
        </w:rPr>
        <w:t>中心将开启</w:t>
      </w:r>
      <w:r>
        <w:rPr>
          <w:rFonts w:hint="eastAsia" w:ascii="宋体" w:hAnsi="宋体" w:cs="宋体"/>
          <w:b w:val="0"/>
          <w:bCs w:val="0"/>
          <w:sz w:val="24"/>
          <w:lang w:eastAsia="zh-CN"/>
        </w:rPr>
        <w:t>该</w:t>
      </w:r>
      <w:r>
        <w:rPr>
          <w:rFonts w:hint="eastAsia" w:ascii="宋体" w:hAnsi="宋体" w:eastAsia="宋体" w:cs="宋体"/>
          <w:b w:val="0"/>
          <w:bCs w:val="0"/>
          <w:sz w:val="24"/>
        </w:rPr>
        <w:t>投标人递交的以介质存储的数据电文形式的</w:t>
      </w:r>
      <w:r>
        <w:rPr>
          <w:rFonts w:hint="eastAsia" w:ascii="宋体" w:hAnsi="宋体" w:cs="宋体"/>
          <w:b w:val="0"/>
          <w:bCs w:val="0"/>
          <w:sz w:val="24"/>
          <w:lang w:eastAsia="zh-CN"/>
        </w:rPr>
        <w:t>备份电子</w:t>
      </w:r>
      <w:r>
        <w:rPr>
          <w:rFonts w:hint="eastAsia" w:ascii="宋体" w:hAnsi="宋体" w:eastAsia="宋体" w:cs="宋体"/>
          <w:b w:val="0"/>
          <w:bCs w:val="0"/>
          <w:sz w:val="24"/>
        </w:rPr>
        <w:t>投标文件，上传至政采云平台项目采购模块，以完成开标，电子投标文件自动失效。</w:t>
      </w:r>
    </w:p>
    <w:p>
      <w:pPr>
        <w:snapToGrid w:val="0"/>
        <w:spacing w:line="480" w:lineRule="exact"/>
        <w:ind w:firstLine="480" w:firstLineChars="200"/>
        <w:jc w:val="left"/>
        <w:rPr>
          <w:rFonts w:ascii="仿宋_GB2312" w:hAnsi="宋体" w:eastAsia="仿宋_GB2312"/>
          <w:b/>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2）</w:t>
      </w:r>
      <w:r>
        <w:rPr>
          <w:rFonts w:hint="eastAsia" w:asciiTheme="minorEastAsia" w:hAnsiTheme="minorEastAsia" w:eastAsiaTheme="minorEastAsia"/>
          <w:color w:val="000000" w:themeColor="text1"/>
          <w:sz w:val="24"/>
          <w:lang w:val="en-US" w:eastAsia="zh-CN"/>
          <w14:textFill>
            <w14:solidFill>
              <w14:schemeClr w14:val="tx1"/>
            </w14:solidFill>
          </w14:textFill>
        </w:rPr>
        <w:t>开评标细则</w:t>
      </w:r>
      <w:r>
        <w:rPr>
          <w:rFonts w:hint="eastAsia" w:asciiTheme="minorEastAsia" w:hAnsiTheme="minorEastAsia" w:eastAsiaTheme="minorEastAsia"/>
          <w:color w:val="000000" w:themeColor="text1"/>
          <w:sz w:val="24"/>
          <w:lang w:eastAsia="zh-CN"/>
          <w14:textFill>
            <w14:solidFill>
              <w14:schemeClr w14:val="tx1"/>
            </w14:solidFill>
          </w14:textFill>
        </w:rPr>
        <w:t>按政采云电子评标流程进行。</w:t>
      </w:r>
      <w:r>
        <w:rPr>
          <w:rFonts w:hint="eastAsia" w:ascii="仿宋_GB2312" w:hAnsi="宋体" w:eastAsia="仿宋_GB2312"/>
          <w:b/>
          <w:sz w:val="24"/>
        </w:rPr>
        <w:t>特别说明：政采云公司如对电子化开标及评审程序有调整的，按调整后的程序操作。</w:t>
      </w:r>
    </w:p>
    <w:p>
      <w:pPr>
        <w:pStyle w:val="11"/>
        <w:snapToGrid w:val="0"/>
        <w:spacing w:line="360" w:lineRule="auto"/>
        <w:ind w:firstLine="420" w:firstLineChars="200"/>
        <w:rPr>
          <w:rFonts w:hint="default" w:eastAsia="宋体"/>
          <w:lang w:val="en-US" w:eastAsia="zh-CN"/>
        </w:rPr>
      </w:pPr>
    </w:p>
    <w:p>
      <w:pPr>
        <w:pStyle w:val="11"/>
        <w:snapToGrid w:val="0"/>
        <w:spacing w:line="360" w:lineRule="auto"/>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w:t>
      </w:r>
    </w:p>
    <w:p>
      <w:pPr>
        <w:pStyle w:val="11"/>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（一）组建评标委员会</w:t>
      </w:r>
    </w:p>
    <w:p>
      <w:pPr>
        <w:pStyle w:val="11"/>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14:textFill>
            <w14:solidFill>
              <w14:schemeClr w14:val="tx1"/>
            </w14:solidFill>
          </w14:textFill>
        </w:rPr>
        <w:t>和采购单位评审代表</w:t>
      </w:r>
      <w:r>
        <w:rPr>
          <w:rFonts w:asciiTheme="minorEastAsia" w:hAnsiTheme="minorEastAsia" w:eastAsiaTheme="minorEastAsia"/>
          <w:color w:val="000000" w:themeColor="text1"/>
          <w:sz w:val="24"/>
          <w14:textFill>
            <w14:solidFill>
              <w14:schemeClr w14:val="tx1"/>
            </w14:solidFill>
          </w14:textFill>
        </w:rPr>
        <w:t>组成。</w:t>
      </w:r>
    </w:p>
    <w:p>
      <w:pPr>
        <w:pStyle w:val="11"/>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评标程序</w:t>
      </w:r>
    </w:p>
    <w:p>
      <w:pPr>
        <w:snapToGrid w:val="0"/>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1、资格</w:t>
      </w:r>
      <w:r>
        <w:rPr>
          <w:rFonts w:asciiTheme="minorEastAsia" w:hAnsiTheme="minorEastAsia" w:eastAsiaTheme="minorEastAsia"/>
          <w:b/>
          <w:bCs/>
          <w:color w:val="000000" w:themeColor="text1"/>
          <w:sz w:val="24"/>
          <w14:textFill>
            <w14:solidFill>
              <w14:schemeClr w14:val="tx1"/>
            </w14:solidFill>
          </w14:textFill>
        </w:rPr>
        <w:t>审查</w:t>
      </w:r>
    </w:p>
    <w:p>
      <w:pPr>
        <w:pStyle w:val="8"/>
        <w:spacing w:line="360" w:lineRule="auto"/>
        <w:jc w:val="both"/>
        <w:rPr>
          <w:rFonts w:hint="default"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公开招标采购项目开标结束后，采购人或者采购组织机构应当依法对投标人的资格进行审查，对审查发现无效的进行必要的询标，</w:t>
      </w:r>
      <w:r>
        <w:rPr>
          <w:rFonts w:hint="eastAsia"/>
          <w:sz w:val="24"/>
          <w:szCs w:val="24"/>
          <w:lang w:eastAsia="zh-CN"/>
        </w:rPr>
        <w:t>由政采云在线公布</w:t>
      </w:r>
      <w:r>
        <w:rPr>
          <w:rFonts w:asciiTheme="minorEastAsia" w:hAnsiTheme="minorEastAsia" w:eastAsiaTheme="minorEastAsia"/>
          <w:color w:val="000000" w:themeColor="text1"/>
          <w:sz w:val="24"/>
          <w:szCs w:val="24"/>
          <w14:textFill>
            <w14:solidFill>
              <w14:schemeClr w14:val="tx1"/>
            </w14:solidFill>
          </w14:textFill>
        </w:rPr>
        <w:t>无效投标的投标人名单、投标无效的原因。</w:t>
      </w:r>
      <w:r>
        <w:rPr>
          <w:rFonts w:hint="eastAsia"/>
          <w:sz w:val="24"/>
          <w:szCs w:val="24"/>
          <w:lang w:eastAsia="zh-CN"/>
        </w:rPr>
        <w:t>（若系统原因无法公布的，将由录音电话代为公布）</w:t>
      </w:r>
    </w:p>
    <w:p>
      <w:pPr>
        <w:pStyle w:val="8"/>
        <w:numPr>
          <w:ilvl w:val="0"/>
          <w:numId w:val="8"/>
        </w:numPr>
        <w:spacing w:line="360" w:lineRule="auto"/>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符合性审查</w:t>
      </w:r>
    </w:p>
    <w:p>
      <w:pPr>
        <w:pStyle w:val="8"/>
        <w:numPr>
          <w:ilvl w:val="0"/>
          <w:numId w:val="0"/>
        </w:numPr>
        <w:spacing w:line="360" w:lineRule="auto"/>
        <w:rPr>
          <w:rFonts w:hint="eastAsia" w:eastAsiaTheme="minorEastAsia"/>
          <w:sz w:val="24"/>
          <w:szCs w:val="24"/>
          <w:lang w:eastAsia="zh-CN"/>
        </w:rPr>
      </w:pPr>
      <w:r>
        <w:rPr>
          <w:rFonts w:asciiTheme="minorEastAsia" w:hAnsiTheme="minorEastAsia" w:eastAsiaTheme="minorEastAsia"/>
          <w:color w:val="000000" w:themeColor="text1"/>
          <w:sz w:val="24"/>
          <w:szCs w:val="24"/>
          <w14:textFill>
            <w14:solidFill>
              <w14:schemeClr w14:val="tx1"/>
            </w14:solidFill>
          </w14:textFill>
        </w:rPr>
        <w:t>评标委员会应当对符合资格的投标人的</w:t>
      </w:r>
      <w:r>
        <w:rPr>
          <w:rFonts w:hint="eastAsia" w:asciiTheme="minorEastAsia" w:hAnsiTheme="minorEastAsia" w:eastAsiaTheme="minorEastAsia"/>
          <w:color w:val="000000" w:themeColor="text1"/>
          <w:sz w:val="24"/>
          <w:szCs w:val="24"/>
          <w:lang w:eastAsia="zh-CN"/>
          <w14:textFill>
            <w14:solidFill>
              <w14:schemeClr w14:val="tx1"/>
            </w14:solidFill>
          </w14:textFill>
        </w:rPr>
        <w:t>电子</w:t>
      </w:r>
      <w:r>
        <w:rPr>
          <w:rFonts w:asciiTheme="minorEastAsia" w:hAnsiTheme="minorEastAsia" w:eastAsiaTheme="minorEastAsia"/>
          <w:color w:val="000000" w:themeColor="text1"/>
          <w:sz w:val="24"/>
          <w:szCs w:val="24"/>
          <w14:textFill>
            <w14:solidFill>
              <w14:schemeClr w14:val="tx1"/>
            </w14:solidFill>
          </w14:textFill>
        </w:rPr>
        <w:t>投标文件进行符合性审查，以确定其是否满足招标文件的实质性要求，对审查发现无效的进行必要的询标，</w:t>
      </w:r>
      <w:r>
        <w:rPr>
          <w:rFonts w:hint="eastAsia"/>
          <w:sz w:val="24"/>
          <w:szCs w:val="24"/>
          <w:lang w:eastAsia="zh-CN"/>
        </w:rPr>
        <w:t>对</w:t>
      </w:r>
      <w:r>
        <w:rPr>
          <w:rFonts w:asciiTheme="minorEastAsia" w:hAnsiTheme="minorEastAsia" w:eastAsiaTheme="minorEastAsia"/>
          <w:color w:val="000000" w:themeColor="text1"/>
          <w:sz w:val="24"/>
          <w:szCs w:val="24"/>
          <w14:textFill>
            <w14:solidFill>
              <w14:schemeClr w14:val="tx1"/>
            </w14:solidFill>
          </w14:textFill>
        </w:rPr>
        <w:t>无效投标的投标人名单</w:t>
      </w:r>
      <w:r>
        <w:rPr>
          <w:rFonts w:hint="eastAsia" w:asciiTheme="minorEastAsia" w:hAnsiTheme="minorEastAsia" w:eastAsiaTheme="minorEastAsia"/>
          <w:color w:val="000000" w:themeColor="text1"/>
          <w:sz w:val="24"/>
          <w:szCs w:val="24"/>
          <w:lang w:eastAsia="zh-CN"/>
          <w14:textFill>
            <w14:solidFill>
              <w14:schemeClr w14:val="tx1"/>
            </w14:solidFill>
          </w14:textFill>
        </w:rPr>
        <w:t>及</w:t>
      </w:r>
      <w:r>
        <w:rPr>
          <w:rFonts w:asciiTheme="minorEastAsia" w:hAnsiTheme="minorEastAsia" w:eastAsiaTheme="minorEastAsia"/>
          <w:color w:val="000000" w:themeColor="text1"/>
          <w:sz w:val="24"/>
          <w:szCs w:val="24"/>
          <w14:textFill>
            <w14:solidFill>
              <w14:schemeClr w14:val="tx1"/>
            </w14:solidFill>
          </w14:textFill>
        </w:rPr>
        <w:t>投标无效原因</w:t>
      </w:r>
      <w:r>
        <w:rPr>
          <w:rFonts w:hint="eastAsia" w:asciiTheme="minorEastAsia" w:hAnsiTheme="minorEastAsia" w:eastAsiaTheme="minorEastAsia"/>
          <w:color w:val="000000" w:themeColor="text1"/>
          <w:sz w:val="24"/>
          <w:szCs w:val="24"/>
          <w:lang w:eastAsia="zh-CN"/>
          <w14:textFill>
            <w14:solidFill>
              <w14:schemeClr w14:val="tx1"/>
            </w14:solidFill>
          </w14:textFill>
        </w:rPr>
        <w:t>的公布方式同上。</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w:t>
      </w:r>
      <w:r>
        <w:rPr>
          <w:rFonts w:hint="default" w:ascii="Arial" w:hAnsi="Arial" w:cs="Arial"/>
          <w:b/>
          <w:bCs/>
          <w:color w:val="000000" w:themeColor="text1"/>
          <w14:textFill>
            <w14:solidFill>
              <w14:schemeClr w14:val="tx1"/>
            </w14:solidFill>
          </w14:textFill>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（1）对于</w:t>
      </w:r>
      <w:r>
        <w:rPr>
          <w:rFonts w:hint="eastAsia" w:asciiTheme="minorEastAsia" w:hAnsiTheme="minorEastAsia" w:eastAsiaTheme="minorEastAsia"/>
          <w:color w:val="000000" w:themeColor="text1"/>
          <w:lang w:eastAsia="zh-CN"/>
          <w14:textFill>
            <w14:solidFill>
              <w14:schemeClr w14:val="tx1"/>
            </w14:solidFill>
          </w14:textFill>
        </w:rPr>
        <w:t>电子</w:t>
      </w:r>
      <w:r>
        <w:rPr>
          <w:rFonts w:asciiTheme="minorEastAsia" w:hAnsiTheme="minorEastAsia" w:eastAsiaTheme="minorEastAsia"/>
          <w:color w:val="000000" w:themeColor="text1"/>
          <w14:textFill>
            <w14:solidFill>
              <w14:schemeClr w14:val="tx1"/>
            </w14:solidFill>
          </w14:textFill>
        </w:rPr>
        <w:t>投标文件中含义不明确、同类问题表述不一致或者有明显文字和计算错误的内容，评标委员会应当以</w:t>
      </w:r>
      <w:r>
        <w:rPr>
          <w:rFonts w:hint="eastAsia" w:asciiTheme="minorEastAsia" w:hAnsiTheme="minorEastAsia" w:eastAsiaTheme="minorEastAsia"/>
          <w:color w:val="000000" w:themeColor="text1"/>
          <w:lang w:eastAsia="zh-CN"/>
          <w14:textFill>
            <w14:solidFill>
              <w14:schemeClr w14:val="tx1"/>
            </w14:solidFill>
          </w14:textFill>
        </w:rPr>
        <w:t>在线</w:t>
      </w:r>
      <w:r>
        <w:rPr>
          <w:rFonts w:asciiTheme="minorEastAsia" w:hAnsiTheme="minorEastAsia" w:eastAsiaTheme="minorEastAsia"/>
          <w:color w:val="000000" w:themeColor="text1"/>
          <w14:textFill>
            <w14:solidFill>
              <w14:schemeClr w14:val="tx1"/>
            </w14:solidFill>
          </w14:textFill>
        </w:rPr>
        <w:t>询标形式要求投标人作出必要的澄清、说明或者补正。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w:t>
      </w:r>
      <w:r>
        <w:rPr>
          <w:rFonts w:hint="eastAsia" w:asciiTheme="minorEastAsia" w:hAnsiTheme="minorEastAsia" w:eastAsiaTheme="minorEastAsia"/>
          <w:color w:val="000000" w:themeColor="text1"/>
          <w:lang w:eastAsia="zh-CN"/>
          <w14:textFill>
            <w14:solidFill>
              <w14:schemeClr w14:val="tx1"/>
            </w14:solidFill>
          </w14:textFill>
        </w:rPr>
        <w:t>电子</w:t>
      </w:r>
      <w:r>
        <w:rPr>
          <w:rFonts w:asciiTheme="minorEastAsia" w:hAnsiTheme="minorEastAsia" w:eastAsiaTheme="minorEastAsia"/>
          <w:color w:val="000000" w:themeColor="text1"/>
          <w14:textFill>
            <w14:solidFill>
              <w14:schemeClr w14:val="tx1"/>
            </w14:solidFill>
          </w14:textFill>
        </w:rPr>
        <w:t>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（3）评标时，评标委员会各成员应当独立对每个投标人的</w:t>
      </w:r>
      <w:r>
        <w:rPr>
          <w:rFonts w:hint="eastAsia" w:asciiTheme="minorEastAsia" w:hAnsiTheme="minorEastAsia" w:eastAsiaTheme="minorEastAsia"/>
          <w:color w:val="000000" w:themeColor="text1"/>
          <w:kern w:val="0"/>
          <w:sz w:val="24"/>
          <w:lang w:eastAsia="zh-CN"/>
          <w14:textFill>
            <w14:solidFill>
              <w14:schemeClr w14:val="tx1"/>
            </w14:solidFill>
          </w14:textFill>
        </w:rPr>
        <w:t>电子</w:t>
      </w:r>
      <w:r>
        <w:rPr>
          <w:rFonts w:hint="eastAsia" w:asciiTheme="minorEastAsia" w:hAnsiTheme="minorEastAsia" w:eastAsiaTheme="minorEastAsia"/>
          <w:color w:val="000000" w:themeColor="text1"/>
          <w:kern w:val="0"/>
          <w:sz w:val="24"/>
          <w14:textFill>
            <w14:solidFill>
              <w14:schemeClr w14:val="tx1"/>
            </w14:solidFill>
          </w14:textFill>
        </w:rPr>
        <w:t>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4、得分确认及评审报告编写</w:t>
      </w:r>
    </w:p>
    <w:p>
      <w:pPr>
        <w:pStyle w:val="11"/>
        <w:snapToGrid w:val="0"/>
        <w:spacing w:line="360" w:lineRule="auto"/>
        <w:ind w:firstLine="420" w:firstLineChars="17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w:t>
      </w:r>
      <w:r>
        <w:rPr>
          <w:rFonts w:hint="eastAsia" w:asciiTheme="minorEastAsia" w:hAnsiTheme="minorEastAsia" w:eastAsiaTheme="minorEastAsia"/>
          <w:color w:val="000000" w:themeColor="text1"/>
          <w:lang w:eastAsia="zh-CN"/>
          <w14:textFill>
            <w14:solidFill>
              <w14:schemeClr w14:val="tx1"/>
            </w14:solidFill>
          </w14:textFill>
        </w:rPr>
        <w:t>电子</w:t>
      </w:r>
      <w:r>
        <w:rPr>
          <w:rFonts w:asciiTheme="minorEastAsia" w:hAnsiTheme="minorEastAsia" w:eastAsiaTheme="minorEastAsia"/>
          <w:color w:val="000000" w:themeColor="text1"/>
          <w14:textFill>
            <w14:solidFill>
              <w14:schemeClr w14:val="tx1"/>
            </w14:solidFill>
          </w14:textFill>
        </w:rPr>
        <w:t>投标文件进行商务和技术评估，综合比较与评价。</w:t>
      </w:r>
    </w:p>
    <w:p>
      <w:pPr>
        <w:snapToGrid w:val="0"/>
        <w:spacing w:line="360" w:lineRule="auto"/>
        <w:ind w:firstLine="480" w:firstLineChars="200"/>
        <w:rPr>
          <w:rFonts w:ascii="Arial" w:hAnsi="Arial" w:cs="Arial"/>
          <w:b/>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评标委员会</w:t>
      </w:r>
      <w:r>
        <w:rPr>
          <w:rFonts w:asciiTheme="minorEastAsia" w:hAnsiTheme="minorEastAsia" w:eastAsiaTheme="minorEastAsia"/>
          <w:color w:val="000000" w:themeColor="text1"/>
          <w:sz w:val="24"/>
          <w14:textFill>
            <w14:solidFill>
              <w14:schemeClr w14:val="tx1"/>
            </w14:solidFill>
          </w14:textFill>
        </w:rPr>
        <w:t>按评标原则</w:t>
      </w:r>
      <w:r>
        <w:rPr>
          <w:rFonts w:hint="eastAsia" w:asciiTheme="minorEastAsia" w:hAnsiTheme="minorEastAsia" w:eastAsiaTheme="minorEastAsia"/>
          <w:color w:val="000000" w:themeColor="text1"/>
          <w:sz w:val="24"/>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投标人的澄清、说明或者补正应当采用</w:t>
      </w:r>
      <w:r>
        <w:rPr>
          <w:rFonts w:hint="eastAsia" w:asciiTheme="minorEastAsia" w:hAnsiTheme="minorEastAsia"/>
          <w:color w:val="000000" w:themeColor="text1"/>
          <w:sz w:val="24"/>
          <w:lang w:eastAsia="zh-CN"/>
          <w14:textFill>
            <w14:solidFill>
              <w14:schemeClr w14:val="tx1"/>
            </w14:solidFill>
          </w14:textFill>
        </w:rPr>
        <w:t>电子询标</w:t>
      </w:r>
      <w:r>
        <w:rPr>
          <w:rFonts w:hint="eastAsia" w:asciiTheme="minorEastAsia" w:hAnsiTheme="minorEastAsia"/>
          <w:color w:val="000000" w:themeColor="text1"/>
          <w:sz w:val="24"/>
          <w14:textFill>
            <w14:solidFill>
              <w14:schemeClr w14:val="tx1"/>
            </w14:solidFill>
          </w14:textFill>
        </w:rPr>
        <w:t>形式，并加盖公章</w:t>
      </w:r>
      <w:r>
        <w:rPr>
          <w:rFonts w:hint="eastAsia" w:asciiTheme="minorEastAsia" w:hAnsiTheme="minorEastAsia"/>
          <w:color w:val="000000" w:themeColor="text1"/>
          <w:sz w:val="24"/>
          <w:lang w:eastAsia="zh-CN"/>
          <w14:textFill>
            <w14:solidFill>
              <w14:schemeClr w14:val="tx1"/>
            </w14:solidFill>
          </w14:textFill>
        </w:rPr>
        <w:t>（电子印章）</w:t>
      </w:r>
      <w:r>
        <w:rPr>
          <w:rFonts w:hint="eastAsia" w:asciiTheme="minorEastAsia" w:hAnsiTheme="minorEastAsia"/>
          <w:color w:val="000000" w:themeColor="text1"/>
          <w:sz w:val="24"/>
          <w14:textFill>
            <w14:solidFill>
              <w14:schemeClr w14:val="tx1"/>
            </w14:solidFill>
          </w14:textFill>
        </w:rPr>
        <w:t>，并不得超出</w:t>
      </w:r>
      <w:r>
        <w:rPr>
          <w:rFonts w:hint="eastAsia" w:asciiTheme="minorEastAsia" w:hAnsiTheme="minorEastAsia"/>
          <w:color w:val="000000" w:themeColor="text1"/>
          <w:sz w:val="24"/>
          <w:lang w:eastAsia="zh-CN"/>
          <w14:textFill>
            <w14:solidFill>
              <w14:schemeClr w14:val="tx1"/>
            </w14:solidFill>
          </w14:textFill>
        </w:rPr>
        <w:t>电子</w:t>
      </w:r>
      <w:r>
        <w:rPr>
          <w:rFonts w:hint="eastAsia" w:asciiTheme="minorEastAsia" w:hAnsiTheme="minorEastAsia"/>
          <w:color w:val="000000" w:themeColor="text1"/>
          <w:sz w:val="24"/>
          <w14:textFill>
            <w14:solidFill>
              <w14:schemeClr w14:val="tx1"/>
            </w14:solidFill>
          </w14:textFill>
        </w:rPr>
        <w:t>投标文件的范围或者改变</w:t>
      </w:r>
      <w:r>
        <w:rPr>
          <w:rFonts w:hint="eastAsia" w:asciiTheme="minorEastAsia" w:hAnsiTheme="minorEastAsia"/>
          <w:color w:val="000000" w:themeColor="text1"/>
          <w:sz w:val="24"/>
          <w:lang w:eastAsia="zh-CN"/>
          <w14:textFill>
            <w14:solidFill>
              <w14:schemeClr w14:val="tx1"/>
            </w14:solidFill>
          </w14:textFill>
        </w:rPr>
        <w:t>电子</w:t>
      </w:r>
      <w:r>
        <w:rPr>
          <w:rFonts w:hint="eastAsia" w:asciiTheme="minorEastAsia" w:hAnsiTheme="minorEastAsia"/>
          <w:color w:val="000000" w:themeColor="text1"/>
          <w:sz w:val="24"/>
          <w14:textFill>
            <w14:solidFill>
              <w14:schemeClr w14:val="tx1"/>
            </w14:solidFill>
          </w14:textFill>
        </w:rPr>
        <w:t>投标文件的实质性内容。</w:t>
      </w:r>
    </w:p>
    <w:p>
      <w:pPr>
        <w:pStyle w:val="11"/>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电子</w:t>
      </w:r>
      <w:r>
        <w:rPr>
          <w:rFonts w:asciiTheme="minorEastAsia" w:hAnsiTheme="minorEastAsia" w:eastAsiaTheme="minorEastAsia"/>
          <w:color w:val="000000" w:themeColor="text1"/>
          <w14:textFill>
            <w14:solidFill>
              <w14:schemeClr w14:val="tx1"/>
            </w14:solidFill>
          </w14:textFill>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w:t>
      </w:r>
      <w:r>
        <w:rPr>
          <w:rFonts w:hint="eastAsia" w:asciiTheme="minorEastAsia" w:hAnsiTheme="minorEastAsia" w:eastAsiaTheme="minorEastAsia"/>
          <w:color w:val="000000" w:themeColor="text1"/>
          <w:lang w:eastAsia="zh-CN"/>
          <w14:textFill>
            <w14:solidFill>
              <w14:schemeClr w14:val="tx1"/>
            </w14:solidFill>
          </w14:textFill>
        </w:rPr>
        <w:t>电子投标文件</w:t>
      </w:r>
      <w:r>
        <w:rPr>
          <w:rFonts w:asciiTheme="minorEastAsia" w:hAnsiTheme="minorEastAsia" w:eastAsiaTheme="minorEastAsia"/>
          <w:color w:val="000000" w:themeColor="text1"/>
          <w14:textFill>
            <w14:solidFill>
              <w14:schemeClr w14:val="tx1"/>
            </w14:solidFill>
          </w14:textFill>
        </w:rPr>
        <w:t>中开标一览表（报价表）内容与</w:t>
      </w:r>
      <w:r>
        <w:rPr>
          <w:rFonts w:hint="eastAsia" w:asciiTheme="minorEastAsia" w:hAnsiTheme="minorEastAsia" w:eastAsiaTheme="minorEastAsia"/>
          <w:color w:val="000000" w:themeColor="text1"/>
          <w:lang w:eastAsia="zh-CN"/>
          <w14:textFill>
            <w14:solidFill>
              <w14:schemeClr w14:val="tx1"/>
            </w14:solidFill>
          </w14:textFill>
        </w:rPr>
        <w:t>电子投标文件</w:t>
      </w:r>
      <w:r>
        <w:rPr>
          <w:rFonts w:asciiTheme="minorEastAsia" w:hAnsiTheme="minorEastAsia" w:eastAsiaTheme="minorEastAsia"/>
          <w:color w:val="000000" w:themeColor="text1"/>
          <w14:textFill>
            <w14:solidFill>
              <w14:schemeClr w14:val="tx1"/>
            </w14:solidFill>
          </w14:textFill>
        </w:rPr>
        <w:t>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同时出现两种以上不一致的，按照前款规定的顺序修正。修正应当采用</w:t>
      </w:r>
      <w:r>
        <w:rPr>
          <w:rFonts w:hint="eastAsia" w:asciiTheme="minorEastAsia" w:hAnsiTheme="minorEastAsia" w:eastAsiaTheme="minorEastAsia"/>
          <w:color w:val="000000" w:themeColor="text1"/>
          <w:lang w:eastAsia="zh-CN"/>
          <w14:textFill>
            <w14:solidFill>
              <w14:schemeClr w14:val="tx1"/>
            </w14:solidFill>
          </w14:textFill>
        </w:rPr>
        <w:t>电子询标的</w:t>
      </w:r>
      <w:r>
        <w:rPr>
          <w:rFonts w:asciiTheme="minorEastAsia" w:hAnsiTheme="minorEastAsia" w:eastAsiaTheme="minorEastAsia"/>
          <w:color w:val="000000" w:themeColor="text1"/>
          <w14:textFill>
            <w14:solidFill>
              <w14:schemeClr w14:val="tx1"/>
            </w14:solidFill>
          </w14:textFill>
        </w:rPr>
        <w:t>形式，并加盖公章</w:t>
      </w:r>
      <w:r>
        <w:rPr>
          <w:rFonts w:hint="eastAsia" w:asciiTheme="minorEastAsia" w:hAnsiTheme="minorEastAsia"/>
          <w:color w:val="000000" w:themeColor="text1"/>
          <w:sz w:val="24"/>
          <w:lang w:eastAsia="zh-CN"/>
          <w14:textFill>
            <w14:solidFill>
              <w14:schemeClr w14:val="tx1"/>
            </w14:solidFill>
          </w14:textFill>
        </w:rPr>
        <w:t>（电子印章）</w:t>
      </w:r>
      <w:r>
        <w:rPr>
          <w:rFonts w:asciiTheme="minorEastAsia" w:hAnsiTheme="minorEastAsia" w:eastAsiaTheme="minorEastAsia"/>
          <w:color w:val="000000" w:themeColor="text1"/>
          <w14:textFill>
            <w14:solidFill>
              <w14:schemeClr w14:val="tx1"/>
            </w14:solidFill>
          </w14:textFill>
        </w:rPr>
        <w:t>。</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（五）</w:t>
      </w:r>
      <w:r>
        <w:rPr>
          <w:rFonts w:asciiTheme="minorEastAsia" w:hAnsiTheme="minorEastAsia" w:eastAsiaTheme="minorEastAsia"/>
          <w:b/>
          <w:color w:val="000000" w:themeColor="text1"/>
          <w14:textFill>
            <w14:solidFill>
              <w14:schemeClr w14:val="tx1"/>
            </w14:solidFill>
          </w14:textFill>
        </w:rPr>
        <w:t>投标人存在下列情况之一的，投标无效</w:t>
      </w:r>
    </w:p>
    <w:p>
      <w:pPr>
        <w:adjustRightInd w:val="0"/>
        <w:snapToGrid w:val="0"/>
        <w:spacing w:line="360" w:lineRule="auto"/>
        <w:ind w:left="4" w:firstLine="411" w:firstLineChars="196"/>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b/>
          <w:bCs/>
          <w:kern w:val="0"/>
          <w:sz w:val="24"/>
        </w:rPr>
        <w:t>在资格证明</w:t>
      </w:r>
      <w:r>
        <w:rPr>
          <w:rFonts w:hint="eastAsia" w:asciiTheme="minorEastAsia" w:hAnsiTheme="minorEastAsia" w:eastAsiaTheme="minorEastAsia"/>
          <w:b/>
          <w:bCs/>
          <w:kern w:val="0"/>
          <w:sz w:val="24"/>
          <w:lang w:eastAsia="zh-CN"/>
        </w:rPr>
        <w:t>模块</w:t>
      </w:r>
      <w:r>
        <w:rPr>
          <w:rFonts w:hint="eastAsia" w:asciiTheme="minorEastAsia" w:hAnsiTheme="minorEastAsia" w:eastAsiaTheme="minorEastAsia"/>
          <w:b/>
          <w:bCs/>
          <w:kern w:val="0"/>
          <w:sz w:val="24"/>
        </w:rPr>
        <w:t>或商务与技术</w:t>
      </w:r>
      <w:r>
        <w:rPr>
          <w:rFonts w:hint="eastAsia" w:asciiTheme="minorEastAsia" w:hAnsiTheme="minorEastAsia" w:eastAsiaTheme="minorEastAsia"/>
          <w:b/>
          <w:bCs/>
          <w:kern w:val="0"/>
          <w:sz w:val="24"/>
          <w:lang w:eastAsia="zh-CN"/>
        </w:rPr>
        <w:t>模块</w:t>
      </w:r>
      <w:r>
        <w:rPr>
          <w:rFonts w:hint="eastAsia" w:asciiTheme="minorEastAsia" w:hAnsiTheme="minorEastAsia" w:eastAsiaTheme="minorEastAsia"/>
          <w:b/>
          <w:bCs/>
          <w:kern w:val="0"/>
          <w:sz w:val="24"/>
        </w:rPr>
        <w:t>中出现投标报价的</w:t>
      </w:r>
      <w:r>
        <w:rPr>
          <w:rFonts w:hint="eastAsia" w:asciiTheme="minorEastAsia" w:hAnsiTheme="minorEastAsia" w:eastAsiaTheme="minorEastAsia"/>
          <w:kern w:val="0"/>
          <w:sz w:val="24"/>
        </w:rPr>
        <w:t>，或者报价文件中报价的货物跟商务与技术文件中的投标货物出现重大偏差的；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w:t>
      </w:r>
      <w:r>
        <w:rPr>
          <w:rFonts w:hint="eastAsia" w:asciiTheme="minorEastAsia" w:hAnsiTheme="minorEastAsia" w:eastAsiaTheme="minorEastAsia"/>
          <w:color w:val="000000" w:themeColor="text1"/>
          <w:lang w:eastAsia="zh-CN"/>
          <w14:textFill>
            <w14:solidFill>
              <w14:schemeClr w14:val="tx1"/>
            </w14:solidFill>
          </w14:textFill>
        </w:rPr>
        <w:t>电子投标文件</w:t>
      </w:r>
      <w:r>
        <w:rPr>
          <w:rFonts w:asciiTheme="minorEastAsia" w:hAnsiTheme="minorEastAsia" w:eastAsiaTheme="minorEastAsia"/>
          <w:color w:val="000000" w:themeColor="text1"/>
          <w14:textFill>
            <w14:solidFill>
              <w14:schemeClr w14:val="tx1"/>
            </w14:solidFill>
          </w14:textFill>
        </w:rPr>
        <w:t>含有采购人不能接受的附加条件的。</w:t>
      </w:r>
    </w:p>
    <w:p>
      <w:pPr>
        <w:pStyle w:val="8"/>
        <w:spacing w:line="360" w:lineRule="auto"/>
        <w:ind w:firstLine="480" w:firstLineChars="200"/>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评标委员会认为投标人的报价明显低于其他通过符合性审查投标人的报价，有可能影响产品质量或者不能诚信履约的，应当要求其在合理的时间内提供</w:t>
      </w:r>
      <w:r>
        <w:rPr>
          <w:rFonts w:hint="eastAsia"/>
          <w:sz w:val="24"/>
          <w:szCs w:val="24"/>
          <w:lang w:eastAsia="zh-CN"/>
        </w:rPr>
        <w:t>进行电子答复</w:t>
      </w:r>
      <w:r>
        <w:rPr>
          <w:rFonts w:asciiTheme="minorEastAsia" w:hAnsiTheme="minorEastAsia" w:eastAsiaTheme="minorEastAsia"/>
          <w:color w:val="000000" w:themeColor="text1"/>
          <w:sz w:val="24"/>
          <w:szCs w:val="24"/>
          <w14:textFill>
            <w14:solidFill>
              <w14:schemeClr w14:val="tx1"/>
            </w14:solidFill>
          </w14:textFill>
        </w:rPr>
        <w:t>，必要时提交相关证明材料；投标人不能证明其报价合理性的，评标委员会应当将其作为无效投标处理。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5、报价超过招标文件中规定的预算金额/最高限价。 </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、主要性能参数指标负偏离</w:t>
      </w:r>
      <w:r>
        <w:rPr>
          <w:rFonts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8</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kern w:val="0"/>
          <w:sz w:val="24"/>
          <w:lang w:eastAsia="zh-CN"/>
          <w14:textFill>
            <w14:solidFill>
              <w14:schemeClr w14:val="tx1"/>
            </w14:solidFill>
          </w14:textFill>
        </w:rPr>
        <w:t>电子投标文件</w:t>
      </w:r>
      <w:r>
        <w:rPr>
          <w:rFonts w:hint="eastAsia" w:asciiTheme="minorEastAsia" w:hAnsiTheme="minorEastAsia" w:eastAsiaTheme="minorEastAsia"/>
          <w:color w:val="000000" w:themeColor="text1"/>
          <w:kern w:val="0"/>
          <w:sz w:val="24"/>
          <w14:textFill>
            <w14:solidFill>
              <w14:schemeClr w14:val="tx1"/>
            </w14:solidFill>
          </w14:textFill>
        </w:rPr>
        <w:t xml:space="preserve">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9</w:t>
      </w:r>
      <w:r>
        <w:rPr>
          <w:rFonts w:asciiTheme="minorEastAsia" w:hAnsiTheme="minorEastAsia" w:eastAsiaTheme="minorEastAsia"/>
          <w:color w:val="000000" w:themeColor="text1"/>
          <w:kern w:val="0"/>
          <w:sz w:val="24"/>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（1）不同投标人的</w:t>
      </w:r>
      <w:r>
        <w:rPr>
          <w:rFonts w:hint="eastAsia" w:asciiTheme="minorEastAsia" w:hAnsiTheme="minorEastAsia" w:eastAsiaTheme="minorEastAsia"/>
          <w:color w:val="000000" w:themeColor="text1"/>
          <w:lang w:eastAsia="zh-CN"/>
          <w14:textFill>
            <w14:solidFill>
              <w14:schemeClr w14:val="tx1"/>
            </w14:solidFill>
          </w14:textFill>
        </w:rPr>
        <w:t>电子投标文件</w:t>
      </w:r>
      <w:r>
        <w:rPr>
          <w:rFonts w:asciiTheme="minorEastAsia" w:hAnsiTheme="minorEastAsia" w:eastAsiaTheme="minorEastAsia"/>
          <w:color w:val="000000" w:themeColor="text1"/>
          <w14:textFill>
            <w14:solidFill>
              <w14:schemeClr w14:val="tx1"/>
            </w14:solidFill>
          </w14:textFill>
        </w:rPr>
        <w:t>由同一单位或者个人编制；</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（3）不同投标人的</w:t>
      </w:r>
      <w:r>
        <w:rPr>
          <w:rFonts w:hint="eastAsia" w:asciiTheme="minorEastAsia" w:hAnsiTheme="minorEastAsia" w:eastAsiaTheme="minorEastAsia"/>
          <w:color w:val="000000" w:themeColor="text1"/>
          <w:lang w:eastAsia="zh-CN"/>
          <w14:textFill>
            <w14:solidFill>
              <w14:schemeClr w14:val="tx1"/>
            </w14:solidFill>
          </w14:textFill>
        </w:rPr>
        <w:t>电子投标文件</w:t>
      </w:r>
      <w:r>
        <w:rPr>
          <w:rFonts w:asciiTheme="minorEastAsia" w:hAnsiTheme="minorEastAsia" w:eastAsiaTheme="minorEastAsia"/>
          <w:color w:val="000000" w:themeColor="text1"/>
          <w14:textFill>
            <w14:solidFill>
              <w14:schemeClr w14:val="tx1"/>
            </w14:solidFill>
          </w14:textFill>
        </w:rPr>
        <w:t>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（4）不同投标人的</w:t>
      </w:r>
      <w:r>
        <w:rPr>
          <w:rFonts w:hint="eastAsia" w:asciiTheme="minorEastAsia" w:hAnsiTheme="minorEastAsia" w:eastAsiaTheme="minorEastAsia"/>
          <w:color w:val="000000" w:themeColor="text1"/>
          <w:lang w:eastAsia="zh-CN"/>
          <w14:textFill>
            <w14:solidFill>
              <w14:schemeClr w14:val="tx1"/>
            </w14:solidFill>
          </w14:textFill>
        </w:rPr>
        <w:t>电子投标文件</w:t>
      </w:r>
      <w:r>
        <w:rPr>
          <w:rFonts w:asciiTheme="minorEastAsia" w:hAnsiTheme="minorEastAsia" w:eastAsiaTheme="minorEastAsia"/>
          <w:color w:val="000000" w:themeColor="text1"/>
          <w14:textFill>
            <w14:solidFill>
              <w14:schemeClr w14:val="tx1"/>
            </w14:solidFill>
          </w14:textFill>
        </w:rPr>
        <w:t>异常一致或者投标报价呈规律性差异；</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10</w:t>
      </w:r>
      <w:r>
        <w:rPr>
          <w:rFonts w:hint="eastAsia" w:asciiTheme="minorEastAsia" w:hAnsiTheme="minorEastAsia" w:eastAsiaTheme="minorEastAsia"/>
          <w:color w:val="000000" w:themeColor="text1"/>
          <w:kern w:val="0"/>
          <w:sz w:val="24"/>
          <w14:textFill>
            <w14:solidFill>
              <w14:schemeClr w14:val="tx1"/>
            </w14:solidFill>
          </w14:textFill>
        </w:rPr>
        <w:t>、不符合法律、法规和招标文件中规定的其他实质性要求的（招标文件</w:t>
      </w:r>
    </w:p>
    <w:p>
      <w:pPr>
        <w:tabs>
          <w:tab w:val="right" w:pos="8306"/>
        </w:tabs>
        <w:autoSpaceDE w:val="0"/>
        <w:autoSpaceDN w:val="0"/>
        <w:adjustRightInd w:val="0"/>
        <w:spacing w:line="360" w:lineRule="auto"/>
        <w:rPr>
          <w:rFonts w:hint="eastAsi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中打“▲”内容及被拒绝的条款）。</w:t>
      </w:r>
    </w:p>
    <w:p>
      <w:pPr>
        <w:pStyle w:val="2"/>
        <w:rPr>
          <w:rFonts w:hint="default" w:eastAsiaTheme="minorEastAsia"/>
          <w:lang w:val="en-US" w:eastAsia="zh-CN"/>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11、商务条款不响应。</w:t>
      </w:r>
    </w:p>
    <w:p>
      <w:pPr>
        <w:numPr>
          <w:ilvl w:val="0"/>
          <w:numId w:val="9"/>
        </w:numPr>
        <w:tabs>
          <w:tab w:val="right" w:pos="8306"/>
        </w:tabs>
        <w:autoSpaceDE w:val="0"/>
        <w:autoSpaceDN w:val="0"/>
        <w:adjustRightInd w:val="0"/>
        <w:spacing w:line="360" w:lineRule="auto"/>
        <w:ind w:left="-60" w:leftChars="0" w:firstLine="480" w:firstLineChars="0"/>
        <w:rPr>
          <w:rFonts w:hint="default"/>
          <w:lang w:val="en-US" w:eastAsia="zh-CN"/>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电子投标文件未按时解密，又未提供备份电子投标文件的。</w:t>
      </w:r>
    </w:p>
    <w:p>
      <w:pPr>
        <w:numPr>
          <w:ilvl w:val="0"/>
          <w:numId w:val="9"/>
        </w:numPr>
        <w:tabs>
          <w:tab w:val="right" w:pos="8306"/>
        </w:tabs>
        <w:autoSpaceDE w:val="0"/>
        <w:autoSpaceDN w:val="0"/>
        <w:adjustRightInd w:val="0"/>
        <w:spacing w:line="360" w:lineRule="auto"/>
        <w:ind w:left="-60" w:leftChars="0" w:firstLine="480" w:firstLineChars="0"/>
        <w:rPr>
          <w:rFonts w:hint="default"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供应商仅提交备份电子电子投标文件的。</w:t>
      </w:r>
    </w:p>
    <w:p>
      <w:pPr>
        <w:autoSpaceDE w:val="0"/>
        <w:autoSpaceDN w:val="0"/>
        <w:adjustRightInd w:val="0"/>
        <w:spacing w:line="360" w:lineRule="auto"/>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4、法律、法规和招标文件规定的其他导致评标结果无效的。</w:t>
      </w:r>
    </w:p>
    <w:p>
      <w:pPr>
        <w:pStyle w:val="11"/>
        <w:tabs>
          <w:tab w:val="left" w:pos="630"/>
        </w:tabs>
        <w:snapToGrid w:val="0"/>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）评标原则和评标办法</w:t>
      </w:r>
    </w:p>
    <w:p>
      <w:pPr>
        <w:pStyle w:val="11"/>
        <w:snapToGrid w:val="0"/>
        <w:spacing w:line="360" w:lineRule="auto"/>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14:textFill>
            <w14:solidFill>
              <w14:schemeClr w14:val="tx1"/>
            </w14:solidFill>
          </w14:textFill>
        </w:rPr>
        <w:t>三章</w:t>
      </w:r>
      <w:r>
        <w:rPr>
          <w:rFonts w:asciiTheme="minorEastAsia" w:hAnsiTheme="minorEastAsia" w:eastAsiaTheme="minorEastAsia"/>
          <w:color w:val="000000" w:themeColor="text1"/>
          <w:sz w:val="24"/>
          <w14:textFill>
            <w14:solidFill>
              <w14:schemeClr w14:val="tx1"/>
            </w14:solidFill>
          </w14:textFill>
        </w:rPr>
        <w:t>：评标</w:t>
      </w:r>
      <w:r>
        <w:rPr>
          <w:rFonts w:hint="eastAsia" w:asciiTheme="minorEastAsia" w:hAnsiTheme="minorEastAsia" w:eastAsiaTheme="minorEastAsia"/>
          <w:color w:val="000000" w:themeColor="text1"/>
          <w:sz w:val="24"/>
          <w14:textFill>
            <w14:solidFill>
              <w14:schemeClr w14:val="tx1"/>
            </w14:solidFill>
          </w14:textFill>
        </w:rPr>
        <w:t>方</w:t>
      </w:r>
      <w:r>
        <w:rPr>
          <w:rFonts w:asciiTheme="minorEastAsia" w:hAnsiTheme="minorEastAsia" w:eastAsiaTheme="minorEastAsia"/>
          <w:color w:val="000000" w:themeColor="text1"/>
          <w:sz w:val="24"/>
          <w14:textFill>
            <w14:solidFill>
              <w14:schemeClr w14:val="tx1"/>
            </w14:solidFill>
          </w14:textFill>
        </w:rPr>
        <w:t>法及评分标准》。</w:t>
      </w:r>
    </w:p>
    <w:p>
      <w:pPr>
        <w:pStyle w:val="11"/>
        <w:snapToGrid w:val="0"/>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）评标过程的监控</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color w:val="000000" w:themeColor="text1"/>
          <w14:textFill>
            <w14:solidFill>
              <w14:schemeClr w14:val="tx1"/>
            </w14:solidFill>
          </w14:textFill>
        </w:rPr>
        <w:t>确定中标供应商。</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结果公告。采购组织机构应当自中标人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中标结果，招标文件应当随中标结果同时公告。</w:t>
      </w:r>
    </w:p>
    <w:p>
      <w:pPr>
        <w:pStyle w:val="8"/>
        <w:spacing w:line="360" w:lineRule="auto"/>
        <w:ind w:firstLine="480" w:firstLineChars="200"/>
        <w:rPr>
          <w:rFonts w:hint="default" w:eastAsia="宋体"/>
          <w:lang w:val="en-US" w:eastAsia="zh-CN"/>
        </w:rPr>
      </w:pPr>
      <w:r>
        <w:rPr>
          <w:rFonts w:hint="eastAsia" w:ascii="宋体" w:hAnsi="宋体"/>
          <w:color w:val="000000" w:themeColor="text1"/>
          <w:kern w:val="0"/>
          <w:sz w:val="24"/>
          <w14:textFill>
            <w14:solidFill>
              <w14:schemeClr w14:val="tx1"/>
            </w14:solidFill>
          </w14:textFill>
        </w:rPr>
        <w:t>3、</w:t>
      </w:r>
      <w:r>
        <w:rPr>
          <w:rFonts w:hint="eastAsia"/>
          <w:sz w:val="24"/>
          <w:szCs w:val="24"/>
          <w:lang w:val="en-US" w:eastAsia="zh-CN"/>
        </w:rPr>
        <w:t>通过政采云平台发放电子中标通知书</w:t>
      </w:r>
      <w:r>
        <w:rPr>
          <w:rFonts w:hint="eastAsia" w:ascii="宋体" w:hAnsi="宋体"/>
          <w:color w:val="000000" w:themeColor="text1"/>
          <w:kern w:val="0"/>
          <w:sz w:val="24"/>
          <w14:textFill>
            <w14:solidFill>
              <w14:schemeClr w14:val="tx1"/>
            </w14:solidFill>
          </w14:textFill>
        </w:rPr>
        <w:t>。采购组织机构在发布中标结果的同时，向中标人发出中标通知书。</w:t>
      </w:r>
    </w:p>
    <w:p>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16"/>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1、采购人应当自中标通知书发出之日起10个工作日内，按照招标文件和中标人</w:t>
      </w:r>
      <w:r>
        <w:rPr>
          <w:rFonts w:hint="eastAsia"/>
          <w:color w:val="000000" w:themeColor="text1"/>
          <w:lang w:eastAsia="zh-CN"/>
          <w14:textFill>
            <w14:solidFill>
              <w14:schemeClr w14:val="tx1"/>
            </w14:solidFill>
          </w14:textFill>
        </w:rPr>
        <w:t>电子投标文件</w:t>
      </w:r>
      <w:r>
        <w:rPr>
          <w:color w:val="000000" w:themeColor="text1"/>
          <w14:textFill>
            <w14:solidFill>
              <w14:schemeClr w14:val="tx1"/>
            </w14:solidFill>
          </w14:textFill>
        </w:rPr>
        <w:t>的规定，与中标人签订书面合同</w:t>
      </w:r>
      <w:r>
        <w:rPr>
          <w:rFonts w:hint="eastAsia"/>
          <w:color w:val="000000" w:themeColor="text1"/>
          <w:lang w:eastAsia="zh-CN"/>
          <w14:textFill>
            <w14:solidFill>
              <w14:schemeClr w14:val="tx1"/>
            </w14:solidFill>
          </w14:textFill>
        </w:rPr>
        <w:t>或者电子合同</w:t>
      </w:r>
      <w:r>
        <w:rPr>
          <w:color w:val="000000" w:themeColor="text1"/>
          <w14:textFill>
            <w14:solidFill>
              <w14:schemeClr w14:val="tx1"/>
            </w14:solidFill>
          </w14:textFill>
        </w:rPr>
        <w:t>。所签订的合同不得对招标文件确定的事项和中标人</w:t>
      </w:r>
      <w:r>
        <w:rPr>
          <w:rFonts w:hint="eastAsia"/>
          <w:color w:val="000000" w:themeColor="text1"/>
          <w:lang w:eastAsia="zh-CN"/>
          <w14:textFill>
            <w14:solidFill>
              <w14:schemeClr w14:val="tx1"/>
            </w14:solidFill>
          </w14:textFill>
        </w:rPr>
        <w:t>电子投标文件</w:t>
      </w:r>
      <w:r>
        <w:rPr>
          <w:color w:val="000000" w:themeColor="text1"/>
          <w14:textFill>
            <w14:solidFill>
              <w14:schemeClr w14:val="tx1"/>
            </w14:solidFill>
          </w14:textFill>
        </w:rPr>
        <w:t>作实质性修改。</w:t>
      </w:r>
    </w:p>
    <w:p>
      <w:pPr>
        <w:pStyle w:val="16"/>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2、采购人不得向中标人提出任何不合理的要求作为签订合同的条件。</w:t>
      </w:r>
    </w:p>
    <w:p>
      <w:pPr>
        <w:pStyle w:val="16"/>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3、中标供应商无故拖延、拒签合同的,将取消中标资格。</w:t>
      </w:r>
    </w:p>
    <w:p>
      <w:pPr>
        <w:pStyle w:val="16"/>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line="360" w:lineRule="auto"/>
        <w:ind w:firstLine="480" w:firstLineChars="200"/>
        <w:rPr>
          <w:rFonts w:hint="default" w:cs="仿宋_GB2312"/>
          <w:color w:val="000000" w:themeColor="text1"/>
          <w14:textFill>
            <w14:solidFill>
              <w14:schemeClr w14:val="tx1"/>
            </w14:solidFill>
          </w14:textFill>
        </w:rPr>
      </w:pPr>
      <w:r>
        <w:rPr>
          <w:color w:val="000000" w:themeColor="text1"/>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6"/>
        <w:spacing w:line="360" w:lineRule="auto"/>
        <w:ind w:firstLine="424" w:firstLineChars="176"/>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0"/>
        <w:spacing w:line="360" w:lineRule="auto"/>
        <w:ind w:left="0" w:leftChars="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8"/>
        <w:spacing w:line="360" w:lineRule="auto"/>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2、采购人应当自政府采购合同签订之日起7个工作日内，</w:t>
      </w:r>
      <w:r>
        <w:rPr>
          <w:rFonts w:hint="eastAsia"/>
          <w:sz w:val="24"/>
          <w:szCs w:val="24"/>
          <w:lang w:eastAsia="zh-CN"/>
        </w:rPr>
        <w:t>将政府采购合同通过政采云网站提交至</w:t>
      </w:r>
      <w:r>
        <w:rPr>
          <w:rFonts w:hint="eastAsia" w:ascii="宋体" w:hAnsi="宋体"/>
          <w:color w:val="000000" w:themeColor="text1"/>
          <w:sz w:val="24"/>
          <w:szCs w:val="24"/>
          <w14:textFill>
            <w14:solidFill>
              <w14:schemeClr w14:val="tx1"/>
            </w14:solidFill>
          </w14:textFill>
        </w:rPr>
        <w:t>同级人民政府财政部门</w:t>
      </w:r>
      <w:r>
        <w:rPr>
          <w:rFonts w:hint="eastAsia" w:ascii="宋体" w:hAnsi="宋体"/>
          <w:color w:val="000000" w:themeColor="text1"/>
          <w:sz w:val="24"/>
          <w:szCs w:val="24"/>
          <w:lang w:eastAsia="zh-CN"/>
          <w14:textFill>
            <w14:solidFill>
              <w14:schemeClr w14:val="tx1"/>
            </w14:solidFill>
          </w14:textFill>
        </w:rPr>
        <w:t>备案存档。</w:t>
      </w:r>
    </w:p>
    <w:p>
      <w:pPr>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br w:type="page"/>
      </w:r>
    </w:p>
    <w:p>
      <w:pPr>
        <w:pStyle w:val="8"/>
        <w:spacing w:line="360" w:lineRule="auto"/>
        <w:rPr>
          <w:rFonts w:hint="eastAsia" w:ascii="宋体" w:hAnsi="宋体"/>
          <w:color w:val="000000" w:themeColor="text1"/>
          <w:sz w:val="24"/>
          <w:szCs w:val="24"/>
          <w:lang w:eastAsia="zh-CN"/>
          <w14:textFill>
            <w14:solidFill>
              <w14:schemeClr w14:val="tx1"/>
            </w14:solidFill>
          </w14:textFill>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kern w:val="0"/>
          <w:sz w:val="24"/>
        </w:rPr>
      </w:pPr>
      <w:r>
        <w:rPr>
          <w:rFonts w:hint="eastAsia" w:asciiTheme="minorEastAsia" w:hAnsiTheme="minorEastAsia" w:eastAsiaTheme="minorEastAsia"/>
          <w:kern w:val="0"/>
          <w:sz w:val="24"/>
        </w:rPr>
        <w:t>一、采购组织机构将组织评标委员会，对投标人提供的</w:t>
      </w:r>
      <w:r>
        <w:rPr>
          <w:rFonts w:hint="eastAsia" w:asciiTheme="minorEastAsia" w:hAnsiTheme="minorEastAsia" w:eastAsiaTheme="minorEastAsia"/>
          <w:kern w:val="0"/>
          <w:sz w:val="24"/>
          <w:lang w:eastAsia="zh-CN"/>
        </w:rPr>
        <w:t>电子投标文件</w:t>
      </w:r>
      <w:r>
        <w:rPr>
          <w:rFonts w:hint="eastAsia" w:asciiTheme="minorEastAsia" w:hAnsiTheme="minorEastAsia" w:eastAsiaTheme="minorEastAsia"/>
          <w:kern w:val="0"/>
          <w:sz w:val="24"/>
        </w:rPr>
        <w:t>进行综合评审。</w:t>
      </w:r>
    </w:p>
    <w:p>
      <w:pPr>
        <w:autoSpaceDE w:val="0"/>
        <w:autoSpaceDN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二、本次招标项目的评标方法为综合评分法，总计100分。评标标准按以下6项内容及分值进行评审。</w:t>
      </w:r>
    </w:p>
    <w:tbl>
      <w:tblPr>
        <w:tblStyle w:val="20"/>
        <w:tblW w:w="6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66" w:type="dxa"/>
            <w:tcBorders>
              <w:tl2br w:val="single" w:color="auto" w:sz="4" w:space="0"/>
            </w:tcBorders>
          </w:tcPr>
          <w:p>
            <w:pPr>
              <w:autoSpaceDE w:val="0"/>
              <w:autoSpaceDN w:val="0"/>
              <w:adjustRightInd w:val="0"/>
              <w:jc w:val="left"/>
              <w:rPr>
                <w:rFonts w:ascii="宋体" w:hAnsi="宋体" w:cs="Arial"/>
                <w:color w:val="000000"/>
                <w:sz w:val="24"/>
              </w:rPr>
            </w:pPr>
            <w:r>
              <w:rPr>
                <w:rFonts w:hint="eastAsia" w:ascii="宋体" w:hAnsi="宋体" w:cs="Arial"/>
                <w:color w:val="000000"/>
                <w:sz w:val="24"/>
              </w:rPr>
              <w:t xml:space="preserve">          标段</w:t>
            </w:r>
          </w:p>
          <w:p>
            <w:pPr>
              <w:autoSpaceDE w:val="0"/>
              <w:autoSpaceDN w:val="0"/>
              <w:adjustRightInd w:val="0"/>
              <w:jc w:val="left"/>
              <w:rPr>
                <w:rFonts w:ascii="宋体" w:hAnsi="宋体" w:cs="Arial"/>
                <w:color w:val="000000"/>
                <w:sz w:val="24"/>
              </w:rPr>
            </w:pPr>
            <w:r>
              <w:rPr>
                <w:rFonts w:hint="eastAsia" w:ascii="宋体" w:hAnsi="宋体" w:cs="Arial"/>
                <w:color w:val="000000"/>
                <w:sz w:val="24"/>
              </w:rPr>
              <w:t>类别</w:t>
            </w:r>
          </w:p>
        </w:tc>
        <w:tc>
          <w:tcPr>
            <w:tcW w:w="4054" w:type="dxa"/>
            <w:vAlign w:val="center"/>
          </w:tcPr>
          <w:p>
            <w:pPr>
              <w:autoSpaceDE w:val="0"/>
              <w:autoSpaceDN w:val="0"/>
              <w:adjustRightInd w:val="0"/>
              <w:spacing w:line="480" w:lineRule="auto"/>
              <w:jc w:val="center"/>
              <w:rPr>
                <w:rFonts w:hint="eastAsia" w:ascii="宋体" w:hAnsi="宋体" w:eastAsia="宋体" w:cs="Arial"/>
                <w:color w:val="000000"/>
                <w:sz w:val="24"/>
                <w:lang w:eastAsia="zh-CN"/>
              </w:rPr>
            </w:pPr>
            <w:r>
              <w:rPr>
                <w:rFonts w:hint="eastAsia" w:ascii="宋体" w:hAnsi="宋体" w:cs="Arial"/>
                <w:color w:val="000000"/>
                <w:sz w:val="24"/>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66" w:type="dxa"/>
            <w:vAlign w:val="center"/>
          </w:tcPr>
          <w:p>
            <w:pPr>
              <w:autoSpaceDE w:val="0"/>
              <w:autoSpaceDN w:val="0"/>
              <w:adjustRightInd w:val="0"/>
              <w:jc w:val="left"/>
              <w:rPr>
                <w:rFonts w:ascii="宋体" w:hAnsi="宋体" w:cs="Arial"/>
                <w:color w:val="000000"/>
                <w:sz w:val="24"/>
              </w:rPr>
            </w:pPr>
            <w:r>
              <w:rPr>
                <w:rFonts w:hint="eastAsia" w:ascii="宋体"/>
                <w:color w:val="000000"/>
                <w:kern w:val="0"/>
                <w:sz w:val="24"/>
              </w:rPr>
              <w:t>技术性能</w:t>
            </w:r>
          </w:p>
        </w:tc>
        <w:tc>
          <w:tcPr>
            <w:tcW w:w="4054" w:type="dxa"/>
            <w:vAlign w:val="center"/>
          </w:tcPr>
          <w:p>
            <w:pPr>
              <w:autoSpaceDE w:val="0"/>
              <w:autoSpaceDN w:val="0"/>
              <w:adjustRightInd w:val="0"/>
              <w:jc w:val="center"/>
              <w:rPr>
                <w:rFonts w:hint="eastAsia" w:ascii="宋体" w:hAnsi="宋体" w:eastAsia="宋体" w:cs="Arial"/>
                <w:color w:val="000000"/>
                <w:sz w:val="24"/>
                <w:lang w:val="en-US" w:eastAsia="zh-CN"/>
              </w:rPr>
            </w:pPr>
            <w:r>
              <w:rPr>
                <w:rFonts w:hint="eastAsia" w:ascii="宋体" w:hAnsi="宋体" w:cs="Arial"/>
                <w:color w:val="000000"/>
                <w:sz w:val="24"/>
              </w:rPr>
              <w:t>6</w:t>
            </w:r>
            <w:r>
              <w:rPr>
                <w:rFonts w:hint="eastAsia" w:ascii="宋体" w:hAnsi="宋体" w:cs="Arial"/>
                <w:color w:val="00000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66" w:type="dxa"/>
            <w:vAlign w:val="center"/>
          </w:tcPr>
          <w:p>
            <w:pPr>
              <w:autoSpaceDE w:val="0"/>
              <w:autoSpaceDN w:val="0"/>
              <w:adjustRightInd w:val="0"/>
              <w:jc w:val="left"/>
              <w:rPr>
                <w:rFonts w:ascii="宋体" w:hAnsi="宋体" w:cs="Arial"/>
                <w:color w:val="000000"/>
                <w:sz w:val="24"/>
              </w:rPr>
            </w:pPr>
            <w:r>
              <w:rPr>
                <w:rFonts w:hint="eastAsia" w:ascii="宋体"/>
                <w:color w:val="000000"/>
                <w:kern w:val="0"/>
                <w:sz w:val="24"/>
              </w:rPr>
              <w:t>实力信誉及业绩</w:t>
            </w:r>
          </w:p>
        </w:tc>
        <w:tc>
          <w:tcPr>
            <w:tcW w:w="4054" w:type="dxa"/>
            <w:vAlign w:val="center"/>
          </w:tcPr>
          <w:p>
            <w:pPr>
              <w:autoSpaceDE w:val="0"/>
              <w:autoSpaceDN w:val="0"/>
              <w:adjustRightInd w:val="0"/>
              <w:jc w:val="center"/>
              <w:rPr>
                <w:rFonts w:hint="default" w:ascii="宋体" w:hAnsi="宋体" w:eastAsia="宋体" w:cs="Arial"/>
                <w:color w:val="000000"/>
                <w:sz w:val="24"/>
                <w:lang w:val="en-US" w:eastAsia="zh-CN"/>
              </w:rPr>
            </w:pPr>
            <w:r>
              <w:rPr>
                <w:rFonts w:hint="eastAsia" w:ascii="宋体" w:hAnsi="宋体" w:cs="Arial"/>
                <w:color w:val="00000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66" w:type="dxa"/>
            <w:vAlign w:val="center"/>
          </w:tcPr>
          <w:p>
            <w:pPr>
              <w:autoSpaceDE w:val="0"/>
              <w:autoSpaceDN w:val="0"/>
              <w:adjustRightInd w:val="0"/>
              <w:jc w:val="left"/>
              <w:rPr>
                <w:rFonts w:hint="eastAsia" w:ascii="宋体" w:hAnsi="宋体" w:eastAsia="宋体" w:cs="Arial"/>
                <w:color w:val="000000"/>
                <w:kern w:val="2"/>
                <w:sz w:val="24"/>
                <w:szCs w:val="24"/>
                <w:lang w:val="en-US" w:eastAsia="zh-CN" w:bidi="ar-SA"/>
              </w:rPr>
            </w:pPr>
            <w:r>
              <w:rPr>
                <w:rFonts w:hint="eastAsia" w:ascii="宋体"/>
                <w:color w:val="000000"/>
                <w:kern w:val="0"/>
                <w:sz w:val="24"/>
              </w:rPr>
              <w:t>售后服务</w:t>
            </w:r>
          </w:p>
        </w:tc>
        <w:tc>
          <w:tcPr>
            <w:tcW w:w="4054" w:type="dxa"/>
            <w:vAlign w:val="center"/>
          </w:tcPr>
          <w:p>
            <w:pPr>
              <w:autoSpaceDE w:val="0"/>
              <w:autoSpaceDN w:val="0"/>
              <w:adjustRightInd w:val="0"/>
              <w:jc w:val="center"/>
              <w:rPr>
                <w:rFonts w:hint="default" w:ascii="宋体" w:hAnsi="宋体" w:eastAsia="宋体" w:cs="Arial"/>
                <w:color w:val="000000"/>
                <w:kern w:val="2"/>
                <w:sz w:val="24"/>
                <w:szCs w:val="24"/>
                <w:lang w:val="en-US" w:eastAsia="zh-CN" w:bidi="ar-SA"/>
              </w:rPr>
            </w:pPr>
            <w:r>
              <w:rPr>
                <w:rFonts w:hint="eastAsia" w:ascii="宋体" w:hAnsi="宋体" w:cs="Arial"/>
                <w:color w:val="000000"/>
                <w:kern w:val="2"/>
                <w:sz w:val="24"/>
                <w:szCs w:val="24"/>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66" w:type="dxa"/>
            <w:vAlign w:val="center"/>
          </w:tcPr>
          <w:p>
            <w:pPr>
              <w:autoSpaceDE w:val="0"/>
              <w:autoSpaceDN w:val="0"/>
              <w:adjustRightInd w:val="0"/>
              <w:jc w:val="left"/>
              <w:rPr>
                <w:rFonts w:ascii="宋体" w:hAnsi="Times New Roman" w:eastAsia="宋体" w:cs="Times New Roman"/>
                <w:color w:val="000000"/>
                <w:kern w:val="0"/>
                <w:sz w:val="24"/>
                <w:szCs w:val="24"/>
                <w:lang w:val="en-US" w:eastAsia="zh-CN" w:bidi="ar-SA"/>
              </w:rPr>
            </w:pPr>
            <w:r>
              <w:rPr>
                <w:rFonts w:hint="eastAsia" w:ascii="宋体" w:hAnsi="宋体" w:cs="Arial"/>
                <w:color w:val="000000"/>
                <w:sz w:val="24"/>
              </w:rPr>
              <w:t>对招标文件响应程度</w:t>
            </w:r>
          </w:p>
        </w:tc>
        <w:tc>
          <w:tcPr>
            <w:tcW w:w="4054" w:type="dxa"/>
            <w:vAlign w:val="center"/>
          </w:tcPr>
          <w:p>
            <w:pPr>
              <w:autoSpaceDE w:val="0"/>
              <w:autoSpaceDN w:val="0"/>
              <w:adjustRightInd w:val="0"/>
              <w:jc w:val="center"/>
              <w:rPr>
                <w:rFonts w:hint="eastAsia" w:ascii="宋体" w:hAnsi="宋体" w:eastAsia="宋体" w:cs="Arial"/>
                <w:color w:val="000000"/>
                <w:kern w:val="2"/>
                <w:sz w:val="24"/>
                <w:szCs w:val="24"/>
                <w:lang w:val="en-US" w:eastAsia="zh-CN" w:bidi="ar-SA"/>
              </w:rPr>
            </w:pPr>
            <w:r>
              <w:rPr>
                <w:rFonts w:hint="eastAsia" w:ascii="宋体" w:hAnsi="宋体" w:cs="Arial"/>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66" w:type="dxa"/>
            <w:vAlign w:val="center"/>
          </w:tcPr>
          <w:p>
            <w:pPr>
              <w:autoSpaceDE w:val="0"/>
              <w:autoSpaceDN w:val="0"/>
              <w:adjustRightInd w:val="0"/>
              <w:jc w:val="left"/>
              <w:rPr>
                <w:rFonts w:ascii="宋体" w:hAnsi="Times New Roman" w:eastAsia="宋体" w:cs="Times New Roman"/>
                <w:color w:val="000000"/>
                <w:kern w:val="0"/>
                <w:sz w:val="24"/>
                <w:szCs w:val="24"/>
                <w:lang w:val="en-US" w:eastAsia="zh-CN" w:bidi="ar-SA"/>
              </w:rPr>
            </w:pPr>
            <w:r>
              <w:rPr>
                <w:rFonts w:hint="eastAsia" w:ascii="宋体"/>
                <w:color w:val="000000"/>
                <w:kern w:val="0"/>
                <w:sz w:val="24"/>
              </w:rPr>
              <w:t>产品价格</w:t>
            </w:r>
          </w:p>
        </w:tc>
        <w:tc>
          <w:tcPr>
            <w:tcW w:w="4054" w:type="dxa"/>
            <w:vAlign w:val="center"/>
          </w:tcPr>
          <w:p>
            <w:pPr>
              <w:autoSpaceDE w:val="0"/>
              <w:autoSpaceDN w:val="0"/>
              <w:adjustRightInd w:val="0"/>
              <w:jc w:val="center"/>
              <w:rPr>
                <w:rFonts w:hint="eastAsia" w:ascii="宋体" w:hAnsi="宋体" w:eastAsia="宋体" w:cs="Arial"/>
                <w:color w:val="000000"/>
                <w:kern w:val="2"/>
                <w:sz w:val="24"/>
                <w:szCs w:val="24"/>
                <w:lang w:val="en-US" w:eastAsia="zh-CN" w:bidi="ar-SA"/>
              </w:rPr>
            </w:pPr>
            <w:r>
              <w:rPr>
                <w:rFonts w:hint="eastAsia" w:ascii="宋体" w:hAnsi="宋体" w:cs="Arial"/>
                <w:color w:val="000000"/>
                <w:sz w:val="24"/>
              </w:rPr>
              <w:t>1</w:t>
            </w:r>
            <w:r>
              <w:rPr>
                <w:rFonts w:hint="eastAsia" w:ascii="宋体" w:hAnsi="宋体" w:cs="Arial"/>
                <w:color w:val="000000"/>
                <w:sz w:val="24"/>
                <w:lang w:val="en-US" w:eastAsia="zh-CN"/>
              </w:rPr>
              <w:t>2</w:t>
            </w:r>
          </w:p>
        </w:tc>
      </w:tr>
    </w:tbl>
    <w:p>
      <w:pPr>
        <w:autoSpaceDE w:val="0"/>
        <w:autoSpaceDN w:val="0"/>
        <w:adjustRightInd w:val="0"/>
        <w:spacing w:line="360" w:lineRule="auto"/>
        <w:ind w:right="84" w:firstLine="472"/>
        <w:rPr>
          <w:rFonts w:ascii="宋体"/>
          <w:bCs/>
          <w:color w:val="000000"/>
          <w:sz w:val="24"/>
          <w:lang w:val="zh-CN"/>
        </w:rPr>
      </w:pPr>
      <w:r>
        <w:rPr>
          <w:rFonts w:hint="eastAsia" w:ascii="宋体"/>
          <w:bCs/>
          <w:color w:val="000000"/>
          <w:sz w:val="24"/>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sz w:val="24"/>
          <w:shd w:val="clear" w:color="FFFFFF" w:fill="D9D9D9"/>
          <w:lang w:val="zh-CN"/>
        </w:rPr>
      </w:pPr>
      <w:r>
        <w:rPr>
          <w:rFonts w:hint="eastAsia" w:ascii="宋体"/>
          <w:bCs/>
          <w:color w:val="000000"/>
          <w:sz w:val="24"/>
          <w:lang w:val="zh-CN"/>
        </w:rPr>
        <w:t>（二）各投标人商务与技术文件</w:t>
      </w:r>
      <w:r>
        <w:rPr>
          <w:rFonts w:hint="eastAsia" w:ascii="宋体"/>
          <w:color w:val="000000"/>
          <w:kern w:val="0"/>
          <w:sz w:val="24"/>
          <w:lang w:val="zh-CN"/>
        </w:rPr>
        <w:t>得分按照评标委员会成</w:t>
      </w:r>
      <w:r>
        <w:rPr>
          <w:rFonts w:hint="eastAsia" w:ascii="宋体"/>
          <w:bCs/>
          <w:color w:val="000000"/>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hAnsi="宋体"/>
          <w:sz w:val="24"/>
        </w:rPr>
        <w:t>商务与技术文件得分</w:t>
      </w:r>
      <w:r>
        <w:rPr>
          <w:rFonts w:hint="eastAsia" w:ascii="宋体"/>
          <w:bCs/>
          <w:color w:val="000000"/>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bCs/>
          <w:color w:val="000000"/>
          <w:sz w:val="24"/>
          <w:lang w:val="zh-CN"/>
        </w:rPr>
        <w:t>（三）</w:t>
      </w:r>
      <w:r>
        <w:rPr>
          <w:rFonts w:hint="eastAsia" w:ascii="宋体"/>
          <w:color w:val="000000"/>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sz w:val="24"/>
          <w:u w:val="single"/>
        </w:rPr>
      </w:pPr>
      <w:r>
        <w:rPr>
          <w:rFonts w:hint="eastAsia"/>
          <w:color w:val="000000"/>
          <w:sz w:val="24"/>
          <w:u w:val="single"/>
        </w:rPr>
        <w:t>投标报价得</w:t>
      </w:r>
      <w:r>
        <w:rPr>
          <w:color w:val="000000"/>
          <w:sz w:val="24"/>
          <w:u w:val="single"/>
        </w:rPr>
        <w:t>分=(评标基准价／投</w:t>
      </w:r>
      <w:r>
        <w:rPr>
          <w:rFonts w:ascii="宋体" w:hAnsi="宋体"/>
          <w:color w:val="000000"/>
          <w:sz w:val="24"/>
          <w:u w:val="single"/>
        </w:rPr>
        <w:t>标报价)×</w:t>
      </w:r>
      <w:r>
        <w:rPr>
          <w:rFonts w:hint="eastAsia" w:ascii="宋体" w:hAnsi="宋体"/>
          <w:color w:val="000000"/>
          <w:sz w:val="24"/>
          <w:u w:val="single"/>
        </w:rPr>
        <w:t xml:space="preserve"> </w:t>
      </w:r>
      <w:r>
        <w:rPr>
          <w:rFonts w:hint="eastAsia" w:ascii="宋体" w:hAnsi="宋体"/>
          <w:color w:val="000000"/>
          <w:sz w:val="24"/>
          <w:u w:val="single"/>
          <w:lang w:val="en-US" w:eastAsia="zh-CN"/>
        </w:rPr>
        <w:t>12</w:t>
      </w:r>
      <w:r>
        <w:rPr>
          <w:rFonts w:hint="eastAsia" w:ascii="宋体" w:hAnsi="宋体"/>
          <w:color w:val="000000"/>
          <w:sz w:val="24"/>
          <w:u w:val="single"/>
        </w:rPr>
        <w:t>%</w:t>
      </w:r>
      <w:r>
        <w:rPr>
          <w:rFonts w:ascii="宋体" w:hAnsi="宋体"/>
          <w:color w:val="000000"/>
          <w:sz w:val="24"/>
          <w:u w:val="single"/>
        </w:rPr>
        <w:t>×100</w:t>
      </w:r>
      <w:r>
        <w:rPr>
          <w:rFonts w:hint="eastAsia" w:ascii="宋体" w:hAnsi="宋体"/>
          <w:color w:val="000000"/>
          <w:sz w:val="24"/>
          <w:u w:val="single"/>
        </w:rPr>
        <w:t xml:space="preserve"> 。</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电子印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具体优惠：对于小型微型企业产品的价格给予</w:t>
      </w:r>
      <w:r>
        <w:rPr>
          <w:rFonts w:hint="eastAsia" w:ascii="宋体"/>
          <w:color w:val="000000"/>
          <w:sz w:val="24"/>
          <w:u w:val="single"/>
          <w:lang w:val="zh-CN"/>
        </w:rPr>
        <w:t xml:space="preserve"> </w:t>
      </w:r>
      <w:r>
        <w:rPr>
          <w:rFonts w:hint="eastAsia" w:ascii="宋体"/>
          <w:color w:val="000000"/>
          <w:sz w:val="24"/>
          <w:u w:val="single"/>
        </w:rPr>
        <w:t>6</w:t>
      </w:r>
      <w:r>
        <w:rPr>
          <w:rFonts w:hint="eastAsia" w:ascii="宋体"/>
          <w:color w:val="000000"/>
          <w:sz w:val="24"/>
          <w:u w:val="single"/>
          <w:lang w:val="zh-CN"/>
        </w:rPr>
        <w:t xml:space="preserve">  </w:t>
      </w:r>
      <w:r>
        <w:rPr>
          <w:rFonts w:hint="eastAsia" w:ascii="宋体"/>
          <w:color w:val="000000"/>
          <w:sz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color w:val="000000"/>
          <w:sz w:val="24"/>
          <w:lang w:val="zh-CN"/>
        </w:rPr>
        <w:t>注：得分以系统计算为准，保留2位小数。</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2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六、本次评分具体分值细化条款如下表：</w:t>
      </w:r>
    </w:p>
    <w:p>
      <w:pPr>
        <w:widowControl/>
        <w:tabs>
          <w:tab w:val="left" w:pos="0"/>
        </w:tabs>
        <w:spacing w:line="360" w:lineRule="auto"/>
        <w:ind w:firstLine="482" w:firstLineChars="200"/>
        <w:rPr>
          <w:rFonts w:hint="eastAsia" w:eastAsia="宋体" w:asciiTheme="minorEastAsia" w:hAnsiTheme="minorEastAsia"/>
          <w:b/>
          <w:bCs/>
          <w:sz w:val="24"/>
          <w:szCs w:val="24"/>
          <w:lang w:eastAsia="zh-CN"/>
        </w:rPr>
      </w:pPr>
      <w:r>
        <w:rPr>
          <w:rFonts w:hint="eastAsia" w:asciiTheme="minorEastAsia" w:hAnsiTheme="minorEastAsia" w:eastAsiaTheme="minorEastAsia"/>
          <w:b/>
          <w:bCs/>
          <w:sz w:val="24"/>
          <w:szCs w:val="24"/>
          <w:lang w:eastAsia="zh-CN"/>
        </w:rPr>
        <w:t>本项目需要进行演示，演示时间不超过</w:t>
      </w:r>
      <w:r>
        <w:rPr>
          <w:rFonts w:hint="eastAsia" w:asciiTheme="minorEastAsia" w:hAnsiTheme="minorEastAsia" w:eastAsiaTheme="minorEastAsia"/>
          <w:b/>
          <w:bCs/>
          <w:sz w:val="24"/>
          <w:szCs w:val="24"/>
          <w:lang w:val="en-US" w:eastAsia="zh-CN"/>
        </w:rPr>
        <w:t>30分钟，超过部分无效。</w:t>
      </w:r>
      <w:r>
        <w:rPr>
          <w:rFonts w:hint="eastAsia" w:asciiTheme="minorEastAsia" w:hAnsiTheme="minorEastAsia" w:eastAsiaTheme="minorEastAsia"/>
          <w:b/>
          <w:bCs/>
          <w:sz w:val="24"/>
          <w:szCs w:val="24"/>
          <w:lang w:eastAsia="zh-CN"/>
        </w:rPr>
        <w:t>投标人需</w:t>
      </w:r>
      <w:r>
        <w:rPr>
          <w:rFonts w:hint="eastAsia" w:ascii="宋体" w:hAnsi="宋体" w:eastAsia="宋体" w:cs="Arial"/>
          <w:b/>
          <w:bCs/>
          <w:color w:val="000000"/>
          <w:sz w:val="24"/>
          <w:szCs w:val="24"/>
        </w:rPr>
        <w:t>以U盘或DVD光盘等介质存储的数据电文形式的</w:t>
      </w:r>
      <w:r>
        <w:rPr>
          <w:rFonts w:hint="eastAsia" w:ascii="宋体" w:hAnsi="宋体" w:eastAsia="宋体" w:cs="Arial"/>
          <w:b/>
          <w:bCs/>
          <w:color w:val="000000"/>
          <w:sz w:val="24"/>
          <w:szCs w:val="24"/>
          <w:lang w:eastAsia="zh-CN"/>
        </w:rPr>
        <w:t>制作电子</w:t>
      </w:r>
      <w:r>
        <w:rPr>
          <w:rFonts w:hint="eastAsia" w:asciiTheme="minorEastAsia" w:hAnsiTheme="minorEastAsia" w:eastAsiaTheme="minorEastAsia"/>
          <w:b/>
          <w:bCs/>
          <w:sz w:val="24"/>
          <w:szCs w:val="24"/>
          <w:lang w:eastAsia="zh-CN"/>
        </w:rPr>
        <w:t>演示文件，文件需密封包装，包装（内或外）封口应由投标授权人用记号笔签字，并加盖单位公章，外包装上需写明编号、项目名称、标段号及投标公司全称，可与备份电子投标文件同寄。</w:t>
      </w:r>
    </w:p>
    <w:tbl>
      <w:tblPr>
        <w:tblStyle w:val="20"/>
        <w:tblW w:w="8409" w:type="dxa"/>
        <w:tblInd w:w="113" w:type="dxa"/>
        <w:tblLayout w:type="fixed"/>
        <w:tblCellMar>
          <w:top w:w="0" w:type="dxa"/>
          <w:left w:w="108" w:type="dxa"/>
          <w:bottom w:w="0" w:type="dxa"/>
          <w:right w:w="108" w:type="dxa"/>
        </w:tblCellMar>
      </w:tblPr>
      <w:tblGrid>
        <w:gridCol w:w="779"/>
        <w:gridCol w:w="1060"/>
        <w:gridCol w:w="1133"/>
        <w:gridCol w:w="4820"/>
        <w:gridCol w:w="617"/>
      </w:tblGrid>
      <w:tr>
        <w:tblPrEx>
          <w:tblCellMar>
            <w:top w:w="0" w:type="dxa"/>
            <w:left w:w="108" w:type="dxa"/>
            <w:bottom w:w="0" w:type="dxa"/>
            <w:right w:w="108" w:type="dxa"/>
          </w:tblCellMar>
        </w:tblPrEx>
        <w:trPr>
          <w:trHeight w:val="282" w:hRule="atLeast"/>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bCs/>
                <w:color w:val="000000"/>
                <w:kern w:val="0"/>
                <w:szCs w:val="21"/>
              </w:rPr>
            </w:pPr>
            <w:r>
              <w:rPr>
                <w:rFonts w:hint="eastAsia" w:ascii="宋体" w:hAnsi="宋体" w:cs="宋体"/>
                <w:b/>
                <w:bCs/>
                <w:color w:val="000000"/>
                <w:kern w:val="0"/>
                <w:szCs w:val="21"/>
              </w:rPr>
              <w:t>评分项目</w:t>
            </w:r>
          </w:p>
        </w:tc>
        <w:tc>
          <w:tcPr>
            <w:tcW w:w="70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bCs/>
                <w:color w:val="000000"/>
                <w:kern w:val="0"/>
                <w:szCs w:val="21"/>
              </w:rPr>
            </w:pPr>
            <w:r>
              <w:rPr>
                <w:rFonts w:hint="eastAsia" w:ascii="宋体" w:hAnsi="宋体" w:cs="宋体"/>
                <w:b/>
                <w:bCs/>
                <w:color w:val="000000"/>
                <w:kern w:val="0"/>
                <w:szCs w:val="21"/>
              </w:rPr>
              <w:t>评分标准</w:t>
            </w:r>
          </w:p>
        </w:tc>
        <w:tc>
          <w:tcPr>
            <w:tcW w:w="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bCs/>
                <w:color w:val="000000"/>
                <w:kern w:val="0"/>
                <w:szCs w:val="21"/>
              </w:rPr>
            </w:pPr>
            <w:r>
              <w:rPr>
                <w:rFonts w:hint="eastAsia" w:ascii="宋体" w:hAnsi="宋体" w:cs="宋体"/>
                <w:b/>
                <w:bCs/>
                <w:color w:val="000000"/>
                <w:kern w:val="0"/>
                <w:szCs w:val="21"/>
              </w:rPr>
              <w:t>分值</w:t>
            </w:r>
          </w:p>
        </w:tc>
      </w:tr>
      <w:tr>
        <w:tblPrEx>
          <w:tblCellMar>
            <w:top w:w="0" w:type="dxa"/>
            <w:left w:w="108" w:type="dxa"/>
            <w:bottom w:w="0" w:type="dxa"/>
            <w:right w:w="108" w:type="dxa"/>
          </w:tblCellMar>
        </w:tblPrEx>
        <w:trPr>
          <w:trHeight w:val="810" w:hRule="atLeast"/>
        </w:trPr>
        <w:tc>
          <w:tcPr>
            <w:tcW w:w="77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技术性能（6</w:t>
            </w:r>
            <w:r>
              <w:rPr>
                <w:rFonts w:hint="eastAsia" w:ascii="宋体" w:hAnsi="宋体" w:cs="宋体"/>
                <w:color w:val="000000"/>
                <w:kern w:val="0"/>
                <w:szCs w:val="21"/>
                <w:lang w:val="en-US" w:eastAsia="zh-CN"/>
              </w:rPr>
              <w:t>9</w:t>
            </w:r>
            <w:r>
              <w:rPr>
                <w:rFonts w:hint="eastAsia" w:ascii="宋体" w:hAnsi="宋体" w:cs="宋体"/>
                <w:color w:val="000000"/>
                <w:kern w:val="0"/>
                <w:szCs w:val="21"/>
              </w:rPr>
              <w:t>分）</w:t>
            </w:r>
          </w:p>
        </w:tc>
        <w:tc>
          <w:tcPr>
            <w:tcW w:w="219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总体方案</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按照招标文件建设内容，详细阐述系统的体系架构、实现思路，提供具体技术方案，评标委员会根据投标人所投方案的可行性、先进性、完整性综合打分。第一档10-</w:t>
            </w:r>
            <w:r>
              <w:rPr>
                <w:rFonts w:hint="eastAsia" w:ascii="宋体" w:hAnsi="宋体" w:cs="宋体"/>
                <w:color w:val="000000"/>
                <w:kern w:val="0"/>
                <w:szCs w:val="21"/>
                <w:lang w:val="en-US" w:eastAsia="zh-CN"/>
              </w:rPr>
              <w:t>8</w:t>
            </w:r>
            <w:r>
              <w:rPr>
                <w:rFonts w:hint="eastAsia" w:ascii="宋体" w:hAnsi="宋体" w:cs="宋体"/>
                <w:color w:val="000000"/>
                <w:kern w:val="0"/>
                <w:szCs w:val="21"/>
              </w:rPr>
              <w:t>分，第二档</w:t>
            </w:r>
            <w:r>
              <w:rPr>
                <w:rFonts w:hint="eastAsia" w:ascii="宋体" w:hAnsi="宋体" w:cs="宋体"/>
                <w:color w:val="000000"/>
                <w:kern w:val="0"/>
                <w:szCs w:val="21"/>
                <w:lang w:val="en-US" w:eastAsia="zh-CN"/>
              </w:rPr>
              <w:t>7</w:t>
            </w:r>
            <w:r>
              <w:rPr>
                <w:rFonts w:hint="eastAsia" w:ascii="宋体" w:hAnsi="宋体" w:cs="宋体"/>
                <w:color w:val="000000"/>
                <w:kern w:val="0"/>
                <w:szCs w:val="21"/>
              </w:rPr>
              <w:t>.9-</w:t>
            </w:r>
            <w:r>
              <w:rPr>
                <w:rFonts w:hint="eastAsia" w:ascii="宋体" w:hAnsi="宋体" w:cs="宋体"/>
                <w:color w:val="000000"/>
                <w:kern w:val="0"/>
                <w:szCs w:val="21"/>
                <w:lang w:val="en-US" w:eastAsia="zh-CN"/>
              </w:rPr>
              <w:t>6</w:t>
            </w:r>
            <w:r>
              <w:rPr>
                <w:rFonts w:hint="eastAsia" w:ascii="宋体" w:hAnsi="宋体" w:cs="宋体"/>
                <w:color w:val="000000"/>
                <w:kern w:val="0"/>
                <w:szCs w:val="21"/>
              </w:rPr>
              <w:t>分，第三挡</w:t>
            </w:r>
            <w:r>
              <w:rPr>
                <w:rFonts w:hint="eastAsia" w:ascii="宋体" w:hAnsi="宋体" w:cs="宋体"/>
                <w:color w:val="000000"/>
                <w:kern w:val="0"/>
                <w:szCs w:val="21"/>
                <w:lang w:val="en-US" w:eastAsia="zh-CN"/>
              </w:rPr>
              <w:t>5</w:t>
            </w:r>
            <w:r>
              <w:rPr>
                <w:rFonts w:hint="eastAsia" w:ascii="宋体" w:hAnsi="宋体" w:cs="宋体"/>
                <w:color w:val="000000"/>
                <w:kern w:val="0"/>
                <w:szCs w:val="21"/>
              </w:rPr>
              <w:t>.9-</w:t>
            </w:r>
            <w:r>
              <w:rPr>
                <w:rFonts w:hint="eastAsia" w:ascii="宋体" w:hAnsi="宋体" w:cs="宋体"/>
                <w:color w:val="000000"/>
                <w:kern w:val="0"/>
                <w:szCs w:val="21"/>
                <w:lang w:val="en-US" w:eastAsia="zh-CN"/>
              </w:rPr>
              <w:t>4</w:t>
            </w:r>
            <w:r>
              <w:rPr>
                <w:rFonts w:hint="eastAsia" w:ascii="宋体" w:hAnsi="宋体" w:cs="宋体"/>
                <w:color w:val="000000"/>
                <w:kern w:val="0"/>
                <w:szCs w:val="21"/>
              </w:rPr>
              <w:t>分</w:t>
            </w:r>
            <w:r>
              <w:rPr>
                <w:rFonts w:hint="eastAsia" w:ascii="宋体" w:hAnsi="宋体" w:cs="宋体"/>
                <w:color w:val="000000"/>
                <w:kern w:val="0"/>
                <w:szCs w:val="21"/>
                <w:lang w:eastAsia="zh-CN"/>
              </w:rPr>
              <w:t>，</w:t>
            </w:r>
            <w:r>
              <w:rPr>
                <w:rFonts w:hint="eastAsia" w:ascii="宋体" w:hAnsi="宋体" w:cs="宋体"/>
                <w:color w:val="000000"/>
                <w:kern w:val="0"/>
                <w:szCs w:val="21"/>
              </w:rPr>
              <w:t>第</w:t>
            </w:r>
            <w:r>
              <w:rPr>
                <w:rFonts w:hint="eastAsia" w:ascii="宋体" w:hAnsi="宋体" w:cs="宋体"/>
                <w:color w:val="000000"/>
                <w:kern w:val="0"/>
                <w:szCs w:val="21"/>
                <w:lang w:eastAsia="zh-CN"/>
              </w:rPr>
              <w:t>四</w:t>
            </w:r>
            <w:r>
              <w:rPr>
                <w:rFonts w:hint="eastAsia" w:ascii="宋体" w:hAnsi="宋体" w:cs="宋体"/>
                <w:color w:val="000000"/>
                <w:kern w:val="0"/>
                <w:szCs w:val="21"/>
              </w:rPr>
              <w:t>档</w:t>
            </w:r>
            <w:r>
              <w:rPr>
                <w:rFonts w:hint="eastAsia" w:ascii="宋体" w:hAnsi="宋体" w:cs="宋体"/>
                <w:color w:val="000000"/>
                <w:kern w:val="0"/>
                <w:szCs w:val="21"/>
                <w:lang w:val="en-US" w:eastAsia="zh-CN"/>
              </w:rPr>
              <w:t>3</w:t>
            </w:r>
            <w:r>
              <w:rPr>
                <w:rFonts w:hint="eastAsia" w:ascii="宋体" w:hAnsi="宋体" w:cs="宋体"/>
                <w:color w:val="000000"/>
                <w:kern w:val="0"/>
                <w:szCs w:val="21"/>
              </w:rPr>
              <w:t>.9-</w:t>
            </w:r>
            <w:r>
              <w:rPr>
                <w:rFonts w:hint="eastAsia" w:ascii="宋体" w:hAnsi="宋体" w:cs="宋体"/>
                <w:color w:val="000000"/>
                <w:kern w:val="0"/>
                <w:szCs w:val="21"/>
                <w:lang w:val="en-US" w:eastAsia="zh-CN"/>
              </w:rPr>
              <w:t>2</w:t>
            </w:r>
            <w:r>
              <w:rPr>
                <w:rFonts w:hint="eastAsia" w:ascii="宋体" w:hAnsi="宋体" w:cs="宋体"/>
                <w:color w:val="000000"/>
                <w:kern w:val="0"/>
                <w:szCs w:val="21"/>
              </w:rPr>
              <w:t>分，第</w:t>
            </w:r>
            <w:r>
              <w:rPr>
                <w:rFonts w:hint="eastAsia" w:ascii="宋体" w:hAnsi="宋体" w:cs="宋体"/>
                <w:color w:val="000000"/>
                <w:kern w:val="0"/>
                <w:szCs w:val="21"/>
                <w:lang w:eastAsia="zh-CN"/>
              </w:rPr>
              <w:t>五</w:t>
            </w:r>
            <w:r>
              <w:rPr>
                <w:rFonts w:hint="eastAsia" w:ascii="宋体" w:hAnsi="宋体" w:cs="宋体"/>
                <w:color w:val="000000"/>
                <w:kern w:val="0"/>
                <w:szCs w:val="21"/>
              </w:rPr>
              <w:t>挡</w:t>
            </w:r>
            <w:r>
              <w:rPr>
                <w:rFonts w:hint="eastAsia" w:ascii="宋体" w:hAnsi="宋体" w:cs="宋体"/>
                <w:color w:val="000000"/>
                <w:kern w:val="0"/>
                <w:szCs w:val="21"/>
                <w:lang w:val="en-US" w:eastAsia="zh-CN"/>
              </w:rPr>
              <w:t>1.9</w:t>
            </w:r>
            <w:r>
              <w:rPr>
                <w:rFonts w:hint="eastAsia" w:ascii="宋体" w:hAnsi="宋体" w:cs="宋体"/>
                <w:color w:val="000000"/>
                <w:kern w:val="0"/>
                <w:szCs w:val="21"/>
              </w:rPr>
              <w:t>-0分。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81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技术指标和需求响应情况</w:t>
            </w:r>
          </w:p>
        </w:tc>
        <w:tc>
          <w:tcPr>
            <w:tcW w:w="113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大数据管理平台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对照招标文件需求，详细阐述《大数据管理服务平台》方案，重点阐述数据标准管理、元数据管理、数据交换、数据治理、数据微服务等功能。评标委员会综合打分，第一档4-3分，第二档2.9-</w:t>
            </w:r>
            <w:r>
              <w:rPr>
                <w:rFonts w:hint="eastAsia" w:ascii="宋体" w:hAnsi="宋体" w:cs="宋体"/>
                <w:color w:val="000000"/>
                <w:kern w:val="0"/>
                <w:szCs w:val="21"/>
                <w:lang w:val="en-US" w:eastAsia="zh-CN"/>
              </w:rPr>
              <w:t>2</w:t>
            </w:r>
            <w:r>
              <w:rPr>
                <w:rFonts w:hint="eastAsia" w:ascii="宋体" w:hAnsi="宋体" w:cs="宋体"/>
                <w:color w:val="000000"/>
                <w:kern w:val="0"/>
                <w:szCs w:val="21"/>
              </w:rPr>
              <w:t>分，第三挡</w:t>
            </w:r>
            <w:r>
              <w:rPr>
                <w:rFonts w:hint="eastAsia" w:ascii="宋体" w:hAnsi="宋体" w:cs="宋体"/>
                <w:color w:val="000000"/>
                <w:kern w:val="0"/>
                <w:szCs w:val="21"/>
                <w:lang w:val="en-US" w:eastAsia="zh-CN"/>
              </w:rPr>
              <w:t>1.9-1</w:t>
            </w:r>
            <w:r>
              <w:rPr>
                <w:rFonts w:hint="eastAsia" w:ascii="宋体" w:hAnsi="宋体" w:cs="宋体"/>
                <w:color w:val="000000"/>
                <w:kern w:val="0"/>
                <w:szCs w:val="21"/>
              </w:rPr>
              <w:t>分</w:t>
            </w:r>
            <w:r>
              <w:rPr>
                <w:rFonts w:hint="eastAsia" w:ascii="宋体" w:hAnsi="宋体" w:cs="宋体"/>
                <w:color w:val="000000"/>
                <w:kern w:val="0"/>
                <w:szCs w:val="21"/>
                <w:lang w:eastAsia="zh-CN"/>
              </w:rPr>
              <w:t>，第四挡</w:t>
            </w:r>
            <w:r>
              <w:rPr>
                <w:rFonts w:hint="eastAsia" w:ascii="宋体" w:hAnsi="宋体" w:cs="宋体"/>
                <w:color w:val="000000"/>
                <w:kern w:val="0"/>
                <w:szCs w:val="21"/>
                <w:lang w:val="en-US" w:eastAsia="zh-CN"/>
              </w:rPr>
              <w:t>0.9-0</w:t>
            </w:r>
            <w:r>
              <w:rPr>
                <w:rFonts w:hint="eastAsia" w:ascii="宋体" w:hAnsi="宋体" w:cs="宋体"/>
                <w:color w:val="000000"/>
                <w:kern w:val="0"/>
                <w:szCs w:val="21"/>
              </w:rPr>
              <w:t>。</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81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资源目录管理平台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对照招标文件需求，详细阐述《资源目录管理平台》方案，重点阐述目录编制、目录维护、目录驱动和权限管理等功能。评标委员会综合打分，第一档3-2分，第二档1.9-1分，第三挡0.9-0分。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81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数据共享平台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对照招标文件需求，详细阐述《数据共享平台》方案，重点阐述接口监控、接口下载、接口逻辑、共享配置、目录组织、接口发布、数据反馈等功能。评标委员会综合打分，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108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数据开放平台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对照招标文件需求，详细阐述《数据开放平台》方案，重点阐述开放门户、开放数据、接口服务、成果应用、地图服务、开发者中心、数据开放分析、冷热度评价、数据检索、开放目录管理、个人中心、权限管理等功能。评标委员会综合打分，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81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数据安全监管平台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对照招标文件需求，详细阐述《数据安全监管平台》方案，重点阐述监管平台、数据库访问控制、数据脱敏、数据水印、安全审计等功能。评标委员会综合打分，第一档3-2分，第二档1.9-1分，第三挡0.9-0分。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108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云数据库服务</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对照招标文件需求，详细阐述《云数据库服务》方案，重点阐述RDS云数据库和对象存储用户申请、数据上云、读写分离、自动备份、在线管理等相关功能。评标委员会综合打分，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846"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省市公共数据平台对接服务</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提供省市数据对接服务，包括梳理数据资源目录，接入人口、法人、信用、空间基础信息库，构建数据分析应用。评标委员会综合打分，</w:t>
            </w:r>
            <w:r>
              <w:rPr>
                <w:rFonts w:hint="eastAsia" w:ascii="宋体" w:hAnsi="宋体" w:cs="宋体"/>
                <w:color w:val="000000"/>
                <w:kern w:val="0"/>
                <w:szCs w:val="21"/>
              </w:rPr>
              <w:t>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r>
      <w:tr>
        <w:tblPrEx>
          <w:tblCellMar>
            <w:top w:w="0" w:type="dxa"/>
            <w:left w:w="108" w:type="dxa"/>
            <w:bottom w:w="0" w:type="dxa"/>
            <w:right w:w="108" w:type="dxa"/>
          </w:tblCellMar>
        </w:tblPrEx>
        <w:trPr>
          <w:trHeight w:val="846"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市级数据治理服务</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梳理整合台州现有数据资源，梳理制定数据标准、提升数据质量、保障数据安全、提供数据共享、开放技术支撑。评标委员会综合打分，</w:t>
            </w:r>
            <w:r>
              <w:rPr>
                <w:rFonts w:hint="eastAsia" w:ascii="宋体" w:hAnsi="宋体" w:cs="宋体"/>
                <w:color w:val="000000"/>
                <w:kern w:val="0"/>
                <w:szCs w:val="21"/>
              </w:rPr>
              <w:t>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r>
      <w:tr>
        <w:tblPrEx>
          <w:tblCellMar>
            <w:top w:w="0" w:type="dxa"/>
            <w:left w:w="108" w:type="dxa"/>
            <w:bottom w:w="0" w:type="dxa"/>
            <w:right w:w="108" w:type="dxa"/>
          </w:tblCellMar>
        </w:tblPrEx>
        <w:trPr>
          <w:trHeight w:val="233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方案讲解和演示（要求演示以实际程序进行。使用PPT演示、截图演示、录屏演示、静态页面等非实际可执行程序进行演示的最高得项目模块的一半分数）</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大数据管理平台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kern w:val="0"/>
                <w:szCs w:val="21"/>
              </w:rPr>
            </w:pPr>
            <w:r>
              <w:rPr>
                <w:rFonts w:hint="eastAsia" w:ascii="宋体" w:hAnsi="宋体" w:cs="宋体"/>
                <w:color w:val="000000"/>
                <w:kern w:val="0"/>
                <w:szCs w:val="21"/>
              </w:rPr>
              <w:t>演示数据元及业务对象管理、数据标准继承，元数据管理、可视化建库建表、数据关系视图，数据库连接、数据抽取预览、数据交换任务配置，治理规则管理、治理任务管理，微服务注册、</w:t>
            </w:r>
            <w:r>
              <w:rPr>
                <w:rFonts w:hint="eastAsia" w:ascii="宋体" w:hAnsi="宋体" w:cs="宋体"/>
                <w:kern w:val="0"/>
                <w:szCs w:val="21"/>
              </w:rPr>
              <w:t>微服务配置管理安全访问控制等功能。</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演示数据获取能力，在不做任何改变的、无需业务系统开发商配合的情况下，实现跨系统数据获取和传输。</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根据整体功能演示情况分</w:t>
            </w:r>
            <w:r>
              <w:rPr>
                <w:rFonts w:hint="eastAsia" w:ascii="宋体" w:hAnsi="宋体" w:cs="宋体"/>
                <w:color w:val="000000"/>
                <w:kern w:val="0"/>
                <w:szCs w:val="21"/>
                <w:lang w:eastAsia="zh-CN"/>
              </w:rPr>
              <w:t>四</w:t>
            </w:r>
            <w:r>
              <w:rPr>
                <w:rFonts w:hint="eastAsia" w:ascii="宋体" w:hAnsi="宋体" w:cs="宋体"/>
                <w:color w:val="000000"/>
                <w:kern w:val="0"/>
                <w:szCs w:val="21"/>
              </w:rPr>
              <w:t>档打分：第一档</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4</w:t>
            </w:r>
            <w:r>
              <w:rPr>
                <w:rFonts w:hint="eastAsia" w:ascii="宋体" w:hAnsi="宋体" w:cs="宋体"/>
                <w:color w:val="000000"/>
                <w:kern w:val="0"/>
                <w:szCs w:val="21"/>
              </w:rPr>
              <w:t>分，第二档</w:t>
            </w:r>
            <w:r>
              <w:rPr>
                <w:rFonts w:hint="eastAsia" w:ascii="宋体" w:hAnsi="宋体" w:cs="宋体"/>
                <w:color w:val="000000"/>
                <w:kern w:val="0"/>
                <w:szCs w:val="21"/>
                <w:lang w:val="en-US" w:eastAsia="zh-CN"/>
              </w:rPr>
              <w:t>3.9</w:t>
            </w: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分，第三挡</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color w:val="000000"/>
                <w:kern w:val="0"/>
                <w:szCs w:val="21"/>
                <w:lang w:val="en-US" w:eastAsia="zh-CN"/>
              </w:rPr>
              <w:t>9</w:t>
            </w:r>
            <w:r>
              <w:rPr>
                <w:rFonts w:hint="eastAsia" w:ascii="宋体" w:hAnsi="宋体" w:cs="宋体"/>
                <w:color w:val="000000"/>
                <w:kern w:val="0"/>
                <w:szCs w:val="21"/>
              </w:rPr>
              <w:t>-</w:t>
            </w: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r>
              <w:rPr>
                <w:rFonts w:hint="eastAsia" w:ascii="宋体" w:hAnsi="宋体" w:cs="宋体"/>
                <w:color w:val="000000"/>
                <w:kern w:val="0"/>
                <w:szCs w:val="21"/>
                <w:lang w:eastAsia="zh-CN"/>
              </w:rPr>
              <w:t>，第四档</w:t>
            </w:r>
            <w:r>
              <w:rPr>
                <w:rFonts w:hint="eastAsia" w:ascii="宋体" w:hAnsi="宋体" w:cs="宋体"/>
                <w:color w:val="000000"/>
                <w:kern w:val="0"/>
                <w:szCs w:val="21"/>
                <w:lang w:val="en-US" w:eastAsia="zh-CN"/>
              </w:rPr>
              <w:t>1.9-1分，第五档0.9-0</w:t>
            </w:r>
            <w:r>
              <w:rPr>
                <w:rFonts w:hint="eastAsia" w:ascii="宋体" w:hAnsi="宋体" w:cs="宋体"/>
                <w:color w:val="000000"/>
                <w:kern w:val="0"/>
                <w:szCs w:val="21"/>
              </w:rPr>
              <w:t>。</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81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资源目录管理平台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演示目录编制、目录维护、目录驱动等功能。</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根据整体功能演示情况分</w:t>
            </w:r>
            <w:r>
              <w:rPr>
                <w:rFonts w:hint="eastAsia" w:ascii="宋体" w:hAnsi="宋体" w:cs="宋体"/>
                <w:color w:val="000000"/>
                <w:kern w:val="0"/>
                <w:szCs w:val="21"/>
                <w:lang w:eastAsia="zh-CN"/>
              </w:rPr>
              <w:t>四</w:t>
            </w:r>
            <w:r>
              <w:rPr>
                <w:rFonts w:hint="eastAsia" w:ascii="宋体" w:hAnsi="宋体" w:cs="宋体"/>
                <w:color w:val="000000"/>
                <w:kern w:val="0"/>
                <w:szCs w:val="21"/>
              </w:rPr>
              <w:t>档打分：第一档4-3分，第二档2.9-</w:t>
            </w:r>
            <w:r>
              <w:rPr>
                <w:rFonts w:hint="eastAsia" w:ascii="宋体" w:hAnsi="宋体" w:cs="宋体"/>
                <w:color w:val="000000"/>
                <w:kern w:val="0"/>
                <w:szCs w:val="21"/>
                <w:lang w:val="en-US" w:eastAsia="zh-CN"/>
              </w:rPr>
              <w:t>2</w:t>
            </w:r>
            <w:r>
              <w:rPr>
                <w:rFonts w:hint="eastAsia" w:ascii="宋体" w:hAnsi="宋体" w:cs="宋体"/>
                <w:color w:val="000000"/>
                <w:kern w:val="0"/>
                <w:szCs w:val="21"/>
              </w:rPr>
              <w:t>分，第三挡</w:t>
            </w:r>
            <w:r>
              <w:rPr>
                <w:rFonts w:hint="eastAsia" w:ascii="宋体" w:hAnsi="宋体" w:cs="宋体"/>
                <w:color w:val="000000"/>
                <w:kern w:val="0"/>
                <w:szCs w:val="21"/>
                <w:lang w:val="en-US" w:eastAsia="zh-CN"/>
              </w:rPr>
              <w:t>1.9-1</w:t>
            </w:r>
            <w:r>
              <w:rPr>
                <w:rFonts w:hint="eastAsia" w:ascii="宋体" w:hAnsi="宋体" w:cs="宋体"/>
                <w:color w:val="000000"/>
                <w:kern w:val="0"/>
                <w:szCs w:val="21"/>
              </w:rPr>
              <w:t>分</w:t>
            </w:r>
            <w:r>
              <w:rPr>
                <w:rFonts w:hint="eastAsia" w:ascii="宋体" w:hAnsi="宋体" w:cs="宋体"/>
                <w:color w:val="000000"/>
                <w:kern w:val="0"/>
                <w:szCs w:val="21"/>
                <w:lang w:eastAsia="zh-CN"/>
              </w:rPr>
              <w:t>，第四挡</w:t>
            </w:r>
            <w:r>
              <w:rPr>
                <w:rFonts w:hint="eastAsia" w:ascii="宋体" w:hAnsi="宋体" w:cs="宋体"/>
                <w:color w:val="000000"/>
                <w:kern w:val="0"/>
                <w:szCs w:val="21"/>
                <w:lang w:val="en-US" w:eastAsia="zh-CN"/>
              </w:rPr>
              <w:t>0.9-0</w:t>
            </w:r>
            <w:r>
              <w:rPr>
                <w:rFonts w:hint="eastAsia" w:ascii="宋体" w:hAnsi="宋体" w:cs="宋体"/>
                <w:color w:val="000000"/>
                <w:kern w:val="0"/>
                <w:szCs w:val="21"/>
              </w:rPr>
              <w:t>。</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108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数据共享平台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演示接口监控、接口下载、接口逻辑、共享配置、目录组织、接口发布、数据反馈等功能。</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根据整体功能演示情况分</w:t>
            </w:r>
            <w:r>
              <w:rPr>
                <w:rFonts w:hint="eastAsia" w:ascii="宋体" w:hAnsi="宋体" w:cs="宋体"/>
                <w:color w:val="000000"/>
                <w:kern w:val="0"/>
                <w:szCs w:val="21"/>
                <w:lang w:eastAsia="zh-CN"/>
              </w:rPr>
              <w:t>四</w:t>
            </w:r>
            <w:r>
              <w:rPr>
                <w:rFonts w:hint="eastAsia" w:ascii="宋体" w:hAnsi="宋体" w:cs="宋体"/>
                <w:color w:val="000000"/>
                <w:kern w:val="0"/>
                <w:szCs w:val="21"/>
              </w:rPr>
              <w:t>档打分：第一档4-3分，第二档2.9-</w:t>
            </w:r>
            <w:r>
              <w:rPr>
                <w:rFonts w:hint="eastAsia" w:ascii="宋体" w:hAnsi="宋体" w:cs="宋体"/>
                <w:color w:val="000000"/>
                <w:kern w:val="0"/>
                <w:szCs w:val="21"/>
                <w:lang w:val="en-US" w:eastAsia="zh-CN"/>
              </w:rPr>
              <w:t>2</w:t>
            </w:r>
            <w:r>
              <w:rPr>
                <w:rFonts w:hint="eastAsia" w:ascii="宋体" w:hAnsi="宋体" w:cs="宋体"/>
                <w:color w:val="000000"/>
                <w:kern w:val="0"/>
                <w:szCs w:val="21"/>
              </w:rPr>
              <w:t>分，第三挡</w:t>
            </w:r>
            <w:r>
              <w:rPr>
                <w:rFonts w:hint="eastAsia" w:ascii="宋体" w:hAnsi="宋体" w:cs="宋体"/>
                <w:color w:val="000000"/>
                <w:kern w:val="0"/>
                <w:szCs w:val="21"/>
                <w:lang w:val="en-US" w:eastAsia="zh-CN"/>
              </w:rPr>
              <w:t>1.9-1</w:t>
            </w:r>
            <w:r>
              <w:rPr>
                <w:rFonts w:hint="eastAsia" w:ascii="宋体" w:hAnsi="宋体" w:cs="宋体"/>
                <w:color w:val="000000"/>
                <w:kern w:val="0"/>
                <w:szCs w:val="21"/>
              </w:rPr>
              <w:t>分</w:t>
            </w:r>
            <w:r>
              <w:rPr>
                <w:rFonts w:hint="eastAsia" w:ascii="宋体" w:hAnsi="宋体" w:cs="宋体"/>
                <w:color w:val="000000"/>
                <w:kern w:val="0"/>
                <w:szCs w:val="21"/>
                <w:lang w:eastAsia="zh-CN"/>
              </w:rPr>
              <w:t>，第四挡</w:t>
            </w:r>
            <w:r>
              <w:rPr>
                <w:rFonts w:hint="eastAsia" w:ascii="宋体" w:hAnsi="宋体" w:cs="宋体"/>
                <w:color w:val="000000"/>
                <w:kern w:val="0"/>
                <w:szCs w:val="21"/>
                <w:lang w:val="en-US" w:eastAsia="zh-CN"/>
              </w:rPr>
              <w:t>0.9-0</w:t>
            </w:r>
            <w:r>
              <w:rPr>
                <w:rFonts w:hint="eastAsia" w:ascii="宋体" w:hAnsi="宋体" w:cs="宋体"/>
                <w:color w:val="000000"/>
                <w:kern w:val="0"/>
                <w:szCs w:val="21"/>
              </w:rPr>
              <w:t>。</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108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数据开放平台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演示开放门户、开放数据、接口服务、成果应用、地图服务、开发者中心、数据开放分析、冷热度评价、数据检索、开放目录管理、个人中心、权限管理等功能。</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根据整体功能演示情况分</w:t>
            </w:r>
            <w:r>
              <w:rPr>
                <w:rFonts w:hint="eastAsia" w:ascii="宋体" w:hAnsi="宋体" w:cs="宋体"/>
                <w:color w:val="000000"/>
                <w:kern w:val="0"/>
                <w:szCs w:val="21"/>
                <w:lang w:eastAsia="zh-CN"/>
              </w:rPr>
              <w:t>四</w:t>
            </w:r>
            <w:r>
              <w:rPr>
                <w:rFonts w:hint="eastAsia" w:ascii="宋体" w:hAnsi="宋体" w:cs="宋体"/>
                <w:color w:val="000000"/>
                <w:kern w:val="0"/>
                <w:szCs w:val="21"/>
              </w:rPr>
              <w:t>档打分：第一档4-3分，第二档2.9-</w:t>
            </w:r>
            <w:r>
              <w:rPr>
                <w:rFonts w:hint="eastAsia" w:ascii="宋体" w:hAnsi="宋体" w:cs="宋体"/>
                <w:color w:val="000000"/>
                <w:kern w:val="0"/>
                <w:szCs w:val="21"/>
                <w:lang w:val="en-US" w:eastAsia="zh-CN"/>
              </w:rPr>
              <w:t>2</w:t>
            </w:r>
            <w:r>
              <w:rPr>
                <w:rFonts w:hint="eastAsia" w:ascii="宋体" w:hAnsi="宋体" w:cs="宋体"/>
                <w:color w:val="000000"/>
                <w:kern w:val="0"/>
                <w:szCs w:val="21"/>
              </w:rPr>
              <w:t>分，第三挡</w:t>
            </w:r>
            <w:r>
              <w:rPr>
                <w:rFonts w:hint="eastAsia" w:ascii="宋体" w:hAnsi="宋体" w:cs="宋体"/>
                <w:color w:val="000000"/>
                <w:kern w:val="0"/>
                <w:szCs w:val="21"/>
                <w:lang w:val="en-US" w:eastAsia="zh-CN"/>
              </w:rPr>
              <w:t>1.9-1</w:t>
            </w:r>
            <w:r>
              <w:rPr>
                <w:rFonts w:hint="eastAsia" w:ascii="宋体" w:hAnsi="宋体" w:cs="宋体"/>
                <w:color w:val="000000"/>
                <w:kern w:val="0"/>
                <w:szCs w:val="21"/>
              </w:rPr>
              <w:t>分</w:t>
            </w:r>
            <w:r>
              <w:rPr>
                <w:rFonts w:hint="eastAsia" w:ascii="宋体" w:hAnsi="宋体" w:cs="宋体"/>
                <w:color w:val="000000"/>
                <w:kern w:val="0"/>
                <w:szCs w:val="21"/>
                <w:lang w:eastAsia="zh-CN"/>
              </w:rPr>
              <w:t>，第四挡</w:t>
            </w:r>
            <w:r>
              <w:rPr>
                <w:rFonts w:hint="eastAsia" w:ascii="宋体" w:hAnsi="宋体" w:cs="宋体"/>
                <w:color w:val="000000"/>
                <w:kern w:val="0"/>
                <w:szCs w:val="21"/>
                <w:lang w:val="en-US" w:eastAsia="zh-CN"/>
              </w:rPr>
              <w:t>0.9-0</w:t>
            </w:r>
            <w:r>
              <w:rPr>
                <w:rFonts w:hint="eastAsia" w:ascii="宋体" w:hAnsi="宋体" w:cs="宋体"/>
                <w:color w:val="000000"/>
                <w:kern w:val="0"/>
                <w:szCs w:val="21"/>
              </w:rPr>
              <w:t>。</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81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数据安全监管平台</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演示监管平台、数据库访问控制、数据脱敏、数据水印、安全审计等功能。</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根据整体功能演示情况分</w:t>
            </w:r>
            <w:r>
              <w:rPr>
                <w:rFonts w:hint="eastAsia" w:ascii="宋体" w:hAnsi="宋体" w:cs="宋体"/>
                <w:color w:val="000000"/>
                <w:kern w:val="0"/>
                <w:szCs w:val="21"/>
                <w:lang w:eastAsia="zh-CN"/>
              </w:rPr>
              <w:t>四</w:t>
            </w:r>
            <w:r>
              <w:rPr>
                <w:rFonts w:hint="eastAsia" w:ascii="宋体" w:hAnsi="宋体" w:cs="宋体"/>
                <w:color w:val="000000"/>
                <w:kern w:val="0"/>
                <w:szCs w:val="21"/>
              </w:rPr>
              <w:t>档打分：第一档4-3分，第二档2.9-</w:t>
            </w:r>
            <w:r>
              <w:rPr>
                <w:rFonts w:hint="eastAsia" w:ascii="宋体" w:hAnsi="宋体" w:cs="宋体"/>
                <w:color w:val="000000"/>
                <w:kern w:val="0"/>
                <w:szCs w:val="21"/>
                <w:lang w:val="en-US" w:eastAsia="zh-CN"/>
              </w:rPr>
              <w:t>2</w:t>
            </w:r>
            <w:r>
              <w:rPr>
                <w:rFonts w:hint="eastAsia" w:ascii="宋体" w:hAnsi="宋体" w:cs="宋体"/>
                <w:color w:val="000000"/>
                <w:kern w:val="0"/>
                <w:szCs w:val="21"/>
              </w:rPr>
              <w:t>分，第三挡</w:t>
            </w:r>
            <w:r>
              <w:rPr>
                <w:rFonts w:hint="eastAsia" w:ascii="宋体" w:hAnsi="宋体" w:cs="宋体"/>
                <w:color w:val="000000"/>
                <w:kern w:val="0"/>
                <w:szCs w:val="21"/>
                <w:lang w:val="en-US" w:eastAsia="zh-CN"/>
              </w:rPr>
              <w:t>1.9-1</w:t>
            </w:r>
            <w:r>
              <w:rPr>
                <w:rFonts w:hint="eastAsia" w:ascii="宋体" w:hAnsi="宋体" w:cs="宋体"/>
                <w:color w:val="000000"/>
                <w:kern w:val="0"/>
                <w:szCs w:val="21"/>
              </w:rPr>
              <w:t>分</w:t>
            </w:r>
            <w:r>
              <w:rPr>
                <w:rFonts w:hint="eastAsia" w:ascii="宋体" w:hAnsi="宋体" w:cs="宋体"/>
                <w:color w:val="000000"/>
                <w:kern w:val="0"/>
                <w:szCs w:val="21"/>
                <w:lang w:eastAsia="zh-CN"/>
              </w:rPr>
              <w:t>，第四挡</w:t>
            </w:r>
            <w:r>
              <w:rPr>
                <w:rFonts w:hint="eastAsia" w:ascii="宋体" w:hAnsi="宋体" w:cs="宋体"/>
                <w:color w:val="000000"/>
                <w:kern w:val="0"/>
                <w:szCs w:val="21"/>
                <w:lang w:val="en-US" w:eastAsia="zh-CN"/>
              </w:rPr>
              <w:t>0.9-0</w:t>
            </w:r>
            <w:r>
              <w:rPr>
                <w:rFonts w:hint="eastAsia" w:ascii="宋体" w:hAnsi="宋体" w:cs="宋体"/>
                <w:color w:val="000000"/>
                <w:kern w:val="0"/>
                <w:szCs w:val="21"/>
              </w:rPr>
              <w:t>。</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54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用户体验</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演示大数据呈现、界面设计、功能完善、操作便捷等方面衡量，分三档打分：第一档3-2分，第二档1.9-1分，第三挡0.9-0分。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54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项目实施</w:t>
            </w:r>
          </w:p>
        </w:tc>
        <w:tc>
          <w:tcPr>
            <w:tcW w:w="11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项目实施方案</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1、实施方案包括进度计划、人员配置、安装调试测试、验收方案、质量保障方案等内容综合评价。由评标委员会综合打分，第一档3-2分；第二档1.9-1分；第三挡0.9-0分。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54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团队成员能力</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宋体" w:hAnsi="宋体" w:cs="宋体"/>
                <w:color w:val="000000"/>
                <w:kern w:val="0"/>
                <w:szCs w:val="21"/>
              </w:rPr>
            </w:pPr>
            <w:r>
              <w:rPr>
                <w:rFonts w:hint="eastAsia" w:ascii="宋体" w:hAnsi="宋体" w:cs="宋体"/>
                <w:color w:val="000000"/>
                <w:kern w:val="0"/>
                <w:szCs w:val="21"/>
              </w:rPr>
              <w:t>1.项目人员具有Python、Java、Hadoop、Hive和Spark等语言的开发人员，提供开发人员清单的相关项目说明和截图；每具备一种上述语言开发能力的人员得0.5分，最多2分。</w:t>
            </w:r>
          </w:p>
          <w:p>
            <w:pPr>
              <w:keepNext w:val="0"/>
              <w:keepLines w:val="0"/>
              <w:pageBreakBefore w:val="0"/>
              <w:widowControl/>
              <w:kinsoku/>
              <w:wordWrap/>
              <w:overflowPunct/>
              <w:topLinePunct w:val="0"/>
              <w:autoSpaceDE/>
              <w:autoSpaceDN/>
              <w:bidi w:val="0"/>
              <w:adjustRightInd w:val="0"/>
              <w:snapToGrid w:val="0"/>
              <w:textAlignment w:val="auto"/>
              <w:rPr>
                <w:rFonts w:ascii="宋体" w:hAnsi="宋体" w:cs="宋体"/>
                <w:color w:val="000000"/>
                <w:kern w:val="0"/>
                <w:szCs w:val="21"/>
              </w:rPr>
            </w:pPr>
            <w:r>
              <w:rPr>
                <w:rFonts w:hint="eastAsia" w:ascii="宋体" w:hAnsi="宋体" w:cs="宋体"/>
                <w:color w:val="000000"/>
                <w:kern w:val="0"/>
                <w:szCs w:val="21"/>
              </w:rPr>
              <w:t>2.投标单位拟派项目经理</w:t>
            </w:r>
            <w:r>
              <w:rPr>
                <w:rFonts w:hint="eastAsia" w:ascii="宋体" w:hAnsi="宋体" w:cs="宋体"/>
                <w:color w:val="000000"/>
                <w:kern w:val="0"/>
                <w:szCs w:val="21"/>
                <w:lang w:eastAsia="zh-CN"/>
              </w:rPr>
              <w:t>具有</w:t>
            </w:r>
            <w:r>
              <w:rPr>
                <w:rFonts w:hint="eastAsia" w:ascii="宋体" w:hAnsi="宋体" w:cs="宋体"/>
                <w:color w:val="000000"/>
                <w:kern w:val="0"/>
                <w:szCs w:val="21"/>
              </w:rPr>
              <w:t>PMP认证证书、高级工程师证书、高级信息系统集成证书要求中的任意两项项及以上得1分，其它不得分。</w:t>
            </w:r>
          </w:p>
          <w:p>
            <w:pPr>
              <w:keepNext w:val="0"/>
              <w:keepLines w:val="0"/>
              <w:pageBreakBefore w:val="0"/>
              <w:widowControl/>
              <w:kinsoku/>
              <w:wordWrap/>
              <w:overflowPunct/>
              <w:topLinePunct w:val="0"/>
              <w:autoSpaceDE/>
              <w:autoSpaceDN/>
              <w:bidi w:val="0"/>
              <w:adjustRightInd w:val="0"/>
              <w:snapToGrid w:val="0"/>
              <w:textAlignment w:val="auto"/>
              <w:rPr>
                <w:rFonts w:ascii="宋体" w:hAnsi="宋体" w:cs="宋体"/>
                <w:color w:val="000000"/>
                <w:kern w:val="0"/>
                <w:szCs w:val="21"/>
              </w:rPr>
            </w:pPr>
            <w:r>
              <w:rPr>
                <w:rFonts w:hint="eastAsia" w:ascii="宋体" w:hAnsi="宋体" w:cs="宋体"/>
                <w:color w:val="000000"/>
                <w:kern w:val="0"/>
                <w:szCs w:val="21"/>
              </w:rPr>
              <w:t>3.项目技术人员具有计算机专业本科学历或全国计算机技术与软件专业技术资格中级及以上证书，每具备上述要求的人员得0.5分，最多1分。</w:t>
            </w:r>
          </w:p>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（需提供人员相关资质证书</w:t>
            </w:r>
            <w:r>
              <w:rPr>
                <w:rFonts w:hint="eastAsia" w:ascii="宋体" w:hAnsi="宋体" w:cs="宋体"/>
                <w:color w:val="000000"/>
                <w:kern w:val="0"/>
                <w:szCs w:val="21"/>
                <w:lang w:eastAsia="zh-CN"/>
              </w:rPr>
              <w:t>原件扫描件及</w:t>
            </w:r>
            <w:r>
              <w:rPr>
                <w:rFonts w:hint="eastAsia" w:ascii="宋体" w:hAnsi="宋体" w:cs="宋体"/>
                <w:color w:val="000000"/>
                <w:kern w:val="0"/>
                <w:szCs w:val="21"/>
                <w:lang w:val="en-US" w:eastAsia="zh-CN"/>
              </w:rPr>
              <w:t>6个月内的社保证明做入标书</w:t>
            </w:r>
            <w:r>
              <w:rPr>
                <w:rFonts w:hint="eastAsia" w:ascii="宋体" w:hAnsi="宋体" w:cs="宋体"/>
                <w:color w:val="000000"/>
                <w:kern w:val="0"/>
                <w:szCs w:val="21"/>
              </w:rPr>
              <w:t>，</w:t>
            </w:r>
            <w:r>
              <w:rPr>
                <w:rFonts w:hint="eastAsia" w:ascii="宋体" w:hAnsi="宋体" w:cs="宋体"/>
                <w:color w:val="000000"/>
                <w:kern w:val="0"/>
                <w:szCs w:val="21"/>
                <w:lang w:eastAsia="zh-CN"/>
              </w:rPr>
              <w:t>加盖电子印章</w:t>
            </w:r>
            <w:r>
              <w:rPr>
                <w:rFonts w:hint="eastAsia" w:ascii="宋体" w:hAnsi="宋体" w:cs="宋体"/>
                <w:color w:val="000000"/>
                <w:kern w:val="0"/>
                <w:szCs w:val="21"/>
              </w:rPr>
              <w:t>）</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407" w:hRule="atLeast"/>
        </w:trPr>
        <w:tc>
          <w:tcPr>
            <w:tcW w:w="779"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对接承诺</w:t>
            </w:r>
          </w:p>
        </w:tc>
        <w:tc>
          <w:tcPr>
            <w:tcW w:w="5953" w:type="dxa"/>
            <w:gridSpan w:val="2"/>
            <w:tcBorders>
              <w:top w:val="nil"/>
              <w:left w:val="nil"/>
              <w:bottom w:val="single" w:color="auto" w:sz="4" w:space="0"/>
              <w:right w:val="single" w:color="auto" w:sz="4" w:space="0"/>
            </w:tcBorders>
            <w:shd w:val="clear" w:color="auto" w:fill="auto"/>
            <w:vAlign w:val="center"/>
          </w:tcPr>
          <w:p>
            <w:pPr>
              <w:spacing w:line="240" w:lineRule="auto"/>
              <w:rPr>
                <w:rFonts w:hint="default" w:ascii="宋体" w:hAnsi="宋体" w:cs="宋体"/>
                <w:color w:val="000000"/>
                <w:kern w:val="0"/>
                <w:szCs w:val="21"/>
                <w:lang w:val="en-US"/>
              </w:rPr>
            </w:pPr>
            <w:r>
              <w:rPr>
                <w:rFonts w:hint="eastAsia" w:ascii="宋体" w:hAnsi="宋体" w:cs="宋体"/>
                <w:color w:val="000000"/>
                <w:kern w:val="0"/>
                <w:szCs w:val="21"/>
                <w:lang w:val="en-US" w:eastAsia="zh-CN"/>
              </w:rPr>
              <w:t>投标人提供对接方案，</w:t>
            </w:r>
            <w:r>
              <w:rPr>
                <w:rFonts w:hint="eastAsia" w:ascii="宋体" w:hAnsi="宋体" w:cs="宋体"/>
                <w:color w:val="000000"/>
                <w:kern w:val="0"/>
                <w:szCs w:val="21"/>
                <w:lang w:eastAsia="zh-CN"/>
              </w:rPr>
              <w:t>承诺在中标后项目实施中实现</w:t>
            </w:r>
            <w:r>
              <w:rPr>
                <w:rFonts w:hint="eastAsia" w:ascii="宋体" w:hAnsi="宋体" w:cs="宋体"/>
                <w:color w:val="000000"/>
                <w:kern w:val="0"/>
                <w:szCs w:val="21"/>
              </w:rPr>
              <w:t>大数据管理平台、资源目录管理平台、数据共享平台、数据开放平台、数据安全监管平台与省公共数据平台</w:t>
            </w:r>
            <w:r>
              <w:rPr>
                <w:rFonts w:hint="eastAsia" w:ascii="宋体" w:hAnsi="宋体" w:cs="宋体"/>
                <w:color w:val="000000"/>
                <w:kern w:val="0"/>
                <w:szCs w:val="21"/>
                <w:lang w:eastAsia="zh-CN"/>
              </w:rPr>
              <w:t>的</w:t>
            </w:r>
            <w:r>
              <w:rPr>
                <w:rFonts w:hint="eastAsia" w:ascii="宋体" w:hAnsi="宋体" w:cs="宋体"/>
                <w:color w:val="000000"/>
                <w:kern w:val="0"/>
                <w:szCs w:val="21"/>
              </w:rPr>
              <w:t>有效</w:t>
            </w:r>
            <w:r>
              <w:rPr>
                <w:rFonts w:hint="eastAsia" w:ascii="宋体" w:hAnsi="宋体" w:cs="宋体"/>
                <w:color w:val="000000"/>
                <w:kern w:val="0"/>
                <w:szCs w:val="21"/>
                <w:lang w:eastAsia="zh-CN"/>
              </w:rPr>
              <w:t>对接</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CellMar>
            <w:top w:w="0" w:type="dxa"/>
            <w:left w:w="108" w:type="dxa"/>
            <w:bottom w:w="0" w:type="dxa"/>
            <w:right w:w="108" w:type="dxa"/>
          </w:tblCellMar>
        </w:tblPrEx>
        <w:trPr>
          <w:trHeight w:val="540" w:hRule="atLeast"/>
        </w:trPr>
        <w:tc>
          <w:tcPr>
            <w:tcW w:w="779"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实力信誉及业绩（</w:t>
            </w:r>
            <w:r>
              <w:rPr>
                <w:rFonts w:hint="eastAsia" w:ascii="宋体" w:hAnsi="宋体" w:cs="宋体"/>
                <w:color w:val="000000"/>
                <w:kern w:val="0"/>
                <w:szCs w:val="21"/>
                <w:lang w:val="en-US" w:eastAsia="zh-CN"/>
              </w:rPr>
              <w:t>8</w:t>
            </w:r>
            <w:r>
              <w:rPr>
                <w:rFonts w:hint="eastAsia" w:ascii="宋体" w:hAnsi="宋体" w:cs="宋体"/>
                <w:color w:val="000000"/>
                <w:kern w:val="0"/>
                <w:szCs w:val="21"/>
              </w:rPr>
              <w:t>分）</w:t>
            </w:r>
          </w:p>
        </w:tc>
        <w:tc>
          <w:tcPr>
            <w:tcW w:w="10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供应商实力</w:t>
            </w:r>
          </w:p>
        </w:tc>
        <w:tc>
          <w:tcPr>
            <w:tcW w:w="595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投标人具备下列资质每项得1分，最高得2分：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（1）具有信息安全管理体系ISO27001认证证书；</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（2）具有质量管理体系认证ISO9001认证证书；</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投标文件内均需提供证书</w:t>
            </w:r>
            <w:r>
              <w:rPr>
                <w:rFonts w:hint="eastAsia" w:ascii="宋体" w:hAnsi="宋体" w:cs="宋体"/>
                <w:color w:val="000000"/>
                <w:kern w:val="0"/>
                <w:szCs w:val="21"/>
                <w:lang w:eastAsia="zh-CN"/>
              </w:rPr>
              <w:t>原件扫描件并</w:t>
            </w:r>
            <w:r>
              <w:rPr>
                <w:rFonts w:hint="eastAsia" w:ascii="宋体" w:hAnsi="宋体" w:cs="宋体"/>
                <w:color w:val="000000"/>
                <w:kern w:val="0"/>
                <w:szCs w:val="21"/>
              </w:rPr>
              <w:t>加盖</w:t>
            </w:r>
            <w:r>
              <w:rPr>
                <w:rFonts w:hint="eastAsia" w:ascii="宋体" w:hAnsi="宋体" w:cs="宋体"/>
                <w:color w:val="000000"/>
                <w:kern w:val="0"/>
                <w:szCs w:val="21"/>
                <w:lang w:eastAsia="zh-CN"/>
              </w:rPr>
              <w:t>电子印</w:t>
            </w:r>
            <w:r>
              <w:rPr>
                <w:rFonts w:hint="eastAsia" w:ascii="宋体" w:hAnsi="宋体" w:cs="宋体"/>
                <w:color w:val="000000"/>
                <w:kern w:val="0"/>
                <w:szCs w:val="21"/>
              </w:rPr>
              <w:t>章</w:t>
            </w:r>
            <w:r>
              <w:rPr>
                <w:rFonts w:hint="eastAsia" w:ascii="宋体" w:hAnsi="宋体" w:cs="宋体"/>
                <w:color w:val="000000"/>
                <w:kern w:val="0"/>
                <w:szCs w:val="21"/>
                <w:lang w:eastAsia="zh-CN"/>
              </w:rPr>
              <w:t>，</w:t>
            </w:r>
            <w:r>
              <w:rPr>
                <w:rFonts w:hint="eastAsia" w:ascii="宋体" w:hAnsi="宋体" w:cs="宋体"/>
                <w:color w:val="000000"/>
                <w:kern w:val="0"/>
                <w:szCs w:val="21"/>
              </w:rPr>
              <w:t>未提供不得分。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54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595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投标人具备下列资质每项得1分，最高得2分：</w:t>
            </w:r>
            <w:r>
              <w:rPr>
                <w:rFonts w:hint="eastAsia" w:ascii="宋体" w:hAnsi="宋体" w:cs="宋体"/>
                <w:color w:val="000000"/>
                <w:kern w:val="0"/>
                <w:szCs w:val="21"/>
              </w:rPr>
              <w:br w:type="textWrapping"/>
            </w:r>
            <w:r>
              <w:rPr>
                <w:rFonts w:hint="eastAsia" w:ascii="宋体" w:hAnsi="宋体" w:cs="宋体"/>
                <w:color w:val="000000"/>
                <w:kern w:val="0"/>
                <w:szCs w:val="21"/>
              </w:rPr>
              <w:t>（1）具有信息系统集成及服务二级及以上证书；</w:t>
            </w:r>
            <w:r>
              <w:rPr>
                <w:rFonts w:hint="eastAsia" w:ascii="宋体" w:hAnsi="宋体" w:cs="宋体"/>
                <w:color w:val="000000"/>
                <w:kern w:val="0"/>
                <w:szCs w:val="21"/>
              </w:rPr>
              <w:br w:type="textWrapping"/>
            </w:r>
            <w:r>
              <w:rPr>
                <w:rFonts w:hint="eastAsia" w:ascii="宋体" w:hAnsi="宋体" w:cs="宋体"/>
                <w:color w:val="000000"/>
                <w:kern w:val="0"/>
                <w:szCs w:val="21"/>
              </w:rPr>
              <w:t>（2）具有信息安全等级保护三级及以上备案证书；</w:t>
            </w:r>
            <w:r>
              <w:rPr>
                <w:rFonts w:hint="eastAsia" w:ascii="宋体" w:hAnsi="宋体" w:cs="宋体"/>
                <w:color w:val="000000"/>
                <w:kern w:val="0"/>
                <w:szCs w:val="21"/>
              </w:rPr>
              <w:br w:type="textWrapping"/>
            </w:r>
            <w:r>
              <w:rPr>
                <w:rFonts w:hint="eastAsia" w:ascii="宋体" w:hAnsi="宋体" w:cs="宋体"/>
                <w:color w:val="000000"/>
                <w:kern w:val="0"/>
                <w:szCs w:val="21"/>
              </w:rPr>
              <w:t>投标文件内均需提供证书</w:t>
            </w:r>
            <w:r>
              <w:rPr>
                <w:rFonts w:hint="eastAsia" w:ascii="宋体" w:hAnsi="宋体" w:cs="宋体"/>
                <w:color w:val="000000"/>
                <w:kern w:val="0"/>
                <w:szCs w:val="21"/>
                <w:lang w:eastAsia="zh-CN"/>
              </w:rPr>
              <w:t>原件扫描件并</w:t>
            </w:r>
            <w:r>
              <w:rPr>
                <w:rFonts w:hint="eastAsia" w:ascii="宋体" w:hAnsi="宋体" w:cs="宋体"/>
                <w:color w:val="000000"/>
                <w:kern w:val="0"/>
                <w:szCs w:val="21"/>
              </w:rPr>
              <w:t>加盖</w:t>
            </w:r>
            <w:r>
              <w:rPr>
                <w:rFonts w:hint="eastAsia" w:ascii="宋体" w:hAnsi="宋体" w:cs="宋体"/>
                <w:color w:val="000000"/>
                <w:kern w:val="0"/>
                <w:szCs w:val="21"/>
                <w:lang w:eastAsia="zh-CN"/>
              </w:rPr>
              <w:t>电子印</w:t>
            </w:r>
            <w:r>
              <w:rPr>
                <w:rFonts w:hint="eastAsia" w:ascii="宋体" w:hAnsi="宋体" w:cs="宋体"/>
                <w:color w:val="000000"/>
                <w:kern w:val="0"/>
                <w:szCs w:val="21"/>
              </w:rPr>
              <w:t>章</w:t>
            </w:r>
            <w:r>
              <w:rPr>
                <w:rFonts w:hint="eastAsia" w:ascii="宋体" w:hAnsi="宋体" w:cs="宋体"/>
                <w:color w:val="000000"/>
                <w:kern w:val="0"/>
                <w:szCs w:val="21"/>
                <w:lang w:eastAsia="zh-CN"/>
              </w:rPr>
              <w:t>，</w:t>
            </w:r>
            <w:r>
              <w:rPr>
                <w:rFonts w:hint="eastAsia" w:ascii="宋体" w:hAnsi="宋体" w:cs="宋体"/>
                <w:color w:val="000000"/>
                <w:kern w:val="0"/>
                <w:szCs w:val="21"/>
              </w:rPr>
              <w:t>未提供不得分。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540" w:hRule="atLeast"/>
        </w:trPr>
        <w:tc>
          <w:tcPr>
            <w:tcW w:w="779"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同类项目的建设经验</w:t>
            </w:r>
          </w:p>
        </w:tc>
        <w:tc>
          <w:tcPr>
            <w:tcW w:w="595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投标人自201</w:t>
            </w:r>
            <w:r>
              <w:rPr>
                <w:rFonts w:hint="eastAsia" w:ascii="宋体" w:hAnsi="宋体" w:cs="宋体"/>
                <w:color w:val="000000"/>
                <w:kern w:val="0"/>
                <w:szCs w:val="21"/>
                <w:lang w:val="en-US" w:eastAsia="zh-CN"/>
              </w:rPr>
              <w:t>7</w:t>
            </w:r>
            <w:r>
              <w:rPr>
                <w:rFonts w:hint="eastAsia" w:ascii="宋体" w:hAnsi="宋体" w:cs="宋体"/>
                <w:color w:val="000000"/>
                <w:kern w:val="0"/>
                <w:szCs w:val="21"/>
              </w:rPr>
              <w:t>年</w:t>
            </w:r>
            <w:r>
              <w:rPr>
                <w:rFonts w:hint="eastAsia" w:ascii="宋体" w:hAnsi="宋体" w:cs="宋体"/>
                <w:color w:val="000000"/>
                <w:kern w:val="0"/>
                <w:szCs w:val="21"/>
                <w:lang w:val="en-US" w:eastAsia="zh-CN"/>
              </w:rPr>
              <w:t>4</w:t>
            </w:r>
            <w:r>
              <w:rPr>
                <w:rFonts w:hint="eastAsia" w:ascii="宋体" w:hAnsi="宋体" w:cs="宋体"/>
                <w:color w:val="000000"/>
                <w:kern w:val="0"/>
                <w:szCs w:val="21"/>
              </w:rPr>
              <w:t>月以来大数据、电子政务云等类似项目成功案例，最多提供</w:t>
            </w:r>
            <w:r>
              <w:rPr>
                <w:color w:val="000000"/>
                <w:kern w:val="0"/>
                <w:szCs w:val="21"/>
              </w:rPr>
              <w:t>4</w:t>
            </w:r>
            <w:r>
              <w:rPr>
                <w:rFonts w:hint="eastAsia" w:ascii="宋体" w:hAnsi="宋体" w:cs="宋体"/>
                <w:color w:val="000000"/>
                <w:kern w:val="0"/>
                <w:szCs w:val="21"/>
              </w:rPr>
              <w:t>个，需附合同复印件（以签订时间为准，提供提供证书</w:t>
            </w:r>
            <w:r>
              <w:rPr>
                <w:rFonts w:hint="eastAsia" w:ascii="宋体" w:hAnsi="宋体" w:cs="宋体"/>
                <w:color w:val="000000"/>
                <w:kern w:val="0"/>
                <w:szCs w:val="21"/>
                <w:lang w:eastAsia="zh-CN"/>
              </w:rPr>
              <w:t>原件扫描件并</w:t>
            </w:r>
            <w:r>
              <w:rPr>
                <w:rFonts w:hint="eastAsia" w:ascii="宋体" w:hAnsi="宋体" w:cs="宋体"/>
                <w:color w:val="000000"/>
                <w:kern w:val="0"/>
                <w:szCs w:val="21"/>
              </w:rPr>
              <w:t>加盖</w:t>
            </w:r>
            <w:r>
              <w:rPr>
                <w:rFonts w:hint="eastAsia" w:ascii="宋体" w:hAnsi="宋体" w:cs="宋体"/>
                <w:color w:val="000000"/>
                <w:kern w:val="0"/>
                <w:szCs w:val="21"/>
                <w:lang w:eastAsia="zh-CN"/>
              </w:rPr>
              <w:t>电子印</w:t>
            </w:r>
            <w:r>
              <w:rPr>
                <w:rFonts w:hint="eastAsia" w:ascii="宋体" w:hAnsi="宋体" w:cs="宋体"/>
                <w:color w:val="000000"/>
                <w:kern w:val="0"/>
                <w:szCs w:val="21"/>
              </w:rPr>
              <w:t>章</w:t>
            </w:r>
            <w:r>
              <w:rPr>
                <w:rFonts w:hint="eastAsia" w:ascii="宋体" w:hAnsi="宋体" w:cs="宋体"/>
                <w:color w:val="000000"/>
                <w:kern w:val="0"/>
                <w:szCs w:val="21"/>
                <w:lang w:eastAsia="zh-CN"/>
              </w:rPr>
              <w:t>，</w:t>
            </w:r>
            <w:r>
              <w:rPr>
                <w:rFonts w:hint="eastAsia" w:ascii="宋体" w:hAnsi="宋体" w:cs="宋体"/>
                <w:color w:val="000000"/>
                <w:kern w:val="0"/>
                <w:szCs w:val="21"/>
              </w:rPr>
              <w:t>未提供不得分。），</w:t>
            </w:r>
            <w:r>
              <w:rPr>
                <w:color w:val="000000"/>
                <w:kern w:val="0"/>
                <w:szCs w:val="21"/>
              </w:rPr>
              <w:t>1</w:t>
            </w:r>
            <w:r>
              <w:rPr>
                <w:rFonts w:hint="eastAsia" w:ascii="宋体" w:hAnsi="宋体" w:cs="宋体"/>
                <w:color w:val="000000"/>
                <w:kern w:val="0"/>
                <w:szCs w:val="21"/>
              </w:rPr>
              <w:t>个得</w:t>
            </w:r>
            <w:r>
              <w:rPr>
                <w:color w:val="000000"/>
                <w:kern w:val="0"/>
                <w:szCs w:val="21"/>
              </w:rPr>
              <w:t>0.5</w:t>
            </w:r>
            <w:r>
              <w:rPr>
                <w:rFonts w:hint="eastAsia" w:ascii="宋体" w:hAnsi="宋体" w:cs="宋体"/>
                <w:color w:val="000000"/>
                <w:kern w:val="0"/>
                <w:szCs w:val="21"/>
              </w:rPr>
              <w:t>分，最高得分为</w:t>
            </w:r>
            <w:r>
              <w:rPr>
                <w:rFonts w:hint="eastAsia"/>
                <w:color w:val="000000"/>
                <w:kern w:val="0"/>
                <w:szCs w:val="21"/>
                <w:lang w:val="en-US" w:eastAsia="zh-CN"/>
              </w:rPr>
              <w:t>2</w:t>
            </w:r>
            <w:r>
              <w:rPr>
                <w:rFonts w:hint="eastAsia" w:ascii="宋体" w:hAnsi="宋体" w:cs="宋体"/>
                <w:color w:val="000000"/>
                <w:kern w:val="0"/>
                <w:szCs w:val="21"/>
              </w:rPr>
              <w:t>分。</w:t>
            </w:r>
            <w:r>
              <w:rPr>
                <w:rFonts w:hint="eastAsia" w:ascii="宋体" w:hAnsi="宋体" w:cs="宋体"/>
                <w:color w:val="000000"/>
                <w:kern w:val="0"/>
                <w:szCs w:val="21"/>
              </w:rPr>
              <w:br w:type="textWrapping"/>
            </w:r>
            <w:r>
              <w:rPr>
                <w:rFonts w:hint="eastAsia" w:ascii="宋体" w:hAnsi="宋体" w:cs="宋体"/>
                <w:color w:val="000000"/>
                <w:kern w:val="0"/>
                <w:szCs w:val="21"/>
              </w:rPr>
              <w:t>根据各供应商所提供的合同（4个为上限）业绩金额之和，以最高总金额为基准，基准分为</w:t>
            </w:r>
            <w:r>
              <w:rPr>
                <w:rFonts w:hint="eastAsia" w:ascii="宋体" w:hAnsi="宋体" w:cs="宋体"/>
                <w:color w:val="000000"/>
                <w:kern w:val="0"/>
                <w:szCs w:val="21"/>
                <w:lang w:val="en-US" w:eastAsia="zh-CN"/>
              </w:rPr>
              <w:t>2</w:t>
            </w:r>
            <w:r>
              <w:rPr>
                <w:rFonts w:hint="eastAsia" w:ascii="宋体" w:hAnsi="宋体" w:cs="宋体"/>
                <w:color w:val="000000"/>
                <w:kern w:val="0"/>
                <w:szCs w:val="21"/>
              </w:rPr>
              <w:t>分。其他得分＝（各供应商业绩金额之和/最高总金额）× 基准分（小数点后保留2位小数）。</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4</w:t>
            </w:r>
          </w:p>
        </w:tc>
      </w:tr>
      <w:tr>
        <w:tblPrEx>
          <w:tblCellMar>
            <w:top w:w="0" w:type="dxa"/>
            <w:left w:w="108" w:type="dxa"/>
            <w:bottom w:w="0" w:type="dxa"/>
            <w:right w:w="108" w:type="dxa"/>
          </w:tblCellMar>
        </w:tblPrEx>
        <w:trPr>
          <w:trHeight w:val="540" w:hRule="atLeast"/>
        </w:trPr>
        <w:tc>
          <w:tcPr>
            <w:tcW w:w="779"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r>
              <w:rPr>
                <w:rFonts w:hint="eastAsia" w:ascii="宋体" w:hAnsi="宋体" w:cs="宋体"/>
                <w:color w:val="000000"/>
                <w:kern w:val="0"/>
                <w:szCs w:val="21"/>
              </w:rPr>
              <w:t>售后服务(</w:t>
            </w:r>
            <w:r>
              <w:rPr>
                <w:rFonts w:hint="eastAsia" w:ascii="宋体" w:hAnsi="宋体" w:cs="宋体"/>
                <w:color w:val="000000"/>
                <w:kern w:val="0"/>
                <w:szCs w:val="21"/>
                <w:lang w:val="en-US" w:eastAsia="zh-CN"/>
              </w:rPr>
              <w:t>9</w:t>
            </w:r>
            <w:r>
              <w:rPr>
                <w:rFonts w:hint="eastAsia" w:ascii="宋体" w:hAnsi="宋体" w:cs="宋体"/>
                <w:color w:val="000000"/>
                <w:kern w:val="0"/>
                <w:szCs w:val="21"/>
              </w:rPr>
              <w:t>分)</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本地化服务方案</w:t>
            </w:r>
          </w:p>
        </w:tc>
        <w:tc>
          <w:tcPr>
            <w:tcW w:w="595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据本地化服务方案、服务响应时间、专业技术力量等方面综合评价。分五档打分：第一档5-4分，第二档3.9-3分，第三挡2.9-2分，第四档1.9-1分，第五档0.9-0。</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r>
      <w:tr>
        <w:tblPrEx>
          <w:tblCellMar>
            <w:top w:w="0" w:type="dxa"/>
            <w:left w:w="108" w:type="dxa"/>
            <w:bottom w:w="0" w:type="dxa"/>
            <w:right w:w="108" w:type="dxa"/>
          </w:tblCellMar>
        </w:tblPrEx>
        <w:trPr>
          <w:trHeight w:val="540" w:hRule="atLeast"/>
        </w:trPr>
        <w:tc>
          <w:tcPr>
            <w:tcW w:w="77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售后驻点人员</w:t>
            </w:r>
          </w:p>
        </w:tc>
        <w:tc>
          <w:tcPr>
            <w:tcW w:w="595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质保期内，除4名驻场维护人员（1名大数据研发工程师、2名数据治理实施工程师，1名数据网络安全工程师）外，每增加1名驻点售后维护人员的加1分，最多2分。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r>
      <w:tr>
        <w:tblPrEx>
          <w:tblCellMar>
            <w:top w:w="0" w:type="dxa"/>
            <w:left w:w="108" w:type="dxa"/>
            <w:bottom w:w="0" w:type="dxa"/>
            <w:right w:w="108" w:type="dxa"/>
          </w:tblCellMar>
        </w:tblPrEx>
        <w:trPr>
          <w:trHeight w:val="540" w:hRule="atLeast"/>
        </w:trPr>
        <w:tc>
          <w:tcPr>
            <w:tcW w:w="779"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培训方案</w:t>
            </w:r>
          </w:p>
        </w:tc>
        <w:tc>
          <w:tcPr>
            <w:tcW w:w="595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color w:val="000000"/>
                <w:kern w:val="0"/>
                <w:sz w:val="21"/>
                <w:szCs w:val="21"/>
                <w:lang w:val="en-US" w:eastAsia="zh-CN" w:bidi="ar-SA"/>
              </w:rPr>
            </w:pPr>
            <w:r>
              <w:rPr>
                <w:rFonts w:hint="eastAsia" w:ascii="宋体" w:hAnsi="宋体" w:cs="宋体"/>
                <w:sz w:val="21"/>
                <w:szCs w:val="21"/>
              </w:rPr>
              <w:t>提供合理可行的项目培训方案，提供多种培训方式和全要素培训课程、资料，并有一系列培训质量保证措施</w:t>
            </w:r>
            <w:r>
              <w:rPr>
                <w:rFonts w:hint="eastAsia" w:ascii="宋体" w:hAnsi="宋体" w:cs="宋体"/>
                <w:sz w:val="21"/>
                <w:szCs w:val="21"/>
                <w:lang w:eastAsia="zh-CN"/>
              </w:rPr>
              <w:t>等。</w:t>
            </w:r>
            <w:r>
              <w:rPr>
                <w:rFonts w:hint="eastAsia" w:ascii="宋体" w:hAnsi="宋体" w:cs="宋体"/>
                <w:color w:val="000000"/>
                <w:kern w:val="0"/>
                <w:szCs w:val="21"/>
              </w:rPr>
              <w:t>由评标委员会综合打分，第一档2-1.4分；第二档1.3-0.7分；第三挡0.7-0分。</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540" w:hRule="atLeast"/>
        </w:trPr>
        <w:tc>
          <w:tcPr>
            <w:tcW w:w="29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对招标文件响应程度等（</w:t>
            </w: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c>
          <w:tcPr>
            <w:tcW w:w="4820" w:type="dxa"/>
            <w:tcBorders>
              <w:top w:val="nil"/>
              <w:left w:val="nil"/>
              <w:bottom w:val="single" w:color="auto" w:sz="4" w:space="0"/>
              <w:right w:val="single" w:color="auto" w:sz="4" w:space="0"/>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theme="minorBidi"/>
                <w:color w:val="000000"/>
                <w:sz w:val="22"/>
                <w:szCs w:val="21"/>
                <w:lang w:val="en-US" w:eastAsia="zh-CN" w:bidi="ar-SA"/>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电子投标文件的内容、结构等情况与招标文件的要求比对，酌情打</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eastAsia="宋体" w:cs="宋体"/>
                <w:color w:val="000000"/>
                <w:kern w:val="0"/>
                <w:sz w:val="21"/>
                <w:szCs w:val="21"/>
                <w:lang w:val="en-US" w:eastAsia="zh-CN" w:bidi="ar-SA"/>
              </w:rPr>
            </w:pPr>
            <w:r>
              <w:rPr>
                <w:rFonts w:hint="eastAsia" w:ascii="宋体"/>
                <w:color w:val="000000"/>
                <w:sz w:val="24"/>
                <w:lang w:val="en-US" w:eastAsia="zh-CN"/>
              </w:rPr>
              <w:t>2</w:t>
            </w:r>
          </w:p>
        </w:tc>
      </w:tr>
      <w:tr>
        <w:tblPrEx>
          <w:tblCellMar>
            <w:top w:w="0" w:type="dxa"/>
            <w:left w:w="108" w:type="dxa"/>
            <w:bottom w:w="0" w:type="dxa"/>
            <w:right w:w="108" w:type="dxa"/>
          </w:tblCellMar>
        </w:tblPrEx>
        <w:trPr>
          <w:trHeight w:val="1092" w:hRule="atLeast"/>
        </w:trPr>
        <w:tc>
          <w:tcPr>
            <w:tcW w:w="29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000000"/>
                <w:kern w:val="0"/>
                <w:szCs w:val="21"/>
              </w:rPr>
            </w:pPr>
            <w:r>
              <w:rPr>
                <w:rFonts w:hint="eastAsia" w:ascii="宋体" w:hAnsi="宋体" w:cs="宋体"/>
                <w:color w:val="000000"/>
                <w:kern w:val="0"/>
                <w:szCs w:val="21"/>
              </w:rPr>
              <w:t>价格（1</w:t>
            </w: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c>
          <w:tcPr>
            <w:tcW w:w="4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textAlignment w:val="auto"/>
              <w:rPr>
                <w:rFonts w:ascii="宋体" w:hAnsi="宋体" w:cs="宋体"/>
                <w:color w:val="000000"/>
                <w:kern w:val="0"/>
                <w:szCs w:val="21"/>
              </w:rPr>
            </w:pPr>
            <w:r>
              <w:rPr>
                <w:rFonts w:hint="eastAsia" w:ascii="宋体" w:hAnsi="宋体" w:cs="宋体"/>
                <w:color w:val="000000"/>
                <w:kern w:val="0"/>
                <w:szCs w:val="21"/>
              </w:rPr>
              <w:t>取投标合格供应商的投标最终报价最低价为基准价。基准价为</w:t>
            </w:r>
            <w:r>
              <w:rPr>
                <w:color w:val="000000"/>
                <w:kern w:val="0"/>
                <w:szCs w:val="21"/>
              </w:rPr>
              <w:t>1</w:t>
            </w:r>
            <w:r>
              <w:rPr>
                <w:rFonts w:hint="eastAsia"/>
                <w:color w:val="000000"/>
                <w:kern w:val="0"/>
                <w:szCs w:val="21"/>
                <w:lang w:val="en-US" w:eastAsia="zh-CN"/>
              </w:rPr>
              <w:t>2</w:t>
            </w:r>
            <w:r>
              <w:rPr>
                <w:rFonts w:hint="eastAsia" w:ascii="宋体" w:hAnsi="宋体" w:cs="宋体"/>
                <w:color w:val="000000"/>
                <w:kern w:val="0"/>
                <w:szCs w:val="21"/>
              </w:rPr>
              <w:t>分。投标报价得分＝（评标基准价</w:t>
            </w:r>
            <w:r>
              <w:rPr>
                <w:color w:val="000000"/>
                <w:kern w:val="0"/>
                <w:szCs w:val="21"/>
              </w:rPr>
              <w:t>/</w:t>
            </w:r>
            <w:r>
              <w:rPr>
                <w:rFonts w:hint="eastAsia" w:ascii="宋体" w:hAnsi="宋体" w:cs="宋体"/>
                <w:color w:val="000000"/>
                <w:kern w:val="0"/>
                <w:szCs w:val="21"/>
              </w:rPr>
              <w:t>最终投标报价）×</w:t>
            </w:r>
            <w:r>
              <w:rPr>
                <w:color w:val="000000"/>
                <w:kern w:val="0"/>
                <w:szCs w:val="21"/>
              </w:rPr>
              <w:t>1</w:t>
            </w:r>
            <w:r>
              <w:rPr>
                <w:rFonts w:hint="eastAsia"/>
                <w:color w:val="000000"/>
                <w:kern w:val="0"/>
                <w:szCs w:val="21"/>
                <w:lang w:val="en-US" w:eastAsia="zh-CN"/>
              </w:rPr>
              <w:t>2</w:t>
            </w:r>
            <w:r>
              <w:rPr>
                <w:color w:val="000000"/>
                <w:kern w:val="0"/>
                <w:szCs w:val="21"/>
              </w:rPr>
              <w:t>%</w:t>
            </w:r>
            <w:r>
              <w:rPr>
                <w:rFonts w:hint="eastAsia" w:ascii="宋体" w:hAnsi="宋体" w:cs="宋体"/>
                <w:color w:val="000000"/>
                <w:kern w:val="0"/>
                <w:szCs w:val="21"/>
              </w:rPr>
              <w:t>×</w:t>
            </w:r>
            <w:r>
              <w:rPr>
                <w:color w:val="000000"/>
                <w:kern w:val="0"/>
                <w:szCs w:val="21"/>
              </w:rPr>
              <w:t>100</w:t>
            </w:r>
            <w:r>
              <w:rPr>
                <w:rFonts w:hint="eastAsia" w:ascii="宋体" w:hAnsi="宋体" w:cs="宋体"/>
                <w:color w:val="000000"/>
                <w:kern w:val="0"/>
                <w:szCs w:val="21"/>
              </w:rPr>
              <w:t>（小数点后保留</w:t>
            </w:r>
            <w:r>
              <w:rPr>
                <w:color w:val="000000"/>
                <w:kern w:val="0"/>
                <w:szCs w:val="21"/>
              </w:rPr>
              <w:t>2</w:t>
            </w:r>
            <w:r>
              <w:rPr>
                <w:rFonts w:hint="eastAsia" w:ascii="宋体" w:hAnsi="宋体" w:cs="宋体"/>
                <w:color w:val="000000"/>
                <w:kern w:val="0"/>
                <w:szCs w:val="21"/>
              </w:rPr>
              <w:t>位小数）。（注：对于符合政府采购政策及优惠的企业产品给予6%的扣除，用扣除后的价格参与评审。具体执行依据见本章第二点的第四条“政府采购政策及优惠”内的规定）</w:t>
            </w:r>
          </w:p>
        </w:tc>
        <w:tc>
          <w:tcPr>
            <w:tcW w:w="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p>
        </w:tc>
      </w:tr>
    </w:tbl>
    <w:p>
      <w:pPr>
        <w:pStyle w:val="19"/>
        <w:rPr>
          <w:rFonts w:hint="eastAsia" w:ascii="Tahoma" w:hAnsi="Tahoma"/>
          <w:sz w:val="24"/>
          <w:szCs w:val="20"/>
        </w:rPr>
      </w:pPr>
    </w:p>
    <w:p>
      <w:pPr>
        <w:autoSpaceDE w:val="0"/>
        <w:autoSpaceDN w:val="0"/>
        <w:adjustRightInd w:val="0"/>
        <w:spacing w:line="360" w:lineRule="auto"/>
        <w:jc w:val="left"/>
        <w:rPr>
          <w:rFonts w:ascii="宋体" w:hAnsi="宋体" w:cs="宋体"/>
          <w:b/>
          <w:color w:val="000000"/>
          <w:sz w:val="24"/>
        </w:rPr>
      </w:pPr>
      <w:r>
        <w:rPr>
          <w:rFonts w:hint="eastAsia" w:ascii="宋体" w:hAnsi="宋体" w:cs="宋体"/>
          <w:b/>
          <w:color w:val="000000"/>
          <w:sz w:val="24"/>
        </w:rPr>
        <w:t>注：合同、证书、报告</w:t>
      </w:r>
      <w:r>
        <w:rPr>
          <w:rFonts w:hint="eastAsia" w:ascii="宋体" w:hAnsi="宋体" w:cs="宋体"/>
          <w:b/>
          <w:color w:val="000000"/>
          <w:sz w:val="24"/>
          <w:lang w:eastAsia="zh-CN"/>
        </w:rPr>
        <w:t>等将原件扫描上传至电子投标文件</w:t>
      </w:r>
      <w:r>
        <w:rPr>
          <w:rFonts w:hint="eastAsia" w:ascii="宋体" w:hAnsi="宋体" w:cs="宋体"/>
          <w:b/>
          <w:color w:val="000000"/>
          <w:sz w:val="24"/>
        </w:rPr>
        <w:t>，</w:t>
      </w:r>
      <w:r>
        <w:rPr>
          <w:rFonts w:hint="eastAsia" w:ascii="宋体" w:hAnsi="宋体" w:cs="宋体"/>
          <w:b/>
          <w:color w:val="000000"/>
          <w:sz w:val="24"/>
          <w:lang w:eastAsia="zh-CN"/>
        </w:rPr>
        <w:t>并加盖电子印章。</w:t>
      </w:r>
    </w:p>
    <w:p>
      <w:pPr>
        <w:pStyle w:val="26"/>
        <w:spacing w:line="360" w:lineRule="auto"/>
        <w:rPr>
          <w:rFonts w:asciiTheme="minorEastAsia" w:hAnsiTheme="minorEastAsia" w:eastAsiaTheme="minorEastAsia"/>
          <w:b w:val="0"/>
          <w:bCs/>
          <w:color w:val="FF0000"/>
          <w:sz w:val="24"/>
          <w:szCs w:val="24"/>
        </w:rPr>
      </w:pPr>
    </w:p>
    <w:p>
      <w:pPr>
        <w:pStyle w:val="26"/>
        <w:rPr>
          <w:rFonts w:asciiTheme="minorEastAsia" w:hAnsiTheme="minorEastAsia" w:eastAsiaTheme="minorEastAsia"/>
          <w:sz w:val="24"/>
          <w:szCs w:val="24"/>
        </w:rPr>
      </w:pPr>
    </w:p>
    <w:p>
      <w:pPr>
        <w:pStyle w:val="26"/>
        <w:rPr>
          <w:rFonts w:asciiTheme="minorEastAsia" w:hAnsiTheme="minorEastAsia" w:eastAsiaTheme="minorEastAsia"/>
          <w:sz w:val="24"/>
          <w:szCs w:val="24"/>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tabs>
          <w:tab w:val="left" w:pos="8280"/>
        </w:tabs>
        <w:autoSpaceDE w:val="0"/>
        <w:autoSpaceDN w:val="0"/>
        <w:adjustRightInd w:val="0"/>
        <w:spacing w:line="360" w:lineRule="auto"/>
        <w:ind w:right="25"/>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一、招标项目一览表</w:t>
      </w:r>
    </w:p>
    <w:p>
      <w:pPr>
        <w:tabs>
          <w:tab w:val="left" w:pos="8280"/>
        </w:tabs>
        <w:autoSpaceDE w:val="0"/>
        <w:autoSpaceDN w:val="0"/>
        <w:adjustRightInd w:val="0"/>
        <w:spacing w:line="360" w:lineRule="auto"/>
        <w:ind w:right="25" w:firstLine="28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本次招标共</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个标段，具体内容如下表：</w:t>
      </w:r>
    </w:p>
    <w:tbl>
      <w:tblPr>
        <w:tblStyle w:val="20"/>
        <w:tblW w:w="831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62"/>
        <w:gridCol w:w="763"/>
        <w:gridCol w:w="567"/>
        <w:gridCol w:w="567"/>
        <w:gridCol w:w="1062"/>
        <w:gridCol w:w="1177"/>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标段号</w:t>
            </w:r>
          </w:p>
        </w:tc>
        <w:tc>
          <w:tcPr>
            <w:tcW w:w="1762" w:type="dxa"/>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项目名称</w:t>
            </w:r>
          </w:p>
        </w:tc>
        <w:tc>
          <w:tcPr>
            <w:tcW w:w="763" w:type="dxa"/>
            <w:vAlign w:val="center"/>
          </w:tcPr>
          <w:p>
            <w:pPr>
              <w:tabs>
                <w:tab w:val="left" w:pos="8280"/>
              </w:tabs>
              <w:autoSpaceDE w:val="0"/>
              <w:autoSpaceDN w:val="0"/>
              <w:adjustRightInd w:val="0"/>
              <w:spacing w:line="360" w:lineRule="auto"/>
              <w:ind w:right="25"/>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规格型 号</w:t>
            </w:r>
          </w:p>
        </w:tc>
        <w:tc>
          <w:tcPr>
            <w:tcW w:w="567"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数量</w:t>
            </w:r>
          </w:p>
        </w:tc>
        <w:tc>
          <w:tcPr>
            <w:tcW w:w="567"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单位</w:t>
            </w:r>
          </w:p>
        </w:tc>
        <w:tc>
          <w:tcPr>
            <w:tcW w:w="1062"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预算（万元）</w:t>
            </w:r>
          </w:p>
        </w:tc>
        <w:tc>
          <w:tcPr>
            <w:tcW w:w="1177"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最高限价（</w:t>
            </w:r>
            <w:r>
              <w:rPr>
                <w:rFonts w:hint="eastAsia" w:asciiTheme="minorEastAsia" w:hAnsiTheme="minorEastAsia" w:eastAsiaTheme="minorEastAsia"/>
                <w:b/>
                <w:color w:val="000000" w:themeColor="text1"/>
                <w:sz w:val="24"/>
                <w:szCs w:val="24"/>
                <w:lang w:eastAsia="zh-CN"/>
                <w14:textFill>
                  <w14:solidFill>
                    <w14:schemeClr w14:val="tx1"/>
                  </w14:solidFill>
                </w14:textFill>
              </w:rPr>
              <w:t>万元</w:t>
            </w:r>
            <w:r>
              <w:rPr>
                <w:rFonts w:hint="eastAsia" w:asciiTheme="minorEastAsia" w:hAnsiTheme="minorEastAsia" w:eastAsiaTheme="minorEastAsia"/>
                <w:b/>
                <w:color w:val="000000" w:themeColor="text1"/>
                <w:sz w:val="24"/>
                <w:szCs w:val="24"/>
                <w14:textFill>
                  <w14:solidFill>
                    <w14:schemeClr w14:val="tx1"/>
                  </w14:solidFill>
                </w14:textFill>
              </w:rPr>
              <w:t>）</w:t>
            </w:r>
          </w:p>
        </w:tc>
        <w:tc>
          <w:tcPr>
            <w:tcW w:w="1722"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交货期</w:t>
            </w:r>
          </w:p>
          <w:p>
            <w:pPr>
              <w:tabs>
                <w:tab w:val="left" w:pos="8280"/>
              </w:tabs>
              <w:autoSpaceDE w:val="0"/>
              <w:autoSpaceDN w:val="0"/>
              <w:adjustRightInd w:val="0"/>
              <w:spacing w:line="360" w:lineRule="auto"/>
              <w:ind w:right="25"/>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（合同签订后几天内）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96"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rPr>
              <w:t>1</w:t>
            </w:r>
          </w:p>
        </w:tc>
        <w:tc>
          <w:tcPr>
            <w:tcW w:w="1762"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kern w:val="0"/>
                <w:sz w:val="24"/>
              </w:rPr>
              <w:t>台州市基础大数据管理平台（一期）</w:t>
            </w:r>
          </w:p>
        </w:tc>
        <w:tc>
          <w:tcPr>
            <w:tcW w:w="763"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rPr>
              <w:t>详见技术需求</w:t>
            </w:r>
          </w:p>
        </w:tc>
        <w:tc>
          <w:tcPr>
            <w:tcW w:w="567"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rPr>
              <w:t>1</w:t>
            </w:r>
          </w:p>
        </w:tc>
        <w:tc>
          <w:tcPr>
            <w:tcW w:w="567" w:type="dxa"/>
            <w:vAlign w:val="center"/>
          </w:tcPr>
          <w:p>
            <w:pPr>
              <w:tabs>
                <w:tab w:val="left" w:pos="8280"/>
              </w:tabs>
              <w:autoSpaceDE w:val="0"/>
              <w:autoSpaceDN w:val="0"/>
              <w:adjustRightInd w:val="0"/>
              <w:ind w:right="25"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rPr>
              <w:t>项</w:t>
            </w:r>
          </w:p>
        </w:tc>
        <w:tc>
          <w:tcPr>
            <w:tcW w:w="1062" w:type="dxa"/>
            <w:vAlign w:val="center"/>
          </w:tcPr>
          <w:p>
            <w:pPr>
              <w:tabs>
                <w:tab w:val="left" w:pos="8280"/>
              </w:tabs>
              <w:autoSpaceDE w:val="0"/>
              <w:autoSpaceDN w:val="0"/>
              <w:adjustRightInd w:val="0"/>
              <w:ind w:right="25" w:rightChars="0"/>
              <w:jc w:val="center"/>
              <w:rPr>
                <w:rFonts w:hint="default"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sz w:val="24"/>
                <w:lang w:val="en-US" w:eastAsia="zh-CN"/>
              </w:rPr>
              <w:t>1000</w:t>
            </w:r>
          </w:p>
        </w:tc>
        <w:tc>
          <w:tcPr>
            <w:tcW w:w="1177" w:type="dxa"/>
            <w:vAlign w:val="center"/>
          </w:tcPr>
          <w:p>
            <w:pPr>
              <w:tabs>
                <w:tab w:val="left" w:pos="8280"/>
              </w:tabs>
              <w:autoSpaceDE w:val="0"/>
              <w:autoSpaceDN w:val="0"/>
              <w:adjustRightInd w:val="0"/>
              <w:ind w:right="25" w:rightChars="0"/>
              <w:jc w:val="center"/>
              <w:rPr>
                <w:rFonts w:hint="default"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sz w:val="24"/>
                <w:lang w:val="en-US" w:eastAsia="zh-CN"/>
              </w:rPr>
              <w:t>969</w:t>
            </w:r>
          </w:p>
        </w:tc>
        <w:tc>
          <w:tcPr>
            <w:tcW w:w="1722" w:type="dxa"/>
            <w:vAlign w:val="center"/>
          </w:tcPr>
          <w:p>
            <w:pPr>
              <w:tabs>
                <w:tab w:val="left" w:pos="8280"/>
              </w:tabs>
              <w:autoSpaceDE w:val="0"/>
              <w:autoSpaceDN w:val="0"/>
              <w:adjustRightInd w:val="0"/>
              <w:ind w:right="25" w:rightChars="0"/>
              <w:jc w:val="center"/>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sz w:val="24"/>
              </w:rPr>
              <w:t>合同签订后</w:t>
            </w:r>
            <w:r>
              <w:rPr>
                <w:rFonts w:hint="eastAsia" w:asciiTheme="minorEastAsia" w:hAnsiTheme="minorEastAsia" w:eastAsiaTheme="minorEastAsia"/>
                <w:sz w:val="24"/>
              </w:rPr>
              <w:t>4</w:t>
            </w:r>
            <w:r>
              <w:rPr>
                <w:rFonts w:asciiTheme="minorEastAsia" w:hAnsiTheme="minorEastAsia" w:eastAsiaTheme="minorEastAsia"/>
                <w:sz w:val="24"/>
              </w:rPr>
              <w:t>个月内</w:t>
            </w:r>
            <w:r>
              <w:rPr>
                <w:rFonts w:hint="eastAsia" w:asciiTheme="minorEastAsia" w:hAnsiTheme="minorEastAsia" w:eastAsiaTheme="minorEastAsia"/>
                <w:sz w:val="24"/>
              </w:rPr>
              <w:t>完成软件交付</w:t>
            </w:r>
          </w:p>
        </w:tc>
      </w:tr>
    </w:tbl>
    <w:p>
      <w:pPr>
        <w:numPr>
          <w:ilvl w:val="0"/>
          <w:numId w:val="3"/>
        </w:numPr>
        <w:tabs>
          <w:tab w:val="left" w:pos="8280"/>
        </w:tabs>
        <w:autoSpaceDE w:val="0"/>
        <w:autoSpaceDN w:val="0"/>
        <w:adjustRightInd w:val="0"/>
        <w:spacing w:line="360" w:lineRule="auto"/>
        <w:ind w:left="539" w:leftChars="0" w:right="25" w:firstLine="0" w:firstLine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技术需求</w:t>
      </w:r>
      <w:r>
        <w:rPr>
          <w:rFonts w:hint="eastAsia" w:asciiTheme="minorEastAsia" w:hAnsiTheme="minorEastAsia" w:eastAsiaTheme="minorEastAsia"/>
          <w:b/>
          <w:color w:val="000000" w:themeColor="text1"/>
          <w:sz w:val="24"/>
          <w:szCs w:val="24"/>
          <w:lang w:eastAsia="zh-CN"/>
          <w14:textFill>
            <w14:solidFill>
              <w14:schemeClr w14:val="tx1"/>
            </w14:solidFill>
          </w14:textFill>
        </w:rPr>
        <w:t>：</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1、建设背景</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国务院关于促进大数据发展行动纲要》、《浙江省关于促进大数据发展实施计划》、《浙江省数字化转型标准化建设方案（2018—2020年）》等文件要求，整合部门现有分散的数据中心，围绕大系统、大数据、大平台、大集成建设，构建涵盖经济调节、市场监管、公共服务、社会治理、环境保护、政府运行等领域的数字政府标准体系，加快总体要求、政务服务、数据共享、业务管理和技术应用等标准研制，建设一体化数据中心，实现对海量数据的存储、处理、分析和利用，推动信息化与政府履职全面深度融合，用数据说话、用数据决策、用数据管理、用数据创新，强化政府责任、提升治理能力、提高政府服务群众、管理社会的智能化水平，为政府数字化转型提供核心支撑。</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2、建设内容</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围绕“数字台州”的发展蓝图，以台州市政府数字化转型为根本需求，结合台州“最多跑一次”改革、大数据产业发展等需求，按照“四横三纵”的总体框架，建设台州市基础大数据管理平台（一期）建设，初步建成人口、法人、信用、基础地理等基础数据库，实现全市各级部门数据资源的统一汇聚和分析挖掘，实现全市各级部门数据资源的共享支撑、实现全市各级部门服务数据的集中开放、实现全市各级部门大数据应用的能力服务、实现全市政务大数据的全视角展示，为政府数字化转型重大项目落地贯通提供数据保障。</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3、项目采购清单</w:t>
      </w:r>
    </w:p>
    <w:tbl>
      <w:tblPr>
        <w:tblStyle w:val="20"/>
        <w:tblW w:w="8409" w:type="dxa"/>
        <w:tblInd w:w="113" w:type="dxa"/>
        <w:tblLayout w:type="fixed"/>
        <w:tblCellMar>
          <w:top w:w="0" w:type="dxa"/>
          <w:left w:w="108" w:type="dxa"/>
          <w:bottom w:w="0" w:type="dxa"/>
          <w:right w:w="108" w:type="dxa"/>
        </w:tblCellMar>
      </w:tblPr>
      <w:tblGrid>
        <w:gridCol w:w="522"/>
        <w:gridCol w:w="1578"/>
        <w:gridCol w:w="5267"/>
        <w:gridCol w:w="521"/>
        <w:gridCol w:w="521"/>
      </w:tblGrid>
      <w:tr>
        <w:tblPrEx>
          <w:tblCellMar>
            <w:top w:w="0" w:type="dxa"/>
            <w:left w:w="108" w:type="dxa"/>
            <w:bottom w:w="0" w:type="dxa"/>
            <w:right w:w="108" w:type="dxa"/>
          </w:tblCellMar>
        </w:tblPrEx>
        <w:trPr>
          <w:trHeight w:val="282" w:hRule="atLeast"/>
        </w:trPr>
        <w:tc>
          <w:tcPr>
            <w:tcW w:w="522"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57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526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参数</w:t>
            </w:r>
          </w:p>
        </w:tc>
        <w:tc>
          <w:tcPr>
            <w:tcW w:w="52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52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r>
      <w:tr>
        <w:tblPrEx>
          <w:tblCellMar>
            <w:top w:w="0" w:type="dxa"/>
            <w:left w:w="108" w:type="dxa"/>
            <w:bottom w:w="0" w:type="dxa"/>
            <w:right w:w="108" w:type="dxa"/>
          </w:tblCellMar>
        </w:tblPrEx>
        <w:trPr>
          <w:trHeight w:val="564"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大数据管理服务平台（软件）</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搭建统一的管理服务平台，提供数据标准管理、元数据管理、数据交换、数据治理、微服务等功能。</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564"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资源目录管理平台（软件）</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按照国家和省、市相关要求及规范，实现所有收录的部门数据目录管理，驱动省市两级数据交换。</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564"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数据共享平台（软件）</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依托数据共享平台，在政务外网环境下，为我市各级政府和部门提供数据共享服务。</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564"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数据开放平台（软件）</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依托省数据开放平台建设市级子平台，在互联网环境下，为各单位或个人等提供多个领域、多个维度、多种格式的数据开放服务。</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282"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数据安全监管平台（软件）</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包括数据安全监管平台建设。</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564"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云数据库服务</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按照省市一朵云要求，提供3年30TB云数据库实际可用存储服务和3年50TB对象存储实际可用存储服务。</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p>
        </w:tc>
      </w:tr>
      <w:tr>
        <w:tblPrEx>
          <w:tblCellMar>
            <w:top w:w="0" w:type="dxa"/>
            <w:left w:w="108" w:type="dxa"/>
            <w:bottom w:w="0" w:type="dxa"/>
            <w:right w:w="108" w:type="dxa"/>
          </w:tblCellMar>
        </w:tblPrEx>
        <w:trPr>
          <w:trHeight w:val="564"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省市公共数据平台对接服务</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提供省市数据对接服务，包括梳理数据资源目录，接入人口、法人、信用、空间基础信息库，构建数据分析应用。</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p>
        </w:tc>
      </w:tr>
      <w:tr>
        <w:tblPrEx>
          <w:tblCellMar>
            <w:top w:w="0" w:type="dxa"/>
            <w:left w:w="108" w:type="dxa"/>
            <w:bottom w:w="0" w:type="dxa"/>
            <w:right w:w="108" w:type="dxa"/>
          </w:tblCellMar>
        </w:tblPrEx>
        <w:trPr>
          <w:trHeight w:val="564"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市级数据治理服务</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梳理整合台州现有数据资源，梳理制定数据标准、提升数据质量、保障数据安全、提供数据共享、开放归集服务。</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p>
        </w:tc>
      </w:tr>
    </w:tbl>
    <w:p>
      <w:pPr>
        <w:widowControl/>
        <w:tabs>
          <w:tab w:val="left" w:pos="0"/>
        </w:tabs>
        <w:spacing w:line="360" w:lineRule="auto"/>
        <w:ind w:firstLine="482" w:firstLineChars="200"/>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rPr>
        <w:t>备注：供应商需按照采购清单要求，提供所投产品和服务的品牌和相关技术参数。</w:t>
      </w:r>
      <w:r>
        <w:rPr>
          <w:rFonts w:hint="eastAsia" w:asciiTheme="minorEastAsia" w:hAnsiTheme="minorEastAsia" w:eastAsiaTheme="minorEastAsia"/>
          <w:b/>
          <w:bCs/>
          <w:sz w:val="24"/>
          <w:lang w:eastAsia="zh-CN"/>
        </w:rPr>
        <w:t>本项目涉及的对接部分，费用为零。</w:t>
      </w:r>
    </w:p>
    <w:p>
      <w:pPr>
        <w:widowControl/>
        <w:tabs>
          <w:tab w:val="left" w:pos="0"/>
        </w:tabs>
        <w:spacing w:line="360" w:lineRule="auto"/>
        <w:ind w:firstLine="482" w:firstLineChars="200"/>
        <w:rPr>
          <w:rFonts w:hint="default" w:asciiTheme="minorEastAsia" w:hAnsiTheme="minorEastAsia" w:eastAsiaTheme="minorEastAsia"/>
          <w:b/>
          <w:bCs/>
          <w:color w:val="000000" w:themeColor="text1"/>
          <w:sz w:val="24"/>
          <w:lang w:val="en-US" w:eastAsia="zh-CN"/>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▲提供本地政务云服务。</w:t>
      </w:r>
      <w:r>
        <w:rPr>
          <w:rFonts w:hint="eastAsia" w:asciiTheme="minorEastAsia" w:hAnsiTheme="minorEastAsia" w:eastAsiaTheme="minorEastAsia"/>
          <w:b/>
          <w:bCs/>
          <w:color w:val="000000" w:themeColor="text1"/>
          <w:sz w:val="24"/>
          <w:lang w:val="en-US" w:eastAsia="zh-CN"/>
          <w14:textFill>
            <w14:solidFill>
              <w14:schemeClr w14:val="tx1"/>
            </w14:solidFill>
          </w14:textFill>
        </w:rPr>
        <w:t>(提供相关证明材料或承诺)</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4、大数据管理服务平台</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供数据支撑，依据数据标准汇聚业务系统数据形成数据中心和微服务中心，提供统一的管理服务平台，为管理人员、设计人员、开发人员、维护人员等不同用户群体提供数据标准管理、元数据管理、数据交换、数据治理、数据微服务等功能。</w:t>
      </w:r>
    </w:p>
    <w:p>
      <w:pPr>
        <w:pStyle w:val="5"/>
      </w:pPr>
      <w:r>
        <w:rPr>
          <w:rFonts w:hint="eastAsia"/>
        </w:rPr>
        <w:t>4.1功能要求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大数据管理服务平台需提供以下功能：</w:t>
      </w:r>
    </w:p>
    <w:tbl>
      <w:tblPr>
        <w:tblStyle w:val="20"/>
        <w:tblW w:w="8409" w:type="dxa"/>
        <w:tblInd w:w="113" w:type="dxa"/>
        <w:tblLayout w:type="fixed"/>
        <w:tblCellMar>
          <w:top w:w="0" w:type="dxa"/>
          <w:left w:w="108" w:type="dxa"/>
          <w:bottom w:w="0" w:type="dxa"/>
          <w:right w:w="108" w:type="dxa"/>
        </w:tblCellMar>
      </w:tblPr>
      <w:tblGrid>
        <w:gridCol w:w="1266"/>
        <w:gridCol w:w="1686"/>
        <w:gridCol w:w="5457"/>
      </w:tblGrid>
      <w:tr>
        <w:tblPrEx>
          <w:tblCellMar>
            <w:top w:w="0" w:type="dxa"/>
            <w:left w:w="108" w:type="dxa"/>
            <w:bottom w:w="0" w:type="dxa"/>
            <w:right w:w="108" w:type="dxa"/>
          </w:tblCellMar>
        </w:tblPrEx>
        <w:trPr>
          <w:trHeight w:val="539" w:hRule="atLeast"/>
        </w:trPr>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模块</w:t>
            </w:r>
          </w:p>
        </w:tc>
        <w:tc>
          <w:tcPr>
            <w:tcW w:w="168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指标项</w:t>
            </w:r>
          </w:p>
        </w:tc>
        <w:tc>
          <w:tcPr>
            <w:tcW w:w="545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具体要求</w:t>
            </w:r>
          </w:p>
        </w:tc>
      </w:tr>
      <w:tr>
        <w:tblPrEx>
          <w:tblCellMar>
            <w:top w:w="0" w:type="dxa"/>
            <w:left w:w="108" w:type="dxa"/>
            <w:bottom w:w="0" w:type="dxa"/>
            <w:right w:w="108" w:type="dxa"/>
          </w:tblCellMar>
        </w:tblPrEx>
        <w:trPr>
          <w:trHeight w:val="564" w:hRule="atLeas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数据标准</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数据元管理</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从最小的数据单元进行控制，支持数据元的新增、修改、删除等操作，提交、审核、发布等流程管理，并记录版本描述，形成数据元版本，同时关联上一版本的描述信息。</w:t>
            </w:r>
          </w:p>
        </w:tc>
      </w:tr>
      <w:tr>
        <w:tblPrEx>
          <w:tblCellMar>
            <w:top w:w="0" w:type="dxa"/>
            <w:left w:w="108" w:type="dxa"/>
            <w:bottom w:w="0" w:type="dxa"/>
            <w:right w:w="108" w:type="dxa"/>
          </w:tblCellMar>
        </w:tblPrEx>
        <w:trPr>
          <w:trHeight w:val="564"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业务对象管理</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可通过选择组合数据元，实现业务对象的新增、修改、删除等操作，提交、审核、发布等流程管理。</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数据标准继承</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支持数据元继承功能，实现下级单位使用上级单位已有的数据标准。</w:t>
            </w:r>
          </w:p>
        </w:tc>
      </w:tr>
      <w:tr>
        <w:tblPrEx>
          <w:tblCellMar>
            <w:top w:w="0" w:type="dxa"/>
            <w:left w:w="108" w:type="dxa"/>
            <w:bottom w:w="0" w:type="dxa"/>
            <w:right w:w="108" w:type="dxa"/>
          </w:tblCellMar>
        </w:tblPrEx>
        <w:trPr>
          <w:trHeight w:val="564"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数据标准订阅</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对于下级单位继承的数据元，下级单位可以选择订阅他所关注的数据元，若上级对数据元进行修改调整，下级可在消息中心看到变更情况。</w:t>
            </w:r>
          </w:p>
        </w:tc>
      </w:tr>
      <w:tr>
        <w:tblPrEx>
          <w:tblCellMar>
            <w:top w:w="0" w:type="dxa"/>
            <w:left w:w="108" w:type="dxa"/>
            <w:bottom w:w="0" w:type="dxa"/>
            <w:right w:w="108" w:type="dxa"/>
          </w:tblCellMar>
        </w:tblPrEx>
        <w:trPr>
          <w:trHeight w:val="282" w:hRule="atLeast"/>
        </w:trPr>
        <w:tc>
          <w:tcPr>
            <w:tcW w:w="12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元数据管理</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元数据管理</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提供元数据的增删改查、变更管理、对比分析、血缘分析、影响分析等功能。</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数据建模</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结合平台数据标准，提供基于业务的高效便捷数据模型创建、修改和删除等功能。</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数据关系视图</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建立模型之间的引用关系，图形化展现模型关系。</w:t>
            </w:r>
          </w:p>
        </w:tc>
      </w:tr>
      <w:tr>
        <w:tblPrEx>
          <w:tblCellMar>
            <w:top w:w="0" w:type="dxa"/>
            <w:left w:w="108" w:type="dxa"/>
            <w:bottom w:w="0" w:type="dxa"/>
            <w:right w:w="108" w:type="dxa"/>
          </w:tblCellMar>
        </w:tblPrEx>
        <w:trPr>
          <w:trHeight w:val="846" w:hRule="atLeast"/>
        </w:trPr>
        <w:tc>
          <w:tcPr>
            <w:tcW w:w="12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数据检索</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支持按照分类（数据库、数据模型）精确检索数据，支持全文模糊搜索。</w:t>
            </w:r>
          </w:p>
          <w:p>
            <w:pPr>
              <w:widowControl/>
              <w:jc w:val="left"/>
              <w:rPr>
                <w:rFonts w:ascii="宋体" w:hAnsi="宋体"/>
                <w:bCs/>
                <w:szCs w:val="21"/>
              </w:rPr>
            </w:pPr>
            <w:r>
              <w:rPr>
                <w:rFonts w:hint="eastAsia" w:ascii="宋体" w:hAnsi="宋体"/>
                <w:bCs/>
                <w:szCs w:val="21"/>
              </w:rPr>
              <w:t>通过数据权限，实现字段级的数据查看权限控制。每个用户可见的数据及同一数据的可见字段都可灵活控制。</w:t>
            </w:r>
          </w:p>
        </w:tc>
      </w:tr>
      <w:tr>
        <w:tblPrEx>
          <w:tblCellMar>
            <w:top w:w="0" w:type="dxa"/>
            <w:left w:w="108" w:type="dxa"/>
            <w:bottom w:w="0" w:type="dxa"/>
            <w:right w:w="108" w:type="dxa"/>
          </w:tblCellMar>
        </w:tblPrEx>
        <w:trPr>
          <w:trHeight w:val="564" w:hRule="atLeast"/>
        </w:trPr>
        <w:tc>
          <w:tcPr>
            <w:tcW w:w="12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全生命周期管理</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准确的追踪数据从外部源头到数据仓库的交换过程，记录下每个交换结点的交换过程，形成数据链条，并且以可视化的方式展示。</w:t>
            </w:r>
          </w:p>
        </w:tc>
      </w:tr>
      <w:tr>
        <w:tblPrEx>
          <w:tblCellMar>
            <w:top w:w="0" w:type="dxa"/>
            <w:left w:w="108" w:type="dxa"/>
            <w:bottom w:w="0" w:type="dxa"/>
            <w:right w:w="108" w:type="dxa"/>
          </w:tblCellMar>
        </w:tblPrEx>
        <w:trPr>
          <w:trHeight w:val="564" w:hRule="atLeast"/>
        </w:trPr>
        <w:tc>
          <w:tcPr>
            <w:tcW w:w="12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数据资产地图</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对数据总量、每日数据增量、数据资产质量情况、数据资产分类情况、冷热度排名、数据流动关系进行实时多维度分析展示。</w:t>
            </w:r>
          </w:p>
        </w:tc>
      </w:tr>
      <w:tr>
        <w:tblPrEx>
          <w:tblCellMar>
            <w:top w:w="0" w:type="dxa"/>
            <w:left w:w="108" w:type="dxa"/>
            <w:bottom w:w="0" w:type="dxa"/>
            <w:right w:w="108" w:type="dxa"/>
          </w:tblCellMar>
        </w:tblPrEx>
        <w:trPr>
          <w:trHeight w:val="1128" w:hRule="atLeas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数据交换</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数据接入</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支持多种关系型数据库的连接和接入，包括：MySQL、Greenplum、Postgre、Oracle、SQLServer、Hive等。</w:t>
            </w:r>
            <w:r>
              <w:rPr>
                <w:rFonts w:hint="eastAsia" w:ascii="宋体" w:hAnsi="宋体"/>
                <w:bCs/>
                <w:szCs w:val="21"/>
              </w:rPr>
              <w:br w:type="textWrapping"/>
            </w:r>
            <w:r>
              <w:rPr>
                <w:rFonts w:hint="eastAsia" w:ascii="宋体" w:hAnsi="宋体"/>
                <w:bCs/>
                <w:szCs w:val="21"/>
              </w:rPr>
              <w:t>支持以SOAP、RESTFUL的服务方式接入数据，并支持JSON、XML、CSV等格式数据接入。</w:t>
            </w:r>
            <w:r>
              <w:rPr>
                <w:rFonts w:hint="eastAsia" w:ascii="宋体" w:hAnsi="宋体"/>
                <w:bCs/>
                <w:szCs w:val="21"/>
              </w:rPr>
              <w:br w:type="textWrapping"/>
            </w:r>
            <w:r>
              <w:rPr>
                <w:rFonts w:hint="eastAsia" w:ascii="宋体" w:hAnsi="宋体"/>
                <w:bCs/>
                <w:szCs w:val="21"/>
              </w:rPr>
              <w:t>支持与ODPS的数据对接，支持从ODPS导出数据到本平台，支持从本平台导出数据到ODPS。</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数据交换</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提供RESTful、消息总线、Java SDK或JDBC API 方式进行数据共享和交换。</w:t>
            </w:r>
          </w:p>
        </w:tc>
      </w:tr>
      <w:tr>
        <w:tblPrEx>
          <w:tblCellMar>
            <w:top w:w="0" w:type="dxa"/>
            <w:left w:w="108" w:type="dxa"/>
            <w:bottom w:w="0" w:type="dxa"/>
            <w:right w:w="108" w:type="dxa"/>
          </w:tblCellMar>
        </w:tblPrEx>
        <w:trPr>
          <w:trHeight w:val="564"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交换任务配置</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定义每个交换程序的执行方式、交换流程。支持定时、循环等执行方式，支持串行、并行交换流程。</w:t>
            </w:r>
          </w:p>
        </w:tc>
      </w:tr>
      <w:tr>
        <w:tblPrEx>
          <w:tblCellMar>
            <w:top w:w="0" w:type="dxa"/>
            <w:left w:w="108" w:type="dxa"/>
            <w:bottom w:w="0" w:type="dxa"/>
            <w:right w:w="108" w:type="dxa"/>
          </w:tblCellMar>
        </w:tblPrEx>
        <w:trPr>
          <w:trHeight w:val="564"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数据处理</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支持可视化方式配置数据抽取、转置、加载等处理过程，提供输入、输出、字段值操作、流程控制、参数操作、服务调用等控件。</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数据对账</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实时比对上下流数据量，确保数据交换完整性。</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监控告警</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实时监控数据交换任务执行状态，若交换出错可进行异常处理并停止交换。</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任务日志</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记录并保存任务执行情况日志信息。</w:t>
            </w:r>
          </w:p>
        </w:tc>
      </w:tr>
      <w:tr>
        <w:tblPrEx>
          <w:tblCellMar>
            <w:top w:w="0" w:type="dxa"/>
            <w:left w:w="108" w:type="dxa"/>
            <w:bottom w:w="0" w:type="dxa"/>
            <w:right w:w="108" w:type="dxa"/>
          </w:tblCellMar>
        </w:tblPrEx>
        <w:trPr>
          <w:trHeight w:val="846" w:hRule="atLeas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数据治理</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治理规则管理</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可根据表对应的数据元规则快速生成校验规则，支持新增、校验规则、启用、禁用功能，并可根据所属数据元、规则名称、状态进行查询。</w:t>
            </w:r>
            <w:r>
              <w:rPr>
                <w:rFonts w:ascii="宋体" w:hAnsi="宋体"/>
                <w:bCs/>
                <w:szCs w:val="21"/>
              </w:rPr>
              <w:br w:type="textWrapping"/>
            </w:r>
            <w:r>
              <w:rPr>
                <w:rFonts w:hint="eastAsia" w:ascii="宋体" w:hAnsi="宋体"/>
                <w:bCs/>
                <w:szCs w:val="21"/>
              </w:rPr>
              <w:t>支持非空、唯一、一致、正则、阈值等质量规则自定义。</w:t>
            </w:r>
          </w:p>
        </w:tc>
      </w:tr>
      <w:tr>
        <w:tblPrEx>
          <w:tblCellMar>
            <w:top w:w="0" w:type="dxa"/>
            <w:left w:w="108" w:type="dxa"/>
            <w:bottom w:w="0" w:type="dxa"/>
            <w:right w:w="108" w:type="dxa"/>
          </w:tblCellMar>
        </w:tblPrEx>
        <w:trPr>
          <w:trHeight w:val="282"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治理任务管理</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支持创建治理评估调度任务，自动评估数据质量。支持手动选择模型进行实时治理评估。</w:t>
            </w:r>
          </w:p>
        </w:tc>
      </w:tr>
      <w:tr>
        <w:tblPrEx>
          <w:tblCellMar>
            <w:top w:w="0" w:type="dxa"/>
            <w:left w:w="108" w:type="dxa"/>
            <w:bottom w:w="0" w:type="dxa"/>
            <w:right w:w="108" w:type="dxa"/>
          </w:tblCellMar>
        </w:tblPrEx>
        <w:trPr>
          <w:trHeight w:val="564"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质量校验报告</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展现质量评估结果，查看校验数据详情、问题数据详情、质量评估详情，支持校验报告导出。</w:t>
            </w:r>
          </w:p>
        </w:tc>
      </w:tr>
      <w:tr>
        <w:tblPrEx>
          <w:tblCellMar>
            <w:top w:w="0" w:type="dxa"/>
            <w:left w:w="108" w:type="dxa"/>
            <w:bottom w:w="0" w:type="dxa"/>
            <w:right w:w="108" w:type="dxa"/>
          </w:tblCellMar>
        </w:tblPrEx>
        <w:trPr>
          <w:trHeight w:val="564"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数据质量提升</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支持根据问题责任人实现未处理/已处理的问题数据进行查询操作；可对未处理问题数据进行处理、忽略配置、问题详情和问题报告的查看，通过对问题数据的处理，提高数据质量。</w:t>
            </w:r>
          </w:p>
        </w:tc>
      </w:tr>
      <w:tr>
        <w:tblPrEx>
          <w:tblCellMar>
            <w:top w:w="0" w:type="dxa"/>
            <w:left w:w="108" w:type="dxa"/>
            <w:bottom w:w="0" w:type="dxa"/>
            <w:right w:w="108" w:type="dxa"/>
          </w:tblCellMar>
        </w:tblPrEx>
        <w:trPr>
          <w:trHeight w:val="3384"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数据微服务</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数据微服务</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提供应用资源和数据资源的服务注册，提供注册后的发布、服务申请、服务授权功能。</w:t>
            </w:r>
            <w:r>
              <w:rPr>
                <w:rFonts w:hint="eastAsia" w:ascii="宋体" w:hAnsi="宋体"/>
                <w:bCs/>
                <w:szCs w:val="21"/>
              </w:rPr>
              <w:br w:type="textWrapping"/>
            </w:r>
            <w:r>
              <w:rPr>
                <w:rFonts w:hint="eastAsia" w:ascii="宋体" w:hAnsi="宋体"/>
                <w:bCs/>
                <w:szCs w:val="21"/>
              </w:rPr>
              <w:t>提供REST接口或者监听事件进行流程编排实现一个新的复杂服务，为每个被编排的服务提供正确的参数。</w:t>
            </w:r>
            <w:r>
              <w:rPr>
                <w:rFonts w:hint="eastAsia" w:ascii="宋体" w:hAnsi="宋体"/>
                <w:bCs/>
                <w:szCs w:val="21"/>
              </w:rPr>
              <w:br w:type="textWrapping"/>
            </w:r>
            <w:r>
              <w:rPr>
                <w:rFonts w:hint="eastAsia" w:ascii="宋体" w:hAnsi="宋体"/>
                <w:bCs/>
                <w:szCs w:val="21"/>
              </w:rPr>
              <w:t>支持根据请求的服务信息，查找服务目录，找到对应服务部署地址。</w:t>
            </w:r>
            <w:r>
              <w:rPr>
                <w:rFonts w:hint="eastAsia" w:ascii="宋体" w:hAnsi="宋体"/>
                <w:bCs/>
                <w:szCs w:val="21"/>
              </w:rPr>
              <w:br w:type="textWrapping"/>
            </w:r>
            <w:r>
              <w:rPr>
                <w:rFonts w:hint="eastAsia" w:ascii="宋体" w:hAnsi="宋体"/>
                <w:bCs/>
                <w:szCs w:val="21"/>
              </w:rPr>
              <w:t>支持微服务内部通信协议与被调用的服务使用的通信协议之间的转换，提供调用服务器和获取服务返回结果。</w:t>
            </w:r>
            <w:r>
              <w:rPr>
                <w:rFonts w:hint="eastAsia" w:ascii="宋体" w:hAnsi="宋体"/>
                <w:bCs/>
                <w:szCs w:val="21"/>
              </w:rPr>
              <w:br w:type="textWrapping"/>
            </w:r>
            <w:r>
              <w:rPr>
                <w:rFonts w:hint="eastAsia" w:ascii="宋体" w:hAnsi="宋体"/>
                <w:bCs/>
                <w:szCs w:val="21"/>
              </w:rPr>
              <w:t>支持利用高效可靠的消息传递机制进行无关的数据交流，基于快速稳定的数据通信，支持分布式系统集成。</w:t>
            </w:r>
            <w:r>
              <w:rPr>
                <w:rFonts w:hint="eastAsia" w:ascii="宋体" w:hAnsi="宋体"/>
                <w:bCs/>
                <w:szCs w:val="21"/>
              </w:rPr>
              <w:br w:type="textWrapping"/>
            </w:r>
            <w:r>
              <w:rPr>
                <w:rFonts w:hint="eastAsia" w:ascii="宋体" w:hAnsi="宋体"/>
                <w:bCs/>
                <w:szCs w:val="21"/>
              </w:rPr>
              <w:t>提供可视化的方式对微服务运行环境的配置管理，支持信息配置、远程部署、运行管理、安全访问控制。</w:t>
            </w:r>
            <w:r>
              <w:rPr>
                <w:rFonts w:hint="eastAsia" w:ascii="宋体" w:hAnsi="宋体"/>
                <w:bCs/>
                <w:szCs w:val="21"/>
              </w:rPr>
              <w:br w:type="textWrapping"/>
            </w:r>
            <w:r>
              <w:rPr>
                <w:rFonts w:hint="eastAsia" w:ascii="宋体" w:hAnsi="宋体"/>
                <w:bCs/>
                <w:szCs w:val="21"/>
              </w:rPr>
              <w:t>实现分布式业务服务实时、动态、灵活的智能集中监控管理。</w:t>
            </w:r>
          </w:p>
        </w:tc>
      </w:tr>
    </w:tbl>
    <w:p>
      <w:pPr>
        <w:widowControl/>
        <w:tabs>
          <w:tab w:val="left" w:pos="0"/>
        </w:tabs>
        <w:spacing w:line="360" w:lineRule="auto"/>
        <w:ind w:firstLine="420" w:firstLineChars="200"/>
      </w:pPr>
    </w:p>
    <w:p>
      <w:pPr>
        <w:pStyle w:val="5"/>
      </w:pPr>
      <w:r>
        <w:rPr>
          <w:rFonts w:hint="eastAsia"/>
        </w:rPr>
        <w:t>4.2性能要求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大数据管理服务平台需满足以下性能要求：</w:t>
      </w:r>
    </w:p>
    <w:tbl>
      <w:tblPr>
        <w:tblStyle w:val="20"/>
        <w:tblW w:w="8409" w:type="dxa"/>
        <w:tblInd w:w="113" w:type="dxa"/>
        <w:tblLayout w:type="fixed"/>
        <w:tblCellMar>
          <w:top w:w="0" w:type="dxa"/>
          <w:left w:w="108" w:type="dxa"/>
          <w:bottom w:w="0" w:type="dxa"/>
          <w:right w:w="108" w:type="dxa"/>
        </w:tblCellMar>
      </w:tblPr>
      <w:tblGrid>
        <w:gridCol w:w="1266"/>
        <w:gridCol w:w="7143"/>
      </w:tblGrid>
      <w:tr>
        <w:tblPrEx>
          <w:tblCellMar>
            <w:top w:w="0" w:type="dxa"/>
            <w:left w:w="108" w:type="dxa"/>
            <w:bottom w:w="0" w:type="dxa"/>
            <w:right w:w="108" w:type="dxa"/>
          </w:tblCellMar>
        </w:tblPrEx>
        <w:trPr>
          <w:trHeight w:val="539"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指标项</w:t>
            </w:r>
          </w:p>
        </w:tc>
        <w:tc>
          <w:tcPr>
            <w:tcW w:w="714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具体要求</w:t>
            </w:r>
          </w:p>
        </w:tc>
      </w:tr>
      <w:tr>
        <w:tblPrEx>
          <w:tblCellMar>
            <w:top w:w="0" w:type="dxa"/>
            <w:left w:w="108" w:type="dxa"/>
            <w:bottom w:w="0" w:type="dxa"/>
            <w:right w:w="108" w:type="dxa"/>
          </w:tblCellMar>
        </w:tblPrEx>
        <w:trPr>
          <w:trHeight w:val="846"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分布式存储</w:t>
            </w:r>
          </w:p>
        </w:tc>
        <w:tc>
          <w:tcPr>
            <w:tcW w:w="7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支持存储空间横向扩容。</w:t>
            </w:r>
          </w:p>
          <w:p>
            <w:pPr>
              <w:widowControl/>
              <w:jc w:val="left"/>
              <w:rPr>
                <w:rFonts w:ascii="宋体" w:hAnsi="宋体"/>
                <w:bCs/>
                <w:szCs w:val="21"/>
              </w:rPr>
            </w:pPr>
            <w:r>
              <w:rPr>
                <w:rFonts w:hint="eastAsia" w:ascii="宋体" w:hAnsi="宋体"/>
                <w:bCs/>
                <w:szCs w:val="21"/>
              </w:rPr>
              <w:t>支持PB级数据存储。</w:t>
            </w:r>
          </w:p>
          <w:p>
            <w:pPr>
              <w:widowControl/>
              <w:jc w:val="left"/>
              <w:rPr>
                <w:rFonts w:ascii="宋体" w:hAnsi="宋体"/>
                <w:bCs/>
                <w:szCs w:val="21"/>
              </w:rPr>
            </w:pPr>
            <w:r>
              <w:rPr>
                <w:rFonts w:hint="eastAsia" w:ascii="宋体" w:hAnsi="宋体"/>
                <w:bCs/>
                <w:szCs w:val="21"/>
              </w:rPr>
              <w:t>支持TB级索引存储。</w:t>
            </w:r>
          </w:p>
        </w:tc>
      </w:tr>
      <w:tr>
        <w:tblPrEx>
          <w:tblCellMar>
            <w:top w:w="0" w:type="dxa"/>
            <w:left w:w="108" w:type="dxa"/>
            <w:bottom w:w="0" w:type="dxa"/>
            <w:right w:w="108" w:type="dxa"/>
          </w:tblCellMar>
        </w:tblPrEx>
        <w:trPr>
          <w:trHeight w:val="846"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并发能力</w:t>
            </w:r>
          </w:p>
        </w:tc>
        <w:tc>
          <w:tcPr>
            <w:tcW w:w="7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系统支持并发用户数大于1000。</w:t>
            </w:r>
          </w:p>
          <w:p>
            <w:pPr>
              <w:widowControl/>
              <w:jc w:val="left"/>
              <w:rPr>
                <w:rFonts w:ascii="宋体" w:hAnsi="宋体"/>
                <w:bCs/>
                <w:szCs w:val="21"/>
              </w:rPr>
            </w:pPr>
            <w:r>
              <w:rPr>
                <w:rFonts w:hint="eastAsia" w:ascii="宋体" w:hAnsi="宋体"/>
                <w:bCs/>
                <w:szCs w:val="21"/>
              </w:rPr>
              <w:t>600条/每秒数据上传压力下，数据无堆积、不丢失。</w:t>
            </w:r>
          </w:p>
          <w:p>
            <w:pPr>
              <w:widowControl/>
              <w:jc w:val="left"/>
              <w:rPr>
                <w:rFonts w:ascii="宋体" w:hAnsi="宋体"/>
                <w:bCs/>
                <w:szCs w:val="21"/>
              </w:rPr>
            </w:pPr>
            <w:r>
              <w:rPr>
                <w:rFonts w:hint="eastAsia" w:ascii="宋体" w:hAnsi="宋体"/>
                <w:bCs/>
                <w:szCs w:val="21"/>
              </w:rPr>
              <w:t>大数据入库性能&gt;10000条/每秒。</w:t>
            </w:r>
          </w:p>
        </w:tc>
      </w:tr>
      <w:tr>
        <w:tblPrEx>
          <w:tblCellMar>
            <w:top w:w="0" w:type="dxa"/>
            <w:left w:w="108" w:type="dxa"/>
            <w:bottom w:w="0" w:type="dxa"/>
            <w:right w:w="108" w:type="dxa"/>
          </w:tblCellMar>
        </w:tblPrEx>
        <w:trPr>
          <w:trHeight w:val="1410"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响应速度</w:t>
            </w:r>
          </w:p>
        </w:tc>
        <w:tc>
          <w:tcPr>
            <w:tcW w:w="7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支持高并发毫秒级数据插入/修改/查询/删除(CRUD)。</w:t>
            </w:r>
          </w:p>
          <w:p>
            <w:pPr>
              <w:widowControl/>
              <w:jc w:val="left"/>
              <w:rPr>
                <w:rFonts w:ascii="宋体" w:hAnsi="宋体"/>
                <w:bCs/>
                <w:szCs w:val="21"/>
              </w:rPr>
            </w:pPr>
            <w:r>
              <w:rPr>
                <w:rFonts w:hint="eastAsia" w:ascii="宋体" w:hAnsi="宋体"/>
                <w:bCs/>
                <w:szCs w:val="21"/>
              </w:rPr>
              <w:t>百亿规模数据，单条数据按Key查询，响应时间&lt;3秒。</w:t>
            </w:r>
          </w:p>
          <w:p>
            <w:pPr>
              <w:widowControl/>
              <w:jc w:val="left"/>
              <w:rPr>
                <w:rFonts w:ascii="宋体" w:hAnsi="宋体"/>
                <w:bCs/>
                <w:szCs w:val="21"/>
              </w:rPr>
            </w:pPr>
            <w:r>
              <w:rPr>
                <w:rFonts w:hint="eastAsia" w:ascii="宋体" w:hAnsi="宋体"/>
                <w:bCs/>
                <w:szCs w:val="21"/>
              </w:rPr>
              <w:t>百亿数据规模，进行分组查询和统计分析响应时间&lt;5s。</w:t>
            </w:r>
          </w:p>
          <w:p>
            <w:pPr>
              <w:widowControl/>
              <w:jc w:val="left"/>
              <w:rPr>
                <w:rFonts w:ascii="宋体" w:hAnsi="宋体"/>
                <w:bCs/>
                <w:szCs w:val="21"/>
              </w:rPr>
            </w:pPr>
            <w:r>
              <w:rPr>
                <w:rFonts w:hint="eastAsia" w:ascii="宋体" w:hAnsi="宋体"/>
                <w:bCs/>
                <w:szCs w:val="21"/>
              </w:rPr>
              <w:t>600条/每秒数据上传压力下，数据无堆积、不丢失。</w:t>
            </w:r>
          </w:p>
          <w:p>
            <w:pPr>
              <w:widowControl/>
              <w:jc w:val="left"/>
              <w:rPr>
                <w:rFonts w:ascii="宋体" w:hAnsi="宋体"/>
                <w:bCs/>
                <w:szCs w:val="21"/>
              </w:rPr>
            </w:pPr>
            <w:r>
              <w:rPr>
                <w:rFonts w:hint="eastAsia" w:ascii="宋体" w:hAnsi="宋体"/>
                <w:bCs/>
                <w:szCs w:val="21"/>
              </w:rPr>
              <w:t>大数据入库性能&gt;10000条/每秒，入库延迟不大于1秒。</w:t>
            </w:r>
          </w:p>
        </w:tc>
      </w:tr>
      <w:tr>
        <w:tblPrEx>
          <w:tblCellMar>
            <w:top w:w="0" w:type="dxa"/>
            <w:left w:w="108" w:type="dxa"/>
            <w:bottom w:w="0" w:type="dxa"/>
            <w:right w:w="108" w:type="dxa"/>
          </w:tblCellMar>
        </w:tblPrEx>
        <w:trPr>
          <w:trHeight w:val="1128"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兼容性</w:t>
            </w:r>
          </w:p>
        </w:tc>
        <w:tc>
          <w:tcPr>
            <w:tcW w:w="7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服务端软件可部署在包括centos 7 以上(64位)、redhat 7 以上(64位)、ubuntu 16 以上(64位)等多种不同的系统平台上。</w:t>
            </w:r>
          </w:p>
          <w:p>
            <w:pPr>
              <w:widowControl/>
              <w:jc w:val="left"/>
              <w:rPr>
                <w:rFonts w:ascii="宋体" w:hAnsi="宋体"/>
                <w:bCs/>
                <w:szCs w:val="21"/>
              </w:rPr>
            </w:pPr>
            <w:r>
              <w:rPr>
                <w:rFonts w:hint="eastAsia" w:ascii="宋体" w:hAnsi="宋体"/>
                <w:bCs/>
                <w:szCs w:val="21"/>
              </w:rPr>
              <w:t>支持主流的浏览器，包括IE10、IE11、Firefox、Google Chrome等,对于IE6-IE8，安装谷歌插件即可访问。</w:t>
            </w:r>
          </w:p>
        </w:tc>
      </w:tr>
      <w:tr>
        <w:tblPrEx>
          <w:tblCellMar>
            <w:top w:w="0" w:type="dxa"/>
            <w:left w:w="108" w:type="dxa"/>
            <w:bottom w:w="0" w:type="dxa"/>
            <w:right w:w="108" w:type="dxa"/>
          </w:tblCellMar>
        </w:tblPrEx>
        <w:trPr>
          <w:trHeight w:val="274"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扩展性</w:t>
            </w:r>
          </w:p>
        </w:tc>
        <w:tc>
          <w:tcPr>
            <w:tcW w:w="7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集群节点的下线，具备高扩展性，减少物理节点时，原有应用不受影响，数据快速重分布。集群性能与节点数量应呈线性关系。节点下线时正在进行的作业如不存在数据副本全部丢失的情况不会异常中断，新作业提交正常。</w:t>
            </w:r>
          </w:p>
          <w:p>
            <w:pPr>
              <w:widowControl/>
              <w:jc w:val="left"/>
              <w:rPr>
                <w:rFonts w:ascii="宋体" w:hAnsi="宋体"/>
                <w:bCs/>
                <w:szCs w:val="21"/>
              </w:rPr>
            </w:pPr>
            <w:r>
              <w:rPr>
                <w:rFonts w:hint="eastAsia" w:ascii="宋体" w:hAnsi="宋体"/>
                <w:bCs/>
                <w:szCs w:val="21"/>
              </w:rPr>
              <w:t>支持集群节点的扩展，具备高扩展性，增加物理节点时，原有应用不受影响，平滑扩容，数据快速重分布。集群性能与节点数量应呈线性关系。节点扩展时正在进行的作业不会异常中断，新作业提交正常。</w:t>
            </w:r>
          </w:p>
        </w:tc>
      </w:tr>
      <w:tr>
        <w:tblPrEx>
          <w:tblCellMar>
            <w:top w:w="0" w:type="dxa"/>
            <w:left w:w="108" w:type="dxa"/>
            <w:bottom w:w="0" w:type="dxa"/>
            <w:right w:w="108" w:type="dxa"/>
          </w:tblCellMar>
        </w:tblPrEx>
        <w:trPr>
          <w:trHeight w:val="1128"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开放性</w:t>
            </w:r>
          </w:p>
        </w:tc>
        <w:tc>
          <w:tcPr>
            <w:tcW w:w="7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分析平台支持丰富的SDK接口，可以实现单点登录、图表组件扩展、与Portal集成。支持与4A进行单点登录认证、支持CAS、Shiro认证。</w:t>
            </w:r>
          </w:p>
          <w:p>
            <w:pPr>
              <w:widowControl/>
              <w:jc w:val="left"/>
              <w:rPr>
                <w:rFonts w:ascii="宋体" w:hAnsi="宋体"/>
                <w:bCs/>
                <w:szCs w:val="21"/>
              </w:rPr>
            </w:pPr>
            <w:r>
              <w:rPr>
                <w:rFonts w:hint="eastAsia" w:ascii="宋体" w:hAnsi="宋体"/>
                <w:bCs/>
                <w:szCs w:val="21"/>
              </w:rPr>
              <w:t>可以对接主流的大数据环境：Cloudera Distribution Hadoop （CDH）、Hortonworks、Apache Hadoop等。</w:t>
            </w:r>
          </w:p>
        </w:tc>
      </w:tr>
      <w:tr>
        <w:tblPrEx>
          <w:tblCellMar>
            <w:top w:w="0" w:type="dxa"/>
            <w:left w:w="108" w:type="dxa"/>
            <w:bottom w:w="0" w:type="dxa"/>
            <w:right w:w="108" w:type="dxa"/>
          </w:tblCellMar>
        </w:tblPrEx>
        <w:trPr>
          <w:trHeight w:val="564"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可用性</w:t>
            </w:r>
          </w:p>
        </w:tc>
        <w:tc>
          <w:tcPr>
            <w:tcW w:w="7143"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支持节点级别容错，至少允许一个节点离线。</w:t>
            </w:r>
          </w:p>
          <w:p>
            <w:pPr>
              <w:widowControl/>
              <w:jc w:val="left"/>
            </w:pPr>
            <w:r>
              <w:rPr>
                <w:rFonts w:hint="eastAsia"/>
              </w:rPr>
              <w:t>可以保障7×24小时不间断运行，平台在采购质保期内进行免费的系统补丁及版本升级。</w:t>
            </w:r>
          </w:p>
          <w:p>
            <w:pPr>
              <w:pStyle w:val="2"/>
              <w:ind w:firstLine="0"/>
            </w:pPr>
            <w:r>
              <w:rPr>
                <w:rFonts w:hint="eastAsia"/>
                <w:szCs w:val="24"/>
              </w:rPr>
              <w:t>系统数据定时安全备份，防止系统故障和误操作，权限设置合理，有完善的灾难应急功能和恢复能力，系统应提供7×24小时的连续运行，平均故障修复时间小于1小时。</w:t>
            </w:r>
          </w:p>
        </w:tc>
      </w:tr>
      <w:tr>
        <w:tblPrEx>
          <w:tblCellMar>
            <w:top w:w="0" w:type="dxa"/>
            <w:left w:w="108" w:type="dxa"/>
            <w:bottom w:w="0" w:type="dxa"/>
            <w:right w:w="108" w:type="dxa"/>
          </w:tblCellMar>
        </w:tblPrEx>
        <w:trPr>
          <w:trHeight w:val="564"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维护性</w:t>
            </w:r>
          </w:p>
        </w:tc>
        <w:tc>
          <w:tcPr>
            <w:tcW w:w="7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系统故障恢复时间小于2小时，系统可用率必须超过99.9%。</w:t>
            </w:r>
          </w:p>
        </w:tc>
      </w:tr>
      <w:tr>
        <w:tblPrEx>
          <w:tblCellMar>
            <w:top w:w="0" w:type="dxa"/>
            <w:left w:w="108" w:type="dxa"/>
            <w:bottom w:w="0" w:type="dxa"/>
            <w:right w:w="108" w:type="dxa"/>
          </w:tblCellMar>
        </w:tblPrEx>
        <w:trPr>
          <w:trHeight w:val="282" w:hRule="atLeast"/>
        </w:trPr>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安全性</w:t>
            </w:r>
          </w:p>
        </w:tc>
        <w:tc>
          <w:tcPr>
            <w:tcW w:w="71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Cs/>
                <w:szCs w:val="21"/>
              </w:rPr>
            </w:pPr>
            <w:r>
              <w:rPr>
                <w:rFonts w:hint="eastAsia" w:ascii="宋体" w:hAnsi="宋体"/>
                <w:bCs/>
                <w:szCs w:val="21"/>
              </w:rPr>
              <w:t>平台应不存在单点故障，平台应具备多层次备份能力。</w:t>
            </w:r>
          </w:p>
        </w:tc>
      </w:tr>
    </w:tbl>
    <w:p>
      <w:pPr>
        <w:widowControl/>
        <w:tabs>
          <w:tab w:val="left" w:pos="0"/>
        </w:tabs>
        <w:spacing w:line="360" w:lineRule="auto"/>
        <w:ind w:firstLine="420" w:firstLineChars="200"/>
      </w:pP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5、资源目录管理平台</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按照国家和省、市相关要求及规范，实现所有收录的部门数据目录管理。</w:t>
      </w:r>
    </w:p>
    <w:p>
      <w:pPr>
        <w:pStyle w:val="5"/>
      </w:pPr>
      <w:r>
        <w:rPr>
          <w:rFonts w:hint="eastAsia"/>
        </w:rPr>
        <w:t>5.1功能要求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资源目录管理平台需提供以下功能：</w:t>
      </w:r>
    </w:p>
    <w:tbl>
      <w:tblPr>
        <w:tblStyle w:val="20"/>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3" w:type="dxa"/>
            <w:shd w:val="clear" w:color="auto" w:fill="auto"/>
            <w:vAlign w:val="center"/>
          </w:tcPr>
          <w:p>
            <w:pPr>
              <w:jc w:val="center"/>
              <w:rPr>
                <w:rFonts w:ascii="宋体" w:hAnsi="宋体"/>
                <w:bCs/>
                <w:szCs w:val="21"/>
              </w:rPr>
            </w:pPr>
            <w:r>
              <w:rPr>
                <w:rFonts w:hint="eastAsia" w:ascii="宋体" w:hAnsi="宋体"/>
                <w:b/>
                <w:szCs w:val="21"/>
              </w:rPr>
              <w:t>指标项</w:t>
            </w:r>
          </w:p>
        </w:tc>
        <w:tc>
          <w:tcPr>
            <w:tcW w:w="7171" w:type="dxa"/>
            <w:shd w:val="clear" w:color="auto" w:fill="auto"/>
            <w:vAlign w:val="center"/>
          </w:tcPr>
          <w:p>
            <w:pPr>
              <w:jc w:val="center"/>
              <w:rPr>
                <w:rFonts w:ascii="宋体" w:hAnsi="宋体" w:cs="宋体"/>
                <w:kern w:val="0"/>
                <w:szCs w:val="21"/>
              </w:rPr>
            </w:pPr>
            <w:r>
              <w:rPr>
                <w:rFonts w:hint="eastAsia" w:ascii="宋体" w:hAnsi="宋体"/>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3" w:type="dxa"/>
            <w:shd w:val="clear" w:color="auto" w:fill="auto"/>
            <w:vAlign w:val="center"/>
          </w:tcPr>
          <w:p>
            <w:pPr>
              <w:jc w:val="center"/>
              <w:rPr>
                <w:rFonts w:ascii="宋体" w:hAnsi="宋体"/>
                <w:bCs/>
                <w:szCs w:val="21"/>
              </w:rPr>
            </w:pPr>
            <w:r>
              <w:rPr>
                <w:rFonts w:hint="eastAsia" w:ascii="宋体" w:hAnsi="宋体"/>
                <w:bCs/>
                <w:szCs w:val="21"/>
              </w:rPr>
              <w:t>目录编制</w:t>
            </w:r>
          </w:p>
        </w:tc>
        <w:tc>
          <w:tcPr>
            <w:tcW w:w="7171" w:type="dxa"/>
            <w:shd w:val="clear" w:color="auto" w:fill="auto"/>
            <w:vAlign w:val="center"/>
          </w:tcPr>
          <w:p>
            <w:pPr>
              <w:spacing w:line="360" w:lineRule="auto"/>
              <w:rPr>
                <w:rFonts w:hint="default" w:ascii="宋体" w:hAnsi="宋体" w:eastAsia="宋体" w:cs="宋体"/>
                <w:kern w:val="0"/>
                <w:szCs w:val="21"/>
                <w:lang w:val="en-US" w:eastAsia="zh-CN"/>
              </w:rPr>
            </w:pPr>
            <w:r>
              <w:rPr>
                <w:rFonts w:hint="eastAsia" w:ascii="宋体" w:hAnsi="宋体" w:cs="宋体"/>
                <w:kern w:val="0"/>
                <w:szCs w:val="21"/>
              </w:rPr>
              <w:t>支持手工录入、批量导入和利用数据库链接、API接口、WEB页面表单抓取等方式采集政务数据资源进行编目；</w:t>
            </w:r>
            <w:r>
              <w:rPr>
                <w:rFonts w:hint="eastAsia" w:ascii="宋体" w:hAnsi="宋体"/>
                <w:bCs/>
                <w:szCs w:val="21"/>
                <w:lang w:val="en-US" w:eastAsia="zh-CN"/>
              </w:rPr>
              <w:t xml:space="preserve"> </w:t>
            </w:r>
          </w:p>
          <w:p>
            <w:pPr>
              <w:spacing w:line="360" w:lineRule="auto"/>
              <w:rPr>
                <w:rFonts w:ascii="宋体" w:hAnsi="宋体" w:cs="宋体"/>
                <w:kern w:val="0"/>
                <w:szCs w:val="21"/>
              </w:rPr>
            </w:pPr>
            <w:r>
              <w:rPr>
                <w:rFonts w:hint="eastAsia" w:ascii="宋体" w:hAnsi="宋体" w:cs="宋体"/>
                <w:kern w:val="0"/>
                <w:szCs w:val="21"/>
              </w:rPr>
              <w:t>支持自动或机辅方式的数据资源分类和关键词提取；</w:t>
            </w:r>
          </w:p>
          <w:p>
            <w:pPr>
              <w:spacing w:line="360" w:lineRule="auto"/>
              <w:rPr>
                <w:rFonts w:ascii="宋体" w:hAnsi="宋体" w:cs="宋体"/>
                <w:kern w:val="0"/>
                <w:szCs w:val="21"/>
              </w:rPr>
            </w:pPr>
            <w:r>
              <w:rPr>
                <w:rFonts w:hint="eastAsia" w:ascii="宋体" w:hAnsi="宋体" w:cs="宋体"/>
                <w:kern w:val="0"/>
                <w:szCs w:val="21"/>
              </w:rPr>
              <w:t>支持实现数据资源唯一标识符的分配和赋值。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3" w:type="dxa"/>
            <w:shd w:val="clear" w:color="auto" w:fill="auto"/>
            <w:vAlign w:val="center"/>
          </w:tcPr>
          <w:p>
            <w:pPr>
              <w:jc w:val="center"/>
              <w:rPr>
                <w:rFonts w:ascii="宋体" w:hAnsi="宋体"/>
                <w:bCs/>
                <w:szCs w:val="21"/>
              </w:rPr>
            </w:pPr>
            <w:r>
              <w:rPr>
                <w:rFonts w:hint="eastAsia" w:ascii="宋体" w:hAnsi="宋体"/>
                <w:bCs/>
                <w:szCs w:val="21"/>
                <w:lang w:eastAsia="zh-CN"/>
              </w:rPr>
              <w:t xml:space="preserve"> </w:t>
            </w:r>
            <w:r>
              <w:rPr>
                <w:rFonts w:hint="eastAsia" w:ascii="宋体" w:hAnsi="宋体"/>
                <w:bCs/>
                <w:szCs w:val="21"/>
                <w:lang w:val="en-US" w:eastAsia="zh-CN"/>
              </w:rPr>
              <w:t xml:space="preserve">               </w:t>
            </w:r>
            <w:r>
              <w:rPr>
                <w:rFonts w:hint="eastAsia" w:ascii="宋体" w:hAnsi="宋体"/>
                <w:bCs/>
                <w:szCs w:val="21"/>
              </w:rPr>
              <w:t>目录维护</w:t>
            </w:r>
          </w:p>
        </w:tc>
        <w:tc>
          <w:tcPr>
            <w:tcW w:w="7171" w:type="dxa"/>
            <w:shd w:val="clear" w:color="auto" w:fill="auto"/>
            <w:vAlign w:val="center"/>
          </w:tcPr>
          <w:p>
            <w:pPr>
              <w:spacing w:line="360" w:lineRule="auto"/>
              <w:rPr>
                <w:rFonts w:hint="eastAsia" w:ascii="宋体" w:hAnsi="宋体" w:eastAsia="宋体" w:cs="宋体"/>
                <w:kern w:val="0"/>
                <w:szCs w:val="21"/>
                <w:lang w:eastAsia="zh-CN"/>
              </w:rPr>
            </w:pPr>
            <w:r>
              <w:rPr>
                <w:rFonts w:hint="eastAsia" w:ascii="宋体" w:hAnsi="宋体" w:cs="宋体"/>
                <w:kern w:val="0"/>
                <w:szCs w:val="21"/>
              </w:rPr>
              <w:t>可以维护资源目录的属性结构和属性信息，提供资源的创建、权限管理、维护、清除和资源备份恢复功能，提供功能资源的增、删、改、查和锁定等基本操作；</w:t>
            </w:r>
            <w:r>
              <w:rPr>
                <w:rFonts w:hint="eastAsia" w:ascii="宋体" w:hAnsi="宋体"/>
                <w:bCs/>
                <w:szCs w:val="21"/>
                <w:lang w:eastAsia="zh-CN"/>
              </w:rPr>
              <w:t xml:space="preserve"> </w:t>
            </w:r>
          </w:p>
          <w:p>
            <w:pPr>
              <w:spacing w:line="360" w:lineRule="auto"/>
              <w:rPr>
                <w:rFonts w:hint="eastAsia" w:ascii="宋体" w:hAnsi="宋体" w:eastAsia="宋体" w:cs="宋体"/>
                <w:kern w:val="0"/>
                <w:szCs w:val="21"/>
                <w:lang w:eastAsia="zh-CN"/>
              </w:rPr>
            </w:pPr>
            <w:r>
              <w:rPr>
                <w:rFonts w:hint="eastAsia" w:ascii="宋体" w:hAnsi="宋体" w:cs="宋体"/>
                <w:kern w:val="0"/>
                <w:szCs w:val="21"/>
              </w:rPr>
              <w:t>可以进行资源目录的访问、导入、加载、导出和下载功能的操作；</w:t>
            </w:r>
            <w:r>
              <w:rPr>
                <w:rFonts w:hint="eastAsia" w:ascii="宋体" w:hAnsi="宋体"/>
                <w:bCs/>
                <w:szCs w:val="21"/>
                <w:lang w:eastAsia="zh-CN"/>
              </w:rPr>
              <w:t xml:space="preserve"> </w:t>
            </w:r>
          </w:p>
          <w:p>
            <w:pPr>
              <w:spacing w:line="360" w:lineRule="auto"/>
              <w:rPr>
                <w:rFonts w:hint="eastAsia" w:ascii="宋体" w:hAnsi="宋体" w:eastAsia="宋体" w:cs="宋体"/>
                <w:kern w:val="0"/>
                <w:szCs w:val="21"/>
                <w:lang w:eastAsia="zh-CN"/>
              </w:rPr>
            </w:pPr>
            <w:r>
              <w:rPr>
                <w:rFonts w:hint="eastAsia" w:ascii="宋体" w:hAnsi="宋体" w:cs="宋体"/>
                <w:kern w:val="0"/>
                <w:szCs w:val="21"/>
              </w:rPr>
              <w:t>通过建</w:t>
            </w:r>
            <w:r>
              <w:rPr>
                <w:rFonts w:hint="eastAsia" w:ascii="宋体" w:hAnsi="宋体"/>
                <w:bCs/>
                <w:szCs w:val="21"/>
              </w:rPr>
              <w:t>立操作日志，将操作步骤逐项地记录到操</w:t>
            </w:r>
            <w:r>
              <w:rPr>
                <w:rFonts w:hint="eastAsia" w:ascii="宋体" w:hAnsi="宋体" w:cs="宋体"/>
                <w:kern w:val="0"/>
                <w:szCs w:val="21"/>
              </w:rPr>
              <w:t>作日志中，通过日志管理，在发生误操作时可以方便的进行回退处理，而且也可以跟踪一些违规操作。</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3" w:type="dxa"/>
            <w:shd w:val="clear" w:color="auto" w:fill="auto"/>
            <w:vAlign w:val="center"/>
          </w:tcPr>
          <w:p>
            <w:pPr>
              <w:jc w:val="center"/>
              <w:rPr>
                <w:rFonts w:ascii="宋体" w:hAnsi="宋体"/>
                <w:bCs/>
                <w:szCs w:val="21"/>
              </w:rPr>
            </w:pPr>
            <w:r>
              <w:rPr>
                <w:rFonts w:hint="eastAsia" w:ascii="宋体" w:hAnsi="宋体" w:cs="宋体"/>
                <w:kern w:val="0"/>
                <w:szCs w:val="21"/>
              </w:rPr>
              <w:t>目录驱动</w:t>
            </w:r>
          </w:p>
        </w:tc>
        <w:tc>
          <w:tcPr>
            <w:tcW w:w="7171" w:type="dxa"/>
            <w:shd w:val="clear" w:color="auto" w:fill="auto"/>
            <w:vAlign w:val="center"/>
          </w:tcPr>
          <w:p>
            <w:pPr>
              <w:spacing w:line="360" w:lineRule="auto"/>
              <w:rPr>
                <w:rFonts w:hint="eastAsia" w:ascii="宋体" w:hAnsi="宋体" w:eastAsia="宋体" w:cs="宋体"/>
                <w:kern w:val="0"/>
                <w:szCs w:val="21"/>
                <w:lang w:eastAsia="zh-CN"/>
              </w:rPr>
            </w:pPr>
            <w:r>
              <w:rPr>
                <w:rFonts w:hint="eastAsia" w:ascii="宋体" w:hAnsi="宋体" w:cs="宋体"/>
                <w:kern w:val="0"/>
                <w:szCs w:val="21"/>
              </w:rPr>
              <w:t>以安全、可靠、便捷的方式，通过数据资源目录驱动数据交换，实现联动管理。</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3" w:type="dxa"/>
            <w:shd w:val="clear" w:color="auto" w:fill="auto"/>
            <w:vAlign w:val="center"/>
          </w:tcPr>
          <w:p>
            <w:pPr>
              <w:jc w:val="center"/>
              <w:rPr>
                <w:rFonts w:ascii="宋体" w:hAnsi="宋体"/>
                <w:bCs/>
                <w:szCs w:val="21"/>
              </w:rPr>
            </w:pPr>
            <w:r>
              <w:rPr>
                <w:rFonts w:hint="eastAsia" w:ascii="宋体" w:hAnsi="宋体"/>
                <w:bCs/>
                <w:szCs w:val="21"/>
              </w:rPr>
              <w:t>权限管理</w:t>
            </w:r>
          </w:p>
        </w:tc>
        <w:tc>
          <w:tcPr>
            <w:tcW w:w="7171" w:type="dxa"/>
            <w:shd w:val="clear" w:color="auto" w:fill="auto"/>
            <w:vAlign w:val="center"/>
          </w:tcPr>
          <w:p>
            <w:pPr>
              <w:spacing w:line="360" w:lineRule="auto"/>
              <w:rPr>
                <w:rFonts w:ascii="宋体" w:hAnsi="宋体"/>
                <w:bCs/>
                <w:szCs w:val="21"/>
              </w:rPr>
            </w:pPr>
            <w:r>
              <w:rPr>
                <w:rFonts w:hint="eastAsia" w:ascii="宋体" w:hAnsi="宋体"/>
                <w:bCs/>
                <w:szCs w:val="21"/>
              </w:rPr>
              <w:t>提供身份认证、多级权限控制、信息保密、保证数据完整性等一整套完善的安全体系功能，并兼容第三方用户体系。</w:t>
            </w:r>
          </w:p>
        </w:tc>
      </w:tr>
    </w:tbl>
    <w:p>
      <w:pPr>
        <w:pStyle w:val="2"/>
      </w:pPr>
    </w:p>
    <w:p>
      <w:pPr>
        <w:pStyle w:val="5"/>
      </w:pPr>
      <w:r>
        <w:rPr>
          <w:rFonts w:hint="eastAsia"/>
        </w:rPr>
        <w:t>5.2性能要求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资源目录管理平台需满足以下性能要求：</w:t>
      </w:r>
    </w:p>
    <w:tbl>
      <w:tblPr>
        <w:tblStyle w:val="20"/>
        <w:tblW w:w="8174" w:type="dxa"/>
        <w:tblInd w:w="113" w:type="dxa"/>
        <w:tblLayout w:type="fixed"/>
        <w:tblCellMar>
          <w:top w:w="0" w:type="dxa"/>
          <w:left w:w="108" w:type="dxa"/>
          <w:bottom w:w="0" w:type="dxa"/>
          <w:right w:w="108" w:type="dxa"/>
        </w:tblCellMar>
      </w:tblPr>
      <w:tblGrid>
        <w:gridCol w:w="1056"/>
        <w:gridCol w:w="7118"/>
      </w:tblGrid>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指标项</w:t>
            </w:r>
          </w:p>
        </w:tc>
        <w:tc>
          <w:tcPr>
            <w:tcW w:w="71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具体要求</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jc w:val="center"/>
              <w:rPr>
                <w:rFonts w:ascii="宋体" w:hAnsi="宋体"/>
                <w:b/>
                <w:szCs w:val="21"/>
              </w:rPr>
            </w:pPr>
            <w:r>
              <w:rPr>
                <w:rFonts w:hint="eastAsia" w:ascii="宋体" w:hAnsi="宋体"/>
                <w:bCs/>
                <w:szCs w:val="21"/>
              </w:rPr>
              <w:t>并发能力</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spacing w:line="288" w:lineRule="auto"/>
              <w:jc w:val="left"/>
              <w:rPr>
                <w:rFonts w:ascii="宋体" w:hAnsi="宋体"/>
                <w:bCs/>
                <w:szCs w:val="21"/>
              </w:rPr>
            </w:pPr>
            <w:r>
              <w:rPr>
                <w:rFonts w:hint="eastAsia" w:ascii="宋体" w:hAnsi="宋体"/>
                <w:bCs/>
                <w:szCs w:val="21"/>
              </w:rPr>
              <w:t>系统支持并发用户数大于100。</w:t>
            </w:r>
          </w:p>
          <w:p>
            <w:pPr>
              <w:widowControl/>
              <w:spacing w:line="288" w:lineRule="auto"/>
              <w:jc w:val="left"/>
              <w:rPr>
                <w:rFonts w:ascii="宋体" w:hAnsi="宋体"/>
                <w:b/>
                <w:szCs w:val="21"/>
              </w:rPr>
            </w:pPr>
            <w:r>
              <w:rPr>
                <w:rFonts w:hint="eastAsia" w:ascii="宋体" w:hAnsi="宋体"/>
                <w:bCs/>
                <w:szCs w:val="21"/>
              </w:rPr>
              <w:t>400条/每秒数据上传压力下，数据无堆积、不丢失。</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jc w:val="center"/>
              <w:rPr>
                <w:rFonts w:ascii="宋体" w:hAnsi="宋体"/>
                <w:bCs/>
                <w:szCs w:val="21"/>
              </w:rPr>
            </w:pPr>
            <w:r>
              <w:rPr>
                <w:rFonts w:hint="eastAsia" w:ascii="宋体" w:hAnsi="宋体"/>
                <w:bCs/>
                <w:szCs w:val="21"/>
              </w:rPr>
              <w:t>响应速度</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spacing w:line="288" w:lineRule="auto"/>
              <w:jc w:val="left"/>
            </w:pPr>
            <w:r>
              <w:rPr>
                <w:rFonts w:hint="eastAsia"/>
              </w:rPr>
              <w:t>支持高并发毫秒级数据插入/修改/查询/删除(CRUD)。</w:t>
            </w:r>
          </w:p>
          <w:p>
            <w:pPr>
              <w:pStyle w:val="2"/>
              <w:spacing w:line="288" w:lineRule="auto"/>
              <w:ind w:firstLine="0"/>
              <w:rPr>
                <w:rFonts w:ascii="宋体" w:hAnsi="宋体"/>
                <w:bCs/>
                <w:szCs w:val="21"/>
              </w:rPr>
            </w:pPr>
            <w:r>
              <w:rPr>
                <w:rFonts w:hint="eastAsia"/>
              </w:rPr>
              <w:t>在网络稳定的环境下操作性界面单一操作（400用户）的系统响应时间小于4秒，复杂操作（400用户）的系统响应时间小于6秒。</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jc w:val="center"/>
              <w:rPr>
                <w:rFonts w:ascii="宋体" w:hAnsi="宋体"/>
                <w:bCs/>
                <w:szCs w:val="21"/>
              </w:rPr>
            </w:pPr>
            <w:r>
              <w:rPr>
                <w:rFonts w:hint="eastAsia" w:ascii="宋体" w:hAnsi="宋体"/>
                <w:bCs/>
                <w:szCs w:val="21"/>
              </w:rPr>
              <w:t>兼容性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spacing w:line="288" w:lineRule="auto"/>
              <w:jc w:val="left"/>
              <w:rPr>
                <w:rFonts w:ascii="宋体" w:hAnsi="宋体"/>
                <w:bCs/>
                <w:szCs w:val="21"/>
              </w:rPr>
            </w:pPr>
            <w:r>
              <w:rPr>
                <w:rFonts w:hint="eastAsia" w:ascii="宋体" w:hAnsi="宋体"/>
                <w:bCs/>
                <w:szCs w:val="21"/>
              </w:rPr>
              <w:t>服务端软件可部署在包括centos 7 以上(64位)、redhat 7 以上(64位)、ubuntu 16 以上(64位)等多种不同的系统平台上。</w:t>
            </w:r>
          </w:p>
          <w:p>
            <w:pPr>
              <w:widowControl/>
              <w:spacing w:line="288" w:lineRule="auto"/>
              <w:jc w:val="left"/>
              <w:rPr>
                <w:rFonts w:ascii="宋体" w:hAnsi="宋体"/>
                <w:bCs/>
                <w:szCs w:val="21"/>
              </w:rPr>
            </w:pPr>
            <w:r>
              <w:rPr>
                <w:rFonts w:hint="eastAsia" w:ascii="宋体" w:hAnsi="宋体"/>
                <w:bCs/>
                <w:szCs w:val="21"/>
              </w:rPr>
              <w:t>支持主流的浏览器，包括Firefox、Google Chrome、360（极速）等。</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jc w:val="center"/>
              <w:rPr>
                <w:rFonts w:ascii="宋体" w:hAnsi="宋体"/>
                <w:bCs/>
                <w:szCs w:val="21"/>
              </w:rPr>
            </w:pPr>
            <w:r>
              <w:rPr>
                <w:rFonts w:hint="eastAsia" w:ascii="宋体" w:hAnsi="宋体"/>
                <w:bCs/>
                <w:szCs w:val="21"/>
              </w:rPr>
              <w:t>扩展性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spacing w:line="288" w:lineRule="auto"/>
              <w:jc w:val="left"/>
              <w:rPr>
                <w:rFonts w:ascii="宋体" w:hAnsi="宋体"/>
                <w:bCs/>
                <w:szCs w:val="21"/>
              </w:rPr>
            </w:pPr>
            <w:r>
              <w:rPr>
                <w:rFonts w:hint="eastAsia" w:ascii="宋体" w:hAnsi="宋体"/>
                <w:bCs/>
                <w:szCs w:val="21"/>
              </w:rPr>
              <w:t>系统易于管理，维护方便，能够快速地将数据转入系统，系统必须是构件化、面向对象的，可做到灵活扩展。</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jc w:val="center"/>
              <w:rPr>
                <w:rFonts w:ascii="宋体" w:hAnsi="宋体"/>
                <w:bCs/>
                <w:szCs w:val="21"/>
              </w:rPr>
            </w:pPr>
            <w:r>
              <w:rPr>
                <w:rFonts w:hint="eastAsia" w:ascii="宋体" w:hAnsi="宋体"/>
                <w:bCs/>
                <w:szCs w:val="21"/>
              </w:rPr>
              <w:t>开放性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spacing w:line="288" w:lineRule="auto"/>
              <w:jc w:val="left"/>
              <w:rPr>
                <w:rFonts w:ascii="宋体" w:hAnsi="宋体"/>
                <w:bCs/>
                <w:szCs w:val="21"/>
              </w:rPr>
            </w:pPr>
            <w:r>
              <w:rPr>
                <w:rFonts w:hint="eastAsia" w:ascii="宋体" w:hAnsi="宋体"/>
                <w:bCs/>
                <w:szCs w:val="21"/>
              </w:rPr>
              <w:t>分析平台支持丰富的SDK接口，可以实现单点登录、图表组件扩展、与Portal集成。支持与4A进行单点登录认证、支持CAS、Shiro认证。</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jc w:val="center"/>
              <w:rPr>
                <w:rFonts w:ascii="宋体" w:hAnsi="宋体"/>
                <w:bCs/>
                <w:szCs w:val="21"/>
              </w:rPr>
            </w:pPr>
            <w:r>
              <w:rPr>
                <w:rFonts w:hint="eastAsia" w:ascii="宋体" w:hAnsi="宋体"/>
                <w:bCs/>
                <w:szCs w:val="21"/>
              </w:rPr>
              <w:t>可用性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spacing w:line="288" w:lineRule="auto"/>
              <w:jc w:val="left"/>
              <w:rPr>
                <w:rFonts w:ascii="宋体" w:hAnsi="宋体"/>
                <w:bCs/>
                <w:szCs w:val="21"/>
              </w:rPr>
            </w:pPr>
            <w:r>
              <w:rPr>
                <w:rFonts w:hint="eastAsia" w:ascii="宋体" w:hAnsi="宋体"/>
                <w:bCs/>
                <w:szCs w:val="21"/>
              </w:rPr>
              <w:t>系统数据定时安全备份，防止系统故障和误操作，权限设置合理，有完善的灾难应急功能和恢复能力，系统应提供7×24小时的连续运行，平均故障修复时间小于1小时。</w:t>
            </w:r>
          </w:p>
        </w:tc>
      </w:tr>
      <w:tr>
        <w:tblPrEx>
          <w:tblCellMar>
            <w:top w:w="0" w:type="dxa"/>
            <w:left w:w="108" w:type="dxa"/>
            <w:bottom w:w="0" w:type="dxa"/>
            <w:right w:w="108" w:type="dxa"/>
          </w:tblCellMar>
        </w:tblPrEx>
        <w:trPr>
          <w:trHeight w:val="674"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8" w:lineRule="auto"/>
              <w:jc w:val="center"/>
              <w:rPr>
                <w:rFonts w:ascii="宋体" w:hAnsi="宋体"/>
                <w:bCs/>
                <w:szCs w:val="21"/>
              </w:rPr>
            </w:pPr>
            <w:r>
              <w:rPr>
                <w:rFonts w:hint="eastAsia" w:ascii="宋体" w:hAnsi="宋体"/>
                <w:bCs/>
                <w:szCs w:val="21"/>
              </w:rPr>
              <w:t>维护性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spacing w:line="288" w:lineRule="auto"/>
              <w:jc w:val="left"/>
              <w:rPr>
                <w:rFonts w:ascii="宋体" w:hAnsi="宋体"/>
                <w:bCs/>
                <w:szCs w:val="21"/>
              </w:rPr>
            </w:pPr>
            <w:r>
              <w:rPr>
                <w:rFonts w:hint="eastAsia" w:ascii="宋体" w:hAnsi="宋体"/>
                <w:bCs/>
                <w:szCs w:val="21"/>
              </w:rPr>
              <w:t>整个系统平均年故障时间控制在8小时以内，即可用性达到99.9%，操作平均响应时间不超过4秒。</w:t>
            </w:r>
          </w:p>
        </w:tc>
      </w:tr>
    </w:tbl>
    <w:p>
      <w:pPr>
        <w:pStyle w:val="2"/>
        <w:ind w:firstLine="0"/>
      </w:pP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6、数据共享平台</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依托数据共享平台，在政务外网环境，为我市各级政府和部门提供数据共享服务。</w:t>
      </w:r>
    </w:p>
    <w:p>
      <w:pPr>
        <w:pStyle w:val="5"/>
      </w:pPr>
      <w:r>
        <w:rPr>
          <w:rFonts w:hint="eastAsia"/>
        </w:rPr>
        <w:t>6.1功能要求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数据共享平台需提供以下功能：</w:t>
      </w:r>
    </w:p>
    <w:tbl>
      <w:tblPr>
        <w:tblStyle w:val="21"/>
        <w:tblW w:w="840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center"/>
            </w:pPr>
            <w:r>
              <w:rPr>
                <w:rFonts w:hint="eastAsia" w:ascii="宋体" w:hAnsi="宋体"/>
                <w:b/>
                <w:szCs w:val="21"/>
              </w:rPr>
              <w:t>指标项</w:t>
            </w:r>
          </w:p>
        </w:tc>
        <w:tc>
          <w:tcPr>
            <w:tcW w:w="7126" w:type="dxa"/>
            <w:vAlign w:val="center"/>
          </w:tcPr>
          <w:p>
            <w:pPr>
              <w:spacing w:line="360" w:lineRule="auto"/>
              <w:jc w:val="center"/>
            </w:pPr>
            <w:r>
              <w:rPr>
                <w:rFonts w:hint="eastAsia" w:ascii="宋体" w:hAnsi="宋体"/>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center"/>
            </w:pPr>
            <w:r>
              <w:rPr>
                <w:rFonts w:hint="eastAsia"/>
              </w:rPr>
              <w:t>接口监控</w:t>
            </w:r>
          </w:p>
        </w:tc>
        <w:tc>
          <w:tcPr>
            <w:tcW w:w="7126" w:type="dxa"/>
          </w:tcPr>
          <w:p>
            <w:pPr>
              <w:spacing w:line="360" w:lineRule="auto"/>
              <w:rPr>
                <w:rFonts w:hint="eastAsia" w:ascii="宋体" w:hAnsi="宋体" w:eastAsia="宋体" w:cs="宋体"/>
                <w:kern w:val="0"/>
                <w:szCs w:val="21"/>
                <w:lang w:eastAsia="zh-CN"/>
              </w:rPr>
            </w:pPr>
            <w:r>
              <w:rPr>
                <w:rFonts w:hint="eastAsia" w:ascii="宋体" w:hAnsi="宋体" w:cs="宋体"/>
                <w:kern w:val="0"/>
                <w:szCs w:val="21"/>
              </w:rPr>
              <w:t>可监控接口运行情况，运行流量，运行阀值与瓶颈等信息；</w:t>
            </w:r>
            <w:r>
              <w:rPr>
                <w:rFonts w:hint="eastAsia" w:ascii="宋体" w:hAnsi="宋体"/>
                <w:bCs/>
                <w:szCs w:val="21"/>
                <w:lang w:eastAsia="zh-CN"/>
              </w:rPr>
              <w:t xml:space="preserve"> </w:t>
            </w:r>
          </w:p>
          <w:p>
            <w:pPr>
              <w:spacing w:line="360" w:lineRule="auto"/>
              <w:rPr>
                <w:rFonts w:ascii="宋体" w:hAnsi="宋体" w:cs="宋体"/>
                <w:kern w:val="0"/>
                <w:szCs w:val="21"/>
              </w:rPr>
            </w:pPr>
            <w:r>
              <w:rPr>
                <w:rFonts w:hint="eastAsia" w:ascii="宋体" w:hAnsi="宋体" w:cs="宋体"/>
                <w:kern w:val="0"/>
                <w:szCs w:val="21"/>
              </w:rPr>
              <w:t>接口无法正常运行时，能够通过短信、钉钉等不同的通讯方式及时预警，并通过界面化展示接口故障位置；</w:t>
            </w:r>
          </w:p>
          <w:p>
            <w:pPr>
              <w:spacing w:line="360" w:lineRule="auto"/>
              <w:rPr>
                <w:rFonts w:hint="eastAsia" w:ascii="宋体" w:hAnsi="宋体" w:eastAsia="宋体" w:cs="宋体"/>
                <w:kern w:val="0"/>
                <w:szCs w:val="21"/>
                <w:lang w:eastAsia="zh-CN"/>
              </w:rPr>
            </w:pPr>
            <w:r>
              <w:rPr>
                <w:rFonts w:hint="eastAsia" w:ascii="宋体" w:hAnsi="宋体" w:cs="宋体"/>
                <w:kern w:val="0"/>
                <w:szCs w:val="21"/>
              </w:rPr>
              <w:t>同时对于省级封装接口及时监控接口使用状态、接口参数，管控封装至市级平台上的接口是否对应一致操作。</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center"/>
            </w:pPr>
            <w:r>
              <w:t>接口下载</w:t>
            </w:r>
          </w:p>
        </w:tc>
        <w:tc>
          <w:tcPr>
            <w:tcW w:w="7126" w:type="dxa"/>
          </w:tcPr>
          <w:p>
            <w:pPr>
              <w:spacing w:line="360" w:lineRule="auto"/>
              <w:rPr>
                <w:rFonts w:hint="eastAsia" w:eastAsia="宋体"/>
                <w:lang w:eastAsia="zh-CN"/>
              </w:rPr>
            </w:pPr>
            <w:r>
              <w:rPr>
                <w:rFonts w:hint="eastAsia" w:ascii="宋体" w:hAnsi="宋体" w:cs="宋体"/>
                <w:kern w:val="0"/>
                <w:szCs w:val="21"/>
              </w:rPr>
              <w:t>负责</w:t>
            </w:r>
            <w:r>
              <w:rPr>
                <w:rFonts w:ascii="宋体" w:hAnsi="宋体" w:cs="宋体"/>
                <w:kern w:val="0"/>
                <w:szCs w:val="21"/>
              </w:rPr>
              <w:t>将省公共数据平台与本地接口共享平台打通，将省级统一接口按照市级使用标准进行封装</w:t>
            </w:r>
            <w:r>
              <w:rPr>
                <w:rFonts w:hint="eastAsia" w:ascii="宋体" w:hAnsi="宋体" w:cs="宋体"/>
                <w:kern w:val="0"/>
                <w:szCs w:val="21"/>
              </w:rPr>
              <w:t>、</w:t>
            </w:r>
            <w:r>
              <w:rPr>
                <w:rFonts w:ascii="宋体" w:hAnsi="宋体" w:cs="宋体"/>
                <w:kern w:val="0"/>
                <w:szCs w:val="21"/>
              </w:rPr>
              <w:t>一键下载，便于市级各部门及时使用。</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vAlign w:val="center"/>
          </w:tcPr>
          <w:p>
            <w:pPr>
              <w:spacing w:line="360" w:lineRule="auto"/>
              <w:jc w:val="center"/>
            </w:pPr>
            <w:r>
              <w:t>接口逻辑</w:t>
            </w:r>
          </w:p>
        </w:tc>
        <w:tc>
          <w:tcPr>
            <w:tcW w:w="7126" w:type="dxa"/>
          </w:tcPr>
          <w:p>
            <w:pPr>
              <w:spacing w:line="360" w:lineRule="auto"/>
            </w:pPr>
            <w:r>
              <w:rPr>
                <w:rFonts w:ascii="宋体" w:hAnsi="宋体" w:cs="宋体"/>
                <w:kern w:val="0"/>
                <w:szCs w:val="21"/>
              </w:rPr>
              <w:t>随着省共享平台接口数量的不断增加，需要从实际应用场景出发，完善接口逻辑与接口描述，制定一套完整的接口规范，保障后续提供的接口</w:t>
            </w:r>
            <w:r>
              <w:rPr>
                <w:rFonts w:hint="eastAsia" w:ascii="宋体" w:hAnsi="宋体" w:cs="宋体"/>
                <w:kern w:val="0"/>
                <w:szCs w:val="21"/>
              </w:rPr>
              <w:t>服务</w:t>
            </w:r>
            <w:r>
              <w:rPr>
                <w:rFonts w:ascii="宋体" w:hAnsi="宋体" w:cs="宋体"/>
                <w:kern w:val="0"/>
                <w:szCs w:val="21"/>
              </w:rPr>
              <w:t>更加优质。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center"/>
            </w:pPr>
            <w:r>
              <w:t>共享配置</w:t>
            </w:r>
          </w:p>
        </w:tc>
        <w:tc>
          <w:tcPr>
            <w:tcW w:w="7126" w:type="dxa"/>
          </w:tcPr>
          <w:p>
            <w:pPr>
              <w:spacing w:line="360" w:lineRule="auto"/>
              <w:rPr>
                <w:rFonts w:hint="eastAsia" w:eastAsia="宋体"/>
                <w:lang w:eastAsia="zh-CN"/>
              </w:rPr>
            </w:pPr>
            <w:r>
              <w:rPr>
                <w:rFonts w:ascii="宋体" w:hAnsi="宋体" w:cs="宋体"/>
                <w:kern w:val="0"/>
                <w:szCs w:val="21"/>
              </w:rPr>
              <w:t>需要提供基于多表、多个现有服务接口来配置化生成复杂新接口服务的便捷工具，提高</w:t>
            </w:r>
            <w:r>
              <w:rPr>
                <w:rFonts w:hint="eastAsia" w:ascii="宋体" w:hAnsi="宋体" w:cs="宋体"/>
                <w:kern w:val="0"/>
                <w:szCs w:val="21"/>
              </w:rPr>
              <w:t>接口</w:t>
            </w:r>
            <w:r>
              <w:rPr>
                <w:rFonts w:ascii="宋体" w:hAnsi="宋体" w:cs="宋体"/>
                <w:kern w:val="0"/>
                <w:szCs w:val="21"/>
              </w:rPr>
              <w:t>开发效率。</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center"/>
            </w:pPr>
            <w:r>
              <w:rPr>
                <w:rFonts w:hint="eastAsia"/>
                <w:szCs w:val="21"/>
              </w:rPr>
              <w:t>目录组织</w:t>
            </w:r>
          </w:p>
        </w:tc>
        <w:tc>
          <w:tcPr>
            <w:tcW w:w="7126" w:type="dxa"/>
          </w:tcPr>
          <w:p>
            <w:pPr>
              <w:spacing w:line="360" w:lineRule="auto"/>
            </w:pPr>
            <w:r>
              <w:t>建立整个台州市可共享资源进行集中的有序组织，以方便用户资源查找、数据检索和平台</w:t>
            </w:r>
            <w:r>
              <w:rPr>
                <w:rFonts w:hint="eastAsia"/>
              </w:rPr>
              <w:t>及</w:t>
            </w:r>
            <w:r>
              <w:t>数据资源访问</w:t>
            </w:r>
            <w:r>
              <w:rPr>
                <w:rFonts w:hint="eastAsia"/>
              </w:rPr>
              <w:t>；</w:t>
            </w:r>
          </w:p>
          <w:p>
            <w:pPr>
              <w:spacing w:line="360" w:lineRule="auto"/>
            </w:pPr>
            <w:r>
              <w:rPr>
                <w:rFonts w:hint="eastAsia"/>
              </w:rPr>
              <w:t>提供</w:t>
            </w:r>
            <w:r>
              <w:t>集中管理和监控</w:t>
            </w:r>
            <w:r>
              <w:rPr>
                <w:rFonts w:hint="eastAsia"/>
              </w:rPr>
              <w:t>界面</w:t>
            </w:r>
            <w:r>
              <w:t>，对资源信息进行集中展现。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center"/>
            </w:pPr>
            <w:r>
              <w:rPr>
                <w:rFonts w:hint="eastAsia" w:ascii="宋体" w:hAnsi="宋体" w:cs="宋体"/>
                <w:kern w:val="0"/>
                <w:szCs w:val="21"/>
              </w:rPr>
              <w:t>接口发布</w:t>
            </w:r>
          </w:p>
        </w:tc>
        <w:tc>
          <w:tcPr>
            <w:tcW w:w="7126" w:type="dxa"/>
          </w:tcPr>
          <w:p>
            <w:pPr>
              <w:spacing w:line="360" w:lineRule="auto"/>
              <w:rPr>
                <w:rFonts w:hint="eastAsia" w:eastAsia="宋体"/>
                <w:lang w:eastAsia="zh-CN"/>
              </w:rPr>
            </w:pPr>
            <w:r>
              <w:rPr>
                <w:rFonts w:hint="eastAsia" w:ascii="宋体" w:hAnsi="宋体" w:cs="宋体"/>
                <w:kern w:val="0"/>
                <w:szCs w:val="21"/>
              </w:rPr>
              <w:t>支持共享数据API接口一键生成和发布。</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vAlign w:val="center"/>
          </w:tcPr>
          <w:p>
            <w:pPr>
              <w:spacing w:line="360" w:lineRule="auto"/>
              <w:jc w:val="center"/>
              <w:rPr>
                <w:rFonts w:ascii="宋体" w:hAnsi="宋体" w:cs="宋体"/>
                <w:kern w:val="0"/>
                <w:szCs w:val="21"/>
              </w:rPr>
            </w:pPr>
            <w:r>
              <w:rPr>
                <w:szCs w:val="21"/>
              </w:rPr>
              <w:t>数据</w:t>
            </w:r>
            <w:r>
              <w:rPr>
                <w:rFonts w:hint="eastAsia"/>
                <w:szCs w:val="21"/>
              </w:rPr>
              <w:t>反馈</w:t>
            </w:r>
          </w:p>
        </w:tc>
        <w:tc>
          <w:tcPr>
            <w:tcW w:w="7126" w:type="dxa"/>
          </w:tcPr>
          <w:p>
            <w:pPr>
              <w:spacing w:line="360" w:lineRule="auto"/>
              <w:rPr>
                <w:rFonts w:hint="eastAsia" w:ascii="宋体" w:hAnsi="宋体" w:eastAsia="宋体" w:cs="宋体"/>
                <w:kern w:val="0"/>
                <w:szCs w:val="21"/>
                <w:lang w:eastAsia="zh-CN"/>
              </w:rPr>
            </w:pPr>
            <w:r>
              <w:rPr>
                <w:rFonts w:hint="eastAsia" w:ascii="宋体" w:hAnsi="宋体" w:cs="宋体"/>
                <w:kern w:val="0"/>
                <w:szCs w:val="21"/>
              </w:rPr>
              <w:t>由各个数据使用系统（部门）发现问题，并通过本平台提供的问题数据反馈接口反馈问题，由管理人员鉴别审核，通过判断分发问题数据的数源部门进行数据纠错，后由数源部门更新数据后，将问题反馈处置结果推送到发布接口，由问题发现源头获取发布的接口通知发现人。</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center"/>
              <w:rPr>
                <w:szCs w:val="21"/>
              </w:rPr>
            </w:pPr>
            <w:r>
              <w:rPr>
                <w:rFonts w:hint="eastAsia" w:ascii="宋体" w:hAnsi="宋体"/>
                <w:bCs/>
                <w:szCs w:val="21"/>
              </w:rPr>
              <w:t>权限管理</w:t>
            </w:r>
          </w:p>
        </w:tc>
        <w:tc>
          <w:tcPr>
            <w:tcW w:w="7126" w:type="dxa"/>
            <w:vAlign w:val="center"/>
          </w:tcPr>
          <w:p>
            <w:pPr>
              <w:spacing w:line="360" w:lineRule="auto"/>
              <w:rPr>
                <w:rFonts w:ascii="宋体" w:hAnsi="宋体" w:cs="宋体"/>
                <w:kern w:val="0"/>
                <w:szCs w:val="21"/>
              </w:rPr>
            </w:pPr>
            <w:r>
              <w:rPr>
                <w:rFonts w:hint="eastAsia" w:ascii="宋体" w:hAnsi="宋体"/>
                <w:bCs/>
                <w:szCs w:val="21"/>
              </w:rPr>
              <w:t>提供身份认证、多级权限控制、信息保密、保证数据完整性等一整套完善的安全体系功能，并兼容第三方用户体系。</w:t>
            </w:r>
          </w:p>
        </w:tc>
      </w:tr>
    </w:tbl>
    <w:p/>
    <w:p>
      <w:pPr>
        <w:pStyle w:val="5"/>
      </w:pPr>
      <w:r>
        <w:rPr>
          <w:rFonts w:hint="eastAsia"/>
        </w:rPr>
        <w:t>6.2性能要求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数据共享平台需满足以下性能要求：</w:t>
      </w:r>
    </w:p>
    <w:tbl>
      <w:tblPr>
        <w:tblStyle w:val="20"/>
        <w:tblW w:w="8174" w:type="dxa"/>
        <w:tblInd w:w="113" w:type="dxa"/>
        <w:tblLayout w:type="fixed"/>
        <w:tblCellMar>
          <w:top w:w="0" w:type="dxa"/>
          <w:left w:w="108" w:type="dxa"/>
          <w:bottom w:w="0" w:type="dxa"/>
          <w:right w:w="108" w:type="dxa"/>
        </w:tblCellMar>
      </w:tblPr>
      <w:tblGrid>
        <w:gridCol w:w="1056"/>
        <w:gridCol w:w="7118"/>
      </w:tblGrid>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指标项</w:t>
            </w:r>
          </w:p>
        </w:tc>
        <w:tc>
          <w:tcPr>
            <w:tcW w:w="71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具体要求</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szCs w:val="21"/>
              </w:rPr>
            </w:pPr>
            <w:r>
              <w:rPr>
                <w:rFonts w:hint="eastAsia" w:ascii="宋体" w:hAnsi="宋体"/>
                <w:bCs/>
                <w:szCs w:val="21"/>
              </w:rPr>
              <w:t>分布式存储</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支持存储空间横向扩容。</w:t>
            </w:r>
          </w:p>
          <w:p>
            <w:pPr>
              <w:widowControl/>
              <w:jc w:val="left"/>
              <w:rPr>
                <w:rFonts w:ascii="宋体" w:hAnsi="宋体"/>
                <w:bCs/>
                <w:szCs w:val="21"/>
              </w:rPr>
            </w:pPr>
            <w:r>
              <w:rPr>
                <w:rFonts w:hint="eastAsia" w:ascii="宋体" w:hAnsi="宋体"/>
                <w:bCs/>
                <w:szCs w:val="21"/>
              </w:rPr>
              <w:t>支持PB级数据存储。</w:t>
            </w:r>
          </w:p>
          <w:p>
            <w:pPr>
              <w:widowControl/>
              <w:jc w:val="left"/>
              <w:rPr>
                <w:rFonts w:ascii="宋体" w:hAnsi="宋体"/>
                <w:b/>
                <w:szCs w:val="21"/>
              </w:rPr>
            </w:pPr>
            <w:r>
              <w:rPr>
                <w:rFonts w:hint="eastAsia" w:ascii="宋体" w:hAnsi="宋体"/>
                <w:bCs/>
                <w:szCs w:val="21"/>
              </w:rPr>
              <w:t>支持TB级索引存储。</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大数据处理能力</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大数据计算资源按需动态扩展，原有应用不受影响。具备高扩展性，增加物理节点时，原有应用不受影响，平滑扩容，数据快速重分布。集群性能与节点数量应呈线性关系。节点扩展时正在进行的作业不会异常中断，新作业提交正常。</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并发能力</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集群</w:t>
            </w:r>
            <w:r>
              <w:rPr>
                <w:rFonts w:ascii="宋体" w:hAnsi="宋体"/>
                <w:bCs/>
                <w:szCs w:val="21"/>
              </w:rPr>
              <w:t>部署</w:t>
            </w:r>
            <w:r>
              <w:rPr>
                <w:rFonts w:hint="eastAsia" w:ascii="宋体" w:hAnsi="宋体"/>
                <w:bCs/>
                <w:szCs w:val="21"/>
              </w:rPr>
              <w:t>要求为</w:t>
            </w:r>
            <w:r>
              <w:rPr>
                <w:rFonts w:ascii="宋体" w:hAnsi="宋体"/>
                <w:bCs/>
                <w:szCs w:val="21"/>
              </w:rPr>
              <w:t>每个共享平台的</w:t>
            </w:r>
            <w:r>
              <w:rPr>
                <w:rFonts w:hint="eastAsia" w:ascii="宋体" w:hAnsi="宋体"/>
                <w:bCs/>
                <w:szCs w:val="21"/>
              </w:rPr>
              <w:t>服务器</w:t>
            </w:r>
            <w:r>
              <w:rPr>
                <w:rFonts w:ascii="宋体" w:hAnsi="宋体"/>
                <w:bCs/>
                <w:szCs w:val="21"/>
              </w:rPr>
              <w:t>都应</w:t>
            </w:r>
            <w:r>
              <w:rPr>
                <w:rFonts w:hint="eastAsia" w:ascii="宋体" w:hAnsi="宋体"/>
                <w:bCs/>
                <w:szCs w:val="21"/>
              </w:rPr>
              <w:t>挂载</w:t>
            </w:r>
            <w:r>
              <w:rPr>
                <w:rFonts w:ascii="宋体" w:hAnsi="宋体"/>
                <w:bCs/>
                <w:szCs w:val="21"/>
              </w:rPr>
              <w:t>至</w:t>
            </w:r>
            <w:r>
              <w:rPr>
                <w:rFonts w:hint="eastAsia" w:ascii="宋体" w:hAnsi="宋体"/>
                <w:bCs/>
                <w:szCs w:val="21"/>
              </w:rPr>
              <w:t>负载</w:t>
            </w:r>
            <w:r>
              <w:rPr>
                <w:rFonts w:ascii="宋体" w:hAnsi="宋体"/>
                <w:bCs/>
                <w:szCs w:val="21"/>
              </w:rPr>
              <w:t>均衡</w:t>
            </w:r>
            <w:r>
              <w:rPr>
                <w:rFonts w:hint="eastAsia" w:ascii="宋体" w:hAnsi="宋体"/>
                <w:bCs/>
                <w:szCs w:val="21"/>
              </w:rPr>
              <w:t>服务</w:t>
            </w:r>
            <w:r>
              <w:rPr>
                <w:rFonts w:ascii="宋体" w:hAnsi="宋体"/>
                <w:bCs/>
                <w:szCs w:val="21"/>
              </w:rPr>
              <w:t>器</w:t>
            </w:r>
            <w:r>
              <w:rPr>
                <w:rFonts w:hint="eastAsia" w:ascii="宋体" w:hAnsi="宋体"/>
                <w:bCs/>
                <w:szCs w:val="21"/>
              </w:rPr>
              <w:t>上，调用方通过负载均衡的SLB来访问共享平台，共享平台起码部署2个虚拟机以实现</w:t>
            </w:r>
            <w:r>
              <w:rPr>
                <w:rFonts w:ascii="宋体" w:hAnsi="宋体"/>
                <w:bCs/>
                <w:szCs w:val="21"/>
              </w:rPr>
              <w:t>最小化部署</w:t>
            </w:r>
            <w:r>
              <w:rPr>
                <w:rFonts w:hint="eastAsia" w:ascii="宋体" w:hAnsi="宋体"/>
                <w:bCs/>
                <w:szCs w:val="21"/>
              </w:rPr>
              <w:t>。其中</w:t>
            </w:r>
            <w:r>
              <w:rPr>
                <w:rFonts w:ascii="宋体" w:hAnsi="宋体"/>
                <w:bCs/>
                <w:szCs w:val="21"/>
              </w:rPr>
              <w:t>响应</w:t>
            </w:r>
            <w:r>
              <w:rPr>
                <w:rFonts w:hint="eastAsia" w:ascii="宋体" w:hAnsi="宋体"/>
                <w:bCs/>
                <w:szCs w:val="21"/>
              </w:rPr>
              <w:t>效率为</w:t>
            </w:r>
            <w:r>
              <w:rPr>
                <w:rFonts w:ascii="宋体" w:hAnsi="宋体"/>
                <w:bCs/>
                <w:szCs w:val="21"/>
              </w:rPr>
              <w:t>全链路调用不得</w:t>
            </w:r>
            <w:r>
              <w:rPr>
                <w:rFonts w:hint="eastAsia" w:ascii="宋体" w:hAnsi="宋体"/>
                <w:bCs/>
                <w:szCs w:val="21"/>
              </w:rPr>
              <w:t>超出3秒</w:t>
            </w:r>
            <w:r>
              <w:rPr>
                <w:rFonts w:ascii="宋体" w:hAnsi="宋体"/>
                <w:bCs/>
                <w:szCs w:val="21"/>
              </w:rPr>
              <w:t>，</w:t>
            </w:r>
            <w:r>
              <w:rPr>
                <w:rFonts w:hint="eastAsia" w:ascii="宋体" w:hAnsi="宋体"/>
                <w:bCs/>
                <w:szCs w:val="21"/>
              </w:rPr>
              <w:t>即发起调用到收到结果</w:t>
            </w:r>
            <w:r>
              <w:rPr>
                <w:rFonts w:ascii="宋体" w:hAnsi="宋体"/>
                <w:bCs/>
                <w:szCs w:val="21"/>
              </w:rPr>
              <w:t>总时长不得超出</w:t>
            </w:r>
            <w:r>
              <w:rPr>
                <w:rFonts w:hint="eastAsia" w:ascii="宋体" w:hAnsi="宋体"/>
                <w:bCs/>
                <w:szCs w:val="21"/>
              </w:rPr>
              <w:t>3秒</w:t>
            </w:r>
            <w:r>
              <w:rPr>
                <w:rFonts w:ascii="宋体" w:hAnsi="宋体"/>
                <w:bCs/>
                <w:szCs w:val="21"/>
              </w:rPr>
              <w:t>。</w:t>
            </w:r>
            <w:r>
              <w:rPr>
                <w:rFonts w:hint="eastAsia" w:ascii="宋体" w:hAnsi="宋体"/>
                <w:bCs/>
                <w:szCs w:val="21"/>
              </w:rPr>
              <w:t>容量水位为</w:t>
            </w:r>
            <w:r>
              <w:rPr>
                <w:rFonts w:ascii="宋体" w:hAnsi="宋体"/>
                <w:bCs/>
                <w:szCs w:val="21"/>
              </w:rPr>
              <w:t>共享平台</w:t>
            </w:r>
            <w:r>
              <w:rPr>
                <w:rFonts w:hint="eastAsia" w:ascii="宋体" w:hAnsi="宋体"/>
                <w:bCs/>
                <w:szCs w:val="21"/>
              </w:rPr>
              <w:t xml:space="preserve">可支撑QPS </w:t>
            </w:r>
            <w:r>
              <w:rPr>
                <w:rFonts w:ascii="宋体" w:hAnsi="宋体"/>
                <w:bCs/>
                <w:szCs w:val="21"/>
              </w:rPr>
              <w:t>5</w:t>
            </w:r>
            <w:r>
              <w:rPr>
                <w:rFonts w:hint="eastAsia" w:ascii="宋体" w:hAnsi="宋体"/>
                <w:bCs/>
                <w:szCs w:val="21"/>
              </w:rPr>
              <w:t>00</w:t>
            </w:r>
            <w:r>
              <w:rPr>
                <w:rFonts w:ascii="宋体" w:hAnsi="宋体"/>
                <w:bCs/>
                <w:szCs w:val="21"/>
              </w:rPr>
              <w:t>。</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响应速度</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支持高并发毫秒级数据插入/修改/查询/删除(CRUD)。</w:t>
            </w:r>
          </w:p>
          <w:p>
            <w:pPr>
              <w:widowControl/>
              <w:jc w:val="left"/>
              <w:rPr>
                <w:rFonts w:ascii="宋体" w:hAnsi="宋体"/>
                <w:bCs/>
                <w:szCs w:val="21"/>
              </w:rPr>
            </w:pPr>
            <w:r>
              <w:rPr>
                <w:rFonts w:hint="eastAsia" w:ascii="宋体" w:hAnsi="宋体"/>
                <w:bCs/>
                <w:szCs w:val="21"/>
              </w:rPr>
              <w:t>千万规模数据，单条数据按Key查询，响应时间&lt;3秒。</w:t>
            </w:r>
          </w:p>
          <w:p>
            <w:pPr>
              <w:widowControl/>
              <w:jc w:val="left"/>
              <w:rPr>
                <w:rFonts w:ascii="宋体" w:hAnsi="宋体"/>
                <w:bCs/>
                <w:szCs w:val="21"/>
              </w:rPr>
            </w:pPr>
            <w:r>
              <w:rPr>
                <w:rFonts w:hint="eastAsia" w:ascii="宋体" w:hAnsi="宋体"/>
                <w:bCs/>
                <w:szCs w:val="21"/>
              </w:rPr>
              <w:t>千万数据规模，进行分组查询和统计分析响应时间&lt;5s。</w:t>
            </w:r>
          </w:p>
          <w:p>
            <w:pPr>
              <w:widowControl/>
              <w:jc w:val="left"/>
              <w:rPr>
                <w:rFonts w:ascii="宋体" w:hAnsi="宋体"/>
                <w:bCs/>
                <w:szCs w:val="21"/>
              </w:rPr>
            </w:pPr>
            <w:r>
              <w:rPr>
                <w:rFonts w:hint="eastAsia" w:ascii="宋体" w:hAnsi="宋体"/>
                <w:bCs/>
                <w:szCs w:val="21"/>
              </w:rPr>
              <w:t>600条/每秒数据上传压力下，数据无堆积、不丢失。</w:t>
            </w:r>
          </w:p>
          <w:p>
            <w:pPr>
              <w:widowControl/>
              <w:jc w:val="left"/>
              <w:rPr>
                <w:rFonts w:ascii="宋体" w:hAnsi="宋体"/>
                <w:bCs/>
                <w:szCs w:val="21"/>
              </w:rPr>
            </w:pPr>
            <w:r>
              <w:rPr>
                <w:rFonts w:hint="eastAsia" w:ascii="宋体" w:hAnsi="宋体"/>
                <w:bCs/>
                <w:szCs w:val="21"/>
              </w:rPr>
              <w:t>大数据入库性能&gt;10000条/每秒，入库延迟一般不大于1秒。</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兼容性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服务端软件可部署在包括centos 7 以上(64位)、redhat 7 以上(64位)、ubuntu 16 以上(64位)等多种不同的系统平台上。</w:t>
            </w:r>
          </w:p>
          <w:p>
            <w:pPr>
              <w:widowControl/>
              <w:jc w:val="left"/>
              <w:rPr>
                <w:rFonts w:ascii="宋体" w:hAnsi="宋体"/>
                <w:bCs/>
                <w:szCs w:val="21"/>
              </w:rPr>
            </w:pPr>
            <w:r>
              <w:rPr>
                <w:rFonts w:hint="eastAsia" w:ascii="宋体" w:hAnsi="宋体"/>
                <w:bCs/>
                <w:szCs w:val="21"/>
              </w:rPr>
              <w:t>支持主流的浏览器，包括IE10、IE11、Firefox、Google Chrome等。</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扩展性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支持集群节点的扩展，具备高扩展性，增加物理节点时，原有应用不受影响，平滑扩容，数据快速重分布。集群性能与节点数量应呈线性关系。节点扩展时正在进行的作业不会异常中断，新作业提交正常。</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开放性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分析平台支持丰富的SDK接口，可以实现单点登录、图表组件扩展、与Portal集成。支持CAS、Shiro认证。</w:t>
            </w:r>
          </w:p>
          <w:p>
            <w:pPr>
              <w:widowControl/>
              <w:jc w:val="left"/>
              <w:rPr>
                <w:rFonts w:ascii="宋体" w:hAnsi="宋体"/>
                <w:bCs/>
                <w:szCs w:val="21"/>
              </w:rPr>
            </w:pPr>
            <w:r>
              <w:rPr>
                <w:rFonts w:hint="eastAsia" w:ascii="宋体" w:hAnsi="宋体"/>
                <w:bCs/>
                <w:szCs w:val="21"/>
              </w:rPr>
              <w:t>可以对接主流的大数据环境：MaxCompute(ODPS)、Cloudera Distribution Hadoop （CDH）、Apache Hadoop、Hive、Spark、Flink等。</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可用性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采用高可用的多节点的部署方式，保障在部分节点出现故障时系统能够正常运行。</w:t>
            </w:r>
          </w:p>
          <w:p>
            <w:pPr>
              <w:widowControl/>
              <w:jc w:val="left"/>
              <w:rPr>
                <w:rFonts w:ascii="宋体" w:hAnsi="宋体"/>
                <w:bCs/>
                <w:szCs w:val="21"/>
              </w:rPr>
            </w:pPr>
            <w:r>
              <w:rPr>
                <w:rFonts w:hint="eastAsia" w:ascii="宋体" w:hAnsi="宋体"/>
                <w:bCs/>
                <w:szCs w:val="21"/>
              </w:rPr>
              <w:t>可以保障7X24小时不间断运行，平台在采购质保期内进行免费的系统补丁及版本升级。</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维护性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系统故障恢复时间小于1小时，系统可用率必须超过99.9%。</w:t>
            </w:r>
          </w:p>
        </w:tc>
      </w:tr>
    </w:tbl>
    <w:p>
      <w:pPr>
        <w:pStyle w:val="2"/>
      </w:pP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7、数据开放平台</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依托省数据开放平台建设市级子平台，在互联网环境，为各单位或个人等提供多个领域、多个维度、多种格式的数据开放服务。</w:t>
      </w:r>
    </w:p>
    <w:p>
      <w:pPr>
        <w:pStyle w:val="5"/>
      </w:pPr>
      <w:r>
        <w:rPr>
          <w:rFonts w:hint="eastAsia"/>
        </w:rPr>
        <w:t>7.1功能要求</w:t>
      </w:r>
    </w:p>
    <w:p>
      <w:pPr>
        <w:widowControl/>
        <w:tabs>
          <w:tab w:val="left" w:pos="0"/>
        </w:tabs>
        <w:spacing w:line="360" w:lineRule="auto"/>
        <w:ind w:firstLine="480" w:firstLineChars="200"/>
      </w:pPr>
      <w:r>
        <w:rPr>
          <w:rFonts w:hint="eastAsia" w:asciiTheme="minorEastAsia" w:hAnsiTheme="minorEastAsia" w:eastAsiaTheme="minorEastAsia"/>
          <w:sz w:val="24"/>
        </w:rPr>
        <w:t>数据开放平台需提供以下功能：</w:t>
      </w:r>
    </w:p>
    <w:tbl>
      <w:tblPr>
        <w:tblStyle w:val="21"/>
        <w:tblW w:w="840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center"/>
            </w:pPr>
            <w:r>
              <w:rPr>
                <w:rFonts w:hint="eastAsia" w:ascii="宋体" w:hAnsi="宋体"/>
                <w:b/>
                <w:szCs w:val="21"/>
              </w:rPr>
              <w:t>指标项</w:t>
            </w:r>
          </w:p>
        </w:tc>
        <w:tc>
          <w:tcPr>
            <w:tcW w:w="7126" w:type="dxa"/>
            <w:vAlign w:val="center"/>
          </w:tcPr>
          <w:p>
            <w:pPr>
              <w:spacing w:line="360" w:lineRule="auto"/>
              <w:jc w:val="center"/>
            </w:pPr>
            <w:r>
              <w:rPr>
                <w:rFonts w:hint="eastAsia" w:ascii="宋体" w:hAnsi="宋体"/>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left"/>
              <w:rPr>
                <w:szCs w:val="21"/>
              </w:rPr>
            </w:pPr>
            <w:r>
              <w:rPr>
                <w:rFonts w:hint="eastAsia"/>
                <w:szCs w:val="21"/>
              </w:rPr>
              <w:t>开放门户</w:t>
            </w:r>
          </w:p>
        </w:tc>
        <w:tc>
          <w:tcPr>
            <w:tcW w:w="7126" w:type="dxa"/>
            <w:vAlign w:val="center"/>
          </w:tcPr>
          <w:p>
            <w:pPr>
              <w:spacing w:line="360" w:lineRule="auto"/>
              <w:jc w:val="left"/>
              <w:rPr>
                <w:rFonts w:hint="eastAsia" w:ascii="宋体" w:hAnsi="宋体" w:eastAsia="宋体" w:cs="宋体"/>
                <w:kern w:val="0"/>
                <w:szCs w:val="21"/>
                <w:lang w:eastAsia="zh-CN"/>
              </w:rPr>
            </w:pPr>
            <w:r>
              <w:rPr>
                <w:rFonts w:hint="eastAsia" w:ascii="宋体" w:hAnsi="宋体" w:cs="宋体"/>
                <w:kern w:val="0"/>
                <w:szCs w:val="21"/>
              </w:rPr>
              <w:t>包括</w:t>
            </w:r>
            <w:r>
              <w:rPr>
                <w:rFonts w:ascii="宋体" w:hAnsi="宋体" w:cs="宋体"/>
                <w:kern w:val="0"/>
                <w:szCs w:val="21"/>
              </w:rPr>
              <w:t>横幅图、操作引导、数据分类、数据推荐、政策动态</w:t>
            </w:r>
            <w:r>
              <w:rPr>
                <w:rFonts w:hint="eastAsia" w:ascii="宋体" w:hAnsi="宋体" w:cs="宋体"/>
                <w:kern w:val="0"/>
                <w:szCs w:val="21"/>
              </w:rPr>
              <w:t>、全局搜索</w:t>
            </w:r>
            <w:r>
              <w:rPr>
                <w:rFonts w:ascii="宋体" w:hAnsi="宋体" w:cs="宋体"/>
                <w:kern w:val="0"/>
                <w:szCs w:val="21"/>
              </w:rPr>
              <w:t>等模块。</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left"/>
              <w:rPr>
                <w:szCs w:val="21"/>
              </w:rPr>
            </w:pPr>
            <w:r>
              <w:rPr>
                <w:rFonts w:hint="eastAsia"/>
                <w:szCs w:val="21"/>
              </w:rPr>
              <w:t>开放数据</w:t>
            </w:r>
          </w:p>
        </w:tc>
        <w:tc>
          <w:tcPr>
            <w:tcW w:w="7126" w:type="dxa"/>
            <w:vAlign w:val="center"/>
          </w:tcPr>
          <w:p>
            <w:pPr>
              <w:spacing w:line="360" w:lineRule="auto"/>
              <w:jc w:val="left"/>
            </w:pPr>
            <w:r>
              <w:t>要求基于省公共数据开放目录，进一步梳理我市可开放的数据资源，增加我市特色开放数据，形成我市公共数据开放目录与数据集。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vAlign w:val="center"/>
          </w:tcPr>
          <w:p>
            <w:pPr>
              <w:spacing w:line="360" w:lineRule="auto"/>
              <w:jc w:val="left"/>
              <w:rPr>
                <w:szCs w:val="21"/>
              </w:rPr>
            </w:pPr>
            <w:r>
              <w:rPr>
                <w:rFonts w:hint="eastAsia"/>
                <w:szCs w:val="21"/>
              </w:rPr>
              <w:t>接口服务</w:t>
            </w:r>
          </w:p>
        </w:tc>
        <w:tc>
          <w:tcPr>
            <w:tcW w:w="7126" w:type="dxa"/>
            <w:vAlign w:val="center"/>
          </w:tcPr>
          <w:p>
            <w:pPr>
              <w:spacing w:line="360" w:lineRule="auto"/>
              <w:jc w:val="left"/>
              <w:rPr>
                <w:rFonts w:hint="eastAsia" w:eastAsia="宋体"/>
                <w:lang w:eastAsia="zh-CN"/>
              </w:rPr>
            </w:pPr>
            <w:r>
              <w:rPr>
                <w:rFonts w:hint="eastAsia" w:ascii="宋体" w:hAnsi="宋体"/>
                <w:szCs w:val="21"/>
              </w:rPr>
              <w:t>要求建设接口服务模块包括接口筛选、接口列表、接口详情、接口申请、接口收藏、接口纠错、接口评论等功能。</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left"/>
              <w:rPr>
                <w:szCs w:val="21"/>
              </w:rPr>
            </w:pPr>
            <w:r>
              <w:rPr>
                <w:rFonts w:hint="eastAsia"/>
                <w:szCs w:val="21"/>
              </w:rPr>
              <w:t>应用成果</w:t>
            </w:r>
          </w:p>
        </w:tc>
        <w:tc>
          <w:tcPr>
            <w:tcW w:w="7126" w:type="dxa"/>
            <w:vAlign w:val="center"/>
          </w:tcPr>
          <w:p>
            <w:pPr>
              <w:spacing w:line="360" w:lineRule="auto"/>
              <w:jc w:val="left"/>
              <w:rPr>
                <w:rFonts w:hint="eastAsia" w:eastAsia="宋体"/>
                <w:lang w:eastAsia="zh-CN"/>
              </w:rPr>
            </w:pPr>
            <w:r>
              <w:rPr>
                <w:rFonts w:hint="eastAsia" w:ascii="宋体" w:hAnsi="宋体"/>
                <w:szCs w:val="21"/>
              </w:rPr>
              <w:t>要求可以对应用成果进行应用列表与应用详细展现并可以对应用成果信息进行筛选、纠错、订阅、评论。</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left"/>
              <w:rPr>
                <w:szCs w:val="21"/>
              </w:rPr>
            </w:pPr>
            <w:r>
              <w:rPr>
                <w:rFonts w:hint="eastAsia"/>
                <w:szCs w:val="21"/>
              </w:rPr>
              <w:t>地图服务</w:t>
            </w:r>
          </w:p>
        </w:tc>
        <w:tc>
          <w:tcPr>
            <w:tcW w:w="7126" w:type="dxa"/>
            <w:vAlign w:val="center"/>
          </w:tcPr>
          <w:p>
            <w:pPr>
              <w:spacing w:line="360" w:lineRule="auto"/>
              <w:jc w:val="left"/>
            </w:pPr>
            <w:r>
              <w:rPr>
                <w:rFonts w:hint="eastAsia" w:ascii="宋体" w:hAnsi="宋体"/>
                <w:szCs w:val="21"/>
              </w:rPr>
              <w:t>要求对地图共享服务管理进行开发，要求可以按照地区名称搜索、名称搜索并提供导航功能。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left"/>
              <w:rPr>
                <w:szCs w:val="21"/>
              </w:rPr>
            </w:pPr>
            <w:r>
              <w:rPr>
                <w:rFonts w:hint="eastAsia"/>
                <w:szCs w:val="21"/>
              </w:rPr>
              <w:t>开发者中心</w:t>
            </w:r>
          </w:p>
        </w:tc>
        <w:tc>
          <w:tcPr>
            <w:tcW w:w="7126" w:type="dxa"/>
            <w:vAlign w:val="center"/>
          </w:tcPr>
          <w:p>
            <w:pPr>
              <w:spacing w:line="360" w:lineRule="auto"/>
              <w:jc w:val="left"/>
              <w:rPr>
                <w:rFonts w:hint="eastAsia" w:eastAsia="宋体"/>
                <w:lang w:eastAsia="zh-CN"/>
              </w:rPr>
            </w:pPr>
            <w:r>
              <w:rPr>
                <w:rFonts w:hint="eastAsia"/>
              </w:rPr>
              <w:t>包括</w:t>
            </w:r>
            <w:r>
              <w:t>数据资源入口、应用开发入口、应用推广入口。</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vAlign w:val="center"/>
          </w:tcPr>
          <w:p>
            <w:pPr>
              <w:spacing w:line="360" w:lineRule="auto"/>
              <w:jc w:val="left"/>
              <w:rPr>
                <w:szCs w:val="21"/>
              </w:rPr>
            </w:pPr>
            <w:r>
              <w:rPr>
                <w:rFonts w:hint="eastAsia"/>
                <w:szCs w:val="21"/>
              </w:rPr>
              <w:t>数据开放分析</w:t>
            </w:r>
          </w:p>
        </w:tc>
        <w:tc>
          <w:tcPr>
            <w:tcW w:w="7126" w:type="dxa"/>
            <w:vAlign w:val="center"/>
          </w:tcPr>
          <w:p>
            <w:pPr>
              <w:spacing w:line="360" w:lineRule="auto"/>
              <w:jc w:val="left"/>
              <w:rPr>
                <w:rFonts w:ascii="宋体" w:hAnsi="宋体"/>
                <w:szCs w:val="21"/>
              </w:rPr>
            </w:pPr>
            <w:r>
              <w:rPr>
                <w:rFonts w:hint="eastAsia" w:ascii="宋体" w:hAnsi="宋体"/>
                <w:szCs w:val="21"/>
              </w:rPr>
              <w:t>综合分析各部门的数据开放、下载情况，分析各区域的平台访问量、数据下载量。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left"/>
              <w:rPr>
                <w:szCs w:val="21"/>
              </w:rPr>
            </w:pPr>
            <w:r>
              <w:rPr>
                <w:rFonts w:hint="eastAsia"/>
                <w:szCs w:val="21"/>
              </w:rPr>
              <w:t>冷热度评价</w:t>
            </w:r>
          </w:p>
        </w:tc>
        <w:tc>
          <w:tcPr>
            <w:tcW w:w="7126" w:type="dxa"/>
            <w:vAlign w:val="center"/>
          </w:tcPr>
          <w:p>
            <w:pPr>
              <w:spacing w:line="360" w:lineRule="auto"/>
              <w:jc w:val="left"/>
              <w:rPr>
                <w:rFonts w:ascii="宋体" w:hAnsi="宋体"/>
                <w:szCs w:val="21"/>
              </w:rPr>
            </w:pPr>
            <w:r>
              <w:rPr>
                <w:rFonts w:hint="eastAsia" w:ascii="宋体" w:hAnsi="宋体"/>
                <w:szCs w:val="21"/>
              </w:rPr>
              <w:t>根据数据集的近期的搜索、预览、下载次数，对数据进行冷热度评价，并在首页展现热度较高的数据集。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left"/>
              <w:rPr>
                <w:szCs w:val="21"/>
              </w:rPr>
            </w:pPr>
            <w:r>
              <w:rPr>
                <w:rFonts w:hint="eastAsia"/>
                <w:szCs w:val="21"/>
              </w:rPr>
              <w:t>数据检索</w:t>
            </w:r>
          </w:p>
        </w:tc>
        <w:tc>
          <w:tcPr>
            <w:tcW w:w="7126" w:type="dxa"/>
            <w:vAlign w:val="center"/>
          </w:tcPr>
          <w:p>
            <w:pPr>
              <w:spacing w:line="360" w:lineRule="auto"/>
              <w:jc w:val="left"/>
              <w:rPr>
                <w:rFonts w:ascii="宋体" w:hAnsi="宋体"/>
                <w:szCs w:val="21"/>
              </w:rPr>
            </w:pPr>
            <w:r>
              <w:rPr>
                <w:rFonts w:hint="eastAsia" w:ascii="宋体" w:hAnsi="宋体"/>
                <w:szCs w:val="21"/>
              </w:rPr>
              <w:t>支持按照数据分类或部门分类，精确检索数据，支持全文模糊搜索。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jc w:val="left"/>
              <w:rPr>
                <w:szCs w:val="21"/>
              </w:rPr>
            </w:pPr>
            <w:r>
              <w:rPr>
                <w:rFonts w:hint="eastAsia"/>
                <w:szCs w:val="21"/>
              </w:rPr>
              <w:t>开放目录管理</w:t>
            </w:r>
          </w:p>
        </w:tc>
        <w:tc>
          <w:tcPr>
            <w:tcW w:w="7126" w:type="dxa"/>
            <w:vAlign w:val="center"/>
          </w:tcPr>
          <w:p>
            <w:pPr>
              <w:spacing w:line="360" w:lineRule="auto"/>
              <w:jc w:val="left"/>
              <w:rPr>
                <w:rFonts w:hint="eastAsia" w:ascii="宋体" w:hAnsi="宋体" w:eastAsia="宋体" w:cs="宋体"/>
                <w:kern w:val="0"/>
                <w:szCs w:val="21"/>
                <w:lang w:eastAsia="zh-CN"/>
              </w:rPr>
            </w:pPr>
            <w:r>
              <w:rPr>
                <w:rFonts w:hint="eastAsia" w:ascii="宋体" w:hAnsi="宋体"/>
                <w:szCs w:val="21"/>
              </w:rPr>
              <w:t>包括</w:t>
            </w:r>
            <w:r>
              <w:rPr>
                <w:rFonts w:hint="eastAsia" w:ascii="宋体" w:hAnsi="宋体" w:cs="宋体"/>
                <w:kern w:val="0"/>
                <w:szCs w:val="21"/>
              </w:rPr>
              <w:t>目录定义、数据目录创建、目录审批管理、数据目录修改、数据目录下线、数据目录删除、数据目录发布、目录授权等</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vAlign w:val="center"/>
          </w:tcPr>
          <w:p>
            <w:pPr>
              <w:spacing w:line="360" w:lineRule="auto"/>
              <w:jc w:val="left"/>
              <w:rPr>
                <w:szCs w:val="21"/>
              </w:rPr>
            </w:pPr>
            <w:r>
              <w:rPr>
                <w:rFonts w:hint="eastAsia"/>
                <w:szCs w:val="21"/>
              </w:rPr>
              <w:t>个人中心</w:t>
            </w:r>
          </w:p>
        </w:tc>
        <w:tc>
          <w:tcPr>
            <w:tcW w:w="7126" w:type="dxa"/>
            <w:vAlign w:val="center"/>
          </w:tcPr>
          <w:p>
            <w:pPr>
              <w:spacing w:line="360" w:lineRule="auto"/>
              <w:jc w:val="left"/>
              <w:rPr>
                <w:rFonts w:hint="eastAsia" w:ascii="宋体" w:hAnsi="宋体" w:eastAsia="宋体" w:cs="宋体"/>
                <w:kern w:val="0"/>
                <w:szCs w:val="21"/>
                <w:lang w:eastAsia="zh-CN"/>
              </w:rPr>
            </w:pPr>
            <w:r>
              <w:rPr>
                <w:rFonts w:hint="eastAsia" w:ascii="宋体" w:hAnsi="宋体" w:cs="宋体"/>
                <w:kern w:val="0"/>
                <w:szCs w:val="21"/>
              </w:rPr>
              <w:t>要求包含：账户资料、实名认证、我的消息、我的申请、我的收藏、我的订阅、我的评论、我的纠错等功能。</w:t>
            </w:r>
            <w:r>
              <w:rPr>
                <w:rFonts w:hint="eastAsia" w:ascii="宋体" w:hAnsi="宋体"/>
                <w:bCs/>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spacing w:line="360" w:lineRule="auto"/>
              <w:rPr>
                <w:szCs w:val="21"/>
              </w:rPr>
            </w:pPr>
            <w:r>
              <w:rPr>
                <w:rFonts w:hint="eastAsia" w:ascii="宋体" w:hAnsi="宋体"/>
                <w:bCs/>
                <w:szCs w:val="21"/>
              </w:rPr>
              <w:t>权限管理</w:t>
            </w:r>
          </w:p>
        </w:tc>
        <w:tc>
          <w:tcPr>
            <w:tcW w:w="7126" w:type="dxa"/>
            <w:vAlign w:val="center"/>
          </w:tcPr>
          <w:p>
            <w:pPr>
              <w:spacing w:line="360" w:lineRule="auto"/>
              <w:rPr>
                <w:rFonts w:ascii="宋体" w:hAnsi="宋体" w:cs="宋体"/>
                <w:kern w:val="0"/>
                <w:szCs w:val="21"/>
              </w:rPr>
            </w:pPr>
            <w:r>
              <w:rPr>
                <w:rFonts w:hint="eastAsia" w:ascii="宋体" w:hAnsi="宋体"/>
                <w:bCs/>
                <w:szCs w:val="21"/>
              </w:rPr>
              <w:t>提供身份认证、多级权限控制、信息保密、保证数据完整性等一整套完善的安全体系功能，并兼容第三方用户体系。</w:t>
            </w:r>
          </w:p>
        </w:tc>
      </w:tr>
    </w:tbl>
    <w:p>
      <w:pPr>
        <w:pStyle w:val="2"/>
      </w:pPr>
    </w:p>
    <w:p>
      <w:pPr>
        <w:pStyle w:val="5"/>
      </w:pPr>
      <w:r>
        <w:rPr>
          <w:rFonts w:hint="eastAsia"/>
        </w:rPr>
        <w:t>7.2性能要求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数据开放平台需满足以下性能要求：</w:t>
      </w:r>
    </w:p>
    <w:tbl>
      <w:tblPr>
        <w:tblStyle w:val="20"/>
        <w:tblW w:w="8174" w:type="dxa"/>
        <w:tblInd w:w="113" w:type="dxa"/>
        <w:tblLayout w:type="fixed"/>
        <w:tblCellMar>
          <w:top w:w="0" w:type="dxa"/>
          <w:left w:w="108" w:type="dxa"/>
          <w:bottom w:w="0" w:type="dxa"/>
          <w:right w:w="108" w:type="dxa"/>
        </w:tblCellMar>
      </w:tblPr>
      <w:tblGrid>
        <w:gridCol w:w="1056"/>
        <w:gridCol w:w="7118"/>
      </w:tblGrid>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指标项</w:t>
            </w:r>
          </w:p>
        </w:tc>
        <w:tc>
          <w:tcPr>
            <w:tcW w:w="71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具体要求</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szCs w:val="21"/>
              </w:rPr>
            </w:pPr>
            <w:r>
              <w:rPr>
                <w:rFonts w:hint="eastAsia" w:ascii="宋体" w:hAnsi="宋体"/>
                <w:bCs/>
                <w:szCs w:val="21"/>
              </w:rPr>
              <w:t>分布式存储</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支持存储空间横向扩容。</w:t>
            </w:r>
          </w:p>
          <w:p>
            <w:pPr>
              <w:widowControl/>
              <w:jc w:val="left"/>
              <w:rPr>
                <w:rFonts w:ascii="宋体" w:hAnsi="宋体"/>
                <w:bCs/>
                <w:szCs w:val="21"/>
              </w:rPr>
            </w:pPr>
            <w:r>
              <w:rPr>
                <w:rFonts w:hint="eastAsia" w:ascii="宋体" w:hAnsi="宋体"/>
                <w:bCs/>
                <w:szCs w:val="21"/>
              </w:rPr>
              <w:t>支持PB级数据存储。</w:t>
            </w:r>
          </w:p>
          <w:p>
            <w:pPr>
              <w:widowControl/>
              <w:jc w:val="left"/>
              <w:rPr>
                <w:rFonts w:ascii="宋体" w:hAnsi="宋体"/>
                <w:b/>
                <w:szCs w:val="21"/>
              </w:rPr>
            </w:pPr>
            <w:r>
              <w:rPr>
                <w:rFonts w:hint="eastAsia" w:ascii="宋体" w:hAnsi="宋体"/>
                <w:bCs/>
                <w:szCs w:val="21"/>
              </w:rPr>
              <w:t>支持TB级索引存储。</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大数据处理能力</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大数据计算资源按需动态扩展，原有应用不受影响。具备高扩展性，增加物理节点时，原有应用不受影响，平滑扩容，数据快速重分布。集群性能与节点数量应呈线性关系。节点扩展时正在进行的作业不会异常中断，新作业提交正常。</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并发能力</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集群</w:t>
            </w:r>
            <w:r>
              <w:rPr>
                <w:rFonts w:ascii="宋体" w:hAnsi="宋体"/>
                <w:bCs/>
                <w:szCs w:val="21"/>
              </w:rPr>
              <w:t>部署</w:t>
            </w:r>
            <w:r>
              <w:rPr>
                <w:rFonts w:hint="eastAsia" w:ascii="宋体" w:hAnsi="宋体"/>
                <w:bCs/>
                <w:szCs w:val="21"/>
              </w:rPr>
              <w:t>要求为</w:t>
            </w:r>
            <w:r>
              <w:rPr>
                <w:rFonts w:ascii="宋体" w:hAnsi="宋体"/>
                <w:bCs/>
                <w:szCs w:val="21"/>
              </w:rPr>
              <w:t>每个</w:t>
            </w:r>
            <w:r>
              <w:rPr>
                <w:rFonts w:hint="eastAsia" w:ascii="宋体" w:hAnsi="宋体"/>
                <w:bCs/>
                <w:szCs w:val="21"/>
              </w:rPr>
              <w:t>开放</w:t>
            </w:r>
            <w:r>
              <w:rPr>
                <w:rFonts w:ascii="宋体" w:hAnsi="宋体"/>
                <w:bCs/>
                <w:szCs w:val="21"/>
              </w:rPr>
              <w:t>平台的</w:t>
            </w:r>
            <w:r>
              <w:rPr>
                <w:rFonts w:hint="eastAsia" w:ascii="宋体" w:hAnsi="宋体"/>
                <w:bCs/>
                <w:szCs w:val="21"/>
              </w:rPr>
              <w:t>服务器</w:t>
            </w:r>
            <w:r>
              <w:rPr>
                <w:rFonts w:ascii="宋体" w:hAnsi="宋体"/>
                <w:bCs/>
                <w:szCs w:val="21"/>
              </w:rPr>
              <w:t>都应</w:t>
            </w:r>
            <w:r>
              <w:rPr>
                <w:rFonts w:hint="eastAsia" w:ascii="宋体" w:hAnsi="宋体"/>
                <w:bCs/>
                <w:szCs w:val="21"/>
              </w:rPr>
              <w:t>挂载</w:t>
            </w:r>
            <w:r>
              <w:rPr>
                <w:rFonts w:ascii="宋体" w:hAnsi="宋体"/>
                <w:bCs/>
                <w:szCs w:val="21"/>
              </w:rPr>
              <w:t>至</w:t>
            </w:r>
            <w:r>
              <w:rPr>
                <w:rFonts w:hint="eastAsia" w:ascii="宋体" w:hAnsi="宋体"/>
                <w:bCs/>
                <w:szCs w:val="21"/>
              </w:rPr>
              <w:t>负载</w:t>
            </w:r>
            <w:r>
              <w:rPr>
                <w:rFonts w:ascii="宋体" w:hAnsi="宋体"/>
                <w:bCs/>
                <w:szCs w:val="21"/>
              </w:rPr>
              <w:t>均衡</w:t>
            </w:r>
            <w:r>
              <w:rPr>
                <w:rFonts w:hint="eastAsia" w:ascii="宋体" w:hAnsi="宋体"/>
                <w:bCs/>
                <w:szCs w:val="21"/>
              </w:rPr>
              <w:t>服务</w:t>
            </w:r>
            <w:r>
              <w:rPr>
                <w:rFonts w:ascii="宋体" w:hAnsi="宋体"/>
                <w:bCs/>
                <w:szCs w:val="21"/>
              </w:rPr>
              <w:t>器</w:t>
            </w:r>
            <w:r>
              <w:rPr>
                <w:rFonts w:hint="eastAsia" w:ascii="宋体" w:hAnsi="宋体"/>
                <w:bCs/>
                <w:szCs w:val="21"/>
              </w:rPr>
              <w:t>上，调用方通过负载均衡的SLB来访问共享平台，开放平台起码部署2个虚拟机以实现</w:t>
            </w:r>
            <w:r>
              <w:rPr>
                <w:rFonts w:ascii="宋体" w:hAnsi="宋体"/>
                <w:bCs/>
                <w:szCs w:val="21"/>
              </w:rPr>
              <w:t>最小化部署</w:t>
            </w:r>
            <w:r>
              <w:rPr>
                <w:rFonts w:hint="eastAsia" w:ascii="宋体" w:hAnsi="宋体"/>
                <w:bCs/>
                <w:szCs w:val="21"/>
              </w:rPr>
              <w:t>。其中</w:t>
            </w:r>
            <w:r>
              <w:rPr>
                <w:rFonts w:ascii="宋体" w:hAnsi="宋体"/>
                <w:bCs/>
                <w:szCs w:val="21"/>
              </w:rPr>
              <w:t>响应</w:t>
            </w:r>
            <w:r>
              <w:rPr>
                <w:rFonts w:hint="eastAsia" w:ascii="宋体" w:hAnsi="宋体"/>
                <w:bCs/>
                <w:szCs w:val="21"/>
              </w:rPr>
              <w:t>效率为</w:t>
            </w:r>
            <w:r>
              <w:rPr>
                <w:rFonts w:ascii="宋体" w:hAnsi="宋体"/>
                <w:bCs/>
                <w:szCs w:val="21"/>
              </w:rPr>
              <w:t>全链路调用不得</w:t>
            </w:r>
            <w:r>
              <w:rPr>
                <w:rFonts w:hint="eastAsia" w:ascii="宋体" w:hAnsi="宋体"/>
                <w:bCs/>
                <w:szCs w:val="21"/>
              </w:rPr>
              <w:t>超出3秒</w:t>
            </w:r>
            <w:r>
              <w:rPr>
                <w:rFonts w:ascii="宋体" w:hAnsi="宋体"/>
                <w:bCs/>
                <w:szCs w:val="21"/>
              </w:rPr>
              <w:t>，</w:t>
            </w:r>
            <w:r>
              <w:rPr>
                <w:rFonts w:hint="eastAsia" w:ascii="宋体" w:hAnsi="宋体"/>
                <w:bCs/>
                <w:szCs w:val="21"/>
              </w:rPr>
              <w:t>即发起调用到收到结果</w:t>
            </w:r>
            <w:r>
              <w:rPr>
                <w:rFonts w:ascii="宋体" w:hAnsi="宋体"/>
                <w:bCs/>
                <w:szCs w:val="21"/>
              </w:rPr>
              <w:t>总时长不得超出</w:t>
            </w:r>
            <w:r>
              <w:rPr>
                <w:rFonts w:hint="eastAsia" w:ascii="宋体" w:hAnsi="宋体"/>
                <w:bCs/>
                <w:szCs w:val="21"/>
              </w:rPr>
              <w:t>3秒</w:t>
            </w:r>
            <w:r>
              <w:rPr>
                <w:rFonts w:ascii="宋体" w:hAnsi="宋体"/>
                <w:bCs/>
                <w:szCs w:val="21"/>
              </w:rPr>
              <w:t>。</w:t>
            </w:r>
            <w:r>
              <w:rPr>
                <w:rFonts w:hint="eastAsia" w:ascii="宋体" w:hAnsi="宋体"/>
                <w:bCs/>
                <w:szCs w:val="21"/>
              </w:rPr>
              <w:t>容量水位为</w:t>
            </w:r>
            <w:r>
              <w:rPr>
                <w:rFonts w:ascii="宋体" w:hAnsi="宋体"/>
                <w:bCs/>
                <w:szCs w:val="21"/>
              </w:rPr>
              <w:t>共享平台</w:t>
            </w:r>
            <w:r>
              <w:rPr>
                <w:rFonts w:hint="eastAsia" w:ascii="宋体" w:hAnsi="宋体"/>
                <w:bCs/>
                <w:szCs w:val="21"/>
              </w:rPr>
              <w:t xml:space="preserve">可支撑QPS </w:t>
            </w:r>
            <w:r>
              <w:rPr>
                <w:rFonts w:ascii="宋体" w:hAnsi="宋体"/>
                <w:bCs/>
                <w:szCs w:val="21"/>
              </w:rPr>
              <w:t>5</w:t>
            </w:r>
            <w:r>
              <w:rPr>
                <w:rFonts w:hint="eastAsia" w:ascii="宋体" w:hAnsi="宋体"/>
                <w:bCs/>
                <w:szCs w:val="21"/>
              </w:rPr>
              <w:t>00</w:t>
            </w:r>
            <w:r>
              <w:rPr>
                <w:rFonts w:ascii="宋体" w:hAnsi="宋体"/>
                <w:bCs/>
                <w:szCs w:val="21"/>
              </w:rPr>
              <w:t>。</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响应速度</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支持高并发毫秒级数据插入/修改/查询/删除(CRUD)。</w:t>
            </w:r>
          </w:p>
          <w:p>
            <w:pPr>
              <w:widowControl/>
              <w:jc w:val="left"/>
              <w:rPr>
                <w:rFonts w:ascii="宋体" w:hAnsi="宋体"/>
                <w:bCs/>
                <w:szCs w:val="21"/>
              </w:rPr>
            </w:pPr>
            <w:r>
              <w:rPr>
                <w:rFonts w:hint="eastAsia" w:ascii="宋体" w:hAnsi="宋体"/>
                <w:bCs/>
                <w:szCs w:val="21"/>
              </w:rPr>
              <w:t>千万规模数据，单条数据按Key查询，响应时间&lt;3秒。</w:t>
            </w:r>
          </w:p>
          <w:p>
            <w:pPr>
              <w:widowControl/>
              <w:jc w:val="left"/>
              <w:rPr>
                <w:rFonts w:ascii="宋体" w:hAnsi="宋体"/>
                <w:bCs/>
                <w:szCs w:val="21"/>
              </w:rPr>
            </w:pPr>
            <w:r>
              <w:rPr>
                <w:rFonts w:hint="eastAsia" w:ascii="宋体" w:hAnsi="宋体"/>
                <w:bCs/>
                <w:szCs w:val="21"/>
              </w:rPr>
              <w:t>千万数据规模，进行分组查询和统计分析响应时间&lt;5s。</w:t>
            </w:r>
          </w:p>
          <w:p>
            <w:pPr>
              <w:widowControl/>
              <w:jc w:val="left"/>
              <w:rPr>
                <w:rFonts w:ascii="宋体" w:hAnsi="宋体"/>
                <w:bCs/>
                <w:szCs w:val="21"/>
              </w:rPr>
            </w:pPr>
            <w:r>
              <w:rPr>
                <w:rFonts w:hint="eastAsia" w:ascii="宋体" w:hAnsi="宋体"/>
                <w:bCs/>
                <w:szCs w:val="21"/>
              </w:rPr>
              <w:t>600条/每秒数据上传压力下，数据无堆积、不丢失。</w:t>
            </w:r>
          </w:p>
          <w:p>
            <w:pPr>
              <w:widowControl/>
              <w:jc w:val="left"/>
              <w:rPr>
                <w:rFonts w:ascii="宋体" w:hAnsi="宋体"/>
                <w:bCs/>
                <w:szCs w:val="21"/>
              </w:rPr>
            </w:pPr>
            <w:r>
              <w:rPr>
                <w:rFonts w:hint="eastAsia" w:ascii="宋体" w:hAnsi="宋体"/>
                <w:bCs/>
                <w:szCs w:val="21"/>
              </w:rPr>
              <w:t>大数据入库性能&gt;10000条/每秒，入库延迟一般不大于1秒。</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兼容性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服务端软件可部署在包括centos 7 以上(64位)、redhat 7 以上(64位)、ubuntu 16 以上(64位)等多种不同的系统平台上。</w:t>
            </w:r>
          </w:p>
          <w:p>
            <w:pPr>
              <w:widowControl/>
              <w:jc w:val="left"/>
              <w:rPr>
                <w:rFonts w:ascii="宋体" w:hAnsi="宋体"/>
                <w:bCs/>
                <w:szCs w:val="21"/>
              </w:rPr>
            </w:pPr>
            <w:r>
              <w:rPr>
                <w:rFonts w:hint="eastAsia" w:ascii="宋体" w:hAnsi="宋体"/>
                <w:bCs/>
                <w:szCs w:val="21"/>
              </w:rPr>
              <w:t>支持主流的浏览器，包括IE10、IE11、Firefox、Google Chrome等。</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扩展性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支持集群节点的扩展，具备高扩展性，增加物理节点时，原有应用不受影响，平滑扩容，数据快速重分布。集群性能与节点数量应呈线性关系。节点扩展时正在进行的作业不会异常中断，新作业提交正常。</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开放性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分析平台支持丰富的SDK接口，可以实现单点登录、图表组件扩展、与Portal集成。支持CAS、Shiro认证。</w:t>
            </w:r>
          </w:p>
          <w:p>
            <w:pPr>
              <w:widowControl/>
              <w:jc w:val="left"/>
              <w:rPr>
                <w:rFonts w:ascii="宋体" w:hAnsi="宋体"/>
                <w:bCs/>
                <w:szCs w:val="21"/>
              </w:rPr>
            </w:pPr>
            <w:r>
              <w:rPr>
                <w:rFonts w:hint="eastAsia" w:ascii="宋体" w:hAnsi="宋体"/>
                <w:bCs/>
                <w:szCs w:val="21"/>
              </w:rPr>
              <w:t>可以对接主流的大数据环境：MaxCompute(ODPS)、Cloudera Distribution Hadoop （CDH）、Apache Hadoop、Hive、Spark、Flink等。</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可用性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采用高可用的多节点的部署方式，保障在部分节点出现故障时系统能够正常运行。</w:t>
            </w:r>
          </w:p>
          <w:p>
            <w:pPr>
              <w:widowControl/>
              <w:jc w:val="left"/>
              <w:rPr>
                <w:rFonts w:ascii="宋体" w:hAnsi="宋体"/>
                <w:bCs/>
                <w:szCs w:val="21"/>
              </w:rPr>
            </w:pPr>
            <w:r>
              <w:rPr>
                <w:rFonts w:hint="eastAsia" w:ascii="宋体" w:hAnsi="宋体"/>
                <w:bCs/>
                <w:szCs w:val="21"/>
              </w:rPr>
              <w:t>可以保障7X24小时不间断运行，平台在采购质保期内进行免费的系统补丁及版本升级。</w:t>
            </w:r>
          </w:p>
        </w:tc>
      </w:tr>
      <w:tr>
        <w:tblPrEx>
          <w:tblCellMar>
            <w:top w:w="0" w:type="dxa"/>
            <w:left w:w="108" w:type="dxa"/>
            <w:bottom w:w="0" w:type="dxa"/>
            <w:right w:w="108" w:type="dxa"/>
          </w:tblCellMar>
        </w:tblPrEx>
        <w:trPr>
          <w:trHeight w:val="539"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szCs w:val="21"/>
              </w:rPr>
            </w:pPr>
            <w:r>
              <w:rPr>
                <w:rFonts w:hint="eastAsia" w:ascii="宋体" w:hAnsi="宋体"/>
                <w:bCs/>
                <w:szCs w:val="21"/>
              </w:rPr>
              <w:t>维护性</w:t>
            </w:r>
          </w:p>
        </w:tc>
        <w:tc>
          <w:tcPr>
            <w:tcW w:w="7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bCs/>
                <w:szCs w:val="21"/>
              </w:rPr>
            </w:pPr>
            <w:r>
              <w:rPr>
                <w:rFonts w:hint="eastAsia" w:ascii="宋体" w:hAnsi="宋体"/>
                <w:bCs/>
                <w:szCs w:val="21"/>
              </w:rPr>
              <w:t>系统故障恢复时间小于1小时，系统可用率必须超过99.9%；</w:t>
            </w:r>
          </w:p>
        </w:tc>
      </w:tr>
    </w:tbl>
    <w:p>
      <w:pPr>
        <w:pStyle w:val="2"/>
      </w:pP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8、数据安全监管平台</w:t>
      </w:r>
    </w:p>
    <w:p>
      <w:pPr>
        <w:pStyle w:val="5"/>
      </w:pPr>
      <w:r>
        <w:rPr>
          <w:rFonts w:hint="eastAsia"/>
        </w:rPr>
        <w:t>8.1功能要求</w:t>
      </w:r>
    </w:p>
    <w:p>
      <w:pPr>
        <w:widowControl/>
        <w:tabs>
          <w:tab w:val="left" w:pos="0"/>
        </w:tabs>
        <w:spacing w:line="360" w:lineRule="auto"/>
        <w:ind w:firstLine="480" w:firstLineChars="200"/>
      </w:pPr>
      <w:r>
        <w:rPr>
          <w:rFonts w:hint="eastAsia" w:asciiTheme="minorEastAsia" w:hAnsiTheme="minorEastAsia" w:eastAsiaTheme="minorEastAsia"/>
          <w:sz w:val="24"/>
        </w:rPr>
        <w:t>数据安全监管平台需提供以下功能：</w:t>
      </w:r>
    </w:p>
    <w:tbl>
      <w:tblPr>
        <w:tblStyle w:val="20"/>
        <w:tblW w:w="8409" w:type="dxa"/>
        <w:tblInd w:w="113" w:type="dxa"/>
        <w:tblLayout w:type="fixed"/>
        <w:tblCellMar>
          <w:top w:w="0" w:type="dxa"/>
          <w:left w:w="108" w:type="dxa"/>
          <w:bottom w:w="0" w:type="dxa"/>
          <w:right w:w="108" w:type="dxa"/>
        </w:tblCellMar>
      </w:tblPr>
      <w:tblGrid>
        <w:gridCol w:w="1129"/>
        <w:gridCol w:w="1195"/>
        <w:gridCol w:w="6085"/>
      </w:tblGrid>
      <w:tr>
        <w:tblPrEx>
          <w:tblCellMar>
            <w:top w:w="0" w:type="dxa"/>
            <w:left w:w="108" w:type="dxa"/>
            <w:bottom w:w="0" w:type="dxa"/>
            <w:right w:w="108" w:type="dxa"/>
          </w:tblCellMar>
        </w:tblPrEx>
        <w:trPr>
          <w:trHeight w:val="282"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hint="eastAsia" w:ascii="宋体" w:hAnsi="宋体"/>
                <w:b/>
                <w:szCs w:val="21"/>
              </w:rPr>
              <w:t>模块</w:t>
            </w:r>
          </w:p>
        </w:tc>
        <w:tc>
          <w:tcPr>
            <w:tcW w:w="119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hint="eastAsia" w:ascii="宋体" w:hAnsi="宋体"/>
                <w:b/>
                <w:szCs w:val="21"/>
              </w:rPr>
              <w:t>指标项</w:t>
            </w:r>
          </w:p>
        </w:tc>
        <w:tc>
          <w:tcPr>
            <w:tcW w:w="608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hint="eastAsia" w:ascii="宋体" w:hAnsi="宋体"/>
                <w:b/>
                <w:szCs w:val="21"/>
              </w:rPr>
              <w:t>招标要求</w:t>
            </w:r>
          </w:p>
        </w:tc>
      </w:tr>
      <w:tr>
        <w:tblPrEx>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监管平台</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设备管理</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bCs/>
                <w:szCs w:val="21"/>
                <w:lang w:eastAsia="zh-CN"/>
              </w:rPr>
            </w:pPr>
            <w:r>
              <w:rPr>
                <w:rFonts w:hint="eastAsia" w:ascii="宋体" w:hAnsi="宋体"/>
                <w:bCs/>
                <w:szCs w:val="21"/>
              </w:rPr>
              <w:t>平台需具有数据库访问控制、审计及脱敏等功能。实现数据安全管理相关的日志采集、存储、展现、告警、分析等统一安全管理功能。</w:t>
            </w:r>
            <w:r>
              <w:rPr>
                <w:rFonts w:hint="eastAsia" w:ascii="宋体" w:hAnsi="宋体"/>
                <w:bCs/>
                <w:szCs w:val="21"/>
                <w:lang w:eastAsia="zh-CN"/>
              </w:rPr>
              <w:t xml:space="preserve"> </w:t>
            </w:r>
          </w:p>
        </w:tc>
      </w:tr>
      <w:tr>
        <w:tblPrEx>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管理界面</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bCs/>
                <w:szCs w:val="21"/>
                <w:lang w:eastAsia="zh-CN"/>
              </w:rPr>
            </w:pPr>
            <w:r>
              <w:rPr>
                <w:rFonts w:hint="eastAsia" w:ascii="宋体" w:hAnsi="宋体"/>
                <w:bCs/>
                <w:szCs w:val="21"/>
              </w:rPr>
              <w:t>平台提供集中管理功能，在同一界面对接入的安全设备进行集中管理，简化用户的配置及维护管理工作。</w:t>
            </w:r>
            <w:r>
              <w:rPr>
                <w:rFonts w:hint="eastAsia" w:ascii="宋体" w:hAnsi="宋体"/>
                <w:bCs/>
                <w:szCs w:val="21"/>
                <w:lang w:eastAsia="zh-CN"/>
              </w:rPr>
              <w:t xml:space="preserve"> </w:t>
            </w:r>
          </w:p>
        </w:tc>
      </w:tr>
      <w:tr>
        <w:tblPrEx>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扩展性</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bCs/>
                <w:szCs w:val="21"/>
                <w:lang w:eastAsia="zh-CN"/>
              </w:rPr>
            </w:pPr>
            <w:r>
              <w:rPr>
                <w:rFonts w:hint="eastAsia" w:ascii="宋体" w:hAnsi="宋体"/>
                <w:bCs/>
                <w:szCs w:val="21"/>
              </w:rPr>
              <w:t>支持REST，方便招标方利用标准接口将数据安全设备接入集中管理平台，进行统一WEB管理。</w:t>
            </w:r>
            <w:r>
              <w:rPr>
                <w:rFonts w:hint="eastAsia" w:ascii="宋体" w:hAnsi="宋体"/>
                <w:bCs/>
                <w:szCs w:val="21"/>
                <w:lang w:eastAsia="zh-CN"/>
              </w:rPr>
              <w:t xml:space="preserve"> </w:t>
            </w:r>
          </w:p>
        </w:tc>
      </w:tr>
      <w:tr>
        <w:tblPrEx>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数据库访问控制</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登录管理</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bCs/>
                <w:szCs w:val="21"/>
                <w:lang w:eastAsia="zh-CN"/>
              </w:rPr>
            </w:pPr>
            <w:r>
              <w:rPr>
                <w:rFonts w:hint="eastAsia" w:ascii="宋体" w:hAnsi="宋体"/>
                <w:bCs/>
                <w:szCs w:val="21"/>
              </w:rPr>
              <w:t>支持多种方式的登陆验证，从而对自然人进行识别和控制，实现登陆过程不可抵赖。</w:t>
            </w:r>
            <w:r>
              <w:rPr>
                <w:rFonts w:hint="eastAsia" w:ascii="宋体" w:hAnsi="宋体"/>
                <w:bCs/>
                <w:szCs w:val="21"/>
                <w:lang w:eastAsia="zh-CN"/>
              </w:rPr>
              <w:t xml:space="preserve"> </w:t>
            </w:r>
          </w:p>
        </w:tc>
      </w:tr>
      <w:tr>
        <w:tblPrEx>
          <w:tblCellMar>
            <w:top w:w="0" w:type="dxa"/>
            <w:left w:w="108" w:type="dxa"/>
            <w:bottom w:w="0" w:type="dxa"/>
            <w:right w:w="108" w:type="dxa"/>
          </w:tblCellMar>
        </w:tblPrEx>
        <w:trPr>
          <w:trHeight w:val="32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访问控制</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bCs/>
                <w:szCs w:val="21"/>
                <w:lang w:eastAsia="zh-CN"/>
              </w:rPr>
            </w:pPr>
            <w:r>
              <w:rPr>
                <w:rFonts w:hint="eastAsia" w:ascii="宋体" w:hAnsi="宋体"/>
                <w:bCs/>
                <w:szCs w:val="21"/>
              </w:rPr>
              <w:t>针对敏感数据集合的访问，需要经过授权，不具备访问权限的操作，明确阻断拒绝；支持限制特定的过程、函数、包等对象访问敏感数据。</w:t>
            </w:r>
            <w:r>
              <w:rPr>
                <w:rFonts w:hint="eastAsia" w:ascii="宋体" w:hAnsi="宋体"/>
                <w:bCs/>
                <w:szCs w:val="21"/>
                <w:lang w:eastAsia="zh-CN"/>
              </w:rPr>
              <w:t xml:space="preserve"> </w:t>
            </w:r>
            <w:r>
              <w:rPr>
                <w:rFonts w:hint="eastAsia" w:ascii="宋体" w:hAnsi="宋体"/>
                <w:bCs/>
                <w:szCs w:val="21"/>
              </w:rPr>
              <w:br w:type="textWrapping"/>
            </w:r>
            <w:r>
              <w:rPr>
                <w:rFonts w:hint="eastAsia" w:ascii="宋体" w:hAnsi="宋体"/>
                <w:bCs/>
                <w:szCs w:val="21"/>
              </w:rPr>
              <w:t>支持访问返回行数控制，对批量下载、更新等操作的控制，避免海量数据泄漏；支持访问频次控制，避免一定时间内的高频次访问，避免非法人员通过高频访问快速窃取业务数据。</w:t>
            </w:r>
            <w:r>
              <w:rPr>
                <w:rFonts w:hint="eastAsia" w:ascii="宋体" w:hAnsi="宋体"/>
                <w:bCs/>
                <w:szCs w:val="21"/>
                <w:lang w:eastAsia="zh-CN"/>
              </w:rPr>
              <w:t xml:space="preserve"> </w:t>
            </w:r>
            <w:r>
              <w:rPr>
                <w:rFonts w:hint="eastAsia" w:ascii="宋体" w:hAnsi="宋体"/>
                <w:bCs/>
                <w:szCs w:val="21"/>
              </w:rPr>
              <w:br w:type="textWrapping"/>
            </w:r>
            <w:r>
              <w:rPr>
                <w:rFonts w:hint="eastAsia" w:ascii="宋体" w:hAnsi="宋体"/>
                <w:bCs/>
                <w:szCs w:val="21"/>
              </w:rPr>
              <w:t>对于危险操作，如：Create user、Alter user、drop user等，授权管理操作(Grant)，业务对象操作（Truncat table，drop table）等操作，必须经过授权才能执行，防止人为误操作。同时能够对误删除的数据进行恢复。</w:t>
            </w:r>
            <w:r>
              <w:rPr>
                <w:rFonts w:hint="eastAsia" w:ascii="宋体" w:hAnsi="宋体"/>
                <w:bCs/>
                <w:szCs w:val="21"/>
                <w:lang w:eastAsia="zh-CN"/>
              </w:rPr>
              <w:t xml:space="preserve"> </w:t>
            </w:r>
            <w:r>
              <w:rPr>
                <w:rFonts w:hint="eastAsia" w:ascii="宋体" w:hAnsi="宋体"/>
                <w:bCs/>
                <w:szCs w:val="21"/>
              </w:rPr>
              <w:t>。</w:t>
            </w:r>
            <w:r>
              <w:rPr>
                <w:rFonts w:hint="eastAsia" w:ascii="宋体" w:hAnsi="宋体"/>
                <w:bCs/>
                <w:szCs w:val="21"/>
              </w:rPr>
              <w:br w:type="textWrapping"/>
            </w:r>
            <w:r>
              <w:rPr>
                <w:rFonts w:hint="eastAsia" w:ascii="宋体" w:hAnsi="宋体"/>
                <w:bCs/>
                <w:szCs w:val="21"/>
              </w:rPr>
              <w:t>支持SQLPLUS、PLSQLDEV等SQL管理工具查询数据时的敏感信息遮蔽，根据用户的身份与访问的数据库对象以及对应的遮蔽规则，对不同授权的用户可返回真实数据、部分遮盖、全部遮盖以及其他算法得到的结果。</w:t>
            </w:r>
            <w:r>
              <w:rPr>
                <w:rFonts w:hint="eastAsia" w:ascii="宋体" w:hAnsi="宋体"/>
                <w:bCs/>
                <w:szCs w:val="21"/>
                <w:lang w:eastAsia="zh-CN"/>
              </w:rPr>
              <w:t xml:space="preserve"> </w:t>
            </w:r>
          </w:p>
        </w:tc>
      </w:tr>
      <w:tr>
        <w:tblPrEx>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数据脱敏</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bCs/>
                <w:szCs w:val="21"/>
              </w:rPr>
            </w:pPr>
            <w:r>
              <w:rPr>
                <w:rFonts w:hint="eastAsia" w:ascii="宋体" w:hAnsi="宋体"/>
                <w:bCs/>
                <w:szCs w:val="21"/>
              </w:rPr>
              <w:t>根据不同的应用场景，支持主流关系型数据库之间不落地异构脱敏，如：Oracle到SQL SERVER，Oracle到Mysql等异构数据库直接脱敏（不落地）。</w:t>
            </w:r>
          </w:p>
        </w:tc>
      </w:tr>
      <w:tr>
        <w:tblPrEx>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bCs/>
                <w:szCs w:val="21"/>
                <w:lang w:eastAsia="zh-CN"/>
              </w:rPr>
            </w:pPr>
            <w:r>
              <w:rPr>
                <w:rFonts w:hint="eastAsia" w:ascii="宋体" w:hAnsi="宋体"/>
                <w:bCs/>
                <w:szCs w:val="21"/>
              </w:rPr>
              <w:t>脱敏作业监控动态化，可实时查看脱敏作业的处理效率以及每个作业的进度）、运行时间及状态。</w:t>
            </w:r>
            <w:r>
              <w:rPr>
                <w:rFonts w:hint="eastAsia" w:ascii="宋体" w:hAnsi="宋体"/>
                <w:bCs/>
                <w:szCs w:val="21"/>
                <w:lang w:eastAsia="zh-CN"/>
              </w:rPr>
              <w:t xml:space="preserve"> </w:t>
            </w:r>
          </w:p>
        </w:tc>
      </w:tr>
      <w:tr>
        <w:tblPrEx>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脱敏水印</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bCs/>
                <w:szCs w:val="21"/>
                <w:lang w:eastAsia="zh-CN"/>
              </w:rPr>
            </w:pPr>
            <w:r>
              <w:rPr>
                <w:rFonts w:hint="eastAsia" w:ascii="宋体" w:hAnsi="宋体"/>
                <w:bCs/>
                <w:szCs w:val="21"/>
              </w:rPr>
              <w:t>能够在脱敏过程中对敏感表格增加水印信息，在数据共享外发后，能够对数据使用、转移过程进行追溯。</w:t>
            </w:r>
            <w:r>
              <w:rPr>
                <w:rFonts w:hint="eastAsia" w:ascii="宋体" w:hAnsi="宋体"/>
                <w:bCs/>
                <w:szCs w:val="21"/>
                <w:lang w:eastAsia="zh-CN"/>
              </w:rPr>
              <w:t xml:space="preserve"> </w:t>
            </w:r>
          </w:p>
        </w:tc>
      </w:tr>
      <w:tr>
        <w:tblPrEx>
          <w:tblCellMar>
            <w:top w:w="0" w:type="dxa"/>
            <w:left w:w="108" w:type="dxa"/>
            <w:bottom w:w="0" w:type="dxa"/>
            <w:right w:w="108" w:type="dxa"/>
          </w:tblCellMar>
        </w:tblPrEx>
        <w:trPr>
          <w:trHeight w:val="54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安全审计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bCs/>
                <w:szCs w:val="21"/>
              </w:rPr>
            </w:pPr>
            <w:r>
              <w:rPr>
                <w:rFonts w:hint="eastAsia" w:ascii="宋体" w:hAnsi="宋体"/>
                <w:bCs/>
                <w:szCs w:val="21"/>
              </w:rPr>
              <w:t>实现数据库登录操作的审计，并记录详细的成功登录行为和失败登录行为信息，能够识别暴力破解等非法登录行为。</w:t>
            </w:r>
          </w:p>
        </w:tc>
      </w:tr>
      <w:tr>
        <w:tblPrEx>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bCs/>
                <w:szCs w:val="21"/>
                <w:lang w:eastAsia="zh-CN"/>
              </w:rPr>
            </w:pPr>
            <w:r>
              <w:rPr>
                <w:rFonts w:hint="eastAsia" w:ascii="宋体" w:hAnsi="宋体"/>
                <w:bCs/>
                <w:szCs w:val="21"/>
              </w:rPr>
              <w:t>可以深度解析数据库操作内容，准确解析出语句中的表名，操作方式，SQL语句及绑定变量，并根据策略名、SQL语句、日期进行归类和统计分析。通过这些细粒度的审计，可以对重要信息进行有效的侦测与分析。</w:t>
            </w:r>
            <w:r>
              <w:rPr>
                <w:rFonts w:hint="eastAsia" w:ascii="宋体" w:hAnsi="宋体"/>
                <w:bCs/>
                <w:szCs w:val="21"/>
                <w:lang w:eastAsia="zh-CN"/>
              </w:rPr>
              <w:t xml:space="preserve"> </w:t>
            </w:r>
          </w:p>
        </w:tc>
      </w:tr>
      <w:tr>
        <w:tblPrEx>
          <w:tblCellMar>
            <w:top w:w="0" w:type="dxa"/>
            <w:left w:w="108" w:type="dxa"/>
            <w:bottom w:w="0" w:type="dxa"/>
            <w:right w:w="108" w:type="dxa"/>
          </w:tblCellMar>
        </w:tblPrEx>
        <w:trPr>
          <w:trHeight w:val="81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bCs/>
                <w:szCs w:val="21"/>
              </w:rPr>
            </w:pPr>
            <w:r>
              <w:rPr>
                <w:rFonts w:hint="eastAsia" w:ascii="宋体" w:hAnsi="宋体"/>
                <w:bCs/>
                <w:szCs w:val="21"/>
              </w:rPr>
              <w:t>对于疑似威胁的操作记录，能够基于会话进行追踪溯源，根据人（用户名、账户）进行追溯，在同一界面展现跟其相关的从登陆、访问到退出的全过程</w:t>
            </w:r>
            <w:r>
              <w:rPr>
                <w:rFonts w:hint="eastAsia" w:ascii="宋体" w:hAnsi="宋体"/>
                <w:bCs/>
                <w:szCs w:val="21"/>
                <w:lang w:eastAsia="zh-CN"/>
              </w:rPr>
              <w:t xml:space="preserve"> </w:t>
            </w:r>
            <w:r>
              <w:rPr>
                <w:rFonts w:hint="eastAsia" w:ascii="宋体" w:hAnsi="宋体"/>
                <w:bCs/>
                <w:szCs w:val="21"/>
              </w:rPr>
              <w:t>。</w:t>
            </w:r>
          </w:p>
        </w:tc>
      </w:tr>
      <w:tr>
        <w:tblPrEx>
          <w:tblCellMar>
            <w:top w:w="0" w:type="dxa"/>
            <w:left w:w="108" w:type="dxa"/>
            <w:bottom w:w="0" w:type="dxa"/>
            <w:right w:w="108" w:type="dxa"/>
          </w:tblCellMar>
        </w:tblPrEx>
        <w:trPr>
          <w:trHeight w:val="5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审计翻译</w:t>
            </w:r>
          </w:p>
        </w:tc>
        <w:tc>
          <w:tcPr>
            <w:tcW w:w="6085"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bCs/>
                <w:szCs w:val="21"/>
              </w:rPr>
            </w:pPr>
            <w:r>
              <w:rPr>
                <w:rFonts w:hint="eastAsia" w:ascii="宋体" w:hAnsi="宋体"/>
                <w:bCs/>
                <w:szCs w:val="21"/>
              </w:rPr>
              <w:t>SQL语句提供直译和意译的不同翻译引擎，从英文翻译成中文，增加阅读性直观性</w:t>
            </w:r>
            <w:r>
              <w:rPr>
                <w:rFonts w:hint="eastAsia" w:ascii="宋体" w:hAnsi="宋体"/>
                <w:bCs/>
                <w:szCs w:val="21"/>
                <w:lang w:eastAsia="zh-CN"/>
              </w:rPr>
              <w:t xml:space="preserve"> </w:t>
            </w:r>
            <w:r>
              <w:rPr>
                <w:rFonts w:hint="eastAsia" w:ascii="宋体" w:hAnsi="宋体"/>
                <w:bCs/>
                <w:szCs w:val="21"/>
              </w:rPr>
              <w:t>。</w:t>
            </w:r>
          </w:p>
        </w:tc>
      </w:tr>
    </w:tbl>
    <w:p>
      <w:pPr>
        <w:pStyle w:val="2"/>
      </w:pPr>
    </w:p>
    <w:p>
      <w:pPr>
        <w:pStyle w:val="5"/>
      </w:pPr>
      <w:r>
        <w:rPr>
          <w:rFonts w:hint="eastAsia"/>
        </w:rPr>
        <w:t>8.2性能要求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数据安全监管平台需满足以下性能要求：</w:t>
      </w:r>
    </w:p>
    <w:tbl>
      <w:tblPr>
        <w:tblStyle w:val="20"/>
        <w:tblW w:w="8409" w:type="dxa"/>
        <w:tblInd w:w="113" w:type="dxa"/>
        <w:tblLayout w:type="fixed"/>
        <w:tblCellMar>
          <w:top w:w="0" w:type="dxa"/>
          <w:left w:w="108" w:type="dxa"/>
          <w:bottom w:w="0" w:type="dxa"/>
          <w:right w:w="108" w:type="dxa"/>
        </w:tblCellMar>
      </w:tblPr>
      <w:tblGrid>
        <w:gridCol w:w="1476"/>
        <w:gridCol w:w="6933"/>
      </w:tblGrid>
      <w:tr>
        <w:tblPrEx>
          <w:tblCellMar>
            <w:top w:w="0" w:type="dxa"/>
            <w:left w:w="108" w:type="dxa"/>
            <w:bottom w:w="0" w:type="dxa"/>
            <w:right w:w="108" w:type="dxa"/>
          </w:tblCellMar>
        </w:tblPrEx>
        <w:trPr>
          <w:trHeight w:val="539"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指标项</w:t>
            </w:r>
          </w:p>
        </w:tc>
        <w:tc>
          <w:tcPr>
            <w:tcW w:w="693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具体要求</w:t>
            </w:r>
          </w:p>
        </w:tc>
      </w:tr>
      <w:tr>
        <w:tblPrEx>
          <w:tblCellMar>
            <w:top w:w="0" w:type="dxa"/>
            <w:left w:w="108" w:type="dxa"/>
            <w:bottom w:w="0" w:type="dxa"/>
            <w:right w:w="108" w:type="dxa"/>
          </w:tblCellMar>
        </w:tblPrEx>
        <w:trPr>
          <w:trHeight w:val="539"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highlight w:val="yellow"/>
              </w:rPr>
            </w:pPr>
            <w:r>
              <w:rPr>
                <w:rFonts w:hint="eastAsia" w:ascii="宋体" w:hAnsi="宋体" w:cs="宋体"/>
                <w:color w:val="000000"/>
                <w:kern w:val="0"/>
                <w:szCs w:val="21"/>
              </w:rPr>
              <w:t>数据库访问控制模块</w:t>
            </w:r>
          </w:p>
        </w:tc>
        <w:tc>
          <w:tcPr>
            <w:tcW w:w="69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kern w:val="0"/>
                <w:szCs w:val="21"/>
                <w:highlight w:val="yellow"/>
              </w:rPr>
            </w:pPr>
            <w:r>
              <w:rPr>
                <w:rFonts w:hint="eastAsia" w:ascii="宋体" w:hAnsi="宋体" w:cs="宋体"/>
                <w:color w:val="000000"/>
                <w:kern w:val="0"/>
                <w:szCs w:val="21"/>
              </w:rPr>
              <w:t>数据库SQL吞吐量≥500条/秒。</w:t>
            </w:r>
          </w:p>
        </w:tc>
      </w:tr>
      <w:tr>
        <w:tblPrEx>
          <w:tblCellMar>
            <w:top w:w="0" w:type="dxa"/>
            <w:left w:w="108" w:type="dxa"/>
            <w:bottom w:w="0" w:type="dxa"/>
            <w:right w:w="108" w:type="dxa"/>
          </w:tblCellMar>
        </w:tblPrEx>
        <w:trPr>
          <w:trHeight w:val="539"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highlight w:val="yellow"/>
              </w:rPr>
            </w:pPr>
            <w:r>
              <w:rPr>
                <w:rFonts w:hint="eastAsia" w:ascii="宋体" w:hAnsi="宋体" w:cs="宋体"/>
                <w:color w:val="000000"/>
                <w:kern w:val="0"/>
                <w:szCs w:val="21"/>
              </w:rPr>
              <w:t>数据脱敏模块</w:t>
            </w:r>
          </w:p>
        </w:tc>
        <w:tc>
          <w:tcPr>
            <w:tcW w:w="69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kern w:val="0"/>
                <w:szCs w:val="21"/>
                <w:highlight w:val="yellow"/>
              </w:rPr>
            </w:pPr>
            <w:r>
              <w:rPr>
                <w:rFonts w:hint="eastAsia" w:ascii="宋体" w:hAnsi="宋体" w:cs="宋体"/>
                <w:color w:val="000000"/>
                <w:kern w:val="0"/>
                <w:szCs w:val="21"/>
              </w:rPr>
              <w:t>脱敏模块脱敏速度≥每秒50万个数据单元。</w:t>
            </w:r>
          </w:p>
        </w:tc>
      </w:tr>
      <w:tr>
        <w:tblPrEx>
          <w:tblCellMar>
            <w:top w:w="0" w:type="dxa"/>
            <w:left w:w="108" w:type="dxa"/>
            <w:bottom w:w="0" w:type="dxa"/>
            <w:right w:w="108" w:type="dxa"/>
          </w:tblCellMar>
        </w:tblPrEx>
        <w:trPr>
          <w:trHeight w:val="539"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highlight w:val="yellow"/>
              </w:rPr>
            </w:pPr>
            <w:r>
              <w:rPr>
                <w:rFonts w:hint="eastAsia" w:ascii="宋体" w:hAnsi="宋体" w:cs="宋体"/>
                <w:color w:val="000000"/>
                <w:kern w:val="0"/>
                <w:szCs w:val="21"/>
              </w:rPr>
              <w:t>安全审计模块</w:t>
            </w:r>
          </w:p>
        </w:tc>
        <w:tc>
          <w:tcPr>
            <w:tcW w:w="693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highlight w:val="yellow"/>
              </w:rPr>
            </w:pPr>
            <w:r>
              <w:rPr>
                <w:rFonts w:hint="eastAsia" w:ascii="宋体" w:hAnsi="宋体" w:cs="宋体"/>
                <w:color w:val="000000"/>
                <w:kern w:val="0"/>
                <w:szCs w:val="21"/>
              </w:rPr>
              <w:t>审计模块峰值处理能力（SQL语句）≥</w:t>
            </w:r>
            <w:r>
              <w:rPr>
                <w:rFonts w:ascii="宋体" w:hAnsi="宋体" w:cs="宋体"/>
                <w:color w:val="000000"/>
                <w:kern w:val="0"/>
                <w:szCs w:val="21"/>
              </w:rPr>
              <w:t>20000</w:t>
            </w:r>
            <w:r>
              <w:rPr>
                <w:rFonts w:hint="eastAsia" w:ascii="宋体" w:hAnsi="宋体" w:cs="宋体"/>
                <w:color w:val="000000"/>
                <w:kern w:val="0"/>
                <w:szCs w:val="21"/>
              </w:rPr>
              <w:t>条/秒。</w:t>
            </w:r>
          </w:p>
        </w:tc>
      </w:tr>
    </w:tbl>
    <w:p>
      <w:pPr>
        <w:pStyle w:val="2"/>
      </w:pP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9、云数据库服务</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按照省市“一朵云”对接要求，提供稳定可靠、可弹性伸缩的RDS云数据库服务，要求提供基于本地云平台的RDS云数据库服务，满足3年30TB实际可用存储服务。</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提供海量、安全、低成本、高可靠的本地云存储服务</w:t>
      </w:r>
      <w:r>
        <w:rPr>
          <w:rFonts w:asciiTheme="minorEastAsia" w:hAnsiTheme="minorEastAsia" w:eastAsiaTheme="minorEastAsia"/>
          <w:sz w:val="24"/>
        </w:rPr>
        <w:t>，用来存储大量不同大小、格式的非结构化数据，如视频、图像、日志、文本文件等</w:t>
      </w:r>
      <w:r>
        <w:rPr>
          <w:rFonts w:hint="eastAsia" w:asciiTheme="minorEastAsia" w:hAnsiTheme="minorEastAsia" w:eastAsiaTheme="minorEastAsia"/>
          <w:sz w:val="24"/>
        </w:rPr>
        <w:t>，</w:t>
      </w:r>
      <w:r>
        <w:rPr>
          <w:rFonts w:asciiTheme="minorEastAsia" w:hAnsiTheme="minorEastAsia" w:eastAsiaTheme="minorEastAsia"/>
          <w:sz w:val="24"/>
        </w:rPr>
        <w:t>给</w:t>
      </w:r>
      <w:r>
        <w:rPr>
          <w:rFonts w:hint="eastAsia" w:asciiTheme="minorEastAsia" w:hAnsiTheme="minorEastAsia" w:eastAsiaTheme="minorEastAsia"/>
          <w:sz w:val="24"/>
        </w:rPr>
        <w:t>台州市日益增长的数据需求</w:t>
      </w:r>
      <w:r>
        <w:rPr>
          <w:rFonts w:asciiTheme="minorEastAsia" w:hAnsiTheme="minorEastAsia" w:eastAsiaTheme="minorEastAsia"/>
          <w:sz w:val="24"/>
        </w:rPr>
        <w:t>提供海量的存储能力</w:t>
      </w:r>
      <w:r>
        <w:rPr>
          <w:rFonts w:hint="eastAsia" w:asciiTheme="minorEastAsia" w:hAnsiTheme="minorEastAsia" w:eastAsiaTheme="minorEastAsia"/>
          <w:sz w:val="24"/>
        </w:rPr>
        <w:t>，要求提供基于本地云平台的对象云存储服务，满足3年50TB实际可用存储服务。</w:t>
      </w:r>
    </w:p>
    <w:tbl>
      <w:tblPr>
        <w:tblStyle w:val="20"/>
        <w:tblW w:w="8409" w:type="dxa"/>
        <w:tblInd w:w="113" w:type="dxa"/>
        <w:tblLayout w:type="fixed"/>
        <w:tblCellMar>
          <w:top w:w="0" w:type="dxa"/>
          <w:left w:w="108" w:type="dxa"/>
          <w:bottom w:w="0" w:type="dxa"/>
          <w:right w:w="108" w:type="dxa"/>
        </w:tblCellMar>
      </w:tblPr>
      <w:tblGrid>
        <w:gridCol w:w="1271"/>
        <w:gridCol w:w="7138"/>
      </w:tblGrid>
      <w:tr>
        <w:tblPrEx>
          <w:tblCellMar>
            <w:top w:w="0" w:type="dxa"/>
            <w:left w:w="108" w:type="dxa"/>
            <w:bottom w:w="0" w:type="dxa"/>
            <w:right w:w="108" w:type="dxa"/>
          </w:tblCellMar>
        </w:tblPrEx>
        <w:trPr>
          <w:trHeight w:val="282"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hint="eastAsia" w:ascii="宋体" w:hAnsi="宋体"/>
                <w:b/>
                <w:szCs w:val="21"/>
              </w:rPr>
              <w:t>指标项</w:t>
            </w:r>
          </w:p>
        </w:tc>
        <w:tc>
          <w:tcPr>
            <w:tcW w:w="713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b/>
                <w:szCs w:val="21"/>
              </w:rPr>
            </w:pPr>
            <w:r>
              <w:rPr>
                <w:rFonts w:hint="eastAsia" w:ascii="宋体" w:hAnsi="宋体"/>
                <w:b/>
                <w:szCs w:val="21"/>
              </w:rPr>
              <w:t>具体要求</w:t>
            </w:r>
          </w:p>
        </w:tc>
      </w:tr>
      <w:tr>
        <w:tblPrEx>
          <w:tblCellMar>
            <w:top w:w="0" w:type="dxa"/>
            <w:left w:w="108" w:type="dxa"/>
            <w:bottom w:w="0" w:type="dxa"/>
            <w:right w:w="108" w:type="dxa"/>
          </w:tblCellMar>
        </w:tblPrEx>
        <w:trPr>
          <w:trHeight w:val="346"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RDS云数据库</w:t>
            </w:r>
          </w:p>
        </w:tc>
        <w:tc>
          <w:tcPr>
            <w:tcW w:w="713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bCs/>
                <w:szCs w:val="21"/>
              </w:rPr>
            </w:pPr>
            <w:r>
              <w:rPr>
                <w:rFonts w:hint="eastAsia" w:ascii="宋体" w:hAnsi="宋体"/>
                <w:bCs/>
                <w:szCs w:val="21"/>
              </w:rPr>
              <w:t>支持主流的开源和商用数据库引擎，开源产品如MySQL和PostgreSQL。</w:t>
            </w:r>
          </w:p>
          <w:p>
            <w:pPr>
              <w:spacing w:line="360" w:lineRule="auto"/>
              <w:jc w:val="left"/>
              <w:rPr>
                <w:rFonts w:ascii="宋体" w:hAnsi="宋体"/>
                <w:bCs/>
                <w:szCs w:val="21"/>
              </w:rPr>
            </w:pPr>
            <w:r>
              <w:rPr>
                <w:rFonts w:hint="eastAsia" w:ascii="宋体" w:hAnsi="宋体"/>
                <w:bCs/>
                <w:szCs w:val="21"/>
              </w:rPr>
              <w:t>云数据库需要支持可弹性伸缩的在线数据库服务，支持在线平滑升降级，计算能力、存储容量和总IOPS同步线性扩容。</w:t>
            </w:r>
          </w:p>
          <w:p>
            <w:pPr>
              <w:spacing w:line="360" w:lineRule="auto"/>
              <w:jc w:val="left"/>
              <w:rPr>
                <w:rFonts w:ascii="宋体" w:hAnsi="宋体"/>
                <w:bCs/>
                <w:szCs w:val="21"/>
              </w:rPr>
            </w:pPr>
            <w:r>
              <w:rPr>
                <w:rFonts w:hint="eastAsia" w:ascii="宋体" w:hAnsi="宋体"/>
                <w:bCs/>
                <w:szCs w:val="21"/>
              </w:rPr>
              <w:t>基于全SSD盘高性能存储。</w:t>
            </w:r>
          </w:p>
          <w:p>
            <w:pPr>
              <w:spacing w:line="360" w:lineRule="auto"/>
              <w:jc w:val="left"/>
              <w:rPr>
                <w:rFonts w:ascii="宋体" w:hAnsi="宋体"/>
                <w:bCs/>
                <w:szCs w:val="21"/>
              </w:rPr>
            </w:pPr>
            <w:r>
              <w:rPr>
                <w:rFonts w:hint="eastAsia" w:ascii="宋体" w:hAnsi="宋体"/>
                <w:bCs/>
                <w:szCs w:val="21"/>
              </w:rPr>
              <w:t>采用全冗余架构，无单点故障，每个关系型数据库实例均实现主从热备。</w:t>
            </w:r>
          </w:p>
          <w:p>
            <w:pPr>
              <w:spacing w:line="360" w:lineRule="auto"/>
              <w:jc w:val="left"/>
              <w:rPr>
                <w:rFonts w:ascii="宋体" w:hAnsi="宋体"/>
                <w:bCs/>
                <w:szCs w:val="21"/>
              </w:rPr>
            </w:pPr>
            <w:r>
              <w:rPr>
                <w:rFonts w:hint="eastAsia" w:ascii="宋体" w:hAnsi="宋体"/>
                <w:bCs/>
                <w:szCs w:val="21"/>
              </w:rPr>
              <w:t>并提供完善的备份、恢复机制，用户可按需备份并恢复到指定时间点。</w:t>
            </w:r>
          </w:p>
          <w:p>
            <w:pPr>
              <w:spacing w:line="360" w:lineRule="auto"/>
              <w:jc w:val="left"/>
              <w:rPr>
                <w:rFonts w:ascii="宋体" w:hAnsi="宋体"/>
                <w:bCs/>
                <w:szCs w:val="21"/>
              </w:rPr>
            </w:pPr>
            <w:r>
              <w:rPr>
                <w:rFonts w:hint="eastAsia" w:ascii="宋体" w:hAnsi="宋体"/>
                <w:bCs/>
                <w:szCs w:val="21"/>
              </w:rPr>
              <w:t>支持自动备份到对象存储或用户设备，无需本地转储。</w:t>
            </w:r>
          </w:p>
          <w:p>
            <w:pPr>
              <w:spacing w:line="360" w:lineRule="auto"/>
              <w:jc w:val="left"/>
              <w:rPr>
                <w:rFonts w:ascii="宋体" w:hAnsi="宋体"/>
                <w:bCs/>
                <w:szCs w:val="21"/>
              </w:rPr>
            </w:pPr>
            <w:r>
              <w:rPr>
                <w:rFonts w:hint="eastAsia" w:ascii="宋体" w:hAnsi="宋体"/>
                <w:bCs/>
                <w:szCs w:val="21"/>
              </w:rPr>
              <w:t>提供关系型数据库实例的在线扩容、自定义备份、数据恢复、性能监测分析、异常告警、日志管理等功能。</w:t>
            </w:r>
          </w:p>
          <w:p>
            <w:pPr>
              <w:spacing w:line="360" w:lineRule="auto"/>
              <w:jc w:val="left"/>
              <w:rPr>
                <w:rFonts w:ascii="宋体" w:hAnsi="宋体"/>
                <w:bCs/>
                <w:szCs w:val="21"/>
              </w:rPr>
            </w:pPr>
            <w:r>
              <w:rPr>
                <w:rFonts w:hint="eastAsia" w:ascii="宋体" w:hAnsi="宋体"/>
                <w:bCs/>
                <w:szCs w:val="21"/>
              </w:rPr>
              <w:t>为了满足大量读请求的应用场景，需要支持原生只读实例和读写分离功能，可支持不少于5个只读实例，自动实现读写分离以及读节点间的负载均衡。</w:t>
            </w:r>
          </w:p>
          <w:p>
            <w:pPr>
              <w:spacing w:line="360" w:lineRule="auto"/>
              <w:jc w:val="left"/>
              <w:rPr>
                <w:rFonts w:ascii="宋体" w:hAnsi="宋体"/>
                <w:bCs/>
                <w:szCs w:val="21"/>
              </w:rPr>
            </w:pPr>
            <w:r>
              <w:rPr>
                <w:rFonts w:hint="eastAsia" w:ascii="宋体" w:hAnsi="宋体"/>
                <w:bCs/>
                <w:szCs w:val="21"/>
              </w:rPr>
              <w:t>支持一键同城容灾和异地容灾部署；可实现计划内、计划外的跨机房切换。</w:t>
            </w:r>
          </w:p>
          <w:p>
            <w:pPr>
              <w:spacing w:line="360" w:lineRule="auto"/>
              <w:jc w:val="left"/>
              <w:rPr>
                <w:rFonts w:ascii="宋体" w:hAnsi="宋体"/>
                <w:bCs/>
                <w:szCs w:val="21"/>
              </w:rPr>
            </w:pPr>
            <w:r>
              <w:rPr>
                <w:rFonts w:hint="eastAsia" w:ascii="宋体" w:hAnsi="宋体"/>
                <w:bCs/>
                <w:szCs w:val="21"/>
              </w:rPr>
              <w:t>支持主流的数据库引擎数据导入导出。</w:t>
            </w:r>
          </w:p>
          <w:p>
            <w:pPr>
              <w:spacing w:line="360" w:lineRule="auto"/>
              <w:jc w:val="left"/>
              <w:rPr>
                <w:rFonts w:hint="eastAsia"/>
              </w:rPr>
            </w:pPr>
            <w:r>
              <w:rPr>
                <w:rFonts w:hint="eastAsia" w:ascii="宋体" w:hAnsi="宋体"/>
                <w:bCs/>
                <w:szCs w:val="21"/>
              </w:rPr>
              <w:t>配置30TB的SSD存储空间，每个云数据库实例的性能指标可满足：IOPS≥12000，最大链接数≥2000。将数据库作为一种服务，能够实现多种类型数据库的即开即用、弹性扩展。支持MySQL、SQL Server、PGSQL、PPAS等数据库类型。</w:t>
            </w:r>
          </w:p>
        </w:tc>
      </w:tr>
      <w:tr>
        <w:tblPrEx>
          <w:tblCellMar>
            <w:top w:w="0" w:type="dxa"/>
            <w:left w:w="108" w:type="dxa"/>
            <w:bottom w:w="0" w:type="dxa"/>
            <w:right w:w="108" w:type="dxa"/>
          </w:tblCellMar>
        </w:tblPrEx>
        <w:trPr>
          <w:trHeight w:val="324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对象存储</w:t>
            </w:r>
          </w:p>
        </w:tc>
        <w:tc>
          <w:tcPr>
            <w:tcW w:w="713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bCs/>
                <w:szCs w:val="21"/>
              </w:rPr>
            </w:pPr>
            <w:r>
              <w:rPr>
                <w:rFonts w:hint="eastAsia" w:ascii="宋体" w:hAnsi="宋体"/>
                <w:bCs/>
                <w:szCs w:val="21"/>
              </w:rPr>
              <w:t>支持与平台无关的RESTful API接口和支持S3接口。</w:t>
            </w:r>
          </w:p>
          <w:p>
            <w:pPr>
              <w:spacing w:line="360" w:lineRule="auto"/>
              <w:jc w:val="left"/>
              <w:rPr>
                <w:rFonts w:ascii="宋体" w:hAnsi="宋体"/>
                <w:bCs/>
                <w:szCs w:val="21"/>
              </w:rPr>
            </w:pPr>
            <w:r>
              <w:rPr>
                <w:rFonts w:hint="eastAsia" w:ascii="宋体" w:hAnsi="宋体"/>
                <w:bCs/>
                <w:szCs w:val="21"/>
              </w:rPr>
              <w:t>支持按照前缀过滤和分页，支持获取对象的指定部分内容。</w:t>
            </w:r>
          </w:p>
          <w:p>
            <w:pPr>
              <w:spacing w:line="360" w:lineRule="auto"/>
              <w:jc w:val="left"/>
              <w:rPr>
                <w:rFonts w:ascii="宋体" w:hAnsi="宋体"/>
                <w:bCs/>
                <w:szCs w:val="21"/>
              </w:rPr>
            </w:pPr>
            <w:r>
              <w:rPr>
                <w:rFonts w:hint="eastAsia" w:ascii="宋体" w:hAnsi="宋体"/>
                <w:bCs/>
                <w:szCs w:val="21"/>
              </w:rPr>
              <w:t>支持大规模结构化、半结构化、非结构化数据存储。</w:t>
            </w:r>
          </w:p>
          <w:p>
            <w:pPr>
              <w:spacing w:line="360" w:lineRule="auto"/>
              <w:jc w:val="left"/>
              <w:rPr>
                <w:rFonts w:ascii="宋体" w:hAnsi="宋体"/>
                <w:bCs/>
                <w:szCs w:val="21"/>
              </w:rPr>
            </w:pPr>
            <w:r>
              <w:rPr>
                <w:rFonts w:hint="eastAsia" w:ascii="宋体" w:hAnsi="宋体"/>
                <w:bCs/>
                <w:szCs w:val="21"/>
              </w:rPr>
              <w:t>提供分布式存储服务，用于存储视频、图片、文档等数据，满足对存储对象的读、写、删除、拷贝、查找等基本功能。</w:t>
            </w:r>
          </w:p>
          <w:p>
            <w:pPr>
              <w:spacing w:line="360" w:lineRule="auto"/>
              <w:jc w:val="left"/>
              <w:rPr>
                <w:rFonts w:ascii="宋体" w:hAnsi="宋体"/>
                <w:bCs/>
                <w:szCs w:val="21"/>
              </w:rPr>
            </w:pPr>
            <w:r>
              <w:rPr>
                <w:rFonts w:hint="eastAsia" w:ascii="宋体" w:hAnsi="宋体"/>
                <w:bCs/>
                <w:szCs w:val="21"/>
              </w:rPr>
              <w:t>支持主子账号功能保证数据安全性。</w:t>
            </w:r>
          </w:p>
          <w:p>
            <w:pPr>
              <w:spacing w:line="360" w:lineRule="auto"/>
              <w:jc w:val="left"/>
              <w:rPr>
                <w:rFonts w:ascii="宋体" w:hAnsi="宋体"/>
                <w:bCs/>
                <w:szCs w:val="21"/>
              </w:rPr>
            </w:pPr>
            <w:r>
              <w:rPr>
                <w:rFonts w:hint="eastAsia" w:ascii="宋体" w:hAnsi="宋体"/>
                <w:bCs/>
                <w:szCs w:val="21"/>
              </w:rPr>
              <w:t>提供日志记录功能，方便追查访问来源以及进行多维度的统计分析。</w:t>
            </w:r>
          </w:p>
          <w:p>
            <w:pPr>
              <w:spacing w:line="360" w:lineRule="auto"/>
              <w:jc w:val="left"/>
              <w:rPr>
                <w:rFonts w:ascii="宋体" w:hAnsi="宋体"/>
                <w:bCs/>
                <w:szCs w:val="21"/>
              </w:rPr>
            </w:pPr>
            <w:r>
              <w:rPr>
                <w:rFonts w:hint="eastAsia" w:ascii="宋体" w:hAnsi="宋体"/>
                <w:bCs/>
                <w:szCs w:val="21"/>
              </w:rPr>
              <w:t>采用全分布式架构，支持横向扩展和海量数据并发处理。配置不少于50TB对象存储可用空间。提供不少于50TB的云对象存储软件使用授权许可。                                         支持纯软件部署，可通过X86服务器实现部署和扩展。</w:t>
            </w:r>
          </w:p>
          <w:p>
            <w:pPr>
              <w:spacing w:line="360" w:lineRule="auto"/>
              <w:jc w:val="left"/>
              <w:rPr>
                <w:rFonts w:hint="eastAsia"/>
              </w:rPr>
            </w:pPr>
            <w:r>
              <w:rPr>
                <w:rFonts w:hint="eastAsia" w:ascii="宋体" w:hAnsi="宋体"/>
                <w:bCs/>
                <w:szCs w:val="21"/>
              </w:rPr>
              <w:t>存储容量可无限扩展支持通过接口进行图片处理，支持jpg，png， bmp， gif， webp， tiff等多种图片格式的文件格式转换、缩略图、剪裁、水印、缩放、图片锐化等多种操作。</w:t>
            </w:r>
          </w:p>
        </w:tc>
      </w:tr>
    </w:tbl>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10、省市公共数据平台对接服务</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依据《公共数据平台建设导则》，提供省市数据对接服务，包括梳理数据资源目录，在省市专区建设人口、法人、信用、空间基础信息库，构建数据分析应用，提供数据高铁建设及相关服务。</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在全省公共数据平台上开通台州专区，提供大数据计算服务、分析和开发服务，满足全市数据使用要求。</w:t>
      </w:r>
    </w:p>
    <w:p>
      <w:pPr>
        <w:pStyle w:val="5"/>
      </w:pPr>
      <w:r>
        <w:t>10.1数据资源目录</w:t>
      </w:r>
      <w:r>
        <w:rPr>
          <w:rFonts w:hint="eastAsia"/>
        </w:rPr>
        <w:t>梳理</w:t>
      </w:r>
      <w:r>
        <w:t>服务</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参考省政务信息资源目录标准，结合台州市地方数据实际情况，调查摸排，梳理并形成《台州市电子政务信息资源共享目录》，对其进行管理和维护。</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数据资源目录梳理服务包括目录分类、目录编制、目录审核、修订出版、目录维护等服务。</w:t>
      </w:r>
    </w:p>
    <w:p>
      <w:pPr>
        <w:pStyle w:val="2"/>
      </w:pPr>
    </w:p>
    <w:tbl>
      <w:tblPr>
        <w:tblStyle w:val="20"/>
        <w:tblW w:w="8409" w:type="dxa"/>
        <w:tblInd w:w="113" w:type="dxa"/>
        <w:tblLayout w:type="fixed"/>
        <w:tblCellMar>
          <w:top w:w="0" w:type="dxa"/>
          <w:left w:w="108" w:type="dxa"/>
          <w:bottom w:w="0" w:type="dxa"/>
          <w:right w:w="108" w:type="dxa"/>
        </w:tblCellMar>
      </w:tblPr>
      <w:tblGrid>
        <w:gridCol w:w="1555"/>
        <w:gridCol w:w="6854"/>
      </w:tblGrid>
      <w:tr>
        <w:tblPrEx>
          <w:tblCellMar>
            <w:top w:w="0" w:type="dxa"/>
            <w:left w:w="108" w:type="dxa"/>
            <w:bottom w:w="0" w:type="dxa"/>
            <w:right w:w="108" w:type="dxa"/>
          </w:tblCellMar>
        </w:tblPrEx>
        <w:trPr>
          <w:trHeight w:val="282"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b/>
                <w:szCs w:val="21"/>
              </w:rPr>
            </w:pPr>
            <w:r>
              <w:rPr>
                <w:rFonts w:hint="eastAsia" w:ascii="宋体" w:hAnsi="宋体"/>
                <w:b/>
                <w:szCs w:val="21"/>
              </w:rPr>
              <w:t>服务项</w:t>
            </w:r>
          </w:p>
        </w:tc>
        <w:tc>
          <w:tcPr>
            <w:tcW w:w="685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b/>
                <w:szCs w:val="21"/>
              </w:rPr>
            </w:pPr>
            <w:r>
              <w:rPr>
                <w:rFonts w:hint="eastAsia" w:ascii="宋体" w:hAnsi="宋体"/>
                <w:b/>
                <w:szCs w:val="21"/>
              </w:rPr>
              <w:t>服务要求</w:t>
            </w:r>
          </w:p>
        </w:tc>
      </w:tr>
      <w:tr>
        <w:tblPrEx>
          <w:tblCellMar>
            <w:top w:w="0" w:type="dxa"/>
            <w:left w:w="108" w:type="dxa"/>
            <w:bottom w:w="0" w:type="dxa"/>
            <w:right w:w="108" w:type="dxa"/>
          </w:tblCellMar>
        </w:tblPrEx>
        <w:trPr>
          <w:trHeight w:val="510" w:hRule="atLeast"/>
        </w:trPr>
        <w:tc>
          <w:tcPr>
            <w:tcW w:w="155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Cs/>
                <w:szCs w:val="21"/>
              </w:rPr>
            </w:pPr>
            <w:r>
              <w:rPr>
                <w:rFonts w:hint="eastAsia" w:ascii="宋体" w:hAnsi="宋体"/>
                <w:bCs/>
                <w:szCs w:val="21"/>
              </w:rPr>
              <w:t>目录分类</w:t>
            </w:r>
          </w:p>
        </w:tc>
        <w:tc>
          <w:tcPr>
            <w:tcW w:w="685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bCs/>
                <w:szCs w:val="21"/>
              </w:rPr>
            </w:pPr>
            <w:r>
              <w:rPr>
                <w:rFonts w:hint="eastAsia" w:ascii="宋体" w:hAnsi="宋体"/>
                <w:bCs/>
                <w:szCs w:val="21"/>
              </w:rPr>
              <w:t>提供目录的资源属性分类、涉密属性分类、层级属性分类服务。</w:t>
            </w:r>
          </w:p>
        </w:tc>
      </w:tr>
      <w:tr>
        <w:tblPrEx>
          <w:tblCellMar>
            <w:top w:w="0" w:type="dxa"/>
            <w:left w:w="108" w:type="dxa"/>
            <w:bottom w:w="0" w:type="dxa"/>
            <w:right w:w="108" w:type="dxa"/>
          </w:tblCellMar>
        </w:tblPrEx>
        <w:trPr>
          <w:trHeight w:val="720" w:hRule="atLeast"/>
        </w:trPr>
        <w:tc>
          <w:tcPr>
            <w:tcW w:w="155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Cs/>
                <w:szCs w:val="21"/>
              </w:rPr>
            </w:pPr>
            <w:r>
              <w:rPr>
                <w:rFonts w:hint="eastAsia" w:ascii="宋体" w:hAnsi="宋体"/>
                <w:bCs/>
                <w:szCs w:val="21"/>
              </w:rPr>
              <w:t>目录编制</w:t>
            </w:r>
          </w:p>
        </w:tc>
        <w:tc>
          <w:tcPr>
            <w:tcW w:w="685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bCs/>
                <w:szCs w:val="21"/>
              </w:rPr>
            </w:pPr>
            <w:r>
              <w:rPr>
                <w:rFonts w:hint="eastAsia" w:ascii="宋体" w:hAnsi="宋体"/>
                <w:bCs/>
                <w:szCs w:val="21"/>
              </w:rPr>
              <w:t>对目录相关属性进行编制录入的功能，包括目录类型、生成方式、目录元数据、交换范围、权限等级、所属分类等目录信的息维护功能。</w:t>
            </w:r>
          </w:p>
        </w:tc>
      </w:tr>
      <w:tr>
        <w:tblPrEx>
          <w:tblCellMar>
            <w:top w:w="0" w:type="dxa"/>
            <w:left w:w="108" w:type="dxa"/>
            <w:bottom w:w="0" w:type="dxa"/>
            <w:right w:w="108" w:type="dxa"/>
          </w:tblCellMar>
        </w:tblPrEx>
        <w:trPr>
          <w:trHeight w:val="564" w:hRule="atLeast"/>
        </w:trPr>
        <w:tc>
          <w:tcPr>
            <w:tcW w:w="155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Cs/>
                <w:szCs w:val="21"/>
              </w:rPr>
            </w:pPr>
            <w:r>
              <w:rPr>
                <w:rFonts w:hint="eastAsia" w:ascii="宋体" w:hAnsi="宋体"/>
                <w:bCs/>
                <w:szCs w:val="21"/>
              </w:rPr>
              <w:t>目录审核</w:t>
            </w:r>
          </w:p>
        </w:tc>
        <w:tc>
          <w:tcPr>
            <w:tcW w:w="685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bCs/>
                <w:szCs w:val="21"/>
              </w:rPr>
            </w:pPr>
            <w:r>
              <w:rPr>
                <w:rFonts w:hint="eastAsia" w:ascii="宋体" w:hAnsi="宋体"/>
                <w:bCs/>
                <w:szCs w:val="21"/>
              </w:rPr>
              <w:t>审核目录内容，包括公共政务信息资源核心元数据和交换服务信息资源核心元数据。记录审核结果和审核意见，并能够返回目录编制岗位重新修改。</w:t>
            </w:r>
          </w:p>
        </w:tc>
      </w:tr>
      <w:tr>
        <w:tblPrEx>
          <w:tblCellMar>
            <w:top w:w="0" w:type="dxa"/>
            <w:left w:w="108" w:type="dxa"/>
            <w:bottom w:w="0" w:type="dxa"/>
            <w:right w:w="108" w:type="dxa"/>
          </w:tblCellMar>
        </w:tblPrEx>
        <w:trPr>
          <w:trHeight w:val="282" w:hRule="atLeast"/>
        </w:trPr>
        <w:tc>
          <w:tcPr>
            <w:tcW w:w="155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Cs/>
                <w:szCs w:val="21"/>
              </w:rPr>
            </w:pPr>
            <w:r>
              <w:rPr>
                <w:rFonts w:hint="eastAsia" w:ascii="宋体" w:hAnsi="宋体"/>
                <w:bCs/>
                <w:szCs w:val="21"/>
              </w:rPr>
              <w:t>目录出版</w:t>
            </w:r>
          </w:p>
        </w:tc>
        <w:tc>
          <w:tcPr>
            <w:tcW w:w="685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bCs/>
                <w:szCs w:val="21"/>
              </w:rPr>
            </w:pPr>
            <w:r>
              <w:rPr>
                <w:rFonts w:hint="eastAsia" w:ascii="宋体" w:hAnsi="宋体"/>
                <w:bCs/>
                <w:szCs w:val="21"/>
              </w:rPr>
              <w:t>根据系统目录，提供《电子政务信息资源共享目录》的出版服务。</w:t>
            </w:r>
          </w:p>
        </w:tc>
      </w:tr>
      <w:tr>
        <w:tblPrEx>
          <w:tblCellMar>
            <w:top w:w="0" w:type="dxa"/>
            <w:left w:w="108" w:type="dxa"/>
            <w:bottom w:w="0" w:type="dxa"/>
            <w:right w:w="108" w:type="dxa"/>
          </w:tblCellMar>
        </w:tblPrEx>
        <w:trPr>
          <w:trHeight w:val="282" w:hRule="atLeast"/>
        </w:trPr>
        <w:tc>
          <w:tcPr>
            <w:tcW w:w="155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Cs/>
                <w:szCs w:val="21"/>
              </w:rPr>
            </w:pPr>
            <w:r>
              <w:rPr>
                <w:rFonts w:hint="eastAsia" w:ascii="宋体" w:hAnsi="宋体"/>
                <w:bCs/>
                <w:szCs w:val="21"/>
              </w:rPr>
              <w:t>目录维护</w:t>
            </w:r>
          </w:p>
        </w:tc>
        <w:tc>
          <w:tcPr>
            <w:tcW w:w="685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bCs/>
                <w:szCs w:val="21"/>
              </w:rPr>
            </w:pPr>
            <w:r>
              <w:rPr>
                <w:rFonts w:hint="eastAsia" w:ascii="宋体" w:hAnsi="宋体"/>
                <w:bCs/>
                <w:szCs w:val="21"/>
              </w:rPr>
              <w:t>提供日常性的目录分类维护、目录维护服务。</w:t>
            </w:r>
          </w:p>
        </w:tc>
      </w:tr>
    </w:tbl>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结合浙江省实际情况，推行省市数据同步机制。通过统一《政府数据资源目录》，实现市级数据规范化开放和省级数据规范化接入。</w:t>
      </w:r>
    </w:p>
    <w:p>
      <w:pPr>
        <w:pStyle w:val="5"/>
      </w:pPr>
      <w:r>
        <w:rPr>
          <w:rFonts w:hint="eastAsia"/>
        </w:rPr>
        <w:t>10.2</w:t>
      </w:r>
      <w:r>
        <w:t>基础信息库搭建</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根据浙江省人口库标准和规范，根据台州行政区域进行数据切片，接入人口、法人、信用、空间基础资源库，支撑本地数据融合与分析应用。</w:t>
      </w:r>
    </w:p>
    <w:p>
      <w:pPr>
        <w:pStyle w:val="6"/>
      </w:pPr>
      <w:r>
        <w:rPr>
          <w:rFonts w:hint="eastAsia"/>
        </w:rPr>
        <w:t>10.2.1人口基础信息库</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人口基础信息库采集来源单位包括公安局、人力社保局、民政局、卫健委等部门。主要包括但不限于以下信息：</w:t>
      </w:r>
    </w:p>
    <w:tbl>
      <w:tblPr>
        <w:tblStyle w:val="20"/>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7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基本信息</w:t>
            </w:r>
          </w:p>
        </w:tc>
        <w:tc>
          <w:tcPr>
            <w:tcW w:w="7025" w:type="dxa"/>
            <w:vAlign w:val="center"/>
          </w:tcPr>
          <w:p>
            <w:pPr>
              <w:spacing w:line="360" w:lineRule="auto"/>
              <w:jc w:val="left"/>
              <w:rPr>
                <w:rFonts w:ascii="宋体" w:hAnsi="宋体"/>
                <w:bCs/>
                <w:szCs w:val="21"/>
              </w:rPr>
            </w:pPr>
            <w:r>
              <w:rPr>
                <w:rFonts w:hint="eastAsia" w:ascii="宋体" w:hAnsi="宋体"/>
                <w:bCs/>
                <w:szCs w:val="21"/>
              </w:rPr>
              <w:t>登记信息（基本登记信息、身份证件信息）、生理状态（出生信息、生理特征、死亡信息）、家庭信息（户籍信息、婚姻信息、户籍迁移信息、亲缘关系信息）、联系信息（电子邮箱、联系地址、联系电话）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资产信息</w:t>
            </w:r>
          </w:p>
        </w:tc>
        <w:tc>
          <w:tcPr>
            <w:tcW w:w="7025" w:type="dxa"/>
            <w:vAlign w:val="center"/>
          </w:tcPr>
          <w:p>
            <w:pPr>
              <w:spacing w:line="360" w:lineRule="auto"/>
              <w:jc w:val="left"/>
              <w:rPr>
                <w:rFonts w:ascii="宋体" w:hAnsi="宋体"/>
                <w:bCs/>
                <w:szCs w:val="21"/>
              </w:rPr>
            </w:pPr>
            <w:r>
              <w:rPr>
                <w:rFonts w:hint="eastAsia" w:ascii="宋体" w:hAnsi="宋体"/>
                <w:bCs/>
                <w:szCs w:val="21"/>
              </w:rPr>
              <w:t>实物资产（土地建筑及附着物、装备及设备、家具/用具及动植物、资产处置）、无形资产（知识产权、信息数据）、金融资产（保险资产、货币资产、有价证券）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社会活动</w:t>
            </w:r>
          </w:p>
        </w:tc>
        <w:tc>
          <w:tcPr>
            <w:tcW w:w="7025" w:type="dxa"/>
            <w:vAlign w:val="center"/>
          </w:tcPr>
          <w:p>
            <w:pPr>
              <w:spacing w:line="360" w:lineRule="auto"/>
              <w:jc w:val="left"/>
              <w:rPr>
                <w:rFonts w:ascii="宋体" w:hAnsi="宋体"/>
                <w:bCs/>
                <w:szCs w:val="21"/>
              </w:rPr>
            </w:pPr>
            <w:r>
              <w:rPr>
                <w:rFonts w:hint="eastAsia" w:ascii="宋体" w:hAnsi="宋体"/>
                <w:bCs/>
                <w:szCs w:val="21"/>
              </w:rPr>
              <w:t>基本生活（公共支付、交通出行、旅馆住宿、邮政物流）、医疗卫生（计生信息）、科技与教育（检查与检验信息、门诊与住院信息、学生信息、考试信息、科研信息）、就业社保（就业信息、失业信息、纳税信息、退休信息、社保信息、社保缴纳记录、住房公积金、救助信息）、文化体育（文体活动、网吧上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资质荣誉</w:t>
            </w:r>
          </w:p>
        </w:tc>
        <w:tc>
          <w:tcPr>
            <w:tcW w:w="7025" w:type="dxa"/>
            <w:vAlign w:val="center"/>
          </w:tcPr>
          <w:p>
            <w:pPr>
              <w:spacing w:line="360" w:lineRule="auto"/>
              <w:jc w:val="left"/>
              <w:rPr>
                <w:rFonts w:ascii="宋体" w:hAnsi="宋体"/>
                <w:bCs/>
                <w:szCs w:val="21"/>
              </w:rPr>
            </w:pPr>
            <w:r>
              <w:rPr>
                <w:rFonts w:hint="eastAsia" w:ascii="宋体" w:hAnsi="宋体"/>
                <w:bCs/>
                <w:szCs w:val="21"/>
              </w:rPr>
              <w:t>执业资格（执业资格基本信息、执业资格内容信息）、能力资质（能力资质基本信息、能力资质内容信息）、荣誉表彰（荣誉基本信息、荣誉内容信息、行政奖励、捐赠信息）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涉世涉法信息</w:t>
            </w:r>
          </w:p>
        </w:tc>
        <w:tc>
          <w:tcPr>
            <w:tcW w:w="7025" w:type="dxa"/>
            <w:vAlign w:val="center"/>
          </w:tcPr>
          <w:p>
            <w:pPr>
              <w:spacing w:line="360" w:lineRule="auto"/>
              <w:jc w:val="left"/>
              <w:rPr>
                <w:rFonts w:ascii="宋体" w:hAnsi="宋体"/>
                <w:bCs/>
                <w:szCs w:val="21"/>
              </w:rPr>
            </w:pPr>
            <w:r>
              <w:rPr>
                <w:rFonts w:hint="eastAsia" w:ascii="宋体" w:hAnsi="宋体"/>
                <w:bCs/>
                <w:szCs w:val="21"/>
              </w:rPr>
              <w:t>行政监管（行政处罚、行政裁决、行政给付、行政强制、行政确认、行政征收）、司法信息（未履行生效裁判情况、强制执行信息、法律援助、其他司法信息）、违纪违规和违约（违纪信息、违规信息、违约信息）、信访举报和投诉（信访信息、举报信息、投诉信息）、其他涉事涉法信息（重点管控信息）</w:t>
            </w:r>
          </w:p>
        </w:tc>
      </w:tr>
    </w:tbl>
    <w:p>
      <w:pPr>
        <w:widowControl/>
        <w:tabs>
          <w:tab w:val="left" w:pos="0"/>
        </w:tabs>
        <w:spacing w:line="360" w:lineRule="auto"/>
        <w:ind w:firstLine="420" w:firstLineChars="200"/>
      </w:pPr>
    </w:p>
    <w:p>
      <w:pPr>
        <w:pStyle w:val="6"/>
      </w:pPr>
      <w:r>
        <w:rPr>
          <w:rFonts w:hint="eastAsia"/>
        </w:rPr>
        <w:t>10.2.2法人基础信息库</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法人基础信息库采集来源单位包括市场监督局、财政局、税务局、建设局、人社局、民政局、卫健委、公安局、生态环保局、统计局、海关等等部门。主要包括但不限于以下信息：</w:t>
      </w:r>
    </w:p>
    <w:tbl>
      <w:tblPr>
        <w:tblStyle w:val="20"/>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6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基本信息</w:t>
            </w:r>
          </w:p>
        </w:tc>
        <w:tc>
          <w:tcPr>
            <w:tcW w:w="6174" w:type="dxa"/>
            <w:vAlign w:val="center"/>
          </w:tcPr>
          <w:p>
            <w:pPr>
              <w:spacing w:line="360" w:lineRule="auto"/>
              <w:jc w:val="left"/>
              <w:rPr>
                <w:rFonts w:ascii="宋体" w:hAnsi="宋体"/>
                <w:bCs/>
                <w:szCs w:val="21"/>
              </w:rPr>
            </w:pPr>
            <w:r>
              <w:rPr>
                <w:rFonts w:hint="eastAsia" w:ascii="宋体" w:hAnsi="宋体"/>
                <w:bCs/>
                <w:szCs w:val="21"/>
              </w:rPr>
              <w:t>法人（含企业法人、社团、民办非企业单位、事业单位、个体工商户等）登记信息、存续状态、成员、人员信息、场所等信息。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资本与资产</w:t>
            </w:r>
          </w:p>
        </w:tc>
        <w:tc>
          <w:tcPr>
            <w:tcW w:w="6174" w:type="dxa"/>
            <w:vAlign w:val="center"/>
          </w:tcPr>
          <w:p>
            <w:pPr>
              <w:spacing w:line="360" w:lineRule="auto"/>
              <w:jc w:val="left"/>
              <w:rPr>
                <w:rFonts w:ascii="宋体" w:hAnsi="宋体"/>
                <w:bCs/>
                <w:szCs w:val="21"/>
              </w:rPr>
            </w:pPr>
            <w:r>
              <w:rPr>
                <w:rFonts w:hint="eastAsia" w:ascii="宋体" w:hAnsi="宋体"/>
                <w:bCs/>
                <w:szCs w:val="21"/>
              </w:rPr>
              <w:t>资本信息（法人单位出资、股权结构、财务报表等相关信息），固定资产信息、无形资产、其他资产信息等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许可、资质与荣誉</w:t>
            </w:r>
          </w:p>
        </w:tc>
        <w:tc>
          <w:tcPr>
            <w:tcW w:w="6174" w:type="dxa"/>
            <w:vAlign w:val="center"/>
          </w:tcPr>
          <w:p>
            <w:pPr>
              <w:spacing w:line="360" w:lineRule="auto"/>
              <w:jc w:val="left"/>
              <w:rPr>
                <w:rFonts w:ascii="宋体" w:hAnsi="宋体"/>
                <w:bCs/>
                <w:szCs w:val="21"/>
              </w:rPr>
            </w:pPr>
            <w:r>
              <w:rPr>
                <w:rFonts w:hint="eastAsia" w:ascii="宋体" w:hAnsi="宋体"/>
                <w:bCs/>
                <w:szCs w:val="21"/>
              </w:rPr>
              <w:t>许可信息、备案信息、资质信息、荣誉信息等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纳税、参保与缴费</w:t>
            </w:r>
          </w:p>
        </w:tc>
        <w:tc>
          <w:tcPr>
            <w:tcW w:w="6174" w:type="dxa"/>
            <w:vAlign w:val="center"/>
          </w:tcPr>
          <w:p>
            <w:pPr>
              <w:spacing w:line="360" w:lineRule="auto"/>
              <w:jc w:val="left"/>
              <w:rPr>
                <w:rFonts w:ascii="宋体" w:hAnsi="宋体"/>
                <w:bCs/>
                <w:szCs w:val="21"/>
              </w:rPr>
            </w:pPr>
            <w:r>
              <w:rPr>
                <w:rFonts w:hint="eastAsia" w:ascii="宋体" w:hAnsi="宋体"/>
                <w:bCs/>
                <w:szCs w:val="21"/>
              </w:rPr>
              <w:t>涉税信息（缴税、欠税、发票等）、五险一金、商业保险、公共支付等信息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生产经营</w:t>
            </w:r>
          </w:p>
        </w:tc>
        <w:tc>
          <w:tcPr>
            <w:tcW w:w="6174" w:type="dxa"/>
            <w:vAlign w:val="center"/>
          </w:tcPr>
          <w:p>
            <w:pPr>
              <w:spacing w:line="360" w:lineRule="auto"/>
              <w:jc w:val="left"/>
              <w:rPr>
                <w:rFonts w:ascii="宋体" w:hAnsi="宋体"/>
                <w:bCs/>
                <w:szCs w:val="21"/>
              </w:rPr>
            </w:pPr>
            <w:r>
              <w:rPr>
                <w:rFonts w:hint="eastAsia" w:ascii="宋体" w:hAnsi="宋体"/>
                <w:bCs/>
                <w:szCs w:val="21"/>
              </w:rPr>
              <w:t>农林牧渔、采矿、制造、电热水气、建筑、批发零售、交通运输、仓储与邮政、住宿餐饮、信息与软件、金融、房地产、租赁与商业服务、科研与技术服务、水利环境与共欧尼设施管理、居民服务、修理与其他服务、教育、卫生与社会工作、文体娱乐、公共管理、社会保障与组织、其他生产经营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行政执法</w:t>
            </w:r>
          </w:p>
        </w:tc>
        <w:tc>
          <w:tcPr>
            <w:tcW w:w="6174" w:type="dxa"/>
            <w:vAlign w:val="center"/>
          </w:tcPr>
          <w:p>
            <w:pPr>
              <w:spacing w:line="360" w:lineRule="auto"/>
              <w:jc w:val="left"/>
              <w:rPr>
                <w:rFonts w:ascii="宋体" w:hAnsi="宋体"/>
                <w:bCs/>
                <w:szCs w:val="21"/>
              </w:rPr>
            </w:pPr>
            <w:r>
              <w:rPr>
                <w:rFonts w:hint="eastAsia" w:ascii="宋体" w:hAnsi="宋体"/>
                <w:bCs/>
                <w:szCs w:val="21"/>
              </w:rPr>
              <w:t>行政处罚、行政强制、行政征收、行政裁决、行政确认、行政给付、监督检查、年检年报、安全监管信息、其他行政信息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司法信息</w:t>
            </w:r>
          </w:p>
        </w:tc>
        <w:tc>
          <w:tcPr>
            <w:tcW w:w="6174" w:type="dxa"/>
            <w:vAlign w:val="center"/>
          </w:tcPr>
          <w:p>
            <w:pPr>
              <w:spacing w:line="360" w:lineRule="auto"/>
              <w:jc w:val="left"/>
              <w:rPr>
                <w:rFonts w:ascii="宋体" w:hAnsi="宋体"/>
                <w:bCs/>
                <w:szCs w:val="21"/>
              </w:rPr>
            </w:pPr>
            <w:r>
              <w:rPr>
                <w:rFonts w:hint="eastAsia" w:ascii="宋体" w:hAnsi="宋体"/>
                <w:bCs/>
                <w:szCs w:val="21"/>
              </w:rPr>
              <w:t>司法案件信息、犯罪档案信息、强制执行信息、其他司法信息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信用评价</w:t>
            </w:r>
          </w:p>
        </w:tc>
        <w:tc>
          <w:tcPr>
            <w:tcW w:w="6174" w:type="dxa"/>
            <w:vAlign w:val="center"/>
          </w:tcPr>
          <w:p>
            <w:pPr>
              <w:spacing w:line="360" w:lineRule="auto"/>
              <w:jc w:val="left"/>
              <w:rPr>
                <w:rFonts w:ascii="宋体" w:hAnsi="宋体"/>
                <w:bCs/>
                <w:szCs w:val="21"/>
              </w:rPr>
            </w:pPr>
            <w:r>
              <w:rPr>
                <w:rFonts w:hint="eastAsia" w:ascii="宋体" w:hAnsi="宋体"/>
                <w:bCs/>
                <w:szCs w:val="21"/>
              </w:rPr>
              <w:t>信用监管信息、社会评价信息、其他信用信息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6174" w:type="dxa"/>
            <w:vAlign w:val="center"/>
          </w:tcPr>
          <w:p>
            <w:pPr>
              <w:spacing w:line="360" w:lineRule="auto"/>
              <w:jc w:val="left"/>
              <w:rPr>
                <w:rFonts w:ascii="宋体" w:hAnsi="宋体"/>
                <w:bCs/>
                <w:szCs w:val="21"/>
              </w:rPr>
            </w:pPr>
            <w:r>
              <w:rPr>
                <w:rFonts w:hint="eastAsia" w:ascii="宋体" w:hAnsi="宋体"/>
                <w:bCs/>
                <w:szCs w:val="21"/>
              </w:rPr>
              <w:t>其他未能包含在以上分类中的法人相关信息</w:t>
            </w:r>
          </w:p>
        </w:tc>
      </w:tr>
    </w:tbl>
    <w:p>
      <w:pPr>
        <w:widowControl/>
        <w:tabs>
          <w:tab w:val="left" w:pos="0"/>
        </w:tabs>
        <w:spacing w:line="360" w:lineRule="auto"/>
        <w:ind w:firstLine="420" w:firstLineChars="200"/>
      </w:pPr>
    </w:p>
    <w:p>
      <w:pPr>
        <w:pStyle w:val="6"/>
      </w:pPr>
      <w:r>
        <w:rPr>
          <w:rFonts w:hint="eastAsia"/>
        </w:rPr>
        <w:t>10.2.3信用基础信息库</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信用基础信息库采集来源单位包括市场监督局、财政局、税务局、建设局、人社局、民政局、卫健委、公安局、生态环保局、统计局、海关等。主要包括但不限于以下信息：</w:t>
      </w:r>
    </w:p>
    <w:tbl>
      <w:tblPr>
        <w:tblStyle w:val="20"/>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7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自然人信用信息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身份特质（身份证件、人口信息、人生节点（出生证明、婚姻信息、生育信息、死亡信息）、教育信息、从业记录、职业能力）、履约能力（纳税信息、社保保障、不动产信息、动产信息、知识产权）、遵纪守法（行政管理、司法处理、履约记录、从业行为、违章违纪）、经济行为（借贷信息、公用事业、房屋租赁、资产交易）、社会公德（公益服务、社会行为、慈善捐赠、公共信用、社会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企业信用信息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基础信息（登记注册信息、变更管理信息、企业人员信息）、经营情况（年度报告、财务报表信息、贷款担保、公共资源交易、固定资产、纳税遵从、评价评级）、管治能力（资质能力、产品质量、政府扶持、安全生产、公用事业信息、环境保护）、遵纪守法（行政管理、司法处理、履约情况、投诉举报）、社会责任（节能减排、社保缴纳、慈善捐赠、公共信用、社会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社会组织信用信息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基础信息（登记信息、年度报告、人员信息、评级评价）、互益能力（绩效评估、运营能力、运行规范）、经济行为（纳税遵从、信贷异常、公用事业信息）、遵纪守法（行政管理、司法处理、投诉举报）、社会责任（社保缴纳、公益服务、公共信用、社会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事业单位（公益服类）信用信息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基础信息（登记信息、年度报告、人员信息）、运营管理（财务数据、纳税遵从、公用事业信息）、公益服务（综合评定、服务能力、慈善救助）、遵纪守法（行政管理、司法处理）、社会责任（社保缴纳、投诉举报、公共信用、社会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事业单位（行政管理类）信用信息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政务公开（组织机构、权力事项）、勤政高效（业务统计、效能监督、服务改革）、依法行政（行政复议、行政诉讼、投诉举报、裁判旅行）、守信践诺（纪律处分、问责处理、政务诚信）、履职成效（目标考核、荣誉记录、检察建议、政务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事业单位（生产经营类）信用信息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基础信息（登记信息、变更信息、单位人员信息）、经营情况（年度报告、财务报表、贷款担保、公共资源交易、固定资产、纳税遵从、评价评级）、管治能力（资质能力、产品质量、政府扶持、安全生产、公共事业信息、环境保护）、遵纪守法遵纪守法（行政管理、司法处理、履约情况、投诉举报）、社会责任（节能减排、社保缴纳、慈善捐赠、公共信用、社会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政府机构（政府部门）信用信息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政务公开（组织机构、权力清单、政务舆情）、履职成效（政务舆情）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政府机构（地方政府）信用信息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城市发展（综合情况、人口和就业、固定资产投资、人民生活、农业、工业和能源、建筑业、交通运输和邮电通信、贸易和旅游、财政金融和保险、环境保护、科技创新）、关注领域（营商环境、政务诚信、土地使用权出让、地方债务、目标考核）、守信践诺（纪律处分、问责处理、司法处理）、社会和谐（投诉举报、慈善事业、政务舆情）、综合评价（城市排名、奖惩记录、视察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特征人群信用信息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关注人群（信访、**、戒毒、重点上访、社区矫正、重点青少年、群体事件当事人）、发改系统（信用服务机构评价人员）、教育系统（教师）、司法系统（基层法律服务工作者、司法鉴定人员、律师、法律顾问、公证员）、财政系统（注会、注册税务师、资产评估师、会计高端人才）、住建系统（建筑企业人员、房屋中介从业人员、勘察设计人员、注册建筑师、特种作业人员）、交通系统（出租车、道路危险货物从业人员、安全生产三类人员、货运驾驶、客运驾驶、道路运输、网约出租车驾驶员）、水利系统（水利建设人员）、卫健系统（护士、乡村医生、医师）、市场监督管理系统（企业法人代表、股东、投资人、发起人、企业财务负责人、执业药师）、应急系统（特种作业人员、注册安全工程师、危险品从业人员）、旅游系统（出境游领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pStyle w:val="18"/>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专项领域信用信息</w:t>
            </w:r>
          </w:p>
        </w:tc>
        <w:tc>
          <w:tcPr>
            <w:tcW w:w="7025" w:type="dxa"/>
            <w:vAlign w:val="center"/>
          </w:tcPr>
          <w:p>
            <w:pPr>
              <w:spacing w:line="360" w:lineRule="auto"/>
              <w:jc w:val="left"/>
              <w:rPr>
                <w:rFonts w:ascii="宋体" w:hAnsi="宋体"/>
                <w:bCs/>
                <w:szCs w:val="21"/>
              </w:rPr>
            </w:pPr>
            <w:r>
              <w:rPr>
                <w:rFonts w:hint="eastAsia" w:ascii="宋体" w:hAnsi="宋体"/>
                <w:bCs/>
                <w:szCs w:val="21"/>
              </w:rPr>
              <w:t>投资项目管理（项目基本信息、项目管理信息、项目用地信息）</w:t>
            </w:r>
          </w:p>
        </w:tc>
      </w:tr>
    </w:tbl>
    <w:p>
      <w:pPr>
        <w:widowControl/>
        <w:tabs>
          <w:tab w:val="left" w:pos="0"/>
        </w:tabs>
        <w:spacing w:line="360" w:lineRule="auto"/>
        <w:ind w:firstLine="420" w:firstLineChars="200"/>
      </w:pPr>
    </w:p>
    <w:p>
      <w:pPr>
        <w:pStyle w:val="6"/>
      </w:pPr>
      <w:r>
        <w:rPr>
          <w:rFonts w:hint="eastAsia"/>
        </w:rPr>
        <w:t>10.2.4空间基础信息库整合对接</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市自然资源和规划局的空间基础信息为基础，整合对接有关数据内容，制定统一数据标准、接入标准，接入发改、环保、住建、交通、水利、农业、林业等部门数据资源。同时，利用大数据平台的数据汇聚能力，采集具备地理属性的人、企业、信用、事件、经济等数据，参考市自然资源和规划局的空间基础信息的标准要求，丰富数据。</w:t>
      </w:r>
    </w:p>
    <w:p>
      <w:pPr>
        <w:pStyle w:val="5"/>
      </w:pPr>
      <w:r>
        <w:rPr>
          <w:rFonts w:hint="eastAsia"/>
        </w:rPr>
        <w:t>10.3构建数据应用</w:t>
      </w:r>
    </w:p>
    <w:p>
      <w:pPr>
        <w:pStyle w:val="6"/>
      </w:pPr>
      <w:r>
        <w:rPr>
          <w:rFonts w:hint="eastAsia"/>
        </w:rPr>
        <w:t>10.3.1数据资产一张图</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此次项目建设过程中的数据资源进行统一核查、分析展示。通过各类可视化分析图表，多维度展现平台接入数据量、实时增量、数据元规模、数据质量校验规则规模、数据清洗条数、资源目录数量等，实现台州市数据资产统一监控。</w:t>
      </w:r>
    </w:p>
    <w:p>
      <w:pPr>
        <w:pStyle w:val="6"/>
      </w:pPr>
      <w:r>
        <w:rPr>
          <w:rFonts w:hint="eastAsia"/>
        </w:rPr>
        <w:t>10.3.2数据资源共享一张图</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针对数据共享开放规模等信息，统一展现大数据管理平台接入的单位部门数量、业务系统数量；分析数据共享的单位部门数量、数据共享接口数量、数据租户规模；分析数据开放的用户规模，开放数据集规模，用户浏览下载数据频次等。</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此外，根据大数据局实际工作需要，基于平台接入数据，提供3个数据分析应用，应用内容待定。</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提供针对数据资源、平台情况、分析挖掘结果等数据的定制化展示服务，并提供大屏展示、小屏展示、web界面展示页面。</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11、市级数据治理服务</w:t>
      </w:r>
    </w:p>
    <w:p>
      <w:pPr>
        <w:pStyle w:val="5"/>
      </w:pPr>
      <w:r>
        <w:t>11.1</w:t>
      </w:r>
      <w:r>
        <w:rPr>
          <w:rFonts w:hint="eastAsia"/>
        </w:rPr>
        <w:t>数据标准体系梳理</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理进行信息分类与编码,梳理国家标准的行政区划编码、组织机构分类编码、国民经济行业编码以及各业务系统的业务编码、设备编码、故障编码、状态编码等，形成最终统一编码体系，并采用该编码体系进行系统的开发设计。验证规则用于数据元规范性校验，并可被应用系统调用。</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供数据元定义（包括验证规则制定）、业务对象和数据库表设计，到数据标准化持久层服务接口的部署注册的服务，并完成数据源层与数据访问层之间的解耦，通过数据接入层的标准化处理实现业务系统的数据标准化同步管理，确保数据的准确性、规范性、权威性和安全性。</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提供数据管理制度梳理服务，研究制定数据管理标准、运维标准、应用标准、安全标准等一系列制度规范，形成长效机制，进一步扩大数据应用成效。</w:t>
      </w:r>
    </w:p>
    <w:p>
      <w:pPr>
        <w:pStyle w:val="5"/>
      </w:pPr>
      <w:r>
        <w:rPr>
          <w:rFonts w:hint="eastAsia"/>
        </w:rPr>
        <w:t>11.2全市数据归集服务</w:t>
      </w:r>
    </w:p>
    <w:p>
      <w:pPr>
        <w:pStyle w:val="6"/>
      </w:pPr>
      <w:r>
        <w:rPr>
          <w:rFonts w:hint="eastAsia"/>
        </w:rPr>
        <w:t>11.2.1数据接入</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全面集成台州市（含各县市区）各类公共数据和政务数据，包括但不限于公共卫生、公共安全、社会保障、交通出行、市场监督、经济运行、天气气象、城市规划、环境保护等数据资源。</w:t>
      </w:r>
    </w:p>
    <w:p>
      <w:pPr>
        <w:pStyle w:val="6"/>
      </w:pPr>
      <w:r>
        <w:rPr>
          <w:rFonts w:hint="eastAsia"/>
        </w:rPr>
        <w:t>11.2.2搭建主题数据库</w:t>
      </w:r>
    </w:p>
    <w:p>
      <w:pPr>
        <w:widowControl/>
        <w:tabs>
          <w:tab w:val="left" w:pos="0"/>
        </w:tabs>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主题库建设应对来自不同系统的数据进行梳理、整合、比对，完成主题库相关的各类数据资源的采集、清洗、比对、汇集、加工、校验、入库等治理相关工作，并实现对主题库数据资源的关联和资产化管理，对数据库建设、使用和服务的全过程、全环节进行管理。</w:t>
      </w:r>
    </w:p>
    <w:p>
      <w:pPr>
        <w:spacing w:line="360" w:lineRule="auto"/>
        <w:ind w:firstLine="480" w:firstLineChars="200"/>
        <w:rPr>
          <w:rFonts w:ascii="宋体" w:hAnsi="宋体"/>
          <w:bCs/>
          <w:sz w:val="24"/>
        </w:rPr>
      </w:pPr>
      <w:r>
        <w:rPr>
          <w:rFonts w:hint="eastAsia" w:ascii="宋体" w:hAnsi="宋体"/>
          <w:bCs/>
          <w:sz w:val="24"/>
        </w:rPr>
        <w:t>主题数据层共分O</w:t>
      </w:r>
      <w:r>
        <w:rPr>
          <w:rFonts w:ascii="宋体" w:hAnsi="宋体"/>
          <w:bCs/>
          <w:sz w:val="24"/>
        </w:rPr>
        <w:t>DS</w:t>
      </w:r>
      <w:r>
        <w:rPr>
          <w:rFonts w:hint="eastAsia" w:ascii="宋体" w:hAnsi="宋体"/>
          <w:bCs/>
          <w:sz w:val="24"/>
        </w:rPr>
        <w:t>层、D</w:t>
      </w:r>
      <w:r>
        <w:rPr>
          <w:rFonts w:ascii="宋体" w:hAnsi="宋体"/>
          <w:bCs/>
          <w:sz w:val="24"/>
        </w:rPr>
        <w:t>WD</w:t>
      </w:r>
      <w:r>
        <w:rPr>
          <w:rFonts w:hint="eastAsia" w:ascii="宋体" w:hAnsi="宋体"/>
          <w:bCs/>
          <w:sz w:val="24"/>
        </w:rPr>
        <w:t>层、D</w:t>
      </w:r>
      <w:r>
        <w:rPr>
          <w:rFonts w:ascii="宋体" w:hAnsi="宋体"/>
          <w:bCs/>
          <w:sz w:val="24"/>
        </w:rPr>
        <w:t>WS</w:t>
      </w:r>
      <w:r>
        <w:rPr>
          <w:rFonts w:hint="eastAsia" w:ascii="宋体" w:hAnsi="宋体"/>
          <w:bCs/>
          <w:sz w:val="24"/>
        </w:rPr>
        <w:t>层、非结构化数据区：</w:t>
      </w:r>
    </w:p>
    <w:p>
      <w:pPr>
        <w:spacing w:line="360" w:lineRule="auto"/>
        <w:ind w:firstLine="482" w:firstLineChars="200"/>
        <w:rPr>
          <w:rFonts w:ascii="宋体" w:hAnsi="宋体"/>
          <w:bCs/>
          <w:sz w:val="24"/>
        </w:rPr>
      </w:pPr>
      <w:r>
        <w:rPr>
          <w:rFonts w:ascii="宋体" w:hAnsi="宋体"/>
          <w:b/>
          <w:sz w:val="24"/>
        </w:rPr>
        <w:t>ODS</w:t>
      </w:r>
      <w:r>
        <w:rPr>
          <w:rFonts w:hint="eastAsia" w:ascii="宋体" w:hAnsi="宋体"/>
          <w:b/>
          <w:sz w:val="24"/>
        </w:rPr>
        <w:t>层</w:t>
      </w:r>
      <w:r>
        <w:rPr>
          <w:rFonts w:hint="eastAsia" w:ascii="宋体" w:hAnsi="宋体"/>
          <w:bCs/>
          <w:sz w:val="24"/>
        </w:rPr>
        <w:t>：即操作数据层（Operat</w:t>
      </w:r>
      <w:r>
        <w:rPr>
          <w:rFonts w:ascii="宋体" w:hAnsi="宋体"/>
          <w:bCs/>
          <w:sz w:val="24"/>
        </w:rPr>
        <w:t>ional Data Store</w:t>
      </w:r>
      <w:r>
        <w:rPr>
          <w:rFonts w:hint="eastAsia" w:ascii="宋体" w:hAnsi="宋体"/>
          <w:bCs/>
          <w:sz w:val="24"/>
        </w:rPr>
        <w:t>），借助</w:t>
      </w:r>
      <w:r>
        <w:rPr>
          <w:rFonts w:ascii="宋体" w:hAnsi="宋体"/>
          <w:bCs/>
          <w:sz w:val="24"/>
        </w:rPr>
        <w:t>ETL</w:t>
      </w:r>
      <w:r>
        <w:rPr>
          <w:rFonts w:hint="eastAsia" w:ascii="宋体" w:hAnsi="宋体"/>
          <w:bCs/>
          <w:sz w:val="24"/>
        </w:rPr>
        <w:t>等数据交换工具，将各类业务系统数据进行采集、汇聚，尽可能保留原始业务流程数据，与业务系统基本保持一致，仅作简单整合，不做深度清洗加工。</w:t>
      </w:r>
    </w:p>
    <w:p>
      <w:pPr>
        <w:spacing w:line="360" w:lineRule="auto"/>
        <w:ind w:firstLine="482" w:firstLineChars="200"/>
        <w:rPr>
          <w:rFonts w:ascii="宋体" w:hAnsi="宋体"/>
          <w:bCs/>
          <w:sz w:val="24"/>
        </w:rPr>
      </w:pPr>
      <w:r>
        <w:rPr>
          <w:rFonts w:hint="eastAsia" w:ascii="宋体" w:hAnsi="宋体"/>
          <w:b/>
          <w:sz w:val="24"/>
        </w:rPr>
        <w:t>D</w:t>
      </w:r>
      <w:r>
        <w:rPr>
          <w:rFonts w:ascii="宋体" w:hAnsi="宋体"/>
          <w:b/>
          <w:sz w:val="24"/>
        </w:rPr>
        <w:t>WD</w:t>
      </w:r>
      <w:r>
        <w:rPr>
          <w:rFonts w:hint="eastAsia" w:ascii="宋体" w:hAnsi="宋体"/>
          <w:b/>
          <w:sz w:val="24"/>
        </w:rPr>
        <w:t>层</w:t>
      </w:r>
      <w:r>
        <w:rPr>
          <w:rFonts w:hint="eastAsia" w:ascii="宋体" w:hAnsi="宋体"/>
          <w:bCs/>
          <w:sz w:val="24"/>
        </w:rPr>
        <w:t>:即明细数据层（Data</w:t>
      </w:r>
      <w:r>
        <w:rPr>
          <w:rFonts w:ascii="宋体" w:hAnsi="宋体"/>
          <w:bCs/>
          <w:sz w:val="24"/>
        </w:rPr>
        <w:t xml:space="preserve"> Warehouse Detail</w:t>
      </w:r>
      <w:r>
        <w:rPr>
          <w:rFonts w:hint="eastAsia" w:ascii="宋体" w:hAnsi="宋体"/>
          <w:bCs/>
          <w:sz w:val="24"/>
        </w:rPr>
        <w:t>），对历史业务过程数据进行重新建模，关联合并各类信息，构建不同主题的明细数据宽表，为应用分析和</w:t>
      </w:r>
      <w:r>
        <w:rPr>
          <w:rFonts w:ascii="宋体" w:hAnsi="宋体"/>
          <w:bCs/>
          <w:sz w:val="24"/>
        </w:rPr>
        <w:t>DWS</w:t>
      </w:r>
      <w:r>
        <w:rPr>
          <w:rFonts w:hint="eastAsia" w:ascii="宋体" w:hAnsi="宋体"/>
          <w:bCs/>
          <w:sz w:val="24"/>
        </w:rPr>
        <w:t>层的数据汇总统计提供数据基础。</w:t>
      </w:r>
    </w:p>
    <w:p>
      <w:pPr>
        <w:spacing w:line="360" w:lineRule="auto"/>
        <w:ind w:firstLine="482" w:firstLineChars="200"/>
        <w:rPr>
          <w:rFonts w:ascii="宋体" w:hAnsi="宋体"/>
          <w:bCs/>
          <w:sz w:val="24"/>
        </w:rPr>
      </w:pPr>
      <w:r>
        <w:rPr>
          <w:rFonts w:hint="eastAsia" w:ascii="宋体" w:hAnsi="宋体"/>
          <w:b/>
          <w:sz w:val="24"/>
        </w:rPr>
        <w:t>D</w:t>
      </w:r>
      <w:r>
        <w:rPr>
          <w:rFonts w:ascii="宋体" w:hAnsi="宋体"/>
          <w:b/>
          <w:sz w:val="24"/>
        </w:rPr>
        <w:t>WS</w:t>
      </w:r>
      <w:r>
        <w:rPr>
          <w:rFonts w:hint="eastAsia" w:ascii="宋体" w:hAnsi="宋体"/>
          <w:b/>
          <w:sz w:val="24"/>
        </w:rPr>
        <w:t>层</w:t>
      </w:r>
      <w:r>
        <w:rPr>
          <w:rFonts w:hint="eastAsia" w:ascii="宋体" w:hAnsi="宋体"/>
          <w:bCs/>
          <w:sz w:val="24"/>
        </w:rPr>
        <w:t>:即汇总数据层(Data</w:t>
      </w:r>
      <w:r>
        <w:rPr>
          <w:rFonts w:ascii="宋体" w:hAnsi="宋体"/>
          <w:bCs/>
          <w:sz w:val="24"/>
        </w:rPr>
        <w:t xml:space="preserve"> Warehouse Summary)</w:t>
      </w:r>
      <w:r>
        <w:rPr>
          <w:rFonts w:hint="eastAsia" w:ascii="宋体" w:hAnsi="宋体"/>
          <w:bCs/>
          <w:sz w:val="24"/>
        </w:rPr>
        <w:t>，为了高效支撑上层各个应用的数据分析需求，对明细数据进行进一步的汇总、统计，提升数据应用效率。</w:t>
      </w:r>
    </w:p>
    <w:p>
      <w:pPr>
        <w:spacing w:line="360" w:lineRule="auto"/>
        <w:ind w:firstLine="482" w:firstLineChars="200"/>
      </w:pPr>
      <w:r>
        <w:rPr>
          <w:rFonts w:hint="eastAsia" w:ascii="宋体" w:hAnsi="宋体"/>
          <w:b/>
          <w:sz w:val="24"/>
        </w:rPr>
        <w:t>非结构化数据层</w:t>
      </w:r>
      <w:r>
        <w:rPr>
          <w:rFonts w:hint="eastAsia" w:ascii="宋体" w:hAnsi="宋体"/>
          <w:bCs/>
          <w:sz w:val="24"/>
        </w:rPr>
        <w:t>：用于存储视频、音频、图像、文档、地图文件等各类非结构化书，实现与结构化数据的关联，支撑应用层对非结构化数据分查看、分析需求。</w:t>
      </w:r>
    </w:p>
    <w:p>
      <w:pPr>
        <w:pStyle w:val="5"/>
      </w:pPr>
      <w:r>
        <w:rPr>
          <w:rFonts w:hint="eastAsia"/>
        </w:rPr>
        <w:t>11.4数据共享服务</w:t>
      </w:r>
    </w:p>
    <w:p>
      <w:pPr>
        <w:widowControl/>
        <w:tabs>
          <w:tab w:val="left" w:pos="0"/>
        </w:tabs>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提供数据共享</w:t>
      </w:r>
      <w:r>
        <w:rPr>
          <w:rFonts w:hint="eastAsia" w:asciiTheme="minorEastAsia" w:hAnsiTheme="minorEastAsia" w:eastAsiaTheme="minorEastAsia"/>
          <w:sz w:val="24"/>
        </w:rPr>
        <w:t>支撑服务</w:t>
      </w:r>
      <w:r>
        <w:rPr>
          <w:rFonts w:asciiTheme="minorEastAsia" w:hAnsiTheme="minorEastAsia" w:eastAsiaTheme="minorEastAsia"/>
          <w:sz w:val="24"/>
        </w:rPr>
        <w:t>，</w:t>
      </w:r>
      <w:r>
        <w:rPr>
          <w:rFonts w:hint="eastAsia" w:asciiTheme="minorEastAsia" w:hAnsiTheme="minorEastAsia" w:eastAsiaTheme="minorEastAsia"/>
          <w:sz w:val="24"/>
        </w:rPr>
        <w:t>针对各部门数据使用需求，</w:t>
      </w:r>
      <w:r>
        <w:rPr>
          <w:rFonts w:asciiTheme="minorEastAsia" w:hAnsiTheme="minorEastAsia" w:eastAsiaTheme="minorEastAsia"/>
          <w:sz w:val="24"/>
        </w:rPr>
        <w:t>提供API 注册、发布、调用、监控管理等数据共享审批服务，从而支撑应用系统之间、各委办局之间的数据调用</w:t>
      </w:r>
      <w:r>
        <w:rPr>
          <w:rFonts w:hint="eastAsia" w:asciiTheme="minorEastAsia" w:hAnsiTheme="minorEastAsia" w:eastAsiaTheme="minorEastAsia"/>
          <w:sz w:val="24"/>
        </w:rPr>
        <w:t>。</w:t>
      </w:r>
    </w:p>
    <w:p>
      <w:pPr>
        <w:pStyle w:val="5"/>
      </w:pPr>
      <w:r>
        <w:rPr>
          <w:rFonts w:hint="eastAsia"/>
        </w:rPr>
        <w:t>11.5数据开放服务</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提供开放数据脱敏脱密、数据集整理、目录编制维护、接口开发维护、用户管理、审批管理等服务。</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提供台州市数据大赛过程中方案设计、赛事组织、培训指导等服务。承担赛事组织所有费用，并提供2例以上数据开放应用。</w:t>
      </w:r>
    </w:p>
    <w:p>
      <w:pPr>
        <w:pStyle w:val="5"/>
      </w:pPr>
      <w:r>
        <w:rPr>
          <w:rFonts w:hint="eastAsia"/>
        </w:rPr>
        <w:t>11.6数据安全监控</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针对数据在从归集进入数据平台到数据应用的整个数据链路中，要求进行全链路的安全管控。提供服务包括且不限于以下几点：</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数据归集仓库的数据操作审计，任何操作和查询归集库内数据的行为都需要有管控。</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平台数据访问权限安全管控，对系统各类用户，定期核查数据使用权限。</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数据清洗库中数据的安全管控，针对不同应用的安全权限，可以看到不同的数据。控制包括数据表、字段和特定的数据条目。</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数据导出的安全审计，对于导出操作做到每一步操作可追溯。导出的数据需要做到，可追溯导出者身份信息。</w:t>
      </w:r>
    </w:p>
    <w:p>
      <w:pPr>
        <w:widowControl/>
        <w:tabs>
          <w:tab w:val="left" w:pos="0"/>
        </w:tabs>
        <w:spacing w:line="360" w:lineRule="auto"/>
        <w:ind w:firstLine="480" w:firstLineChars="200"/>
      </w:pPr>
      <w:r>
        <w:rPr>
          <w:rFonts w:hint="eastAsia" w:asciiTheme="minorEastAsia" w:hAnsiTheme="minorEastAsia" w:eastAsiaTheme="minorEastAsia"/>
          <w:sz w:val="24"/>
        </w:rPr>
        <w:t>数据应用的监控，对于应用数据中心数据的应用，做到统一管理，使用统一的安全管理控制方式，标准化控制各部门对数据的应用。</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三、项目建设管理要求</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1、项目进度要求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本项目要求合同签订后4个月内为项目实施期，需要完成软件研发、4大基础数据库整理工作，完成软件部署并进行初验。</w:t>
      </w:r>
    </w:p>
    <w:p>
      <w:pPr>
        <w:widowControl/>
        <w:tabs>
          <w:tab w:val="left" w:pos="0"/>
        </w:tabs>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系统试运行期为3个月，试运行结束组织验收，</w:t>
      </w:r>
      <w:r>
        <w:rPr>
          <w:rFonts w:hint="eastAsia" w:asciiTheme="minorEastAsia" w:hAnsiTheme="minorEastAsia" w:eastAsiaTheme="minorEastAsia"/>
          <w:b/>
          <w:bCs/>
          <w:sz w:val="24"/>
          <w:lang w:eastAsia="zh-CN"/>
        </w:rPr>
        <w:t>验收通过后</w:t>
      </w:r>
      <w:r>
        <w:rPr>
          <w:rFonts w:hint="eastAsia" w:asciiTheme="minorEastAsia" w:hAnsiTheme="minorEastAsia" w:eastAsiaTheme="minorEastAsia"/>
          <w:b/>
          <w:bCs/>
          <w:sz w:val="24"/>
        </w:rPr>
        <w:t>进入项目3年</w:t>
      </w:r>
      <w:r>
        <w:rPr>
          <w:rFonts w:hint="eastAsia" w:asciiTheme="minorEastAsia" w:hAnsiTheme="minorEastAsia" w:eastAsiaTheme="minorEastAsia"/>
          <w:b/>
          <w:bCs/>
          <w:sz w:val="24"/>
          <w:lang w:eastAsia="zh-CN"/>
        </w:rPr>
        <w:t>质保</w:t>
      </w:r>
      <w:r>
        <w:rPr>
          <w:rFonts w:hint="eastAsia" w:asciiTheme="minorEastAsia" w:hAnsiTheme="minorEastAsia" w:eastAsiaTheme="minorEastAsia"/>
          <w:b/>
          <w:bCs/>
          <w:sz w:val="24"/>
        </w:rPr>
        <w:t>期。</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投标人应按照上述时间安排，制定相应的项目实施详细进度计划，确定每个实施阶段的时间表及工作目标。</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2、项目组织及实施要求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投标方应保证投标项目在招标方条件成熟时应立即开展实施；</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方在项目实施过程中应服从招标方的统一领导和协调，招标方有权裁决投标方的责任范围，投标方必须执行，在招标方限定的时间内解决问题。如果投标方不能按时完成评估内容，招标方有权中止项目、索赔或拒付款项；</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投标方需根据自己的工程实施经验结合招标方的实际需求进一步细化和完善工作任务书，作为工程实施的指导性文件；</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方应根据招标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widowControl/>
        <w:tabs>
          <w:tab w:val="left" w:pos="0"/>
        </w:tabs>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投标方应负责配合招标方制定相关验收标准，并完成工程实施等验收工作。</w:t>
      </w:r>
    </w:p>
    <w:p>
      <w:pPr>
        <w:widowControl/>
        <w:tabs>
          <w:tab w:val="left" w:pos="0"/>
        </w:tabs>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▲投标单位拟派项目经理</w:t>
      </w:r>
      <w:r>
        <w:rPr>
          <w:rFonts w:hint="eastAsia" w:asciiTheme="minorEastAsia" w:hAnsiTheme="minorEastAsia" w:eastAsiaTheme="minorEastAsia"/>
          <w:sz w:val="24"/>
          <w:lang w:eastAsia="zh-CN"/>
        </w:rPr>
        <w:t>必须具有</w:t>
      </w:r>
      <w:r>
        <w:rPr>
          <w:rFonts w:hint="eastAsia" w:asciiTheme="minorEastAsia" w:hAnsiTheme="minorEastAsia" w:eastAsiaTheme="minorEastAsia"/>
          <w:sz w:val="24"/>
        </w:rPr>
        <w:t>本科及以上学历</w:t>
      </w:r>
      <w:r>
        <w:rPr>
          <w:rFonts w:hint="eastAsia" w:asciiTheme="minorEastAsia" w:hAnsiTheme="minorEastAsia" w:eastAsiaTheme="minorEastAsia"/>
          <w:sz w:val="24"/>
          <w:lang w:eastAsia="zh-CN"/>
        </w:rPr>
        <w:t>。</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▲在项目实施期间，投标方必须提供至少10名具有软件开发和平台管理经验的人员现场驻点，提供至少3名大数据分析治理的开发人员现场驻点。</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lang w:val="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lang w:val="zh-CN"/>
          <w14:textFill>
            <w14:solidFill>
              <w14:schemeClr w14:val="tx1"/>
            </w14:solidFill>
          </w14:textFill>
        </w:rPr>
        <w:t>等保测评</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项目建成后第一年的等级保护测评由业主方组织第三方等保测评单位实施，系统定级为等保三级。相关费用含在本次投标报价内，投标人需要配合完成等保测评和整改工作，直至通过第三方安全等保测评。</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lang w:val="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lang w:val="zh-CN"/>
          <w14:textFill>
            <w14:solidFill>
              <w14:schemeClr w14:val="tx1"/>
            </w14:solidFill>
          </w14:textFill>
        </w:rPr>
        <w:t>项目质量保证</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方须保证所提供的所有产品、中间件、数据库符合国家有关规定。投标方须保证所提供产品具有合法的版权或使用权，本项目采购的产品，如在本项目范围内使用过程中出现版权或使用权纠纷，应由投标方负责，采购方不承担责任，并且不得影响甲方对产品软件的使用。</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2、投标方必须保证解决项目所涉及的技术问题，如因技术原因无法满足采购人需求，由此产生的风险由投标人承担。</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3、投标方在质保期内，如遇软件产品升级、改版，应免费提供更新、升级服务；在质保期内如市政府有新系统上线，经业主方确认需要是否对接后，中标商应针对该新系统按照业主要求进行免费数据对接。</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4、质保期限结束后，本项目建设内容的所有软件产权、数据产权需移交给甲方，具体时间由甲方提出。</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5、培训要求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1、现场培训</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所有产品部署现场，投标方负责用户的现场技术培训，包括产品的功能、部署条件、部署步骤和注意事项、产品升级、日常维护事项等方面，使用户达到能独立进行管理、维护测试和故障处理等工作，以使所提供的软硬件产品能够正常、安全的运行。</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2、课程培训</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投标方应提供专门的课程培训，包括理论教授，问题讨论和上机操作，以便采购人能够迅速掌握相应的培训内容，同时为采购人自主组织开展培训推广提供支持。</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应提供详细的培训计划，包括课程的内容、资料讲义、授课方式、课程目标。</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3、培训费用</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所有培训所涉及的所有费用应由投标方出资，不得另行向采购人收取。</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6、售后要求</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1、投标方需对所提交的系统提供自终验合格之日起3年的免费质保期服务。</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质保期内均提供（7*24）上门维护、升级服务，对故障即时响应，2小时以内到现场，4小时以内提出问题解决方案并实施。逾期未作出响应，投标方应承担由于故障所造成的全部损失。质保期内产生的维护费用均由投标人承担。</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在质保期内，中标单位需对平台运维、数据服务、分析挖掘、运维保障等等提供不少于4人的免费驻场服务：其中1人为大数据平台管理和数据分析挖掘研发工程师、2人为数据治理实施服务工程师，1人为数据网络安全工程师。投标时需明确驻场人员名单，维护期间内更换驻场人员，需提前1周向业主单位申请，业主单位同意后方可更换。</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4、技术服务特别提示</w:t>
      </w:r>
    </w:p>
    <w:p>
      <w:pPr>
        <w:widowControl/>
        <w:tabs>
          <w:tab w:val="left" w:pos="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人需求在开发期和试运行期内，仍有可能不断完善，投标人须承诺在采购需求或政策法规范围内，随着采购人需求的变动随时作出响应，修改应用软件。正式验收通过后，若有需求变动，在免费维护期内，投标人须承诺在采购需求和政策法规范围内，仍应免费按采购人需求对整个系统做出相应修改，以满足采购人的需求。</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7、项目验收要求</w:t>
      </w:r>
    </w:p>
    <w:p>
      <w:pPr>
        <w:pStyle w:val="2"/>
        <w:spacing w:line="360" w:lineRule="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系统通过试运行后，中标方向甲方提出终验申请，甲方组织相关单位进行系统的终验。系统终验合格的条件必须至少满足以下三个要求：已提供了合同要求的全部软件系统、应用软件的所有开发源代码、开发环境和可执行文件，涉及到加密的要提供解密算法；提供完整的系统配套的产品资料，包括系统安装配置手册、系统功能设计说明书、用户使用手册等；试运行时性能满足合同要求；测试和试运行时出现的问题已被解决。</w:t>
      </w:r>
    </w:p>
    <w:p>
      <w:pPr>
        <w:spacing w:line="360" w:lineRule="auto"/>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宋体" w:hAnsi="宋体"/>
          <w:b/>
          <w:bCs/>
          <w:szCs w:val="21"/>
        </w:rPr>
        <w:t>▲</w:t>
      </w:r>
      <w:r>
        <w:rPr>
          <w:rFonts w:hint="eastAsia" w:ascii="宋体" w:hAnsi="宋体"/>
          <w:b/>
          <w:bCs/>
          <w:szCs w:val="21"/>
          <w:lang w:val="en-US" w:eastAsia="zh-CN"/>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其他要求</w:t>
      </w:r>
    </w:p>
    <w:p>
      <w:pPr>
        <w:spacing w:line="360" w:lineRule="auto"/>
        <w:ind w:firstLine="424" w:firstLineChars="177"/>
        <w:rPr>
          <w:rFonts w:hint="eastAsia" w:ascii="宋体" w:hAnsi="宋体"/>
          <w:sz w:val="24"/>
        </w:rPr>
      </w:pPr>
      <w:r>
        <w:rPr>
          <w:rFonts w:hint="eastAsia" w:ascii="宋体" w:hAnsi="宋体"/>
          <w:sz w:val="24"/>
          <w:lang w:val="en-US" w:eastAsia="zh-CN"/>
        </w:rPr>
        <w:t>1、</w:t>
      </w:r>
      <w:r>
        <w:rPr>
          <w:rFonts w:hint="eastAsia" w:ascii="宋体" w:hAnsi="宋体"/>
          <w:sz w:val="24"/>
        </w:rPr>
        <w:t>针对本项目开发的软件著作权归双方共同所有。</w:t>
      </w:r>
    </w:p>
    <w:p>
      <w:pPr>
        <w:spacing w:line="360" w:lineRule="auto"/>
        <w:ind w:firstLine="424" w:firstLineChars="177"/>
        <w:rPr>
          <w:rFonts w:hint="eastAsia" w:ascii="宋体" w:hAnsi="宋体"/>
          <w:sz w:val="24"/>
        </w:rPr>
      </w:pPr>
      <w:r>
        <w:rPr>
          <w:rFonts w:hint="eastAsia" w:ascii="宋体" w:hAnsi="宋体"/>
          <w:sz w:val="24"/>
          <w:lang w:val="en-US" w:eastAsia="zh-CN"/>
        </w:rPr>
        <w:t>2</w:t>
      </w:r>
      <w:r>
        <w:rPr>
          <w:rFonts w:hint="eastAsia" w:ascii="宋体" w:hAnsi="宋体"/>
          <w:sz w:val="24"/>
        </w:rPr>
        <w:t>、需向采购单位开放本项目的源代码、数据结构、涉及到加密的要提供解密算法。</w:t>
      </w:r>
    </w:p>
    <w:p>
      <w:pPr>
        <w:spacing w:line="360" w:lineRule="auto"/>
        <w:ind w:firstLine="424" w:firstLineChars="177"/>
        <w:rPr>
          <w:rFonts w:hint="default" w:cs="Times New Roman" w:asciiTheme="minorEastAsia" w:hAnsiTheme="minorEastAsia" w:eastAsiaTheme="minorEastAsia"/>
          <w:kern w:val="2"/>
          <w:sz w:val="24"/>
          <w:szCs w:val="24"/>
          <w:lang w:val="en-US" w:eastAsia="zh-CN" w:bidi="ar-SA"/>
        </w:rPr>
      </w:pPr>
      <w:r>
        <w:rPr>
          <w:rFonts w:hint="eastAsia" w:ascii="宋体" w:hAnsi="宋体"/>
          <w:sz w:val="24"/>
          <w:lang w:val="en-US" w:eastAsia="zh-CN"/>
        </w:rPr>
        <w:t>3</w:t>
      </w:r>
      <w:r>
        <w:rPr>
          <w:rFonts w:hint="eastAsia" w:ascii="宋体" w:hAnsi="宋体"/>
          <w:sz w:val="24"/>
        </w:rPr>
        <w:t>、开放涉及本系统所有的相关接口。</w:t>
      </w:r>
    </w:p>
    <w:p>
      <w:pPr>
        <w:numPr>
          <w:ilvl w:val="0"/>
          <w:numId w:val="0"/>
        </w:numPr>
        <w:spacing w:line="360" w:lineRule="auto"/>
        <w:ind w:leftChars="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lang w:eastAsia="zh-CN"/>
          <w14:textFill>
            <w14:solidFill>
              <w14:schemeClr w14:val="tx1"/>
            </w14:solidFill>
          </w14:textFill>
        </w:rPr>
        <w:t>四</w:t>
      </w:r>
      <w:r>
        <w:rPr>
          <w:rFonts w:asciiTheme="minorEastAsia" w:hAnsiTheme="minorEastAsia" w:eastAsiaTheme="minorEastAsia"/>
          <w:b/>
          <w:color w:val="000000" w:themeColor="text1"/>
          <w:sz w:val="24"/>
          <w:szCs w:val="24"/>
          <w14:textFill>
            <w14:solidFill>
              <w14:schemeClr w14:val="tx1"/>
            </w14:solidFill>
          </w14:textFill>
        </w:rPr>
        <w:t>、</w:t>
      </w:r>
      <w:r>
        <w:rPr>
          <w:rFonts w:hint="eastAsia" w:asciiTheme="minorEastAsia" w:hAnsiTheme="minorEastAsia" w:eastAsiaTheme="minorEastAsia"/>
          <w:b/>
          <w:color w:val="000000" w:themeColor="text1"/>
          <w:sz w:val="24"/>
          <w:szCs w:val="24"/>
          <w14:textFill>
            <w14:solidFill>
              <w14:schemeClr w14:val="tx1"/>
            </w14:solidFill>
          </w14:textFill>
        </w:rPr>
        <w:t>商务需求</w:t>
      </w:r>
    </w:p>
    <w:p>
      <w:pPr>
        <w:pStyle w:val="11"/>
        <w:snapToGrid w:val="0"/>
        <w:spacing w:line="360" w:lineRule="auto"/>
        <w:outlineLvl w:val="0"/>
        <w:rPr>
          <w:rFonts w:hint="eastAsia"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w:t>
      </w:r>
      <w:r>
        <w:rPr>
          <w:rFonts w:hint="eastAsia" w:asciiTheme="minorEastAsia" w:hAnsiTheme="minorEastAsia" w:eastAsiaTheme="minorEastAsia"/>
          <w:b/>
          <w:color w:val="000000" w:themeColor="text1"/>
          <w:sz w:val="24"/>
          <w:szCs w:val="24"/>
          <w:lang w:eastAsia="zh-CN"/>
          <w14:textFill>
            <w14:solidFill>
              <w14:schemeClr w14:val="tx1"/>
            </w14:solidFill>
          </w14:textFill>
        </w:rPr>
        <w:t>服务期</w:t>
      </w:r>
      <w:r>
        <w:rPr>
          <w:rFonts w:hint="eastAsia" w:asciiTheme="minorEastAsia" w:hAnsiTheme="minorEastAsia" w:eastAsiaTheme="minorEastAsia"/>
          <w:b/>
          <w:color w:val="000000" w:themeColor="text1"/>
          <w:sz w:val="24"/>
          <w:szCs w:val="24"/>
          <w14:textFill>
            <w14:solidFill>
              <w14:schemeClr w14:val="tx1"/>
            </w14:solidFill>
          </w14:textFill>
        </w:rPr>
        <w:t>：</w:t>
      </w:r>
      <w:r>
        <w:rPr>
          <w:rFonts w:hint="eastAsia" w:ascii="宋体" w:hAnsi="宋体"/>
          <w:b w:val="0"/>
          <w:bCs w:val="0"/>
          <w:color w:val="000000" w:themeColor="text1"/>
          <w:sz w:val="24"/>
          <w:szCs w:val="24"/>
          <w14:textFill>
            <w14:solidFill>
              <w14:schemeClr w14:val="tx1"/>
            </w14:solidFill>
          </w14:textFill>
        </w:rPr>
        <w:t>验收合格后</w:t>
      </w:r>
      <w:r>
        <w:rPr>
          <w:rFonts w:hint="eastAsia" w:asciiTheme="minorEastAsia" w:hAnsiTheme="minorEastAsia" w:eastAsiaTheme="minorEastAsia"/>
          <w:b w:val="0"/>
          <w:bCs w:val="0"/>
          <w:color w:val="000000" w:themeColor="text1"/>
          <w:sz w:val="24"/>
          <w:szCs w:val="24"/>
          <w:lang w:eastAsia="zh-CN"/>
          <w14:textFill>
            <w14:solidFill>
              <w14:schemeClr w14:val="tx1"/>
            </w14:solidFill>
          </w14:textFill>
        </w:rPr>
        <w:t>免费</w:t>
      </w:r>
      <w:r>
        <w:rPr>
          <w:rFonts w:hint="eastAsia" w:ascii="宋体" w:hAnsi="宋体" w:eastAsia="宋体" w:cs="宋体"/>
          <w:b w:val="0"/>
          <w:bCs w:val="0"/>
          <w:color w:val="000000" w:themeColor="text1"/>
          <w:sz w:val="24"/>
          <w14:textFill>
            <w14:solidFill>
              <w14:schemeClr w14:val="tx1"/>
            </w14:solidFill>
          </w14:textFill>
        </w:rPr>
        <w:t>质保</w:t>
      </w:r>
      <w:r>
        <w:rPr>
          <w:rFonts w:hint="eastAsia" w:hAnsi="宋体" w:cs="宋体"/>
          <w:b w:val="0"/>
          <w:bCs w:val="0"/>
          <w:color w:val="000000" w:themeColor="text1"/>
          <w:sz w:val="24"/>
          <w:lang w:eastAsia="zh-CN"/>
          <w14:textFill>
            <w14:solidFill>
              <w14:schemeClr w14:val="tx1"/>
            </w14:solidFill>
          </w14:textFill>
        </w:rPr>
        <w:t>三</w:t>
      </w:r>
      <w:r>
        <w:rPr>
          <w:rFonts w:hint="eastAsia" w:ascii="宋体" w:hAnsi="宋体" w:eastAsia="宋体" w:cs="宋体"/>
          <w:b w:val="0"/>
          <w:bCs w:val="0"/>
          <w:color w:val="000000" w:themeColor="text1"/>
          <w:sz w:val="24"/>
          <w14:textFill>
            <w14:solidFill>
              <w14:schemeClr w14:val="tx1"/>
            </w14:solidFill>
          </w14:textFill>
        </w:rPr>
        <w:t>年。</w:t>
      </w:r>
    </w:p>
    <w:p>
      <w:pPr>
        <w:pStyle w:val="11"/>
        <w:snapToGrid w:val="0"/>
        <w:spacing w:line="360" w:lineRule="auto"/>
        <w:outlineLvl w:val="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2、交货时间及地点：</w:t>
      </w:r>
      <w:r>
        <w:rPr>
          <w:rFonts w:hint="eastAsia" w:asciiTheme="minorEastAsia" w:hAnsiTheme="minorEastAsia" w:eastAsiaTheme="minorEastAsia"/>
          <w:color w:val="000000" w:themeColor="text1"/>
          <w:kern w:val="0"/>
          <w:sz w:val="24"/>
          <w:szCs w:val="24"/>
          <w14:textFill>
            <w14:solidFill>
              <w14:schemeClr w14:val="tx1"/>
            </w14:solidFill>
          </w14:textFill>
        </w:rPr>
        <w:t>同前面“招标项目一览表”内所填的相关内容。</w:t>
      </w:r>
    </w:p>
    <w:p>
      <w:pPr>
        <w:spacing w:line="360" w:lineRule="auto"/>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b/>
          <w:color w:val="000000" w:themeColor="text1"/>
          <w:kern w:val="0"/>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付款条件：</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签订</w:t>
      </w:r>
      <w:r>
        <w:rPr>
          <w:rFonts w:hint="eastAsia" w:asciiTheme="minorEastAsia" w:hAnsiTheme="minorEastAsia" w:eastAsiaTheme="minorEastAsia" w:cstheme="minorEastAsia"/>
          <w:sz w:val="24"/>
          <w:szCs w:val="24"/>
        </w:rPr>
        <w:t>合同后5个工作日内</w:t>
      </w:r>
      <w:r>
        <w:rPr>
          <w:rFonts w:hint="eastAsia" w:asciiTheme="minorEastAsia" w:hAnsiTheme="minorEastAsia" w:eastAsiaTheme="minorEastAsia" w:cstheme="minorEastAsia"/>
          <w:sz w:val="24"/>
          <w:szCs w:val="24"/>
          <w:lang w:eastAsia="zh-CN"/>
        </w:rPr>
        <w:t>支付合同金额的</w:t>
      </w:r>
      <w:r>
        <w:rPr>
          <w:rFonts w:hint="eastAsia" w:asciiTheme="minorEastAsia" w:hAnsiTheme="minorEastAsia" w:eastAsiaTheme="minorEastAsia" w:cstheme="minorEastAsia"/>
          <w:sz w:val="24"/>
          <w:szCs w:val="24"/>
          <w:lang w:val="en-US" w:eastAsia="zh-CN"/>
        </w:rPr>
        <w:t>30%，初验通过后</w:t>
      </w:r>
      <w:r>
        <w:rPr>
          <w:rFonts w:hint="eastAsia" w:asciiTheme="minorEastAsia" w:hAnsiTheme="minorEastAsia" w:eastAsiaTheme="minorEastAsia" w:cstheme="minorEastAsia"/>
          <w:sz w:val="24"/>
          <w:szCs w:val="24"/>
        </w:rPr>
        <w:t>5个工作日内</w:t>
      </w:r>
      <w:r>
        <w:rPr>
          <w:rFonts w:hint="eastAsia" w:asciiTheme="minorEastAsia" w:hAnsiTheme="minorEastAsia" w:eastAsiaTheme="minorEastAsia" w:cstheme="minorEastAsia"/>
          <w:sz w:val="24"/>
          <w:szCs w:val="24"/>
          <w:lang w:eastAsia="zh-CN"/>
        </w:rPr>
        <w:t>支付合同金额的</w:t>
      </w:r>
      <w:r>
        <w:rPr>
          <w:rFonts w:hint="eastAsia" w:asciiTheme="minorEastAsia" w:hAnsiTheme="minorEastAsia" w:eastAsiaTheme="minorEastAsia" w:cstheme="minorEastAsia"/>
          <w:sz w:val="24"/>
          <w:szCs w:val="24"/>
          <w:lang w:val="en-US" w:eastAsia="zh-CN"/>
        </w:rPr>
        <w:t>30%，终验通过后</w:t>
      </w:r>
      <w:r>
        <w:rPr>
          <w:rFonts w:hint="eastAsia" w:asciiTheme="minorEastAsia" w:hAnsiTheme="minorEastAsia" w:eastAsiaTheme="minorEastAsia" w:cstheme="minorEastAsia"/>
          <w:sz w:val="24"/>
          <w:szCs w:val="24"/>
        </w:rPr>
        <w:t>5个工作日内</w:t>
      </w:r>
      <w:r>
        <w:rPr>
          <w:rFonts w:hint="eastAsia" w:asciiTheme="minorEastAsia" w:hAnsiTheme="minorEastAsia" w:eastAsiaTheme="minorEastAsia" w:cstheme="minorEastAsia"/>
          <w:sz w:val="24"/>
          <w:szCs w:val="24"/>
          <w:lang w:eastAsia="zh-CN"/>
        </w:rPr>
        <w:t>支付合同金额的</w:t>
      </w:r>
      <w:r>
        <w:rPr>
          <w:rFonts w:hint="eastAsia" w:asciiTheme="minorEastAsia" w:hAnsiTheme="minorEastAsia" w:eastAsiaTheme="minorEastAsia" w:cstheme="minorEastAsia"/>
          <w:sz w:val="24"/>
          <w:szCs w:val="24"/>
          <w:lang w:val="en-US" w:eastAsia="zh-CN"/>
        </w:rPr>
        <w:t>40%。</w:t>
      </w:r>
    </w:p>
    <w:p>
      <w:pPr>
        <w:rPr>
          <w:rFonts w:hint="eastAsia" w:cs="Arial" w:asciiTheme="minorEastAsia" w:hAnsiTheme="minorEastAsia" w:eastAsiaTheme="minorEastAsia"/>
          <w:color w:val="000000" w:themeColor="text1"/>
          <w:sz w:val="24"/>
          <w:szCs w:val="24"/>
          <w:lang w:eastAsia="zh-CN"/>
          <w14:textFill>
            <w14:solidFill>
              <w14:schemeClr w14:val="tx1"/>
            </w14:solidFill>
          </w14:textFill>
        </w:rPr>
      </w:pPr>
      <w:r>
        <w:rPr>
          <w:rFonts w:hint="eastAsia" w:cs="Arial" w:asciiTheme="minorEastAsia" w:hAnsiTheme="minorEastAsia" w:eastAsiaTheme="minorEastAsia"/>
          <w:color w:val="000000" w:themeColor="text1"/>
          <w:sz w:val="24"/>
          <w:szCs w:val="24"/>
          <w:lang w:eastAsia="zh-CN"/>
          <w14:textFill>
            <w14:solidFill>
              <w14:schemeClr w14:val="tx1"/>
            </w14:solidFill>
          </w14:textFill>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napToGrid w:val="0"/>
        <w:spacing w:beforeLines="50" w:afterLines="50"/>
        <w:jc w:val="center"/>
        <w:rPr>
          <w:rFonts w:ascii="宋体" w:hAnsi="宋体"/>
          <w:b/>
          <w:sz w:val="36"/>
          <w:szCs w:val="36"/>
        </w:rPr>
      </w:pPr>
      <w:r>
        <w:rPr>
          <w:rFonts w:hint="eastAsia" w:ascii="宋体" w:hAnsi="宋体"/>
          <w:b/>
          <w:sz w:val="36"/>
          <w:szCs w:val="36"/>
          <w:lang w:eastAsia="zh-CN"/>
        </w:rPr>
        <w:t>服务</w:t>
      </w:r>
      <w:r>
        <w:rPr>
          <w:rFonts w:hint="eastAsia" w:ascii="宋体" w:hAnsi="宋体"/>
          <w:b/>
          <w:sz w:val="36"/>
          <w:szCs w:val="36"/>
        </w:rPr>
        <w:t>类</w:t>
      </w:r>
    </w:p>
    <w:p>
      <w:pPr>
        <w:widowControl/>
        <w:shd w:val="clear" w:color="auto" w:fill="FFFFFF"/>
        <w:spacing w:after="150" w:line="360" w:lineRule="auto"/>
        <w:ind w:firstLine="480"/>
        <w:jc w:val="left"/>
        <w:rPr>
          <w:rFonts w:asciiTheme="minorEastAsia" w:hAnsiTheme="minorEastAsia" w:eastAsiaTheme="minorEastAsia"/>
          <w:sz w:val="24"/>
          <w:szCs w:val="24"/>
        </w:rPr>
      </w:pPr>
      <w:r>
        <w:rPr>
          <w:rFonts w:asciiTheme="minorEastAsia" w:hAnsiTheme="minorEastAsia" w:eastAsiaTheme="minorEastAsia"/>
          <w:sz w:val="24"/>
          <w:szCs w:val="24"/>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项目名称：                                       项目编号：</w:t>
      </w:r>
    </w:p>
    <w:p>
      <w:pPr>
        <w:pStyle w:val="11"/>
        <w:snapToGrid w:val="0"/>
        <w:spacing w:before="120" w:after="120" w:line="360" w:lineRule="auto"/>
        <w:rPr>
          <w:rFonts w:hAnsi="宋体"/>
          <w:color w:val="000000"/>
          <w:sz w:val="24"/>
          <w:szCs w:val="24"/>
        </w:rPr>
      </w:pPr>
      <w:r>
        <w:rPr>
          <w:rFonts w:hAnsi="宋体"/>
          <w:color w:val="000000"/>
          <w:sz w:val="24"/>
          <w:szCs w:val="24"/>
        </w:rPr>
        <w:t>甲方：（</w:t>
      </w:r>
      <w:r>
        <w:rPr>
          <w:rFonts w:hint="eastAsia" w:hAnsi="宋体"/>
          <w:color w:val="000000"/>
          <w:sz w:val="24"/>
          <w:szCs w:val="24"/>
        </w:rPr>
        <w:t>采购单位</w:t>
      </w:r>
      <w:r>
        <w:rPr>
          <w:rFonts w:hAnsi="宋体"/>
          <w:color w:val="000000"/>
          <w:sz w:val="24"/>
          <w:szCs w:val="24"/>
        </w:rPr>
        <w:t>）</w:t>
      </w:r>
      <w:r>
        <w:rPr>
          <w:rFonts w:hint="eastAsia" w:hAnsi="宋体"/>
          <w:color w:val="000000"/>
          <w:sz w:val="24"/>
          <w:szCs w:val="24"/>
        </w:rPr>
        <w:t xml:space="preserve">                            所在地：                              </w:t>
      </w:r>
    </w:p>
    <w:p>
      <w:pPr>
        <w:pStyle w:val="11"/>
        <w:snapToGrid w:val="0"/>
        <w:spacing w:before="120" w:after="120" w:line="360" w:lineRule="auto"/>
        <w:rPr>
          <w:rFonts w:hAnsi="宋体"/>
          <w:color w:val="000000"/>
          <w:sz w:val="24"/>
          <w:szCs w:val="24"/>
        </w:rPr>
      </w:pPr>
      <w:r>
        <w:rPr>
          <w:rFonts w:hAnsi="宋体"/>
          <w:color w:val="000000"/>
          <w:sz w:val="24"/>
          <w:szCs w:val="24"/>
        </w:rPr>
        <w:t>乙方：（</w:t>
      </w:r>
      <w:r>
        <w:rPr>
          <w:rFonts w:hint="eastAsia" w:hAnsi="宋体"/>
          <w:color w:val="000000"/>
          <w:sz w:val="24"/>
          <w:szCs w:val="24"/>
        </w:rPr>
        <w:t>中标供应商</w:t>
      </w:r>
      <w:r>
        <w:rPr>
          <w:rFonts w:hAnsi="宋体"/>
          <w:color w:val="000000"/>
          <w:sz w:val="24"/>
          <w:szCs w:val="24"/>
        </w:rPr>
        <w:t>）</w:t>
      </w:r>
      <w:r>
        <w:rPr>
          <w:rFonts w:hint="eastAsia" w:hAnsi="宋体"/>
          <w:color w:val="000000"/>
          <w:sz w:val="24"/>
          <w:szCs w:val="24"/>
        </w:rPr>
        <w:t xml:space="preserve">                          所在地：</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sz w:val="24"/>
          <w:szCs w:val="24"/>
        </w:rPr>
        <w:t>甲、乙双方根据</w:t>
      </w:r>
      <w:r>
        <w:rPr>
          <w:rFonts w:hint="eastAsia" w:cs="Arial" w:asciiTheme="minorEastAsia" w:hAnsiTheme="minorEastAsia" w:eastAsiaTheme="minorEastAsia"/>
          <w:color w:val="FF00FF"/>
          <w:sz w:val="24"/>
          <w:szCs w:val="24"/>
        </w:rPr>
        <w:t>××</w:t>
      </w:r>
      <w:r>
        <w:rPr>
          <w:rFonts w:hint="eastAsia" w:asciiTheme="minorEastAsia" w:hAnsiTheme="minorEastAsia" w:eastAsiaTheme="minorEastAsia"/>
          <w:sz w:val="24"/>
          <w:szCs w:val="24"/>
          <w:lang w:val="en-US" w:eastAsia="zh-CN"/>
        </w:rPr>
        <w:t>(采购组织机构名称）</w:t>
      </w:r>
      <w:r>
        <w:rPr>
          <w:rFonts w:asciiTheme="minorEastAsia" w:hAnsiTheme="minorEastAsia" w:eastAsiaTheme="minorEastAsia"/>
          <w:sz w:val="24"/>
          <w:szCs w:val="24"/>
        </w:rPr>
        <w:t>关于</w:t>
      </w:r>
      <w:r>
        <w:rPr>
          <w:rFonts w:hint="eastAsia" w:cs="Arial" w:asciiTheme="minorEastAsia" w:hAnsiTheme="minorEastAsia" w:eastAsiaTheme="minorEastAsia"/>
          <w:color w:val="FF00FF"/>
          <w:sz w:val="24"/>
          <w:szCs w:val="24"/>
        </w:rPr>
        <w:t>××</w:t>
      </w:r>
      <w:r>
        <w:rPr>
          <w:rFonts w:asciiTheme="minorEastAsia" w:hAnsiTheme="minorEastAsia" w:eastAsiaTheme="minorEastAsia"/>
          <w:sz w:val="24"/>
          <w:szCs w:val="24"/>
        </w:rPr>
        <w:t>单位</w:t>
      </w:r>
      <w:r>
        <w:rPr>
          <w:rFonts w:hint="eastAsia" w:cs="Arial" w:asciiTheme="minorEastAsia" w:hAnsiTheme="minorEastAsia" w:eastAsiaTheme="minorEastAsia"/>
          <w:color w:val="FF00FF"/>
          <w:sz w:val="24"/>
          <w:szCs w:val="24"/>
        </w:rPr>
        <w:t>××</w:t>
      </w:r>
      <w:r>
        <w:rPr>
          <w:rFonts w:asciiTheme="minorEastAsia" w:hAnsiTheme="minorEastAsia" w:eastAsiaTheme="minorEastAsia"/>
          <w:sz w:val="24"/>
          <w:szCs w:val="24"/>
        </w:rPr>
        <w:t>项目公开招标的结果，签署本合同。</w:t>
      </w:r>
    </w:p>
    <w:p>
      <w:pPr>
        <w:spacing w:line="360" w:lineRule="auto"/>
        <w:rPr>
          <w:rFonts w:ascii="宋体"/>
          <w:color w:val="000000"/>
          <w:sz w:val="24"/>
          <w:szCs w:val="24"/>
          <w:lang w:val="zh-CN"/>
        </w:rPr>
      </w:pPr>
      <w:r>
        <w:rPr>
          <w:rFonts w:hint="eastAsia" w:ascii="宋体"/>
          <w:color w:val="000000"/>
          <w:sz w:val="24"/>
          <w:szCs w:val="24"/>
          <w:lang w:val="zh-CN"/>
        </w:rPr>
        <w:t xml:space="preserve">一、合同文件： </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1.合同条款。</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2.中标通知书。</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3.更正补充文件。</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4.招标文件。</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5.中标供应商投标文件。</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6.其他。</w:t>
      </w:r>
    </w:p>
    <w:p>
      <w:pPr>
        <w:pStyle w:val="11"/>
        <w:snapToGrid w:val="0"/>
        <w:spacing w:line="360" w:lineRule="auto"/>
        <w:ind w:firstLine="480" w:firstLineChars="200"/>
        <w:rPr>
          <w:rFonts w:hAnsi="Times New Roman"/>
          <w:color w:val="000000"/>
          <w:sz w:val="24"/>
          <w:szCs w:val="24"/>
          <w:lang w:val="zh-CN"/>
        </w:rPr>
      </w:pPr>
      <w:r>
        <w:rPr>
          <w:rFonts w:hint="eastAsia"/>
          <w:color w:val="000000"/>
          <w:sz w:val="24"/>
          <w:szCs w:val="24"/>
          <w:lang w:val="zh-CN"/>
        </w:rPr>
        <w:t>上述所指合同文件应认为是互相补充和解释的，但是有模棱两可或互相矛盾之处，以其所列内容顺序为准。</w:t>
      </w: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、货物内容</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1. 货物名称：</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 型号规格：</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 技术参数：</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数量（单位）：</w:t>
      </w: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、合同金额</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 xml:space="preserve"> 本合同金额为（大写）：____________________________________元（￥_______________元）人民币。</w:t>
      </w: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、技术资料</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乙方应按招标文件规定的时间向甲方提供使用货物的有关技术资料。</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412" w:hanging="412" w:hangingChars="171"/>
        <w:rPr>
          <w:rFonts w:asciiTheme="minorEastAsia" w:hAnsiTheme="minorEastAsia" w:eastAsiaTheme="minorEastAsia"/>
          <w:b/>
          <w:sz w:val="24"/>
          <w:szCs w:val="24"/>
        </w:rPr>
      </w:pP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、知识产权</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乙方应保证所提供的货物或其任何一部分均不会侵犯任何第三方的知识产权。</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2.若侵犯,由乙方赔偿甲方因此遭受的损失（包括但不限于应对及追偿过程中所支付的律师费、差旅费、诉讼费、保全费、鉴定费、评估费等）。</w:t>
      </w:r>
    </w:p>
    <w:p>
      <w:pPr>
        <w:pStyle w:val="11"/>
        <w:snapToGrid w:val="0"/>
        <w:spacing w:before="120" w:after="120" w:line="360" w:lineRule="auto"/>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、产权担保</w:t>
      </w:r>
    </w:p>
    <w:p>
      <w:pPr>
        <w:pStyle w:val="11"/>
        <w:snapToGrid w:val="0"/>
        <w:spacing w:before="120" w:after="120" w:line="360" w:lineRule="auto"/>
        <w:rPr>
          <w:rFonts w:asciiTheme="minorEastAsia" w:hAnsiTheme="minorEastAsia" w:eastAsiaTheme="minorEastAsia"/>
          <w:sz w:val="24"/>
          <w:szCs w:val="24"/>
          <w:u w:val="single"/>
        </w:rPr>
      </w:pPr>
      <w:r>
        <w:rPr>
          <w:rFonts w:asciiTheme="minorEastAsia" w:hAnsiTheme="minorEastAsia" w:eastAsiaTheme="minorEastAsia"/>
          <w:sz w:val="24"/>
          <w:szCs w:val="24"/>
        </w:rPr>
        <w:t>乙方保证所交付的货物的所有权完全属于乙方且无任何抵押、查封等产权瑕疵。</w:t>
      </w:r>
    </w:p>
    <w:p>
      <w:pPr>
        <w:pStyle w:val="11"/>
        <w:snapToGrid w:val="0"/>
        <w:spacing w:before="120" w:after="120" w:line="360" w:lineRule="auto"/>
        <w:ind w:left="410" w:hanging="410" w:hangingChars="17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、履约保证金</w:t>
      </w:r>
    </w:p>
    <w:p>
      <w:pPr>
        <w:pStyle w:val="11"/>
        <w:snapToGrid w:val="0"/>
        <w:spacing w:before="120" w:after="120" w:line="360" w:lineRule="auto"/>
        <w:ind w:left="0" w:leftChars="0" w:hanging="8" w:firstLineChars="0"/>
        <w:rPr>
          <w:rFonts w:hint="eastAsia" w:asciiTheme="majorEastAsia" w:hAnsiTheme="majorEastAsia" w:cstheme="majorEastAsia"/>
          <w:color w:val="000000"/>
          <w:sz w:val="24"/>
          <w:szCs w:val="24"/>
          <w:lang w:val="en-US" w:eastAsia="zh-CN"/>
        </w:rPr>
      </w:pPr>
      <w:r>
        <w:rPr>
          <w:rFonts w:hint="eastAsia" w:asciiTheme="majorEastAsia" w:hAnsiTheme="majorEastAsia" w:cstheme="majorEastAsia"/>
          <w:color w:val="000000"/>
          <w:sz w:val="24"/>
          <w:szCs w:val="24"/>
          <w:lang w:val="en-US" w:eastAsia="zh-CN"/>
        </w:rPr>
        <w:t>中标后签订合同前5个工作日内，乙方需支付甲方合同金额的5%作为履约保证金，甲方在质保期满后5个工作日内退还乙方。</w:t>
      </w:r>
    </w:p>
    <w:p>
      <w:pPr>
        <w:pStyle w:val="11"/>
        <w:snapToGrid w:val="0"/>
        <w:spacing w:before="120" w:after="120" w:line="360" w:lineRule="auto"/>
        <w:ind w:left="410" w:hanging="410" w:hangingChars="170"/>
        <w:rPr>
          <w:rFonts w:asciiTheme="minorEastAsia" w:hAnsiTheme="minorEastAsia" w:eastAsiaTheme="minorEastAsia"/>
          <w:b/>
          <w:sz w:val="24"/>
          <w:szCs w:val="24"/>
        </w:rPr>
      </w:pPr>
      <w:r>
        <w:rPr>
          <w:rFonts w:hint="eastAsia" w:asciiTheme="minorEastAsia" w:hAnsiTheme="minorEastAsia" w:eastAsiaTheme="minorEastAsia"/>
          <w:b/>
          <w:sz w:val="24"/>
          <w:szCs w:val="24"/>
        </w:rPr>
        <w:t>八、转包或分包</w:t>
      </w:r>
    </w:p>
    <w:p>
      <w:pPr>
        <w:snapToGrid w:val="0"/>
        <w:spacing w:beforeLines="5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.本合同范围的货物，应由</w:t>
      </w:r>
      <w:r>
        <w:rPr>
          <w:rFonts w:asciiTheme="minorEastAsia" w:hAnsiTheme="minorEastAsia" w:eastAsiaTheme="minorEastAsia"/>
          <w:sz w:val="24"/>
          <w:szCs w:val="24"/>
        </w:rPr>
        <w:t>乙</w:t>
      </w:r>
      <w:r>
        <w:rPr>
          <w:rFonts w:hint="eastAsia" w:asciiTheme="minorEastAsia" w:hAnsiTheme="minorEastAsia" w:eastAsiaTheme="minorEastAsia"/>
          <w:sz w:val="24"/>
          <w:szCs w:val="24"/>
        </w:rPr>
        <w:t>方直接供应，不得转让他人供应；</w:t>
      </w:r>
    </w:p>
    <w:p>
      <w:pPr>
        <w:snapToGrid w:val="0"/>
        <w:spacing w:beforeLines="5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.除非得到</w:t>
      </w:r>
      <w:r>
        <w:rPr>
          <w:rFonts w:asciiTheme="minorEastAsia" w:hAnsiTheme="minorEastAsia" w:eastAsiaTheme="minorEastAsia"/>
          <w:sz w:val="24"/>
          <w:szCs w:val="24"/>
        </w:rPr>
        <w:t>甲</w:t>
      </w:r>
      <w:r>
        <w:rPr>
          <w:rFonts w:hint="eastAsia" w:asciiTheme="minorEastAsia" w:hAnsiTheme="minorEastAsia" w:eastAsiaTheme="minorEastAsia"/>
          <w:sz w:val="24"/>
          <w:szCs w:val="24"/>
        </w:rPr>
        <w:t>方的书面同意，</w:t>
      </w:r>
      <w:r>
        <w:rPr>
          <w:rFonts w:asciiTheme="minorEastAsia" w:hAnsiTheme="minorEastAsia" w:eastAsiaTheme="minorEastAsia"/>
          <w:sz w:val="24"/>
          <w:szCs w:val="24"/>
        </w:rPr>
        <w:t>乙</w:t>
      </w:r>
      <w:r>
        <w:rPr>
          <w:rFonts w:hint="eastAsia" w:asciiTheme="minorEastAsia" w:hAnsiTheme="minorEastAsia" w:eastAsiaTheme="minorEastAsia"/>
          <w:sz w:val="24"/>
          <w:szCs w:val="24"/>
        </w:rPr>
        <w:t>方不得将本合同范围的货物全部或部分分包给他人供应；</w:t>
      </w:r>
    </w:p>
    <w:p>
      <w:pPr>
        <w:snapToGrid w:val="0"/>
        <w:spacing w:beforeLines="5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.如有转让和未经</w:t>
      </w:r>
      <w:r>
        <w:rPr>
          <w:rFonts w:asciiTheme="minorEastAsia" w:hAnsiTheme="minorEastAsia" w:eastAsiaTheme="minorEastAsia"/>
          <w:sz w:val="24"/>
          <w:szCs w:val="24"/>
        </w:rPr>
        <w:t>甲</w:t>
      </w:r>
      <w:r>
        <w:rPr>
          <w:rFonts w:hint="eastAsia" w:asciiTheme="minorEastAsia" w:hAnsiTheme="minorEastAsia" w:eastAsiaTheme="minorEastAsia"/>
          <w:sz w:val="24"/>
          <w:szCs w:val="24"/>
        </w:rPr>
        <w:t>方同意的分包行为，</w:t>
      </w:r>
      <w:r>
        <w:rPr>
          <w:rFonts w:asciiTheme="minorEastAsia" w:hAnsiTheme="minorEastAsia" w:eastAsiaTheme="minorEastAsia"/>
          <w:sz w:val="24"/>
          <w:szCs w:val="24"/>
        </w:rPr>
        <w:t>甲</w:t>
      </w:r>
      <w:r>
        <w:rPr>
          <w:rFonts w:hint="eastAsia" w:asciiTheme="minorEastAsia" w:hAnsiTheme="minorEastAsia" w:eastAsiaTheme="minorEastAsia"/>
          <w:sz w:val="24"/>
          <w:szCs w:val="24"/>
        </w:rPr>
        <w:t>方有权解除合同，没收履约保证金并追究乙方的违约责任。</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、质保期</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质保期</w:t>
      </w:r>
      <w:r>
        <w:rPr>
          <w:rFonts w:ascii="宋体" w:hAnsi="宋体" w:eastAsia="宋体" w:cs="Times New Roman"/>
          <w:sz w:val="24"/>
          <w:szCs w:val="24"/>
        </w:rPr>
        <w:t>___</w:t>
      </w:r>
      <w:r>
        <w:rPr>
          <w:rFonts w:asciiTheme="minorEastAsia" w:hAnsiTheme="minorEastAsia" w:eastAsiaTheme="minorEastAsia"/>
          <w:sz w:val="24"/>
          <w:szCs w:val="24"/>
        </w:rPr>
        <w:t>年。（自交货验收合格之日起计）</w:t>
      </w: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、交货期、交货方式及交货地点</w:t>
      </w:r>
    </w:p>
    <w:p>
      <w:pPr>
        <w:pStyle w:val="11"/>
        <w:snapToGrid w:val="0"/>
        <w:spacing w:before="120" w:after="120" w:line="360" w:lineRule="auto"/>
        <w:rPr>
          <w:rFonts w:asciiTheme="minorEastAsia" w:hAnsiTheme="minorEastAsia" w:eastAsiaTheme="minorEastAsia"/>
          <w:bCs/>
          <w:color w:val="000000"/>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 xml:space="preserve"> 交货期：</w:t>
      </w:r>
    </w:p>
    <w:p>
      <w:pPr>
        <w:pStyle w:val="11"/>
        <w:snapToGrid w:val="0"/>
        <w:spacing w:before="120" w:after="120" w:line="360" w:lineRule="auto"/>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w:t>
      </w:r>
      <w:r>
        <w:rPr>
          <w:rFonts w:hint="eastAsia" w:asciiTheme="minorEastAsia" w:hAnsiTheme="minorEastAsia" w:eastAsiaTheme="minorEastAsia"/>
          <w:bCs/>
          <w:color w:val="000000"/>
          <w:sz w:val="24"/>
          <w:szCs w:val="24"/>
        </w:rPr>
        <w:t>.</w:t>
      </w:r>
      <w:r>
        <w:rPr>
          <w:rFonts w:asciiTheme="minorEastAsia" w:hAnsiTheme="minorEastAsia" w:eastAsiaTheme="minorEastAsia"/>
          <w:bCs/>
          <w:color w:val="000000"/>
          <w:sz w:val="24"/>
          <w:szCs w:val="24"/>
        </w:rPr>
        <w:t xml:space="preserve"> 交货方式：</w:t>
      </w:r>
    </w:p>
    <w:p>
      <w:pPr>
        <w:pStyle w:val="11"/>
        <w:snapToGrid w:val="0"/>
        <w:spacing w:before="120" w:after="120" w:line="360" w:lineRule="auto"/>
        <w:rPr>
          <w:rFonts w:asciiTheme="minorEastAsia" w:hAnsiTheme="minorEastAsia" w:eastAsiaTheme="minorEastAsia"/>
          <w:b/>
          <w:color w:val="000000"/>
          <w:sz w:val="24"/>
          <w:szCs w:val="24"/>
        </w:rPr>
      </w:pPr>
      <w:r>
        <w:rPr>
          <w:rFonts w:asciiTheme="minorEastAsia" w:hAnsiTheme="minorEastAsia" w:eastAsiaTheme="minorEastAsia"/>
          <w:bCs/>
          <w:color w:val="000000"/>
          <w:sz w:val="24"/>
          <w:szCs w:val="24"/>
        </w:rPr>
        <w:t>3</w:t>
      </w:r>
      <w:r>
        <w:rPr>
          <w:rFonts w:hint="eastAsia" w:asciiTheme="minorEastAsia" w:hAnsiTheme="minorEastAsia" w:eastAsiaTheme="minorEastAsia"/>
          <w:bCs/>
          <w:color w:val="000000"/>
          <w:sz w:val="24"/>
          <w:szCs w:val="24"/>
        </w:rPr>
        <w:t>.</w:t>
      </w:r>
      <w:r>
        <w:rPr>
          <w:rFonts w:asciiTheme="minorEastAsia" w:hAnsiTheme="minorEastAsia" w:eastAsiaTheme="minorEastAsia"/>
          <w:bCs/>
          <w:color w:val="000000"/>
          <w:sz w:val="24"/>
          <w:szCs w:val="24"/>
        </w:rPr>
        <w:t xml:space="preserve"> 交货地点：</w:t>
      </w:r>
    </w:p>
    <w:p>
      <w:pPr>
        <w:pStyle w:val="11"/>
        <w:snapToGrid w:val="0"/>
        <w:spacing w:before="120" w:after="120" w:line="360" w:lineRule="auto"/>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十</w:t>
      </w:r>
      <w:r>
        <w:rPr>
          <w:rFonts w:hint="eastAsia" w:asciiTheme="minorEastAsia" w:hAnsiTheme="minorEastAsia" w:eastAsiaTheme="minorEastAsia"/>
          <w:b/>
          <w:color w:val="000000"/>
          <w:sz w:val="24"/>
          <w:szCs w:val="24"/>
        </w:rPr>
        <w:t>一</w:t>
      </w:r>
      <w:r>
        <w:rPr>
          <w:rFonts w:asciiTheme="minorEastAsia" w:hAnsiTheme="minorEastAsia" w:eastAsiaTheme="minorEastAsia"/>
          <w:b/>
          <w:color w:val="000000"/>
          <w:sz w:val="24"/>
          <w:szCs w:val="24"/>
        </w:rPr>
        <w:t>、货款支付</w:t>
      </w:r>
    </w:p>
    <w:p>
      <w:pPr>
        <w:pStyle w:val="11"/>
        <w:snapToGrid w:val="0"/>
        <w:spacing w:before="120" w:after="120" w:line="360" w:lineRule="auto"/>
        <w:rPr>
          <w:rFonts w:asciiTheme="minorEastAsia" w:hAnsiTheme="minorEastAsia" w:eastAsiaTheme="minorEastAsia"/>
          <w:bCs/>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 xml:space="preserve"> 付款方式：</w:t>
      </w:r>
    </w:p>
    <w:p>
      <w:pPr>
        <w:pStyle w:val="11"/>
        <w:snapToGrid w:val="0"/>
        <w:spacing w:line="360" w:lineRule="auto"/>
        <w:rPr>
          <w:rFonts w:asciiTheme="minorEastAsia" w:hAnsiTheme="minorEastAsia" w:eastAsiaTheme="minorEastAsia"/>
          <w:bCs/>
          <w:sz w:val="24"/>
          <w:szCs w:val="24"/>
        </w:rPr>
      </w:pPr>
      <w:r>
        <w:rPr>
          <w:rFonts w:hint="eastAsia" w:hAnsi="Times New Roman"/>
          <w:sz w:val="24"/>
          <w:szCs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Lines="50" w:afterLines="5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十二、税费</w:t>
      </w:r>
    </w:p>
    <w:p>
      <w:pPr>
        <w:snapToGrid w:val="0"/>
        <w:spacing w:beforeLines="50"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本合同执行中相关的一切税费均由</w:t>
      </w:r>
      <w:r>
        <w:rPr>
          <w:rFonts w:asciiTheme="minorEastAsia" w:hAnsiTheme="minorEastAsia" w:eastAsiaTheme="minorEastAsia"/>
          <w:sz w:val="24"/>
          <w:szCs w:val="24"/>
        </w:rPr>
        <w:t>乙</w:t>
      </w:r>
      <w:r>
        <w:rPr>
          <w:rFonts w:hint="eastAsia" w:asciiTheme="minorEastAsia" w:hAnsiTheme="minorEastAsia" w:eastAsiaTheme="minorEastAsia"/>
          <w:sz w:val="24"/>
          <w:szCs w:val="24"/>
        </w:rPr>
        <w:t>方负担。</w:t>
      </w:r>
    </w:p>
    <w:p>
      <w:pPr>
        <w:pStyle w:val="11"/>
        <w:snapToGrid w:val="0"/>
        <w:spacing w:before="120" w:after="120" w:line="360" w:lineRule="auto"/>
        <w:ind w:left="412" w:hanging="412" w:hangingChars="171"/>
        <w:rPr>
          <w:rFonts w:asciiTheme="minorEastAsia" w:hAnsiTheme="minorEastAsia" w:eastAsiaTheme="minorEastAsia"/>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、质量保证及售后服务</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乙方应按招标文件规定的货物性能、技术要求、质量标准向甲方提供未经使用的全新产品。</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乙方提供的货物在质</w:t>
      </w:r>
      <w:r>
        <w:rPr>
          <w:rFonts w:hint="eastAsia" w:asciiTheme="minorEastAsia" w:hAnsiTheme="minorEastAsia" w:eastAsiaTheme="minorEastAsia"/>
          <w:sz w:val="24"/>
          <w:szCs w:val="24"/>
        </w:rPr>
        <w:t>保</w:t>
      </w:r>
      <w:r>
        <w:rPr>
          <w:rFonts w:asciiTheme="minorEastAsia" w:hAnsiTheme="minorEastAsia" w:eastAsiaTheme="minorEastAsia"/>
          <w:sz w:val="24"/>
          <w:szCs w:val="24"/>
        </w:rPr>
        <w:t>期内因货物本身的质量问题发生故障，乙方应负责免费更换。对达不到技术要求者，根据实际情况，经双方协商，可按以下办法处理：</w:t>
      </w:r>
    </w:p>
    <w:p>
      <w:pPr>
        <w:pStyle w:val="11"/>
        <w:snapToGrid w:val="0"/>
        <w:spacing w:before="120" w:after="120"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⑴更换：由乙方承担所发生的全部费用。</w:t>
      </w:r>
    </w:p>
    <w:p>
      <w:pPr>
        <w:pStyle w:val="11"/>
        <w:snapToGrid w:val="0"/>
        <w:spacing w:before="120" w:after="120"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⑵贬值处理：由甲乙双方合议定价。</w:t>
      </w:r>
    </w:p>
    <w:p>
      <w:pPr>
        <w:pStyle w:val="11"/>
        <w:snapToGrid w:val="0"/>
        <w:spacing w:before="120" w:after="120" w:line="360" w:lineRule="auto"/>
        <w:ind w:left="420" w:leftChars="200"/>
        <w:rPr>
          <w:rFonts w:asciiTheme="minorEastAsia" w:hAnsiTheme="minorEastAsia" w:eastAsiaTheme="minorEastAsia"/>
          <w:sz w:val="24"/>
          <w:szCs w:val="24"/>
        </w:rPr>
      </w:pPr>
      <w:r>
        <w:rPr>
          <w:rFonts w:asciiTheme="minorEastAsia" w:hAnsiTheme="minorEastAsia" w:eastAsiaTheme="minorEastAsia"/>
          <w:sz w:val="24"/>
          <w:szCs w:val="24"/>
        </w:rPr>
        <w:t>⑶退货处理：乙方应退还甲方支付的合同款，同时应承担该货物的直接费用（运输、保险、检验、货款利息及银行手续费等）。</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如在使用过程中发生质量问题，乙方在接到甲方通知后</w:t>
      </w:r>
      <w:r>
        <w:rPr>
          <w:rFonts w:asciiTheme="minorEastAsia" w:hAnsiTheme="minorEastAsia" w:eastAsiaTheme="minorEastAsia"/>
          <w:color w:val="000000"/>
          <w:sz w:val="24"/>
          <w:szCs w:val="24"/>
        </w:rPr>
        <w:t>在</w:t>
      </w:r>
      <w:r>
        <w:rPr>
          <w:rFonts w:hint="eastAsia" w:asciiTheme="minorEastAsia" w:hAnsiTheme="minorEastAsia" w:eastAsiaTheme="minorEastAsia"/>
          <w:color w:val="000000"/>
          <w:sz w:val="24"/>
          <w:szCs w:val="24"/>
          <w:u w:val="single"/>
          <w:lang w:val="en-US" w:eastAsia="zh-CN"/>
        </w:rPr>
        <w:t xml:space="preserve">   </w:t>
      </w:r>
      <w:r>
        <w:rPr>
          <w:rFonts w:asciiTheme="minorEastAsia" w:hAnsiTheme="minorEastAsia" w:eastAsiaTheme="minorEastAsia"/>
          <w:color w:val="000000"/>
          <w:sz w:val="24"/>
          <w:szCs w:val="24"/>
        </w:rPr>
        <w:t>小时</w:t>
      </w:r>
      <w:r>
        <w:rPr>
          <w:rFonts w:asciiTheme="minorEastAsia" w:hAnsiTheme="minorEastAsia" w:eastAsiaTheme="minorEastAsia"/>
          <w:sz w:val="24"/>
          <w:szCs w:val="24"/>
        </w:rPr>
        <w:t>内到达甲方</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现场。</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在质保期内，乙方应对货物出现的质量及安全问题负责处理解决并承担一切</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费用。</w:t>
      </w:r>
    </w:p>
    <w:p>
      <w:pPr>
        <w:pStyle w:val="11"/>
        <w:snapToGrid w:val="0"/>
        <w:spacing w:before="120" w:after="120" w:line="360" w:lineRule="auto"/>
        <w:rPr>
          <w:rFonts w:asciiTheme="minorEastAsia" w:hAnsiTheme="minorEastAsia" w:eastAsiaTheme="minorEastAsia"/>
          <w:color w:val="000000"/>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color w:val="000000"/>
          <w:sz w:val="24"/>
          <w:szCs w:val="24"/>
        </w:rPr>
        <w:t>上述的</w:t>
      </w:r>
      <w:r>
        <w:rPr>
          <w:rFonts w:asciiTheme="minorEastAsia" w:hAnsiTheme="minorEastAsia" w:eastAsiaTheme="minorEastAsia"/>
          <w:sz w:val="24"/>
          <w:szCs w:val="24"/>
        </w:rPr>
        <w:t>货物</w:t>
      </w:r>
      <w:r>
        <w:rPr>
          <w:rFonts w:asciiTheme="minorEastAsia" w:hAnsiTheme="minorEastAsia" w:eastAsiaTheme="minorEastAsia"/>
          <w:color w:val="000000"/>
          <w:sz w:val="24"/>
          <w:szCs w:val="24"/>
        </w:rPr>
        <w:t>免费保修期为年，因人为因素出现的故障不在免费保修范围</w:t>
      </w:r>
    </w:p>
    <w:p>
      <w:pPr>
        <w:pStyle w:val="11"/>
        <w:snapToGrid w:val="0"/>
        <w:spacing w:before="120" w:after="120" w:line="360" w:lineRule="auto"/>
        <w:ind w:firstLine="240" w:firstLineChars="1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内。超过保修期的机器设备，终生维修，维修时只收部件成本费。</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、调试和验收</w:t>
      </w:r>
    </w:p>
    <w:p>
      <w:pPr>
        <w:pStyle w:val="11"/>
        <w:snapToGrid w:val="0"/>
        <w:spacing w:before="120" w:after="12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甲方对乙方提交的货物依据招标文件上的技术规格要求和国家有关质量标准</w:t>
      </w:r>
    </w:p>
    <w:p>
      <w:pPr>
        <w:pStyle w:val="11"/>
        <w:snapToGrid w:val="0"/>
        <w:spacing w:before="120" w:after="120" w:line="360" w:lineRule="auto"/>
        <w:ind w:firstLine="360" w:firstLineChars="150"/>
        <w:jc w:val="left"/>
        <w:rPr>
          <w:rFonts w:asciiTheme="minorEastAsia" w:hAnsiTheme="minorEastAsia" w:eastAsiaTheme="minorEastAsia"/>
          <w:sz w:val="24"/>
          <w:szCs w:val="24"/>
        </w:rPr>
      </w:pPr>
      <w:r>
        <w:rPr>
          <w:rFonts w:asciiTheme="minorEastAsia" w:hAnsiTheme="minorEastAsia" w:eastAsiaTheme="minorEastAsia"/>
          <w:sz w:val="24"/>
          <w:szCs w:val="24"/>
        </w:rPr>
        <w:t>进行现场初步验收，外观、说明书符合招标文件技术要求的，给予签收，初</w:t>
      </w:r>
    </w:p>
    <w:p>
      <w:pPr>
        <w:pStyle w:val="11"/>
        <w:snapToGrid w:val="0"/>
        <w:spacing w:before="120" w:after="120" w:line="360" w:lineRule="auto"/>
        <w:ind w:firstLine="360" w:firstLineChars="150"/>
        <w:jc w:val="left"/>
        <w:rPr>
          <w:rFonts w:asciiTheme="minorEastAsia" w:hAnsiTheme="minorEastAsia" w:eastAsiaTheme="minorEastAsia"/>
          <w:sz w:val="24"/>
          <w:szCs w:val="24"/>
        </w:rPr>
      </w:pPr>
      <w:r>
        <w:rPr>
          <w:rFonts w:asciiTheme="minorEastAsia" w:hAnsiTheme="minorEastAsia" w:eastAsiaTheme="minorEastAsia"/>
          <w:sz w:val="24"/>
          <w:szCs w:val="24"/>
        </w:rPr>
        <w:t>步验收不合格的不予签收。货到后，甲方需在</w:t>
      </w:r>
      <w:r>
        <w:rPr>
          <w:rFonts w:hint="eastAsia" w:asciiTheme="minorEastAsia" w:hAnsiTheme="minorEastAsia" w:eastAsiaTheme="minorEastAsia"/>
          <w:color w:val="FF66CC"/>
          <w:sz w:val="24"/>
          <w:szCs w:val="24"/>
          <w:u w:val="single"/>
        </w:rPr>
        <w:t>五</w:t>
      </w:r>
      <w:r>
        <w:rPr>
          <w:rFonts w:hint="eastAsia" w:asciiTheme="minorEastAsia" w:hAnsiTheme="minorEastAsia" w:eastAsiaTheme="minorEastAsia"/>
          <w:sz w:val="24"/>
          <w:szCs w:val="24"/>
        </w:rPr>
        <w:t>个</w:t>
      </w:r>
      <w:r>
        <w:rPr>
          <w:rFonts w:asciiTheme="minorEastAsia" w:hAnsiTheme="minorEastAsia" w:eastAsiaTheme="minorEastAsia"/>
          <w:sz w:val="24"/>
          <w:szCs w:val="24"/>
        </w:rPr>
        <w:t>工作日内验收。</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乙方交货前应对产品作出全面检查和对验收文件进行整理，并列出清单，作</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为甲方收货验收和使用的技术条件依据，检验的结果应随货物交甲方。</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甲方对乙方提供的货物在使用前进行调试时，乙方需负责安装并培训甲方的</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使用操作人员，并协助甲方一起调试，直到符合技术要求，甲方才做最终验</w:t>
      </w:r>
    </w:p>
    <w:p>
      <w:pPr>
        <w:pStyle w:val="11"/>
        <w:snapToGrid w:val="0"/>
        <w:spacing w:before="120" w:after="120" w:line="360" w:lineRule="auto"/>
        <w:ind w:firstLine="360" w:firstLineChars="150"/>
        <w:rPr>
          <w:rFonts w:asciiTheme="minorEastAsia" w:hAnsiTheme="minorEastAsia" w:eastAsiaTheme="minorEastAsia"/>
          <w:sz w:val="24"/>
          <w:szCs w:val="24"/>
          <w:u w:val="single"/>
        </w:rPr>
      </w:pPr>
      <w:r>
        <w:rPr>
          <w:rFonts w:asciiTheme="minorEastAsia" w:hAnsiTheme="minorEastAsia" w:eastAsiaTheme="minorEastAsia"/>
          <w:sz w:val="24"/>
          <w:szCs w:val="24"/>
        </w:rPr>
        <w:t>收。</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w:t>
      </w:r>
      <w:r>
        <w:rPr>
          <w:rFonts w:asciiTheme="minorEastAsia" w:hAnsiTheme="minorEastAsia" w:eastAsiaTheme="minorEastAsia"/>
          <w:sz w:val="24"/>
          <w:szCs w:val="24"/>
        </w:rPr>
        <w:t>对技术复杂的货物，甲方应请国家认可的专业检测机构参与初步验收及最终</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验收，并由其出具质量检测报告。</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rPr>
        <w:t>.</w:t>
      </w:r>
      <w:r>
        <w:rPr>
          <w:rFonts w:asciiTheme="minorEastAsia" w:hAnsiTheme="minorEastAsia" w:eastAsiaTheme="minorEastAsia"/>
          <w:sz w:val="24"/>
          <w:szCs w:val="24"/>
        </w:rPr>
        <w:t>验收时乙方必须在现场，验收完毕后作出验收结果报告；验收费用由</w:t>
      </w:r>
      <w:r>
        <w:rPr>
          <w:rFonts w:hint="eastAsia" w:asciiTheme="minorEastAsia" w:hAnsiTheme="minorEastAsia" w:eastAsiaTheme="minorEastAsia"/>
          <w:sz w:val="24"/>
          <w:szCs w:val="24"/>
        </w:rPr>
        <w:t>甲</w:t>
      </w:r>
      <w:r>
        <w:rPr>
          <w:rFonts w:asciiTheme="minorEastAsia" w:hAnsiTheme="minorEastAsia" w:eastAsiaTheme="minorEastAsia"/>
          <w:sz w:val="24"/>
          <w:szCs w:val="24"/>
        </w:rPr>
        <w:t>方负</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责。</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、货物包装、发运及运输</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乙方应在货物发运前对其进行满足运输距离、防潮、防震、防锈和防破损装卸等要求包装，以保证货物安全运达甲方指定地点。</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使用说明书、质量检验证明书、随配附件和工具以及清单一并附于货物内。</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乙方在货物发运手续办理完毕后24小时内或货到甲方48小时前通知甲方，以准备接货。</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货物在交付甲方前发生的风险均由乙方负责。</w:t>
      </w:r>
    </w:p>
    <w:p>
      <w:pPr>
        <w:pStyle w:val="11"/>
        <w:snapToGrid w:val="0"/>
        <w:spacing w:line="360" w:lineRule="auto"/>
        <w:ind w:left="480" w:right="26"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货物在规定的交付期限内由乙方送达甲方指定的地点视为交付，乙方同时需</w:t>
      </w:r>
    </w:p>
    <w:p>
      <w:pPr>
        <w:pStyle w:val="11"/>
        <w:snapToGrid w:val="0"/>
        <w:spacing w:line="360" w:lineRule="auto"/>
        <w:ind w:left="479" w:leftChars="171" w:right="26" w:hanging="120" w:hangingChars="50"/>
        <w:rPr>
          <w:rFonts w:asciiTheme="minorEastAsia" w:hAnsiTheme="minorEastAsia" w:eastAsiaTheme="minorEastAsia"/>
          <w:sz w:val="24"/>
          <w:szCs w:val="24"/>
        </w:rPr>
      </w:pPr>
      <w:r>
        <w:rPr>
          <w:rFonts w:asciiTheme="minorEastAsia" w:hAnsiTheme="minorEastAsia" w:eastAsiaTheme="minorEastAsia"/>
          <w:sz w:val="24"/>
          <w:szCs w:val="24"/>
        </w:rPr>
        <w:t>通知甲方货物已送达。</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、违约责任</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甲方无正当理由拒收货物的，甲方向乙方偿付拒收货款总值的</w:t>
      </w:r>
      <w:r>
        <w:rPr>
          <w:rFonts w:asciiTheme="minorEastAsia" w:hAnsiTheme="minorEastAsia" w:eastAsiaTheme="minorEastAsia"/>
          <w:color w:val="FF66CC"/>
          <w:sz w:val="24"/>
          <w:szCs w:val="24"/>
          <w:u w:val="single"/>
        </w:rPr>
        <w:t>百分之五</w:t>
      </w:r>
      <w:r>
        <w:rPr>
          <w:rFonts w:asciiTheme="minorEastAsia" w:hAnsiTheme="minorEastAsia" w:eastAsiaTheme="minorEastAsia"/>
          <w:sz w:val="24"/>
          <w:szCs w:val="24"/>
        </w:rPr>
        <w:t>违约金。</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甲方无故逾期验收和办理货款支付手续的,甲方应按逾期付款总额每日</w:t>
      </w:r>
      <w:r>
        <w:rPr>
          <w:rFonts w:asciiTheme="minorEastAsia" w:hAnsiTheme="minorEastAsia" w:eastAsiaTheme="minorEastAsia"/>
          <w:color w:val="FF66CC"/>
          <w:sz w:val="24"/>
          <w:szCs w:val="24"/>
          <w:u w:val="single"/>
        </w:rPr>
        <w:t>万分之五</w:t>
      </w:r>
      <w:r>
        <w:rPr>
          <w:rFonts w:asciiTheme="minorEastAsia" w:hAnsiTheme="minorEastAsia" w:eastAsiaTheme="minorEastAsia"/>
          <w:sz w:val="24"/>
          <w:szCs w:val="24"/>
        </w:rPr>
        <w:t>向乙方支付违约金。</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乙方逾期交付货物的，乙方应按逾期交货总额每日</w:t>
      </w:r>
      <w:r>
        <w:rPr>
          <w:rFonts w:asciiTheme="minorEastAsia" w:hAnsiTheme="minorEastAsia" w:eastAsiaTheme="minorEastAsia"/>
          <w:color w:val="FF66CC"/>
          <w:sz w:val="24"/>
          <w:szCs w:val="24"/>
          <w:u w:val="single"/>
        </w:rPr>
        <w:t>千分之六</w:t>
      </w:r>
      <w:r>
        <w:rPr>
          <w:rFonts w:asciiTheme="minorEastAsia" w:hAnsiTheme="minorEastAsia" w:eastAsiaTheme="minorEastAsia"/>
          <w:sz w:val="24"/>
          <w:szCs w:val="24"/>
        </w:rPr>
        <w:t>向甲方支付违约金，由甲方从待付货款中扣除。逾期超过约定日期</w:t>
      </w:r>
      <w:r>
        <w:rPr>
          <w:rFonts w:asciiTheme="minorEastAsia" w:hAnsiTheme="minorEastAsia" w:eastAsiaTheme="minorEastAsia"/>
          <w:color w:val="FF66CC"/>
          <w:sz w:val="24"/>
          <w:szCs w:val="24"/>
          <w:u w:val="single"/>
        </w:rPr>
        <w:t>10</w:t>
      </w:r>
      <w:r>
        <w:rPr>
          <w:rFonts w:asciiTheme="minorEastAsia" w:hAnsiTheme="minorEastAsia" w:eastAsiaTheme="minorEastAsia"/>
          <w:sz w:val="24"/>
          <w:szCs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FF66CC"/>
          <w:sz w:val="24"/>
          <w:szCs w:val="24"/>
          <w:u w:val="single"/>
        </w:rPr>
        <w:t>5%</w:t>
      </w:r>
      <w:r>
        <w:rPr>
          <w:rFonts w:asciiTheme="minorEastAsia" w:hAnsiTheme="minorEastAsia" w:eastAsiaTheme="minorEastAsia"/>
          <w:sz w:val="24"/>
          <w:szCs w:val="24"/>
        </w:rPr>
        <w:t xml:space="preserve">的违约金，如造成甲方损失超过违约金的，超出部分由乙方继续承担赔偿责任。 </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hint="eastAsia" w:asciiTheme="minorEastAsia" w:hAnsiTheme="minorEastAsia" w:eastAsiaTheme="minorEastAsia"/>
          <w:sz w:val="24"/>
          <w:szCs w:val="24"/>
        </w:rPr>
        <w:t>5.若发生纠纷，由违约方赔偿守约方因纠纷所支付的费用（包括但不限于律师费、差旅费、诉讼费、保全费、鉴定费、评估费等）</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、不可抗力事件处理</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在合同有效期内，任何一方因不可抗力事件导致不能履行合同，则合同履行</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期可延长，其延长期与不可抗力影响期相同。</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不可抗力事件发生后，应立即通知对方，并寄送有关权威机构出具的证明。</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不可抗力事件延续120天以上，双方应通过友好协商，确定是否继续履行合</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同。</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解决争议的方法</w:t>
      </w:r>
    </w:p>
    <w:p>
      <w:pPr>
        <w:widowControl/>
        <w:spacing w:line="360" w:lineRule="auto"/>
        <w:jc w:val="left"/>
        <w:rPr>
          <w:sz w:val="24"/>
          <w:szCs w:val="24"/>
        </w:rPr>
      </w:pPr>
      <w:r>
        <w:rPr>
          <w:rFonts w:hint="eastAsia" w:ascii="宋体" w:hAnsi="宋体" w:cs="宋体"/>
          <w:kern w:val="0"/>
          <w:sz w:val="24"/>
          <w:szCs w:val="24"/>
        </w:rPr>
        <w:t xml:space="preserve">1. </w:t>
      </w:r>
      <w:r>
        <w:rPr>
          <w:rFonts w:ascii="宋体" w:hAnsi="宋体" w:cs="宋体"/>
          <w:kern w:val="0"/>
          <w:sz w:val="24"/>
          <w:szCs w:val="24"/>
        </w:rPr>
        <w:t>如双方在履行合同时发生纠纷，应协商解决；协商不成时，可提请政府采购管理部门调解；调解不成的通过以下方式解决（两种解决方式只能择其一）：</w:t>
      </w:r>
      <w:r>
        <w:rPr>
          <w:rFonts w:ascii="宋体" w:hAnsi="宋体" w:cs="宋体"/>
          <w:kern w:val="0"/>
          <w:sz w:val="24"/>
          <w:szCs w:val="24"/>
        </w:rPr>
        <w:br w:type="textWrapping"/>
      </w:r>
      <w:r>
        <w:rPr>
          <w:rFonts w:ascii="宋体" w:hAnsi="宋体" w:cs="宋体"/>
          <w:kern w:val="0"/>
          <w:sz w:val="24"/>
          <w:szCs w:val="24"/>
        </w:rPr>
        <w:t>（1） 提交</w:t>
      </w:r>
      <w:r>
        <w:rPr>
          <w:rFonts w:hAnsi="宋体"/>
          <w:color w:val="FF66CC"/>
          <w:sz w:val="24"/>
          <w:szCs w:val="24"/>
          <w:u w:val="single"/>
        </w:rPr>
        <w:t>台州</w:t>
      </w:r>
      <w:r>
        <w:rPr>
          <w:rFonts w:ascii="宋体" w:hAnsi="宋体" w:cs="宋体"/>
          <w:kern w:val="0"/>
          <w:sz w:val="24"/>
          <w:szCs w:val="24"/>
        </w:rPr>
        <w:t>仲裁委员会仲裁。</w:t>
      </w:r>
      <w:r>
        <w:rPr>
          <w:rFonts w:ascii="宋体" w:hAnsi="宋体" w:cs="宋体"/>
          <w:kern w:val="0"/>
          <w:sz w:val="24"/>
          <w:szCs w:val="24"/>
        </w:rPr>
        <w:br w:type="textWrapping"/>
      </w:r>
      <w:r>
        <w:rPr>
          <w:rFonts w:ascii="宋体" w:hAnsi="宋体" w:cs="宋体"/>
          <w:kern w:val="0"/>
          <w:sz w:val="24"/>
          <w:szCs w:val="24"/>
        </w:rPr>
        <w:t xml:space="preserve">（2） 依法向人民法院提起诉讼。 </w:t>
      </w:r>
    </w:p>
    <w:p>
      <w:pPr>
        <w:pStyle w:val="11"/>
        <w:tabs>
          <w:tab w:val="left" w:pos="5790"/>
        </w:tabs>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、合同生效及其它</w:t>
      </w:r>
      <w:r>
        <w:rPr>
          <w:rFonts w:asciiTheme="minorEastAsia" w:hAnsiTheme="minorEastAsia" w:eastAsiaTheme="minorEastAsia"/>
          <w:b/>
          <w:sz w:val="24"/>
          <w:szCs w:val="24"/>
        </w:rPr>
        <w:tab/>
      </w:r>
    </w:p>
    <w:p>
      <w:pPr>
        <w:pStyle w:val="9"/>
        <w:widowControl/>
        <w:spacing w:line="360" w:lineRule="auto"/>
        <w:ind w:right="-88"/>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合同经双方法定代表人或授权代表</w:t>
      </w:r>
      <w:r>
        <w:rPr>
          <w:rFonts w:hint="eastAsia" w:asciiTheme="minorEastAsia" w:hAnsiTheme="minorEastAsia" w:eastAsiaTheme="minorEastAsia"/>
          <w:sz w:val="24"/>
          <w:szCs w:val="24"/>
          <w:lang w:eastAsia="zh-CN"/>
        </w:rPr>
        <w:t>签字</w:t>
      </w:r>
      <w:r>
        <w:rPr>
          <w:rFonts w:asciiTheme="minorEastAsia" w:hAnsiTheme="minorEastAsia" w:eastAsiaTheme="minorEastAsia"/>
          <w:sz w:val="24"/>
          <w:szCs w:val="24"/>
        </w:rPr>
        <w:t>并加盖单位公章后生效。</w:t>
      </w:r>
    </w:p>
    <w:p>
      <w:pPr>
        <w:pStyle w:val="9"/>
        <w:widowControl/>
        <w:spacing w:line="360" w:lineRule="auto"/>
        <w:ind w:right="-8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r>
        <w:rPr>
          <w:rFonts w:asciiTheme="minorEastAsia" w:hAnsiTheme="minorEastAsia" w:eastAsiaTheme="minorEastAsia"/>
          <w:sz w:val="24"/>
          <w:szCs w:val="24"/>
        </w:rPr>
        <w:t>本合同未尽事宜，遵照《合同法》有关条文执行。</w:t>
      </w:r>
    </w:p>
    <w:p>
      <w:pPr>
        <w:pStyle w:val="9"/>
        <w:widowControl/>
        <w:spacing w:line="360" w:lineRule="auto"/>
        <w:ind w:right="-88"/>
        <w:rPr>
          <w:rFonts w:asciiTheme="minorEastAsia" w:hAnsiTheme="minorEastAsia" w:eastAsiaTheme="minorEastAsia"/>
          <w:b w:val="0"/>
          <w:bCs w:val="0"/>
          <w:color w:val="auto"/>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 w:val="0"/>
          <w:bCs w:val="0"/>
          <w:color w:val="auto"/>
          <w:sz w:val="24"/>
          <w:szCs w:val="24"/>
        </w:rPr>
        <w:t xml:space="preserve"> 本合同一式四份。甲、乙双方各执一份，</w:t>
      </w:r>
      <w:r>
        <w:rPr>
          <w:rFonts w:hint="eastAsia" w:ascii="宋体" w:hAnsi="宋体" w:eastAsia="宋体"/>
          <w:b w:val="0"/>
          <w:bCs w:val="0"/>
          <w:color w:val="auto"/>
          <w:sz w:val="24"/>
          <w:szCs w:val="24"/>
          <w:lang w:eastAsia="zh-CN"/>
        </w:rPr>
        <w:t>采购组织机构</w:t>
      </w:r>
      <w:r>
        <w:rPr>
          <w:rFonts w:hint="eastAsia" w:ascii="宋体" w:hAnsi="宋体" w:eastAsia="宋体"/>
          <w:b w:val="0"/>
          <w:bCs w:val="0"/>
          <w:color w:val="auto"/>
          <w:sz w:val="24"/>
          <w:szCs w:val="24"/>
        </w:rPr>
        <w:t>及</w:t>
      </w:r>
      <w:r>
        <w:rPr>
          <w:rFonts w:hint="eastAsia" w:ascii="宋体" w:hAnsi="宋体" w:eastAsia="宋体"/>
          <w:b w:val="0"/>
          <w:bCs w:val="0"/>
          <w:color w:val="auto"/>
          <w:sz w:val="24"/>
          <w:szCs w:val="24"/>
          <w:lang w:eastAsia="zh-CN"/>
        </w:rPr>
        <w:t>同级人民</w:t>
      </w:r>
      <w:r>
        <w:rPr>
          <w:rFonts w:hint="eastAsia" w:ascii="宋体" w:hAnsi="宋体" w:eastAsia="宋体"/>
          <w:b w:val="0"/>
          <w:bCs w:val="0"/>
          <w:color w:val="auto"/>
          <w:sz w:val="24"/>
          <w:szCs w:val="24"/>
        </w:rPr>
        <w:t>政府</w:t>
      </w:r>
      <w:r>
        <w:rPr>
          <w:rFonts w:hint="eastAsia" w:ascii="宋体" w:hAnsi="宋体" w:eastAsia="宋体"/>
          <w:b w:val="0"/>
          <w:bCs w:val="0"/>
          <w:color w:val="auto"/>
          <w:sz w:val="24"/>
          <w:szCs w:val="24"/>
          <w:lang w:eastAsia="zh-CN"/>
        </w:rPr>
        <w:t>财政部门</w:t>
      </w:r>
      <w:r>
        <w:rPr>
          <w:rFonts w:hint="eastAsia" w:ascii="宋体" w:hAnsi="宋体" w:eastAsia="宋体"/>
          <w:b w:val="0"/>
          <w:bCs w:val="0"/>
          <w:color w:val="auto"/>
          <w:sz w:val="24"/>
          <w:szCs w:val="24"/>
        </w:rPr>
        <w:t>各执一份</w:t>
      </w:r>
      <w:r>
        <w:rPr>
          <w:rFonts w:hint="eastAsia" w:asciiTheme="minorEastAsia" w:hAnsiTheme="minorEastAsia" w:eastAsiaTheme="minorEastAsia"/>
          <w:b w:val="0"/>
          <w:bCs w:val="0"/>
          <w:color w:val="auto"/>
          <w:sz w:val="24"/>
          <w:szCs w:val="24"/>
        </w:rPr>
        <w:t>。本项目未尽事宜以招标文件、投标文件及澄清文件等为准。</w:t>
      </w:r>
    </w:p>
    <w:p>
      <w:pPr>
        <w:widowControl/>
        <w:spacing w:line="360" w:lineRule="auto"/>
        <w:rPr>
          <w:rFonts w:asciiTheme="minorEastAsia" w:hAnsiTheme="minorEastAsia" w:eastAsiaTheme="minorEastAsia"/>
          <w:b/>
          <w:sz w:val="24"/>
          <w:szCs w:val="24"/>
        </w:rPr>
      </w:pPr>
    </w:p>
    <w:p>
      <w:pPr>
        <w:widowControl/>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甲方（公章）                                     乙方（公章）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                                     法定代表人：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                                     委托代理人：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                                       开户银行：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帐号：                                           帐号：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地址及邮编：                                     地址及邮编：</w:t>
      </w:r>
    </w:p>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spacing w:line="360" w:lineRule="auto"/>
        <w:rPr>
          <w:rFonts w:asciiTheme="minorEastAsia" w:hAnsiTheme="minorEastAsia" w:eastAsiaTheme="minorEastAsia"/>
          <w:color w:val="FF0000"/>
          <w:sz w:val="24"/>
        </w:rPr>
      </w:pP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jc w:val="left"/>
        <w:rPr>
          <w:rFonts w:asciiTheme="majorEastAsia" w:hAnsiTheme="majorEastAsia" w:eastAsiaTheme="majorEastAsia"/>
          <w:color w:val="00B0F0"/>
          <w:sz w:val="28"/>
          <w:szCs w:val="28"/>
        </w:rPr>
      </w:pPr>
    </w:p>
    <w:p>
      <w:pPr>
        <w:pStyle w:val="26"/>
        <w:rPr>
          <w:rFonts w:asciiTheme="majorEastAsia" w:hAnsiTheme="majorEastAsia" w:eastAsiaTheme="majorEastAsia"/>
          <w:color w:val="00B0F0"/>
          <w:sz w:val="28"/>
          <w:szCs w:val="28"/>
        </w:rPr>
      </w:pPr>
    </w:p>
    <w:p>
      <w:pPr>
        <w:pStyle w:val="26"/>
        <w:rPr>
          <w:rFonts w:asciiTheme="majorEastAsia" w:hAnsiTheme="majorEastAsia" w:eastAsiaTheme="majorEastAsia"/>
          <w:color w:val="00B0F0"/>
          <w:sz w:val="28"/>
          <w:szCs w:val="28"/>
        </w:rPr>
      </w:pPr>
    </w:p>
    <w:p>
      <w:pPr>
        <w:pStyle w:val="26"/>
        <w:rPr>
          <w:rFonts w:asciiTheme="majorEastAsia" w:hAnsiTheme="majorEastAsia" w:eastAsiaTheme="majorEastAsia"/>
          <w:color w:val="00B0F0"/>
          <w:sz w:val="28"/>
          <w:szCs w:val="28"/>
        </w:rPr>
      </w:pPr>
    </w:p>
    <w:p>
      <w:pPr>
        <w:pStyle w:val="26"/>
        <w:rPr>
          <w:rFonts w:asciiTheme="majorEastAsia" w:hAnsiTheme="majorEastAsia" w:eastAsiaTheme="majorEastAsia"/>
          <w:color w:val="00B0F0"/>
          <w:sz w:val="28"/>
          <w:szCs w:val="28"/>
        </w:rPr>
      </w:pPr>
    </w:p>
    <w:p>
      <w:pPr>
        <w:pStyle w:val="26"/>
        <w:rPr>
          <w:rFonts w:asciiTheme="majorEastAsia" w:hAnsiTheme="majorEastAsia" w:eastAsiaTheme="majorEastAsia"/>
          <w:color w:val="00B0F0"/>
          <w:sz w:val="28"/>
          <w:szCs w:val="28"/>
        </w:rPr>
      </w:pPr>
    </w:p>
    <w:p>
      <w:pPr>
        <w:pStyle w:val="26"/>
        <w:rPr>
          <w:rFonts w:asciiTheme="majorEastAsia" w:hAnsiTheme="majorEastAsia" w:eastAsiaTheme="majorEastAsia"/>
          <w:color w:val="00B0F0"/>
          <w:sz w:val="28"/>
          <w:szCs w:val="28"/>
        </w:rPr>
      </w:pPr>
    </w:p>
    <w:p>
      <w:pPr>
        <w:pStyle w:val="26"/>
        <w:rPr>
          <w:rFonts w:hint="eastAsia" w:asciiTheme="majorEastAsia" w:hAnsiTheme="majorEastAsia" w:eastAsiaTheme="majorEastAsia"/>
          <w:color w:val="00B0F0"/>
          <w:sz w:val="28"/>
          <w:szCs w:val="28"/>
          <w:lang w:eastAsia="zh-CN"/>
        </w:rPr>
      </w:pPr>
    </w:p>
    <w:p>
      <w:pPr>
        <w:pStyle w:val="26"/>
        <w:rPr>
          <w:rFonts w:hint="eastAsia" w:asciiTheme="majorEastAsia" w:hAnsiTheme="majorEastAsia" w:eastAsiaTheme="majorEastAsia"/>
          <w:color w:val="00B0F0"/>
          <w:sz w:val="28"/>
          <w:szCs w:val="28"/>
          <w:lang w:eastAsia="zh-CN"/>
        </w:rPr>
      </w:pPr>
    </w:p>
    <w:p>
      <w:pPr>
        <w:pStyle w:val="26"/>
        <w:rPr>
          <w:rFonts w:hint="eastAsia" w:asciiTheme="majorEastAsia" w:hAnsiTheme="majorEastAsia" w:eastAsiaTheme="majorEastAsia"/>
          <w:color w:val="00B0F0"/>
          <w:sz w:val="28"/>
          <w:szCs w:val="28"/>
          <w:lang w:eastAsia="zh-CN"/>
        </w:rPr>
      </w:pPr>
    </w:p>
    <w:p>
      <w:pPr>
        <w:pStyle w:val="26"/>
        <w:rPr>
          <w:rFonts w:hint="eastAsia" w:asciiTheme="majorEastAsia" w:hAnsiTheme="majorEastAsia" w:eastAsiaTheme="majorEastAsia"/>
          <w:color w:val="00B0F0"/>
          <w:sz w:val="28"/>
          <w:szCs w:val="28"/>
          <w:lang w:eastAsia="zh-CN"/>
        </w:rPr>
      </w:pPr>
    </w:p>
    <w:p>
      <w:pPr>
        <w:pStyle w:val="26"/>
        <w:rPr>
          <w:rFonts w:hint="eastAsia" w:asciiTheme="majorEastAsia" w:hAnsiTheme="majorEastAsia" w:eastAsiaTheme="majorEastAsia"/>
          <w:color w:val="00B0F0"/>
          <w:sz w:val="28"/>
          <w:szCs w:val="28"/>
          <w:lang w:eastAsia="zh-CN"/>
        </w:rPr>
      </w:pPr>
    </w:p>
    <w:p>
      <w:pPr>
        <w:pStyle w:val="26"/>
        <w:rPr>
          <w:rFonts w:hint="eastAsia" w:asciiTheme="majorEastAsia" w:hAnsiTheme="majorEastAsia" w:eastAsiaTheme="majorEastAsia"/>
          <w:color w:val="00B0F0"/>
          <w:sz w:val="28"/>
          <w:szCs w:val="28"/>
          <w:lang w:eastAsia="zh-CN"/>
        </w:rPr>
      </w:pPr>
    </w:p>
    <w:p>
      <w:pPr>
        <w:pStyle w:val="26"/>
        <w:rPr>
          <w:rFonts w:hint="eastAsia" w:asciiTheme="majorEastAsia" w:hAnsiTheme="majorEastAsia" w:eastAsiaTheme="majorEastAsia"/>
          <w:color w:val="00B0F0"/>
          <w:sz w:val="28"/>
          <w:szCs w:val="28"/>
          <w:lang w:eastAsia="zh-CN"/>
        </w:rPr>
      </w:pPr>
    </w:p>
    <w:p>
      <w:pPr>
        <w:pStyle w:val="26"/>
        <w:rPr>
          <w:rFonts w:asciiTheme="majorEastAsia" w:hAnsiTheme="majorEastAsia" w:eastAsiaTheme="majorEastAsia"/>
          <w:color w:val="00B0F0"/>
          <w:sz w:val="28"/>
          <w:szCs w:val="28"/>
        </w:rPr>
      </w:pPr>
    </w:p>
    <w:p>
      <w:pPr>
        <w:pStyle w:val="26"/>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rPr>
          <w:rFonts w:hint="eastAsia"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numPr>
          <w:ilvl w:val="0"/>
          <w:numId w:val="0"/>
        </w:numPr>
        <w:spacing w:line="360" w:lineRule="auto"/>
        <w:jc w:val="both"/>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numPr>
          <w:ilvl w:val="0"/>
          <w:numId w:val="10"/>
        </w:numPr>
        <w:snapToGrid w:val="0"/>
        <w:spacing w:line="360" w:lineRule="auto"/>
        <w:ind w:firstLine="548" w:firstLineChars="196"/>
        <w:rPr>
          <w:rFonts w:ascii="宋体" w:hAnsi="宋体"/>
          <w:sz w:val="28"/>
          <w:szCs w:val="28"/>
        </w:rPr>
      </w:pPr>
      <w:r>
        <w:rPr>
          <w:rFonts w:hint="eastAsia" w:ascii="宋体" w:hAnsi="宋体"/>
          <w:sz w:val="28"/>
          <w:szCs w:val="28"/>
        </w:rPr>
        <w:t>声明书（附件2）</w:t>
      </w:r>
    </w:p>
    <w:p>
      <w:pPr>
        <w:numPr>
          <w:ilvl w:val="0"/>
          <w:numId w:val="10"/>
        </w:numPr>
        <w:snapToGrid w:val="0"/>
        <w:spacing w:line="360" w:lineRule="auto"/>
        <w:ind w:firstLine="548" w:firstLineChars="196"/>
        <w:rPr>
          <w:rFonts w:ascii="宋体" w:hAnsi="宋体"/>
          <w:kern w:val="0"/>
          <w:sz w:val="28"/>
          <w:szCs w:val="28"/>
        </w:rPr>
      </w:pPr>
      <w:r>
        <w:rPr>
          <w:bCs/>
          <w:color w:val="000000"/>
          <w:sz w:val="28"/>
          <w:szCs w:val="28"/>
        </w:rPr>
        <w:t>授权</w:t>
      </w:r>
      <w:r>
        <w:rPr>
          <w:rFonts w:hint="eastAsia"/>
          <w:bCs/>
          <w:color w:val="000000"/>
          <w:sz w:val="28"/>
          <w:szCs w:val="28"/>
        </w:rPr>
        <w:t>委托</w:t>
      </w:r>
      <w:r>
        <w:rPr>
          <w:bCs/>
          <w:color w:val="000000"/>
          <w:sz w:val="28"/>
          <w:szCs w:val="28"/>
        </w:rPr>
        <w:t>书</w:t>
      </w:r>
      <w:r>
        <w:rPr>
          <w:rFonts w:hint="eastAsia" w:ascii="宋体" w:hAnsi="宋体"/>
          <w:bCs/>
          <w:sz w:val="28"/>
          <w:szCs w:val="28"/>
        </w:rPr>
        <w:t>（附件3）</w:t>
      </w:r>
    </w:p>
    <w:p>
      <w:pPr>
        <w:numPr>
          <w:ilvl w:val="0"/>
          <w:numId w:val="10"/>
        </w:numPr>
        <w:snapToGrid w:val="0"/>
        <w:spacing w:line="360" w:lineRule="auto"/>
        <w:ind w:left="1050" w:leftChars="259" w:hanging="506" w:hangingChars="181"/>
        <w:rPr>
          <w:rFonts w:ascii="宋体" w:hAnsi="宋体"/>
          <w:kern w:val="0"/>
          <w:sz w:val="28"/>
          <w:szCs w:val="28"/>
        </w:rPr>
      </w:pPr>
      <w:r>
        <w:rPr>
          <w:sz w:val="28"/>
          <w:szCs w:val="28"/>
        </w:rPr>
        <w:t>法人或者其他组织的营业执照等证明文件，自然人的身份证明</w:t>
      </w:r>
    </w:p>
    <w:p>
      <w:pPr>
        <w:snapToGrid w:val="0"/>
        <w:spacing w:line="360" w:lineRule="auto"/>
        <w:ind w:firstLine="560" w:firstLineChars="200"/>
        <w:rPr>
          <w:rFonts w:ascii="宋体" w:hAnsi="宋体"/>
          <w:kern w:val="0"/>
          <w:sz w:val="28"/>
          <w:szCs w:val="28"/>
        </w:rPr>
      </w:pPr>
      <w:r>
        <w:rPr>
          <w:rFonts w:hint="eastAsia" w:ascii="宋体" w:hAnsi="宋体"/>
          <w:kern w:val="0"/>
          <w:sz w:val="28"/>
          <w:szCs w:val="28"/>
        </w:rPr>
        <w:t>4、</w:t>
      </w:r>
      <w:r>
        <w:rPr>
          <w:sz w:val="28"/>
          <w:szCs w:val="28"/>
        </w:rPr>
        <w:t>财务状况报告，依法缴纳税收和社会保障资金的相关材料</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5、</w:t>
      </w:r>
      <w:r>
        <w:rPr>
          <w:sz w:val="28"/>
          <w:szCs w:val="28"/>
        </w:rPr>
        <w:t>具备履行合同所必需的设备和专业技术能力的证明材料</w:t>
      </w:r>
    </w:p>
    <w:p>
      <w:pPr>
        <w:snapToGrid w:val="0"/>
        <w:spacing w:line="360" w:lineRule="auto"/>
        <w:ind w:firstLine="548" w:firstLineChars="196"/>
        <w:rPr>
          <w:rFonts w:ascii="宋体" w:hAnsi="宋体"/>
          <w:kern w:val="0"/>
          <w:sz w:val="28"/>
          <w:szCs w:val="28"/>
        </w:rPr>
      </w:pPr>
      <w:r>
        <w:rPr>
          <w:rFonts w:hint="eastAsia" w:ascii="宋体" w:hAnsi="宋体"/>
          <w:sz w:val="28"/>
          <w:szCs w:val="28"/>
        </w:rPr>
        <w:t>6、</w:t>
      </w:r>
      <w:r>
        <w:rPr>
          <w:rFonts w:hint="eastAsia" w:ascii="宋体" w:hAnsi="宋体"/>
          <w:kern w:val="0"/>
          <w:sz w:val="28"/>
          <w:szCs w:val="28"/>
        </w:rPr>
        <w:t>本项目要求的特定资质证书</w:t>
      </w:r>
    </w:p>
    <w:p>
      <w:pPr>
        <w:spacing w:line="360" w:lineRule="auto"/>
        <w:rPr>
          <w:rFonts w:ascii="宋体" w:hAnsi="宋体"/>
          <w:b/>
          <w:sz w:val="28"/>
        </w:rPr>
      </w:pPr>
    </w:p>
    <w:p>
      <w:pPr>
        <w:spacing w:line="360" w:lineRule="auto"/>
        <w:ind w:left="420"/>
        <w:rPr>
          <w:rFonts w:hint="eastAsia" w:ascii="宋体" w:hAnsi="宋体"/>
          <w:b/>
          <w:sz w:val="28"/>
        </w:rPr>
      </w:pPr>
    </w:p>
    <w:p>
      <w:pPr>
        <w:spacing w:line="360" w:lineRule="auto"/>
        <w:ind w:left="420"/>
        <w:rPr>
          <w:rFonts w:hint="eastAsia" w:ascii="宋体" w:hAnsi="宋体"/>
          <w:b/>
          <w:sz w:val="28"/>
        </w:rPr>
      </w:pPr>
    </w:p>
    <w:p>
      <w:pPr>
        <w:spacing w:line="360" w:lineRule="auto"/>
        <w:ind w:left="420"/>
        <w:rPr>
          <w:rFonts w:hint="eastAsia" w:ascii="宋体" w:hAnsi="宋体"/>
          <w:b/>
          <w:sz w:val="28"/>
        </w:rPr>
      </w:pPr>
    </w:p>
    <w:p>
      <w:pPr>
        <w:spacing w:line="360" w:lineRule="auto"/>
        <w:ind w:left="420"/>
        <w:rPr>
          <w:rFonts w:hint="eastAsia" w:ascii="宋体" w:hAnsi="宋体"/>
          <w:b/>
          <w:sz w:val="28"/>
        </w:rPr>
      </w:pPr>
    </w:p>
    <w:p>
      <w:pPr>
        <w:spacing w:line="360" w:lineRule="auto"/>
        <w:ind w:left="420"/>
        <w:rPr>
          <w:rFonts w:hint="eastAsia" w:ascii="宋体" w:hAnsi="宋体"/>
          <w:b/>
          <w:sz w:val="28"/>
        </w:rPr>
      </w:pPr>
    </w:p>
    <w:p>
      <w:pPr>
        <w:spacing w:line="360" w:lineRule="auto"/>
        <w:ind w:left="420"/>
        <w:rPr>
          <w:rFonts w:hint="eastAsia" w:ascii="宋体" w:hAnsi="宋体"/>
          <w:b/>
          <w:sz w:val="28"/>
        </w:rPr>
      </w:pPr>
    </w:p>
    <w:p>
      <w:pPr>
        <w:spacing w:line="360" w:lineRule="auto"/>
        <w:ind w:left="420"/>
        <w:rPr>
          <w:rFonts w:hint="eastAsia" w:ascii="宋体" w:hAnsi="宋体"/>
          <w:b/>
          <w:sz w:val="28"/>
        </w:rPr>
      </w:pPr>
    </w:p>
    <w:p>
      <w:pPr>
        <w:spacing w:line="360" w:lineRule="auto"/>
        <w:ind w:left="420"/>
        <w:rPr>
          <w:rFonts w:hint="eastAsia" w:ascii="宋体" w:hAnsi="宋体"/>
          <w:b/>
          <w:sz w:val="28"/>
        </w:rPr>
      </w:pPr>
    </w:p>
    <w:p>
      <w:pPr>
        <w:spacing w:line="360" w:lineRule="auto"/>
        <w:ind w:left="420"/>
        <w:rPr>
          <w:rFonts w:hint="eastAsia" w:ascii="宋体" w:hAnsi="宋体"/>
          <w:b/>
          <w:sz w:val="28"/>
        </w:rPr>
      </w:pPr>
    </w:p>
    <w:p>
      <w:pPr>
        <w:spacing w:line="360" w:lineRule="auto"/>
        <w:rPr>
          <w:rFonts w:hint="eastAsia" w:ascii="宋体" w:hAnsi="宋体"/>
          <w:b/>
          <w:sz w:val="28"/>
        </w:rPr>
      </w:pP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Lines="50" w:after="50" w:line="360" w:lineRule="auto"/>
        <w:ind w:firstLine="480" w:firstLineChars="200"/>
        <w:rPr>
          <w:rFonts w:ascii="宋体" w:hAnsi="宋体" w:cs="宋体"/>
          <w:color w:val="auto"/>
          <w:kern w:val="0"/>
          <w:sz w:val="24"/>
        </w:rPr>
      </w:pPr>
      <w:r>
        <w:rPr>
          <w:rFonts w:hint="eastAsia" w:ascii="宋体" w:hAnsi="宋体" w:eastAsia="宋体" w:cstheme="minorBidi"/>
          <w:color w:val="FF66CC"/>
          <w:kern w:val="2"/>
          <w:sz w:val="24"/>
          <w:szCs w:val="24"/>
          <w:u w:val="single"/>
          <w:lang w:val="en-US" w:eastAsia="zh-CN" w:bidi="ar-SA"/>
        </w:rPr>
        <w:t>××</w:t>
      </w:r>
      <w:r>
        <w:rPr>
          <w:rFonts w:hint="eastAsia" w:ascii="宋体" w:hAnsi="宋体" w:cs="宋体"/>
          <w:color w:val="auto"/>
          <w:kern w:val="0"/>
          <w:sz w:val="24"/>
          <w:lang w:eastAsia="zh-CN"/>
        </w:rPr>
        <w:t>（集</w:t>
      </w:r>
      <w:r>
        <w:rPr>
          <w:rFonts w:hint="eastAsia" w:hAnsi="宋体" w:cs="宋体"/>
          <w:color w:val="auto"/>
          <w:kern w:val="0"/>
          <w:sz w:val="24"/>
          <w:lang w:eastAsia="zh-CN"/>
        </w:rPr>
        <w:t>中</w:t>
      </w:r>
      <w:r>
        <w:rPr>
          <w:rFonts w:hint="eastAsia" w:ascii="宋体" w:hAnsi="宋体" w:cs="宋体"/>
          <w:color w:val="auto"/>
          <w:kern w:val="0"/>
          <w:sz w:val="24"/>
          <w:lang w:eastAsia="zh-CN"/>
        </w:rPr>
        <w:t>采</w:t>
      </w:r>
      <w:r>
        <w:rPr>
          <w:rFonts w:hint="eastAsia" w:hAnsi="宋体" w:cs="宋体"/>
          <w:color w:val="auto"/>
          <w:kern w:val="0"/>
          <w:sz w:val="24"/>
          <w:lang w:eastAsia="zh-CN"/>
        </w:rPr>
        <w:t>构</w:t>
      </w:r>
      <w:r>
        <w:rPr>
          <w:rFonts w:hint="eastAsia" w:ascii="宋体" w:hAnsi="宋体" w:cs="宋体"/>
          <w:color w:val="auto"/>
          <w:kern w:val="0"/>
          <w:sz w:val="24"/>
          <w:lang w:eastAsia="zh-CN"/>
        </w:rPr>
        <w:t>机构</w:t>
      </w:r>
      <w:r>
        <w:rPr>
          <w:rFonts w:hint="eastAsia" w:ascii="宋体" w:hAnsi="宋体" w:cs="宋体"/>
          <w:color w:val="auto"/>
          <w:kern w:val="0"/>
          <w:sz w:val="24"/>
          <w:lang w:val="en-US" w:eastAsia="zh-CN"/>
        </w:rPr>
        <w:t>/采购代理机构名称）</w:t>
      </w:r>
      <w:r>
        <w:rPr>
          <w:rFonts w:hint="eastAsia" w:ascii="宋体" w:hAnsi="宋体" w:cs="宋体"/>
          <w:color w:val="auto"/>
          <w:kern w:val="0"/>
          <w:sz w:val="24"/>
        </w:rPr>
        <w:t>：</w:t>
      </w:r>
    </w:p>
    <w:p>
      <w:pPr>
        <w:snapToGrid w:val="0"/>
        <w:spacing w:beforeLines="50" w:after="50"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beforeLines="50" w:after="50"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1"/>
        </w:numPr>
        <w:snapToGrid w:val="0"/>
        <w:spacing w:beforeLines="50" w:after="50" w:line="360" w:lineRule="auto"/>
        <w:ind w:firstLine="480" w:firstLineChars="200"/>
        <w:rPr>
          <w:rFonts w:hint="eastAsia"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及其他不符合《中华人民共和国政府采购法》第二十二条规定的条件。【说明：供应商在截止投标时间近三年以来，如有上述所列情形，但限制期届满的，可按实陈述，并提供相应证明文件。】</w:t>
      </w:r>
    </w:p>
    <w:p>
      <w:pPr>
        <w:numPr>
          <w:ilvl w:val="0"/>
          <w:numId w:val="0"/>
        </w:numPr>
        <w:snapToGrid w:val="0"/>
        <w:spacing w:beforeLines="50" w:after="50" w:line="360" w:lineRule="auto"/>
        <w:ind w:firstLine="480" w:firstLineChars="200"/>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numPr>
          <w:ilvl w:val="255"/>
          <w:numId w:val="0"/>
        </w:numPr>
        <w:snapToGrid w:val="0"/>
        <w:spacing w:beforeLines="50" w:after="50"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eastAsia="宋体" w:cstheme="minorBidi"/>
          <w:color w:val="FF66CC"/>
          <w:kern w:val="2"/>
          <w:sz w:val="24"/>
          <w:szCs w:val="24"/>
          <w:u w:val="none"/>
          <w:lang w:val="en-US" w:eastAsia="zh-CN" w:bidi="ar-SA"/>
        </w:rPr>
        <w:t>××</w:t>
      </w:r>
      <w:r>
        <w:rPr>
          <w:rFonts w:hint="eastAsia" w:ascii="宋体" w:hAnsi="宋体" w:cs="仿宋_GB2312"/>
          <w:kern w:val="0"/>
          <w:sz w:val="24"/>
          <w:lang w:val="zh-CN"/>
        </w:rPr>
        <w:t xml:space="preserve">年 </w:t>
      </w:r>
      <w:r>
        <w:rPr>
          <w:rFonts w:hint="eastAsia" w:ascii="宋体" w:hAnsi="宋体" w:eastAsia="宋体" w:cstheme="minorBidi"/>
          <w:color w:val="FF66CC"/>
          <w:kern w:val="2"/>
          <w:sz w:val="24"/>
          <w:szCs w:val="24"/>
          <w:u w:val="none"/>
          <w:lang w:val="en-US" w:eastAsia="zh-CN" w:bidi="ar-SA"/>
        </w:rPr>
        <w:t>××</w:t>
      </w:r>
      <w:r>
        <w:rPr>
          <w:rFonts w:hint="eastAsia" w:ascii="宋体" w:hAnsi="宋体" w:cs="仿宋_GB2312"/>
          <w:kern w:val="0"/>
          <w:sz w:val="24"/>
          <w:lang w:val="zh-CN"/>
        </w:rPr>
        <w:t xml:space="preserve"> 月 </w:t>
      </w:r>
      <w:r>
        <w:rPr>
          <w:rFonts w:hint="eastAsia" w:ascii="宋体" w:hAnsi="宋体" w:eastAsia="宋体" w:cstheme="minorBidi"/>
          <w:color w:val="FF66CC"/>
          <w:kern w:val="2"/>
          <w:sz w:val="24"/>
          <w:szCs w:val="24"/>
          <w:u w:val="none"/>
          <w:lang w:val="en-US" w:eastAsia="zh-CN" w:bidi="ar-SA"/>
        </w:rPr>
        <w:t>××</w:t>
      </w:r>
      <w:r>
        <w:rPr>
          <w:rFonts w:hint="eastAsia" w:ascii="宋体" w:hAnsi="宋体" w:cs="仿宋_GB2312"/>
          <w:kern w:val="0"/>
          <w:sz w:val="24"/>
          <w:lang w:val="zh-CN"/>
        </w:rPr>
        <w:t xml:space="preserve">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snapToGrid w:val="0"/>
        <w:spacing w:beforeLines="50" w:after="50" w:line="360" w:lineRule="auto"/>
        <w:ind w:firstLine="480" w:firstLineChars="200"/>
        <w:rPr>
          <w:rFonts w:ascii="宋体" w:hAnsi="宋体" w:cs="宋体"/>
          <w:color w:val="auto"/>
          <w:kern w:val="0"/>
          <w:sz w:val="24"/>
        </w:rPr>
      </w:pPr>
      <w:r>
        <w:rPr>
          <w:rFonts w:hint="eastAsia" w:ascii="宋体" w:hAnsi="宋体" w:eastAsia="宋体" w:cstheme="minorBidi"/>
          <w:color w:val="FF66CC"/>
          <w:kern w:val="2"/>
          <w:sz w:val="24"/>
          <w:szCs w:val="24"/>
          <w:u w:val="single"/>
          <w:lang w:val="en-US" w:eastAsia="zh-CN" w:bidi="ar-SA"/>
        </w:rPr>
        <w:t>××</w:t>
      </w:r>
      <w:r>
        <w:rPr>
          <w:rFonts w:hint="eastAsia" w:ascii="宋体" w:hAnsi="宋体" w:cs="宋体"/>
          <w:color w:val="auto"/>
          <w:kern w:val="0"/>
          <w:sz w:val="24"/>
          <w:u w:val="none"/>
          <w:lang w:eastAsia="zh-CN"/>
        </w:rPr>
        <w:t>（集</w:t>
      </w:r>
      <w:r>
        <w:rPr>
          <w:rFonts w:hint="eastAsia" w:hAnsi="宋体" w:cs="宋体"/>
          <w:color w:val="auto"/>
          <w:kern w:val="0"/>
          <w:sz w:val="24"/>
          <w:u w:val="none"/>
          <w:lang w:eastAsia="zh-CN"/>
        </w:rPr>
        <w:t>中</w:t>
      </w:r>
      <w:r>
        <w:rPr>
          <w:rFonts w:hint="eastAsia" w:ascii="宋体" w:hAnsi="宋体" w:cs="宋体"/>
          <w:color w:val="auto"/>
          <w:kern w:val="0"/>
          <w:sz w:val="24"/>
          <w:u w:val="none"/>
          <w:lang w:eastAsia="zh-CN"/>
        </w:rPr>
        <w:t>采</w:t>
      </w:r>
      <w:r>
        <w:rPr>
          <w:rFonts w:hint="eastAsia" w:hAnsi="宋体" w:cs="宋体"/>
          <w:color w:val="auto"/>
          <w:kern w:val="0"/>
          <w:sz w:val="24"/>
          <w:u w:val="none"/>
          <w:lang w:eastAsia="zh-CN"/>
        </w:rPr>
        <w:t>构</w:t>
      </w:r>
      <w:r>
        <w:rPr>
          <w:rFonts w:hint="eastAsia" w:ascii="宋体" w:hAnsi="宋体" w:cs="宋体"/>
          <w:color w:val="auto"/>
          <w:kern w:val="0"/>
          <w:sz w:val="24"/>
          <w:u w:val="none"/>
          <w:lang w:eastAsia="zh-CN"/>
        </w:rPr>
        <w:t>机构</w:t>
      </w:r>
      <w:r>
        <w:rPr>
          <w:rFonts w:hint="eastAsia" w:ascii="宋体" w:hAnsi="宋体" w:cs="宋体"/>
          <w:color w:val="auto"/>
          <w:kern w:val="0"/>
          <w:sz w:val="24"/>
          <w:u w:val="none"/>
          <w:lang w:val="en-US" w:eastAsia="zh-CN"/>
        </w:rPr>
        <w:t>/采购代理机构名称）</w:t>
      </w:r>
      <w:r>
        <w:rPr>
          <w:rFonts w:hint="eastAsia" w:ascii="宋体" w:hAnsi="宋体" w:cs="宋体"/>
          <w:color w:val="auto"/>
          <w:kern w:val="0"/>
          <w:sz w:val="24"/>
        </w:rPr>
        <w:t>：</w:t>
      </w:r>
    </w:p>
    <w:p>
      <w:pPr>
        <w:pStyle w:val="11"/>
        <w:spacing w:line="500" w:lineRule="exact"/>
        <w:ind w:left="240" w:hanging="240" w:hangingChars="100"/>
        <w:rPr>
          <w:rFonts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w:t>
      </w:r>
      <w:r>
        <w:rPr>
          <w:rFonts w:hint="eastAsia" w:hAnsi="宋体"/>
          <w:sz w:val="24"/>
          <w:lang w:eastAsia="zh-CN"/>
        </w:rPr>
        <w:t>签字</w:t>
      </w:r>
      <w:r>
        <w:rPr>
          <w:rFonts w:hint="eastAsia" w:hAnsi="宋体"/>
          <w:sz w:val="24"/>
        </w:rPr>
        <w:t>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w:t>
      </w:r>
      <w:r>
        <w:rPr>
          <w:rFonts w:hint="eastAsia" w:ascii="宋体"/>
          <w:sz w:val="24"/>
          <w:lang w:eastAsia="zh-CN"/>
        </w:rPr>
        <w:t>签字</w:t>
      </w:r>
      <w:r>
        <w:rPr>
          <w:rFonts w:hint="eastAsia" w:ascii="宋体"/>
          <w:sz w:val="24"/>
        </w:rPr>
        <w:t>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napToGrid w:val="0"/>
        <w:spacing w:beforeLines="50" w:after="50" w:line="360" w:lineRule="auto"/>
        <w:rPr>
          <w:rFonts w:ascii="仿宋_GB2312" w:hAnsi="宋体" w:eastAsia="仿宋_GB2312"/>
          <w:b/>
          <w:sz w:val="30"/>
          <w:szCs w:val="30"/>
        </w:rPr>
      </w:pPr>
      <w:r>
        <w:rPr>
          <w:rFonts w:hint="eastAsia" w:ascii="宋体" w:hAnsi="宋体"/>
          <w:b/>
          <w:sz w:val="28"/>
        </w:rPr>
        <w:t>附件4：</w:t>
      </w:r>
    </w:p>
    <w:p>
      <w:pPr>
        <w:snapToGrid w:val="0"/>
        <w:spacing w:beforeLines="50" w:after="50" w:line="360" w:lineRule="auto"/>
        <w:jc w:val="right"/>
        <w:rPr>
          <w:rFonts w:ascii="仿宋_GB2312" w:hAnsi="宋体" w:eastAsia="仿宋_GB2312"/>
          <w:bCs/>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spacing w:val="40"/>
          <w:sz w:val="28"/>
          <w:szCs w:val="28"/>
        </w:rPr>
        <w:t>）</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pacing w:line="360" w:lineRule="auto"/>
        <w:ind w:right="532" w:firstLine="720" w:firstLineChars="200"/>
        <w:rPr>
          <w:rFonts w:ascii="宋体" w:hAnsi="宋体"/>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sz w:val="24"/>
        </w:rPr>
      </w:pPr>
    </w:p>
    <w:p>
      <w:pPr>
        <w:snapToGrid w:val="0"/>
        <w:spacing w:line="360" w:lineRule="auto"/>
        <w:ind w:firstLine="562" w:firstLineChars="200"/>
        <w:rPr>
          <w:rFonts w:ascii="宋体" w:hAnsi="宋体"/>
          <w:b/>
          <w:bCs/>
          <w:sz w:val="28"/>
          <w:szCs w:val="28"/>
        </w:rPr>
      </w:pPr>
      <w:r>
        <w:rPr>
          <w:rFonts w:hint="eastAsia" w:ascii="宋体" w:hAnsi="宋体"/>
          <w:b/>
          <w:bCs/>
          <w:sz w:val="28"/>
          <w:szCs w:val="28"/>
        </w:rPr>
        <w:t>第一部分  技术方案描述部分</w:t>
      </w:r>
    </w:p>
    <w:p>
      <w:pPr>
        <w:snapToGrid w:val="0"/>
        <w:spacing w:line="360" w:lineRule="auto"/>
        <w:ind w:firstLine="560" w:firstLineChars="200"/>
        <w:rPr>
          <w:rFonts w:ascii="宋体" w:hAnsi="宋体"/>
          <w:sz w:val="28"/>
          <w:szCs w:val="28"/>
        </w:rPr>
      </w:pPr>
      <w:r>
        <w:rPr>
          <w:rFonts w:hint="eastAsia" w:ascii="宋体" w:hAnsi="宋体"/>
          <w:sz w:val="28"/>
          <w:szCs w:val="28"/>
        </w:rPr>
        <w:t>1、</w:t>
      </w:r>
      <w:r>
        <w:rPr>
          <w:rFonts w:hint="eastAsia" w:ascii="宋体" w:hAnsi="宋体" w:cs="宋体"/>
          <w:sz w:val="28"/>
          <w:szCs w:val="28"/>
        </w:rPr>
        <w:t>投标人情况介绍</w:t>
      </w:r>
      <w:r>
        <w:rPr>
          <w:rFonts w:hint="eastAsia" w:ascii="宋体" w:hAnsi="宋体"/>
          <w:sz w:val="28"/>
          <w:szCs w:val="28"/>
        </w:rPr>
        <w:t>（附件5）；</w:t>
      </w:r>
    </w:p>
    <w:p>
      <w:pPr>
        <w:snapToGrid w:val="0"/>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cs="宋体"/>
          <w:color w:val="000000" w:themeColor="text1"/>
          <w:sz w:val="28"/>
          <w:szCs w:val="28"/>
          <w14:textFill>
            <w14:solidFill>
              <w14:schemeClr w14:val="tx1"/>
            </w14:solidFill>
          </w14:textFill>
        </w:rPr>
        <w:t>项目需求的理解与分析</w:t>
      </w:r>
      <w:r>
        <w:rPr>
          <w:rFonts w:hint="eastAsia" w:ascii="宋体" w:hAnsi="宋体"/>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cs="宋体"/>
          <w:color w:val="000000" w:themeColor="text1"/>
          <w:sz w:val="28"/>
          <w:szCs w:val="28"/>
          <w14:textFill>
            <w14:solidFill>
              <w14:schemeClr w14:val="tx1"/>
            </w14:solidFill>
          </w14:textFill>
        </w:rPr>
        <w:t>项目组织实施方案(可视情选用附件6、附件7)</w:t>
      </w:r>
      <w:r>
        <w:rPr>
          <w:rFonts w:ascii="宋体" w:hAnsi="宋体"/>
          <w:sz w:val="28"/>
          <w:szCs w:val="28"/>
        </w:rPr>
        <w:t xml:space="preserve">； </w:t>
      </w:r>
    </w:p>
    <w:p>
      <w:pPr>
        <w:snapToGrid w:val="0"/>
        <w:spacing w:line="360" w:lineRule="auto"/>
        <w:ind w:firstLine="560" w:firstLineChars="200"/>
        <w:rPr>
          <w:rFonts w:ascii="宋体" w:hAnsi="宋体"/>
          <w:sz w:val="28"/>
          <w:szCs w:val="28"/>
        </w:rPr>
      </w:pPr>
      <w:r>
        <w:rPr>
          <w:rFonts w:hint="eastAsia" w:ascii="宋体" w:hAnsi="宋体"/>
          <w:sz w:val="28"/>
          <w:szCs w:val="28"/>
        </w:rPr>
        <w:t>4、</w:t>
      </w:r>
      <w:r>
        <w:rPr>
          <w:rFonts w:asciiTheme="minorEastAsia" w:hAnsiTheme="minorEastAsia" w:eastAsiaTheme="minorEastAsia"/>
          <w:color w:val="000000" w:themeColor="text1"/>
          <w:kern w:val="0"/>
          <w:sz w:val="28"/>
          <w:szCs w:val="28"/>
          <w14:textFill>
            <w14:solidFill>
              <w14:schemeClr w14:val="tx1"/>
            </w14:solidFill>
          </w14:textFill>
        </w:rPr>
        <w:t>安装、调试及验收方案</w:t>
      </w:r>
      <w:r>
        <w:rPr>
          <w:rFonts w:hint="eastAsia" w:ascii="宋体" w:hAnsi="宋体"/>
          <w:sz w:val="28"/>
          <w:szCs w:val="28"/>
        </w:rPr>
        <w:t>；</w:t>
      </w:r>
    </w:p>
    <w:p>
      <w:pPr>
        <w:snapToGrid w:val="0"/>
        <w:spacing w:line="360" w:lineRule="auto"/>
        <w:ind w:firstLine="562" w:firstLineChars="200"/>
        <w:jc w:val="left"/>
        <w:rPr>
          <w:rFonts w:ascii="宋体" w:hAnsi="宋体"/>
          <w:b/>
          <w:bCs/>
          <w:sz w:val="28"/>
          <w:szCs w:val="28"/>
        </w:rPr>
      </w:pPr>
      <w:r>
        <w:rPr>
          <w:rFonts w:hint="eastAsia" w:ascii="宋体" w:hAnsi="宋体"/>
          <w:b/>
          <w:bCs/>
          <w:sz w:val="28"/>
          <w:szCs w:val="28"/>
        </w:rPr>
        <w:t>第二部分  投标产品描述部分</w:t>
      </w:r>
    </w:p>
    <w:p>
      <w:pPr>
        <w:snapToGrid w:val="0"/>
        <w:spacing w:line="360" w:lineRule="auto"/>
        <w:ind w:firstLine="548" w:firstLineChars="196"/>
        <w:rPr>
          <w:rFonts w:ascii="宋体" w:hAnsi="宋体"/>
          <w:kern w:val="0"/>
          <w:sz w:val="28"/>
          <w:szCs w:val="28"/>
        </w:rPr>
      </w:pPr>
      <w:r>
        <w:rPr>
          <w:rFonts w:hint="eastAsia" w:ascii="宋体" w:hAnsi="宋体"/>
          <w:sz w:val="28"/>
          <w:szCs w:val="28"/>
        </w:rPr>
        <w:t>1、</w:t>
      </w:r>
      <w:r>
        <w:rPr>
          <w:rFonts w:hint="eastAsia" w:ascii="宋体" w:hAnsi="宋体"/>
          <w:kern w:val="0"/>
          <w:sz w:val="28"/>
          <w:szCs w:val="28"/>
        </w:rPr>
        <w:t>投标产品描述及相关资料（</w:t>
      </w:r>
      <w:r>
        <w:rPr>
          <w:rFonts w:hint="eastAsia" w:ascii="宋体" w:hAnsi="宋体" w:cs="宋体"/>
          <w:color w:val="000000" w:themeColor="text1"/>
          <w:sz w:val="28"/>
          <w:szCs w:val="28"/>
          <w14:textFill>
            <w14:solidFill>
              <w14:schemeClr w14:val="tx1"/>
            </w14:solidFill>
          </w14:textFill>
        </w:rPr>
        <w:t>可视情选用附件8、附件9</w:t>
      </w:r>
      <w:r>
        <w:rPr>
          <w:rFonts w:hint="eastAsia" w:ascii="宋体" w:hAnsi="宋体"/>
          <w:kern w:val="0"/>
          <w:sz w:val="28"/>
          <w:szCs w:val="28"/>
        </w:rPr>
        <w:t>）；</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2、</w:t>
      </w:r>
      <w:r>
        <w:rPr>
          <w:rFonts w:hint="eastAsia" w:ascii="宋体" w:hAnsi="宋体"/>
          <w:sz w:val="28"/>
          <w:szCs w:val="28"/>
        </w:rPr>
        <w:t>投标人</w:t>
      </w:r>
      <w:r>
        <w:rPr>
          <w:rFonts w:ascii="宋体" w:hAnsi="宋体"/>
          <w:sz w:val="28"/>
          <w:szCs w:val="28"/>
        </w:rPr>
        <w:t>需要说明的其他</w:t>
      </w:r>
      <w:r>
        <w:rPr>
          <w:rFonts w:hint="eastAsia" w:ascii="宋体" w:hAnsi="宋体"/>
          <w:sz w:val="28"/>
          <w:szCs w:val="28"/>
        </w:rPr>
        <w:t>内容</w:t>
      </w:r>
      <w:r>
        <w:rPr>
          <w:rFonts w:hint="eastAsia" w:ascii="宋体" w:hAnsi="宋体"/>
          <w:color w:val="000000"/>
          <w:sz w:val="28"/>
          <w:szCs w:val="28"/>
        </w:rPr>
        <w:t>；（</w:t>
      </w:r>
      <w:r>
        <w:rPr>
          <w:rFonts w:hint="eastAsia" w:ascii="宋体" w:hAnsi="宋体" w:cs="宋体"/>
          <w:sz w:val="28"/>
          <w:szCs w:val="28"/>
        </w:rPr>
        <w:t>包括可能影响投标人技术性能评分项的各类证明材料）</w:t>
      </w:r>
    </w:p>
    <w:p>
      <w:pPr>
        <w:snapToGrid w:val="0"/>
        <w:spacing w:line="360" w:lineRule="auto"/>
        <w:ind w:firstLine="551" w:firstLineChars="196"/>
        <w:rPr>
          <w:rFonts w:ascii="宋体" w:hAnsi="宋体"/>
          <w:b/>
          <w:bCs/>
          <w:kern w:val="0"/>
          <w:sz w:val="28"/>
          <w:szCs w:val="28"/>
        </w:rPr>
      </w:pPr>
      <w:r>
        <w:rPr>
          <w:rFonts w:hint="eastAsia" w:ascii="宋体" w:hAnsi="宋体"/>
          <w:b/>
          <w:bCs/>
          <w:kern w:val="0"/>
          <w:sz w:val="28"/>
          <w:szCs w:val="28"/>
        </w:rPr>
        <w:t>第三部分  商务响应部分</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1、证书一览表（附件10）；</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2、近三年来类似项目的成功案例（附件11）</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3、售后服务描述及承诺（可视情选用附件12，附件13）；</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第四部分  其他参考表格（此部分视情况选用）</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1、主要货物用材响应表(类似家具类货物采用，附件14)</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（以上内容具体描述详见“第三部分投标人须知”中“三、投标文件”的组成说明）</w:t>
      </w:r>
    </w:p>
    <w:p>
      <w:pPr>
        <w:pStyle w:val="31"/>
        <w:shd w:val="clear" w:color="auto" w:fill="FFFFFF"/>
        <w:spacing w:before="0" w:beforeAutospacing="0" w:after="0" w:afterAutospacing="0" w:line="360" w:lineRule="auto"/>
        <w:rPr>
          <w:b/>
          <w:sz w:val="28"/>
        </w:rPr>
      </w:pPr>
    </w:p>
    <w:p>
      <w:pPr>
        <w:pStyle w:val="31"/>
        <w:shd w:val="clear" w:color="auto" w:fill="FFFFFF"/>
        <w:spacing w:before="0" w:beforeAutospacing="0" w:after="0" w:afterAutospacing="0" w:line="360" w:lineRule="auto"/>
        <w:rPr>
          <w:b/>
          <w:sz w:val="28"/>
        </w:rPr>
      </w:pPr>
    </w:p>
    <w:p>
      <w:pPr>
        <w:pStyle w:val="31"/>
        <w:shd w:val="clear" w:color="auto" w:fill="FFFFFF"/>
        <w:spacing w:before="0" w:beforeAutospacing="0" w:after="0" w:afterAutospacing="0" w:line="360" w:lineRule="auto"/>
        <w:rPr>
          <w:b/>
          <w:sz w:val="28"/>
        </w:rPr>
      </w:pPr>
    </w:p>
    <w:p>
      <w:pPr>
        <w:pStyle w:val="31"/>
        <w:shd w:val="clear" w:color="auto" w:fill="FFFFFF"/>
        <w:spacing w:before="0" w:beforeAutospacing="0" w:after="0" w:afterAutospacing="0" w:line="360" w:lineRule="auto"/>
        <w:rPr>
          <w:b/>
          <w:sz w:val="28"/>
        </w:rPr>
      </w:pPr>
    </w:p>
    <w:p>
      <w:pPr>
        <w:pStyle w:val="31"/>
        <w:shd w:val="clear" w:color="auto" w:fill="FFFFFF"/>
        <w:spacing w:before="0" w:beforeAutospacing="0" w:after="0" w:afterAutospacing="0" w:line="360" w:lineRule="auto"/>
        <w:rPr>
          <w:b/>
          <w:sz w:val="28"/>
        </w:rPr>
      </w:pPr>
      <w:r>
        <w:rPr>
          <w:rFonts w:hint="eastAsia"/>
          <w:b/>
          <w:sz w:val="28"/>
        </w:rPr>
        <w:t>附件5</w:t>
      </w:r>
    </w:p>
    <w:p>
      <w:pPr>
        <w:pStyle w:val="31"/>
        <w:shd w:val="clear" w:color="auto" w:fill="FFFFFF"/>
        <w:spacing w:before="0" w:beforeAutospacing="0" w:after="0" w:afterAutospacing="0" w:line="360" w:lineRule="auto"/>
        <w:jc w:val="center"/>
        <w:rPr>
          <w:rFonts w:eastAsia="微软雅黑"/>
          <w:color w:val="000000"/>
          <w:sz w:val="36"/>
          <w:szCs w:val="36"/>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tbl>
      <w:tblPr>
        <w:tblStyle w:val="20"/>
        <w:tblW w:w="8954"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tcPr>
          <w:p>
            <w:pPr>
              <w:pStyle w:val="31"/>
              <w:shd w:val="clear" w:color="auto" w:fill="FFFFFF"/>
              <w:spacing w:line="360" w:lineRule="auto"/>
              <w:rPr>
                <w:bCs/>
                <w:color w:val="000000"/>
              </w:rPr>
            </w:pPr>
            <w:r>
              <w:rPr>
                <w:rFonts w:hint="eastAsia"/>
                <w:bCs/>
                <w:color w:val="000000"/>
                <w:spacing w:val="27"/>
              </w:rPr>
              <w:t>企业名称</w:t>
            </w:r>
          </w:p>
        </w:tc>
        <w:tc>
          <w:tcPr>
            <w:tcW w:w="3979" w:type="dxa"/>
            <w:gridSpan w:val="6"/>
          </w:tcPr>
          <w:p>
            <w:pPr>
              <w:pStyle w:val="31"/>
              <w:shd w:val="clear" w:color="auto" w:fill="FFFFFF"/>
              <w:spacing w:line="360" w:lineRule="auto"/>
              <w:rPr>
                <w:bCs/>
                <w:color w:val="000000"/>
              </w:rPr>
            </w:pPr>
          </w:p>
        </w:tc>
        <w:tc>
          <w:tcPr>
            <w:tcW w:w="2001" w:type="dxa"/>
            <w:gridSpan w:val="3"/>
          </w:tcPr>
          <w:p>
            <w:pPr>
              <w:pStyle w:val="31"/>
              <w:shd w:val="clear" w:color="auto" w:fill="FFFFFF"/>
              <w:spacing w:line="360" w:lineRule="auto"/>
              <w:rPr>
                <w:bCs/>
                <w:color w:val="000000"/>
              </w:rPr>
            </w:pPr>
            <w:r>
              <w:rPr>
                <w:rFonts w:hint="eastAsia"/>
                <w:bCs/>
                <w:color w:val="000000"/>
                <w:spacing w:val="16"/>
              </w:rPr>
              <w:t>法人代表</w:t>
            </w:r>
          </w:p>
        </w:tc>
        <w:tc>
          <w:tcPr>
            <w:tcW w:w="2151" w:type="dxa"/>
            <w:gridSpan w:val="2"/>
          </w:tcPr>
          <w:p>
            <w:pPr>
              <w:pStyle w:val="31"/>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3" w:type="dxa"/>
          </w:tcPr>
          <w:p>
            <w:pPr>
              <w:pStyle w:val="31"/>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color="auto" w:sz="4" w:space="0"/>
            </w:tcBorders>
          </w:tcPr>
          <w:p>
            <w:pPr>
              <w:pStyle w:val="31"/>
              <w:shd w:val="clear" w:color="auto" w:fill="FFFFFF"/>
              <w:spacing w:line="360" w:lineRule="auto"/>
              <w:rPr>
                <w:bCs/>
                <w:color w:val="000000"/>
                <w:spacing w:val="16"/>
              </w:rPr>
            </w:pPr>
          </w:p>
        </w:tc>
        <w:tc>
          <w:tcPr>
            <w:tcW w:w="2001" w:type="dxa"/>
            <w:gridSpan w:val="3"/>
          </w:tcPr>
          <w:p>
            <w:pPr>
              <w:pStyle w:val="31"/>
              <w:shd w:val="clear" w:color="auto" w:fill="FFFFFF"/>
              <w:spacing w:line="360" w:lineRule="auto"/>
              <w:rPr>
                <w:bCs/>
                <w:color w:val="000000"/>
                <w:spacing w:val="16"/>
              </w:rPr>
            </w:pPr>
            <w:r>
              <w:rPr>
                <w:rFonts w:hint="eastAsia"/>
                <w:bCs/>
                <w:color w:val="000000"/>
                <w:spacing w:val="16"/>
              </w:rPr>
              <w:t>企业性质</w:t>
            </w:r>
          </w:p>
        </w:tc>
        <w:tc>
          <w:tcPr>
            <w:tcW w:w="2151" w:type="dxa"/>
            <w:gridSpan w:val="2"/>
          </w:tcPr>
          <w:p>
            <w:pPr>
              <w:pStyle w:val="3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3" w:type="dxa"/>
            <w:tcBorders>
              <w:bottom w:val="single" w:color="auto" w:sz="4" w:space="0"/>
            </w:tcBorders>
          </w:tcPr>
          <w:p>
            <w:pPr>
              <w:pStyle w:val="31"/>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color="auto" w:sz="4" w:space="0"/>
            </w:tcBorders>
          </w:tcPr>
          <w:p>
            <w:pPr>
              <w:pStyle w:val="31"/>
              <w:shd w:val="clear" w:color="auto" w:fill="FFFFFF"/>
              <w:spacing w:before="0" w:beforeAutospacing="0" w:after="0" w:afterAutospacing="0" w:line="360" w:lineRule="auto"/>
              <w:rPr>
                <w:bCs/>
                <w:color w:val="000000"/>
                <w:spacing w:val="16"/>
              </w:rPr>
            </w:pPr>
          </w:p>
        </w:tc>
        <w:tc>
          <w:tcPr>
            <w:tcW w:w="910" w:type="dxa"/>
            <w:gridSpan w:val="2"/>
            <w:tcBorders>
              <w:bottom w:val="single" w:color="auto" w:sz="4" w:space="0"/>
            </w:tcBorders>
          </w:tcPr>
          <w:p>
            <w:pPr>
              <w:pStyle w:val="31"/>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spacing w:val="16"/>
                <w:kern w:val="0"/>
                <w:sz w:val="24"/>
              </w:rPr>
            </w:pPr>
          </w:p>
          <w:p>
            <w:pPr>
              <w:pStyle w:val="31"/>
              <w:shd w:val="clear" w:color="auto" w:fill="FFFFFF"/>
              <w:spacing w:line="360" w:lineRule="auto"/>
              <w:rPr>
                <w:bCs/>
                <w:color w:val="000000"/>
                <w:spacing w:val="16"/>
              </w:rPr>
            </w:pPr>
          </w:p>
        </w:tc>
        <w:tc>
          <w:tcPr>
            <w:tcW w:w="2001" w:type="dxa"/>
            <w:gridSpan w:val="3"/>
          </w:tcPr>
          <w:p>
            <w:pPr>
              <w:pStyle w:val="31"/>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tcPr>
          <w:p>
            <w:pPr>
              <w:pStyle w:val="31"/>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3" w:type="dxa"/>
            <w:vMerge w:val="restart"/>
          </w:tcPr>
          <w:p>
            <w:pPr>
              <w:pStyle w:val="31"/>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tcPr>
          <w:p>
            <w:pPr>
              <w:pStyle w:val="31"/>
              <w:shd w:val="clear" w:color="auto" w:fill="FFFFFF"/>
              <w:spacing w:line="360" w:lineRule="auto"/>
              <w:rPr>
                <w:bCs/>
                <w:color w:val="000000"/>
                <w:spacing w:val="16"/>
              </w:rPr>
            </w:pPr>
          </w:p>
        </w:tc>
        <w:tc>
          <w:tcPr>
            <w:tcW w:w="910" w:type="dxa"/>
            <w:gridSpan w:val="2"/>
            <w:tcBorders>
              <w:top w:val="nil"/>
              <w:bottom w:val="single" w:color="auto" w:sz="4" w:space="0"/>
            </w:tcBorders>
          </w:tcPr>
          <w:p>
            <w:pPr>
              <w:pStyle w:val="31"/>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spacing w:val="16"/>
                <w:kern w:val="0"/>
                <w:sz w:val="24"/>
              </w:rPr>
            </w:pPr>
          </w:p>
          <w:p>
            <w:pPr>
              <w:pStyle w:val="31"/>
              <w:shd w:val="clear" w:color="auto" w:fill="FFFFFF"/>
              <w:spacing w:line="360" w:lineRule="auto"/>
              <w:rPr>
                <w:bCs/>
                <w:color w:val="000000"/>
                <w:spacing w:val="16"/>
              </w:rPr>
            </w:pPr>
          </w:p>
        </w:tc>
        <w:tc>
          <w:tcPr>
            <w:tcW w:w="2001" w:type="dxa"/>
            <w:gridSpan w:val="3"/>
            <w:vMerge w:val="restart"/>
          </w:tcPr>
          <w:p>
            <w:pPr>
              <w:pStyle w:val="31"/>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tcPr>
          <w:p>
            <w:pPr>
              <w:pStyle w:val="3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Merge w:val="continue"/>
            <w:tcBorders>
              <w:bottom w:val="single" w:color="auto" w:sz="4" w:space="0"/>
            </w:tcBorders>
          </w:tcPr>
          <w:p>
            <w:pPr>
              <w:pStyle w:val="31"/>
              <w:shd w:val="clear" w:color="auto" w:fill="FFFFFF"/>
              <w:spacing w:line="360" w:lineRule="auto"/>
              <w:ind w:left="107"/>
              <w:rPr>
                <w:bCs/>
                <w:color w:val="000000"/>
              </w:rPr>
            </w:pPr>
          </w:p>
        </w:tc>
        <w:tc>
          <w:tcPr>
            <w:tcW w:w="701" w:type="dxa"/>
            <w:vMerge w:val="continue"/>
            <w:tcBorders>
              <w:bottom w:val="single" w:color="auto" w:sz="4" w:space="0"/>
            </w:tcBorders>
          </w:tcPr>
          <w:p>
            <w:pPr>
              <w:pStyle w:val="31"/>
              <w:shd w:val="clear" w:color="auto" w:fill="FFFFFF"/>
              <w:spacing w:line="360" w:lineRule="auto"/>
              <w:rPr>
                <w:bCs/>
                <w:color w:val="000000"/>
                <w:spacing w:val="16"/>
              </w:rPr>
            </w:pPr>
          </w:p>
        </w:tc>
        <w:tc>
          <w:tcPr>
            <w:tcW w:w="910" w:type="dxa"/>
            <w:gridSpan w:val="2"/>
            <w:tcBorders>
              <w:bottom w:val="single" w:color="auto" w:sz="4" w:space="0"/>
            </w:tcBorders>
          </w:tcPr>
          <w:p>
            <w:pPr>
              <w:pStyle w:val="31"/>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color="auto" w:sz="4" w:space="0"/>
            </w:tcBorders>
          </w:tcPr>
          <w:p>
            <w:pPr>
              <w:pStyle w:val="31"/>
              <w:shd w:val="clear" w:color="auto" w:fill="FFFFFF"/>
              <w:spacing w:line="360" w:lineRule="auto"/>
              <w:rPr>
                <w:bCs/>
                <w:color w:val="000000"/>
                <w:spacing w:val="16"/>
              </w:rPr>
            </w:pPr>
          </w:p>
        </w:tc>
        <w:tc>
          <w:tcPr>
            <w:tcW w:w="2001" w:type="dxa"/>
            <w:gridSpan w:val="3"/>
            <w:vMerge w:val="continue"/>
          </w:tcPr>
          <w:p>
            <w:pPr>
              <w:pStyle w:val="31"/>
              <w:shd w:val="clear" w:color="auto" w:fill="FFFFFF"/>
              <w:spacing w:line="360" w:lineRule="auto"/>
              <w:rPr>
                <w:bCs/>
                <w:color w:val="000000"/>
                <w:spacing w:val="16"/>
              </w:rPr>
            </w:pPr>
          </w:p>
        </w:tc>
        <w:tc>
          <w:tcPr>
            <w:tcW w:w="2151" w:type="dxa"/>
            <w:gridSpan w:val="2"/>
            <w:vMerge w:val="continue"/>
          </w:tcPr>
          <w:p>
            <w:pPr>
              <w:pStyle w:val="3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23" w:type="dxa"/>
            <w:vMerge w:val="restart"/>
          </w:tcPr>
          <w:p>
            <w:pPr>
              <w:pStyle w:val="31"/>
              <w:shd w:val="clear" w:color="auto" w:fill="FFFFFF"/>
              <w:spacing w:line="360" w:lineRule="auto"/>
              <w:ind w:left="107"/>
              <w:rPr>
                <w:bCs/>
                <w:color w:val="000000"/>
              </w:rPr>
            </w:pPr>
            <w:r>
              <w:rPr>
                <w:bCs/>
                <w:color w:val="000000"/>
              </w:rPr>
              <w:t>1</w:t>
            </w:r>
            <w:r>
              <w:rPr>
                <w:rFonts w:hint="eastAsia"/>
                <w:bCs/>
                <w:color w:val="000000"/>
              </w:rPr>
              <w:t>.</w:t>
            </w:r>
          </w:p>
          <w:p>
            <w:pPr>
              <w:pStyle w:val="31"/>
              <w:shd w:val="clear" w:color="auto" w:fill="FFFFFF"/>
              <w:spacing w:line="360" w:lineRule="auto"/>
              <w:ind w:left="107"/>
              <w:rPr>
                <w:bCs/>
                <w:color w:val="000000"/>
              </w:rPr>
            </w:pPr>
            <w:r>
              <w:rPr>
                <w:rFonts w:hint="eastAsia"/>
                <w:bCs/>
                <w:color w:val="000000"/>
              </w:rPr>
              <w:t>企</w:t>
            </w:r>
          </w:p>
          <w:p>
            <w:pPr>
              <w:pStyle w:val="31"/>
              <w:shd w:val="clear" w:color="auto" w:fill="FFFFFF"/>
              <w:spacing w:line="360" w:lineRule="auto"/>
              <w:ind w:left="107"/>
              <w:rPr>
                <w:bCs/>
                <w:color w:val="000000"/>
              </w:rPr>
            </w:pPr>
            <w:r>
              <w:rPr>
                <w:rFonts w:hint="eastAsia"/>
                <w:bCs/>
                <w:color w:val="000000"/>
              </w:rPr>
              <w:t>业</w:t>
            </w:r>
          </w:p>
          <w:p>
            <w:pPr>
              <w:pStyle w:val="31"/>
              <w:shd w:val="clear" w:color="auto" w:fill="FFFFFF"/>
              <w:spacing w:line="360" w:lineRule="auto"/>
              <w:ind w:left="107"/>
              <w:rPr>
                <w:bCs/>
                <w:color w:val="000000"/>
                <w:spacing w:val="27"/>
              </w:rPr>
            </w:pPr>
            <w:r>
              <w:rPr>
                <w:rFonts w:hint="eastAsia"/>
                <w:bCs/>
                <w:color w:val="000000"/>
                <w:spacing w:val="27"/>
              </w:rPr>
              <w:t>概</w:t>
            </w:r>
          </w:p>
          <w:p>
            <w:pPr>
              <w:pStyle w:val="31"/>
              <w:shd w:val="clear" w:color="auto" w:fill="FFFFFF"/>
              <w:spacing w:line="360" w:lineRule="auto"/>
              <w:ind w:left="107"/>
              <w:rPr>
                <w:bCs/>
                <w:color w:val="000000"/>
              </w:rPr>
            </w:pPr>
            <w:r>
              <w:rPr>
                <w:rFonts w:hint="eastAsia"/>
                <w:bCs/>
                <w:color w:val="000000"/>
                <w:spacing w:val="27"/>
              </w:rPr>
              <w:t>况</w:t>
            </w:r>
          </w:p>
        </w:tc>
        <w:tc>
          <w:tcPr>
            <w:tcW w:w="701" w:type="dxa"/>
            <w:tcBorders>
              <w:top w:val="nil"/>
            </w:tcBorders>
          </w:tcPr>
          <w:p>
            <w:pPr>
              <w:pStyle w:val="31"/>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nil"/>
            </w:tcBorders>
          </w:tcPr>
          <w:p>
            <w:pPr>
              <w:pStyle w:val="31"/>
              <w:shd w:val="clear" w:color="auto" w:fill="FFFFFF"/>
              <w:spacing w:line="360" w:lineRule="auto"/>
              <w:rPr>
                <w:bCs/>
                <w:color w:val="000000"/>
                <w:spacing w:val="16"/>
              </w:rPr>
            </w:pPr>
          </w:p>
        </w:tc>
        <w:tc>
          <w:tcPr>
            <w:tcW w:w="1163" w:type="dxa"/>
            <w:tcBorders>
              <w:top w:val="nil"/>
            </w:tcBorders>
          </w:tcPr>
          <w:p>
            <w:pPr>
              <w:pStyle w:val="31"/>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nil"/>
            </w:tcBorders>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31"/>
              <w:shd w:val="clear" w:color="auto" w:fill="FFFFFF"/>
              <w:spacing w:line="360" w:lineRule="auto"/>
              <w:rPr>
                <w:bCs/>
                <w:color w:val="000000"/>
                <w:spacing w:val="16"/>
              </w:rPr>
            </w:pPr>
          </w:p>
        </w:tc>
        <w:tc>
          <w:tcPr>
            <w:tcW w:w="2001" w:type="dxa"/>
            <w:gridSpan w:val="3"/>
          </w:tcPr>
          <w:p>
            <w:pPr>
              <w:pStyle w:val="31"/>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Pr>
          <w:p>
            <w:pPr>
              <w:widowControl/>
              <w:spacing w:line="360" w:lineRule="auto"/>
              <w:jc w:val="left"/>
              <w:rPr>
                <w:rFonts w:ascii="宋体" w:hAnsi="宋体" w:cs="宋体"/>
                <w:bCs/>
                <w:color w:val="000000"/>
                <w:spacing w:val="16"/>
                <w:kern w:val="0"/>
                <w:sz w:val="24"/>
              </w:rPr>
            </w:pPr>
          </w:p>
          <w:p>
            <w:pPr>
              <w:pStyle w:val="3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23" w:type="dxa"/>
            <w:vMerge w:val="continue"/>
          </w:tcPr>
          <w:p>
            <w:pPr>
              <w:pStyle w:val="31"/>
              <w:shd w:val="clear" w:color="auto" w:fill="FFFFFF"/>
              <w:spacing w:line="360" w:lineRule="auto"/>
              <w:ind w:left="107"/>
              <w:rPr>
                <w:bCs/>
                <w:color w:val="000000"/>
              </w:rPr>
            </w:pPr>
          </w:p>
        </w:tc>
        <w:tc>
          <w:tcPr>
            <w:tcW w:w="701" w:type="dxa"/>
          </w:tcPr>
          <w:p>
            <w:pPr>
              <w:pStyle w:val="31"/>
              <w:shd w:val="clear" w:color="auto" w:fill="FFFFFF"/>
              <w:spacing w:line="360" w:lineRule="auto"/>
              <w:rPr>
                <w:bCs/>
                <w:color w:val="000000"/>
              </w:rPr>
            </w:pPr>
            <w:r>
              <w:rPr>
                <w:rFonts w:hint="eastAsia"/>
                <w:bCs/>
                <w:color w:val="000000"/>
                <w:spacing w:val="16"/>
              </w:rPr>
              <w:t>占地面积</w:t>
            </w:r>
          </w:p>
        </w:tc>
        <w:tc>
          <w:tcPr>
            <w:tcW w:w="910" w:type="dxa"/>
            <w:gridSpan w:val="2"/>
          </w:tcPr>
          <w:p>
            <w:pPr>
              <w:pStyle w:val="31"/>
              <w:shd w:val="clear" w:color="auto" w:fill="FFFFFF"/>
              <w:spacing w:line="360" w:lineRule="auto"/>
              <w:rPr>
                <w:bCs/>
                <w:color w:val="000000"/>
              </w:rPr>
            </w:pPr>
          </w:p>
        </w:tc>
        <w:tc>
          <w:tcPr>
            <w:tcW w:w="1163" w:type="dxa"/>
          </w:tcPr>
          <w:p>
            <w:pPr>
              <w:pStyle w:val="31"/>
              <w:shd w:val="clear" w:color="auto" w:fill="FFFFFF"/>
              <w:spacing w:line="360" w:lineRule="auto"/>
              <w:rPr>
                <w:bCs/>
                <w:color w:val="000000"/>
              </w:rPr>
            </w:pPr>
            <w:r>
              <w:rPr>
                <w:rFonts w:hint="eastAsia"/>
                <w:bCs/>
                <w:color w:val="000000"/>
                <w:spacing w:val="16"/>
              </w:rPr>
              <w:t>建筑面积</w:t>
            </w:r>
          </w:p>
        </w:tc>
        <w:tc>
          <w:tcPr>
            <w:tcW w:w="1205" w:type="dxa"/>
            <w:gridSpan w:val="2"/>
          </w:tcPr>
          <w:p>
            <w:pPr>
              <w:pStyle w:val="31"/>
              <w:shd w:val="clear" w:color="auto" w:fill="FFFFFF"/>
              <w:spacing w:line="360" w:lineRule="auto"/>
              <w:ind w:firstLine="480" w:firstLineChars="200"/>
              <w:rPr>
                <w:bCs/>
                <w:color w:val="000000"/>
              </w:rPr>
            </w:pPr>
            <w:r>
              <w:rPr>
                <w:rFonts w:hint="eastAsia"/>
                <w:bCs/>
                <w:color w:val="000000"/>
              </w:rPr>
              <w:t xml:space="preserve">平方米 </w:t>
            </w:r>
          </w:p>
          <w:p>
            <w:pPr>
              <w:pStyle w:val="31"/>
              <w:shd w:val="clear" w:color="auto" w:fill="FFFFFF"/>
              <w:spacing w:line="360" w:lineRule="auto"/>
              <w:rPr>
                <w:bCs/>
                <w:color w:val="000000"/>
              </w:rPr>
            </w:pPr>
            <w:r>
              <w:rPr>
                <w:rFonts w:hint="eastAsia"/>
                <w:bCs/>
                <w:color w:val="000000"/>
                <w:spacing w:val="16"/>
              </w:rPr>
              <w:t>□自有□租賃</w:t>
            </w:r>
          </w:p>
        </w:tc>
        <w:tc>
          <w:tcPr>
            <w:tcW w:w="2001" w:type="dxa"/>
            <w:gridSpan w:val="3"/>
          </w:tcPr>
          <w:p>
            <w:pPr>
              <w:pStyle w:val="31"/>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tcPr>
          <w:p>
            <w:pPr>
              <w:pStyle w:val="31"/>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3" w:type="dxa"/>
            <w:vMerge w:val="continue"/>
          </w:tcPr>
          <w:p>
            <w:pPr>
              <w:pStyle w:val="31"/>
              <w:shd w:val="clear" w:color="auto" w:fill="FFFFFF"/>
              <w:spacing w:line="360" w:lineRule="auto"/>
              <w:ind w:left="107"/>
              <w:rPr>
                <w:bCs/>
                <w:color w:val="000000"/>
              </w:rPr>
            </w:pPr>
          </w:p>
        </w:tc>
        <w:tc>
          <w:tcPr>
            <w:tcW w:w="701" w:type="dxa"/>
          </w:tcPr>
          <w:p>
            <w:pPr>
              <w:pStyle w:val="31"/>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tcPr>
          <w:p>
            <w:pPr>
              <w:pStyle w:val="31"/>
              <w:shd w:val="clear" w:color="auto" w:fill="FFFFFF"/>
              <w:spacing w:line="360" w:lineRule="auto"/>
              <w:ind w:left="2"/>
              <w:rPr>
                <w:bCs/>
                <w:color w:val="000000"/>
              </w:rPr>
            </w:pPr>
          </w:p>
        </w:tc>
        <w:tc>
          <w:tcPr>
            <w:tcW w:w="1163" w:type="dxa"/>
          </w:tcPr>
          <w:p>
            <w:pPr>
              <w:pStyle w:val="31"/>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tcPr>
          <w:p>
            <w:pPr>
              <w:widowControl/>
              <w:spacing w:line="360" w:lineRule="auto"/>
              <w:jc w:val="left"/>
              <w:rPr>
                <w:rFonts w:ascii="宋体" w:hAnsi="宋体" w:cs="宋体"/>
                <w:bCs/>
                <w:color w:val="000000"/>
                <w:kern w:val="0"/>
                <w:sz w:val="24"/>
              </w:rPr>
            </w:pPr>
          </w:p>
          <w:p>
            <w:pPr>
              <w:pStyle w:val="31"/>
              <w:shd w:val="clear" w:color="auto" w:fill="FFFFFF"/>
              <w:spacing w:line="360" w:lineRule="auto"/>
              <w:ind w:left="107"/>
              <w:rPr>
                <w:bCs/>
                <w:color w:val="000000"/>
              </w:rPr>
            </w:pPr>
          </w:p>
        </w:tc>
        <w:tc>
          <w:tcPr>
            <w:tcW w:w="1218" w:type="dxa"/>
          </w:tcPr>
          <w:p>
            <w:pPr>
              <w:pStyle w:val="31"/>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tcPr>
          <w:p>
            <w:pPr>
              <w:pStyle w:val="31"/>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23" w:type="dxa"/>
            <w:vMerge w:val="continue"/>
          </w:tcPr>
          <w:p>
            <w:pPr>
              <w:pStyle w:val="31"/>
              <w:shd w:val="clear" w:color="auto" w:fill="FFFFFF"/>
              <w:spacing w:line="360" w:lineRule="auto"/>
              <w:ind w:left="107"/>
              <w:rPr>
                <w:bCs/>
                <w:color w:val="000000"/>
              </w:rPr>
            </w:pPr>
          </w:p>
        </w:tc>
        <w:tc>
          <w:tcPr>
            <w:tcW w:w="701" w:type="dxa"/>
          </w:tcPr>
          <w:p>
            <w:pPr>
              <w:pStyle w:val="31"/>
              <w:shd w:val="clear" w:color="auto" w:fill="FFFFFF"/>
              <w:spacing w:line="360" w:lineRule="auto"/>
              <w:ind w:left="2"/>
              <w:rPr>
                <w:bCs/>
                <w:color w:val="000000"/>
              </w:rPr>
            </w:pPr>
            <w:r>
              <w:rPr>
                <w:rFonts w:hint="eastAsia"/>
                <w:bCs/>
                <w:color w:val="000000"/>
              </w:rPr>
              <w:t>核准经营范围</w:t>
            </w:r>
          </w:p>
        </w:tc>
        <w:tc>
          <w:tcPr>
            <w:tcW w:w="7430" w:type="dxa"/>
            <w:gridSpan w:val="10"/>
          </w:tcPr>
          <w:p>
            <w:pPr>
              <w:pStyle w:val="31"/>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3" w:type="dxa"/>
            <w:vMerge w:val="continue"/>
          </w:tcPr>
          <w:p>
            <w:pPr>
              <w:pStyle w:val="31"/>
              <w:shd w:val="clear" w:color="auto" w:fill="FFFFFF"/>
              <w:spacing w:line="360" w:lineRule="auto"/>
              <w:ind w:left="107"/>
              <w:rPr>
                <w:bCs/>
                <w:color w:val="000000"/>
              </w:rPr>
            </w:pPr>
          </w:p>
        </w:tc>
        <w:tc>
          <w:tcPr>
            <w:tcW w:w="8131" w:type="dxa"/>
            <w:gridSpan w:val="11"/>
          </w:tcPr>
          <w:p>
            <w:pPr>
              <w:pStyle w:val="31"/>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3" w:type="dxa"/>
            <w:vMerge w:val="restart"/>
          </w:tcPr>
          <w:p>
            <w:pPr>
              <w:pStyle w:val="31"/>
              <w:shd w:val="clear" w:color="auto" w:fill="FFFFFF"/>
              <w:spacing w:line="360" w:lineRule="auto"/>
              <w:ind w:left="107"/>
              <w:rPr>
                <w:bCs/>
                <w:color w:val="000000"/>
              </w:rPr>
            </w:pPr>
            <w:r>
              <w:rPr>
                <w:bCs/>
                <w:color w:val="000000"/>
              </w:rPr>
              <w:t>2</w:t>
            </w:r>
            <w:r>
              <w:rPr>
                <w:rFonts w:hint="eastAsia"/>
                <w:bCs/>
                <w:color w:val="000000"/>
              </w:rPr>
              <w:t>．</w:t>
            </w:r>
          </w:p>
          <w:p>
            <w:pPr>
              <w:pStyle w:val="31"/>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tcPr>
          <w:p>
            <w:pPr>
              <w:pStyle w:val="31"/>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tcPr>
          <w:p>
            <w:pPr>
              <w:pStyle w:val="31"/>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tcPr>
          <w:p>
            <w:pPr>
              <w:pStyle w:val="31"/>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tcPr>
          <w:p>
            <w:pPr>
              <w:pStyle w:val="31"/>
              <w:shd w:val="clear" w:color="auto" w:fill="FFFFFF"/>
              <w:spacing w:line="360" w:lineRule="auto"/>
              <w:jc w:val="center"/>
              <w:rPr>
                <w:bCs/>
                <w:color w:val="000000"/>
              </w:rPr>
            </w:pPr>
            <w:r>
              <w:rPr>
                <w:rFonts w:hint="eastAsia"/>
                <w:bCs/>
                <w:color w:val="000000"/>
                <w:spacing w:val="27"/>
              </w:rPr>
              <w:t>编号</w:t>
            </w:r>
          </w:p>
        </w:tc>
        <w:tc>
          <w:tcPr>
            <w:tcW w:w="1618" w:type="dxa"/>
            <w:gridSpan w:val="2"/>
          </w:tcPr>
          <w:p>
            <w:pPr>
              <w:pStyle w:val="31"/>
              <w:shd w:val="clear" w:color="auto" w:fill="FFFFFF"/>
              <w:spacing w:line="360" w:lineRule="auto"/>
              <w:jc w:val="center"/>
              <w:rPr>
                <w:bCs/>
                <w:color w:val="000000"/>
              </w:rPr>
            </w:pPr>
            <w:r>
              <w:rPr>
                <w:rFonts w:hint="eastAsia"/>
                <w:bCs/>
                <w:color w:val="000000"/>
                <w:spacing w:val="16"/>
              </w:rPr>
              <w:t>发证时间</w:t>
            </w:r>
          </w:p>
        </w:tc>
        <w:tc>
          <w:tcPr>
            <w:tcW w:w="933" w:type="dxa"/>
          </w:tcPr>
          <w:p>
            <w:pPr>
              <w:pStyle w:val="31"/>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3" w:type="dxa"/>
            <w:vMerge w:val="continue"/>
          </w:tcPr>
          <w:p>
            <w:pPr>
              <w:pStyle w:val="31"/>
              <w:shd w:val="clear" w:color="auto" w:fill="FFFFFF"/>
              <w:spacing w:line="360" w:lineRule="auto"/>
              <w:ind w:left="107"/>
              <w:rPr>
                <w:bCs/>
                <w:color w:val="000000"/>
              </w:rPr>
            </w:pPr>
          </w:p>
        </w:tc>
        <w:tc>
          <w:tcPr>
            <w:tcW w:w="1553" w:type="dxa"/>
            <w:gridSpan w:val="2"/>
            <w:vMerge w:val="continue"/>
          </w:tcPr>
          <w:p>
            <w:pPr>
              <w:pStyle w:val="31"/>
              <w:shd w:val="clear" w:color="auto" w:fill="FFFFFF"/>
              <w:spacing w:line="360" w:lineRule="auto"/>
              <w:rPr>
                <w:bCs/>
                <w:color w:val="000000"/>
              </w:rPr>
            </w:pPr>
          </w:p>
        </w:tc>
        <w:tc>
          <w:tcPr>
            <w:tcW w:w="1333" w:type="dxa"/>
            <w:gridSpan w:val="3"/>
          </w:tcPr>
          <w:p>
            <w:pPr>
              <w:pStyle w:val="31"/>
              <w:shd w:val="clear" w:color="auto" w:fill="FFFFFF"/>
              <w:spacing w:line="360" w:lineRule="auto"/>
              <w:rPr>
                <w:bCs/>
                <w:color w:val="000000"/>
              </w:rPr>
            </w:pPr>
          </w:p>
        </w:tc>
        <w:tc>
          <w:tcPr>
            <w:tcW w:w="1418" w:type="dxa"/>
            <w:gridSpan w:val="2"/>
          </w:tcPr>
          <w:p>
            <w:pPr>
              <w:pStyle w:val="31"/>
              <w:shd w:val="clear" w:color="auto" w:fill="FFFFFF"/>
              <w:spacing w:line="360" w:lineRule="auto"/>
              <w:rPr>
                <w:bCs/>
                <w:color w:val="000000"/>
              </w:rPr>
            </w:pPr>
          </w:p>
        </w:tc>
        <w:tc>
          <w:tcPr>
            <w:tcW w:w="1276" w:type="dxa"/>
          </w:tcPr>
          <w:p>
            <w:pPr>
              <w:pStyle w:val="31"/>
              <w:shd w:val="clear" w:color="auto" w:fill="FFFFFF"/>
              <w:spacing w:line="360" w:lineRule="auto"/>
              <w:rPr>
                <w:bCs/>
                <w:color w:val="000000"/>
              </w:rPr>
            </w:pPr>
          </w:p>
        </w:tc>
        <w:tc>
          <w:tcPr>
            <w:tcW w:w="2551" w:type="dxa"/>
            <w:gridSpan w:val="3"/>
          </w:tcPr>
          <w:p>
            <w:pPr>
              <w:pStyle w:val="31"/>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3" w:type="dxa"/>
            <w:vMerge w:val="continue"/>
          </w:tcPr>
          <w:p>
            <w:pPr>
              <w:pStyle w:val="31"/>
              <w:shd w:val="clear" w:color="auto" w:fill="FFFFFF"/>
              <w:spacing w:line="360" w:lineRule="auto"/>
              <w:ind w:left="107"/>
              <w:rPr>
                <w:bCs/>
                <w:color w:val="000000"/>
                <w:spacing w:val="16"/>
              </w:rPr>
            </w:pPr>
          </w:p>
        </w:tc>
        <w:tc>
          <w:tcPr>
            <w:tcW w:w="1553" w:type="dxa"/>
            <w:gridSpan w:val="2"/>
          </w:tcPr>
          <w:p>
            <w:pPr>
              <w:pStyle w:val="31"/>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pPr>
              <w:pStyle w:val="3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3" w:type="dxa"/>
            <w:vMerge w:val="continue"/>
          </w:tcPr>
          <w:p>
            <w:pPr>
              <w:pStyle w:val="31"/>
              <w:shd w:val="clear" w:color="auto" w:fill="FFFFFF"/>
              <w:spacing w:line="360" w:lineRule="auto"/>
              <w:ind w:left="107"/>
              <w:rPr>
                <w:bCs/>
                <w:color w:val="000000"/>
                <w:spacing w:val="27"/>
              </w:rPr>
            </w:pPr>
          </w:p>
        </w:tc>
        <w:tc>
          <w:tcPr>
            <w:tcW w:w="1553" w:type="dxa"/>
            <w:gridSpan w:val="2"/>
          </w:tcPr>
          <w:p>
            <w:pPr>
              <w:pStyle w:val="31"/>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pPr>
              <w:pStyle w:val="31"/>
              <w:shd w:val="clear" w:color="auto" w:fill="FFFFFF"/>
              <w:spacing w:line="360" w:lineRule="auto"/>
              <w:rPr>
                <w:bCs/>
                <w:color w:val="000000"/>
                <w:spacing w:val="16"/>
              </w:rPr>
            </w:pPr>
          </w:p>
        </w:tc>
      </w:tr>
    </w:tbl>
    <w:p>
      <w:pPr>
        <w:pStyle w:val="31"/>
        <w:shd w:val="clear" w:color="auto" w:fill="FFFFFF"/>
        <w:spacing w:before="0" w:beforeAutospacing="0" w:after="0" w:afterAutospacing="0" w:line="360" w:lineRule="auto"/>
        <w:rPr>
          <w:rFonts w:ascii="仿宋_GB2312" w:eastAsia="仿宋_GB2312"/>
        </w:rPr>
      </w:pPr>
    </w:p>
    <w:p>
      <w:pPr>
        <w:pStyle w:val="31"/>
        <w:shd w:val="clear" w:color="auto" w:fill="FFFFFF"/>
        <w:spacing w:before="0" w:beforeAutospacing="0" w:after="0" w:afterAutospacing="0" w:line="360" w:lineRule="auto"/>
        <w:rPr>
          <w:b/>
          <w:sz w:val="21"/>
          <w:szCs w:val="21"/>
        </w:rPr>
      </w:pPr>
      <w:r>
        <w:rPr>
          <w:rFonts w:hint="eastAsia"/>
          <w:b/>
          <w:sz w:val="21"/>
          <w:szCs w:val="21"/>
        </w:rPr>
        <w:t>要求：</w:t>
      </w:r>
    </w:p>
    <w:p>
      <w:pPr>
        <w:pStyle w:val="31"/>
        <w:shd w:val="clear" w:color="auto" w:fill="FFFFFF"/>
        <w:spacing w:before="0" w:beforeAutospacing="0" w:after="0" w:afterAutospacing="0" w:line="360" w:lineRule="auto"/>
        <w:ind w:firstLine="424" w:firstLineChars="202"/>
        <w:rPr>
          <w:color w:val="000000"/>
          <w:sz w:val="21"/>
          <w:szCs w:val="21"/>
        </w:rPr>
      </w:pPr>
      <w:r>
        <w:rPr>
          <w:rFonts w:hint="eastAsia" w:ascii="仿宋_GB2312" w:eastAsia="仿宋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4"/>
        </w:rPr>
      </w:pPr>
    </w:p>
    <w:p>
      <w:pPr>
        <w:spacing w:line="360" w:lineRule="auto"/>
        <w:rPr>
          <w:rFonts w:ascii="宋体" w:hAnsi="宋体"/>
          <w:sz w:val="24"/>
        </w:rPr>
      </w:pPr>
      <w:r>
        <w:rPr>
          <w:rFonts w:hint="eastAsia" w:ascii="宋体" w:hAnsi="宋体"/>
          <w:b/>
          <w:sz w:val="28"/>
        </w:rPr>
        <w:t>附件6</w:t>
      </w:r>
    </w:p>
    <w:p>
      <w:pPr>
        <w:snapToGrid w:val="0"/>
        <w:spacing w:beforeLines="50" w:after="50" w:line="360" w:lineRule="auto"/>
        <w:jc w:val="center"/>
        <w:rPr>
          <w:rFonts w:ascii="宋体" w:hAnsi="宋体"/>
          <w:b/>
          <w:sz w:val="36"/>
          <w:szCs w:val="36"/>
        </w:rPr>
      </w:pPr>
      <w:r>
        <w:rPr>
          <w:rFonts w:hint="eastAsia" w:ascii="宋体" w:hAnsi="宋体"/>
          <w:b/>
          <w:sz w:val="32"/>
          <w:szCs w:val="32"/>
        </w:rPr>
        <w:t>项目实施人员一览表</w:t>
      </w:r>
      <w:r>
        <w:rPr>
          <w:rFonts w:hint="eastAsia" w:ascii="宋体" w:hAnsi="宋体"/>
          <w:b/>
          <w:color w:val="33CCCC"/>
          <w:sz w:val="32"/>
          <w:szCs w:val="32"/>
        </w:rPr>
        <w:t>（第 标）</w:t>
      </w:r>
    </w:p>
    <w:p>
      <w:pPr>
        <w:snapToGrid w:val="0"/>
        <w:spacing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2.附人员证书复印件；</w:t>
      </w:r>
    </w:p>
    <w:p>
      <w:pPr>
        <w:pStyle w:val="32"/>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rPr>
      </w:pPr>
      <w:r>
        <w:rPr>
          <w:rFonts w:hint="eastAsia" w:ascii="宋体" w:hAnsi="宋体"/>
          <w:b/>
          <w:sz w:val="28"/>
        </w:rPr>
        <w:t>附件7</w:t>
      </w:r>
    </w:p>
    <w:p>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r>
        <w:rPr>
          <w:rFonts w:hint="eastAsia" w:ascii="宋体" w:hAnsi="宋体"/>
          <w:b/>
          <w:color w:val="000000"/>
          <w:sz w:val="32"/>
          <w:szCs w:val="32"/>
        </w:rPr>
        <w:t xml:space="preserve"> (第 标)</w:t>
      </w:r>
    </w:p>
    <w:p>
      <w:pPr>
        <w:spacing w:line="360" w:lineRule="auto"/>
        <w:ind w:left="480"/>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993"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1559"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投标人名称（盖章）：</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w:t>
      </w:r>
      <w:r>
        <w:rPr>
          <w:rFonts w:hint="eastAsia" w:ascii="宋体" w:hAnsi="宋体"/>
          <w:color w:val="000000"/>
          <w:sz w:val="24"/>
          <w:lang w:eastAsia="zh-CN"/>
        </w:rPr>
        <w:t>签字</w:t>
      </w:r>
      <w:r>
        <w:rPr>
          <w:rFonts w:hint="eastAsia" w:ascii="宋体" w:hAnsi="宋体"/>
          <w:color w:val="000000"/>
          <w:sz w:val="24"/>
        </w:rPr>
        <w:t>或盖章：</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r>
        <w:rPr>
          <w:rFonts w:hint="eastAsia" w:ascii="宋体" w:hAnsi="宋体"/>
          <w:b/>
          <w:color w:val="33CCCC"/>
          <w:sz w:val="32"/>
          <w:szCs w:val="32"/>
        </w:rPr>
        <w:t>(第 标)</w:t>
      </w:r>
    </w:p>
    <w:p>
      <w:pPr>
        <w:spacing w:line="360" w:lineRule="auto"/>
        <w:rPr>
          <w:rFonts w:ascii="宋体" w:hAnsi="宋体"/>
          <w:sz w:val="24"/>
        </w:rPr>
      </w:pPr>
    </w:p>
    <w:tbl>
      <w:tblPr>
        <w:tblStyle w:val="20"/>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376"/>
        <w:gridCol w:w="185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spacing w:line="360" w:lineRule="auto"/>
              <w:jc w:val="center"/>
              <w:rPr>
                <w:rFonts w:ascii="宋体" w:hAnsi="宋体"/>
                <w:b/>
                <w:sz w:val="24"/>
              </w:rPr>
            </w:pPr>
            <w:r>
              <w:rPr>
                <w:rFonts w:hint="eastAsia" w:ascii="宋体" w:hAnsi="宋体"/>
                <w:b/>
                <w:sz w:val="24"/>
              </w:rPr>
              <w:t>序号</w:t>
            </w:r>
          </w:p>
        </w:tc>
        <w:tc>
          <w:tcPr>
            <w:tcW w:w="4376" w:type="dxa"/>
            <w:vAlign w:val="center"/>
          </w:tcPr>
          <w:p>
            <w:pPr>
              <w:spacing w:line="360" w:lineRule="auto"/>
              <w:ind w:left="152"/>
              <w:jc w:val="center"/>
              <w:rPr>
                <w:rFonts w:ascii="宋体" w:hAnsi="宋体"/>
                <w:b/>
                <w:sz w:val="24"/>
              </w:rPr>
            </w:pPr>
            <w:r>
              <w:rPr>
                <w:rFonts w:hint="eastAsia" w:ascii="宋体" w:hAnsi="宋体"/>
                <w:b/>
                <w:sz w:val="24"/>
                <w:lang w:eastAsia="zh-CN"/>
              </w:rPr>
              <w:t>软件功能</w:t>
            </w:r>
            <w:r>
              <w:rPr>
                <w:rFonts w:hint="eastAsia" w:ascii="宋体" w:hAnsi="宋体"/>
                <w:b/>
                <w:sz w:val="24"/>
              </w:rPr>
              <w:t>参数</w:t>
            </w:r>
          </w:p>
        </w:tc>
        <w:tc>
          <w:tcPr>
            <w:tcW w:w="1853" w:type="dxa"/>
            <w:vAlign w:val="center"/>
          </w:tcPr>
          <w:p>
            <w:pPr>
              <w:spacing w:line="360" w:lineRule="auto"/>
              <w:jc w:val="center"/>
              <w:rPr>
                <w:rFonts w:hint="eastAsia" w:ascii="宋体" w:hAnsi="宋体" w:eastAsia="宋体"/>
                <w:b/>
                <w:sz w:val="24"/>
                <w:lang w:eastAsia="zh-CN"/>
              </w:rPr>
            </w:pPr>
            <w:r>
              <w:rPr>
                <w:rFonts w:hint="eastAsia" w:ascii="宋体" w:hAnsi="宋体"/>
                <w:b/>
                <w:sz w:val="24"/>
                <w:lang w:eastAsia="zh-CN"/>
              </w:rPr>
              <w:t>目前实现情况</w:t>
            </w:r>
          </w:p>
        </w:tc>
        <w:tc>
          <w:tcPr>
            <w:tcW w:w="1853" w:type="dxa"/>
            <w:vAlign w:val="center"/>
          </w:tcPr>
          <w:p>
            <w:pPr>
              <w:spacing w:line="360" w:lineRule="auto"/>
              <w:jc w:val="center"/>
              <w:rPr>
                <w:rFonts w:hint="eastAsia" w:ascii="宋体" w:hAnsi="宋体"/>
                <w:b/>
                <w:sz w:val="24"/>
                <w:lang w:eastAsia="zh-CN"/>
              </w:rPr>
            </w:pPr>
            <w:r>
              <w:rPr>
                <w:rFonts w:hint="eastAsia" w:ascii="宋体" w:hAnsi="宋体"/>
                <w:b/>
                <w:sz w:val="24"/>
                <w:lang w:eastAsia="zh-CN"/>
              </w:rPr>
              <w:t>是否是演示项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pPr>
              <w:spacing w:line="360" w:lineRule="auto"/>
              <w:rPr>
                <w:rFonts w:ascii="宋体" w:hAnsi="宋体"/>
                <w:sz w:val="24"/>
              </w:rPr>
            </w:pPr>
          </w:p>
        </w:tc>
        <w:tc>
          <w:tcPr>
            <w:tcW w:w="4376"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sz w:val="24"/>
              </w:rPr>
            </w:pPr>
          </w:p>
        </w:tc>
        <w:tc>
          <w:tcPr>
            <w:tcW w:w="4376"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sz w:val="24"/>
              </w:rPr>
            </w:pPr>
          </w:p>
        </w:tc>
        <w:tc>
          <w:tcPr>
            <w:tcW w:w="4376"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sz w:val="24"/>
              </w:rPr>
            </w:pPr>
          </w:p>
        </w:tc>
        <w:tc>
          <w:tcPr>
            <w:tcW w:w="4376"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pPr>
              <w:spacing w:line="360" w:lineRule="auto"/>
              <w:rPr>
                <w:rFonts w:ascii="宋体" w:hAnsi="宋体"/>
                <w:sz w:val="24"/>
              </w:rPr>
            </w:pPr>
          </w:p>
        </w:tc>
        <w:tc>
          <w:tcPr>
            <w:tcW w:w="4376"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pPr>
              <w:spacing w:line="360" w:lineRule="auto"/>
              <w:rPr>
                <w:rFonts w:ascii="宋体" w:hAnsi="宋体"/>
                <w:sz w:val="24"/>
              </w:rPr>
            </w:pPr>
          </w:p>
        </w:tc>
        <w:tc>
          <w:tcPr>
            <w:tcW w:w="4376"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sz w:val="24"/>
              </w:rPr>
            </w:pPr>
          </w:p>
        </w:tc>
        <w:tc>
          <w:tcPr>
            <w:tcW w:w="4376"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c>
          <w:tcPr>
            <w:tcW w:w="1853" w:type="dxa"/>
            <w:vAlign w:val="center"/>
          </w:tcPr>
          <w:p>
            <w:pPr>
              <w:spacing w:line="360" w:lineRule="auto"/>
              <w:rPr>
                <w:rFonts w:ascii="宋体" w:hAnsi="宋体"/>
                <w:sz w:val="24"/>
              </w:rPr>
            </w:pPr>
          </w:p>
        </w:tc>
      </w:tr>
    </w:tbl>
    <w:p>
      <w:pPr>
        <w:pStyle w:val="33"/>
        <w:tabs>
          <w:tab w:val="left" w:pos="360"/>
        </w:tabs>
        <w:spacing w:line="360" w:lineRule="auto"/>
        <w:ind w:right="84" w:rightChars="40"/>
        <w:rPr>
          <w:rFonts w:ascii="宋体"/>
          <w:b/>
          <w:szCs w:val="21"/>
        </w:rPr>
      </w:pPr>
      <w:r>
        <w:rPr>
          <w:rFonts w:hint="eastAsia" w:ascii="宋体"/>
          <w:b/>
          <w:szCs w:val="21"/>
        </w:rPr>
        <w:t>要求：</w:t>
      </w:r>
    </w:p>
    <w:p>
      <w:pPr>
        <w:pStyle w:val="33"/>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3"/>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w:t>
      </w:r>
      <w:r>
        <w:rPr>
          <w:rFonts w:hint="eastAsia" w:ascii="宋体"/>
          <w:szCs w:val="21"/>
          <w:lang w:eastAsia="zh-CN"/>
        </w:rPr>
        <w:t>目前实现情况</w:t>
      </w:r>
      <w:r>
        <w:rPr>
          <w:rFonts w:hint="eastAsia" w:ascii="宋体"/>
          <w:szCs w:val="21"/>
        </w:rPr>
        <w:t>”栏注明“</w:t>
      </w:r>
      <w:r>
        <w:rPr>
          <w:rFonts w:hint="eastAsia" w:ascii="宋体"/>
          <w:szCs w:val="21"/>
          <w:lang w:eastAsia="zh-CN"/>
        </w:rPr>
        <w:t>已实现</w:t>
      </w:r>
      <w:r>
        <w:rPr>
          <w:rFonts w:hint="eastAsia" w:ascii="宋体"/>
          <w:szCs w:val="21"/>
        </w:rPr>
        <w:t>”、“</w:t>
      </w:r>
      <w:r>
        <w:rPr>
          <w:rFonts w:hint="eastAsia" w:ascii="宋体"/>
          <w:szCs w:val="21"/>
          <w:lang w:eastAsia="zh-CN"/>
        </w:rPr>
        <w:t>未实现</w:t>
      </w:r>
      <w:r>
        <w:rPr>
          <w:rFonts w:hint="eastAsia" w:ascii="宋体"/>
          <w:szCs w:val="21"/>
        </w:rPr>
        <w:t>”。</w:t>
      </w:r>
    </w:p>
    <w:p>
      <w:pPr>
        <w:pStyle w:val="33"/>
        <w:spacing w:line="360" w:lineRule="auto"/>
        <w:ind w:right="84" w:rightChars="40" w:firstLine="420" w:firstLineChars="200"/>
        <w:rPr>
          <w:rFonts w:ascii="宋体"/>
          <w:szCs w:val="21"/>
        </w:rPr>
      </w:pPr>
      <w:r>
        <w:rPr>
          <w:rFonts w:hint="eastAsia" w:ascii="宋体"/>
          <w:szCs w:val="21"/>
        </w:rPr>
        <w:t>3.对于投标产品的技术</w:t>
      </w:r>
      <w:r>
        <w:rPr>
          <w:rFonts w:hint="eastAsia" w:ascii="宋体"/>
          <w:szCs w:val="21"/>
          <w:lang w:eastAsia="zh-CN"/>
        </w:rPr>
        <w:t>实现</w:t>
      </w:r>
      <w:r>
        <w:rPr>
          <w:rFonts w:hint="eastAsia" w:ascii="宋体"/>
          <w:szCs w:val="21"/>
        </w:rPr>
        <w:t>情况需严格按照招标文件的技术要求一一比对给出，未达到技术要求中规定的</w:t>
      </w:r>
      <w:r>
        <w:rPr>
          <w:rFonts w:hint="eastAsia" w:ascii="宋体"/>
          <w:szCs w:val="21"/>
          <w:lang w:eastAsia="zh-CN"/>
        </w:rPr>
        <w:t>要求</w:t>
      </w:r>
      <w:r>
        <w:rPr>
          <w:rFonts w:hint="eastAsia" w:ascii="宋体"/>
          <w:szCs w:val="21"/>
        </w:rPr>
        <w:t>应以</w:t>
      </w:r>
      <w:r>
        <w:rPr>
          <w:rFonts w:hint="eastAsia" w:ascii="宋体"/>
          <w:szCs w:val="21"/>
          <w:lang w:eastAsia="zh-CN"/>
        </w:rPr>
        <w:t>未实现</w:t>
      </w:r>
      <w:r>
        <w:rPr>
          <w:rFonts w:hint="eastAsia" w:ascii="宋体"/>
          <w:szCs w:val="21"/>
        </w:rPr>
        <w:t>标注。若因技术实现方式等其他问题而导致的理解不同未标注</w:t>
      </w:r>
      <w:r>
        <w:rPr>
          <w:rFonts w:hint="eastAsia" w:ascii="宋体"/>
          <w:szCs w:val="21"/>
          <w:lang w:eastAsia="zh-CN"/>
        </w:rPr>
        <w:t>未实现</w:t>
      </w:r>
      <w:r>
        <w:rPr>
          <w:rFonts w:hint="eastAsia" w:ascii="宋体"/>
          <w:szCs w:val="21"/>
        </w:rPr>
        <w:t>的，需在备注中具体说明；若未按要求标注</w:t>
      </w:r>
      <w:r>
        <w:rPr>
          <w:rFonts w:hint="eastAsia" w:ascii="宋体"/>
          <w:szCs w:val="21"/>
          <w:lang w:eastAsia="zh-CN"/>
        </w:rPr>
        <w:t>未实现</w:t>
      </w:r>
      <w:r>
        <w:rPr>
          <w:rFonts w:hint="eastAsia" w:ascii="宋体"/>
          <w:szCs w:val="21"/>
        </w:rPr>
        <w:t>又未予以说明的，评审小组将视</w:t>
      </w:r>
      <w:r>
        <w:rPr>
          <w:rFonts w:hint="eastAsia" w:ascii="宋体"/>
          <w:szCs w:val="21"/>
          <w:lang w:eastAsia="zh-CN"/>
        </w:rPr>
        <w:t>实现</w:t>
      </w:r>
      <w:r>
        <w:rPr>
          <w:rFonts w:hint="eastAsia" w:ascii="宋体"/>
          <w:szCs w:val="21"/>
        </w:rPr>
        <w:t>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4"/>
        <w:spacing w:line="360" w:lineRule="auto"/>
        <w:jc w:val="left"/>
        <w:rPr>
          <w:rFonts w:ascii="宋体" w:hAnsi="宋体"/>
          <w:b/>
          <w:sz w:val="28"/>
        </w:rPr>
      </w:pPr>
      <w:r>
        <w:rPr>
          <w:rFonts w:hint="eastAsia" w:ascii="宋体" w:hAnsi="宋体"/>
          <w:b/>
          <w:sz w:val="28"/>
        </w:rPr>
        <w:t>附件10</w:t>
      </w:r>
    </w:p>
    <w:p>
      <w:pPr>
        <w:pStyle w:val="35"/>
        <w:spacing w:line="360" w:lineRule="auto"/>
        <w:jc w:val="center"/>
        <w:rPr>
          <w:rFonts w:ascii="宋体" w:hAnsi="宋体"/>
          <w:b/>
          <w:sz w:val="32"/>
          <w:szCs w:val="32"/>
        </w:rPr>
      </w:pPr>
      <w:r>
        <w:rPr>
          <w:rFonts w:hint="eastAsia" w:ascii="宋体" w:hAnsi="宋体"/>
          <w:b/>
          <w:sz w:val="32"/>
          <w:szCs w:val="32"/>
        </w:rPr>
        <w:t>证书一览表</w:t>
      </w:r>
    </w:p>
    <w:p>
      <w:pPr>
        <w:pStyle w:val="35"/>
        <w:spacing w:line="360" w:lineRule="auto"/>
        <w:jc w:val="center"/>
        <w:rPr>
          <w:rFonts w:ascii="宋体" w:hAnsi="宋体" w:cs="Arial"/>
          <w:sz w:val="28"/>
          <w:szCs w:val="28"/>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5"/>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5"/>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5"/>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spacing w:line="360" w:lineRule="auto"/>
              <w:jc w:val="center"/>
              <w:rPr>
                <w:rFonts w:ascii="宋体" w:hAnsi="宋体" w:cs="Arial"/>
                <w:szCs w:val="21"/>
              </w:rPr>
            </w:pPr>
          </w:p>
        </w:tc>
        <w:tc>
          <w:tcPr>
            <w:tcW w:w="2258" w:type="dxa"/>
            <w:tcBorders>
              <w:top w:val="single" w:color="auto" w:sz="4" w:space="0"/>
            </w:tcBorders>
          </w:tcPr>
          <w:p>
            <w:pPr>
              <w:pStyle w:val="35"/>
              <w:spacing w:line="360" w:lineRule="auto"/>
              <w:jc w:val="center"/>
              <w:rPr>
                <w:rFonts w:ascii="宋体" w:hAnsi="宋体" w:cs="Arial"/>
                <w:szCs w:val="21"/>
              </w:rPr>
            </w:pPr>
          </w:p>
        </w:tc>
        <w:tc>
          <w:tcPr>
            <w:tcW w:w="2260" w:type="dxa"/>
            <w:tcBorders>
              <w:top w:val="single" w:color="auto" w:sz="4" w:space="0"/>
            </w:tcBorders>
          </w:tcPr>
          <w:p>
            <w:pPr>
              <w:pStyle w:val="35"/>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szCs w:val="21"/>
              </w:rPr>
            </w:pPr>
          </w:p>
        </w:tc>
        <w:tc>
          <w:tcPr>
            <w:tcW w:w="2258" w:type="dxa"/>
          </w:tcPr>
          <w:p>
            <w:pPr>
              <w:pStyle w:val="35"/>
              <w:spacing w:line="360" w:lineRule="auto"/>
              <w:jc w:val="center"/>
              <w:rPr>
                <w:rFonts w:ascii="宋体" w:hAnsi="宋体" w:cs="Arial"/>
                <w:szCs w:val="21"/>
              </w:rPr>
            </w:pPr>
          </w:p>
        </w:tc>
        <w:tc>
          <w:tcPr>
            <w:tcW w:w="2260" w:type="dxa"/>
          </w:tcPr>
          <w:p>
            <w:pPr>
              <w:pStyle w:val="35"/>
              <w:spacing w:line="360" w:lineRule="auto"/>
              <w:jc w:val="center"/>
              <w:rPr>
                <w:rFonts w:ascii="宋体" w:hAnsi="宋体" w:cs="Arial"/>
                <w:szCs w:val="21"/>
              </w:rPr>
            </w:pPr>
          </w:p>
        </w:tc>
        <w:tc>
          <w:tcPr>
            <w:tcW w:w="2047" w:type="dxa"/>
            <w:tcBorders>
              <w:right w:val="single" w:color="auto" w:sz="4" w:space="0"/>
            </w:tcBorders>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szCs w:val="21"/>
              </w:rPr>
            </w:pPr>
          </w:p>
        </w:tc>
        <w:tc>
          <w:tcPr>
            <w:tcW w:w="2258" w:type="dxa"/>
          </w:tcPr>
          <w:p>
            <w:pPr>
              <w:pStyle w:val="35"/>
              <w:spacing w:line="360" w:lineRule="auto"/>
              <w:jc w:val="center"/>
              <w:rPr>
                <w:rFonts w:ascii="宋体" w:hAnsi="宋体" w:cs="Arial"/>
                <w:szCs w:val="21"/>
              </w:rPr>
            </w:pPr>
          </w:p>
        </w:tc>
        <w:tc>
          <w:tcPr>
            <w:tcW w:w="2260" w:type="dxa"/>
          </w:tcPr>
          <w:p>
            <w:pPr>
              <w:pStyle w:val="35"/>
              <w:spacing w:line="360" w:lineRule="auto"/>
              <w:jc w:val="center"/>
              <w:rPr>
                <w:rFonts w:ascii="宋体" w:hAnsi="宋体" w:cs="Arial"/>
                <w:szCs w:val="21"/>
              </w:rPr>
            </w:pPr>
          </w:p>
        </w:tc>
        <w:tc>
          <w:tcPr>
            <w:tcW w:w="2047" w:type="dxa"/>
            <w:tcBorders>
              <w:right w:val="single" w:color="auto" w:sz="4" w:space="0"/>
            </w:tcBorders>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szCs w:val="21"/>
              </w:rPr>
            </w:pPr>
          </w:p>
        </w:tc>
        <w:tc>
          <w:tcPr>
            <w:tcW w:w="2258" w:type="dxa"/>
          </w:tcPr>
          <w:p>
            <w:pPr>
              <w:pStyle w:val="35"/>
              <w:spacing w:line="360" w:lineRule="auto"/>
              <w:jc w:val="center"/>
              <w:rPr>
                <w:rFonts w:ascii="宋体" w:hAnsi="宋体" w:cs="Arial"/>
                <w:szCs w:val="21"/>
              </w:rPr>
            </w:pPr>
          </w:p>
        </w:tc>
        <w:tc>
          <w:tcPr>
            <w:tcW w:w="2260" w:type="dxa"/>
          </w:tcPr>
          <w:p>
            <w:pPr>
              <w:pStyle w:val="35"/>
              <w:spacing w:line="360" w:lineRule="auto"/>
              <w:jc w:val="center"/>
              <w:rPr>
                <w:rFonts w:ascii="宋体" w:hAnsi="宋体" w:cs="Arial"/>
                <w:szCs w:val="21"/>
              </w:rPr>
            </w:pPr>
          </w:p>
        </w:tc>
        <w:tc>
          <w:tcPr>
            <w:tcW w:w="2047" w:type="dxa"/>
            <w:tcBorders>
              <w:right w:val="single" w:color="auto" w:sz="4" w:space="0"/>
            </w:tcBorders>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szCs w:val="21"/>
              </w:rPr>
            </w:pPr>
          </w:p>
        </w:tc>
        <w:tc>
          <w:tcPr>
            <w:tcW w:w="2258" w:type="dxa"/>
          </w:tcPr>
          <w:p>
            <w:pPr>
              <w:pStyle w:val="35"/>
              <w:spacing w:line="360" w:lineRule="auto"/>
              <w:jc w:val="center"/>
              <w:rPr>
                <w:rFonts w:ascii="宋体" w:hAnsi="宋体" w:cs="Arial"/>
                <w:szCs w:val="21"/>
              </w:rPr>
            </w:pPr>
          </w:p>
        </w:tc>
        <w:tc>
          <w:tcPr>
            <w:tcW w:w="2260" w:type="dxa"/>
          </w:tcPr>
          <w:p>
            <w:pPr>
              <w:pStyle w:val="35"/>
              <w:spacing w:line="360" w:lineRule="auto"/>
              <w:jc w:val="center"/>
              <w:rPr>
                <w:rFonts w:ascii="宋体" w:hAnsi="宋体" w:cs="Arial"/>
                <w:szCs w:val="21"/>
              </w:rPr>
            </w:pPr>
          </w:p>
        </w:tc>
        <w:tc>
          <w:tcPr>
            <w:tcW w:w="2047" w:type="dxa"/>
            <w:tcBorders>
              <w:right w:val="single" w:color="auto" w:sz="4" w:space="0"/>
            </w:tcBorders>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szCs w:val="21"/>
              </w:rPr>
            </w:pPr>
          </w:p>
        </w:tc>
        <w:tc>
          <w:tcPr>
            <w:tcW w:w="2258" w:type="dxa"/>
          </w:tcPr>
          <w:p>
            <w:pPr>
              <w:pStyle w:val="35"/>
              <w:spacing w:line="360" w:lineRule="auto"/>
              <w:jc w:val="center"/>
              <w:rPr>
                <w:rFonts w:ascii="宋体" w:hAnsi="宋体" w:cs="Arial"/>
                <w:szCs w:val="21"/>
              </w:rPr>
            </w:pPr>
          </w:p>
        </w:tc>
        <w:tc>
          <w:tcPr>
            <w:tcW w:w="2260" w:type="dxa"/>
          </w:tcPr>
          <w:p>
            <w:pPr>
              <w:pStyle w:val="35"/>
              <w:spacing w:line="360" w:lineRule="auto"/>
              <w:jc w:val="center"/>
              <w:rPr>
                <w:rFonts w:ascii="宋体" w:hAnsi="宋体" w:cs="Arial"/>
                <w:szCs w:val="21"/>
              </w:rPr>
            </w:pPr>
          </w:p>
        </w:tc>
        <w:tc>
          <w:tcPr>
            <w:tcW w:w="2047" w:type="dxa"/>
            <w:tcBorders>
              <w:right w:val="single" w:color="auto" w:sz="4" w:space="0"/>
            </w:tcBorders>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spacing w:line="360" w:lineRule="auto"/>
              <w:jc w:val="center"/>
              <w:rPr>
                <w:rFonts w:ascii="宋体" w:hAnsi="宋体" w:cs="Arial"/>
                <w:szCs w:val="21"/>
              </w:rPr>
            </w:pPr>
          </w:p>
        </w:tc>
        <w:tc>
          <w:tcPr>
            <w:tcW w:w="2258" w:type="dxa"/>
            <w:tcBorders>
              <w:bottom w:val="single" w:color="auto" w:sz="4" w:space="0"/>
            </w:tcBorders>
          </w:tcPr>
          <w:p>
            <w:pPr>
              <w:pStyle w:val="35"/>
              <w:spacing w:line="360" w:lineRule="auto"/>
              <w:jc w:val="center"/>
              <w:rPr>
                <w:rFonts w:ascii="宋体" w:hAnsi="宋体" w:cs="Arial"/>
                <w:szCs w:val="21"/>
              </w:rPr>
            </w:pPr>
          </w:p>
        </w:tc>
        <w:tc>
          <w:tcPr>
            <w:tcW w:w="2260" w:type="dxa"/>
            <w:tcBorders>
              <w:bottom w:val="single" w:color="auto" w:sz="4" w:space="0"/>
            </w:tcBorders>
          </w:tcPr>
          <w:p>
            <w:pPr>
              <w:pStyle w:val="35"/>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5"/>
              <w:spacing w:line="360" w:lineRule="auto"/>
              <w:jc w:val="center"/>
              <w:rPr>
                <w:rFonts w:ascii="宋体" w:hAnsi="宋体" w:cs="Arial"/>
                <w:szCs w:val="21"/>
              </w:rPr>
            </w:pPr>
          </w:p>
        </w:tc>
      </w:tr>
    </w:tbl>
    <w:p>
      <w:pPr>
        <w:pStyle w:val="35"/>
        <w:tabs>
          <w:tab w:val="left" w:pos="1050"/>
        </w:tabs>
        <w:spacing w:line="360" w:lineRule="auto"/>
        <w:rPr>
          <w:rFonts w:ascii="仿宋_GB2312" w:hAnsi="宋体" w:eastAsia="仿宋_GB2312"/>
          <w:sz w:val="24"/>
        </w:rPr>
      </w:pPr>
    </w:p>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35"/>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5"/>
        <w:tabs>
          <w:tab w:val="left" w:pos="1050"/>
        </w:tabs>
        <w:spacing w:line="360" w:lineRule="auto"/>
        <w:ind w:firstLine="720" w:firstLineChars="300"/>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附件11</w:t>
      </w:r>
    </w:p>
    <w:p>
      <w:pPr>
        <w:pStyle w:val="34"/>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34"/>
        <w:spacing w:line="360" w:lineRule="auto"/>
        <w:jc w:val="center"/>
        <w:rPr>
          <w:rFonts w:ascii="仿宋_GB2312" w:eastAsia="仿宋_GB2312"/>
          <w:b/>
          <w:sz w:val="28"/>
          <w:szCs w:val="28"/>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4"/>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复印件可只提供首页、含金额页、盖章页并加盖投标人公章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5"/>
        <w:tabs>
          <w:tab w:val="left" w:pos="1050"/>
        </w:tabs>
        <w:spacing w:line="360" w:lineRule="auto"/>
        <w:rPr>
          <w:rFonts w:ascii="仿宋_GB2312" w:hAnsi="宋体" w:eastAsia="仿宋_GB2312"/>
          <w:sz w:val="24"/>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资信及商务需求响应表(第 标)</w:t>
      </w:r>
    </w:p>
    <w:p>
      <w:pPr>
        <w:spacing w:line="360" w:lineRule="auto"/>
        <w:ind w:left="481" w:leftChars="229" w:firstLine="813" w:firstLineChars="450"/>
        <w:rPr>
          <w:rFonts w:ascii="宋体" w:hAnsi="宋体"/>
          <w:b/>
          <w:sz w:val="18"/>
          <w:szCs w:val="18"/>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hint="eastAsia" w:ascii="宋体" w:hAnsi="宋体"/>
          <w:b/>
          <w:sz w:val="28"/>
        </w:rPr>
      </w:pPr>
    </w:p>
    <w:p>
      <w:pPr>
        <w:tabs>
          <w:tab w:val="left" w:pos="2460"/>
        </w:tabs>
        <w:spacing w:line="360" w:lineRule="auto"/>
        <w:ind w:firstLine="435"/>
        <w:rPr>
          <w:rFonts w:hint="eastAsia" w:ascii="宋体" w:hAnsi="宋体"/>
          <w:b/>
          <w:sz w:val="28"/>
        </w:rPr>
      </w:pPr>
    </w:p>
    <w:p>
      <w:pPr>
        <w:tabs>
          <w:tab w:val="left" w:pos="2460"/>
        </w:tabs>
        <w:spacing w:line="360" w:lineRule="auto"/>
        <w:ind w:firstLine="435"/>
        <w:rPr>
          <w:rFonts w:hint="eastAsia" w:ascii="宋体" w:hAnsi="宋体"/>
          <w:b/>
          <w:sz w:val="28"/>
        </w:rPr>
      </w:pPr>
    </w:p>
    <w:p>
      <w:pPr>
        <w:tabs>
          <w:tab w:val="left" w:pos="2460"/>
        </w:tabs>
        <w:spacing w:line="360" w:lineRule="auto"/>
        <w:ind w:firstLine="435"/>
        <w:rPr>
          <w:rFonts w:hint="eastAsia" w:ascii="宋体" w:hAnsi="宋体"/>
          <w:b/>
          <w:sz w:val="28"/>
        </w:rPr>
      </w:pPr>
    </w:p>
    <w:p>
      <w:pPr>
        <w:tabs>
          <w:tab w:val="left" w:pos="2460"/>
        </w:tabs>
        <w:spacing w:line="360" w:lineRule="auto"/>
        <w:ind w:firstLine="435"/>
        <w:rPr>
          <w:rFonts w:ascii="宋体" w:hAnsi="宋体"/>
          <w:b/>
          <w:sz w:val="28"/>
        </w:rPr>
      </w:pPr>
      <w:r>
        <w:rPr>
          <w:rFonts w:hint="eastAsia" w:ascii="宋体" w:hAnsi="宋体"/>
          <w:b/>
          <w:sz w:val="28"/>
        </w:rPr>
        <w:t>附件13</w:t>
      </w:r>
      <w:r>
        <w:rPr>
          <w:rFonts w:ascii="宋体" w:hAnsi="宋体"/>
          <w:b/>
          <w:sz w:val="28"/>
        </w:rPr>
        <w:tab/>
      </w: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6"/>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6"/>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6"/>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36"/>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6"/>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6"/>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6"/>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6"/>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6"/>
              <w:widowControl/>
              <w:spacing w:line="360" w:lineRule="auto"/>
              <w:jc w:val="left"/>
              <w:rPr>
                <w:rFonts w:ascii="宋体" w:hAnsi="宋体" w:cs="Arial"/>
                <w:bCs/>
                <w:sz w:val="24"/>
              </w:rPr>
            </w:pPr>
          </w:p>
        </w:tc>
        <w:tc>
          <w:tcPr>
            <w:tcW w:w="2355" w:type="dxa"/>
            <w:vMerge w:val="continue"/>
            <w:vAlign w:val="center"/>
          </w:tcPr>
          <w:p>
            <w:pPr>
              <w:pStyle w:val="36"/>
              <w:widowControl/>
              <w:spacing w:line="360" w:lineRule="auto"/>
              <w:jc w:val="left"/>
              <w:rPr>
                <w:rFonts w:ascii="宋体" w:hAnsi="宋体" w:cs="Arial"/>
                <w:bCs/>
                <w:sz w:val="24"/>
              </w:rPr>
            </w:pPr>
          </w:p>
        </w:tc>
        <w:tc>
          <w:tcPr>
            <w:tcW w:w="4061" w:type="dxa"/>
          </w:tcPr>
          <w:p>
            <w:pPr>
              <w:pStyle w:val="36"/>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36"/>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6"/>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6"/>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6"/>
              <w:widowControl/>
              <w:spacing w:line="360" w:lineRule="auto"/>
              <w:jc w:val="left"/>
              <w:rPr>
                <w:rFonts w:ascii="宋体" w:hAnsi="宋体" w:cs="Arial"/>
                <w:bCs/>
                <w:sz w:val="24"/>
              </w:rPr>
            </w:pPr>
          </w:p>
          <w:p>
            <w:pPr>
              <w:pStyle w:val="36"/>
              <w:widowControl/>
              <w:spacing w:line="360" w:lineRule="auto"/>
              <w:jc w:val="left"/>
              <w:rPr>
                <w:rFonts w:ascii="宋体" w:hAnsi="宋体" w:cs="Arial"/>
                <w:bCs/>
                <w:sz w:val="24"/>
              </w:rPr>
            </w:pPr>
          </w:p>
          <w:p>
            <w:pPr>
              <w:pStyle w:val="36"/>
              <w:spacing w:line="360" w:lineRule="auto"/>
              <w:rPr>
                <w:rFonts w:ascii="宋体" w:hAnsi="宋体" w:cs="Arial"/>
                <w:bCs/>
                <w:sz w:val="24"/>
              </w:rPr>
            </w:pPr>
          </w:p>
        </w:tc>
        <w:tc>
          <w:tcPr>
            <w:tcW w:w="1373" w:type="dxa"/>
          </w:tcPr>
          <w:p>
            <w:pPr>
              <w:pStyle w:val="36"/>
              <w:widowControl/>
              <w:spacing w:line="360" w:lineRule="auto"/>
              <w:jc w:val="left"/>
              <w:rPr>
                <w:rFonts w:ascii="宋体" w:hAnsi="宋体" w:cs="Arial"/>
                <w:bCs/>
                <w:sz w:val="24"/>
              </w:rPr>
            </w:pPr>
          </w:p>
          <w:p>
            <w:pPr>
              <w:pStyle w:val="36"/>
              <w:widowControl/>
              <w:spacing w:line="360" w:lineRule="auto"/>
              <w:jc w:val="left"/>
              <w:rPr>
                <w:rFonts w:ascii="宋体" w:hAnsi="宋体" w:cs="Arial"/>
                <w:bCs/>
                <w:sz w:val="24"/>
              </w:rPr>
            </w:pPr>
          </w:p>
          <w:p>
            <w:pPr>
              <w:pStyle w:val="36"/>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6"/>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6"/>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36"/>
              <w:widowControl/>
              <w:spacing w:line="360" w:lineRule="auto"/>
              <w:jc w:val="left"/>
              <w:rPr>
                <w:rFonts w:ascii="宋体" w:hAnsi="宋体" w:cs="Arial"/>
                <w:bCs/>
                <w:i/>
                <w:sz w:val="24"/>
              </w:rPr>
            </w:pPr>
          </w:p>
          <w:p>
            <w:pPr>
              <w:pStyle w:val="36"/>
              <w:widowControl/>
              <w:spacing w:line="360" w:lineRule="auto"/>
              <w:jc w:val="left"/>
              <w:rPr>
                <w:rFonts w:ascii="宋体" w:hAnsi="宋体" w:cs="Arial"/>
                <w:bCs/>
                <w:i/>
                <w:sz w:val="24"/>
              </w:rPr>
            </w:pPr>
          </w:p>
        </w:tc>
        <w:tc>
          <w:tcPr>
            <w:tcW w:w="1373" w:type="dxa"/>
          </w:tcPr>
          <w:p>
            <w:pPr>
              <w:pStyle w:val="36"/>
              <w:widowControl/>
              <w:spacing w:line="360" w:lineRule="auto"/>
              <w:jc w:val="left"/>
              <w:rPr>
                <w:rFonts w:ascii="宋体" w:hAnsi="宋体" w:cs="Arial"/>
                <w:bCs/>
                <w:i/>
                <w:sz w:val="24"/>
              </w:rPr>
            </w:pPr>
          </w:p>
          <w:p>
            <w:pPr>
              <w:pStyle w:val="36"/>
              <w:widowControl/>
              <w:spacing w:line="360" w:lineRule="auto"/>
              <w:jc w:val="left"/>
              <w:rPr>
                <w:rFonts w:ascii="宋体" w:hAnsi="宋体" w:cs="Arial"/>
                <w:bCs/>
                <w:i/>
                <w:sz w:val="24"/>
              </w:rPr>
            </w:pPr>
          </w:p>
          <w:p>
            <w:pPr>
              <w:pStyle w:val="36"/>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6"/>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6"/>
              <w:widowControl/>
              <w:spacing w:line="360" w:lineRule="auto"/>
              <w:jc w:val="left"/>
              <w:rPr>
                <w:rFonts w:ascii="宋体" w:hAnsi="宋体" w:cs="Arial"/>
                <w:bCs/>
                <w:sz w:val="24"/>
              </w:rPr>
            </w:pPr>
            <w:r>
              <w:rPr>
                <w:rFonts w:ascii="宋体" w:hAnsi="宋体" w:cs="Arial"/>
                <w:bCs/>
                <w:sz w:val="24"/>
              </w:rPr>
              <w:t>……</w:t>
            </w:r>
          </w:p>
        </w:tc>
        <w:tc>
          <w:tcPr>
            <w:tcW w:w="4061" w:type="dxa"/>
          </w:tcPr>
          <w:p>
            <w:pPr>
              <w:pStyle w:val="36"/>
              <w:widowControl/>
              <w:spacing w:line="360" w:lineRule="auto"/>
              <w:jc w:val="left"/>
              <w:rPr>
                <w:rFonts w:ascii="宋体" w:hAnsi="宋体" w:cs="Arial"/>
                <w:bCs/>
                <w:sz w:val="24"/>
              </w:rPr>
            </w:pPr>
          </w:p>
        </w:tc>
        <w:tc>
          <w:tcPr>
            <w:tcW w:w="1373" w:type="dxa"/>
          </w:tcPr>
          <w:p>
            <w:pPr>
              <w:pStyle w:val="36"/>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37"/>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附件14</w:t>
      </w:r>
    </w:p>
    <w:p>
      <w:pPr>
        <w:pStyle w:val="37"/>
        <w:spacing w:line="360" w:lineRule="auto"/>
        <w:jc w:val="center"/>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14:textFill>
            <w14:solidFill>
              <w14:schemeClr w14:val="tx1"/>
            </w14:solidFill>
          </w14:textFill>
        </w:rPr>
        <w:t>主要货物用材响应表(类似家具类货物采用)</w:t>
      </w:r>
    </w:p>
    <w:tbl>
      <w:tblPr>
        <w:tblStyle w:val="20"/>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cs="宋体"/>
                <w:bCs/>
                <w:sz w:val="24"/>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品牌</w:t>
            </w:r>
          </w:p>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商标</w:t>
            </w: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生产厂家</w:t>
            </w: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符合标准</w:t>
            </w: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性能说明</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s="宋体"/>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sz w:val="24"/>
              </w:rPr>
            </w:pPr>
          </w:p>
        </w:tc>
      </w:tr>
    </w:tbl>
    <w:p>
      <w:pPr>
        <w:spacing w:line="360" w:lineRule="auto"/>
        <w:rPr>
          <w:rFonts w:ascii="宋体" w:hAnsi="宋体"/>
          <w:b/>
          <w:szCs w:val="21"/>
        </w:rPr>
      </w:pPr>
      <w:r>
        <w:rPr>
          <w:rFonts w:hint="eastAsia" w:ascii="宋体" w:hAnsi="宋体"/>
          <w:b/>
          <w:szCs w:val="21"/>
        </w:rPr>
        <w:t>要求：</w:t>
      </w:r>
    </w:p>
    <w:p>
      <w:pPr>
        <w:pStyle w:val="36"/>
        <w:spacing w:line="360" w:lineRule="auto"/>
        <w:ind w:left="719" w:leftChars="228" w:hanging="240" w:hangingChars="100"/>
        <w:rPr>
          <w:rFonts w:ascii="仿宋_GB2312" w:hAnsi="宋体" w:eastAsia="仿宋_GB2312"/>
          <w:sz w:val="24"/>
        </w:rPr>
      </w:pPr>
      <w:r>
        <w:rPr>
          <w:rFonts w:hint="eastAsia" w:ascii="仿宋_GB2312" w:eastAsia="仿宋_GB2312"/>
          <w:sz w:val="24"/>
        </w:rPr>
        <w:t>1.请列出以上</w:t>
      </w:r>
      <w:r>
        <w:rPr>
          <w:rFonts w:hint="eastAsia" w:ascii="仿宋_GB2312" w:hAnsi="宋体" w:eastAsia="仿宋_GB2312"/>
          <w:sz w:val="24"/>
        </w:rPr>
        <w:t>产品的各项主要用材、辅料、油漆、五金件等。</w:t>
      </w:r>
    </w:p>
    <w:p>
      <w:pPr>
        <w:pStyle w:val="36"/>
        <w:spacing w:line="360" w:lineRule="auto"/>
        <w:ind w:firstLine="480" w:firstLineChars="200"/>
        <w:rPr>
          <w:rFonts w:ascii="仿宋_GB2312" w:eastAsia="仿宋_GB2312"/>
          <w:sz w:val="24"/>
        </w:rPr>
      </w:pPr>
      <w:r>
        <w:rPr>
          <w:rFonts w:hint="eastAsia" w:ascii="仿宋_GB2312" w:eastAsia="仿宋_GB2312"/>
          <w:sz w:val="24"/>
        </w:rPr>
        <w:t>2.本表所列产品主要用材均为采购人抽样送检的范围。</w:t>
      </w: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color w:val="FF00FF"/>
          <w:sz w:val="24"/>
        </w:rPr>
      </w:pPr>
      <w:r>
        <w:rPr>
          <w:rFonts w:hint="eastAsia" w:ascii="宋体" w:hAnsi="宋体"/>
          <w:sz w:val="24"/>
        </w:rPr>
        <w:t>日        期：</w:t>
      </w:r>
    </w:p>
    <w:p>
      <w:pPr>
        <w:spacing w:line="360" w:lineRule="auto"/>
        <w:ind w:firstLine="435"/>
        <w:rPr>
          <w:rFonts w:ascii="宋体" w:hAnsi="宋体"/>
          <w:color w:val="FF00FF"/>
          <w:sz w:val="24"/>
        </w:rPr>
      </w:pPr>
    </w:p>
    <w:p>
      <w:pPr>
        <w:spacing w:line="360" w:lineRule="auto"/>
        <w:ind w:right="-110"/>
        <w:jc w:val="left"/>
        <w:rPr>
          <w:rFonts w:ascii="宋体" w:hAnsi="宋体"/>
          <w:b/>
          <w:sz w:val="28"/>
        </w:rPr>
      </w:pPr>
    </w:p>
    <w:p>
      <w:pPr>
        <w:spacing w:line="360" w:lineRule="auto"/>
        <w:ind w:right="-110"/>
        <w:jc w:val="left"/>
        <w:rPr>
          <w:rFonts w:ascii="宋体" w:hAnsi="宋体"/>
          <w:b/>
          <w:sz w:val="28"/>
        </w:rPr>
      </w:pPr>
    </w:p>
    <w:p>
      <w:pPr>
        <w:spacing w:line="360" w:lineRule="auto"/>
        <w:ind w:right="-110"/>
        <w:jc w:val="left"/>
        <w:rPr>
          <w:rFonts w:ascii="宋体" w:hAnsi="宋体"/>
          <w:spacing w:val="40"/>
          <w:sz w:val="52"/>
          <w:szCs w:val="52"/>
        </w:rPr>
      </w:pPr>
      <w:r>
        <w:rPr>
          <w:rFonts w:hint="eastAsia" w:ascii="宋体" w:hAnsi="宋体"/>
          <w:b/>
          <w:sz w:val="28"/>
        </w:rPr>
        <w:t>附件15</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1、开标一览表（附件16）；</w:t>
      </w:r>
    </w:p>
    <w:p>
      <w:pPr>
        <w:pStyle w:val="12"/>
        <w:snapToGrid w:val="0"/>
        <w:spacing w:line="360" w:lineRule="auto"/>
        <w:ind w:left="0" w:leftChars="0"/>
        <w:rPr>
          <w:rFonts w:ascii="宋体" w:hAnsi="宋体" w:eastAsia="宋体"/>
          <w:sz w:val="24"/>
          <w:szCs w:val="24"/>
        </w:rPr>
      </w:pPr>
      <w:r>
        <w:rPr>
          <w:rFonts w:hint="eastAsia" w:ascii="宋体" w:hAnsi="宋体" w:eastAsia="宋体"/>
          <w:sz w:val="24"/>
          <w:szCs w:val="24"/>
        </w:rPr>
        <w:t>2、报价明细表</w:t>
      </w:r>
      <w:r>
        <w:rPr>
          <w:rFonts w:hint="eastAsia" w:ascii="宋体" w:hAnsi="宋体"/>
          <w:sz w:val="24"/>
        </w:rPr>
        <w:t>（附件17）</w:t>
      </w:r>
      <w:r>
        <w:rPr>
          <w:rFonts w:hint="eastAsia" w:ascii="宋体" w:hAnsi="宋体" w:eastAsia="宋体"/>
          <w:sz w:val="24"/>
          <w:szCs w:val="24"/>
        </w:rPr>
        <w:t>；</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38"/>
        <w:spacing w:line="360" w:lineRule="auto"/>
        <w:rPr>
          <w:rFonts w:hAnsi="宋体"/>
          <w:sz w:val="24"/>
        </w:rPr>
      </w:pPr>
      <w:r>
        <w:rPr>
          <w:rFonts w:hint="eastAsia" w:hAnsi="宋体"/>
          <w:sz w:val="24"/>
        </w:rPr>
        <w:t>4、</w:t>
      </w:r>
      <w:r>
        <w:rPr>
          <w:rFonts w:hAnsi="宋体"/>
          <w:sz w:val="24"/>
        </w:rPr>
        <w:t>小微企业</w:t>
      </w:r>
      <w:r>
        <w:rPr>
          <w:rFonts w:hint="eastAsia" w:hAnsi="宋体"/>
          <w:sz w:val="24"/>
        </w:rPr>
        <w:t>等</w:t>
      </w:r>
      <w:r>
        <w:rPr>
          <w:rFonts w:hAnsi="宋体"/>
          <w:sz w:val="24"/>
        </w:rPr>
        <w:t>声明函</w:t>
      </w:r>
      <w:r>
        <w:rPr>
          <w:rFonts w:hint="eastAsia" w:hAnsi="宋体"/>
          <w:sz w:val="24"/>
        </w:rPr>
        <w:t>（附件18）；</w:t>
      </w:r>
    </w:p>
    <w:p>
      <w:pPr>
        <w:pStyle w:val="39"/>
        <w:spacing w:line="360" w:lineRule="auto"/>
        <w:rPr>
          <w:rFonts w:ascii="宋体" w:hAnsi="宋体"/>
          <w:kern w:val="0"/>
          <w:sz w:val="24"/>
        </w:rPr>
      </w:pPr>
      <w:r>
        <w:rPr>
          <w:rFonts w:hint="eastAsia" w:ascii="宋体" w:hAnsi="宋体"/>
          <w:kern w:val="0"/>
          <w:sz w:val="24"/>
        </w:rPr>
        <w:t>5、产品适用政府采购政策情况表</w:t>
      </w:r>
      <w:r>
        <w:rPr>
          <w:rFonts w:hint="eastAsia" w:ascii="宋体" w:hAnsi="宋体"/>
          <w:sz w:val="24"/>
        </w:rPr>
        <w:t>（附件19）</w:t>
      </w:r>
      <w:r>
        <w:rPr>
          <w:rFonts w:hint="eastAsia" w:ascii="宋体" w:hAnsi="宋体"/>
          <w:kern w:val="0"/>
          <w:sz w:val="24"/>
        </w:rPr>
        <w:t>。</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附件16</w:t>
      </w:r>
    </w:p>
    <w:p>
      <w:pPr>
        <w:spacing w:line="360" w:lineRule="auto"/>
        <w:ind w:left="-2" w:hanging="2"/>
        <w:jc w:val="center"/>
        <w:rPr>
          <w:rFonts w:ascii="宋体" w:hAnsi="宋体"/>
          <w:b/>
          <w:color w:val="33CCCC"/>
          <w:sz w:val="32"/>
          <w:szCs w:val="32"/>
        </w:rPr>
      </w:pPr>
      <w:r>
        <w:rPr>
          <w:rFonts w:hint="eastAsia" w:ascii="宋体" w:hAnsi="宋体"/>
          <w:b/>
          <w:sz w:val="32"/>
          <w:szCs w:val="32"/>
        </w:rPr>
        <w:t>开标一览表</w:t>
      </w:r>
      <w:r>
        <w:rPr>
          <w:rFonts w:hint="eastAsia" w:ascii="宋体" w:hAnsi="宋体"/>
          <w:b/>
          <w:color w:val="33CCCC"/>
          <w:sz w:val="32"/>
          <w:szCs w:val="32"/>
        </w:rPr>
        <w:t xml:space="preserve"> (第 标)</w:t>
      </w:r>
    </w:p>
    <w:p>
      <w:pPr>
        <w:spacing w:line="360" w:lineRule="auto"/>
        <w:ind w:left="-2" w:hanging="2"/>
        <w:jc w:val="center"/>
        <w:rPr>
          <w:rFonts w:ascii="宋体" w:hAnsi="宋体"/>
          <w:b/>
          <w:color w:val="33CCCC"/>
          <w:sz w:val="32"/>
          <w:szCs w:val="32"/>
        </w:rPr>
      </w:pPr>
    </w:p>
    <w:p>
      <w:pPr>
        <w:pStyle w:val="11"/>
        <w:spacing w:line="320" w:lineRule="exact"/>
        <w:rPr>
          <w:rFonts w:hAnsi="宋体"/>
          <w:b/>
          <w:color w:val="000000"/>
          <w:sz w:val="24"/>
        </w:rPr>
      </w:pPr>
      <w:r>
        <w:rPr>
          <w:rFonts w:hAnsi="宋体"/>
          <w:b/>
          <w:color w:val="000000"/>
          <w:sz w:val="24"/>
        </w:rPr>
        <w:t>项目编号：</w:t>
      </w:r>
    </w:p>
    <w:p>
      <w:pPr>
        <w:pStyle w:val="40"/>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pStyle w:val="2"/>
        <w:spacing w:line="360" w:lineRule="auto"/>
        <w:ind w:firstLineChars="200"/>
        <w:rPr>
          <w:rFonts w:ascii="宋体" w:hAnsi="宋体"/>
          <w:color w:val="FF0000"/>
          <w:kern w:val="0"/>
          <w:szCs w:val="21"/>
        </w:rPr>
      </w:pPr>
      <w:r>
        <w:rPr>
          <w:rFonts w:hint="eastAsia" w:ascii="宋体" w:hAnsi="宋体"/>
          <w:kern w:val="0"/>
          <w:szCs w:val="21"/>
        </w:rPr>
        <w:t>1.投标</w:t>
      </w:r>
      <w:r>
        <w:rPr>
          <w:rFonts w:hint="eastAsia" w:ascii="宋体" w:hAnsi="宋体"/>
          <w:kern w:val="0"/>
          <w:szCs w:val="21"/>
          <w:lang w:eastAsia="zh-CN"/>
        </w:rPr>
        <w:t>总</w:t>
      </w:r>
      <w:r>
        <w:rPr>
          <w:rFonts w:hint="eastAsia" w:ascii="宋体" w:hAnsi="宋体"/>
          <w:kern w:val="0"/>
          <w:szCs w:val="21"/>
        </w:rPr>
        <w:t>报价是包括货款、标准附件、备品备件、专用工具、包装、运输、装卸、保险、税金、货到就位以及安装、调试、培训、保修、合同包含的所有风险责任等各项费用及不可预见费等所需的全部费</w:t>
      </w:r>
      <w:r>
        <w:rPr>
          <w:rFonts w:hint="eastAsia" w:ascii="宋体" w:hAnsi="宋体"/>
          <w:color w:val="auto"/>
          <w:kern w:val="0"/>
          <w:szCs w:val="21"/>
        </w:rPr>
        <w:t>用。</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w:t>
      </w:r>
      <w:r>
        <w:rPr>
          <w:rFonts w:hint="eastAsia" w:ascii="宋体" w:hAnsi="宋体"/>
          <w:kern w:val="0"/>
          <w:szCs w:val="21"/>
          <w:lang w:eastAsia="zh-CN"/>
        </w:rPr>
        <w:t>签字</w:t>
      </w:r>
      <w:r>
        <w:rPr>
          <w:rFonts w:hint="eastAsia" w:ascii="宋体" w:hAnsi="宋体"/>
          <w:kern w:val="0"/>
          <w:szCs w:val="21"/>
        </w:rPr>
        <w:t>或盖章，否则其投标作无效标处理。</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r>
        <w:rPr>
          <w:rFonts w:hint="eastAsia" w:ascii="宋体" w:hAnsi="宋体"/>
          <w:b/>
          <w:sz w:val="28"/>
        </w:rPr>
        <w:t>附件17</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b/>
          <w:color w:val="33CCCC"/>
          <w:sz w:val="32"/>
          <w:szCs w:val="32"/>
        </w:rPr>
        <w:t xml:space="preserve"> (第 标)</w:t>
      </w:r>
    </w:p>
    <w:p>
      <w:pPr>
        <w:spacing w:line="360" w:lineRule="auto"/>
        <w:rPr>
          <w:rFonts w:ascii="宋体" w:hAnsi="宋体"/>
          <w:sz w:val="24"/>
        </w:rPr>
      </w:pPr>
      <w:r>
        <w:rPr>
          <w:rFonts w:hint="eastAsia" w:ascii="宋体" w:hAnsi="宋体"/>
          <w:sz w:val="24"/>
        </w:rPr>
        <w:t xml:space="preserve">  项目编号：                                    [货币单位：人民币元]</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sz w:val="24"/>
        </w:rPr>
      </w:pPr>
      <w:r>
        <w:rPr>
          <w:rFonts w:hint="eastAsia" w:ascii="宋体" w:hAnsi="宋体" w:cs="宋体"/>
          <w:kern w:val="0"/>
          <w:sz w:val="24"/>
        </w:rPr>
        <w:t>5.</w:t>
      </w:r>
      <w:r>
        <w:rPr>
          <w:rFonts w:ascii="宋体" w:hAnsi="宋体" w:cs="宋体"/>
          <w:kern w:val="0"/>
          <w:sz w:val="24"/>
        </w:rPr>
        <w:t>供应商在投标时需提供本表的电子文档（单独封装，建议使用光盘），以便网上公示使用，电子文档将不予退还。</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w:t>
      </w:r>
      <w:r>
        <w:rPr>
          <w:rFonts w:hint="eastAsia" w:ascii="宋体" w:hAnsi="宋体"/>
          <w:sz w:val="24"/>
          <w:lang w:eastAsia="zh-CN"/>
        </w:rPr>
        <w:t>签字</w:t>
      </w:r>
      <w:r>
        <w:rPr>
          <w:rFonts w:hint="eastAsia" w:ascii="宋体" w:hAnsi="宋体"/>
          <w:sz w:val="24"/>
        </w:rPr>
        <w:t>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ascii="仿宋_GB2312" w:hAnsi="宋体" w:eastAsia="仿宋_GB2312"/>
          <w:bCs/>
          <w:sz w:val="30"/>
          <w:szCs w:val="30"/>
        </w:rPr>
      </w:pPr>
      <w:r>
        <w:rPr>
          <w:rFonts w:hint="eastAsia" w:ascii="宋体" w:hAnsi="宋体"/>
          <w:b/>
          <w:sz w:val="28"/>
        </w:rPr>
        <w:t>附件18</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41"/>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41"/>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41"/>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41"/>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1"/>
        <w:spacing w:line="360" w:lineRule="auto"/>
        <w:ind w:firstLine="504" w:firstLineChars="200"/>
        <w:rPr>
          <w:rFonts w:ascii="宋体" w:hAnsi="宋体"/>
          <w:spacing w:val="6"/>
          <w:sz w:val="24"/>
        </w:rPr>
      </w:pPr>
    </w:p>
    <w:p>
      <w:pPr>
        <w:pStyle w:val="41"/>
        <w:spacing w:line="360" w:lineRule="auto"/>
        <w:ind w:left="4253" w:leftChars="2025"/>
        <w:rPr>
          <w:rFonts w:ascii="宋体" w:hAnsi="宋体"/>
          <w:sz w:val="24"/>
        </w:rPr>
      </w:pPr>
      <w:r>
        <w:rPr>
          <w:rFonts w:hint="eastAsia" w:ascii="宋体" w:hAnsi="宋体"/>
          <w:sz w:val="24"/>
        </w:rPr>
        <w:t>投 标 人（单位公章）：</w:t>
      </w:r>
    </w:p>
    <w:p>
      <w:pPr>
        <w:pStyle w:val="41"/>
        <w:spacing w:line="360" w:lineRule="auto"/>
        <w:ind w:left="4253" w:leftChars="2025" w:right="360"/>
        <w:jc w:val="right"/>
        <w:rPr>
          <w:rFonts w:ascii="宋体" w:hAnsi="宋体"/>
          <w:spacing w:val="6"/>
          <w:sz w:val="24"/>
        </w:rPr>
      </w:pPr>
      <w:r>
        <w:rPr>
          <w:rFonts w:hint="eastAsia" w:ascii="宋体" w:hAnsi="宋体"/>
          <w:sz w:val="24"/>
        </w:rPr>
        <w:t>日期：</w:t>
      </w:r>
      <w:r>
        <w:rPr>
          <w:rFonts w:hint="eastAsia" w:ascii="宋体" w:hAnsi="宋体"/>
          <w:sz w:val="24"/>
          <w:lang w:val="en-US" w:eastAsia="zh-CN"/>
        </w:rPr>
        <w:t xml:space="preserve"> </w:t>
      </w:r>
      <w:r>
        <w:rPr>
          <w:rFonts w:hint="eastAsia" w:ascii="宋体" w:hAnsi="宋体" w:eastAsia="宋体" w:cstheme="minorBidi"/>
          <w:color w:val="FF66CC"/>
          <w:kern w:val="2"/>
          <w:sz w:val="24"/>
          <w:szCs w:val="24"/>
          <w:u w:val="none"/>
          <w:lang w:val="en-US" w:eastAsia="zh-CN" w:bidi="ar-SA"/>
        </w:rPr>
        <w:t>××</w:t>
      </w:r>
      <w:r>
        <w:rPr>
          <w:rFonts w:hint="eastAsia" w:ascii="宋体" w:hAnsi="宋体" w:cs="Arial"/>
          <w:sz w:val="24"/>
        </w:rPr>
        <w:t>年</w:t>
      </w:r>
      <w:r>
        <w:rPr>
          <w:rFonts w:hint="eastAsia" w:ascii="宋体" w:hAnsi="宋体" w:eastAsia="宋体" w:cstheme="minorBidi"/>
          <w:color w:val="FF66CC"/>
          <w:kern w:val="2"/>
          <w:sz w:val="24"/>
          <w:szCs w:val="24"/>
          <w:u w:val="none"/>
          <w:lang w:val="en-US" w:eastAsia="zh-CN" w:bidi="ar-SA"/>
        </w:rPr>
        <w:t>××</w:t>
      </w:r>
      <w:r>
        <w:rPr>
          <w:rFonts w:hint="eastAsia" w:ascii="宋体" w:hAnsi="宋体" w:cs="Arial"/>
          <w:sz w:val="24"/>
        </w:rPr>
        <w:t>月</w:t>
      </w:r>
      <w:r>
        <w:rPr>
          <w:rFonts w:hint="eastAsia" w:ascii="宋体" w:hAnsi="宋体" w:eastAsia="宋体" w:cstheme="minorBidi"/>
          <w:color w:val="FF66CC"/>
          <w:kern w:val="2"/>
          <w:sz w:val="24"/>
          <w:szCs w:val="24"/>
          <w:u w:val="none"/>
          <w:lang w:val="en-US" w:eastAsia="zh-CN" w:bidi="ar-SA"/>
        </w:rPr>
        <w:t>××</w:t>
      </w:r>
      <w:r>
        <w:rPr>
          <w:rFonts w:hint="eastAsia" w:ascii="宋体" w:hAnsi="宋体" w:cs="Arial"/>
          <w:sz w:val="24"/>
        </w:rPr>
        <w:t>日</w:t>
      </w:r>
    </w:p>
    <w:p>
      <w:pPr>
        <w:pStyle w:val="41"/>
        <w:spacing w:line="360" w:lineRule="auto"/>
        <w:rPr>
          <w:rFonts w:ascii="宋体" w:hAnsi="宋体"/>
          <w:sz w:val="24"/>
        </w:rPr>
      </w:pPr>
    </w:p>
    <w:p>
      <w:pPr>
        <w:pStyle w:val="41"/>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41"/>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1"/>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1"/>
        <w:spacing w:line="360" w:lineRule="auto"/>
        <w:ind w:firstLine="504" w:firstLineChars="200"/>
        <w:rPr>
          <w:rFonts w:ascii="宋体" w:hAnsi="宋体"/>
          <w:spacing w:val="6"/>
          <w:sz w:val="24"/>
        </w:rPr>
      </w:pPr>
    </w:p>
    <w:p>
      <w:pPr>
        <w:pStyle w:val="41"/>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41"/>
        <w:spacing w:line="360" w:lineRule="auto"/>
        <w:ind w:left="4253" w:leftChars="2025" w:right="360"/>
        <w:jc w:val="center"/>
        <w:rPr>
          <w:rFonts w:ascii="宋体" w:hAnsi="宋体"/>
          <w:spacing w:val="6"/>
          <w:sz w:val="24"/>
        </w:rPr>
      </w:pPr>
      <w:r>
        <w:rPr>
          <w:rFonts w:hint="eastAsia" w:ascii="宋体" w:hAnsi="宋体"/>
          <w:sz w:val="24"/>
        </w:rPr>
        <w:t>日期：</w:t>
      </w:r>
      <w:r>
        <w:rPr>
          <w:rFonts w:hint="eastAsia" w:ascii="宋体" w:hAnsi="宋体"/>
          <w:sz w:val="24"/>
          <w:lang w:val="en-US" w:eastAsia="zh-CN"/>
        </w:rPr>
        <w:t xml:space="preserve">   </w:t>
      </w:r>
      <w:r>
        <w:rPr>
          <w:rFonts w:hint="eastAsia" w:ascii="宋体" w:hAnsi="宋体" w:eastAsia="宋体" w:cstheme="minorBidi"/>
          <w:color w:val="FF66CC"/>
          <w:kern w:val="2"/>
          <w:sz w:val="24"/>
          <w:szCs w:val="24"/>
          <w:u w:val="none"/>
          <w:lang w:val="en-US" w:eastAsia="zh-CN" w:bidi="ar-SA"/>
        </w:rPr>
        <w:t>××</w:t>
      </w:r>
      <w:r>
        <w:rPr>
          <w:rFonts w:hint="eastAsia" w:ascii="宋体" w:hAnsi="宋体" w:cs="Arial"/>
          <w:sz w:val="24"/>
        </w:rPr>
        <w:t>年</w:t>
      </w:r>
      <w:r>
        <w:rPr>
          <w:rFonts w:hint="eastAsia" w:ascii="宋体" w:hAnsi="宋体" w:eastAsia="宋体" w:cstheme="minorBidi"/>
          <w:color w:val="FF66CC"/>
          <w:kern w:val="2"/>
          <w:sz w:val="24"/>
          <w:szCs w:val="24"/>
          <w:u w:val="none"/>
          <w:lang w:val="en-US" w:eastAsia="zh-CN" w:bidi="ar-SA"/>
        </w:rPr>
        <w:t>××</w:t>
      </w:r>
      <w:r>
        <w:rPr>
          <w:rFonts w:hint="eastAsia" w:ascii="宋体" w:hAnsi="宋体" w:cs="Arial"/>
          <w:sz w:val="24"/>
        </w:rPr>
        <w:t>月</w:t>
      </w:r>
      <w:r>
        <w:rPr>
          <w:rFonts w:hint="eastAsia" w:ascii="宋体" w:hAnsi="宋体" w:eastAsia="宋体" w:cstheme="minorBidi"/>
          <w:color w:val="FF66CC"/>
          <w:kern w:val="2"/>
          <w:sz w:val="24"/>
          <w:szCs w:val="24"/>
          <w:u w:val="none"/>
          <w:lang w:val="en-US" w:eastAsia="zh-CN" w:bidi="ar-SA"/>
        </w:rPr>
        <w:t>××</w:t>
      </w:r>
      <w:r>
        <w:rPr>
          <w:rFonts w:hint="eastAsia" w:ascii="宋体" w:hAnsi="宋体" w:cs="Arial"/>
          <w:sz w:val="24"/>
        </w:rPr>
        <w:t>日</w:t>
      </w:r>
    </w:p>
    <w:p>
      <w:pPr>
        <w:pStyle w:val="11"/>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p>
    <w:p>
      <w:pPr>
        <w:pStyle w:val="41"/>
        <w:spacing w:line="360" w:lineRule="auto"/>
        <w:rPr>
          <w:rFonts w:ascii="宋体" w:hAnsi="宋体"/>
          <w:b/>
          <w:sz w:val="28"/>
          <w:szCs w:val="28"/>
        </w:rPr>
      </w:pPr>
      <w:r>
        <w:rPr>
          <w:rFonts w:hint="eastAsia" w:ascii="宋体" w:hAnsi="宋体"/>
          <w:b/>
          <w:sz w:val="28"/>
          <w:szCs w:val="28"/>
        </w:rPr>
        <w:t>附件19</w:t>
      </w:r>
    </w:p>
    <w:p>
      <w:pPr>
        <w:pStyle w:val="42"/>
        <w:spacing w:line="360" w:lineRule="auto"/>
      </w:pPr>
    </w:p>
    <w:p>
      <w:pPr>
        <w:pStyle w:val="39"/>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39"/>
        <w:spacing w:line="360" w:lineRule="auto"/>
        <w:jc w:val="center"/>
        <w:rPr>
          <w:rFonts w:ascii="宋体" w:hAnsi="宋体"/>
          <w:b/>
          <w:sz w:val="32"/>
          <w:szCs w:val="32"/>
          <w:lang w:val="en-GB"/>
        </w:rPr>
      </w:pPr>
    </w:p>
    <w:tbl>
      <w:tblPr>
        <w:tblStyle w:val="20"/>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9"/>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20"/>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9"/>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39"/>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sz w:val="24"/>
                <w:lang w:val="en-GB"/>
              </w:rPr>
            </w:pPr>
          </w:p>
        </w:tc>
        <w:tc>
          <w:tcPr>
            <w:tcW w:w="2679" w:type="dxa"/>
            <w:vAlign w:val="center"/>
          </w:tcPr>
          <w:p>
            <w:pPr>
              <w:pStyle w:val="39"/>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39"/>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39"/>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sz w:val="24"/>
                <w:lang w:val="en-GB"/>
              </w:rPr>
            </w:pPr>
          </w:p>
        </w:tc>
        <w:tc>
          <w:tcPr>
            <w:tcW w:w="2679" w:type="dxa"/>
            <w:vAlign w:val="center"/>
          </w:tcPr>
          <w:p>
            <w:pPr>
              <w:pStyle w:val="39"/>
              <w:tabs>
                <w:tab w:val="left" w:pos="1260"/>
              </w:tabs>
              <w:jc w:val="center"/>
              <w:rPr>
                <w:rFonts w:ascii="宋体" w:hAnsi="宋体"/>
                <w:sz w:val="24"/>
                <w:lang w:val="en-GB"/>
              </w:rPr>
            </w:pPr>
          </w:p>
        </w:tc>
        <w:tc>
          <w:tcPr>
            <w:tcW w:w="3811" w:type="dxa"/>
            <w:vAlign w:val="center"/>
          </w:tcPr>
          <w:p>
            <w:pPr>
              <w:pStyle w:val="39"/>
              <w:tabs>
                <w:tab w:val="left" w:pos="1260"/>
              </w:tabs>
              <w:jc w:val="center"/>
              <w:rPr>
                <w:rFonts w:ascii="宋体" w:hAnsi="宋体"/>
                <w:sz w:val="24"/>
                <w:lang w:val="en-GB"/>
              </w:rPr>
            </w:pPr>
          </w:p>
        </w:tc>
        <w:tc>
          <w:tcPr>
            <w:tcW w:w="1621" w:type="dxa"/>
            <w:vAlign w:val="center"/>
          </w:tcPr>
          <w:p>
            <w:pPr>
              <w:pStyle w:val="39"/>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sz w:val="24"/>
                <w:lang w:val="en-GB"/>
              </w:rPr>
            </w:pPr>
          </w:p>
        </w:tc>
        <w:tc>
          <w:tcPr>
            <w:tcW w:w="2679" w:type="dxa"/>
            <w:vAlign w:val="center"/>
          </w:tcPr>
          <w:p>
            <w:pPr>
              <w:pStyle w:val="39"/>
              <w:tabs>
                <w:tab w:val="left" w:pos="1260"/>
              </w:tabs>
              <w:jc w:val="center"/>
              <w:rPr>
                <w:rFonts w:ascii="宋体" w:hAnsi="宋体"/>
                <w:sz w:val="24"/>
                <w:lang w:val="en-GB"/>
              </w:rPr>
            </w:pPr>
          </w:p>
        </w:tc>
        <w:tc>
          <w:tcPr>
            <w:tcW w:w="3811" w:type="dxa"/>
            <w:vAlign w:val="center"/>
          </w:tcPr>
          <w:p>
            <w:pPr>
              <w:pStyle w:val="39"/>
              <w:tabs>
                <w:tab w:val="left" w:pos="1260"/>
              </w:tabs>
              <w:jc w:val="center"/>
              <w:rPr>
                <w:rFonts w:ascii="宋体" w:hAnsi="宋体"/>
                <w:sz w:val="24"/>
                <w:lang w:val="en-GB"/>
              </w:rPr>
            </w:pPr>
          </w:p>
        </w:tc>
        <w:tc>
          <w:tcPr>
            <w:tcW w:w="1621" w:type="dxa"/>
            <w:vAlign w:val="center"/>
          </w:tcPr>
          <w:p>
            <w:pPr>
              <w:pStyle w:val="39"/>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sz w:val="24"/>
                <w:lang w:val="en-GB"/>
              </w:rPr>
            </w:pPr>
          </w:p>
        </w:tc>
        <w:tc>
          <w:tcPr>
            <w:tcW w:w="2679" w:type="dxa"/>
            <w:vAlign w:val="center"/>
          </w:tcPr>
          <w:p>
            <w:pPr>
              <w:pStyle w:val="39"/>
              <w:tabs>
                <w:tab w:val="left" w:pos="1260"/>
              </w:tabs>
              <w:jc w:val="center"/>
              <w:rPr>
                <w:rFonts w:ascii="宋体" w:hAnsi="宋体"/>
                <w:sz w:val="24"/>
                <w:lang w:val="en-GB"/>
              </w:rPr>
            </w:pPr>
          </w:p>
        </w:tc>
        <w:tc>
          <w:tcPr>
            <w:tcW w:w="3811" w:type="dxa"/>
            <w:vAlign w:val="center"/>
          </w:tcPr>
          <w:p>
            <w:pPr>
              <w:pStyle w:val="39"/>
              <w:tabs>
                <w:tab w:val="left" w:pos="1260"/>
              </w:tabs>
              <w:jc w:val="center"/>
              <w:rPr>
                <w:rFonts w:ascii="宋体" w:hAnsi="宋体"/>
                <w:sz w:val="24"/>
                <w:lang w:val="en-GB"/>
              </w:rPr>
            </w:pPr>
          </w:p>
        </w:tc>
        <w:tc>
          <w:tcPr>
            <w:tcW w:w="1621" w:type="dxa"/>
            <w:vAlign w:val="center"/>
          </w:tcPr>
          <w:p>
            <w:pPr>
              <w:pStyle w:val="39"/>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sz w:val="24"/>
                <w:lang w:val="en-GB"/>
              </w:rPr>
            </w:pPr>
          </w:p>
        </w:tc>
        <w:tc>
          <w:tcPr>
            <w:tcW w:w="6490" w:type="dxa"/>
            <w:gridSpan w:val="2"/>
            <w:vAlign w:val="center"/>
          </w:tcPr>
          <w:p>
            <w:pPr>
              <w:pStyle w:val="39"/>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39"/>
              <w:tabs>
                <w:tab w:val="left" w:pos="1260"/>
              </w:tabs>
              <w:jc w:val="center"/>
              <w:rPr>
                <w:rFonts w:ascii="宋体" w:hAnsi="宋体"/>
                <w:sz w:val="24"/>
                <w:lang w:val="en-GB"/>
              </w:rPr>
            </w:pPr>
          </w:p>
        </w:tc>
      </w:tr>
    </w:tbl>
    <w:p>
      <w:pPr>
        <w:pStyle w:val="39"/>
        <w:spacing w:line="360" w:lineRule="auto"/>
        <w:rPr>
          <w:rFonts w:ascii="宋体" w:hAnsi="宋体"/>
          <w:szCs w:val="21"/>
          <w:lang w:val="en-GB"/>
        </w:rPr>
      </w:pPr>
    </w:p>
    <w:p>
      <w:pPr>
        <w:pStyle w:val="39"/>
        <w:spacing w:line="360" w:lineRule="auto"/>
        <w:rPr>
          <w:rFonts w:ascii="宋体" w:hAnsi="宋体"/>
          <w:szCs w:val="21"/>
          <w:lang w:val="en-GB"/>
        </w:rPr>
      </w:pPr>
      <w:r>
        <w:rPr>
          <w:rFonts w:hint="eastAsia" w:ascii="宋体" w:hAnsi="宋体"/>
          <w:szCs w:val="21"/>
          <w:lang w:val="en-GB"/>
        </w:rPr>
        <w:t>填报要求：</w:t>
      </w:r>
    </w:p>
    <w:p>
      <w:pPr>
        <w:pStyle w:val="39"/>
        <w:widowControl/>
        <w:numPr>
          <w:ilvl w:val="0"/>
          <w:numId w:val="12"/>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39"/>
        <w:widowControl/>
        <w:numPr>
          <w:ilvl w:val="0"/>
          <w:numId w:val="12"/>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39"/>
        <w:widowControl/>
        <w:numPr>
          <w:ilvl w:val="0"/>
          <w:numId w:val="12"/>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Theme="minorEastAsia" w:hAnsiTheme="minorEastAsia" w:eastAsiaTheme="minorEastAsia"/>
          <w:sz w:val="24"/>
        </w:rPr>
      </w:pPr>
    </w:p>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台州</w:t>
    </w:r>
    <w:r>
      <w:rPr>
        <w:rFonts w:hint="eastAsia"/>
        <w:b/>
        <w:i/>
        <w:color w:val="000000" w:themeColor="text1"/>
        <w:kern w:val="0"/>
        <w:sz w:val="18"/>
        <w:u w:val="single"/>
        <w14:textFill>
          <w14:solidFill>
            <w14:schemeClr w14:val="tx1"/>
          </w14:solidFill>
        </w14:textFill>
      </w:rPr>
      <w:t xml:space="preserve">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A9E765D8"/>
    <w:multiLevelType w:val="singleLevel"/>
    <w:tmpl w:val="A9E765D8"/>
    <w:lvl w:ilvl="0" w:tentative="0">
      <w:start w:val="1"/>
      <w:numFmt w:val="chineseCounting"/>
      <w:suff w:val="nothing"/>
      <w:lvlText w:val="%1、"/>
      <w:lvlJc w:val="left"/>
      <w:rPr>
        <w:rFonts w:hint="eastAsia"/>
      </w:rPr>
    </w:lvl>
  </w:abstractNum>
  <w:abstractNum w:abstractNumId="3">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4">
    <w:nsid w:val="AF3E1766"/>
    <w:multiLevelType w:val="singleLevel"/>
    <w:tmpl w:val="AF3E1766"/>
    <w:lvl w:ilvl="0" w:tentative="0">
      <w:start w:val="1"/>
      <w:numFmt w:val="decimal"/>
      <w:suff w:val="nothing"/>
      <w:lvlText w:val="（%1）"/>
      <w:lvlJc w:val="left"/>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E9CBAF48"/>
    <w:multiLevelType w:val="singleLevel"/>
    <w:tmpl w:val="E9CBAF48"/>
    <w:lvl w:ilvl="0" w:tentative="0">
      <w:start w:val="1"/>
      <w:numFmt w:val="decimal"/>
      <w:suff w:val="nothing"/>
      <w:lvlText w:val="（%1）"/>
      <w:lvlJc w:val="left"/>
    </w:lvl>
  </w:abstractNum>
  <w:abstractNum w:abstractNumId="7">
    <w:nsid w:val="EEAFAC12"/>
    <w:multiLevelType w:val="singleLevel"/>
    <w:tmpl w:val="EEAFAC12"/>
    <w:lvl w:ilvl="0" w:tentative="0">
      <w:start w:val="12"/>
      <w:numFmt w:val="decimal"/>
      <w:suff w:val="nothing"/>
      <w:lvlText w:val="%1、"/>
      <w:lvlJc w:val="left"/>
      <w:pPr>
        <w:ind w:left="-60"/>
      </w:pPr>
    </w:lvl>
  </w:abstractNum>
  <w:abstractNum w:abstractNumId="8">
    <w:nsid w:val="023419C9"/>
    <w:multiLevelType w:val="singleLevel"/>
    <w:tmpl w:val="023419C9"/>
    <w:lvl w:ilvl="0" w:tentative="0">
      <w:start w:val="2"/>
      <w:numFmt w:val="decimal"/>
      <w:suff w:val="nothing"/>
      <w:lvlText w:val="%1、"/>
      <w:lvlJc w:val="left"/>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1">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3"/>
  </w:num>
  <w:num w:numId="2">
    <w:abstractNumId w:val="10"/>
  </w:num>
  <w:num w:numId="3">
    <w:abstractNumId w:val="2"/>
  </w:num>
  <w:num w:numId="4">
    <w:abstractNumId w:val="9"/>
  </w:num>
  <w:num w:numId="5">
    <w:abstractNumId w:val="4"/>
  </w:num>
  <w:num w:numId="6">
    <w:abstractNumId w:val="5"/>
  </w:num>
  <w:num w:numId="7">
    <w:abstractNumId w:val="6"/>
  </w:num>
  <w:num w:numId="8">
    <w:abstractNumId w:val="8"/>
  </w:num>
  <w:num w:numId="9">
    <w:abstractNumId w:val="7"/>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6294D"/>
    <w:rsid w:val="00062AB3"/>
    <w:rsid w:val="000B6EB6"/>
    <w:rsid w:val="000D4942"/>
    <w:rsid w:val="00107BF6"/>
    <w:rsid w:val="00165F2A"/>
    <w:rsid w:val="001B5BCA"/>
    <w:rsid w:val="00201D62"/>
    <w:rsid w:val="0021318F"/>
    <w:rsid w:val="002A1620"/>
    <w:rsid w:val="002D7F8A"/>
    <w:rsid w:val="003102FB"/>
    <w:rsid w:val="00332E30"/>
    <w:rsid w:val="003C5E00"/>
    <w:rsid w:val="003F595C"/>
    <w:rsid w:val="003F78E0"/>
    <w:rsid w:val="0043046A"/>
    <w:rsid w:val="00441FAE"/>
    <w:rsid w:val="00446CEF"/>
    <w:rsid w:val="00482879"/>
    <w:rsid w:val="00491BDF"/>
    <w:rsid w:val="004B4165"/>
    <w:rsid w:val="00527EFD"/>
    <w:rsid w:val="00616E31"/>
    <w:rsid w:val="00655E3C"/>
    <w:rsid w:val="00674C42"/>
    <w:rsid w:val="006F4DFE"/>
    <w:rsid w:val="007A2629"/>
    <w:rsid w:val="007C1005"/>
    <w:rsid w:val="00802325"/>
    <w:rsid w:val="00847BE5"/>
    <w:rsid w:val="0088066B"/>
    <w:rsid w:val="00901D6C"/>
    <w:rsid w:val="00912983"/>
    <w:rsid w:val="00934C69"/>
    <w:rsid w:val="009875E3"/>
    <w:rsid w:val="009B3E22"/>
    <w:rsid w:val="009F3459"/>
    <w:rsid w:val="00A05DA7"/>
    <w:rsid w:val="00A30B75"/>
    <w:rsid w:val="00A730CA"/>
    <w:rsid w:val="00BB201C"/>
    <w:rsid w:val="00C376DF"/>
    <w:rsid w:val="00C52E14"/>
    <w:rsid w:val="00C767D4"/>
    <w:rsid w:val="00CC232E"/>
    <w:rsid w:val="00CD1804"/>
    <w:rsid w:val="00D559AE"/>
    <w:rsid w:val="00DF7014"/>
    <w:rsid w:val="00E319E7"/>
    <w:rsid w:val="00EF2797"/>
    <w:rsid w:val="00F127FF"/>
    <w:rsid w:val="014011E2"/>
    <w:rsid w:val="01935887"/>
    <w:rsid w:val="01AD7B32"/>
    <w:rsid w:val="01BD7005"/>
    <w:rsid w:val="01ED7D22"/>
    <w:rsid w:val="023B4212"/>
    <w:rsid w:val="027638E8"/>
    <w:rsid w:val="02945C00"/>
    <w:rsid w:val="0311374C"/>
    <w:rsid w:val="034628D3"/>
    <w:rsid w:val="035F6A7D"/>
    <w:rsid w:val="041C127C"/>
    <w:rsid w:val="0470673A"/>
    <w:rsid w:val="04A33DD1"/>
    <w:rsid w:val="04CC341D"/>
    <w:rsid w:val="05137CD7"/>
    <w:rsid w:val="05A50164"/>
    <w:rsid w:val="05B43C6D"/>
    <w:rsid w:val="05D92A57"/>
    <w:rsid w:val="05E70F70"/>
    <w:rsid w:val="05F50E9D"/>
    <w:rsid w:val="060B26E0"/>
    <w:rsid w:val="06D52D47"/>
    <w:rsid w:val="06E40CB7"/>
    <w:rsid w:val="070122F0"/>
    <w:rsid w:val="075E4944"/>
    <w:rsid w:val="075F7318"/>
    <w:rsid w:val="07FC1B3E"/>
    <w:rsid w:val="080F2FE4"/>
    <w:rsid w:val="084F68CB"/>
    <w:rsid w:val="085A1BE1"/>
    <w:rsid w:val="086A431A"/>
    <w:rsid w:val="08A9367B"/>
    <w:rsid w:val="08D86E72"/>
    <w:rsid w:val="093D06B0"/>
    <w:rsid w:val="098951A5"/>
    <w:rsid w:val="09DC400A"/>
    <w:rsid w:val="0A3B11A3"/>
    <w:rsid w:val="0A6A2A5E"/>
    <w:rsid w:val="0AB2466D"/>
    <w:rsid w:val="0B3A4CFE"/>
    <w:rsid w:val="0B631F3C"/>
    <w:rsid w:val="0BB96227"/>
    <w:rsid w:val="0BF02F5F"/>
    <w:rsid w:val="0C1E2BA0"/>
    <w:rsid w:val="0C3F6D5B"/>
    <w:rsid w:val="0C765CB2"/>
    <w:rsid w:val="0D0475F6"/>
    <w:rsid w:val="0D764E12"/>
    <w:rsid w:val="0D937226"/>
    <w:rsid w:val="0E422197"/>
    <w:rsid w:val="0E970358"/>
    <w:rsid w:val="0EF27825"/>
    <w:rsid w:val="0F1747D0"/>
    <w:rsid w:val="0F884221"/>
    <w:rsid w:val="10392EAE"/>
    <w:rsid w:val="106C2B22"/>
    <w:rsid w:val="10706EC2"/>
    <w:rsid w:val="10801E69"/>
    <w:rsid w:val="10A11DDD"/>
    <w:rsid w:val="11394306"/>
    <w:rsid w:val="11405A21"/>
    <w:rsid w:val="11E338D3"/>
    <w:rsid w:val="12807280"/>
    <w:rsid w:val="13215400"/>
    <w:rsid w:val="13707E17"/>
    <w:rsid w:val="13A13753"/>
    <w:rsid w:val="13C77E0B"/>
    <w:rsid w:val="14093B52"/>
    <w:rsid w:val="141C7045"/>
    <w:rsid w:val="148463E6"/>
    <w:rsid w:val="14972906"/>
    <w:rsid w:val="14B71FA9"/>
    <w:rsid w:val="14D20D9B"/>
    <w:rsid w:val="15170D44"/>
    <w:rsid w:val="15771668"/>
    <w:rsid w:val="15901FEA"/>
    <w:rsid w:val="15A72BED"/>
    <w:rsid w:val="15CF7A2F"/>
    <w:rsid w:val="1621170E"/>
    <w:rsid w:val="16A71BB1"/>
    <w:rsid w:val="16F23890"/>
    <w:rsid w:val="17200067"/>
    <w:rsid w:val="175F2BE6"/>
    <w:rsid w:val="177A072A"/>
    <w:rsid w:val="17A8137B"/>
    <w:rsid w:val="17B4164A"/>
    <w:rsid w:val="17C4052C"/>
    <w:rsid w:val="17C86B7D"/>
    <w:rsid w:val="17E13854"/>
    <w:rsid w:val="18B91D2B"/>
    <w:rsid w:val="18BD0806"/>
    <w:rsid w:val="18C40414"/>
    <w:rsid w:val="191C4FE8"/>
    <w:rsid w:val="192720E3"/>
    <w:rsid w:val="19584E18"/>
    <w:rsid w:val="198620BB"/>
    <w:rsid w:val="19DE4711"/>
    <w:rsid w:val="19F1626B"/>
    <w:rsid w:val="1A604B05"/>
    <w:rsid w:val="1A6A6D44"/>
    <w:rsid w:val="1A817123"/>
    <w:rsid w:val="1B4C0B5A"/>
    <w:rsid w:val="1C093ECB"/>
    <w:rsid w:val="1C9B76A0"/>
    <w:rsid w:val="1CDD0584"/>
    <w:rsid w:val="1CE4433A"/>
    <w:rsid w:val="1CF666F0"/>
    <w:rsid w:val="1D54609B"/>
    <w:rsid w:val="1D561465"/>
    <w:rsid w:val="1E0E2DF3"/>
    <w:rsid w:val="1E9001D9"/>
    <w:rsid w:val="1EA30B4C"/>
    <w:rsid w:val="1EE84AA8"/>
    <w:rsid w:val="1F6E52A2"/>
    <w:rsid w:val="1F735B62"/>
    <w:rsid w:val="1FB549C6"/>
    <w:rsid w:val="1FB57D4D"/>
    <w:rsid w:val="204A1E13"/>
    <w:rsid w:val="209025EE"/>
    <w:rsid w:val="20AE3204"/>
    <w:rsid w:val="214624ED"/>
    <w:rsid w:val="218D4481"/>
    <w:rsid w:val="21FA01A1"/>
    <w:rsid w:val="221D5E85"/>
    <w:rsid w:val="222C1CC0"/>
    <w:rsid w:val="22484E58"/>
    <w:rsid w:val="227C0DCD"/>
    <w:rsid w:val="228447E5"/>
    <w:rsid w:val="23422BB0"/>
    <w:rsid w:val="23424F53"/>
    <w:rsid w:val="23582408"/>
    <w:rsid w:val="23660707"/>
    <w:rsid w:val="236E14E2"/>
    <w:rsid w:val="237D0FC2"/>
    <w:rsid w:val="238F7DCE"/>
    <w:rsid w:val="24244D92"/>
    <w:rsid w:val="24577DE4"/>
    <w:rsid w:val="24CE3BAF"/>
    <w:rsid w:val="24D92305"/>
    <w:rsid w:val="24D96B70"/>
    <w:rsid w:val="2519505F"/>
    <w:rsid w:val="25671AF5"/>
    <w:rsid w:val="25821982"/>
    <w:rsid w:val="25D60AD2"/>
    <w:rsid w:val="25D65461"/>
    <w:rsid w:val="25E3371B"/>
    <w:rsid w:val="261F0C17"/>
    <w:rsid w:val="267252A4"/>
    <w:rsid w:val="268400FD"/>
    <w:rsid w:val="27117EDE"/>
    <w:rsid w:val="27731F31"/>
    <w:rsid w:val="29C57527"/>
    <w:rsid w:val="29C857FB"/>
    <w:rsid w:val="29D148D0"/>
    <w:rsid w:val="2A703A89"/>
    <w:rsid w:val="2A7C3B5D"/>
    <w:rsid w:val="2AB76578"/>
    <w:rsid w:val="2AC803DC"/>
    <w:rsid w:val="2AF9481A"/>
    <w:rsid w:val="2B00287F"/>
    <w:rsid w:val="2B092FB2"/>
    <w:rsid w:val="2B9C69B1"/>
    <w:rsid w:val="2BA2013E"/>
    <w:rsid w:val="2BC417BC"/>
    <w:rsid w:val="2BE766BB"/>
    <w:rsid w:val="2C5222A1"/>
    <w:rsid w:val="2CDA24DC"/>
    <w:rsid w:val="2D33402D"/>
    <w:rsid w:val="2D912C47"/>
    <w:rsid w:val="2E0D1401"/>
    <w:rsid w:val="2ED222F3"/>
    <w:rsid w:val="2EF726B0"/>
    <w:rsid w:val="2F266F50"/>
    <w:rsid w:val="2F84259E"/>
    <w:rsid w:val="2F8B40F9"/>
    <w:rsid w:val="2FD752A5"/>
    <w:rsid w:val="2FDE6467"/>
    <w:rsid w:val="30143D85"/>
    <w:rsid w:val="312668F0"/>
    <w:rsid w:val="31752B09"/>
    <w:rsid w:val="31894973"/>
    <w:rsid w:val="31FD2290"/>
    <w:rsid w:val="32152C33"/>
    <w:rsid w:val="32614BF6"/>
    <w:rsid w:val="32D55D51"/>
    <w:rsid w:val="32E81934"/>
    <w:rsid w:val="332F7BA5"/>
    <w:rsid w:val="337D122C"/>
    <w:rsid w:val="33E1098E"/>
    <w:rsid w:val="34015A86"/>
    <w:rsid w:val="341548E3"/>
    <w:rsid w:val="341C73AD"/>
    <w:rsid w:val="3487190D"/>
    <w:rsid w:val="34FD7B2D"/>
    <w:rsid w:val="35375367"/>
    <w:rsid w:val="35AB7A5F"/>
    <w:rsid w:val="35BF1C6E"/>
    <w:rsid w:val="35D57D5C"/>
    <w:rsid w:val="3651686F"/>
    <w:rsid w:val="367D48AA"/>
    <w:rsid w:val="3756612A"/>
    <w:rsid w:val="37712A39"/>
    <w:rsid w:val="38160592"/>
    <w:rsid w:val="38644486"/>
    <w:rsid w:val="390471EE"/>
    <w:rsid w:val="391A3788"/>
    <w:rsid w:val="39577F6A"/>
    <w:rsid w:val="39920EA7"/>
    <w:rsid w:val="39F367FB"/>
    <w:rsid w:val="3A1447B7"/>
    <w:rsid w:val="3A350059"/>
    <w:rsid w:val="3AD01DBA"/>
    <w:rsid w:val="3AE50133"/>
    <w:rsid w:val="3B103EC0"/>
    <w:rsid w:val="3B25794D"/>
    <w:rsid w:val="3B345EA5"/>
    <w:rsid w:val="3B837FF9"/>
    <w:rsid w:val="3BD94BB0"/>
    <w:rsid w:val="3BF12A1E"/>
    <w:rsid w:val="3C6148EE"/>
    <w:rsid w:val="3C9514F9"/>
    <w:rsid w:val="3CAC27E0"/>
    <w:rsid w:val="3D7413A5"/>
    <w:rsid w:val="3D7C4212"/>
    <w:rsid w:val="3D856805"/>
    <w:rsid w:val="3DB531EC"/>
    <w:rsid w:val="3E147F83"/>
    <w:rsid w:val="3EAD7AA4"/>
    <w:rsid w:val="3ECA4CC1"/>
    <w:rsid w:val="3F4262D2"/>
    <w:rsid w:val="4023400E"/>
    <w:rsid w:val="4079502C"/>
    <w:rsid w:val="40A146E6"/>
    <w:rsid w:val="40DA19A4"/>
    <w:rsid w:val="41745EF0"/>
    <w:rsid w:val="41884255"/>
    <w:rsid w:val="41E559E6"/>
    <w:rsid w:val="426B3BFD"/>
    <w:rsid w:val="42A6641E"/>
    <w:rsid w:val="42CA3562"/>
    <w:rsid w:val="43036342"/>
    <w:rsid w:val="43467841"/>
    <w:rsid w:val="438E57BC"/>
    <w:rsid w:val="43BD3B11"/>
    <w:rsid w:val="43E63F63"/>
    <w:rsid w:val="43F47D4D"/>
    <w:rsid w:val="440F6EBE"/>
    <w:rsid w:val="4487596E"/>
    <w:rsid w:val="449065E4"/>
    <w:rsid w:val="44C52600"/>
    <w:rsid w:val="451E7709"/>
    <w:rsid w:val="4559551E"/>
    <w:rsid w:val="455A0DA3"/>
    <w:rsid w:val="4563730C"/>
    <w:rsid w:val="45ED1351"/>
    <w:rsid w:val="46224E26"/>
    <w:rsid w:val="46B55E43"/>
    <w:rsid w:val="46DD0EA4"/>
    <w:rsid w:val="46DF04B4"/>
    <w:rsid w:val="471932DC"/>
    <w:rsid w:val="47732475"/>
    <w:rsid w:val="47BB49A9"/>
    <w:rsid w:val="47E278F4"/>
    <w:rsid w:val="47E44CE0"/>
    <w:rsid w:val="48193EDE"/>
    <w:rsid w:val="48694FA0"/>
    <w:rsid w:val="488E768B"/>
    <w:rsid w:val="48BB264B"/>
    <w:rsid w:val="493D0335"/>
    <w:rsid w:val="49D1074D"/>
    <w:rsid w:val="49F41D5E"/>
    <w:rsid w:val="4A1A61CA"/>
    <w:rsid w:val="4A327238"/>
    <w:rsid w:val="4A943C10"/>
    <w:rsid w:val="4AA92CE9"/>
    <w:rsid w:val="4AC41DB7"/>
    <w:rsid w:val="4B1E31F7"/>
    <w:rsid w:val="4B3F1232"/>
    <w:rsid w:val="4B57703E"/>
    <w:rsid w:val="4BCB3573"/>
    <w:rsid w:val="4C22747C"/>
    <w:rsid w:val="4CB90340"/>
    <w:rsid w:val="4CE75373"/>
    <w:rsid w:val="4D097EF2"/>
    <w:rsid w:val="4DB67461"/>
    <w:rsid w:val="4E0C268A"/>
    <w:rsid w:val="4E765E5A"/>
    <w:rsid w:val="4E8318E1"/>
    <w:rsid w:val="4EAE23AB"/>
    <w:rsid w:val="4EF633AB"/>
    <w:rsid w:val="4F106249"/>
    <w:rsid w:val="4F1670CF"/>
    <w:rsid w:val="4F55729E"/>
    <w:rsid w:val="4FFE6E2E"/>
    <w:rsid w:val="503E32E5"/>
    <w:rsid w:val="50513BF5"/>
    <w:rsid w:val="50675DFF"/>
    <w:rsid w:val="509A2890"/>
    <w:rsid w:val="50B924A3"/>
    <w:rsid w:val="50F857A1"/>
    <w:rsid w:val="514B75E8"/>
    <w:rsid w:val="5194469F"/>
    <w:rsid w:val="519D0DB4"/>
    <w:rsid w:val="51A53B14"/>
    <w:rsid w:val="51AF1C3C"/>
    <w:rsid w:val="51BE4911"/>
    <w:rsid w:val="51D239AD"/>
    <w:rsid w:val="5200122E"/>
    <w:rsid w:val="52215111"/>
    <w:rsid w:val="525F4868"/>
    <w:rsid w:val="531F30C4"/>
    <w:rsid w:val="53DF0AB7"/>
    <w:rsid w:val="53FB2D98"/>
    <w:rsid w:val="54371409"/>
    <w:rsid w:val="54796757"/>
    <w:rsid w:val="54955562"/>
    <w:rsid w:val="549B6672"/>
    <w:rsid w:val="54A91F22"/>
    <w:rsid w:val="54EE0FF2"/>
    <w:rsid w:val="54F27CFD"/>
    <w:rsid w:val="55230FD0"/>
    <w:rsid w:val="55B24F2B"/>
    <w:rsid w:val="5601257D"/>
    <w:rsid w:val="563C5D54"/>
    <w:rsid w:val="566D4B95"/>
    <w:rsid w:val="567C7800"/>
    <w:rsid w:val="56BF11D0"/>
    <w:rsid w:val="56FF1D12"/>
    <w:rsid w:val="572656D4"/>
    <w:rsid w:val="5836129D"/>
    <w:rsid w:val="58951701"/>
    <w:rsid w:val="58C12419"/>
    <w:rsid w:val="58DE7069"/>
    <w:rsid w:val="58F62B5D"/>
    <w:rsid w:val="58F816CA"/>
    <w:rsid w:val="58FA36D0"/>
    <w:rsid w:val="59AD06A4"/>
    <w:rsid w:val="5A1E4155"/>
    <w:rsid w:val="5A3938A1"/>
    <w:rsid w:val="5A395D10"/>
    <w:rsid w:val="5A4D586D"/>
    <w:rsid w:val="5A6249B0"/>
    <w:rsid w:val="5AC97447"/>
    <w:rsid w:val="5B333C3C"/>
    <w:rsid w:val="5B8E16C2"/>
    <w:rsid w:val="5CA34613"/>
    <w:rsid w:val="5CF52A1F"/>
    <w:rsid w:val="5D08610F"/>
    <w:rsid w:val="5E0F09F4"/>
    <w:rsid w:val="5E173FF3"/>
    <w:rsid w:val="5E603F7F"/>
    <w:rsid w:val="5EE84C68"/>
    <w:rsid w:val="5F0626B0"/>
    <w:rsid w:val="5F8F0673"/>
    <w:rsid w:val="606301FB"/>
    <w:rsid w:val="60D8319C"/>
    <w:rsid w:val="61014D78"/>
    <w:rsid w:val="614C3C26"/>
    <w:rsid w:val="6165708A"/>
    <w:rsid w:val="617102D4"/>
    <w:rsid w:val="61E2672A"/>
    <w:rsid w:val="621D5BA4"/>
    <w:rsid w:val="622215D8"/>
    <w:rsid w:val="625E2024"/>
    <w:rsid w:val="631A6DAA"/>
    <w:rsid w:val="63256512"/>
    <w:rsid w:val="632D4A3C"/>
    <w:rsid w:val="634D4ADC"/>
    <w:rsid w:val="635B6748"/>
    <w:rsid w:val="635C429C"/>
    <w:rsid w:val="63947A95"/>
    <w:rsid w:val="63995DF3"/>
    <w:rsid w:val="63D0057D"/>
    <w:rsid w:val="6433403C"/>
    <w:rsid w:val="645D5A93"/>
    <w:rsid w:val="645E43BF"/>
    <w:rsid w:val="646225C9"/>
    <w:rsid w:val="65194FD3"/>
    <w:rsid w:val="65B9511C"/>
    <w:rsid w:val="660C7F20"/>
    <w:rsid w:val="66361B8F"/>
    <w:rsid w:val="666A0D6A"/>
    <w:rsid w:val="66B479A6"/>
    <w:rsid w:val="66D85417"/>
    <w:rsid w:val="66DC2963"/>
    <w:rsid w:val="678F10A0"/>
    <w:rsid w:val="67B167D1"/>
    <w:rsid w:val="68077B91"/>
    <w:rsid w:val="68446CCF"/>
    <w:rsid w:val="685F0E50"/>
    <w:rsid w:val="685F1C50"/>
    <w:rsid w:val="68CA6271"/>
    <w:rsid w:val="68D67C69"/>
    <w:rsid w:val="68D81E4F"/>
    <w:rsid w:val="69410BEE"/>
    <w:rsid w:val="69680525"/>
    <w:rsid w:val="699022E9"/>
    <w:rsid w:val="6A2C3949"/>
    <w:rsid w:val="6A35559C"/>
    <w:rsid w:val="6A4F6B08"/>
    <w:rsid w:val="6A714498"/>
    <w:rsid w:val="6AA74D9D"/>
    <w:rsid w:val="6AC3299D"/>
    <w:rsid w:val="6ACF57D2"/>
    <w:rsid w:val="6B2C481B"/>
    <w:rsid w:val="6B4C4CC5"/>
    <w:rsid w:val="6B976CB9"/>
    <w:rsid w:val="6BEC5F07"/>
    <w:rsid w:val="6C0D0E79"/>
    <w:rsid w:val="6C2755B4"/>
    <w:rsid w:val="6CB87D98"/>
    <w:rsid w:val="6CFC1CBF"/>
    <w:rsid w:val="6D5D3196"/>
    <w:rsid w:val="6D862606"/>
    <w:rsid w:val="6DA13C29"/>
    <w:rsid w:val="6DF93C55"/>
    <w:rsid w:val="6E7F3835"/>
    <w:rsid w:val="6EFC549E"/>
    <w:rsid w:val="6F3A2165"/>
    <w:rsid w:val="6FF84FF4"/>
    <w:rsid w:val="70060541"/>
    <w:rsid w:val="7034031D"/>
    <w:rsid w:val="703665DE"/>
    <w:rsid w:val="706A3279"/>
    <w:rsid w:val="70795A00"/>
    <w:rsid w:val="71280F29"/>
    <w:rsid w:val="716440FB"/>
    <w:rsid w:val="717B1A6C"/>
    <w:rsid w:val="720B6D0C"/>
    <w:rsid w:val="72B7064C"/>
    <w:rsid w:val="72D36F5F"/>
    <w:rsid w:val="72EB61AE"/>
    <w:rsid w:val="7360126A"/>
    <w:rsid w:val="73803F85"/>
    <w:rsid w:val="73A0232C"/>
    <w:rsid w:val="73B175BA"/>
    <w:rsid w:val="73BF5C04"/>
    <w:rsid w:val="73E90A84"/>
    <w:rsid w:val="73F43BF0"/>
    <w:rsid w:val="741929F9"/>
    <w:rsid w:val="745919C6"/>
    <w:rsid w:val="74702A9A"/>
    <w:rsid w:val="74C90CFC"/>
    <w:rsid w:val="74CB2564"/>
    <w:rsid w:val="74FE3D65"/>
    <w:rsid w:val="7540712D"/>
    <w:rsid w:val="7587153D"/>
    <w:rsid w:val="75E13EAC"/>
    <w:rsid w:val="75F107FD"/>
    <w:rsid w:val="7608791A"/>
    <w:rsid w:val="761C2BBB"/>
    <w:rsid w:val="7631361A"/>
    <w:rsid w:val="76476BA1"/>
    <w:rsid w:val="7677643E"/>
    <w:rsid w:val="767C2539"/>
    <w:rsid w:val="76F24F99"/>
    <w:rsid w:val="774114F6"/>
    <w:rsid w:val="776A1DE8"/>
    <w:rsid w:val="778910DC"/>
    <w:rsid w:val="780C2D10"/>
    <w:rsid w:val="785D00CA"/>
    <w:rsid w:val="785E76E8"/>
    <w:rsid w:val="786C062C"/>
    <w:rsid w:val="78E36E01"/>
    <w:rsid w:val="79212831"/>
    <w:rsid w:val="792A1A22"/>
    <w:rsid w:val="793B5C30"/>
    <w:rsid w:val="7980797E"/>
    <w:rsid w:val="79C17EE8"/>
    <w:rsid w:val="79D15FE4"/>
    <w:rsid w:val="79F07533"/>
    <w:rsid w:val="7A3F692E"/>
    <w:rsid w:val="7A8D09B0"/>
    <w:rsid w:val="7AA21ED1"/>
    <w:rsid w:val="7AE107C6"/>
    <w:rsid w:val="7AEE350D"/>
    <w:rsid w:val="7B3C2E48"/>
    <w:rsid w:val="7B792F7C"/>
    <w:rsid w:val="7C0D2D6E"/>
    <w:rsid w:val="7C767CAC"/>
    <w:rsid w:val="7C807EF4"/>
    <w:rsid w:val="7CAF0AA9"/>
    <w:rsid w:val="7CC62A72"/>
    <w:rsid w:val="7D153328"/>
    <w:rsid w:val="7DDD6CEA"/>
    <w:rsid w:val="7DEF588E"/>
    <w:rsid w:val="7E064E23"/>
    <w:rsid w:val="7E4E4DF5"/>
    <w:rsid w:val="7E636E14"/>
    <w:rsid w:val="7E753189"/>
    <w:rsid w:val="7EF41B6E"/>
    <w:rsid w:val="7F6B4AD7"/>
    <w:rsid w:val="7F891C56"/>
    <w:rsid w:val="7FB7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3"/>
    <w:next w:val="1"/>
    <w:semiHidden/>
    <w:unhideWhenUsed/>
    <w:qFormat/>
    <w:uiPriority w:val="0"/>
    <w:pPr>
      <w:keepNext/>
      <w:keepLines/>
      <w:spacing w:before="260" w:after="260" w:line="416" w:lineRule="auto"/>
      <w:outlineLvl w:val="2"/>
    </w:pPr>
    <w:rPr>
      <w:bCs/>
      <w:szCs w:val="32"/>
    </w:rPr>
  </w:style>
  <w:style w:type="paragraph" w:styleId="5">
    <w:name w:val="heading 4"/>
    <w:basedOn w:val="1"/>
    <w:next w:val="1"/>
    <w:qFormat/>
    <w:uiPriority w:val="0"/>
    <w:pPr>
      <w:keepNext/>
      <w:keepLines/>
      <w:tabs>
        <w:tab w:val="left" w:pos="142"/>
        <w:tab w:val="left" w:pos="993"/>
        <w:tab w:val="left" w:pos="1418"/>
        <w:tab w:val="left" w:pos="1560"/>
      </w:tabs>
      <w:adjustRightInd w:val="0"/>
      <w:spacing w:line="377" w:lineRule="auto"/>
      <w:outlineLvl w:val="3"/>
    </w:pPr>
    <w:rPr>
      <w:rFonts w:asciiTheme="majorEastAsia" w:hAnsiTheme="majorEastAsia" w:eastAsiaTheme="majorEastAsia"/>
      <w:b/>
      <w:sz w:val="24"/>
    </w:rPr>
  </w:style>
  <w:style w:type="paragraph" w:styleId="6">
    <w:name w:val="heading 5"/>
    <w:basedOn w:val="1"/>
    <w:next w:val="1"/>
    <w:unhideWhenUsed/>
    <w:qFormat/>
    <w:uiPriority w:val="0"/>
    <w:pPr>
      <w:keepNext/>
      <w:keepLines/>
      <w:spacing w:line="372" w:lineRule="auto"/>
      <w:outlineLvl w:val="4"/>
    </w:pPr>
    <w:rPr>
      <w:rFonts w:asciiTheme="majorEastAsia" w:hAnsiTheme="majorEastAsia" w:eastAsiaTheme="majorEastAsia"/>
      <w:bCs/>
      <w:sz w:val="24"/>
    </w:rPr>
  </w:style>
  <w:style w:type="character" w:default="1" w:styleId="22">
    <w:name w:val="Default Paragraph Font"/>
    <w:link w:val="23"/>
    <w:semiHidden/>
    <w:unhideWhenUsed/>
    <w:qFormat/>
    <w:uiPriority w:val="1"/>
    <w:rPr>
      <w:rFonts w:ascii="Tahoma" w:hAnsi="Tahoma"/>
      <w:sz w:val="24"/>
      <w:szCs w:val="20"/>
    </w:rPr>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List Number"/>
    <w:basedOn w:val="1"/>
    <w:qFormat/>
    <w:uiPriority w:val="0"/>
    <w:pPr>
      <w:numPr>
        <w:ilvl w:val="0"/>
        <w:numId w:val="1"/>
      </w:numPr>
    </w:pPr>
  </w:style>
  <w:style w:type="paragraph" w:styleId="8">
    <w:name w:val="annotation text"/>
    <w:basedOn w:val="1"/>
    <w:link w:val="43"/>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next w:val="1"/>
    <w:link w:val="46"/>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4"/>
    <w:qFormat/>
    <w:uiPriority w:val="0"/>
    <w:rPr>
      <w:b/>
      <w:bCs/>
    </w:rPr>
  </w:style>
  <w:style w:type="paragraph" w:styleId="18">
    <w:name w:val="Body Text First Indent"/>
    <w:basedOn w:val="9"/>
    <w:qFormat/>
    <w:uiPriority w:val="0"/>
    <w:pPr>
      <w:ind w:firstLine="200" w:firstLineChars="200"/>
    </w:pPr>
    <w:rPr>
      <w:sz w:val="21"/>
    </w:rPr>
  </w:style>
  <w:style w:type="paragraph" w:styleId="19">
    <w:name w:val="Body Text First Indent 2"/>
    <w:basedOn w:val="10"/>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paragraph" w:customStyle="1" w:styleId="23">
    <w:name w:val="Char1"/>
    <w:basedOn w:val="1"/>
    <w:link w:val="22"/>
    <w:qFormat/>
    <w:uiPriority w:val="0"/>
    <w:rPr>
      <w:rFonts w:ascii="Tahoma" w:hAnsi="Tahoma"/>
      <w:sz w:val="24"/>
      <w:szCs w:val="20"/>
    </w:rPr>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列出段落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字符"/>
    <w:basedOn w:val="22"/>
    <w:link w:val="8"/>
    <w:qFormat/>
    <w:uiPriority w:val="0"/>
    <w:rPr>
      <w:rFonts w:ascii="Times New Roman" w:hAnsi="Times New Roman" w:eastAsia="宋体" w:cs="Times New Roman"/>
      <w:kern w:val="2"/>
      <w:sz w:val="21"/>
      <w:szCs w:val="24"/>
    </w:rPr>
  </w:style>
  <w:style w:type="character" w:customStyle="1" w:styleId="44">
    <w:name w:val="批注主题 字符"/>
    <w:basedOn w:val="43"/>
    <w:link w:val="17"/>
    <w:qFormat/>
    <w:uiPriority w:val="0"/>
    <w:rPr>
      <w:rFonts w:ascii="Times New Roman" w:hAnsi="Times New Roman" w:eastAsia="宋体" w:cs="Times New Roman"/>
      <w:b/>
      <w:bCs/>
      <w:kern w:val="2"/>
      <w:sz w:val="21"/>
      <w:szCs w:val="24"/>
    </w:rPr>
  </w:style>
  <w:style w:type="character" w:customStyle="1" w:styleId="45">
    <w:name w:val="批注框文本 字符"/>
    <w:basedOn w:val="22"/>
    <w:link w:val="13"/>
    <w:qFormat/>
    <w:uiPriority w:val="0"/>
    <w:rPr>
      <w:rFonts w:ascii="Times New Roman" w:hAnsi="Times New Roman" w:eastAsia="宋体" w:cs="Times New Roman"/>
      <w:kern w:val="2"/>
      <w:sz w:val="18"/>
      <w:szCs w:val="18"/>
    </w:rPr>
  </w:style>
  <w:style w:type="character" w:customStyle="1" w:styleId="46">
    <w:name w:val="正文文本缩进 字符"/>
    <w:basedOn w:val="22"/>
    <w:link w:val="10"/>
    <w:qFormat/>
    <w:uiPriority w:val="0"/>
    <w:rPr>
      <w:kern w:val="2"/>
      <w:sz w:val="21"/>
      <w:szCs w:val="24"/>
    </w:rPr>
  </w:style>
  <w:style w:type="paragraph" w:customStyle="1" w:styleId="4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50">
    <w:name w:val="正文首行缩进（绿盟科技）"/>
    <w:basedOn w:val="51"/>
    <w:qFormat/>
    <w:uiPriority w:val="0"/>
    <w:pPr>
      <w:spacing w:after="50"/>
      <w:ind w:firstLine="200" w:firstLineChars="200"/>
    </w:pPr>
  </w:style>
  <w:style w:type="paragraph" w:customStyle="1" w:styleId="5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2">
    <w:name w:val="无"/>
    <w:qFormat/>
    <w:uiPriority w:val="0"/>
  </w:style>
  <w:style w:type="character" w:customStyle="1" w:styleId="53">
    <w:name w:val="标题 1 Char Char"/>
    <w:basedOn w:val="22"/>
    <w:qFormat/>
    <w:uiPriority w:val="0"/>
    <w:rPr>
      <w:rFonts w:eastAsia="宋体"/>
      <w:b/>
      <w:spacing w:val="-2"/>
      <w:sz w:val="24"/>
      <w:lang w:val="en-US" w:eastAsia="zh-CN" w:bidi="ar-SA"/>
    </w:rPr>
  </w:style>
  <w:style w:type="character" w:customStyle="1" w:styleId="54">
    <w:name w:val="font51"/>
    <w:basedOn w:val="22"/>
    <w:qFormat/>
    <w:uiPriority w:val="0"/>
    <w:rPr>
      <w:rFonts w:hint="eastAsia" w:ascii="宋体" w:hAnsi="宋体" w:eastAsia="宋体" w:cs="宋体"/>
      <w:color w:val="000000"/>
      <w:sz w:val="18"/>
      <w:szCs w:val="18"/>
      <w:u w:val="none"/>
    </w:rPr>
  </w:style>
  <w:style w:type="character" w:customStyle="1" w:styleId="55">
    <w:name w:val="font61"/>
    <w:basedOn w:val="22"/>
    <w:qFormat/>
    <w:uiPriority w:val="0"/>
    <w:rPr>
      <w:rFonts w:hint="eastAsia" w:ascii="宋体" w:hAnsi="宋体" w:eastAsia="宋体" w:cs="宋体"/>
      <w:b/>
      <w:color w:val="FF0000"/>
      <w:sz w:val="18"/>
      <w:szCs w:val="18"/>
      <w:u w:val="none"/>
    </w:rPr>
  </w:style>
  <w:style w:type="character" w:customStyle="1" w:styleId="56">
    <w:name w:val="font41"/>
    <w:basedOn w:val="22"/>
    <w:qFormat/>
    <w:uiPriority w:val="0"/>
    <w:rPr>
      <w:rFonts w:hint="eastAsia" w:ascii="宋体" w:hAnsi="宋体" w:eastAsia="宋体" w:cs="宋体"/>
      <w:color w:val="000000"/>
      <w:sz w:val="18"/>
      <w:szCs w:val="18"/>
      <w:u w:val="none"/>
    </w:rPr>
  </w:style>
  <w:style w:type="character" w:customStyle="1" w:styleId="57">
    <w:name w:val="font01"/>
    <w:basedOn w:val="22"/>
    <w:qFormat/>
    <w:uiPriority w:val="0"/>
    <w:rPr>
      <w:rFonts w:hint="eastAsia" w:ascii="宋体" w:hAnsi="宋体" w:eastAsia="宋体" w:cs="宋体"/>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media/image1.jpeg" Type="http://schemas.openxmlformats.org/officeDocument/2006/relationships/imag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77</Pages>
  <Words>6855</Words>
  <Characters>39079</Characters>
  <Lines>325</Lines>
  <Paragraphs>91</Paragraphs>
  <TotalTime>196</TotalTime>
  <ScaleCrop>false</ScaleCrop>
  <LinksUpToDate>false</LinksUpToDate>
  <CharactersWithSpaces>45843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2019-07-25T01:04:00Z</dcterms:created>
  <dc:creator>S-mile</dc:creator>
  <cp:lastModifiedBy>S-mile</cp:lastModifiedBy>
  <cp:lastPrinted>2019-07-03T07:20:00Z</cp:lastPrinted>
  <dcterms:modified xsi:type="dcterms:W3CDTF">2020-04-20T07:30:56Z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